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199FF7" w14:textId="1C48C32D" w:rsidR="00FD2367" w:rsidRDefault="00FD2367" w:rsidP="00CE12F9">
      <w:pPr>
        <w:spacing w:line="360" w:lineRule="auto"/>
        <w:rPr>
          <w:b/>
          <w:bCs/>
          <w:sz w:val="24"/>
          <w:szCs w:val="24"/>
        </w:rPr>
      </w:pPr>
      <w:bookmarkStart w:id="0" w:name="_Hlk158122674"/>
      <w:bookmarkEnd w:id="0"/>
      <w:commentRangeStart w:id="1"/>
      <w:r w:rsidRPr="00895DB1">
        <w:rPr>
          <w:b/>
          <w:bCs/>
          <w:sz w:val="24"/>
          <w:szCs w:val="24"/>
        </w:rPr>
        <w:t xml:space="preserve">Reverse </w:t>
      </w:r>
      <w:r w:rsidR="00203F0E">
        <w:rPr>
          <w:b/>
          <w:bCs/>
          <w:sz w:val="24"/>
          <w:szCs w:val="24"/>
        </w:rPr>
        <w:t>S</w:t>
      </w:r>
      <w:r w:rsidRPr="00895DB1">
        <w:rPr>
          <w:b/>
          <w:bCs/>
          <w:sz w:val="24"/>
          <w:szCs w:val="24"/>
        </w:rPr>
        <w:t>tructural Change in Female Workforce: Insights from PLFS 2022-23</w:t>
      </w:r>
      <w:commentRangeEnd w:id="1"/>
      <w:r w:rsidR="00312C81">
        <w:rPr>
          <w:rStyle w:val="CommentReference"/>
        </w:rPr>
        <w:commentReference w:id="1"/>
      </w:r>
    </w:p>
    <w:p w14:paraId="56B72708" w14:textId="77777777" w:rsidR="007970C6" w:rsidRPr="00895DB1" w:rsidRDefault="007970C6" w:rsidP="00CE12F9">
      <w:pPr>
        <w:spacing w:line="360" w:lineRule="auto"/>
        <w:rPr>
          <w:b/>
          <w:bCs/>
          <w:sz w:val="24"/>
          <w:szCs w:val="24"/>
        </w:rPr>
      </w:pPr>
    </w:p>
    <w:p w14:paraId="659EED68" w14:textId="77777777" w:rsidR="00A34912" w:rsidRPr="00C35EB8" w:rsidRDefault="00A34912" w:rsidP="00C35EB8">
      <w:pPr>
        <w:spacing w:line="360" w:lineRule="auto"/>
        <w:jc w:val="right"/>
        <w:rPr>
          <w:sz w:val="24"/>
          <w:szCs w:val="24"/>
        </w:rPr>
      </w:pPr>
    </w:p>
    <w:p w14:paraId="4727E3FA" w14:textId="6C6C6EBF" w:rsidR="00C35EB8" w:rsidRDefault="00F0185B" w:rsidP="00C35EB8">
      <w:pPr>
        <w:spacing w:line="360" w:lineRule="auto"/>
        <w:jc w:val="both"/>
        <w:rPr>
          <w:b/>
          <w:bCs/>
          <w:sz w:val="24"/>
          <w:szCs w:val="24"/>
        </w:rPr>
      </w:pPr>
      <w:r>
        <w:rPr>
          <w:b/>
          <w:bCs/>
          <w:sz w:val="24"/>
          <w:szCs w:val="24"/>
        </w:rPr>
        <w:t>Abstract</w:t>
      </w:r>
    </w:p>
    <w:p w14:paraId="634F6013" w14:textId="003E164A" w:rsidR="00AC1766" w:rsidRPr="00C35EB8" w:rsidRDefault="00AC1766" w:rsidP="00AC1766">
      <w:pPr>
        <w:spacing w:line="360" w:lineRule="auto"/>
        <w:jc w:val="both"/>
        <w:rPr>
          <w:sz w:val="24"/>
          <w:szCs w:val="24"/>
        </w:rPr>
      </w:pPr>
      <w:commentRangeStart w:id="2"/>
      <w:r w:rsidRPr="00733626">
        <w:t xml:space="preserve">Female </w:t>
      </w:r>
      <w:proofErr w:type="spellStart"/>
      <w:r w:rsidRPr="00733626">
        <w:t>labourforce</w:t>
      </w:r>
      <w:proofErr w:type="spellEnd"/>
      <w:r w:rsidRPr="00733626">
        <w:t xml:space="preserve"> participation </w:t>
      </w:r>
      <w:proofErr w:type="gramStart"/>
      <w:r w:rsidRPr="00733626">
        <w:t>has been low compa</w:t>
      </w:r>
      <w:r w:rsidR="00510DE7">
        <w:t>red</w:t>
      </w:r>
      <w:proofErr w:type="gramEnd"/>
      <w:r w:rsidR="00510DE7">
        <w:t xml:space="preserve"> to </w:t>
      </w:r>
      <w:r w:rsidRPr="00733626">
        <w:t xml:space="preserve">that of </w:t>
      </w:r>
      <w:r w:rsidR="00E05F1E">
        <w:t>males</w:t>
      </w:r>
      <w:r w:rsidRPr="00733626">
        <w:t xml:space="preserve"> for decades</w:t>
      </w:r>
      <w:r w:rsidR="00510DE7">
        <w:t xml:space="preserve"> </w:t>
      </w:r>
      <w:r w:rsidR="00C13F00">
        <w:t>and we have evidence that FLFPR</w:t>
      </w:r>
      <w:r>
        <w:t xml:space="preserve"> </w:t>
      </w:r>
      <w:r w:rsidR="00C13F00">
        <w:t xml:space="preserve">is declining. </w:t>
      </w:r>
      <w:r>
        <w:t xml:space="preserve">But </w:t>
      </w:r>
      <w:r w:rsidR="00C13F00">
        <w:t xml:space="preserve">based on the PLFS data from </w:t>
      </w:r>
      <w:r w:rsidR="00C13F00" w:rsidRPr="00733626">
        <w:t>2017</w:t>
      </w:r>
      <w:r>
        <w:t xml:space="preserve">-18 and 2022-23 there is a slight increasing pattern in FLFPR by 12.3 </w:t>
      </w:r>
      <w:r w:rsidR="00E05F1E">
        <w:t>per cent</w:t>
      </w:r>
      <w:r>
        <w:t xml:space="preserve"> in rural and 4.3 per cent </w:t>
      </w:r>
      <w:r w:rsidR="00C13F00">
        <w:t>in urban</w:t>
      </w:r>
      <w:r>
        <w:t xml:space="preserve"> at all India.</w:t>
      </w:r>
      <w:r w:rsidR="00C13F00">
        <w:t xml:space="preserve"> </w:t>
      </w:r>
      <w:r w:rsidRPr="00733626">
        <w:t xml:space="preserve">In this paper we </w:t>
      </w:r>
      <w:r w:rsidR="00C13F00">
        <w:t>are</w:t>
      </w:r>
      <w:r w:rsidRPr="00733626">
        <w:t xml:space="preserve"> </w:t>
      </w:r>
      <w:proofErr w:type="spellStart"/>
      <w:r w:rsidRPr="00733626">
        <w:t>analys</w:t>
      </w:r>
      <w:r w:rsidR="00C13F00">
        <w:t>ing</w:t>
      </w:r>
      <w:proofErr w:type="spellEnd"/>
      <w:r w:rsidRPr="00733626">
        <w:t xml:space="preserve"> the female work participation in agriculture and allied sector in Kerala using </w:t>
      </w:r>
      <w:r w:rsidR="00D60FE7">
        <w:t>NSSO data from</w:t>
      </w:r>
      <w:r w:rsidR="00275050">
        <w:t xml:space="preserve"> 2015-2016 to</w:t>
      </w:r>
      <w:r w:rsidR="00D60FE7">
        <w:t xml:space="preserve"> </w:t>
      </w:r>
      <w:r w:rsidRPr="00733626">
        <w:t xml:space="preserve">2022-23.  </w:t>
      </w:r>
      <w:r w:rsidR="00C13F00">
        <w:rPr>
          <w:sz w:val="24"/>
          <w:szCs w:val="24"/>
        </w:rPr>
        <w:t>B</w:t>
      </w:r>
      <w:r w:rsidR="00EA2CBA" w:rsidRPr="00895DB1">
        <w:rPr>
          <w:sz w:val="24"/>
          <w:szCs w:val="24"/>
        </w:rPr>
        <w:t xml:space="preserve">y </w:t>
      </w:r>
      <w:proofErr w:type="spellStart"/>
      <w:r w:rsidR="00EA2CBA" w:rsidRPr="00895DB1">
        <w:rPr>
          <w:sz w:val="24"/>
          <w:szCs w:val="24"/>
        </w:rPr>
        <w:t>analysing</w:t>
      </w:r>
      <w:proofErr w:type="spellEnd"/>
      <w:r w:rsidR="00EA2CBA" w:rsidRPr="00895DB1">
        <w:rPr>
          <w:sz w:val="24"/>
          <w:szCs w:val="24"/>
        </w:rPr>
        <w:t xml:space="preserve"> the trends and patterns of </w:t>
      </w:r>
      <w:r w:rsidR="00E05F1E">
        <w:rPr>
          <w:sz w:val="24"/>
          <w:szCs w:val="24"/>
        </w:rPr>
        <w:t xml:space="preserve">the </w:t>
      </w:r>
      <w:r w:rsidR="00EA2CBA" w:rsidRPr="00895DB1">
        <w:rPr>
          <w:sz w:val="24"/>
          <w:szCs w:val="24"/>
        </w:rPr>
        <w:t xml:space="preserve">female </w:t>
      </w:r>
      <w:proofErr w:type="spellStart"/>
      <w:r w:rsidR="00EA2CBA" w:rsidRPr="00895DB1">
        <w:rPr>
          <w:sz w:val="24"/>
          <w:szCs w:val="24"/>
        </w:rPr>
        <w:t>labourforce</w:t>
      </w:r>
      <w:proofErr w:type="spellEnd"/>
      <w:r w:rsidR="00EA2CBA" w:rsidRPr="00895DB1">
        <w:rPr>
          <w:sz w:val="24"/>
          <w:szCs w:val="24"/>
        </w:rPr>
        <w:t xml:space="preserve">, it </w:t>
      </w:r>
      <w:proofErr w:type="gramStart"/>
      <w:r w:rsidR="00EA2CBA" w:rsidRPr="00895DB1">
        <w:rPr>
          <w:sz w:val="24"/>
          <w:szCs w:val="24"/>
        </w:rPr>
        <w:t>is argued</w:t>
      </w:r>
      <w:proofErr w:type="gramEnd"/>
      <w:r w:rsidR="00EA2CBA" w:rsidRPr="00895DB1">
        <w:rPr>
          <w:sz w:val="24"/>
          <w:szCs w:val="24"/>
        </w:rPr>
        <w:t xml:space="preserve"> that there is a reverse structural change in the female workforce to agriculture after 2019-20. It is probably distress driven. In other words, it </w:t>
      </w:r>
      <w:proofErr w:type="gramStart"/>
      <w:r w:rsidR="00EA2CBA" w:rsidRPr="00895DB1">
        <w:rPr>
          <w:sz w:val="24"/>
          <w:szCs w:val="24"/>
        </w:rPr>
        <w:t>can be argued</w:t>
      </w:r>
      <w:proofErr w:type="gramEnd"/>
      <w:r w:rsidR="00EA2CBA" w:rsidRPr="00895DB1">
        <w:rPr>
          <w:sz w:val="24"/>
          <w:szCs w:val="24"/>
        </w:rPr>
        <w:t xml:space="preserve"> that there is an increasing female </w:t>
      </w:r>
      <w:proofErr w:type="spellStart"/>
      <w:r w:rsidR="00EA2CBA" w:rsidRPr="00895DB1">
        <w:rPr>
          <w:sz w:val="24"/>
          <w:szCs w:val="24"/>
        </w:rPr>
        <w:t>labourforce</w:t>
      </w:r>
      <w:proofErr w:type="spellEnd"/>
      <w:r w:rsidR="00EA2CBA" w:rsidRPr="00895DB1">
        <w:rPr>
          <w:sz w:val="24"/>
          <w:szCs w:val="24"/>
        </w:rPr>
        <w:t xml:space="preserve"> participation during the period of </w:t>
      </w:r>
      <w:proofErr w:type="spellStart"/>
      <w:r w:rsidR="00EA2CBA">
        <w:rPr>
          <w:sz w:val="24"/>
          <w:szCs w:val="24"/>
        </w:rPr>
        <w:t>C</w:t>
      </w:r>
      <w:r w:rsidR="00EA2CBA" w:rsidRPr="00895DB1">
        <w:rPr>
          <w:sz w:val="24"/>
          <w:szCs w:val="24"/>
        </w:rPr>
        <w:t>ovid</w:t>
      </w:r>
      <w:proofErr w:type="spellEnd"/>
      <w:r w:rsidR="00EA2CBA" w:rsidRPr="00895DB1">
        <w:rPr>
          <w:sz w:val="24"/>
          <w:szCs w:val="24"/>
        </w:rPr>
        <w:t xml:space="preserve"> </w:t>
      </w:r>
      <w:r w:rsidR="00E05F1E">
        <w:rPr>
          <w:sz w:val="24"/>
          <w:szCs w:val="24"/>
        </w:rPr>
        <w:t>in</w:t>
      </w:r>
      <w:r w:rsidR="00EA2CBA" w:rsidRPr="00895DB1">
        <w:rPr>
          <w:sz w:val="24"/>
          <w:szCs w:val="24"/>
        </w:rPr>
        <w:t xml:space="preserve"> the agriculture sector. </w:t>
      </w:r>
      <w:proofErr w:type="gramStart"/>
      <w:r w:rsidR="00EA2CBA" w:rsidRPr="00895DB1">
        <w:rPr>
          <w:sz w:val="24"/>
          <w:szCs w:val="24"/>
        </w:rPr>
        <w:t>But</w:t>
      </w:r>
      <w:proofErr w:type="gramEnd"/>
      <w:r w:rsidR="00EA2CBA" w:rsidRPr="00895DB1">
        <w:rPr>
          <w:sz w:val="24"/>
          <w:szCs w:val="24"/>
        </w:rPr>
        <w:t xml:space="preserve"> they are not returning to other sectors in the post </w:t>
      </w:r>
      <w:proofErr w:type="spellStart"/>
      <w:r w:rsidR="00EA2CBA">
        <w:rPr>
          <w:sz w:val="24"/>
          <w:szCs w:val="24"/>
        </w:rPr>
        <w:t>C</w:t>
      </w:r>
      <w:r w:rsidR="00EA2CBA" w:rsidRPr="00895DB1">
        <w:rPr>
          <w:sz w:val="24"/>
          <w:szCs w:val="24"/>
        </w:rPr>
        <w:t>ovid</w:t>
      </w:r>
      <w:proofErr w:type="spellEnd"/>
      <w:r w:rsidR="00EA2CBA">
        <w:rPr>
          <w:sz w:val="24"/>
          <w:szCs w:val="24"/>
        </w:rPr>
        <w:t xml:space="preserve"> period</w:t>
      </w:r>
      <w:r w:rsidR="00EA2CBA" w:rsidRPr="00895DB1">
        <w:rPr>
          <w:sz w:val="24"/>
          <w:szCs w:val="24"/>
        </w:rPr>
        <w:t>. They were continui</w:t>
      </w:r>
      <w:r w:rsidR="00EA2CBA">
        <w:rPr>
          <w:sz w:val="24"/>
          <w:szCs w:val="24"/>
        </w:rPr>
        <w:t xml:space="preserve">ng in the </w:t>
      </w:r>
      <w:r w:rsidR="00EA2CBA" w:rsidRPr="00895DB1">
        <w:rPr>
          <w:sz w:val="24"/>
          <w:szCs w:val="24"/>
        </w:rPr>
        <w:t xml:space="preserve">low paid agriculture sector. </w:t>
      </w:r>
      <w:commentRangeEnd w:id="2"/>
      <w:r w:rsidR="00312C81">
        <w:rPr>
          <w:rStyle w:val="CommentReference"/>
        </w:rPr>
        <w:commentReference w:id="2"/>
      </w:r>
    </w:p>
    <w:p w14:paraId="47DDA0F4" w14:textId="2B0F3D05" w:rsidR="00FD2367" w:rsidRDefault="00651FB5" w:rsidP="00C35EB8">
      <w:pPr>
        <w:spacing w:line="360" w:lineRule="auto"/>
        <w:jc w:val="both"/>
        <w:rPr>
          <w:sz w:val="24"/>
          <w:szCs w:val="24"/>
        </w:rPr>
      </w:pPr>
      <w:r>
        <w:rPr>
          <w:sz w:val="24"/>
          <w:szCs w:val="24"/>
        </w:rPr>
        <w:t xml:space="preserve">Keywords: Female </w:t>
      </w:r>
      <w:proofErr w:type="spellStart"/>
      <w:r>
        <w:rPr>
          <w:sz w:val="24"/>
          <w:szCs w:val="24"/>
        </w:rPr>
        <w:t>Labour</w:t>
      </w:r>
      <w:proofErr w:type="spellEnd"/>
      <w:r>
        <w:rPr>
          <w:sz w:val="24"/>
          <w:szCs w:val="24"/>
        </w:rPr>
        <w:t xml:space="preserve"> Force Participation, Female Workforce</w:t>
      </w:r>
      <w:r w:rsidR="00D60FE7">
        <w:rPr>
          <w:sz w:val="24"/>
          <w:szCs w:val="24"/>
        </w:rPr>
        <w:t xml:space="preserve"> Participation</w:t>
      </w:r>
      <w:r>
        <w:rPr>
          <w:sz w:val="24"/>
          <w:szCs w:val="24"/>
        </w:rPr>
        <w:t>, Agriculture</w:t>
      </w:r>
    </w:p>
    <w:p w14:paraId="68B9730F" w14:textId="77777777" w:rsidR="00327A36" w:rsidRDefault="00327A36" w:rsidP="00C35EB8">
      <w:pPr>
        <w:spacing w:line="360" w:lineRule="auto"/>
        <w:jc w:val="both"/>
        <w:rPr>
          <w:sz w:val="24"/>
          <w:szCs w:val="24"/>
        </w:rPr>
      </w:pPr>
    </w:p>
    <w:p w14:paraId="22193706" w14:textId="77777777" w:rsidR="00327A36" w:rsidRDefault="00327A36" w:rsidP="00C35EB8">
      <w:pPr>
        <w:spacing w:line="360" w:lineRule="auto"/>
        <w:jc w:val="both"/>
        <w:rPr>
          <w:sz w:val="24"/>
          <w:szCs w:val="24"/>
        </w:rPr>
      </w:pPr>
    </w:p>
    <w:p w14:paraId="2F17EF0F" w14:textId="5FC54459" w:rsidR="00DB4AE9" w:rsidRDefault="00811DD0" w:rsidP="00C35EB8">
      <w:pPr>
        <w:spacing w:line="360" w:lineRule="auto"/>
        <w:jc w:val="both"/>
        <w:rPr>
          <w:sz w:val="24"/>
          <w:szCs w:val="24"/>
        </w:rPr>
      </w:pPr>
      <w:r>
        <w:rPr>
          <w:sz w:val="24"/>
          <w:szCs w:val="24"/>
        </w:rPr>
        <w:t>INTRODUCTION</w:t>
      </w:r>
      <w:bookmarkStart w:id="3" w:name="_GoBack"/>
      <w:bookmarkEnd w:id="3"/>
    </w:p>
    <w:p w14:paraId="0D9399A1" w14:textId="5F77D9E4" w:rsidR="00FD2367" w:rsidRDefault="00FD2367" w:rsidP="00C35EB8">
      <w:pPr>
        <w:spacing w:line="360" w:lineRule="auto"/>
        <w:jc w:val="both"/>
        <w:rPr>
          <w:b/>
          <w:bCs/>
          <w:sz w:val="24"/>
          <w:szCs w:val="24"/>
        </w:rPr>
      </w:pPr>
      <w:commentRangeStart w:id="4"/>
      <w:r w:rsidRPr="00895DB1">
        <w:rPr>
          <w:sz w:val="24"/>
          <w:szCs w:val="24"/>
        </w:rPr>
        <w:t xml:space="preserve">Female </w:t>
      </w:r>
      <w:proofErr w:type="spellStart"/>
      <w:r w:rsidRPr="00895DB1">
        <w:rPr>
          <w:sz w:val="24"/>
          <w:szCs w:val="24"/>
        </w:rPr>
        <w:t>labourforce</w:t>
      </w:r>
      <w:proofErr w:type="spellEnd"/>
      <w:r w:rsidRPr="00895DB1">
        <w:rPr>
          <w:sz w:val="24"/>
          <w:szCs w:val="24"/>
        </w:rPr>
        <w:t xml:space="preserve"> participation has been low comparing that of </w:t>
      </w:r>
      <w:r w:rsidR="0031462F">
        <w:rPr>
          <w:sz w:val="24"/>
          <w:szCs w:val="24"/>
        </w:rPr>
        <w:t>males</w:t>
      </w:r>
      <w:r w:rsidRPr="00895DB1">
        <w:rPr>
          <w:sz w:val="24"/>
          <w:szCs w:val="24"/>
        </w:rPr>
        <w:t xml:space="preserve"> for decades. While </w:t>
      </w:r>
      <w:proofErr w:type="gramStart"/>
      <w:r w:rsidRPr="00895DB1">
        <w:rPr>
          <w:sz w:val="24"/>
          <w:szCs w:val="24"/>
        </w:rPr>
        <w:t>exploring</w:t>
      </w:r>
      <w:proofErr w:type="gramEnd"/>
      <w:r w:rsidRPr="00895DB1">
        <w:rPr>
          <w:sz w:val="24"/>
          <w:szCs w:val="24"/>
        </w:rPr>
        <w:t xml:space="preserve"> the pattern of female LFPR, from the period </w:t>
      </w:r>
      <w:r w:rsidR="00AE64D2" w:rsidRPr="00895DB1">
        <w:rPr>
          <w:sz w:val="24"/>
          <w:szCs w:val="24"/>
        </w:rPr>
        <w:t xml:space="preserve">2004-05 to 2017-18 </w:t>
      </w:r>
      <w:r w:rsidRPr="00895DB1">
        <w:rPr>
          <w:sz w:val="24"/>
          <w:szCs w:val="24"/>
        </w:rPr>
        <w:t xml:space="preserve">there is a declining </w:t>
      </w:r>
      <w:r w:rsidR="005546ED">
        <w:rPr>
          <w:sz w:val="24"/>
          <w:szCs w:val="24"/>
        </w:rPr>
        <w:t>trend</w:t>
      </w:r>
      <w:r w:rsidRPr="00895DB1">
        <w:rPr>
          <w:sz w:val="24"/>
          <w:szCs w:val="24"/>
        </w:rPr>
        <w:t>.</w:t>
      </w:r>
      <w:r w:rsidR="00AE64D2">
        <w:rPr>
          <w:sz w:val="24"/>
          <w:szCs w:val="24"/>
        </w:rPr>
        <w:t xml:space="preserve"> FLFPR declined by 8 per cent and 7 per cent during </w:t>
      </w:r>
      <w:r w:rsidR="00AE64D2" w:rsidRPr="00895DB1">
        <w:rPr>
          <w:sz w:val="24"/>
          <w:szCs w:val="24"/>
        </w:rPr>
        <w:t>2004-05 to 201</w:t>
      </w:r>
      <w:r w:rsidR="00656F5A">
        <w:rPr>
          <w:sz w:val="24"/>
          <w:szCs w:val="24"/>
        </w:rPr>
        <w:t>1</w:t>
      </w:r>
      <w:r w:rsidR="00AE64D2" w:rsidRPr="00895DB1">
        <w:rPr>
          <w:sz w:val="24"/>
          <w:szCs w:val="24"/>
        </w:rPr>
        <w:t>-1</w:t>
      </w:r>
      <w:r w:rsidR="00656F5A">
        <w:rPr>
          <w:sz w:val="24"/>
          <w:szCs w:val="24"/>
        </w:rPr>
        <w:t>2</w:t>
      </w:r>
      <w:r w:rsidR="00AE64D2" w:rsidRPr="00895DB1">
        <w:rPr>
          <w:sz w:val="24"/>
          <w:szCs w:val="24"/>
        </w:rPr>
        <w:t xml:space="preserve"> </w:t>
      </w:r>
      <w:r w:rsidR="00AE64D2">
        <w:rPr>
          <w:sz w:val="24"/>
          <w:szCs w:val="24"/>
        </w:rPr>
        <w:t>and 201</w:t>
      </w:r>
      <w:r w:rsidR="00656F5A">
        <w:rPr>
          <w:sz w:val="24"/>
          <w:szCs w:val="24"/>
        </w:rPr>
        <w:t>1</w:t>
      </w:r>
      <w:r w:rsidR="00AE64D2">
        <w:rPr>
          <w:sz w:val="24"/>
          <w:szCs w:val="24"/>
        </w:rPr>
        <w:t>-12 to 2017-18</w:t>
      </w:r>
      <w:r w:rsidR="00656F5A">
        <w:rPr>
          <w:sz w:val="24"/>
          <w:szCs w:val="24"/>
        </w:rPr>
        <w:t xml:space="preserve"> respectively</w:t>
      </w:r>
      <w:r w:rsidR="00AE64D2">
        <w:rPr>
          <w:sz w:val="24"/>
          <w:szCs w:val="24"/>
        </w:rPr>
        <w:t xml:space="preserve">. </w:t>
      </w:r>
      <w:proofErr w:type="spellStart"/>
      <w:r w:rsidR="00AE64D2">
        <w:rPr>
          <w:sz w:val="24"/>
          <w:szCs w:val="24"/>
        </w:rPr>
        <w:t>Covid</w:t>
      </w:r>
      <w:proofErr w:type="spellEnd"/>
      <w:r w:rsidR="00AE64D2">
        <w:rPr>
          <w:sz w:val="24"/>
          <w:szCs w:val="24"/>
        </w:rPr>
        <w:t xml:space="preserve"> </w:t>
      </w:r>
      <w:r w:rsidR="00E05F1E">
        <w:rPr>
          <w:sz w:val="24"/>
          <w:szCs w:val="24"/>
        </w:rPr>
        <w:t>and</w:t>
      </w:r>
      <w:r w:rsidR="00AE64D2">
        <w:rPr>
          <w:sz w:val="24"/>
          <w:szCs w:val="24"/>
        </w:rPr>
        <w:t xml:space="preserve"> post </w:t>
      </w:r>
      <w:proofErr w:type="spellStart"/>
      <w:r w:rsidR="00AE64D2">
        <w:rPr>
          <w:sz w:val="24"/>
          <w:szCs w:val="24"/>
        </w:rPr>
        <w:t>Covid</w:t>
      </w:r>
      <w:proofErr w:type="spellEnd"/>
      <w:r w:rsidR="00AE64D2">
        <w:rPr>
          <w:sz w:val="24"/>
          <w:szCs w:val="24"/>
        </w:rPr>
        <w:t xml:space="preserve"> periods</w:t>
      </w:r>
      <w:r w:rsidR="00AE64D2" w:rsidRPr="00895DB1">
        <w:rPr>
          <w:sz w:val="24"/>
          <w:szCs w:val="24"/>
        </w:rPr>
        <w:t xml:space="preserve"> </w:t>
      </w:r>
      <w:r w:rsidR="00AE64D2">
        <w:rPr>
          <w:sz w:val="24"/>
          <w:szCs w:val="24"/>
        </w:rPr>
        <w:t>(</w:t>
      </w:r>
      <w:r w:rsidR="00AE64D2" w:rsidRPr="00895DB1">
        <w:rPr>
          <w:sz w:val="24"/>
          <w:szCs w:val="24"/>
        </w:rPr>
        <w:t>2019-20 to 2022-23</w:t>
      </w:r>
      <w:r w:rsidR="00AE64D2">
        <w:rPr>
          <w:sz w:val="24"/>
          <w:szCs w:val="24"/>
        </w:rPr>
        <w:t>)</w:t>
      </w:r>
      <w:r w:rsidR="00AE64D2" w:rsidRPr="00895DB1">
        <w:rPr>
          <w:sz w:val="24"/>
          <w:szCs w:val="24"/>
        </w:rPr>
        <w:t xml:space="preserve"> </w:t>
      </w:r>
      <w:r w:rsidR="00AE64D2">
        <w:rPr>
          <w:sz w:val="24"/>
          <w:szCs w:val="24"/>
        </w:rPr>
        <w:t>shows</w:t>
      </w:r>
      <w:r w:rsidR="00AE64D2" w:rsidRPr="00895DB1">
        <w:rPr>
          <w:sz w:val="24"/>
          <w:szCs w:val="24"/>
        </w:rPr>
        <w:t xml:space="preserve"> a </w:t>
      </w:r>
      <w:r w:rsidR="0031462F">
        <w:rPr>
          <w:sz w:val="24"/>
          <w:szCs w:val="24"/>
        </w:rPr>
        <w:t>slightly</w:t>
      </w:r>
      <w:r w:rsidR="00AE64D2" w:rsidRPr="00895DB1">
        <w:rPr>
          <w:sz w:val="24"/>
          <w:szCs w:val="24"/>
        </w:rPr>
        <w:t xml:space="preserve"> increasing pattern</w:t>
      </w:r>
      <w:r w:rsidR="00AE64D2">
        <w:rPr>
          <w:sz w:val="24"/>
          <w:szCs w:val="24"/>
        </w:rPr>
        <w:t xml:space="preserve"> of FLFPR</w:t>
      </w:r>
      <w:r w:rsidR="00AE64D2" w:rsidRPr="00895DB1">
        <w:rPr>
          <w:sz w:val="24"/>
          <w:szCs w:val="24"/>
        </w:rPr>
        <w:t xml:space="preserve"> by 6.5 per cent in rural and 1.7 per cent in urban India</w:t>
      </w:r>
      <w:r w:rsidR="00AE64D2">
        <w:rPr>
          <w:sz w:val="24"/>
          <w:szCs w:val="24"/>
        </w:rPr>
        <w:t xml:space="preserve"> (EUS, PLFS)</w:t>
      </w:r>
      <w:r w:rsidR="00AE64D2" w:rsidRPr="00895DB1">
        <w:rPr>
          <w:sz w:val="24"/>
          <w:szCs w:val="24"/>
        </w:rPr>
        <w:t>. Th</w:t>
      </w:r>
      <w:r w:rsidR="00AE64D2">
        <w:rPr>
          <w:sz w:val="24"/>
          <w:szCs w:val="24"/>
        </w:rPr>
        <w:t>is</w:t>
      </w:r>
      <w:r w:rsidR="00AE64D2" w:rsidRPr="00895DB1">
        <w:rPr>
          <w:sz w:val="24"/>
          <w:szCs w:val="24"/>
        </w:rPr>
        <w:t xml:space="preserve"> rise is contributed by increasi</w:t>
      </w:r>
      <w:r w:rsidR="00AE64D2">
        <w:rPr>
          <w:sz w:val="24"/>
          <w:szCs w:val="24"/>
        </w:rPr>
        <w:t>ng</w:t>
      </w:r>
      <w:r w:rsidR="00AE64D2" w:rsidRPr="00895DB1">
        <w:rPr>
          <w:sz w:val="24"/>
          <w:szCs w:val="24"/>
        </w:rPr>
        <w:t xml:space="preserve"> self-employment in rural and urban sectors while the share of workers engaged in regular employment and casual employment</w:t>
      </w:r>
      <w:r w:rsidR="00AE64D2">
        <w:rPr>
          <w:sz w:val="24"/>
          <w:szCs w:val="24"/>
        </w:rPr>
        <w:t xml:space="preserve"> </w:t>
      </w:r>
      <w:r w:rsidR="0031462F">
        <w:rPr>
          <w:sz w:val="24"/>
          <w:szCs w:val="24"/>
        </w:rPr>
        <w:t>is</w:t>
      </w:r>
      <w:r w:rsidR="00AE64D2">
        <w:rPr>
          <w:sz w:val="24"/>
          <w:szCs w:val="24"/>
        </w:rPr>
        <w:t xml:space="preserve"> declining</w:t>
      </w:r>
      <w:r w:rsidR="00AE64D2" w:rsidRPr="00895DB1">
        <w:rPr>
          <w:sz w:val="24"/>
          <w:szCs w:val="24"/>
        </w:rPr>
        <w:t>.</w:t>
      </w:r>
      <w:r w:rsidR="00AE64D2">
        <w:rPr>
          <w:sz w:val="24"/>
          <w:szCs w:val="24"/>
        </w:rPr>
        <w:t xml:space="preserve"> </w:t>
      </w:r>
      <w:r w:rsidR="00656F5A">
        <w:rPr>
          <w:sz w:val="24"/>
          <w:szCs w:val="24"/>
        </w:rPr>
        <w:t xml:space="preserve">This paper deals with the question </w:t>
      </w:r>
      <w:r w:rsidR="0031462F">
        <w:rPr>
          <w:sz w:val="24"/>
          <w:szCs w:val="24"/>
        </w:rPr>
        <w:t>of</w:t>
      </w:r>
      <w:r w:rsidR="00656F5A">
        <w:rPr>
          <w:sz w:val="24"/>
          <w:szCs w:val="24"/>
        </w:rPr>
        <w:t>, w</w:t>
      </w:r>
      <w:r w:rsidR="00AE64D2">
        <w:rPr>
          <w:sz w:val="24"/>
          <w:szCs w:val="24"/>
        </w:rPr>
        <w:t>hether it is distress driven growth</w:t>
      </w:r>
      <w:r w:rsidR="0031462F">
        <w:rPr>
          <w:sz w:val="24"/>
          <w:szCs w:val="24"/>
        </w:rPr>
        <w:t>.</w:t>
      </w:r>
      <w:r w:rsidRPr="00895DB1">
        <w:rPr>
          <w:sz w:val="24"/>
          <w:szCs w:val="24"/>
        </w:rPr>
        <w:t xml:space="preserve"> </w:t>
      </w:r>
      <w:r w:rsidR="00EA09B0">
        <w:rPr>
          <w:sz w:val="24"/>
          <w:szCs w:val="24"/>
        </w:rPr>
        <w:t>E</w:t>
      </w:r>
      <w:r w:rsidR="00C354F6">
        <w:rPr>
          <w:sz w:val="24"/>
          <w:szCs w:val="24"/>
        </w:rPr>
        <w:t xml:space="preserve">ven we can see a rise in employment in rural India </w:t>
      </w:r>
      <w:r w:rsidR="00EA09B0">
        <w:rPr>
          <w:sz w:val="24"/>
          <w:szCs w:val="24"/>
        </w:rPr>
        <w:t>from</w:t>
      </w:r>
      <w:r w:rsidR="00C354F6">
        <w:rPr>
          <w:sz w:val="24"/>
          <w:szCs w:val="24"/>
        </w:rPr>
        <w:t xml:space="preserve"> </w:t>
      </w:r>
      <w:r w:rsidR="00C354F6">
        <w:t>1999-2000 to 2004-05 was a distress driven employment” or “earnings capacity poor” driven employment</w:t>
      </w:r>
      <w:r w:rsidR="00C354F6">
        <w:rPr>
          <w:b/>
          <w:bCs/>
          <w:sz w:val="24"/>
          <w:szCs w:val="24"/>
        </w:rPr>
        <w:t xml:space="preserve">. </w:t>
      </w:r>
      <w:r w:rsidR="00C354F6">
        <w:t>This rise in employment growth is being lauded since it occurred after a period of jobless growth, during 1993-94 to 1999-2000 (</w:t>
      </w:r>
      <w:r w:rsidR="00275050">
        <w:rPr>
          <w:sz w:val="24"/>
          <w:szCs w:val="24"/>
        </w:rPr>
        <w:t>Abraham 2009</w:t>
      </w:r>
      <w:r w:rsidR="00AE64D2">
        <w:rPr>
          <w:sz w:val="24"/>
          <w:szCs w:val="24"/>
        </w:rPr>
        <w:t>)</w:t>
      </w:r>
      <w:r w:rsidR="00275050">
        <w:rPr>
          <w:b/>
          <w:bCs/>
          <w:sz w:val="24"/>
          <w:szCs w:val="24"/>
        </w:rPr>
        <w:t xml:space="preserve">. </w:t>
      </w:r>
    </w:p>
    <w:p w14:paraId="5EBEB515" w14:textId="77777777" w:rsidR="00180314" w:rsidRDefault="00180314" w:rsidP="00C35EB8">
      <w:pPr>
        <w:spacing w:line="360" w:lineRule="auto"/>
        <w:jc w:val="both"/>
        <w:rPr>
          <w:sz w:val="24"/>
          <w:szCs w:val="24"/>
        </w:rPr>
      </w:pPr>
    </w:p>
    <w:p w14:paraId="511131CB" w14:textId="33DA74C7" w:rsidR="00833257" w:rsidRPr="00C35EB8" w:rsidRDefault="00833257" w:rsidP="00C35EB8">
      <w:pPr>
        <w:spacing w:line="360" w:lineRule="auto"/>
        <w:jc w:val="both"/>
        <w:rPr>
          <w:sz w:val="24"/>
          <w:szCs w:val="24"/>
        </w:rPr>
      </w:pPr>
      <w:r w:rsidRPr="00C35EB8">
        <w:rPr>
          <w:sz w:val="24"/>
          <w:szCs w:val="24"/>
        </w:rPr>
        <w:t xml:space="preserve">While exploring the pattern of female </w:t>
      </w:r>
      <w:proofErr w:type="spellStart"/>
      <w:r w:rsidRPr="00C35EB8">
        <w:rPr>
          <w:sz w:val="24"/>
          <w:szCs w:val="24"/>
        </w:rPr>
        <w:t>L</w:t>
      </w:r>
      <w:r w:rsidR="008F34B6">
        <w:rPr>
          <w:sz w:val="24"/>
          <w:szCs w:val="24"/>
        </w:rPr>
        <w:t>abour</w:t>
      </w:r>
      <w:proofErr w:type="spellEnd"/>
      <w:r w:rsidR="008F34B6">
        <w:rPr>
          <w:sz w:val="24"/>
          <w:szCs w:val="24"/>
        </w:rPr>
        <w:t xml:space="preserve"> </w:t>
      </w:r>
      <w:r w:rsidRPr="00C35EB8">
        <w:rPr>
          <w:sz w:val="24"/>
          <w:szCs w:val="24"/>
        </w:rPr>
        <w:t>F</w:t>
      </w:r>
      <w:r w:rsidR="008F34B6">
        <w:rPr>
          <w:sz w:val="24"/>
          <w:szCs w:val="24"/>
        </w:rPr>
        <w:t xml:space="preserve">orce </w:t>
      </w:r>
      <w:r w:rsidRPr="00C35EB8">
        <w:rPr>
          <w:sz w:val="24"/>
          <w:szCs w:val="24"/>
        </w:rPr>
        <w:t>P</w:t>
      </w:r>
      <w:r w:rsidR="008F34B6">
        <w:rPr>
          <w:sz w:val="24"/>
          <w:szCs w:val="24"/>
        </w:rPr>
        <w:t xml:space="preserve">articipation </w:t>
      </w:r>
      <w:r w:rsidRPr="00C35EB8">
        <w:rPr>
          <w:sz w:val="24"/>
          <w:szCs w:val="24"/>
        </w:rPr>
        <w:t>R</w:t>
      </w:r>
      <w:r w:rsidR="008F34B6">
        <w:rPr>
          <w:sz w:val="24"/>
          <w:szCs w:val="24"/>
        </w:rPr>
        <w:t xml:space="preserve">ate </w:t>
      </w:r>
      <w:r w:rsidR="00451E33">
        <w:rPr>
          <w:sz w:val="24"/>
          <w:szCs w:val="24"/>
        </w:rPr>
        <w:t>(</w:t>
      </w:r>
      <w:r w:rsidR="008F34B6">
        <w:rPr>
          <w:sz w:val="24"/>
          <w:szCs w:val="24"/>
        </w:rPr>
        <w:t>FLFPR</w:t>
      </w:r>
      <w:r w:rsidR="00451E33">
        <w:rPr>
          <w:sz w:val="24"/>
          <w:szCs w:val="24"/>
        </w:rPr>
        <w:t>)</w:t>
      </w:r>
      <w:r w:rsidRPr="00C35EB8">
        <w:rPr>
          <w:sz w:val="24"/>
          <w:szCs w:val="24"/>
        </w:rPr>
        <w:t xml:space="preserve">, studies like Goldin (1994), </w:t>
      </w:r>
      <w:proofErr w:type="spellStart"/>
      <w:r w:rsidRPr="00C35EB8">
        <w:rPr>
          <w:sz w:val="24"/>
          <w:szCs w:val="24"/>
        </w:rPr>
        <w:t>Mammen</w:t>
      </w:r>
      <w:proofErr w:type="spellEnd"/>
      <w:r w:rsidRPr="00C35EB8">
        <w:rPr>
          <w:sz w:val="24"/>
          <w:szCs w:val="24"/>
        </w:rPr>
        <w:t xml:space="preserve"> and </w:t>
      </w:r>
      <w:proofErr w:type="spellStart"/>
      <w:r w:rsidRPr="00C35EB8">
        <w:rPr>
          <w:sz w:val="24"/>
          <w:szCs w:val="24"/>
        </w:rPr>
        <w:t>Paxson</w:t>
      </w:r>
      <w:proofErr w:type="spellEnd"/>
      <w:r w:rsidRPr="00C35EB8">
        <w:rPr>
          <w:sz w:val="24"/>
          <w:szCs w:val="24"/>
        </w:rPr>
        <w:t xml:space="preserve"> (2000), Fatima and Sultana (2009), Tam (2011), Gaddis and </w:t>
      </w:r>
      <w:proofErr w:type="spellStart"/>
      <w:r w:rsidRPr="00C35EB8">
        <w:rPr>
          <w:sz w:val="24"/>
          <w:szCs w:val="24"/>
        </w:rPr>
        <w:t>Klasen</w:t>
      </w:r>
      <w:proofErr w:type="spellEnd"/>
      <w:r w:rsidRPr="00C35EB8">
        <w:rPr>
          <w:sz w:val="24"/>
          <w:szCs w:val="24"/>
        </w:rPr>
        <w:t xml:space="preserve"> (2014), and Chaudhary and </w:t>
      </w:r>
      <w:proofErr w:type="spellStart"/>
      <w:r w:rsidRPr="00C35EB8">
        <w:rPr>
          <w:sz w:val="24"/>
          <w:szCs w:val="24"/>
        </w:rPr>
        <w:t>Verick</w:t>
      </w:r>
      <w:proofErr w:type="spellEnd"/>
      <w:r w:rsidRPr="00C35EB8">
        <w:rPr>
          <w:sz w:val="24"/>
          <w:szCs w:val="24"/>
        </w:rPr>
        <w:t xml:space="preserve"> (2014) claim that the female </w:t>
      </w:r>
      <w:proofErr w:type="spellStart"/>
      <w:r w:rsidR="0031462F">
        <w:rPr>
          <w:sz w:val="24"/>
          <w:szCs w:val="24"/>
        </w:rPr>
        <w:t>labour</w:t>
      </w:r>
      <w:proofErr w:type="spellEnd"/>
      <w:r w:rsidRPr="00C35EB8">
        <w:rPr>
          <w:sz w:val="24"/>
          <w:szCs w:val="24"/>
        </w:rPr>
        <w:t xml:space="preserve"> force participation rate follows a ‘‘U shape” i.e., for countries with a relatively low per capita income female LFPR is very high, for countries with relatively high per capita income it is also quite </w:t>
      </w:r>
      <w:r w:rsidRPr="00C35EB8">
        <w:rPr>
          <w:sz w:val="24"/>
          <w:szCs w:val="24"/>
        </w:rPr>
        <w:lastRenderedPageBreak/>
        <w:t>high, whereas</w:t>
      </w:r>
      <w:r w:rsidR="0031462F">
        <w:rPr>
          <w:sz w:val="24"/>
          <w:szCs w:val="24"/>
        </w:rPr>
        <w:t xml:space="preserve"> </w:t>
      </w:r>
      <w:r w:rsidRPr="00C35EB8">
        <w:rPr>
          <w:sz w:val="24"/>
          <w:szCs w:val="24"/>
        </w:rPr>
        <w:t>the countries that belong to the</w:t>
      </w:r>
      <w:r w:rsidR="00AC1766">
        <w:rPr>
          <w:sz w:val="24"/>
          <w:szCs w:val="24"/>
        </w:rPr>
        <w:t xml:space="preserve"> </w:t>
      </w:r>
      <w:r w:rsidRPr="00C35EB8">
        <w:rPr>
          <w:sz w:val="24"/>
          <w:szCs w:val="24"/>
        </w:rPr>
        <w:t>middle-income category (</w:t>
      </w:r>
      <w:r w:rsidR="0031462F">
        <w:rPr>
          <w:sz w:val="24"/>
          <w:szCs w:val="24"/>
        </w:rPr>
        <w:t>based on</w:t>
      </w:r>
      <w:r w:rsidRPr="00C35EB8">
        <w:rPr>
          <w:sz w:val="24"/>
          <w:szCs w:val="24"/>
        </w:rPr>
        <w:t xml:space="preserve"> per capita GDP on PPP) have a relatively low female LFPR(as noted by </w:t>
      </w:r>
      <w:proofErr w:type="spellStart"/>
      <w:r w:rsidRPr="00C35EB8">
        <w:rPr>
          <w:sz w:val="24"/>
          <w:szCs w:val="24"/>
        </w:rPr>
        <w:t>Mehrotra</w:t>
      </w:r>
      <w:proofErr w:type="spellEnd"/>
      <w:r w:rsidRPr="00C35EB8">
        <w:rPr>
          <w:sz w:val="24"/>
          <w:szCs w:val="24"/>
        </w:rPr>
        <w:t xml:space="preserve"> and </w:t>
      </w:r>
      <w:proofErr w:type="spellStart"/>
      <w:r w:rsidRPr="00C35EB8">
        <w:rPr>
          <w:sz w:val="24"/>
          <w:szCs w:val="24"/>
        </w:rPr>
        <w:t>Parida</w:t>
      </w:r>
      <w:proofErr w:type="spellEnd"/>
      <w:r w:rsidRPr="00C35EB8">
        <w:rPr>
          <w:sz w:val="24"/>
          <w:szCs w:val="24"/>
        </w:rPr>
        <w:t xml:space="preserve"> 2017). Micro-level factors including individual characteristics (age, level of education and experience), household income, and the expected market wage play an important role in determining female </w:t>
      </w:r>
      <w:proofErr w:type="spellStart"/>
      <w:r w:rsidR="0031462F">
        <w:rPr>
          <w:sz w:val="24"/>
          <w:szCs w:val="24"/>
        </w:rPr>
        <w:t>labour</w:t>
      </w:r>
      <w:proofErr w:type="spellEnd"/>
      <w:r w:rsidRPr="00C35EB8">
        <w:rPr>
          <w:sz w:val="24"/>
          <w:szCs w:val="24"/>
        </w:rPr>
        <w:t xml:space="preserve"> force participation. The improved standard of living particularly in rural areas (</w:t>
      </w:r>
      <w:proofErr w:type="spellStart"/>
      <w:r w:rsidRPr="00C35EB8">
        <w:rPr>
          <w:sz w:val="24"/>
          <w:szCs w:val="24"/>
        </w:rPr>
        <w:t>Mehrotra</w:t>
      </w:r>
      <w:proofErr w:type="spellEnd"/>
      <w:r w:rsidRPr="00C35EB8">
        <w:rPr>
          <w:sz w:val="24"/>
          <w:szCs w:val="24"/>
        </w:rPr>
        <w:t xml:space="preserve"> et al., 2014) due to rising real wages (or income) could have both a positive and a negative impact on female LFPR. First, those who have lost their job in agriculture due to mechanization are either likely to search (with their low level of skill endowments) for alternate occupations in non-agriculture or withdraw from the </w:t>
      </w:r>
      <w:proofErr w:type="spellStart"/>
      <w:r w:rsidRPr="00C35EB8">
        <w:rPr>
          <w:sz w:val="24"/>
          <w:szCs w:val="24"/>
        </w:rPr>
        <w:t>labour</w:t>
      </w:r>
      <w:proofErr w:type="spellEnd"/>
      <w:r w:rsidRPr="00C35EB8">
        <w:rPr>
          <w:sz w:val="24"/>
          <w:szCs w:val="24"/>
        </w:rPr>
        <w:t xml:space="preserve"> force due to the improved household living standard. Second, the improved living standards would enable households to spend more and a large share on higher education (since both primary and secondary education are almost free) including vocational and technical education, which would consequently increase the number of female skilled job seekers in the non-agricultural sectors. Abraham (2013) also states that upward social mobility in Indian patriarchal society in the wake of growing incomes is probably </w:t>
      </w:r>
      <w:proofErr w:type="spellStart"/>
      <w:r w:rsidRPr="00C35EB8">
        <w:rPr>
          <w:sz w:val="24"/>
          <w:szCs w:val="24"/>
        </w:rPr>
        <w:t>symbolised</w:t>
      </w:r>
      <w:proofErr w:type="spellEnd"/>
      <w:r w:rsidRPr="00C35EB8">
        <w:rPr>
          <w:sz w:val="24"/>
          <w:szCs w:val="24"/>
        </w:rPr>
        <w:t xml:space="preserve"> by women’s withdrawal from paid </w:t>
      </w:r>
      <w:proofErr w:type="spellStart"/>
      <w:r w:rsidRPr="00C35EB8">
        <w:rPr>
          <w:sz w:val="24"/>
          <w:szCs w:val="24"/>
        </w:rPr>
        <w:t>labour</w:t>
      </w:r>
      <w:proofErr w:type="spellEnd"/>
      <w:r w:rsidRPr="00C35EB8">
        <w:rPr>
          <w:sz w:val="24"/>
          <w:szCs w:val="24"/>
        </w:rPr>
        <w:t xml:space="preserve"> and their confinement to unpaid domestic activities.  </w:t>
      </w:r>
    </w:p>
    <w:p w14:paraId="1BB015F6" w14:textId="06A838BC" w:rsidR="00833257" w:rsidRPr="00C35EB8" w:rsidRDefault="00833257" w:rsidP="00C35EB8">
      <w:pPr>
        <w:spacing w:line="360" w:lineRule="auto"/>
        <w:jc w:val="both"/>
        <w:rPr>
          <w:sz w:val="24"/>
          <w:szCs w:val="24"/>
        </w:rPr>
      </w:pPr>
      <w:r w:rsidRPr="00C35EB8">
        <w:rPr>
          <w:sz w:val="24"/>
          <w:szCs w:val="24"/>
        </w:rPr>
        <w:t xml:space="preserve">Both demand and supply side factors affect </w:t>
      </w:r>
      <w:r w:rsidR="0031462F">
        <w:rPr>
          <w:sz w:val="24"/>
          <w:szCs w:val="24"/>
        </w:rPr>
        <w:t xml:space="preserve">the </w:t>
      </w:r>
      <w:r w:rsidRPr="00C35EB8">
        <w:rPr>
          <w:sz w:val="24"/>
          <w:szCs w:val="24"/>
        </w:rPr>
        <w:t xml:space="preserve">declining trend of LFPR. From the demand side there is shrinking </w:t>
      </w:r>
      <w:proofErr w:type="spellStart"/>
      <w:r w:rsidR="0031462F">
        <w:rPr>
          <w:sz w:val="24"/>
          <w:szCs w:val="24"/>
        </w:rPr>
        <w:t>labour</w:t>
      </w:r>
      <w:proofErr w:type="spellEnd"/>
      <w:r w:rsidRPr="00C35EB8">
        <w:rPr>
          <w:sz w:val="24"/>
          <w:szCs w:val="24"/>
        </w:rPr>
        <w:t xml:space="preserve"> demand in agriculture (which is where women have been historically employed) due to growing mechanization and rising incomes, and on the supply, side increasing enrolment among young girls in primary and secondary education, which together were responsible for the sharp decline of female LFPR in India (</w:t>
      </w:r>
      <w:proofErr w:type="spellStart"/>
      <w:r w:rsidRPr="00C35EB8">
        <w:rPr>
          <w:sz w:val="24"/>
          <w:szCs w:val="24"/>
        </w:rPr>
        <w:t>Mehrotra</w:t>
      </w:r>
      <w:proofErr w:type="spellEnd"/>
      <w:r w:rsidRPr="00C35EB8">
        <w:rPr>
          <w:sz w:val="24"/>
          <w:szCs w:val="24"/>
        </w:rPr>
        <w:t xml:space="preserve">, 2016; </w:t>
      </w:r>
      <w:proofErr w:type="spellStart"/>
      <w:r w:rsidRPr="00C35EB8">
        <w:rPr>
          <w:sz w:val="24"/>
          <w:szCs w:val="24"/>
        </w:rPr>
        <w:t>Mehrotra</w:t>
      </w:r>
      <w:proofErr w:type="spellEnd"/>
      <w:r w:rsidRPr="00C35EB8">
        <w:rPr>
          <w:sz w:val="24"/>
          <w:szCs w:val="24"/>
        </w:rPr>
        <w:t xml:space="preserve"> &amp; Sinha, 2017). </w:t>
      </w:r>
    </w:p>
    <w:p w14:paraId="4D474759" w14:textId="02A4A3F0" w:rsidR="00833257" w:rsidRDefault="00833257" w:rsidP="00C35EB8">
      <w:pPr>
        <w:spacing w:line="360" w:lineRule="auto"/>
        <w:jc w:val="both"/>
        <w:rPr>
          <w:sz w:val="24"/>
          <w:szCs w:val="24"/>
        </w:rPr>
      </w:pPr>
      <w:r w:rsidRPr="00C35EB8">
        <w:rPr>
          <w:sz w:val="24"/>
          <w:szCs w:val="24"/>
        </w:rPr>
        <w:t xml:space="preserve">Considering the social groups, from 2004-05 to 2011-12 the highest decline in </w:t>
      </w:r>
      <w:r w:rsidR="00451E33">
        <w:rPr>
          <w:sz w:val="24"/>
          <w:szCs w:val="24"/>
        </w:rPr>
        <w:t>FLFPR</w:t>
      </w:r>
      <w:r w:rsidRPr="00C35EB8">
        <w:rPr>
          <w:sz w:val="24"/>
          <w:szCs w:val="24"/>
        </w:rPr>
        <w:t xml:space="preserve"> is accounted for Scheduled Tribes women, followed by Scheduled Caste and Other Backward Classes. </w:t>
      </w:r>
      <w:r w:rsidR="0031462F">
        <w:rPr>
          <w:sz w:val="24"/>
          <w:szCs w:val="24"/>
        </w:rPr>
        <w:t>Gender</w:t>
      </w:r>
      <w:r w:rsidRPr="00C35EB8">
        <w:rPr>
          <w:sz w:val="24"/>
          <w:szCs w:val="24"/>
        </w:rPr>
        <w:t xml:space="preserve"> differences in workforce participation </w:t>
      </w:r>
      <w:r w:rsidR="0031462F">
        <w:rPr>
          <w:sz w:val="24"/>
          <w:szCs w:val="24"/>
        </w:rPr>
        <w:t>are</w:t>
      </w:r>
      <w:r w:rsidRPr="00C35EB8">
        <w:rPr>
          <w:sz w:val="24"/>
          <w:szCs w:val="24"/>
        </w:rPr>
        <w:t xml:space="preserve"> lowest for STs, followed by SCs and highest for Muslims and upper caste categories. OBCs </w:t>
      </w:r>
      <w:r w:rsidR="0031462F">
        <w:rPr>
          <w:sz w:val="24"/>
          <w:szCs w:val="24"/>
        </w:rPr>
        <w:t>show</w:t>
      </w:r>
      <w:r w:rsidRPr="00C35EB8">
        <w:rPr>
          <w:sz w:val="24"/>
          <w:szCs w:val="24"/>
        </w:rPr>
        <w:t xml:space="preserve"> more similarity with SC women than with upper caste or Muslims.  This decline cannot be fully explained by an improvement in their economic profiles, it is largely on account of a steep drop in rural areas, which suggests declining opportunities in agriculture (</w:t>
      </w:r>
      <w:proofErr w:type="spellStart"/>
      <w:r w:rsidRPr="00C35EB8">
        <w:rPr>
          <w:sz w:val="24"/>
          <w:szCs w:val="24"/>
        </w:rPr>
        <w:t>Neetha</w:t>
      </w:r>
      <w:proofErr w:type="spellEnd"/>
      <w:r w:rsidRPr="00C35EB8">
        <w:rPr>
          <w:sz w:val="24"/>
          <w:szCs w:val="24"/>
        </w:rPr>
        <w:t xml:space="preserve">, 2013). </w:t>
      </w:r>
    </w:p>
    <w:p w14:paraId="0131EDBB" w14:textId="77777777" w:rsidR="00F12192" w:rsidRDefault="00F12192" w:rsidP="00C35EB8">
      <w:pPr>
        <w:spacing w:line="360" w:lineRule="auto"/>
        <w:jc w:val="both"/>
        <w:rPr>
          <w:sz w:val="24"/>
          <w:szCs w:val="24"/>
        </w:rPr>
      </w:pPr>
    </w:p>
    <w:p w14:paraId="6CA68919" w14:textId="0717C788" w:rsidR="00E2607B" w:rsidRDefault="00E2607B" w:rsidP="00E2607B">
      <w:pPr>
        <w:spacing w:line="360" w:lineRule="auto"/>
        <w:jc w:val="both"/>
        <w:rPr>
          <w:b/>
          <w:bCs/>
          <w:sz w:val="24"/>
          <w:szCs w:val="24"/>
        </w:rPr>
      </w:pPr>
      <w:r w:rsidRPr="00C35EB8">
        <w:t>Th</w:t>
      </w:r>
      <w:r>
        <w:t>is</w:t>
      </w:r>
      <w:r w:rsidRPr="00C35EB8">
        <w:t xml:space="preserve"> paper explores the gender dimensions of the changing nature of </w:t>
      </w:r>
      <w:r>
        <w:t>female</w:t>
      </w:r>
      <w:r w:rsidRPr="00C35EB8">
        <w:t xml:space="preserve"> households in </w:t>
      </w:r>
      <w:r>
        <w:t xml:space="preserve">Kerala and all </w:t>
      </w:r>
      <w:r w:rsidRPr="00C35EB8">
        <w:t>India</w:t>
      </w:r>
      <w:r>
        <w:t xml:space="preserve"> </w:t>
      </w:r>
      <w:r w:rsidRPr="00733626">
        <w:t xml:space="preserve">using </w:t>
      </w:r>
      <w:r w:rsidR="0031462F">
        <w:t xml:space="preserve">the </w:t>
      </w:r>
      <w:r w:rsidRPr="00733626">
        <w:t xml:space="preserve">Periodic </w:t>
      </w:r>
      <w:proofErr w:type="spellStart"/>
      <w:r w:rsidRPr="00733626">
        <w:t>Labour</w:t>
      </w:r>
      <w:proofErr w:type="spellEnd"/>
      <w:r w:rsidRPr="00733626">
        <w:t xml:space="preserve"> Force Survey </w:t>
      </w:r>
      <w:r>
        <w:t xml:space="preserve">from 2015-2016 to </w:t>
      </w:r>
      <w:r w:rsidRPr="00733626">
        <w:t>2022-23</w:t>
      </w:r>
      <w:r>
        <w:t xml:space="preserve">. </w:t>
      </w:r>
      <w:commentRangeEnd w:id="4"/>
      <w:r w:rsidR="00884D88">
        <w:rPr>
          <w:rStyle w:val="CommentReference"/>
        </w:rPr>
        <w:commentReference w:id="4"/>
      </w:r>
    </w:p>
    <w:p w14:paraId="15F78D32" w14:textId="58579A48" w:rsidR="00833257" w:rsidRPr="001A221F" w:rsidRDefault="00180314" w:rsidP="00451E33">
      <w:pPr>
        <w:pStyle w:val="Heading1"/>
        <w:spacing w:line="360" w:lineRule="auto"/>
        <w:ind w:left="0"/>
        <w:jc w:val="both"/>
        <w:rPr>
          <w:bCs w:val="0"/>
        </w:rPr>
      </w:pPr>
      <w:r w:rsidRPr="001A221F">
        <w:rPr>
          <w:bCs w:val="0"/>
        </w:rPr>
        <w:t>D</w:t>
      </w:r>
      <w:r w:rsidR="00451E33" w:rsidRPr="001A221F">
        <w:rPr>
          <w:bCs w:val="0"/>
        </w:rPr>
        <w:t>ata &amp; methodology</w:t>
      </w:r>
    </w:p>
    <w:p w14:paraId="4BEFF475" w14:textId="65C34AAA" w:rsidR="008E6309" w:rsidRPr="00C35EB8" w:rsidRDefault="0031462F" w:rsidP="00C35EB8">
      <w:pPr>
        <w:spacing w:line="360" w:lineRule="auto"/>
        <w:jc w:val="both"/>
        <w:rPr>
          <w:sz w:val="24"/>
          <w:szCs w:val="24"/>
        </w:rPr>
      </w:pPr>
      <w:commentRangeStart w:id="5"/>
      <w:r>
        <w:rPr>
          <w:sz w:val="24"/>
          <w:szCs w:val="24"/>
        </w:rPr>
        <w:t>The analysis</w:t>
      </w:r>
      <w:r w:rsidR="00833257" w:rsidRPr="00C35EB8">
        <w:rPr>
          <w:sz w:val="24"/>
          <w:szCs w:val="24"/>
        </w:rPr>
        <w:t xml:space="preserve"> and results in this paper are based on unit level data available from National Sample</w:t>
      </w:r>
      <w:r w:rsidR="00833257" w:rsidRPr="00C35EB8">
        <w:rPr>
          <w:spacing w:val="-57"/>
          <w:sz w:val="24"/>
          <w:szCs w:val="24"/>
        </w:rPr>
        <w:t xml:space="preserve"> </w:t>
      </w:r>
      <w:r w:rsidR="00833257" w:rsidRPr="00C35EB8">
        <w:rPr>
          <w:sz w:val="24"/>
          <w:szCs w:val="24"/>
        </w:rPr>
        <w:t xml:space="preserve">Surveys on Periodic </w:t>
      </w:r>
      <w:proofErr w:type="spellStart"/>
      <w:r w:rsidR="00833257" w:rsidRPr="00C35EB8">
        <w:rPr>
          <w:sz w:val="24"/>
          <w:szCs w:val="24"/>
        </w:rPr>
        <w:t>Labour</w:t>
      </w:r>
      <w:proofErr w:type="spellEnd"/>
      <w:r w:rsidR="00833257" w:rsidRPr="00C35EB8">
        <w:rPr>
          <w:sz w:val="24"/>
          <w:szCs w:val="24"/>
        </w:rPr>
        <w:t xml:space="preserve"> Force Survey 2022-23. The analysis is taken </w:t>
      </w:r>
      <w:r>
        <w:rPr>
          <w:sz w:val="24"/>
          <w:szCs w:val="24"/>
        </w:rPr>
        <w:t xml:space="preserve">from </w:t>
      </w:r>
      <w:r w:rsidR="00451E33">
        <w:rPr>
          <w:sz w:val="24"/>
          <w:szCs w:val="24"/>
        </w:rPr>
        <w:t>both</w:t>
      </w:r>
      <w:r w:rsidR="00833257" w:rsidRPr="00C35EB8">
        <w:rPr>
          <w:sz w:val="24"/>
          <w:szCs w:val="24"/>
        </w:rPr>
        <w:t xml:space="preserve"> rural and urban</w:t>
      </w:r>
      <w:r w:rsidR="00833257" w:rsidRPr="00C35EB8">
        <w:rPr>
          <w:spacing w:val="1"/>
          <w:sz w:val="24"/>
          <w:szCs w:val="24"/>
        </w:rPr>
        <w:t xml:space="preserve"> </w:t>
      </w:r>
      <w:r w:rsidR="00833257" w:rsidRPr="00C35EB8">
        <w:rPr>
          <w:sz w:val="24"/>
          <w:szCs w:val="24"/>
        </w:rPr>
        <w:t>workers</w:t>
      </w:r>
      <w:r w:rsidR="00833257" w:rsidRPr="00C35EB8">
        <w:rPr>
          <w:spacing w:val="1"/>
          <w:sz w:val="24"/>
          <w:szCs w:val="24"/>
        </w:rPr>
        <w:t xml:space="preserve"> </w:t>
      </w:r>
      <w:r w:rsidR="00833257" w:rsidRPr="00C35EB8">
        <w:rPr>
          <w:sz w:val="24"/>
          <w:szCs w:val="24"/>
        </w:rPr>
        <w:t>usually</w:t>
      </w:r>
      <w:r w:rsidR="00833257" w:rsidRPr="00C35EB8">
        <w:rPr>
          <w:spacing w:val="1"/>
          <w:sz w:val="24"/>
          <w:szCs w:val="24"/>
        </w:rPr>
        <w:t xml:space="preserve"> </w:t>
      </w:r>
      <w:r w:rsidR="00833257" w:rsidRPr="00C35EB8">
        <w:rPr>
          <w:sz w:val="24"/>
          <w:szCs w:val="24"/>
        </w:rPr>
        <w:t>employed,</w:t>
      </w:r>
      <w:r w:rsidR="00833257" w:rsidRPr="00C35EB8">
        <w:rPr>
          <w:spacing w:val="1"/>
          <w:sz w:val="24"/>
          <w:szCs w:val="24"/>
        </w:rPr>
        <w:t xml:space="preserve"> </w:t>
      </w:r>
      <w:r w:rsidR="00833257" w:rsidRPr="00C35EB8">
        <w:rPr>
          <w:sz w:val="24"/>
          <w:szCs w:val="24"/>
        </w:rPr>
        <w:t>taking</w:t>
      </w:r>
      <w:r w:rsidR="00833257" w:rsidRPr="00C35EB8">
        <w:rPr>
          <w:spacing w:val="1"/>
          <w:sz w:val="24"/>
          <w:szCs w:val="24"/>
        </w:rPr>
        <w:t xml:space="preserve"> </w:t>
      </w:r>
      <w:r w:rsidR="00833257" w:rsidRPr="00C35EB8">
        <w:rPr>
          <w:sz w:val="24"/>
          <w:szCs w:val="24"/>
        </w:rPr>
        <w:t>into</w:t>
      </w:r>
      <w:r w:rsidR="00833257" w:rsidRPr="00C35EB8">
        <w:rPr>
          <w:spacing w:val="1"/>
          <w:sz w:val="24"/>
          <w:szCs w:val="24"/>
        </w:rPr>
        <w:t xml:space="preserve"> </w:t>
      </w:r>
      <w:r w:rsidR="00833257" w:rsidRPr="00C35EB8">
        <w:rPr>
          <w:sz w:val="24"/>
          <w:szCs w:val="24"/>
        </w:rPr>
        <w:t>account</w:t>
      </w:r>
      <w:r w:rsidR="00833257" w:rsidRPr="00C35EB8">
        <w:rPr>
          <w:spacing w:val="1"/>
          <w:sz w:val="24"/>
          <w:szCs w:val="24"/>
        </w:rPr>
        <w:t xml:space="preserve"> </w:t>
      </w:r>
      <w:r w:rsidR="00833257" w:rsidRPr="00C35EB8">
        <w:rPr>
          <w:sz w:val="24"/>
          <w:szCs w:val="24"/>
        </w:rPr>
        <w:t>both</w:t>
      </w:r>
      <w:r w:rsidR="00833257" w:rsidRPr="00C35EB8">
        <w:rPr>
          <w:spacing w:val="1"/>
          <w:sz w:val="24"/>
          <w:szCs w:val="24"/>
        </w:rPr>
        <w:t xml:space="preserve"> </w:t>
      </w:r>
      <w:r>
        <w:rPr>
          <w:sz w:val="24"/>
          <w:szCs w:val="24"/>
        </w:rPr>
        <w:t>principal</w:t>
      </w:r>
      <w:r w:rsidR="00833257" w:rsidRPr="00C35EB8">
        <w:rPr>
          <w:spacing w:val="1"/>
          <w:sz w:val="24"/>
          <w:szCs w:val="24"/>
        </w:rPr>
        <w:t xml:space="preserve"> </w:t>
      </w:r>
      <w:r w:rsidR="00833257" w:rsidRPr="00C35EB8">
        <w:rPr>
          <w:sz w:val="24"/>
          <w:szCs w:val="24"/>
        </w:rPr>
        <w:t>and</w:t>
      </w:r>
      <w:r w:rsidR="00833257" w:rsidRPr="00C35EB8">
        <w:rPr>
          <w:spacing w:val="1"/>
          <w:sz w:val="24"/>
          <w:szCs w:val="24"/>
        </w:rPr>
        <w:t xml:space="preserve"> </w:t>
      </w:r>
      <w:r w:rsidR="00833257" w:rsidRPr="00C35EB8">
        <w:rPr>
          <w:sz w:val="24"/>
          <w:szCs w:val="24"/>
        </w:rPr>
        <w:t>subsidiary</w:t>
      </w:r>
      <w:r w:rsidR="00833257" w:rsidRPr="00C35EB8">
        <w:rPr>
          <w:spacing w:val="1"/>
          <w:sz w:val="24"/>
          <w:szCs w:val="24"/>
        </w:rPr>
        <w:t xml:space="preserve"> </w:t>
      </w:r>
      <w:r w:rsidR="00833257" w:rsidRPr="00C35EB8">
        <w:rPr>
          <w:sz w:val="24"/>
          <w:szCs w:val="24"/>
        </w:rPr>
        <w:t>statuses.</w:t>
      </w:r>
      <w:r w:rsidR="00833257" w:rsidRPr="00C35EB8">
        <w:rPr>
          <w:spacing w:val="1"/>
          <w:sz w:val="24"/>
          <w:szCs w:val="24"/>
        </w:rPr>
        <w:t xml:space="preserve"> </w:t>
      </w:r>
      <w:r w:rsidR="00451E33" w:rsidRPr="00C35EB8">
        <w:rPr>
          <w:sz w:val="24"/>
          <w:szCs w:val="24"/>
        </w:rPr>
        <w:lastRenderedPageBreak/>
        <w:t>Employment is</w:t>
      </w:r>
      <w:r w:rsidR="00451E33" w:rsidRPr="00C35EB8">
        <w:rPr>
          <w:spacing w:val="1"/>
          <w:sz w:val="24"/>
          <w:szCs w:val="24"/>
        </w:rPr>
        <w:t xml:space="preserve"> </w:t>
      </w:r>
      <w:r w:rsidR="00451E33" w:rsidRPr="00C35EB8">
        <w:rPr>
          <w:sz w:val="24"/>
          <w:szCs w:val="24"/>
        </w:rPr>
        <w:t>defined</w:t>
      </w:r>
      <w:r w:rsidR="00451E33" w:rsidRPr="00C35EB8">
        <w:rPr>
          <w:spacing w:val="-1"/>
          <w:sz w:val="24"/>
          <w:szCs w:val="24"/>
        </w:rPr>
        <w:t xml:space="preserve"> </w:t>
      </w:r>
      <w:r w:rsidR="00451E33" w:rsidRPr="00C35EB8">
        <w:rPr>
          <w:sz w:val="24"/>
          <w:szCs w:val="24"/>
        </w:rPr>
        <w:t xml:space="preserve">on the basis of principal-cum-subsidiary (usual") status. </w:t>
      </w:r>
      <w:r w:rsidR="00833257" w:rsidRPr="00C35EB8">
        <w:rPr>
          <w:sz w:val="24"/>
          <w:szCs w:val="24"/>
        </w:rPr>
        <w:t xml:space="preserve">However, the current status and industry of the workers </w:t>
      </w:r>
      <w:r>
        <w:rPr>
          <w:sz w:val="24"/>
          <w:szCs w:val="24"/>
        </w:rPr>
        <w:t>have</w:t>
      </w:r>
      <w:r w:rsidR="00833257" w:rsidRPr="00C35EB8">
        <w:rPr>
          <w:sz w:val="24"/>
          <w:szCs w:val="24"/>
        </w:rPr>
        <w:t xml:space="preserve"> been taken into consideration.</w:t>
      </w:r>
      <w:r w:rsidR="00833257" w:rsidRPr="00C35EB8">
        <w:rPr>
          <w:spacing w:val="1"/>
          <w:sz w:val="24"/>
          <w:szCs w:val="24"/>
        </w:rPr>
        <w:t xml:space="preserve"> </w:t>
      </w:r>
      <w:r w:rsidR="00833257" w:rsidRPr="00C35EB8">
        <w:rPr>
          <w:sz w:val="24"/>
          <w:szCs w:val="24"/>
        </w:rPr>
        <w:t>Based on the Usual status (PS+SS) households are grouped broadly into "farm households"</w:t>
      </w:r>
      <w:r w:rsidR="00833257" w:rsidRPr="00C35EB8">
        <w:rPr>
          <w:spacing w:val="1"/>
          <w:sz w:val="24"/>
          <w:szCs w:val="24"/>
        </w:rPr>
        <w:t xml:space="preserve"> </w:t>
      </w:r>
      <w:r w:rsidR="00833257" w:rsidRPr="00C35EB8">
        <w:rPr>
          <w:sz w:val="24"/>
          <w:szCs w:val="24"/>
        </w:rPr>
        <w:t>and</w:t>
      </w:r>
      <w:r w:rsidR="00833257" w:rsidRPr="00C35EB8">
        <w:rPr>
          <w:spacing w:val="25"/>
          <w:sz w:val="24"/>
          <w:szCs w:val="24"/>
        </w:rPr>
        <w:t xml:space="preserve"> </w:t>
      </w:r>
      <w:r w:rsidR="00833257" w:rsidRPr="00C35EB8">
        <w:rPr>
          <w:sz w:val="24"/>
          <w:szCs w:val="24"/>
        </w:rPr>
        <w:t>"non-farm</w:t>
      </w:r>
      <w:r w:rsidR="00833257" w:rsidRPr="00C35EB8">
        <w:rPr>
          <w:spacing w:val="24"/>
          <w:sz w:val="24"/>
          <w:szCs w:val="24"/>
        </w:rPr>
        <w:t xml:space="preserve"> </w:t>
      </w:r>
      <w:r w:rsidR="00833257" w:rsidRPr="00C35EB8">
        <w:rPr>
          <w:sz w:val="24"/>
          <w:szCs w:val="24"/>
        </w:rPr>
        <w:t>households".</w:t>
      </w:r>
      <w:r w:rsidR="00833257" w:rsidRPr="00C35EB8">
        <w:rPr>
          <w:spacing w:val="25"/>
          <w:sz w:val="24"/>
          <w:szCs w:val="24"/>
        </w:rPr>
        <w:t xml:space="preserve"> </w:t>
      </w:r>
      <w:r w:rsidR="00833257" w:rsidRPr="00C35EB8">
        <w:rPr>
          <w:sz w:val="24"/>
          <w:szCs w:val="24"/>
        </w:rPr>
        <w:t xml:space="preserve">For </w:t>
      </w:r>
      <w:r>
        <w:rPr>
          <w:sz w:val="24"/>
          <w:szCs w:val="24"/>
        </w:rPr>
        <w:t xml:space="preserve">the </w:t>
      </w:r>
      <w:r w:rsidR="00833257" w:rsidRPr="00C35EB8">
        <w:rPr>
          <w:sz w:val="24"/>
          <w:szCs w:val="24"/>
        </w:rPr>
        <w:t>non-farm</w:t>
      </w:r>
      <w:r w:rsidR="00833257" w:rsidRPr="00C35EB8">
        <w:rPr>
          <w:spacing w:val="25"/>
          <w:sz w:val="24"/>
          <w:szCs w:val="24"/>
        </w:rPr>
        <w:t xml:space="preserve"> </w:t>
      </w:r>
      <w:r w:rsidR="00833257" w:rsidRPr="00C35EB8">
        <w:rPr>
          <w:sz w:val="24"/>
          <w:szCs w:val="24"/>
        </w:rPr>
        <w:t>sector,</w:t>
      </w:r>
      <w:r w:rsidR="00833257" w:rsidRPr="00C35EB8">
        <w:rPr>
          <w:spacing w:val="24"/>
          <w:sz w:val="24"/>
          <w:szCs w:val="24"/>
        </w:rPr>
        <w:t xml:space="preserve"> </w:t>
      </w:r>
      <w:r w:rsidR="00833257" w:rsidRPr="00C35EB8">
        <w:rPr>
          <w:sz w:val="24"/>
          <w:szCs w:val="24"/>
        </w:rPr>
        <w:t>it</w:t>
      </w:r>
      <w:r w:rsidR="00833257" w:rsidRPr="00C35EB8">
        <w:rPr>
          <w:spacing w:val="25"/>
          <w:sz w:val="24"/>
          <w:szCs w:val="24"/>
        </w:rPr>
        <w:t xml:space="preserve"> </w:t>
      </w:r>
      <w:r w:rsidR="00833257" w:rsidRPr="00C35EB8">
        <w:rPr>
          <w:sz w:val="24"/>
          <w:szCs w:val="24"/>
        </w:rPr>
        <w:t>groups</w:t>
      </w:r>
      <w:r w:rsidR="00833257" w:rsidRPr="00C35EB8">
        <w:rPr>
          <w:spacing w:val="25"/>
          <w:sz w:val="24"/>
          <w:szCs w:val="24"/>
        </w:rPr>
        <w:t xml:space="preserve"> </w:t>
      </w:r>
      <w:r w:rsidR="00833257" w:rsidRPr="00C35EB8">
        <w:rPr>
          <w:sz w:val="24"/>
          <w:szCs w:val="24"/>
        </w:rPr>
        <w:t>the sector</w:t>
      </w:r>
      <w:r w:rsidR="00297567">
        <w:rPr>
          <w:sz w:val="24"/>
          <w:szCs w:val="24"/>
        </w:rPr>
        <w:t>s</w:t>
      </w:r>
      <w:r w:rsidR="00833257" w:rsidRPr="00C35EB8">
        <w:rPr>
          <w:sz w:val="24"/>
          <w:szCs w:val="24"/>
        </w:rPr>
        <w:t xml:space="preserve"> mining and quarrying; manufacturing; electricity, water, etc.; construction; trade,</w:t>
      </w:r>
      <w:r w:rsidR="00833257" w:rsidRPr="00C35EB8">
        <w:rPr>
          <w:spacing w:val="1"/>
          <w:sz w:val="24"/>
          <w:szCs w:val="24"/>
        </w:rPr>
        <w:t xml:space="preserve"> </w:t>
      </w:r>
      <w:r w:rsidR="00833257" w:rsidRPr="00C35EB8">
        <w:rPr>
          <w:sz w:val="24"/>
          <w:szCs w:val="24"/>
        </w:rPr>
        <w:t xml:space="preserve">hotels, and restaurants; transport, communication, etc.; and other services. </w:t>
      </w:r>
      <w:r w:rsidR="00000B3F" w:rsidRPr="00C35EB8">
        <w:rPr>
          <w:sz w:val="24"/>
          <w:szCs w:val="24"/>
        </w:rPr>
        <w:t>For the analyses</w:t>
      </w:r>
      <w:r w:rsidR="008E6309" w:rsidRPr="00C35EB8">
        <w:rPr>
          <w:sz w:val="24"/>
          <w:szCs w:val="24"/>
        </w:rPr>
        <w:t xml:space="preserve"> study examines female </w:t>
      </w:r>
      <w:proofErr w:type="spellStart"/>
      <w:r w:rsidR="008E6309" w:rsidRPr="00C35EB8">
        <w:rPr>
          <w:sz w:val="24"/>
          <w:szCs w:val="24"/>
        </w:rPr>
        <w:t>labour</w:t>
      </w:r>
      <w:proofErr w:type="spellEnd"/>
      <w:r w:rsidR="008E6309" w:rsidRPr="00C35EB8">
        <w:rPr>
          <w:sz w:val="24"/>
          <w:szCs w:val="24"/>
        </w:rPr>
        <w:t xml:space="preserve"> force participation during 2015-16 to 2022-23. </w:t>
      </w:r>
      <w:commentRangeEnd w:id="5"/>
      <w:r w:rsidR="00312C81">
        <w:rPr>
          <w:rStyle w:val="CommentReference"/>
        </w:rPr>
        <w:commentReference w:id="5"/>
      </w:r>
    </w:p>
    <w:p w14:paraId="31F874C0" w14:textId="77777777" w:rsidR="00180314" w:rsidRDefault="00180314" w:rsidP="00C35EB8">
      <w:pPr>
        <w:spacing w:line="360" w:lineRule="auto"/>
        <w:jc w:val="both"/>
        <w:rPr>
          <w:sz w:val="24"/>
          <w:szCs w:val="24"/>
        </w:rPr>
      </w:pPr>
    </w:p>
    <w:p w14:paraId="059D4E79" w14:textId="77777777" w:rsidR="00EE0FB8" w:rsidRPr="001A221F" w:rsidRDefault="00EE0FB8" w:rsidP="00C35EB8">
      <w:pPr>
        <w:spacing w:line="360" w:lineRule="auto"/>
        <w:jc w:val="both"/>
        <w:rPr>
          <w:b/>
          <w:sz w:val="24"/>
          <w:szCs w:val="24"/>
        </w:rPr>
      </w:pPr>
      <w:r w:rsidRPr="001A221F">
        <w:rPr>
          <w:b/>
          <w:sz w:val="24"/>
          <w:szCs w:val="24"/>
        </w:rPr>
        <w:t>Result and Discussion</w:t>
      </w:r>
    </w:p>
    <w:p w14:paraId="78571580" w14:textId="5470C75E" w:rsidR="008E6309" w:rsidRPr="00C35EB8" w:rsidRDefault="00451E33" w:rsidP="00C35EB8">
      <w:pPr>
        <w:spacing w:line="360" w:lineRule="auto"/>
        <w:jc w:val="both"/>
        <w:rPr>
          <w:sz w:val="24"/>
          <w:szCs w:val="24"/>
        </w:rPr>
      </w:pPr>
      <w:proofErr w:type="spellStart"/>
      <w:proofErr w:type="gramStart"/>
      <w:r w:rsidRPr="00451E33">
        <w:rPr>
          <w:sz w:val="24"/>
          <w:szCs w:val="24"/>
        </w:rPr>
        <w:t>labour</w:t>
      </w:r>
      <w:proofErr w:type="spellEnd"/>
      <w:proofErr w:type="gramEnd"/>
      <w:r w:rsidRPr="00451E33">
        <w:rPr>
          <w:sz w:val="24"/>
          <w:szCs w:val="24"/>
        </w:rPr>
        <w:t xml:space="preserve"> market dynamics: </w:t>
      </w:r>
      <w:r>
        <w:rPr>
          <w:sz w:val="24"/>
          <w:szCs w:val="24"/>
        </w:rPr>
        <w:t>K</w:t>
      </w:r>
      <w:r w:rsidRPr="00451E33">
        <w:rPr>
          <w:sz w:val="24"/>
          <w:szCs w:val="24"/>
        </w:rPr>
        <w:t xml:space="preserve">erala and all </w:t>
      </w:r>
      <w:r>
        <w:rPr>
          <w:sz w:val="24"/>
          <w:szCs w:val="24"/>
        </w:rPr>
        <w:t>I</w:t>
      </w:r>
      <w:r w:rsidRPr="00451E33">
        <w:rPr>
          <w:sz w:val="24"/>
          <w:szCs w:val="24"/>
        </w:rPr>
        <w:t>ndia level 2015-16 to 2022-23</w:t>
      </w:r>
    </w:p>
    <w:p w14:paraId="64C787E3" w14:textId="4300292C" w:rsidR="008E6309" w:rsidRPr="00C35EB8" w:rsidRDefault="008E6309" w:rsidP="00B129BF">
      <w:pPr>
        <w:spacing w:line="360" w:lineRule="auto"/>
        <w:jc w:val="both"/>
        <w:rPr>
          <w:sz w:val="24"/>
          <w:szCs w:val="24"/>
        </w:rPr>
      </w:pPr>
      <w:r w:rsidRPr="00C35EB8">
        <w:rPr>
          <w:sz w:val="24"/>
          <w:szCs w:val="24"/>
        </w:rPr>
        <w:t xml:space="preserve">The following table analyses the </w:t>
      </w:r>
      <w:proofErr w:type="spellStart"/>
      <w:r w:rsidRPr="00C35EB8">
        <w:rPr>
          <w:sz w:val="24"/>
          <w:szCs w:val="24"/>
        </w:rPr>
        <w:t>labour</w:t>
      </w:r>
      <w:proofErr w:type="spellEnd"/>
      <w:r w:rsidRPr="00C35EB8">
        <w:rPr>
          <w:sz w:val="24"/>
          <w:szCs w:val="24"/>
        </w:rPr>
        <w:t xml:space="preserve"> market dynamics of Kerala and India during 2015-16 to 2022-23. The table is based on National Sample Survey </w:t>
      </w:r>
      <w:proofErr w:type="spellStart"/>
      <w:r w:rsidRPr="00C35EB8">
        <w:rPr>
          <w:sz w:val="24"/>
          <w:szCs w:val="24"/>
        </w:rPr>
        <w:t>Organisation</w:t>
      </w:r>
      <w:proofErr w:type="spellEnd"/>
      <w:r w:rsidRPr="00C35EB8">
        <w:rPr>
          <w:sz w:val="24"/>
          <w:szCs w:val="24"/>
        </w:rPr>
        <w:t xml:space="preserve"> (NSSO) data. For 2015-16, Economic Review, Kerala is used. In agriculture and allied sectors, male as well as female worker participation, has declined both at all India and the State level </w:t>
      </w:r>
      <w:proofErr w:type="gramStart"/>
      <w:r w:rsidRPr="00C35EB8">
        <w:rPr>
          <w:sz w:val="24"/>
          <w:szCs w:val="24"/>
        </w:rPr>
        <w:t>between 2015-16 to 2022-23</w:t>
      </w:r>
      <w:proofErr w:type="gramEnd"/>
      <w:r w:rsidRPr="00C35EB8">
        <w:rPr>
          <w:sz w:val="24"/>
          <w:szCs w:val="24"/>
        </w:rPr>
        <w:t xml:space="preserve">. The proportion of the working population in agriculture is </w:t>
      </w:r>
      <w:r w:rsidR="0031462F">
        <w:rPr>
          <w:sz w:val="24"/>
          <w:szCs w:val="24"/>
        </w:rPr>
        <w:t>lower</w:t>
      </w:r>
      <w:r w:rsidRPr="00C35EB8">
        <w:rPr>
          <w:sz w:val="24"/>
          <w:szCs w:val="24"/>
        </w:rPr>
        <w:t xml:space="preserve"> in Kerala than at the all India level, whereas the same is higher in </w:t>
      </w:r>
      <w:r w:rsidR="0031462F">
        <w:rPr>
          <w:sz w:val="24"/>
          <w:szCs w:val="24"/>
        </w:rPr>
        <w:t xml:space="preserve">the </w:t>
      </w:r>
      <w:r w:rsidRPr="00C35EB8">
        <w:rPr>
          <w:sz w:val="24"/>
          <w:szCs w:val="24"/>
        </w:rPr>
        <w:t xml:space="preserve">service sector. The decline in female worker participation in agriculture and allied sector was more marked in Kerala during 2004-05 to 2015-16 at 24.9 per cent as against 13.8 per cent at all India level (Economic </w:t>
      </w:r>
      <w:r w:rsidR="0031462F">
        <w:rPr>
          <w:sz w:val="24"/>
          <w:szCs w:val="24"/>
        </w:rPr>
        <w:t>Review</w:t>
      </w:r>
      <w:r w:rsidRPr="00C35EB8">
        <w:rPr>
          <w:sz w:val="24"/>
          <w:szCs w:val="24"/>
        </w:rPr>
        <w:t xml:space="preserve"> 2018). But we can see a sharp increase in female worker participation in agriculture and allied sector </w:t>
      </w:r>
      <w:r w:rsidR="001B24CD">
        <w:rPr>
          <w:sz w:val="24"/>
          <w:szCs w:val="24"/>
        </w:rPr>
        <w:t xml:space="preserve">for a </w:t>
      </w:r>
      <w:proofErr w:type="spellStart"/>
      <w:r w:rsidR="001B24CD">
        <w:rPr>
          <w:sz w:val="24"/>
          <w:szCs w:val="24"/>
        </w:rPr>
        <w:t>quinquennial</w:t>
      </w:r>
      <w:proofErr w:type="spellEnd"/>
      <w:r w:rsidR="001B24CD">
        <w:rPr>
          <w:sz w:val="24"/>
          <w:szCs w:val="24"/>
        </w:rPr>
        <w:t xml:space="preserve"> period </w:t>
      </w:r>
      <w:r w:rsidRPr="00C35EB8">
        <w:rPr>
          <w:sz w:val="24"/>
          <w:szCs w:val="24"/>
        </w:rPr>
        <w:t>during 2015-16 to 202</w:t>
      </w:r>
      <w:r w:rsidR="00B129BF">
        <w:rPr>
          <w:sz w:val="24"/>
          <w:szCs w:val="24"/>
        </w:rPr>
        <w:t>1</w:t>
      </w:r>
      <w:r w:rsidRPr="00C35EB8">
        <w:rPr>
          <w:sz w:val="24"/>
          <w:szCs w:val="24"/>
        </w:rPr>
        <w:t>-2</w:t>
      </w:r>
      <w:r w:rsidR="00B129BF">
        <w:rPr>
          <w:sz w:val="24"/>
          <w:szCs w:val="24"/>
        </w:rPr>
        <w:t>2</w:t>
      </w:r>
      <w:r w:rsidRPr="00C35EB8">
        <w:rPr>
          <w:sz w:val="24"/>
          <w:szCs w:val="24"/>
        </w:rPr>
        <w:t xml:space="preserve"> in Kerala </w:t>
      </w:r>
      <w:r w:rsidR="00B129BF">
        <w:rPr>
          <w:sz w:val="24"/>
          <w:szCs w:val="24"/>
        </w:rPr>
        <w:t xml:space="preserve">by 8.6 </w:t>
      </w:r>
      <w:r w:rsidRPr="00C35EB8">
        <w:rPr>
          <w:sz w:val="24"/>
          <w:szCs w:val="24"/>
        </w:rPr>
        <w:t>per cent</w:t>
      </w:r>
      <w:r w:rsidR="00B129BF">
        <w:rPr>
          <w:sz w:val="24"/>
          <w:szCs w:val="24"/>
        </w:rPr>
        <w:t xml:space="preserve"> and 9 per cent </w:t>
      </w:r>
      <w:r w:rsidR="001B24CD">
        <w:rPr>
          <w:sz w:val="24"/>
          <w:szCs w:val="24"/>
        </w:rPr>
        <w:t>for a single period 2021</w:t>
      </w:r>
      <w:r w:rsidR="00B129BF">
        <w:rPr>
          <w:sz w:val="24"/>
          <w:szCs w:val="24"/>
        </w:rPr>
        <w:t>-22 to 2022-23</w:t>
      </w:r>
      <w:r w:rsidRPr="00C35EB8">
        <w:rPr>
          <w:sz w:val="24"/>
          <w:szCs w:val="24"/>
        </w:rPr>
        <w:t xml:space="preserve">. </w:t>
      </w:r>
    </w:p>
    <w:p w14:paraId="48689C0F" w14:textId="3DEAB559" w:rsidR="00B129BF" w:rsidRDefault="008E6309" w:rsidP="00C35EB8">
      <w:pPr>
        <w:spacing w:line="360" w:lineRule="auto"/>
        <w:jc w:val="both"/>
        <w:rPr>
          <w:sz w:val="24"/>
          <w:szCs w:val="24"/>
        </w:rPr>
      </w:pPr>
      <w:r w:rsidRPr="00C35EB8">
        <w:rPr>
          <w:sz w:val="24"/>
          <w:szCs w:val="24"/>
        </w:rPr>
        <w:t xml:space="preserve">In the manufacture sector there is an increase in female worker participation at 0.34 per cent at all India level and a decrease of 6.29 </w:t>
      </w:r>
      <w:r w:rsidR="0031462F">
        <w:rPr>
          <w:sz w:val="24"/>
          <w:szCs w:val="24"/>
        </w:rPr>
        <w:t>per cent</w:t>
      </w:r>
      <w:r w:rsidRPr="00C35EB8">
        <w:rPr>
          <w:sz w:val="24"/>
          <w:szCs w:val="24"/>
        </w:rPr>
        <w:t xml:space="preserve"> in Kerala. In the construction sector </w:t>
      </w:r>
      <w:r w:rsidR="002D3CD3">
        <w:rPr>
          <w:sz w:val="24"/>
          <w:szCs w:val="24"/>
        </w:rPr>
        <w:t>of Kerala</w:t>
      </w:r>
      <w:r w:rsidR="0031462F">
        <w:rPr>
          <w:sz w:val="24"/>
          <w:szCs w:val="24"/>
        </w:rPr>
        <w:t>,</w:t>
      </w:r>
      <w:r w:rsidR="002D3CD3">
        <w:rPr>
          <w:sz w:val="24"/>
          <w:szCs w:val="24"/>
        </w:rPr>
        <w:t xml:space="preserve"> </w:t>
      </w:r>
      <w:r w:rsidRPr="00C35EB8">
        <w:rPr>
          <w:sz w:val="24"/>
          <w:szCs w:val="24"/>
        </w:rPr>
        <w:t>there has been an increase of 1.4 per cent in female work participation during 2015-</w:t>
      </w:r>
      <w:r w:rsidR="002E58A0">
        <w:rPr>
          <w:sz w:val="24"/>
          <w:szCs w:val="24"/>
        </w:rPr>
        <w:t xml:space="preserve">16 to </w:t>
      </w:r>
      <w:r w:rsidRPr="00C35EB8">
        <w:rPr>
          <w:sz w:val="24"/>
          <w:szCs w:val="24"/>
        </w:rPr>
        <w:t xml:space="preserve">2021-22 but, after that, a sharp decline of 8.51 </w:t>
      </w:r>
      <w:r w:rsidR="0031462F">
        <w:rPr>
          <w:sz w:val="24"/>
          <w:szCs w:val="24"/>
        </w:rPr>
        <w:t>per cent</w:t>
      </w:r>
      <w:r w:rsidRPr="00C35EB8">
        <w:rPr>
          <w:sz w:val="24"/>
          <w:szCs w:val="24"/>
        </w:rPr>
        <w:t xml:space="preserve"> during 2021-22 to 2022-23 is evident. </w:t>
      </w:r>
    </w:p>
    <w:p w14:paraId="67C2D7AA" w14:textId="69B278ED" w:rsidR="00B129BF" w:rsidRDefault="000C04D6" w:rsidP="00B129BF">
      <w:pPr>
        <w:spacing w:line="360" w:lineRule="auto"/>
        <w:jc w:val="both"/>
        <w:rPr>
          <w:sz w:val="24"/>
          <w:szCs w:val="24"/>
        </w:rPr>
      </w:pPr>
      <w:r>
        <w:rPr>
          <w:sz w:val="24"/>
          <w:szCs w:val="24"/>
        </w:rPr>
        <w:t>T</w:t>
      </w:r>
      <w:r w:rsidR="00B129BF">
        <w:rPr>
          <w:sz w:val="24"/>
          <w:szCs w:val="24"/>
        </w:rPr>
        <w:t xml:space="preserve">he service sector </w:t>
      </w:r>
      <w:r>
        <w:rPr>
          <w:sz w:val="24"/>
          <w:szCs w:val="24"/>
        </w:rPr>
        <w:t>combines</w:t>
      </w:r>
      <w:r w:rsidR="002D3CD3" w:rsidRPr="002D3CD3">
        <w:t xml:space="preserve"> </w:t>
      </w:r>
      <w:r w:rsidR="002D3CD3" w:rsidRPr="00C35EB8">
        <w:t>Trade,</w:t>
      </w:r>
      <w:r w:rsidR="002D3CD3" w:rsidRPr="00C35EB8">
        <w:rPr>
          <w:spacing w:val="-1"/>
        </w:rPr>
        <w:t xml:space="preserve"> </w:t>
      </w:r>
      <w:r w:rsidR="0031462F">
        <w:t xml:space="preserve">Hotels </w:t>
      </w:r>
      <w:r w:rsidR="002D3CD3" w:rsidRPr="00C35EB8">
        <w:t>&amp; restaurants</w:t>
      </w:r>
      <w:r w:rsidR="002D3CD3">
        <w:t>,</w:t>
      </w:r>
      <w:r w:rsidR="002D3CD3" w:rsidRPr="002D3CD3">
        <w:t xml:space="preserve"> </w:t>
      </w:r>
      <w:r w:rsidR="002D3CD3" w:rsidRPr="00C35EB8">
        <w:t>Transport,</w:t>
      </w:r>
      <w:r w:rsidR="002D3CD3" w:rsidRPr="00C35EB8">
        <w:rPr>
          <w:spacing w:val="-2"/>
        </w:rPr>
        <w:t xml:space="preserve"> </w:t>
      </w:r>
      <w:r w:rsidR="002D3CD3" w:rsidRPr="00C35EB8">
        <w:t>Storage</w:t>
      </w:r>
      <w:r w:rsidR="002D3CD3" w:rsidRPr="00C35EB8">
        <w:rPr>
          <w:spacing w:val="-2"/>
        </w:rPr>
        <w:t xml:space="preserve"> </w:t>
      </w:r>
      <w:r w:rsidR="002D3CD3" w:rsidRPr="00C35EB8">
        <w:t>&amp;</w:t>
      </w:r>
      <w:r w:rsidR="002D3CD3" w:rsidRPr="00C35EB8">
        <w:rPr>
          <w:spacing w:val="-2"/>
        </w:rPr>
        <w:t xml:space="preserve"> </w:t>
      </w:r>
      <w:r w:rsidR="0031462F">
        <w:t>Communication</w:t>
      </w:r>
      <w:r w:rsidR="002D3CD3">
        <w:t xml:space="preserve"> and</w:t>
      </w:r>
      <w:r>
        <w:t xml:space="preserve"> </w:t>
      </w:r>
      <w:r w:rsidR="002D3CD3" w:rsidRPr="00C35EB8">
        <w:t>Other</w:t>
      </w:r>
      <w:r w:rsidR="002D3CD3" w:rsidRPr="00C35EB8">
        <w:rPr>
          <w:spacing w:val="-2"/>
        </w:rPr>
        <w:t xml:space="preserve"> </w:t>
      </w:r>
      <w:r w:rsidR="002D3CD3" w:rsidRPr="00C35EB8">
        <w:t>services</w:t>
      </w:r>
      <w:r w:rsidR="008E6309" w:rsidRPr="00C35EB8">
        <w:rPr>
          <w:sz w:val="24"/>
          <w:szCs w:val="24"/>
        </w:rPr>
        <w:t>.</w:t>
      </w:r>
      <w:r>
        <w:rPr>
          <w:sz w:val="24"/>
          <w:szCs w:val="24"/>
        </w:rPr>
        <w:t xml:space="preserve"> T</w:t>
      </w:r>
      <w:r w:rsidR="008E6309" w:rsidRPr="00C35EB8">
        <w:rPr>
          <w:sz w:val="24"/>
          <w:szCs w:val="24"/>
        </w:rPr>
        <w:t>he</w:t>
      </w:r>
      <w:r>
        <w:rPr>
          <w:sz w:val="24"/>
          <w:szCs w:val="24"/>
        </w:rPr>
        <w:t>re is a</w:t>
      </w:r>
      <w:r w:rsidR="008E6309" w:rsidRPr="00C35EB8">
        <w:rPr>
          <w:sz w:val="24"/>
          <w:szCs w:val="24"/>
        </w:rPr>
        <w:t xml:space="preserve"> rise in female work participation </w:t>
      </w:r>
      <w:r w:rsidRPr="00C35EB8">
        <w:rPr>
          <w:sz w:val="24"/>
          <w:szCs w:val="24"/>
        </w:rPr>
        <w:t>in other services including</w:t>
      </w:r>
      <w:r>
        <w:rPr>
          <w:sz w:val="24"/>
          <w:szCs w:val="24"/>
        </w:rPr>
        <w:t xml:space="preserve"> </w:t>
      </w:r>
      <w:r w:rsidRPr="00C35EB8">
        <w:rPr>
          <w:sz w:val="24"/>
          <w:szCs w:val="24"/>
        </w:rPr>
        <w:t>finance, insurance, real estate and social and personal services</w:t>
      </w:r>
      <w:r>
        <w:rPr>
          <w:sz w:val="24"/>
          <w:szCs w:val="24"/>
        </w:rPr>
        <w:t>. It</w:t>
      </w:r>
      <w:r w:rsidRPr="00C35EB8">
        <w:rPr>
          <w:sz w:val="24"/>
          <w:szCs w:val="24"/>
        </w:rPr>
        <w:t xml:space="preserve"> </w:t>
      </w:r>
      <w:r w:rsidR="008E6309" w:rsidRPr="00C35EB8">
        <w:rPr>
          <w:sz w:val="24"/>
          <w:szCs w:val="24"/>
        </w:rPr>
        <w:t xml:space="preserve">has been higher in Kerala than at all India </w:t>
      </w:r>
      <w:r w:rsidR="004012F3">
        <w:rPr>
          <w:sz w:val="24"/>
          <w:szCs w:val="24"/>
        </w:rPr>
        <w:t>levels</w:t>
      </w:r>
      <w:r>
        <w:rPr>
          <w:sz w:val="24"/>
          <w:szCs w:val="24"/>
        </w:rPr>
        <w:t xml:space="preserve">. </w:t>
      </w:r>
      <w:r w:rsidR="00B129BF">
        <w:rPr>
          <w:sz w:val="24"/>
          <w:szCs w:val="24"/>
        </w:rPr>
        <w:t xml:space="preserve">As </w:t>
      </w:r>
      <w:r w:rsidR="004012F3">
        <w:rPr>
          <w:sz w:val="24"/>
          <w:szCs w:val="24"/>
        </w:rPr>
        <w:t>mentioned</w:t>
      </w:r>
      <w:r w:rsidR="00B129BF">
        <w:rPr>
          <w:sz w:val="24"/>
          <w:szCs w:val="24"/>
        </w:rPr>
        <w:t xml:space="preserve"> in</w:t>
      </w:r>
      <w:r w:rsidR="004012F3">
        <w:rPr>
          <w:sz w:val="24"/>
          <w:szCs w:val="24"/>
        </w:rPr>
        <w:t xml:space="preserve"> the</w:t>
      </w:r>
      <w:r w:rsidR="00B129BF">
        <w:rPr>
          <w:sz w:val="24"/>
          <w:szCs w:val="24"/>
        </w:rPr>
        <w:t xml:space="preserve"> Economic </w:t>
      </w:r>
      <w:r w:rsidR="004012F3">
        <w:rPr>
          <w:sz w:val="24"/>
          <w:szCs w:val="24"/>
        </w:rPr>
        <w:t>Review</w:t>
      </w:r>
      <w:r w:rsidR="00B129BF">
        <w:rPr>
          <w:sz w:val="24"/>
          <w:szCs w:val="24"/>
        </w:rPr>
        <w:t xml:space="preserve"> 2018, the higher participation of female workers in service sectors like finance, real estate, and insurance than in low wage agriculture and allied and construction sectors indicates higher quality of employment of women in Kerala compared to all India level. </w:t>
      </w:r>
      <w:r w:rsidR="004012F3">
        <w:rPr>
          <w:sz w:val="24"/>
          <w:szCs w:val="24"/>
        </w:rPr>
        <w:t>The large</w:t>
      </w:r>
      <w:r w:rsidR="00B129BF">
        <w:rPr>
          <w:sz w:val="24"/>
          <w:szCs w:val="24"/>
        </w:rPr>
        <w:t xml:space="preserve"> number of women employed in this sector in Kerala are in education and public health, </w:t>
      </w:r>
      <w:r w:rsidR="004012F3">
        <w:rPr>
          <w:sz w:val="24"/>
          <w:szCs w:val="24"/>
        </w:rPr>
        <w:t>which</w:t>
      </w:r>
      <w:r w:rsidR="00B129BF">
        <w:rPr>
          <w:sz w:val="24"/>
          <w:szCs w:val="24"/>
        </w:rPr>
        <w:t xml:space="preserve"> is a positive indicator when compared to all India level. </w:t>
      </w:r>
    </w:p>
    <w:p w14:paraId="371F33AF" w14:textId="77777777" w:rsidR="00423895" w:rsidRDefault="00423895" w:rsidP="00423895">
      <w:pPr>
        <w:spacing w:line="360" w:lineRule="auto"/>
        <w:jc w:val="both"/>
        <w:rPr>
          <w:sz w:val="24"/>
          <w:szCs w:val="24"/>
        </w:rPr>
      </w:pPr>
      <w:r w:rsidRPr="00C35EB8">
        <w:rPr>
          <w:sz w:val="24"/>
          <w:szCs w:val="24"/>
        </w:rPr>
        <w:t xml:space="preserve">A project report on female LFPR in Kerala of Centre for Development Studies, 2015 showed the shift of the female workforce away from agriculture was quite marked in Kerala. As per PLFS </w:t>
      </w:r>
      <w:r w:rsidRPr="00C35EB8">
        <w:rPr>
          <w:sz w:val="24"/>
          <w:szCs w:val="24"/>
        </w:rPr>
        <w:lastRenderedPageBreak/>
        <w:t xml:space="preserve">2019-20, the proportion of women in manufacturing is high in Kerala compared to all India. This may be because large numbers of women are engaged in low productivity, </w:t>
      </w:r>
      <w:proofErr w:type="spellStart"/>
      <w:r w:rsidRPr="00C35EB8">
        <w:rPr>
          <w:sz w:val="24"/>
          <w:szCs w:val="24"/>
        </w:rPr>
        <w:t>labour</w:t>
      </w:r>
      <w:proofErr w:type="spellEnd"/>
      <w:r w:rsidRPr="00C35EB8">
        <w:rPr>
          <w:sz w:val="24"/>
          <w:szCs w:val="24"/>
        </w:rPr>
        <w:t xml:space="preserve"> intensive traditional industries like handlooms, </w:t>
      </w:r>
      <w:proofErr w:type="spellStart"/>
      <w:r w:rsidRPr="00C35EB8">
        <w:rPr>
          <w:sz w:val="24"/>
          <w:szCs w:val="24"/>
        </w:rPr>
        <w:t>khadi</w:t>
      </w:r>
      <w:proofErr w:type="spellEnd"/>
      <w:r w:rsidRPr="00C35EB8">
        <w:rPr>
          <w:sz w:val="24"/>
          <w:szCs w:val="24"/>
        </w:rPr>
        <w:t xml:space="preserve">, coir, and cashew. Concentration of women in low remunerative industries would be clear from the membership of females in different Welfare Fund Boards in Kerala. For example, among </w:t>
      </w:r>
      <w:proofErr w:type="spellStart"/>
      <w:r w:rsidRPr="00C35EB8">
        <w:rPr>
          <w:sz w:val="24"/>
          <w:szCs w:val="24"/>
        </w:rPr>
        <w:t>beedi</w:t>
      </w:r>
      <w:proofErr w:type="spellEnd"/>
      <w:r w:rsidRPr="00C35EB8">
        <w:rPr>
          <w:sz w:val="24"/>
          <w:szCs w:val="24"/>
        </w:rPr>
        <w:t xml:space="preserve"> and cigar workers, women constitute 97.83 per cent of the total workforce.</w:t>
      </w:r>
    </w:p>
    <w:p w14:paraId="430E8AD4" w14:textId="7ED5FFAD" w:rsidR="00423895" w:rsidRPr="00C35EB8" w:rsidRDefault="00423895" w:rsidP="00423895">
      <w:pPr>
        <w:spacing w:line="360" w:lineRule="auto"/>
        <w:jc w:val="both"/>
        <w:rPr>
          <w:sz w:val="24"/>
          <w:szCs w:val="24"/>
        </w:rPr>
      </w:pPr>
      <w:r w:rsidRPr="00C35EB8">
        <w:rPr>
          <w:sz w:val="24"/>
          <w:szCs w:val="24"/>
        </w:rPr>
        <w:t xml:space="preserve"> </w:t>
      </w:r>
      <w:r w:rsidR="003E5495">
        <w:rPr>
          <w:sz w:val="24"/>
          <w:szCs w:val="24"/>
        </w:rPr>
        <w:t xml:space="preserve">In </w:t>
      </w:r>
      <w:r w:rsidRPr="00C35EB8">
        <w:rPr>
          <w:sz w:val="24"/>
          <w:szCs w:val="24"/>
        </w:rPr>
        <w:t>2019-20, given the increase in FWPR in Kerala, there is a slight increase in women engaged in agriculture in rural and urban areas, the larger increase in rural Kerala is in construction and certain services. In urban Kerala, the increase has been sharper in trade followed by manufacturing and services. Hence the increase in rural female participation rate in 2019-20, has been to some extent in agriculture, given the hike in National Rural Employment Guarantee Act (NREGA) employment but is found in other non-agricultural (economic review 2022).</w:t>
      </w:r>
    </w:p>
    <w:p w14:paraId="1ABF474E" w14:textId="77777777" w:rsidR="00423895" w:rsidRDefault="00423895" w:rsidP="00B129BF">
      <w:pPr>
        <w:spacing w:line="360" w:lineRule="auto"/>
        <w:jc w:val="both"/>
        <w:rPr>
          <w:sz w:val="24"/>
          <w:szCs w:val="24"/>
        </w:rPr>
      </w:pPr>
    </w:p>
    <w:p w14:paraId="38D87F15" w14:textId="77777777" w:rsidR="00B129BF" w:rsidRPr="00C35EB8" w:rsidRDefault="00B129BF" w:rsidP="00B129BF">
      <w:pPr>
        <w:spacing w:line="360" w:lineRule="auto"/>
        <w:jc w:val="both"/>
        <w:rPr>
          <w:sz w:val="24"/>
          <w:szCs w:val="24"/>
        </w:rPr>
      </w:pPr>
      <w:r w:rsidRPr="00C35EB8">
        <w:rPr>
          <w:sz w:val="24"/>
          <w:szCs w:val="24"/>
        </w:rPr>
        <w:t xml:space="preserve"> </w:t>
      </w:r>
    </w:p>
    <w:p w14:paraId="5B817379" w14:textId="77777777" w:rsidR="008E6309" w:rsidRPr="00C35EB8" w:rsidRDefault="008E6309" w:rsidP="00C35EB8">
      <w:pPr>
        <w:spacing w:line="360" w:lineRule="auto"/>
        <w:jc w:val="both"/>
        <w:rPr>
          <w:sz w:val="24"/>
          <w:szCs w:val="24"/>
        </w:rPr>
        <w:sectPr w:rsidR="008E6309" w:rsidRPr="00C35EB8" w:rsidSect="008C5916">
          <w:headerReference w:type="even" r:id="rId10"/>
          <w:headerReference w:type="default" r:id="rId11"/>
          <w:footerReference w:type="even" r:id="rId12"/>
          <w:footerReference w:type="default" r:id="rId13"/>
          <w:headerReference w:type="first" r:id="rId14"/>
          <w:footerReference w:type="first" r:id="rId15"/>
          <w:pgSz w:w="11910" w:h="16840"/>
          <w:pgMar w:top="1360" w:right="1320" w:bottom="280" w:left="1340" w:header="720" w:footer="720" w:gutter="0"/>
          <w:cols w:space="720"/>
        </w:sectPr>
      </w:pPr>
    </w:p>
    <w:p w14:paraId="70498AF8" w14:textId="4580C588" w:rsidR="008E6309" w:rsidRPr="001A221F" w:rsidRDefault="00180314" w:rsidP="00C35EB8">
      <w:pPr>
        <w:spacing w:line="360" w:lineRule="auto"/>
        <w:jc w:val="both"/>
        <w:rPr>
          <w:b/>
          <w:sz w:val="24"/>
          <w:szCs w:val="24"/>
        </w:rPr>
      </w:pPr>
      <w:commentRangeStart w:id="6"/>
      <w:r w:rsidRPr="001A221F">
        <w:rPr>
          <w:b/>
          <w:sz w:val="24"/>
          <w:szCs w:val="24"/>
        </w:rPr>
        <w:lastRenderedPageBreak/>
        <w:t xml:space="preserve">Table 1: </w:t>
      </w:r>
      <w:r w:rsidR="00836BBD" w:rsidRPr="001A221F">
        <w:rPr>
          <w:b/>
          <w:sz w:val="24"/>
          <w:szCs w:val="24"/>
        </w:rPr>
        <w:t>Percentage distribution of usually working persons (</w:t>
      </w:r>
      <w:r w:rsidR="00D60FE7" w:rsidRPr="001A221F">
        <w:rPr>
          <w:b/>
          <w:sz w:val="24"/>
          <w:szCs w:val="24"/>
        </w:rPr>
        <w:t>PS+SS</w:t>
      </w:r>
      <w:r w:rsidR="00836BBD" w:rsidRPr="001A221F">
        <w:rPr>
          <w:b/>
          <w:sz w:val="24"/>
          <w:szCs w:val="24"/>
        </w:rPr>
        <w:t>) by industry of work (industry sections of NIC-2008)</w:t>
      </w:r>
      <w:commentRangeEnd w:id="6"/>
      <w:r w:rsidR="00312C81">
        <w:rPr>
          <w:rStyle w:val="CommentReference"/>
        </w:rPr>
        <w:commentReference w:id="6"/>
      </w:r>
    </w:p>
    <w:p w14:paraId="55BD38EE" w14:textId="77777777" w:rsidR="008E6309" w:rsidRPr="00C35EB8" w:rsidRDefault="008E6309" w:rsidP="00C35EB8">
      <w:pPr>
        <w:spacing w:line="360" w:lineRule="auto"/>
        <w:jc w:val="both"/>
        <w:rPr>
          <w:sz w:val="24"/>
          <w:szCs w:val="24"/>
        </w:rPr>
      </w:pPr>
    </w:p>
    <w:p w14:paraId="25B2A4FB" w14:textId="77777777" w:rsidR="008E6309" w:rsidRPr="00C35EB8" w:rsidRDefault="008E6309" w:rsidP="00C35EB8">
      <w:pPr>
        <w:tabs>
          <w:tab w:val="left" w:pos="3990"/>
        </w:tabs>
        <w:spacing w:line="360" w:lineRule="auto"/>
        <w:jc w:val="both"/>
        <w:rPr>
          <w:sz w:val="24"/>
          <w:szCs w:val="24"/>
        </w:rPr>
      </w:pPr>
      <w:r w:rsidRPr="00C35EB8">
        <w:rPr>
          <w:sz w:val="24"/>
          <w:szCs w:val="24"/>
        </w:rPr>
        <w:tab/>
      </w:r>
    </w:p>
    <w:tbl>
      <w:tblPr>
        <w:tblStyle w:val="TableGrid"/>
        <w:tblW w:w="14442" w:type="dxa"/>
        <w:tblInd w:w="100" w:type="dxa"/>
        <w:tblLook w:val="04A0" w:firstRow="1" w:lastRow="0" w:firstColumn="1" w:lastColumn="0" w:noHBand="0" w:noVBand="1"/>
      </w:tblPr>
      <w:tblGrid>
        <w:gridCol w:w="916"/>
        <w:gridCol w:w="691"/>
        <w:gridCol w:w="1025"/>
        <w:gridCol w:w="1482"/>
        <w:gridCol w:w="1303"/>
        <w:gridCol w:w="1606"/>
        <w:gridCol w:w="1371"/>
        <w:gridCol w:w="1619"/>
        <w:gridCol w:w="1413"/>
        <w:gridCol w:w="1879"/>
        <w:gridCol w:w="1137"/>
      </w:tblGrid>
      <w:tr w:rsidR="008E6309" w:rsidRPr="00C35EB8" w14:paraId="0C6BEC1C" w14:textId="77777777" w:rsidTr="008C5916">
        <w:trPr>
          <w:trHeight w:val="1833"/>
        </w:trPr>
        <w:tc>
          <w:tcPr>
            <w:tcW w:w="916" w:type="dxa"/>
          </w:tcPr>
          <w:p w14:paraId="516FE94E" w14:textId="77777777" w:rsidR="008E6309" w:rsidRPr="00C35EB8" w:rsidRDefault="008E6309" w:rsidP="00C35EB8">
            <w:pPr>
              <w:pStyle w:val="BodyText"/>
              <w:spacing w:before="157" w:line="360" w:lineRule="auto"/>
              <w:ind w:left="0" w:right="115"/>
              <w:jc w:val="both"/>
            </w:pPr>
            <w:bookmarkStart w:id="7" w:name="_Hlk155640511"/>
            <w:r w:rsidRPr="00C35EB8">
              <w:t>Year</w:t>
            </w:r>
          </w:p>
        </w:tc>
        <w:tc>
          <w:tcPr>
            <w:tcW w:w="691" w:type="dxa"/>
          </w:tcPr>
          <w:p w14:paraId="4D56310C" w14:textId="77777777" w:rsidR="008E6309" w:rsidRPr="00C35EB8" w:rsidRDefault="008E6309" w:rsidP="00C35EB8">
            <w:pPr>
              <w:pStyle w:val="BodyText"/>
              <w:spacing w:before="157" w:line="360" w:lineRule="auto"/>
              <w:ind w:left="0" w:right="115"/>
              <w:jc w:val="both"/>
            </w:pPr>
            <w:r w:rsidRPr="00C35EB8">
              <w:t>Sex</w:t>
            </w:r>
          </w:p>
        </w:tc>
        <w:tc>
          <w:tcPr>
            <w:tcW w:w="1025" w:type="dxa"/>
          </w:tcPr>
          <w:p w14:paraId="7EA47FC8" w14:textId="77777777" w:rsidR="008E6309" w:rsidRPr="00C35EB8" w:rsidRDefault="008E6309" w:rsidP="00C35EB8">
            <w:pPr>
              <w:pStyle w:val="BodyText"/>
              <w:spacing w:before="157" w:line="360" w:lineRule="auto"/>
              <w:ind w:left="0" w:right="115"/>
              <w:jc w:val="both"/>
            </w:pPr>
            <w:r w:rsidRPr="00C35EB8">
              <w:t>Region</w:t>
            </w:r>
          </w:p>
        </w:tc>
        <w:tc>
          <w:tcPr>
            <w:tcW w:w="1482" w:type="dxa"/>
          </w:tcPr>
          <w:p w14:paraId="07C7277A" w14:textId="77777777" w:rsidR="008E6309" w:rsidRPr="00C35EB8" w:rsidRDefault="008E6309" w:rsidP="00C35EB8">
            <w:pPr>
              <w:pStyle w:val="BodyText"/>
              <w:spacing w:before="157" w:line="360" w:lineRule="auto"/>
              <w:ind w:left="0" w:right="115"/>
              <w:jc w:val="both"/>
            </w:pPr>
            <w:r w:rsidRPr="00C35EB8">
              <w:t>Agriculture</w:t>
            </w:r>
          </w:p>
        </w:tc>
        <w:tc>
          <w:tcPr>
            <w:tcW w:w="1303" w:type="dxa"/>
          </w:tcPr>
          <w:p w14:paraId="7E4224B2" w14:textId="77777777" w:rsidR="008E6309" w:rsidRPr="00C35EB8" w:rsidRDefault="008E6309" w:rsidP="00C35EB8">
            <w:pPr>
              <w:pStyle w:val="BodyText"/>
              <w:spacing w:before="157" w:line="360" w:lineRule="auto"/>
              <w:ind w:left="0" w:right="115"/>
              <w:jc w:val="both"/>
            </w:pPr>
            <w:r w:rsidRPr="00C35EB8">
              <w:t>Mining</w:t>
            </w:r>
            <w:r w:rsidRPr="00C35EB8">
              <w:rPr>
                <w:spacing w:val="-1"/>
              </w:rPr>
              <w:t xml:space="preserve"> </w:t>
            </w:r>
            <w:r w:rsidRPr="00C35EB8">
              <w:t>&amp;</w:t>
            </w:r>
            <w:r w:rsidRPr="00C35EB8">
              <w:rPr>
                <w:spacing w:val="-1"/>
              </w:rPr>
              <w:t xml:space="preserve"> </w:t>
            </w:r>
            <w:r w:rsidRPr="00C35EB8">
              <w:t>quarrying</w:t>
            </w:r>
          </w:p>
        </w:tc>
        <w:tc>
          <w:tcPr>
            <w:tcW w:w="1606" w:type="dxa"/>
          </w:tcPr>
          <w:p w14:paraId="4A86B567" w14:textId="77777777" w:rsidR="008E6309" w:rsidRPr="00C35EB8" w:rsidRDefault="008E6309" w:rsidP="00C35EB8">
            <w:pPr>
              <w:pStyle w:val="BodyText"/>
              <w:spacing w:before="157" w:line="360" w:lineRule="auto"/>
              <w:ind w:left="0" w:right="115"/>
              <w:jc w:val="both"/>
            </w:pPr>
            <w:r w:rsidRPr="00C35EB8">
              <w:t>Manufacture</w:t>
            </w:r>
          </w:p>
        </w:tc>
        <w:tc>
          <w:tcPr>
            <w:tcW w:w="1371" w:type="dxa"/>
          </w:tcPr>
          <w:p w14:paraId="2CEA0A42" w14:textId="77777777" w:rsidR="008E6309" w:rsidRPr="00C35EB8" w:rsidRDefault="008E6309" w:rsidP="00C35EB8">
            <w:pPr>
              <w:pStyle w:val="BodyText"/>
              <w:spacing w:before="157" w:line="360" w:lineRule="auto"/>
              <w:ind w:left="0" w:right="115"/>
              <w:jc w:val="both"/>
            </w:pPr>
            <w:r w:rsidRPr="00C35EB8">
              <w:t>Electricity</w:t>
            </w:r>
          </w:p>
        </w:tc>
        <w:tc>
          <w:tcPr>
            <w:tcW w:w="1619" w:type="dxa"/>
          </w:tcPr>
          <w:p w14:paraId="299857A6" w14:textId="77777777" w:rsidR="008E6309" w:rsidRPr="00C35EB8" w:rsidRDefault="008E6309" w:rsidP="00C35EB8">
            <w:pPr>
              <w:pStyle w:val="BodyText"/>
              <w:spacing w:before="157" w:line="360" w:lineRule="auto"/>
              <w:ind w:left="0" w:right="115"/>
              <w:jc w:val="both"/>
            </w:pPr>
            <w:r w:rsidRPr="00C35EB8">
              <w:t>Construction</w:t>
            </w:r>
          </w:p>
        </w:tc>
        <w:tc>
          <w:tcPr>
            <w:tcW w:w="1413" w:type="dxa"/>
          </w:tcPr>
          <w:p w14:paraId="546754B1" w14:textId="77777777" w:rsidR="008E6309" w:rsidRPr="00C35EB8" w:rsidRDefault="008E6309" w:rsidP="00C35EB8">
            <w:pPr>
              <w:pStyle w:val="BodyText"/>
              <w:spacing w:before="157" w:line="360" w:lineRule="auto"/>
              <w:ind w:left="0" w:right="115"/>
              <w:jc w:val="both"/>
            </w:pPr>
            <w:r w:rsidRPr="00C35EB8">
              <w:t>Trade,</w:t>
            </w:r>
            <w:r w:rsidRPr="00C35EB8">
              <w:rPr>
                <w:spacing w:val="-1"/>
              </w:rPr>
              <w:t xml:space="preserve"> </w:t>
            </w:r>
            <w:r w:rsidRPr="00C35EB8">
              <w:t>Hotel&amp; restaurants</w:t>
            </w:r>
          </w:p>
        </w:tc>
        <w:tc>
          <w:tcPr>
            <w:tcW w:w="1879" w:type="dxa"/>
          </w:tcPr>
          <w:p w14:paraId="1B28FEE4" w14:textId="77777777" w:rsidR="008E6309" w:rsidRPr="00C35EB8" w:rsidRDefault="008E6309" w:rsidP="00C35EB8">
            <w:pPr>
              <w:pStyle w:val="BodyText"/>
              <w:spacing w:before="157" w:line="360" w:lineRule="auto"/>
              <w:ind w:left="0" w:right="115"/>
              <w:jc w:val="both"/>
            </w:pPr>
            <w:r w:rsidRPr="00C35EB8">
              <w:t>Transport,</w:t>
            </w:r>
            <w:r w:rsidRPr="00C35EB8">
              <w:rPr>
                <w:spacing w:val="-2"/>
              </w:rPr>
              <w:t xml:space="preserve"> </w:t>
            </w:r>
            <w:r w:rsidRPr="00C35EB8">
              <w:t>Storage</w:t>
            </w:r>
            <w:r w:rsidRPr="00C35EB8">
              <w:rPr>
                <w:spacing w:val="-2"/>
              </w:rPr>
              <w:t xml:space="preserve"> </w:t>
            </w:r>
            <w:r w:rsidRPr="00C35EB8">
              <w:t>&amp;</w:t>
            </w:r>
            <w:r w:rsidRPr="00C35EB8">
              <w:rPr>
                <w:spacing w:val="-2"/>
              </w:rPr>
              <w:t xml:space="preserve"> </w:t>
            </w:r>
            <w:r w:rsidRPr="00C35EB8">
              <w:t>communication</w:t>
            </w:r>
          </w:p>
        </w:tc>
        <w:tc>
          <w:tcPr>
            <w:tcW w:w="1137" w:type="dxa"/>
          </w:tcPr>
          <w:p w14:paraId="0EC73C95" w14:textId="77777777" w:rsidR="008E6309" w:rsidRPr="00C35EB8" w:rsidRDefault="008E6309" w:rsidP="00C35EB8">
            <w:pPr>
              <w:pStyle w:val="BodyText"/>
              <w:spacing w:before="157" w:line="360" w:lineRule="auto"/>
              <w:ind w:left="0" w:right="115"/>
              <w:jc w:val="both"/>
            </w:pPr>
            <w:r w:rsidRPr="00C35EB8">
              <w:t>Other</w:t>
            </w:r>
            <w:r w:rsidRPr="00C35EB8">
              <w:rPr>
                <w:spacing w:val="-2"/>
              </w:rPr>
              <w:t xml:space="preserve"> </w:t>
            </w:r>
            <w:r w:rsidRPr="00C35EB8">
              <w:t>services</w:t>
            </w:r>
          </w:p>
        </w:tc>
      </w:tr>
      <w:tr w:rsidR="008E6309" w:rsidRPr="00C35EB8" w14:paraId="3DBC63F7" w14:textId="77777777" w:rsidTr="008C5916">
        <w:trPr>
          <w:trHeight w:val="560"/>
        </w:trPr>
        <w:tc>
          <w:tcPr>
            <w:tcW w:w="916" w:type="dxa"/>
            <w:vMerge w:val="restart"/>
          </w:tcPr>
          <w:p w14:paraId="234DA8B1" w14:textId="77777777" w:rsidR="008E6309" w:rsidRPr="00C35EB8" w:rsidRDefault="008E6309" w:rsidP="00C35EB8">
            <w:pPr>
              <w:pStyle w:val="BodyText"/>
              <w:spacing w:before="157" w:line="360" w:lineRule="auto"/>
              <w:ind w:left="0" w:right="115"/>
              <w:jc w:val="both"/>
            </w:pPr>
            <w:r w:rsidRPr="00C35EB8">
              <w:t>2015-16</w:t>
            </w:r>
          </w:p>
        </w:tc>
        <w:tc>
          <w:tcPr>
            <w:tcW w:w="691" w:type="dxa"/>
            <w:vMerge w:val="restart"/>
          </w:tcPr>
          <w:p w14:paraId="754D62D1" w14:textId="77777777" w:rsidR="008E6309" w:rsidRPr="00C35EB8" w:rsidRDefault="008E6309" w:rsidP="00C35EB8">
            <w:pPr>
              <w:pStyle w:val="BodyText"/>
              <w:spacing w:before="157" w:line="360" w:lineRule="auto"/>
              <w:ind w:left="0" w:right="115"/>
              <w:jc w:val="both"/>
            </w:pPr>
            <w:r w:rsidRPr="00C35EB8">
              <w:t>M</w:t>
            </w:r>
          </w:p>
        </w:tc>
        <w:tc>
          <w:tcPr>
            <w:tcW w:w="1025" w:type="dxa"/>
          </w:tcPr>
          <w:p w14:paraId="34D4E7EF" w14:textId="77777777" w:rsidR="008E6309" w:rsidRPr="00C35EB8" w:rsidRDefault="008E6309" w:rsidP="00C35EB8">
            <w:pPr>
              <w:pStyle w:val="BodyText"/>
              <w:spacing w:before="157" w:line="360" w:lineRule="auto"/>
              <w:ind w:left="0" w:right="115"/>
              <w:jc w:val="both"/>
            </w:pPr>
            <w:r w:rsidRPr="00C35EB8">
              <w:t>India</w:t>
            </w:r>
          </w:p>
        </w:tc>
        <w:tc>
          <w:tcPr>
            <w:tcW w:w="1482" w:type="dxa"/>
          </w:tcPr>
          <w:p w14:paraId="66D286FA" w14:textId="77777777" w:rsidR="008E6309" w:rsidRPr="00C35EB8" w:rsidRDefault="008E6309" w:rsidP="00C35EB8">
            <w:pPr>
              <w:pStyle w:val="BodyText"/>
              <w:spacing w:before="157" w:line="360" w:lineRule="auto"/>
              <w:ind w:left="0" w:right="115"/>
              <w:jc w:val="both"/>
            </w:pPr>
            <w:r w:rsidRPr="00C35EB8">
              <w:t>41.7</w:t>
            </w:r>
          </w:p>
        </w:tc>
        <w:tc>
          <w:tcPr>
            <w:tcW w:w="1303" w:type="dxa"/>
          </w:tcPr>
          <w:p w14:paraId="359105C7" w14:textId="77777777" w:rsidR="008E6309" w:rsidRPr="00C35EB8" w:rsidRDefault="008E6309" w:rsidP="00C35EB8">
            <w:pPr>
              <w:pStyle w:val="BodyText"/>
              <w:spacing w:before="157" w:line="360" w:lineRule="auto"/>
              <w:ind w:left="0" w:right="115"/>
              <w:jc w:val="both"/>
            </w:pPr>
            <w:r w:rsidRPr="00C35EB8">
              <w:t>0.4</w:t>
            </w:r>
          </w:p>
        </w:tc>
        <w:tc>
          <w:tcPr>
            <w:tcW w:w="1606" w:type="dxa"/>
          </w:tcPr>
          <w:p w14:paraId="17977EC9" w14:textId="77777777" w:rsidR="008E6309" w:rsidRPr="00C35EB8" w:rsidRDefault="008E6309" w:rsidP="00C35EB8">
            <w:pPr>
              <w:pStyle w:val="BodyText"/>
              <w:spacing w:before="157" w:line="360" w:lineRule="auto"/>
              <w:ind w:left="0" w:right="115"/>
              <w:jc w:val="both"/>
            </w:pPr>
            <w:r w:rsidRPr="00C35EB8">
              <w:t>10.5</w:t>
            </w:r>
          </w:p>
        </w:tc>
        <w:tc>
          <w:tcPr>
            <w:tcW w:w="1371" w:type="dxa"/>
          </w:tcPr>
          <w:p w14:paraId="29E7902E" w14:textId="77777777" w:rsidR="008E6309" w:rsidRPr="00C35EB8" w:rsidRDefault="008E6309" w:rsidP="00C35EB8">
            <w:pPr>
              <w:pStyle w:val="BodyText"/>
              <w:spacing w:before="157" w:line="360" w:lineRule="auto"/>
              <w:ind w:left="0" w:right="115"/>
              <w:jc w:val="both"/>
            </w:pPr>
            <w:r w:rsidRPr="00C35EB8">
              <w:t>0.7</w:t>
            </w:r>
          </w:p>
        </w:tc>
        <w:tc>
          <w:tcPr>
            <w:tcW w:w="1619" w:type="dxa"/>
          </w:tcPr>
          <w:p w14:paraId="3393002A" w14:textId="77777777" w:rsidR="008E6309" w:rsidRPr="00C35EB8" w:rsidRDefault="008E6309" w:rsidP="00C35EB8">
            <w:pPr>
              <w:pStyle w:val="BodyText"/>
              <w:spacing w:before="157" w:line="360" w:lineRule="auto"/>
              <w:ind w:left="0" w:right="115"/>
              <w:jc w:val="both"/>
            </w:pPr>
            <w:r w:rsidRPr="00C35EB8">
              <w:t>13</w:t>
            </w:r>
          </w:p>
        </w:tc>
        <w:tc>
          <w:tcPr>
            <w:tcW w:w="1413" w:type="dxa"/>
          </w:tcPr>
          <w:p w14:paraId="297A21BA" w14:textId="77777777" w:rsidR="008E6309" w:rsidRPr="00C35EB8" w:rsidRDefault="008E6309" w:rsidP="00C35EB8">
            <w:pPr>
              <w:pStyle w:val="BodyText"/>
              <w:spacing w:before="157" w:line="360" w:lineRule="auto"/>
              <w:ind w:left="0" w:right="115"/>
              <w:jc w:val="both"/>
            </w:pPr>
            <w:r w:rsidRPr="00C35EB8">
              <w:t>14</w:t>
            </w:r>
          </w:p>
        </w:tc>
        <w:tc>
          <w:tcPr>
            <w:tcW w:w="1879" w:type="dxa"/>
          </w:tcPr>
          <w:p w14:paraId="4D6CA793" w14:textId="77777777" w:rsidR="008E6309" w:rsidRPr="00C35EB8" w:rsidRDefault="008E6309" w:rsidP="00C35EB8">
            <w:pPr>
              <w:pStyle w:val="BodyText"/>
              <w:spacing w:before="157" w:line="360" w:lineRule="auto"/>
              <w:ind w:left="0" w:right="115"/>
              <w:jc w:val="both"/>
            </w:pPr>
            <w:r w:rsidRPr="00C35EB8">
              <w:t>7</w:t>
            </w:r>
          </w:p>
        </w:tc>
        <w:tc>
          <w:tcPr>
            <w:tcW w:w="1137" w:type="dxa"/>
          </w:tcPr>
          <w:p w14:paraId="5C65856C" w14:textId="77777777" w:rsidR="008E6309" w:rsidRPr="00C35EB8" w:rsidRDefault="008E6309" w:rsidP="00C35EB8">
            <w:pPr>
              <w:pStyle w:val="BodyText"/>
              <w:spacing w:before="157" w:line="360" w:lineRule="auto"/>
              <w:ind w:left="0" w:right="115"/>
              <w:jc w:val="both"/>
            </w:pPr>
            <w:r w:rsidRPr="00C35EB8">
              <w:t>2.6</w:t>
            </w:r>
          </w:p>
        </w:tc>
      </w:tr>
      <w:tr w:rsidR="008E6309" w:rsidRPr="00C35EB8" w14:paraId="1ABC5F8A" w14:textId="77777777" w:rsidTr="008C5916">
        <w:trPr>
          <w:trHeight w:val="1015"/>
        </w:trPr>
        <w:tc>
          <w:tcPr>
            <w:tcW w:w="916" w:type="dxa"/>
            <w:vMerge/>
          </w:tcPr>
          <w:p w14:paraId="7F53CB80" w14:textId="77777777" w:rsidR="008E6309" w:rsidRPr="00C35EB8" w:rsidRDefault="008E6309" w:rsidP="00C35EB8">
            <w:pPr>
              <w:pStyle w:val="BodyText"/>
              <w:spacing w:before="157" w:line="360" w:lineRule="auto"/>
              <w:ind w:left="0" w:right="115"/>
              <w:jc w:val="both"/>
            </w:pPr>
          </w:p>
        </w:tc>
        <w:tc>
          <w:tcPr>
            <w:tcW w:w="691" w:type="dxa"/>
            <w:vMerge/>
          </w:tcPr>
          <w:p w14:paraId="4CB2E65C" w14:textId="77777777" w:rsidR="008E6309" w:rsidRPr="00C35EB8" w:rsidRDefault="008E6309" w:rsidP="00C35EB8">
            <w:pPr>
              <w:pStyle w:val="BodyText"/>
              <w:spacing w:before="157" w:line="360" w:lineRule="auto"/>
              <w:ind w:left="0" w:right="115"/>
              <w:jc w:val="both"/>
            </w:pPr>
          </w:p>
        </w:tc>
        <w:tc>
          <w:tcPr>
            <w:tcW w:w="1025" w:type="dxa"/>
          </w:tcPr>
          <w:p w14:paraId="063C30D1" w14:textId="77777777" w:rsidR="008E6309" w:rsidRPr="00C35EB8" w:rsidRDefault="008E6309" w:rsidP="00C35EB8">
            <w:pPr>
              <w:pStyle w:val="BodyText"/>
              <w:spacing w:before="157" w:line="360" w:lineRule="auto"/>
              <w:ind w:left="0" w:right="115"/>
              <w:jc w:val="both"/>
            </w:pPr>
            <w:r w:rsidRPr="00C35EB8">
              <w:t>Kerala</w:t>
            </w:r>
          </w:p>
        </w:tc>
        <w:tc>
          <w:tcPr>
            <w:tcW w:w="1482" w:type="dxa"/>
          </w:tcPr>
          <w:p w14:paraId="4E2969C9" w14:textId="77777777" w:rsidR="008E6309" w:rsidRPr="00C35EB8" w:rsidRDefault="008E6309" w:rsidP="00C35EB8">
            <w:pPr>
              <w:pStyle w:val="BodyText"/>
              <w:spacing w:before="157" w:line="360" w:lineRule="auto"/>
              <w:ind w:left="0" w:right="115"/>
              <w:jc w:val="both"/>
            </w:pPr>
            <w:r w:rsidRPr="00C35EB8">
              <w:t>21.9</w:t>
            </w:r>
          </w:p>
        </w:tc>
        <w:tc>
          <w:tcPr>
            <w:tcW w:w="1303" w:type="dxa"/>
          </w:tcPr>
          <w:p w14:paraId="25CC3623" w14:textId="77777777" w:rsidR="008E6309" w:rsidRPr="00C35EB8" w:rsidRDefault="008E6309" w:rsidP="00C35EB8">
            <w:pPr>
              <w:pStyle w:val="BodyText"/>
              <w:spacing w:before="157" w:line="360" w:lineRule="auto"/>
              <w:ind w:left="0" w:right="115"/>
              <w:jc w:val="both"/>
            </w:pPr>
            <w:r w:rsidRPr="00C35EB8">
              <w:t>0.4</w:t>
            </w:r>
          </w:p>
        </w:tc>
        <w:tc>
          <w:tcPr>
            <w:tcW w:w="1606" w:type="dxa"/>
          </w:tcPr>
          <w:p w14:paraId="2645A8B2" w14:textId="77777777" w:rsidR="008E6309" w:rsidRPr="00C35EB8" w:rsidRDefault="008E6309" w:rsidP="00C35EB8">
            <w:pPr>
              <w:pStyle w:val="BodyText"/>
              <w:spacing w:before="157" w:line="360" w:lineRule="auto"/>
              <w:ind w:left="0" w:right="115"/>
              <w:jc w:val="both"/>
            </w:pPr>
            <w:r w:rsidRPr="00C35EB8">
              <w:t>9.7</w:t>
            </w:r>
          </w:p>
        </w:tc>
        <w:tc>
          <w:tcPr>
            <w:tcW w:w="1371" w:type="dxa"/>
          </w:tcPr>
          <w:p w14:paraId="59656F2F" w14:textId="77777777" w:rsidR="008E6309" w:rsidRPr="00C35EB8" w:rsidRDefault="008E6309" w:rsidP="00C35EB8">
            <w:pPr>
              <w:pStyle w:val="BodyText"/>
              <w:spacing w:before="157" w:line="360" w:lineRule="auto"/>
              <w:ind w:left="0" w:right="115"/>
              <w:jc w:val="both"/>
            </w:pPr>
            <w:r w:rsidRPr="00C35EB8">
              <w:t>0.5</w:t>
            </w:r>
          </w:p>
        </w:tc>
        <w:tc>
          <w:tcPr>
            <w:tcW w:w="1619" w:type="dxa"/>
          </w:tcPr>
          <w:p w14:paraId="23673298" w14:textId="77777777" w:rsidR="008E6309" w:rsidRPr="00C35EB8" w:rsidRDefault="008E6309" w:rsidP="00C35EB8">
            <w:pPr>
              <w:pStyle w:val="BodyText"/>
              <w:spacing w:before="157" w:line="360" w:lineRule="auto"/>
              <w:ind w:left="0" w:right="115"/>
              <w:jc w:val="both"/>
            </w:pPr>
            <w:r w:rsidRPr="00C35EB8">
              <w:t>18.8</w:t>
            </w:r>
          </w:p>
        </w:tc>
        <w:tc>
          <w:tcPr>
            <w:tcW w:w="1413" w:type="dxa"/>
          </w:tcPr>
          <w:p w14:paraId="490CC6DD" w14:textId="77777777" w:rsidR="008E6309" w:rsidRPr="00C35EB8" w:rsidRDefault="008E6309" w:rsidP="00C35EB8">
            <w:pPr>
              <w:pStyle w:val="BodyText"/>
              <w:spacing w:before="157" w:line="360" w:lineRule="auto"/>
              <w:ind w:left="0" w:right="115"/>
              <w:jc w:val="both"/>
            </w:pPr>
            <w:r w:rsidRPr="00C35EB8">
              <w:t>18.8</w:t>
            </w:r>
          </w:p>
        </w:tc>
        <w:tc>
          <w:tcPr>
            <w:tcW w:w="1879" w:type="dxa"/>
          </w:tcPr>
          <w:p w14:paraId="0A35D75E" w14:textId="77777777" w:rsidR="008E6309" w:rsidRPr="00C35EB8" w:rsidRDefault="008E6309" w:rsidP="00C35EB8">
            <w:pPr>
              <w:pStyle w:val="BodyText"/>
              <w:spacing w:before="157" w:line="360" w:lineRule="auto"/>
              <w:ind w:left="0" w:right="115"/>
              <w:jc w:val="both"/>
            </w:pPr>
            <w:r w:rsidRPr="00C35EB8">
              <w:t>14.9</w:t>
            </w:r>
          </w:p>
        </w:tc>
        <w:tc>
          <w:tcPr>
            <w:tcW w:w="1137" w:type="dxa"/>
          </w:tcPr>
          <w:p w14:paraId="4E93E4C6" w14:textId="77777777" w:rsidR="008E6309" w:rsidRPr="00C35EB8" w:rsidRDefault="008E6309" w:rsidP="00C35EB8">
            <w:pPr>
              <w:pStyle w:val="BodyText"/>
              <w:spacing w:before="157" w:line="360" w:lineRule="auto"/>
              <w:ind w:left="0" w:right="115"/>
              <w:jc w:val="both"/>
            </w:pPr>
            <w:r w:rsidRPr="00C35EB8">
              <w:t>3.8</w:t>
            </w:r>
          </w:p>
        </w:tc>
      </w:tr>
      <w:tr w:rsidR="008E6309" w:rsidRPr="00C35EB8" w14:paraId="7C5B19EC" w14:textId="77777777" w:rsidTr="008C5916">
        <w:trPr>
          <w:trHeight w:val="575"/>
        </w:trPr>
        <w:tc>
          <w:tcPr>
            <w:tcW w:w="916" w:type="dxa"/>
            <w:vMerge/>
          </w:tcPr>
          <w:p w14:paraId="47AA0248" w14:textId="77777777" w:rsidR="008E6309" w:rsidRPr="00C35EB8" w:rsidRDefault="008E6309" w:rsidP="00C35EB8">
            <w:pPr>
              <w:pStyle w:val="BodyText"/>
              <w:spacing w:before="157" w:line="360" w:lineRule="auto"/>
              <w:ind w:left="0" w:right="115"/>
              <w:jc w:val="both"/>
            </w:pPr>
          </w:p>
        </w:tc>
        <w:tc>
          <w:tcPr>
            <w:tcW w:w="691" w:type="dxa"/>
            <w:vMerge w:val="restart"/>
          </w:tcPr>
          <w:p w14:paraId="60265321" w14:textId="77777777" w:rsidR="008E6309" w:rsidRPr="00C35EB8" w:rsidRDefault="008E6309" w:rsidP="00C35EB8">
            <w:pPr>
              <w:pStyle w:val="BodyText"/>
              <w:spacing w:before="157" w:line="360" w:lineRule="auto"/>
              <w:ind w:left="0" w:right="115"/>
              <w:jc w:val="both"/>
            </w:pPr>
            <w:r w:rsidRPr="00C35EB8">
              <w:t>F</w:t>
            </w:r>
          </w:p>
          <w:p w14:paraId="39500410" w14:textId="77777777" w:rsidR="008E6309" w:rsidRPr="00C35EB8" w:rsidRDefault="008E6309" w:rsidP="00C35EB8">
            <w:pPr>
              <w:pStyle w:val="BodyText"/>
              <w:spacing w:before="157" w:line="360" w:lineRule="auto"/>
              <w:ind w:left="0" w:right="115"/>
              <w:jc w:val="both"/>
            </w:pPr>
          </w:p>
        </w:tc>
        <w:tc>
          <w:tcPr>
            <w:tcW w:w="1025" w:type="dxa"/>
          </w:tcPr>
          <w:p w14:paraId="4DB8A2F1" w14:textId="77777777" w:rsidR="008E6309" w:rsidRPr="00C35EB8" w:rsidRDefault="008E6309" w:rsidP="00C35EB8">
            <w:pPr>
              <w:pStyle w:val="BodyText"/>
              <w:spacing w:before="157" w:line="360" w:lineRule="auto"/>
              <w:ind w:left="0" w:right="115"/>
              <w:jc w:val="both"/>
            </w:pPr>
            <w:r w:rsidRPr="00C35EB8">
              <w:t>India</w:t>
            </w:r>
          </w:p>
        </w:tc>
        <w:tc>
          <w:tcPr>
            <w:tcW w:w="1482" w:type="dxa"/>
          </w:tcPr>
          <w:p w14:paraId="3F4FDC2E" w14:textId="77777777" w:rsidR="008E6309" w:rsidRPr="00C35EB8" w:rsidRDefault="008E6309" w:rsidP="00C35EB8">
            <w:pPr>
              <w:pStyle w:val="BodyText"/>
              <w:spacing w:before="157" w:line="360" w:lineRule="auto"/>
              <w:ind w:left="0" w:right="115"/>
              <w:jc w:val="both"/>
            </w:pPr>
            <w:r w:rsidRPr="00C35EB8">
              <w:t>60.1</w:t>
            </w:r>
          </w:p>
        </w:tc>
        <w:tc>
          <w:tcPr>
            <w:tcW w:w="1303" w:type="dxa"/>
          </w:tcPr>
          <w:p w14:paraId="75BEA860" w14:textId="77777777" w:rsidR="008E6309" w:rsidRPr="00C35EB8" w:rsidRDefault="008E6309" w:rsidP="00C35EB8">
            <w:pPr>
              <w:pStyle w:val="BodyText"/>
              <w:spacing w:before="157" w:line="360" w:lineRule="auto"/>
              <w:ind w:left="0" w:right="115"/>
              <w:jc w:val="both"/>
            </w:pPr>
            <w:r w:rsidRPr="00C35EB8">
              <w:t>0.2</w:t>
            </w:r>
          </w:p>
        </w:tc>
        <w:tc>
          <w:tcPr>
            <w:tcW w:w="1606" w:type="dxa"/>
          </w:tcPr>
          <w:p w14:paraId="2E4E58A5" w14:textId="77777777" w:rsidR="008E6309" w:rsidRPr="00C35EB8" w:rsidRDefault="008E6309" w:rsidP="00C35EB8">
            <w:pPr>
              <w:pStyle w:val="BodyText"/>
              <w:spacing w:before="157" w:line="360" w:lineRule="auto"/>
              <w:ind w:left="0" w:right="115"/>
              <w:jc w:val="both"/>
            </w:pPr>
            <w:r w:rsidRPr="00C35EB8">
              <w:t>10.8</w:t>
            </w:r>
          </w:p>
        </w:tc>
        <w:tc>
          <w:tcPr>
            <w:tcW w:w="1371" w:type="dxa"/>
          </w:tcPr>
          <w:p w14:paraId="0EAB8FD4" w14:textId="77777777" w:rsidR="008E6309" w:rsidRPr="00C35EB8" w:rsidRDefault="008E6309" w:rsidP="00C35EB8">
            <w:pPr>
              <w:pStyle w:val="BodyText"/>
              <w:spacing w:before="157" w:line="360" w:lineRule="auto"/>
              <w:ind w:left="0" w:right="115"/>
              <w:jc w:val="both"/>
            </w:pPr>
            <w:r w:rsidRPr="00C35EB8">
              <w:t>0.3</w:t>
            </w:r>
          </w:p>
        </w:tc>
        <w:tc>
          <w:tcPr>
            <w:tcW w:w="1619" w:type="dxa"/>
          </w:tcPr>
          <w:p w14:paraId="66B98258" w14:textId="77777777" w:rsidR="008E6309" w:rsidRPr="00C35EB8" w:rsidRDefault="008E6309" w:rsidP="00C35EB8">
            <w:pPr>
              <w:pStyle w:val="BodyText"/>
              <w:spacing w:before="157" w:line="360" w:lineRule="auto"/>
              <w:ind w:left="0" w:right="115"/>
              <w:jc w:val="both"/>
            </w:pPr>
            <w:r w:rsidRPr="00C35EB8">
              <w:t>5.2</w:t>
            </w:r>
          </w:p>
        </w:tc>
        <w:tc>
          <w:tcPr>
            <w:tcW w:w="1413" w:type="dxa"/>
          </w:tcPr>
          <w:p w14:paraId="75CA4AFF" w14:textId="77777777" w:rsidR="008E6309" w:rsidRPr="00C35EB8" w:rsidRDefault="008E6309" w:rsidP="00C35EB8">
            <w:pPr>
              <w:pStyle w:val="BodyText"/>
              <w:spacing w:before="157" w:line="360" w:lineRule="auto"/>
              <w:ind w:left="0" w:right="115"/>
              <w:jc w:val="both"/>
            </w:pPr>
            <w:r w:rsidRPr="00C35EB8">
              <w:t>5.9</w:t>
            </w:r>
          </w:p>
        </w:tc>
        <w:tc>
          <w:tcPr>
            <w:tcW w:w="1879" w:type="dxa"/>
          </w:tcPr>
          <w:p w14:paraId="6CAC2174" w14:textId="77777777" w:rsidR="008E6309" w:rsidRPr="00C35EB8" w:rsidRDefault="008E6309" w:rsidP="00C35EB8">
            <w:pPr>
              <w:pStyle w:val="BodyText"/>
              <w:spacing w:before="157" w:line="360" w:lineRule="auto"/>
              <w:ind w:left="0" w:right="115"/>
              <w:jc w:val="both"/>
            </w:pPr>
            <w:r w:rsidRPr="00C35EB8">
              <w:t>1.1</w:t>
            </w:r>
          </w:p>
        </w:tc>
        <w:tc>
          <w:tcPr>
            <w:tcW w:w="1137" w:type="dxa"/>
          </w:tcPr>
          <w:p w14:paraId="228C530F" w14:textId="77777777" w:rsidR="008E6309" w:rsidRPr="00C35EB8" w:rsidRDefault="008E6309" w:rsidP="00C35EB8">
            <w:pPr>
              <w:pStyle w:val="BodyText"/>
              <w:spacing w:before="157" w:line="360" w:lineRule="auto"/>
              <w:ind w:left="0" w:right="115"/>
              <w:jc w:val="both"/>
            </w:pPr>
            <w:r w:rsidRPr="00C35EB8">
              <w:t>1</w:t>
            </w:r>
          </w:p>
        </w:tc>
      </w:tr>
      <w:tr w:rsidR="008E6309" w:rsidRPr="00C35EB8" w14:paraId="0F8A1279" w14:textId="77777777" w:rsidTr="008C5916">
        <w:trPr>
          <w:trHeight w:val="1015"/>
        </w:trPr>
        <w:tc>
          <w:tcPr>
            <w:tcW w:w="916" w:type="dxa"/>
            <w:vMerge/>
          </w:tcPr>
          <w:p w14:paraId="4DFE6AC5" w14:textId="77777777" w:rsidR="008E6309" w:rsidRPr="00C35EB8" w:rsidRDefault="008E6309" w:rsidP="00C35EB8">
            <w:pPr>
              <w:pStyle w:val="BodyText"/>
              <w:spacing w:before="157" w:line="360" w:lineRule="auto"/>
              <w:ind w:left="0" w:right="115"/>
              <w:jc w:val="both"/>
            </w:pPr>
          </w:p>
        </w:tc>
        <w:tc>
          <w:tcPr>
            <w:tcW w:w="691" w:type="dxa"/>
            <w:vMerge/>
          </w:tcPr>
          <w:p w14:paraId="3452E11B" w14:textId="77777777" w:rsidR="008E6309" w:rsidRPr="00C35EB8" w:rsidRDefault="008E6309" w:rsidP="00C35EB8">
            <w:pPr>
              <w:pStyle w:val="BodyText"/>
              <w:spacing w:before="157" w:line="360" w:lineRule="auto"/>
              <w:ind w:left="0" w:right="115"/>
              <w:jc w:val="both"/>
            </w:pPr>
          </w:p>
        </w:tc>
        <w:tc>
          <w:tcPr>
            <w:tcW w:w="1025" w:type="dxa"/>
          </w:tcPr>
          <w:p w14:paraId="6A92A4F8" w14:textId="77777777" w:rsidR="008E6309" w:rsidRPr="00C35EB8" w:rsidRDefault="008E6309" w:rsidP="00C35EB8">
            <w:pPr>
              <w:pStyle w:val="BodyText"/>
              <w:spacing w:before="157" w:line="360" w:lineRule="auto"/>
              <w:ind w:left="0" w:right="115"/>
              <w:jc w:val="both"/>
            </w:pPr>
            <w:r w:rsidRPr="00C35EB8">
              <w:t>Kerala</w:t>
            </w:r>
          </w:p>
        </w:tc>
        <w:tc>
          <w:tcPr>
            <w:tcW w:w="1482" w:type="dxa"/>
          </w:tcPr>
          <w:p w14:paraId="16CFA7F8" w14:textId="77777777" w:rsidR="008E6309" w:rsidRPr="00C35EB8" w:rsidRDefault="008E6309" w:rsidP="00C35EB8">
            <w:pPr>
              <w:pStyle w:val="BodyText"/>
              <w:spacing w:before="157" w:line="360" w:lineRule="auto"/>
              <w:ind w:left="0" w:right="115"/>
              <w:jc w:val="both"/>
            </w:pPr>
            <w:r w:rsidRPr="00C35EB8">
              <w:t>20.7</w:t>
            </w:r>
          </w:p>
        </w:tc>
        <w:tc>
          <w:tcPr>
            <w:tcW w:w="1303" w:type="dxa"/>
          </w:tcPr>
          <w:p w14:paraId="376BA1D2" w14:textId="77777777" w:rsidR="008E6309" w:rsidRPr="00C35EB8" w:rsidRDefault="008E6309" w:rsidP="00C35EB8">
            <w:pPr>
              <w:pStyle w:val="BodyText"/>
              <w:spacing w:before="157" w:line="360" w:lineRule="auto"/>
              <w:ind w:left="0" w:right="115"/>
              <w:jc w:val="both"/>
            </w:pPr>
            <w:r w:rsidRPr="00C35EB8">
              <w:t>0.1</w:t>
            </w:r>
          </w:p>
        </w:tc>
        <w:tc>
          <w:tcPr>
            <w:tcW w:w="1606" w:type="dxa"/>
          </w:tcPr>
          <w:p w14:paraId="372BCF21" w14:textId="77777777" w:rsidR="008E6309" w:rsidRPr="00C35EB8" w:rsidRDefault="008E6309" w:rsidP="00C35EB8">
            <w:pPr>
              <w:pStyle w:val="BodyText"/>
              <w:spacing w:before="157" w:line="360" w:lineRule="auto"/>
              <w:ind w:left="0" w:right="115"/>
              <w:jc w:val="both"/>
            </w:pPr>
            <w:r w:rsidRPr="00C35EB8">
              <w:t>17.5</w:t>
            </w:r>
          </w:p>
        </w:tc>
        <w:tc>
          <w:tcPr>
            <w:tcW w:w="1371" w:type="dxa"/>
          </w:tcPr>
          <w:p w14:paraId="26B5F6A9" w14:textId="77777777" w:rsidR="008E6309" w:rsidRPr="00C35EB8" w:rsidRDefault="008E6309" w:rsidP="00C35EB8">
            <w:pPr>
              <w:pStyle w:val="BodyText"/>
              <w:spacing w:before="157" w:line="360" w:lineRule="auto"/>
              <w:ind w:left="0" w:right="115"/>
              <w:jc w:val="both"/>
            </w:pPr>
            <w:r w:rsidRPr="00C35EB8">
              <w:t>0.5</w:t>
            </w:r>
          </w:p>
        </w:tc>
        <w:tc>
          <w:tcPr>
            <w:tcW w:w="1619" w:type="dxa"/>
          </w:tcPr>
          <w:p w14:paraId="2DC48AC9" w14:textId="77777777" w:rsidR="008E6309" w:rsidRPr="00C35EB8" w:rsidRDefault="008E6309" w:rsidP="00C35EB8">
            <w:pPr>
              <w:pStyle w:val="BodyText"/>
              <w:spacing w:before="157" w:line="360" w:lineRule="auto"/>
              <w:ind w:left="0" w:right="115"/>
              <w:jc w:val="both"/>
            </w:pPr>
            <w:r w:rsidRPr="00C35EB8">
              <w:t>3.6</w:t>
            </w:r>
          </w:p>
        </w:tc>
        <w:tc>
          <w:tcPr>
            <w:tcW w:w="1413" w:type="dxa"/>
          </w:tcPr>
          <w:p w14:paraId="680D0F3E" w14:textId="77777777" w:rsidR="008E6309" w:rsidRPr="00C35EB8" w:rsidRDefault="008E6309" w:rsidP="00C35EB8">
            <w:pPr>
              <w:pStyle w:val="BodyText"/>
              <w:spacing w:before="157" w:line="360" w:lineRule="auto"/>
              <w:ind w:left="0" w:right="115"/>
              <w:jc w:val="both"/>
            </w:pPr>
            <w:r w:rsidRPr="00C35EB8">
              <w:t>10.8</w:t>
            </w:r>
          </w:p>
        </w:tc>
        <w:tc>
          <w:tcPr>
            <w:tcW w:w="1879" w:type="dxa"/>
          </w:tcPr>
          <w:p w14:paraId="580EAFA3" w14:textId="77777777" w:rsidR="008E6309" w:rsidRPr="00C35EB8" w:rsidRDefault="008E6309" w:rsidP="00C35EB8">
            <w:pPr>
              <w:pStyle w:val="BodyText"/>
              <w:spacing w:before="157" w:line="360" w:lineRule="auto"/>
              <w:ind w:left="0" w:right="115"/>
              <w:jc w:val="both"/>
            </w:pPr>
            <w:r w:rsidRPr="00C35EB8">
              <w:t>4.2</w:t>
            </w:r>
          </w:p>
        </w:tc>
        <w:tc>
          <w:tcPr>
            <w:tcW w:w="1137" w:type="dxa"/>
          </w:tcPr>
          <w:p w14:paraId="4674F28E" w14:textId="77777777" w:rsidR="008E6309" w:rsidRPr="00C35EB8" w:rsidRDefault="008E6309" w:rsidP="00C35EB8">
            <w:pPr>
              <w:pStyle w:val="BodyText"/>
              <w:spacing w:before="157" w:line="360" w:lineRule="auto"/>
              <w:ind w:left="0" w:right="115"/>
              <w:jc w:val="both"/>
            </w:pPr>
            <w:r w:rsidRPr="00C35EB8">
              <w:t>5.1</w:t>
            </w:r>
          </w:p>
        </w:tc>
      </w:tr>
      <w:tr w:rsidR="008E6309" w:rsidRPr="00C35EB8" w14:paraId="7BA38360" w14:textId="77777777" w:rsidTr="008C5916">
        <w:trPr>
          <w:trHeight w:val="852"/>
        </w:trPr>
        <w:tc>
          <w:tcPr>
            <w:tcW w:w="916" w:type="dxa"/>
            <w:vMerge w:val="restart"/>
          </w:tcPr>
          <w:p w14:paraId="3EF35A1D" w14:textId="77777777" w:rsidR="008E6309" w:rsidRPr="00C35EB8" w:rsidRDefault="008E6309" w:rsidP="00C35EB8">
            <w:pPr>
              <w:pStyle w:val="BodyText"/>
              <w:spacing w:before="157" w:line="360" w:lineRule="auto"/>
              <w:ind w:left="0" w:right="115"/>
              <w:jc w:val="both"/>
            </w:pPr>
            <w:r w:rsidRPr="00C35EB8">
              <w:t>2021-22</w:t>
            </w:r>
          </w:p>
        </w:tc>
        <w:tc>
          <w:tcPr>
            <w:tcW w:w="691" w:type="dxa"/>
            <w:vMerge w:val="restart"/>
          </w:tcPr>
          <w:p w14:paraId="18D4E02E" w14:textId="77777777" w:rsidR="008E6309" w:rsidRPr="00C35EB8" w:rsidRDefault="008E6309" w:rsidP="00C35EB8">
            <w:pPr>
              <w:pStyle w:val="BodyText"/>
              <w:spacing w:before="157" w:line="360" w:lineRule="auto"/>
              <w:ind w:left="0" w:right="115"/>
              <w:jc w:val="both"/>
            </w:pPr>
            <w:r w:rsidRPr="00C35EB8">
              <w:t>M</w:t>
            </w:r>
          </w:p>
          <w:p w14:paraId="39A90FCA" w14:textId="77777777" w:rsidR="008E6309" w:rsidRPr="00C35EB8" w:rsidRDefault="008E6309" w:rsidP="00C35EB8">
            <w:pPr>
              <w:pStyle w:val="BodyText"/>
              <w:spacing w:before="157" w:line="360" w:lineRule="auto"/>
              <w:ind w:left="0" w:right="115"/>
              <w:jc w:val="both"/>
            </w:pPr>
          </w:p>
        </w:tc>
        <w:tc>
          <w:tcPr>
            <w:tcW w:w="1025" w:type="dxa"/>
          </w:tcPr>
          <w:p w14:paraId="25CF9260" w14:textId="77777777" w:rsidR="008E6309" w:rsidRPr="00C35EB8" w:rsidRDefault="008E6309" w:rsidP="00C35EB8">
            <w:pPr>
              <w:pStyle w:val="BodyText"/>
              <w:spacing w:before="157" w:line="360" w:lineRule="auto"/>
              <w:ind w:left="0" w:right="115"/>
              <w:jc w:val="both"/>
            </w:pPr>
            <w:r w:rsidRPr="00C35EB8">
              <w:t>India</w:t>
            </w:r>
          </w:p>
          <w:p w14:paraId="272F261F" w14:textId="77777777" w:rsidR="008E6309" w:rsidRPr="00C35EB8" w:rsidRDefault="008E6309" w:rsidP="00C35EB8">
            <w:pPr>
              <w:pStyle w:val="BodyText"/>
              <w:spacing w:before="157" w:line="360" w:lineRule="auto"/>
              <w:ind w:left="0" w:right="115"/>
              <w:jc w:val="both"/>
            </w:pPr>
          </w:p>
        </w:tc>
        <w:tc>
          <w:tcPr>
            <w:tcW w:w="1482" w:type="dxa"/>
          </w:tcPr>
          <w:p w14:paraId="56D64468" w14:textId="77777777" w:rsidR="008E6309" w:rsidRPr="00C35EB8" w:rsidRDefault="008E6309" w:rsidP="00C35EB8">
            <w:pPr>
              <w:pStyle w:val="BodyText"/>
              <w:spacing w:before="157" w:line="360" w:lineRule="auto"/>
              <w:ind w:left="0" w:right="115"/>
              <w:jc w:val="both"/>
            </w:pPr>
            <w:r w:rsidRPr="00C35EB8">
              <w:t xml:space="preserve">  38.08       </w:t>
            </w:r>
          </w:p>
        </w:tc>
        <w:tc>
          <w:tcPr>
            <w:tcW w:w="1303" w:type="dxa"/>
          </w:tcPr>
          <w:p w14:paraId="750B3F1E" w14:textId="77777777" w:rsidR="008E6309" w:rsidRPr="00C35EB8" w:rsidRDefault="008E6309" w:rsidP="00C35EB8">
            <w:pPr>
              <w:pStyle w:val="BodyText"/>
              <w:spacing w:before="157" w:line="360" w:lineRule="auto"/>
              <w:ind w:left="0" w:right="115"/>
              <w:jc w:val="both"/>
            </w:pPr>
            <w:r w:rsidRPr="00C35EB8">
              <w:t xml:space="preserve">0.41      </w:t>
            </w:r>
          </w:p>
        </w:tc>
        <w:tc>
          <w:tcPr>
            <w:tcW w:w="1606" w:type="dxa"/>
          </w:tcPr>
          <w:p w14:paraId="4B814CF8" w14:textId="77777777" w:rsidR="008E6309" w:rsidRPr="00C35EB8" w:rsidRDefault="008E6309" w:rsidP="00C35EB8">
            <w:pPr>
              <w:pStyle w:val="BodyText"/>
              <w:spacing w:before="157" w:line="360" w:lineRule="auto"/>
              <w:ind w:left="0" w:right="115"/>
              <w:jc w:val="both"/>
            </w:pPr>
            <w:r w:rsidRPr="00C35EB8">
              <w:t xml:space="preserve">11.75       </w:t>
            </w:r>
          </w:p>
        </w:tc>
        <w:tc>
          <w:tcPr>
            <w:tcW w:w="1371" w:type="dxa"/>
          </w:tcPr>
          <w:p w14:paraId="3A72B5AA" w14:textId="77777777" w:rsidR="008E6309" w:rsidRPr="00C35EB8" w:rsidRDefault="008E6309" w:rsidP="00C35EB8">
            <w:pPr>
              <w:pStyle w:val="BodyText"/>
              <w:spacing w:before="157" w:line="360" w:lineRule="auto"/>
              <w:ind w:left="0" w:right="115"/>
              <w:jc w:val="both"/>
            </w:pPr>
            <w:r w:rsidRPr="00C35EB8">
              <w:t xml:space="preserve">0.72      </w:t>
            </w:r>
          </w:p>
        </w:tc>
        <w:tc>
          <w:tcPr>
            <w:tcW w:w="1619" w:type="dxa"/>
          </w:tcPr>
          <w:p w14:paraId="5DAFFFFD" w14:textId="77777777" w:rsidR="008E6309" w:rsidRPr="00C35EB8" w:rsidRDefault="008E6309" w:rsidP="00C35EB8">
            <w:pPr>
              <w:pStyle w:val="BodyText"/>
              <w:spacing w:before="157" w:line="360" w:lineRule="auto"/>
              <w:ind w:left="0" w:right="115"/>
              <w:jc w:val="both"/>
            </w:pPr>
            <w:r w:rsidRPr="00C35EB8">
              <w:t>15.57</w:t>
            </w:r>
          </w:p>
        </w:tc>
        <w:tc>
          <w:tcPr>
            <w:tcW w:w="1413" w:type="dxa"/>
          </w:tcPr>
          <w:p w14:paraId="43FC86D2" w14:textId="77777777" w:rsidR="008E6309" w:rsidRPr="00C35EB8" w:rsidRDefault="008E6309" w:rsidP="00C35EB8">
            <w:pPr>
              <w:pStyle w:val="BodyText"/>
              <w:spacing w:before="157" w:line="360" w:lineRule="auto"/>
              <w:ind w:left="0" w:right="115"/>
              <w:jc w:val="both"/>
            </w:pPr>
            <w:r w:rsidRPr="00C35EB8">
              <w:t>14.73</w:t>
            </w:r>
          </w:p>
        </w:tc>
        <w:tc>
          <w:tcPr>
            <w:tcW w:w="1879" w:type="dxa"/>
          </w:tcPr>
          <w:p w14:paraId="49CCEE12" w14:textId="77777777" w:rsidR="008E6309" w:rsidRPr="00C35EB8" w:rsidRDefault="008E6309" w:rsidP="00C35EB8">
            <w:pPr>
              <w:pStyle w:val="BodyText"/>
              <w:spacing w:before="157" w:line="360" w:lineRule="auto"/>
              <w:ind w:left="0" w:right="115"/>
              <w:jc w:val="both"/>
            </w:pPr>
            <w:r w:rsidRPr="00C35EB8">
              <w:t>7.53</w:t>
            </w:r>
          </w:p>
        </w:tc>
        <w:tc>
          <w:tcPr>
            <w:tcW w:w="1137" w:type="dxa"/>
          </w:tcPr>
          <w:p w14:paraId="55D602D4" w14:textId="77777777" w:rsidR="008E6309" w:rsidRPr="00C35EB8" w:rsidRDefault="008E6309" w:rsidP="00C35EB8">
            <w:pPr>
              <w:pStyle w:val="BodyText"/>
              <w:spacing w:before="157" w:line="360" w:lineRule="auto"/>
              <w:ind w:left="0" w:right="115"/>
              <w:jc w:val="both"/>
            </w:pPr>
            <w:r w:rsidRPr="00C35EB8">
              <w:t>11.2</w:t>
            </w:r>
          </w:p>
          <w:p w14:paraId="0E375423" w14:textId="77777777" w:rsidR="008E6309" w:rsidRPr="00C35EB8" w:rsidRDefault="008E6309" w:rsidP="00C35EB8">
            <w:pPr>
              <w:pStyle w:val="BodyText"/>
              <w:spacing w:before="157" w:line="360" w:lineRule="auto"/>
              <w:ind w:left="0" w:right="115"/>
              <w:jc w:val="both"/>
            </w:pPr>
          </w:p>
        </w:tc>
      </w:tr>
      <w:tr w:rsidR="008E6309" w:rsidRPr="00C35EB8" w14:paraId="52734A63" w14:textId="77777777" w:rsidTr="008C5916">
        <w:trPr>
          <w:trHeight w:val="1015"/>
        </w:trPr>
        <w:tc>
          <w:tcPr>
            <w:tcW w:w="916" w:type="dxa"/>
            <w:vMerge/>
          </w:tcPr>
          <w:p w14:paraId="4AF3F0B6" w14:textId="77777777" w:rsidR="008E6309" w:rsidRPr="00C35EB8" w:rsidRDefault="008E6309" w:rsidP="00C35EB8">
            <w:pPr>
              <w:pStyle w:val="BodyText"/>
              <w:spacing w:before="157" w:line="360" w:lineRule="auto"/>
              <w:ind w:left="0" w:right="115"/>
              <w:jc w:val="both"/>
            </w:pPr>
          </w:p>
        </w:tc>
        <w:tc>
          <w:tcPr>
            <w:tcW w:w="691" w:type="dxa"/>
            <w:vMerge/>
          </w:tcPr>
          <w:p w14:paraId="0B665342" w14:textId="77777777" w:rsidR="008E6309" w:rsidRPr="00C35EB8" w:rsidRDefault="008E6309" w:rsidP="00C35EB8">
            <w:pPr>
              <w:pStyle w:val="BodyText"/>
              <w:spacing w:before="157" w:line="360" w:lineRule="auto"/>
              <w:ind w:left="0" w:right="115"/>
              <w:jc w:val="both"/>
            </w:pPr>
          </w:p>
        </w:tc>
        <w:tc>
          <w:tcPr>
            <w:tcW w:w="1025" w:type="dxa"/>
          </w:tcPr>
          <w:p w14:paraId="6F94B5FC" w14:textId="77777777" w:rsidR="008E6309" w:rsidRPr="00C35EB8" w:rsidRDefault="008E6309" w:rsidP="00C35EB8">
            <w:pPr>
              <w:pStyle w:val="BodyText"/>
              <w:spacing w:before="157" w:line="360" w:lineRule="auto"/>
              <w:ind w:left="0" w:right="115"/>
              <w:jc w:val="both"/>
            </w:pPr>
            <w:r w:rsidRPr="00C35EB8">
              <w:t>Kerala</w:t>
            </w:r>
          </w:p>
        </w:tc>
        <w:tc>
          <w:tcPr>
            <w:tcW w:w="1482" w:type="dxa"/>
          </w:tcPr>
          <w:p w14:paraId="3716686D" w14:textId="77777777" w:rsidR="008E6309" w:rsidRPr="00C35EB8" w:rsidRDefault="008E6309" w:rsidP="00C35EB8">
            <w:pPr>
              <w:pStyle w:val="BodyText"/>
              <w:spacing w:before="157" w:line="360" w:lineRule="auto"/>
              <w:ind w:left="0" w:right="115"/>
              <w:jc w:val="both"/>
            </w:pPr>
            <w:r w:rsidRPr="00C35EB8">
              <w:t xml:space="preserve"> 20.42        </w:t>
            </w:r>
          </w:p>
        </w:tc>
        <w:tc>
          <w:tcPr>
            <w:tcW w:w="1303" w:type="dxa"/>
          </w:tcPr>
          <w:p w14:paraId="71B0FC61" w14:textId="77777777" w:rsidR="008E6309" w:rsidRPr="00C35EB8" w:rsidRDefault="008E6309" w:rsidP="00C35EB8">
            <w:pPr>
              <w:pStyle w:val="BodyText"/>
              <w:spacing w:before="157" w:line="360" w:lineRule="auto"/>
              <w:ind w:left="0" w:right="115"/>
              <w:jc w:val="both"/>
            </w:pPr>
            <w:r w:rsidRPr="00C35EB8">
              <w:t xml:space="preserve"> 0.22       </w:t>
            </w:r>
          </w:p>
        </w:tc>
        <w:tc>
          <w:tcPr>
            <w:tcW w:w="1606" w:type="dxa"/>
          </w:tcPr>
          <w:p w14:paraId="2DCF0CD3" w14:textId="77777777" w:rsidR="008E6309" w:rsidRPr="00C35EB8" w:rsidRDefault="008E6309" w:rsidP="00C35EB8">
            <w:pPr>
              <w:pStyle w:val="BodyText"/>
              <w:spacing w:before="157" w:line="360" w:lineRule="auto"/>
              <w:ind w:left="0" w:right="115"/>
              <w:jc w:val="both"/>
            </w:pPr>
            <w:r w:rsidRPr="00C35EB8">
              <w:t xml:space="preserve"> 9.75</w:t>
            </w:r>
          </w:p>
        </w:tc>
        <w:tc>
          <w:tcPr>
            <w:tcW w:w="1371" w:type="dxa"/>
          </w:tcPr>
          <w:p w14:paraId="7B2BD098" w14:textId="77777777" w:rsidR="008E6309" w:rsidRPr="00C35EB8" w:rsidRDefault="008E6309" w:rsidP="00C35EB8">
            <w:pPr>
              <w:pStyle w:val="BodyText"/>
              <w:spacing w:before="157" w:line="360" w:lineRule="auto"/>
              <w:ind w:left="0" w:right="115"/>
              <w:jc w:val="both"/>
            </w:pPr>
            <w:r w:rsidRPr="00C35EB8">
              <w:t xml:space="preserve"> 0.57      </w:t>
            </w:r>
          </w:p>
        </w:tc>
        <w:tc>
          <w:tcPr>
            <w:tcW w:w="1619" w:type="dxa"/>
          </w:tcPr>
          <w:p w14:paraId="5AEE3E2B" w14:textId="77777777" w:rsidR="008E6309" w:rsidRPr="00C35EB8" w:rsidRDefault="008E6309" w:rsidP="00C35EB8">
            <w:pPr>
              <w:pStyle w:val="BodyText"/>
              <w:spacing w:before="157" w:line="360" w:lineRule="auto"/>
              <w:ind w:left="0" w:right="115"/>
              <w:jc w:val="both"/>
            </w:pPr>
            <w:r w:rsidRPr="00C35EB8">
              <w:t xml:space="preserve"> 23.61 </w:t>
            </w:r>
          </w:p>
        </w:tc>
        <w:tc>
          <w:tcPr>
            <w:tcW w:w="1413" w:type="dxa"/>
          </w:tcPr>
          <w:p w14:paraId="00D3E7A5" w14:textId="77777777" w:rsidR="008E6309" w:rsidRPr="00C35EB8" w:rsidRDefault="008E6309" w:rsidP="00C35EB8">
            <w:pPr>
              <w:pStyle w:val="BodyText"/>
              <w:spacing w:before="157" w:line="360" w:lineRule="auto"/>
              <w:ind w:left="0" w:right="115"/>
              <w:jc w:val="both"/>
            </w:pPr>
            <w:r w:rsidRPr="00C35EB8">
              <w:t>18.10</w:t>
            </w:r>
          </w:p>
        </w:tc>
        <w:tc>
          <w:tcPr>
            <w:tcW w:w="1879" w:type="dxa"/>
          </w:tcPr>
          <w:p w14:paraId="5C6A4742" w14:textId="77777777" w:rsidR="008E6309" w:rsidRPr="00C35EB8" w:rsidRDefault="008E6309" w:rsidP="00C35EB8">
            <w:pPr>
              <w:pStyle w:val="BodyText"/>
              <w:spacing w:before="157" w:line="360" w:lineRule="auto"/>
              <w:ind w:left="0" w:right="115"/>
              <w:jc w:val="both"/>
            </w:pPr>
            <w:r w:rsidRPr="00C35EB8">
              <w:t>11.97</w:t>
            </w:r>
          </w:p>
        </w:tc>
        <w:tc>
          <w:tcPr>
            <w:tcW w:w="1137" w:type="dxa"/>
          </w:tcPr>
          <w:p w14:paraId="743C9028" w14:textId="77777777" w:rsidR="008E6309" w:rsidRPr="00C35EB8" w:rsidRDefault="008E6309" w:rsidP="00C35EB8">
            <w:pPr>
              <w:pStyle w:val="BodyText"/>
              <w:spacing w:before="157" w:line="360" w:lineRule="auto"/>
              <w:ind w:left="0" w:right="115"/>
              <w:jc w:val="both"/>
            </w:pPr>
            <w:r w:rsidRPr="00C35EB8">
              <w:t>15.34</w:t>
            </w:r>
          </w:p>
        </w:tc>
      </w:tr>
      <w:tr w:rsidR="008E6309" w:rsidRPr="00C35EB8" w14:paraId="32AD810E" w14:textId="77777777" w:rsidTr="008C5916">
        <w:trPr>
          <w:trHeight w:val="575"/>
        </w:trPr>
        <w:tc>
          <w:tcPr>
            <w:tcW w:w="916" w:type="dxa"/>
            <w:vMerge/>
          </w:tcPr>
          <w:p w14:paraId="2BF99B8C" w14:textId="77777777" w:rsidR="008E6309" w:rsidRPr="00C35EB8" w:rsidRDefault="008E6309" w:rsidP="00C35EB8">
            <w:pPr>
              <w:pStyle w:val="BodyText"/>
              <w:spacing w:before="157" w:line="360" w:lineRule="auto"/>
              <w:ind w:left="0" w:right="115"/>
              <w:jc w:val="both"/>
            </w:pPr>
          </w:p>
        </w:tc>
        <w:tc>
          <w:tcPr>
            <w:tcW w:w="691" w:type="dxa"/>
          </w:tcPr>
          <w:p w14:paraId="21D10CB3" w14:textId="77777777" w:rsidR="008E6309" w:rsidRPr="00C35EB8" w:rsidRDefault="008E6309" w:rsidP="00C35EB8">
            <w:pPr>
              <w:pStyle w:val="BodyText"/>
              <w:spacing w:before="157" w:line="360" w:lineRule="auto"/>
              <w:ind w:left="0" w:right="115"/>
              <w:jc w:val="both"/>
            </w:pPr>
            <w:r w:rsidRPr="00C35EB8">
              <w:t>F</w:t>
            </w:r>
          </w:p>
        </w:tc>
        <w:tc>
          <w:tcPr>
            <w:tcW w:w="1025" w:type="dxa"/>
          </w:tcPr>
          <w:p w14:paraId="6BE0E366" w14:textId="77777777" w:rsidR="008E6309" w:rsidRPr="00C35EB8" w:rsidRDefault="008E6309" w:rsidP="00C35EB8">
            <w:pPr>
              <w:pStyle w:val="BodyText"/>
              <w:spacing w:before="157" w:line="360" w:lineRule="auto"/>
              <w:ind w:left="0" w:right="115"/>
              <w:jc w:val="both"/>
            </w:pPr>
            <w:r w:rsidRPr="00C35EB8">
              <w:t>India</w:t>
            </w:r>
          </w:p>
        </w:tc>
        <w:tc>
          <w:tcPr>
            <w:tcW w:w="1482" w:type="dxa"/>
          </w:tcPr>
          <w:p w14:paraId="2D80BEFC" w14:textId="77777777" w:rsidR="008E6309" w:rsidRPr="00C35EB8" w:rsidRDefault="008E6309" w:rsidP="00C35EB8">
            <w:pPr>
              <w:pStyle w:val="BodyText"/>
              <w:spacing w:before="157" w:line="360" w:lineRule="auto"/>
              <w:ind w:left="0" w:right="115"/>
              <w:jc w:val="both"/>
            </w:pPr>
            <w:r w:rsidRPr="00C35EB8">
              <w:t xml:space="preserve"> 62.87        </w:t>
            </w:r>
          </w:p>
        </w:tc>
        <w:tc>
          <w:tcPr>
            <w:tcW w:w="1303" w:type="dxa"/>
          </w:tcPr>
          <w:p w14:paraId="3F2B97FF" w14:textId="77777777" w:rsidR="008E6309" w:rsidRPr="00C35EB8" w:rsidRDefault="008E6309" w:rsidP="00C35EB8">
            <w:pPr>
              <w:pStyle w:val="BodyText"/>
              <w:spacing w:before="157" w:line="360" w:lineRule="auto"/>
              <w:ind w:left="0" w:right="115"/>
              <w:jc w:val="both"/>
            </w:pPr>
            <w:r w:rsidRPr="00C35EB8">
              <w:t xml:space="preserve"> 0.12      </w:t>
            </w:r>
          </w:p>
        </w:tc>
        <w:tc>
          <w:tcPr>
            <w:tcW w:w="1606" w:type="dxa"/>
          </w:tcPr>
          <w:p w14:paraId="0672F24C" w14:textId="77777777" w:rsidR="008E6309" w:rsidRPr="00C35EB8" w:rsidRDefault="008E6309" w:rsidP="00C35EB8">
            <w:pPr>
              <w:pStyle w:val="BodyText"/>
              <w:spacing w:before="157" w:line="360" w:lineRule="auto"/>
              <w:ind w:left="0" w:right="115"/>
              <w:jc w:val="both"/>
            </w:pPr>
            <w:r w:rsidRPr="00C35EB8">
              <w:t xml:space="preserve"> 11.16             </w:t>
            </w:r>
          </w:p>
        </w:tc>
        <w:tc>
          <w:tcPr>
            <w:tcW w:w="1371" w:type="dxa"/>
          </w:tcPr>
          <w:p w14:paraId="02C60D3A" w14:textId="77777777" w:rsidR="008E6309" w:rsidRPr="00C35EB8" w:rsidRDefault="008E6309" w:rsidP="00C35EB8">
            <w:pPr>
              <w:pStyle w:val="BodyText"/>
              <w:spacing w:before="157" w:line="360" w:lineRule="auto"/>
              <w:ind w:left="0" w:right="115"/>
              <w:jc w:val="both"/>
            </w:pPr>
            <w:r w:rsidRPr="00C35EB8">
              <w:t xml:space="preserve"> 0.17       </w:t>
            </w:r>
          </w:p>
        </w:tc>
        <w:tc>
          <w:tcPr>
            <w:tcW w:w="1619" w:type="dxa"/>
          </w:tcPr>
          <w:p w14:paraId="02F625B8" w14:textId="77777777" w:rsidR="008E6309" w:rsidRPr="00C35EB8" w:rsidRDefault="008E6309" w:rsidP="00C35EB8">
            <w:pPr>
              <w:pStyle w:val="BodyText"/>
              <w:spacing w:before="157" w:line="360" w:lineRule="auto"/>
              <w:ind w:left="0" w:right="115"/>
              <w:jc w:val="both"/>
            </w:pPr>
            <w:r w:rsidRPr="00C35EB8">
              <w:t xml:space="preserve">5.02 </w:t>
            </w:r>
          </w:p>
        </w:tc>
        <w:tc>
          <w:tcPr>
            <w:tcW w:w="1413" w:type="dxa"/>
          </w:tcPr>
          <w:p w14:paraId="3811A770" w14:textId="77777777" w:rsidR="008E6309" w:rsidRPr="00C35EB8" w:rsidRDefault="008E6309" w:rsidP="00C35EB8">
            <w:pPr>
              <w:pStyle w:val="BodyText"/>
              <w:spacing w:before="157" w:line="360" w:lineRule="auto"/>
              <w:ind w:left="0" w:right="115"/>
              <w:jc w:val="both"/>
            </w:pPr>
            <w:r w:rsidRPr="00C35EB8">
              <w:t>5.90</w:t>
            </w:r>
          </w:p>
        </w:tc>
        <w:tc>
          <w:tcPr>
            <w:tcW w:w="1879" w:type="dxa"/>
          </w:tcPr>
          <w:p w14:paraId="185148E1" w14:textId="77777777" w:rsidR="008E6309" w:rsidRPr="00C35EB8" w:rsidRDefault="008E6309" w:rsidP="00C35EB8">
            <w:pPr>
              <w:pStyle w:val="BodyText"/>
              <w:spacing w:before="157" w:line="360" w:lineRule="auto"/>
              <w:ind w:left="0" w:right="115"/>
              <w:jc w:val="both"/>
            </w:pPr>
            <w:r w:rsidRPr="00C35EB8">
              <w:t>1.16</w:t>
            </w:r>
          </w:p>
        </w:tc>
        <w:tc>
          <w:tcPr>
            <w:tcW w:w="1137" w:type="dxa"/>
          </w:tcPr>
          <w:p w14:paraId="01659FBB" w14:textId="77777777" w:rsidR="008E6309" w:rsidRPr="00C35EB8" w:rsidRDefault="008E6309" w:rsidP="00C35EB8">
            <w:pPr>
              <w:pStyle w:val="BodyText"/>
              <w:spacing w:before="157" w:line="360" w:lineRule="auto"/>
              <w:ind w:left="0" w:right="115"/>
              <w:jc w:val="both"/>
            </w:pPr>
            <w:r w:rsidRPr="00C35EB8">
              <w:t>13.59</w:t>
            </w:r>
          </w:p>
        </w:tc>
      </w:tr>
      <w:tr w:rsidR="008E6309" w:rsidRPr="00C35EB8" w14:paraId="07281FBD" w14:textId="77777777" w:rsidTr="008C5916">
        <w:trPr>
          <w:trHeight w:val="1000"/>
        </w:trPr>
        <w:tc>
          <w:tcPr>
            <w:tcW w:w="916" w:type="dxa"/>
            <w:vMerge/>
          </w:tcPr>
          <w:p w14:paraId="453CD1CD" w14:textId="77777777" w:rsidR="008E6309" w:rsidRPr="00C35EB8" w:rsidRDefault="008E6309" w:rsidP="00C35EB8">
            <w:pPr>
              <w:pStyle w:val="BodyText"/>
              <w:spacing w:before="157" w:line="360" w:lineRule="auto"/>
              <w:ind w:left="0" w:right="115"/>
              <w:jc w:val="both"/>
            </w:pPr>
          </w:p>
        </w:tc>
        <w:tc>
          <w:tcPr>
            <w:tcW w:w="691" w:type="dxa"/>
          </w:tcPr>
          <w:p w14:paraId="4949710A" w14:textId="77777777" w:rsidR="008E6309" w:rsidRPr="00C35EB8" w:rsidRDefault="008E6309" w:rsidP="00C35EB8">
            <w:pPr>
              <w:pStyle w:val="BodyText"/>
              <w:spacing w:before="157" w:line="360" w:lineRule="auto"/>
              <w:ind w:left="0" w:right="115"/>
              <w:jc w:val="both"/>
            </w:pPr>
          </w:p>
        </w:tc>
        <w:tc>
          <w:tcPr>
            <w:tcW w:w="1025" w:type="dxa"/>
          </w:tcPr>
          <w:p w14:paraId="21825A69" w14:textId="77777777" w:rsidR="008E6309" w:rsidRPr="00C35EB8" w:rsidRDefault="008E6309" w:rsidP="00C35EB8">
            <w:pPr>
              <w:pStyle w:val="BodyText"/>
              <w:spacing w:before="157" w:line="360" w:lineRule="auto"/>
              <w:ind w:left="0" w:right="115"/>
              <w:jc w:val="both"/>
            </w:pPr>
            <w:r w:rsidRPr="00C35EB8">
              <w:t>Kerala</w:t>
            </w:r>
          </w:p>
        </w:tc>
        <w:tc>
          <w:tcPr>
            <w:tcW w:w="1482" w:type="dxa"/>
          </w:tcPr>
          <w:p w14:paraId="20D33674" w14:textId="77777777" w:rsidR="008E6309" w:rsidRPr="00C35EB8" w:rsidRDefault="008E6309" w:rsidP="00C35EB8">
            <w:pPr>
              <w:pStyle w:val="BodyText"/>
              <w:spacing w:before="157" w:line="360" w:lineRule="auto"/>
              <w:ind w:left="0" w:right="115"/>
              <w:jc w:val="both"/>
            </w:pPr>
            <w:r w:rsidRPr="00C35EB8">
              <w:t xml:space="preserve">29.39      </w:t>
            </w:r>
          </w:p>
        </w:tc>
        <w:tc>
          <w:tcPr>
            <w:tcW w:w="1303" w:type="dxa"/>
          </w:tcPr>
          <w:p w14:paraId="61DCBE7B" w14:textId="77777777" w:rsidR="008E6309" w:rsidRPr="00C35EB8" w:rsidRDefault="008E6309" w:rsidP="00C35EB8">
            <w:pPr>
              <w:pStyle w:val="BodyText"/>
              <w:spacing w:before="157" w:line="360" w:lineRule="auto"/>
              <w:ind w:left="0" w:right="115"/>
              <w:jc w:val="both"/>
            </w:pPr>
            <w:r w:rsidRPr="00C35EB8">
              <w:t>0.0</w:t>
            </w:r>
          </w:p>
        </w:tc>
        <w:tc>
          <w:tcPr>
            <w:tcW w:w="1606" w:type="dxa"/>
          </w:tcPr>
          <w:p w14:paraId="6C845351" w14:textId="77777777" w:rsidR="008E6309" w:rsidRPr="00C35EB8" w:rsidRDefault="008E6309" w:rsidP="00C35EB8">
            <w:pPr>
              <w:pStyle w:val="BodyText"/>
              <w:spacing w:before="157" w:line="360" w:lineRule="auto"/>
              <w:ind w:left="0" w:right="115"/>
              <w:jc w:val="both"/>
            </w:pPr>
            <w:r w:rsidRPr="00C35EB8">
              <w:t xml:space="preserve">11.74       </w:t>
            </w:r>
          </w:p>
        </w:tc>
        <w:tc>
          <w:tcPr>
            <w:tcW w:w="1371" w:type="dxa"/>
          </w:tcPr>
          <w:p w14:paraId="2B7D3414" w14:textId="77777777" w:rsidR="008E6309" w:rsidRPr="00C35EB8" w:rsidRDefault="008E6309" w:rsidP="00C35EB8">
            <w:pPr>
              <w:pStyle w:val="BodyText"/>
              <w:spacing w:before="157" w:line="360" w:lineRule="auto"/>
              <w:ind w:left="0" w:right="115"/>
              <w:jc w:val="both"/>
            </w:pPr>
            <w:r w:rsidRPr="00C35EB8">
              <w:t xml:space="preserve">0.67      </w:t>
            </w:r>
          </w:p>
        </w:tc>
        <w:tc>
          <w:tcPr>
            <w:tcW w:w="1619" w:type="dxa"/>
          </w:tcPr>
          <w:p w14:paraId="7D439B3C" w14:textId="77777777" w:rsidR="008E6309" w:rsidRPr="00C35EB8" w:rsidRDefault="008E6309" w:rsidP="00C35EB8">
            <w:pPr>
              <w:pStyle w:val="BodyText"/>
              <w:spacing w:before="157" w:line="360" w:lineRule="auto"/>
              <w:ind w:left="0" w:right="115"/>
              <w:jc w:val="both"/>
            </w:pPr>
            <w:r w:rsidRPr="00C35EB8">
              <w:t xml:space="preserve">12.03  </w:t>
            </w:r>
          </w:p>
        </w:tc>
        <w:tc>
          <w:tcPr>
            <w:tcW w:w="1413" w:type="dxa"/>
          </w:tcPr>
          <w:p w14:paraId="25A740F0" w14:textId="77777777" w:rsidR="008E6309" w:rsidRPr="00C35EB8" w:rsidRDefault="008E6309" w:rsidP="00C35EB8">
            <w:pPr>
              <w:pStyle w:val="BodyText"/>
              <w:spacing w:before="157" w:line="360" w:lineRule="auto"/>
              <w:ind w:left="0" w:right="115"/>
              <w:jc w:val="both"/>
            </w:pPr>
            <w:r w:rsidRPr="00C35EB8">
              <w:t>11.22</w:t>
            </w:r>
          </w:p>
        </w:tc>
        <w:tc>
          <w:tcPr>
            <w:tcW w:w="1879" w:type="dxa"/>
          </w:tcPr>
          <w:p w14:paraId="1C72FFA5" w14:textId="77777777" w:rsidR="008E6309" w:rsidRPr="00C35EB8" w:rsidRDefault="008E6309" w:rsidP="00C35EB8">
            <w:pPr>
              <w:pStyle w:val="BodyText"/>
              <w:spacing w:before="157" w:line="360" w:lineRule="auto"/>
              <w:ind w:left="0" w:right="115"/>
              <w:jc w:val="both"/>
            </w:pPr>
            <w:r w:rsidRPr="00C35EB8">
              <w:t>2.95</w:t>
            </w:r>
          </w:p>
        </w:tc>
        <w:tc>
          <w:tcPr>
            <w:tcW w:w="1137" w:type="dxa"/>
          </w:tcPr>
          <w:p w14:paraId="02C62939" w14:textId="77777777" w:rsidR="008E6309" w:rsidRPr="00C35EB8" w:rsidRDefault="008E6309" w:rsidP="00C35EB8">
            <w:pPr>
              <w:pStyle w:val="BodyText"/>
              <w:spacing w:before="157" w:line="360" w:lineRule="auto"/>
              <w:ind w:left="0" w:right="115"/>
              <w:jc w:val="both"/>
            </w:pPr>
            <w:r w:rsidRPr="00C35EB8">
              <w:t>32.0</w:t>
            </w:r>
          </w:p>
        </w:tc>
      </w:tr>
      <w:tr w:rsidR="008E6309" w:rsidRPr="00C35EB8" w14:paraId="2D9EB28E" w14:textId="77777777" w:rsidTr="008C5916">
        <w:trPr>
          <w:trHeight w:val="1000"/>
        </w:trPr>
        <w:tc>
          <w:tcPr>
            <w:tcW w:w="916" w:type="dxa"/>
          </w:tcPr>
          <w:p w14:paraId="295659B3" w14:textId="77777777" w:rsidR="008E6309" w:rsidRPr="00C35EB8" w:rsidRDefault="008E6309" w:rsidP="00C35EB8">
            <w:pPr>
              <w:pStyle w:val="BodyText"/>
              <w:spacing w:before="157" w:line="360" w:lineRule="auto"/>
              <w:ind w:left="0" w:right="115"/>
              <w:jc w:val="both"/>
            </w:pPr>
            <w:r w:rsidRPr="00C35EB8">
              <w:t>2022-23</w:t>
            </w:r>
          </w:p>
        </w:tc>
        <w:tc>
          <w:tcPr>
            <w:tcW w:w="691" w:type="dxa"/>
          </w:tcPr>
          <w:p w14:paraId="70BBEFCC" w14:textId="77777777" w:rsidR="008E6309" w:rsidRPr="00C35EB8" w:rsidRDefault="008E6309" w:rsidP="00C35EB8">
            <w:pPr>
              <w:pStyle w:val="BodyText"/>
              <w:spacing w:before="157" w:line="360" w:lineRule="auto"/>
              <w:ind w:left="0" w:right="115"/>
              <w:jc w:val="both"/>
            </w:pPr>
            <w:r w:rsidRPr="00C35EB8">
              <w:t>M</w:t>
            </w:r>
          </w:p>
        </w:tc>
        <w:tc>
          <w:tcPr>
            <w:tcW w:w="1025" w:type="dxa"/>
          </w:tcPr>
          <w:p w14:paraId="74EB5683" w14:textId="77777777" w:rsidR="008E6309" w:rsidRPr="00C35EB8" w:rsidRDefault="008E6309" w:rsidP="00C35EB8">
            <w:pPr>
              <w:pStyle w:val="BodyText"/>
              <w:spacing w:before="157" w:line="360" w:lineRule="auto"/>
              <w:ind w:left="0" w:right="115"/>
              <w:jc w:val="both"/>
            </w:pPr>
            <w:r w:rsidRPr="00C35EB8">
              <w:t>India</w:t>
            </w:r>
          </w:p>
        </w:tc>
        <w:tc>
          <w:tcPr>
            <w:tcW w:w="1482" w:type="dxa"/>
          </w:tcPr>
          <w:p w14:paraId="0362C951" w14:textId="77777777" w:rsidR="008E6309" w:rsidRPr="00C35EB8" w:rsidRDefault="008E6309" w:rsidP="00C35EB8">
            <w:pPr>
              <w:pStyle w:val="BodyText"/>
              <w:spacing w:before="157" w:line="360" w:lineRule="auto"/>
              <w:ind w:left="0" w:right="115"/>
              <w:jc w:val="both"/>
            </w:pPr>
            <w:r w:rsidRPr="00C35EB8">
              <w:t>37.11</w:t>
            </w:r>
          </w:p>
        </w:tc>
        <w:tc>
          <w:tcPr>
            <w:tcW w:w="1303" w:type="dxa"/>
          </w:tcPr>
          <w:p w14:paraId="7FD1E749" w14:textId="77777777" w:rsidR="008E6309" w:rsidRPr="00C35EB8" w:rsidRDefault="008E6309" w:rsidP="00C35EB8">
            <w:pPr>
              <w:pStyle w:val="BodyText"/>
              <w:spacing w:before="157" w:line="360" w:lineRule="auto"/>
              <w:ind w:left="0" w:right="115"/>
              <w:jc w:val="both"/>
            </w:pPr>
            <w:r w:rsidRPr="00C35EB8">
              <w:t>0.42</w:t>
            </w:r>
          </w:p>
        </w:tc>
        <w:tc>
          <w:tcPr>
            <w:tcW w:w="1606" w:type="dxa"/>
          </w:tcPr>
          <w:p w14:paraId="32A2EAEF" w14:textId="77777777" w:rsidR="008E6309" w:rsidRPr="00C35EB8" w:rsidRDefault="008E6309" w:rsidP="00C35EB8">
            <w:pPr>
              <w:pStyle w:val="BodyText"/>
              <w:spacing w:before="157" w:line="360" w:lineRule="auto"/>
              <w:ind w:left="0" w:right="115"/>
              <w:jc w:val="both"/>
            </w:pPr>
            <w:r w:rsidRPr="00C35EB8">
              <w:t>11.55</w:t>
            </w:r>
          </w:p>
        </w:tc>
        <w:tc>
          <w:tcPr>
            <w:tcW w:w="1371" w:type="dxa"/>
          </w:tcPr>
          <w:p w14:paraId="2F1B9FC7" w14:textId="77777777" w:rsidR="008E6309" w:rsidRPr="00C35EB8" w:rsidRDefault="008E6309" w:rsidP="00C35EB8">
            <w:pPr>
              <w:pStyle w:val="BodyText"/>
              <w:spacing w:before="157" w:line="360" w:lineRule="auto"/>
              <w:ind w:left="0" w:right="115"/>
              <w:jc w:val="both"/>
            </w:pPr>
            <w:r w:rsidRPr="00C35EB8">
              <w:t>0.72</w:t>
            </w:r>
          </w:p>
        </w:tc>
        <w:tc>
          <w:tcPr>
            <w:tcW w:w="1619" w:type="dxa"/>
          </w:tcPr>
          <w:p w14:paraId="51CD5DAC" w14:textId="77777777" w:rsidR="008E6309" w:rsidRPr="00C35EB8" w:rsidRDefault="008E6309" w:rsidP="00C35EB8">
            <w:pPr>
              <w:pStyle w:val="BodyText"/>
              <w:spacing w:before="157" w:line="360" w:lineRule="auto"/>
              <w:ind w:left="0" w:right="115"/>
              <w:jc w:val="both"/>
            </w:pPr>
            <w:r w:rsidRPr="00C35EB8">
              <w:t>17.27</w:t>
            </w:r>
          </w:p>
        </w:tc>
        <w:tc>
          <w:tcPr>
            <w:tcW w:w="1413" w:type="dxa"/>
          </w:tcPr>
          <w:p w14:paraId="4E8F7B28" w14:textId="77777777" w:rsidR="008E6309" w:rsidRPr="00C35EB8" w:rsidRDefault="008E6309" w:rsidP="00C35EB8">
            <w:pPr>
              <w:pStyle w:val="BodyText"/>
              <w:spacing w:before="157" w:line="360" w:lineRule="auto"/>
              <w:ind w:left="0" w:right="115"/>
              <w:jc w:val="both"/>
            </w:pPr>
            <w:r w:rsidRPr="00C35EB8">
              <w:t>14.81</w:t>
            </w:r>
          </w:p>
        </w:tc>
        <w:tc>
          <w:tcPr>
            <w:tcW w:w="1879" w:type="dxa"/>
          </w:tcPr>
          <w:p w14:paraId="7174880B" w14:textId="77777777" w:rsidR="008E6309" w:rsidRPr="00C35EB8" w:rsidRDefault="008E6309" w:rsidP="00C35EB8">
            <w:pPr>
              <w:pStyle w:val="BodyText"/>
              <w:spacing w:before="157" w:line="360" w:lineRule="auto"/>
              <w:ind w:left="0" w:right="115"/>
              <w:jc w:val="both"/>
            </w:pPr>
            <w:r w:rsidRPr="00C35EB8">
              <w:t>7.42</w:t>
            </w:r>
          </w:p>
        </w:tc>
        <w:tc>
          <w:tcPr>
            <w:tcW w:w="1137" w:type="dxa"/>
          </w:tcPr>
          <w:p w14:paraId="1E93F806" w14:textId="77777777" w:rsidR="008E6309" w:rsidRPr="00C35EB8" w:rsidRDefault="008E6309" w:rsidP="00C35EB8">
            <w:pPr>
              <w:pStyle w:val="BodyText"/>
              <w:spacing w:before="157" w:line="360" w:lineRule="auto"/>
              <w:ind w:left="0" w:right="115"/>
              <w:jc w:val="both"/>
            </w:pPr>
            <w:r w:rsidRPr="00C35EB8">
              <w:t>10.7</w:t>
            </w:r>
          </w:p>
        </w:tc>
      </w:tr>
      <w:tr w:rsidR="008E6309" w:rsidRPr="00C35EB8" w14:paraId="437C4BDE" w14:textId="77777777" w:rsidTr="008C5916">
        <w:trPr>
          <w:trHeight w:val="1000"/>
        </w:trPr>
        <w:tc>
          <w:tcPr>
            <w:tcW w:w="916" w:type="dxa"/>
          </w:tcPr>
          <w:p w14:paraId="3C34CA27" w14:textId="77777777" w:rsidR="008E6309" w:rsidRPr="00C35EB8" w:rsidRDefault="008E6309" w:rsidP="00C35EB8">
            <w:pPr>
              <w:pStyle w:val="BodyText"/>
              <w:spacing w:before="157" w:line="360" w:lineRule="auto"/>
              <w:ind w:left="0" w:right="115"/>
              <w:jc w:val="both"/>
            </w:pPr>
          </w:p>
        </w:tc>
        <w:tc>
          <w:tcPr>
            <w:tcW w:w="691" w:type="dxa"/>
          </w:tcPr>
          <w:p w14:paraId="503C0878" w14:textId="77777777" w:rsidR="008E6309" w:rsidRPr="00C35EB8" w:rsidRDefault="008E6309" w:rsidP="00C35EB8">
            <w:pPr>
              <w:pStyle w:val="BodyText"/>
              <w:spacing w:before="157" w:line="360" w:lineRule="auto"/>
              <w:ind w:left="0" w:right="115"/>
              <w:jc w:val="both"/>
            </w:pPr>
          </w:p>
        </w:tc>
        <w:tc>
          <w:tcPr>
            <w:tcW w:w="1025" w:type="dxa"/>
          </w:tcPr>
          <w:p w14:paraId="2A1DB651" w14:textId="77777777" w:rsidR="008E6309" w:rsidRPr="00C35EB8" w:rsidRDefault="008E6309" w:rsidP="00C35EB8">
            <w:pPr>
              <w:pStyle w:val="BodyText"/>
              <w:spacing w:before="157" w:line="360" w:lineRule="auto"/>
              <w:ind w:left="0" w:right="115"/>
              <w:jc w:val="both"/>
            </w:pPr>
            <w:r w:rsidRPr="00C35EB8">
              <w:t>Kerala</w:t>
            </w:r>
          </w:p>
        </w:tc>
        <w:tc>
          <w:tcPr>
            <w:tcW w:w="1482" w:type="dxa"/>
          </w:tcPr>
          <w:p w14:paraId="50E80948" w14:textId="77777777" w:rsidR="008E6309" w:rsidRPr="00C35EB8" w:rsidRDefault="008E6309" w:rsidP="00C35EB8">
            <w:pPr>
              <w:pStyle w:val="BodyText"/>
              <w:spacing w:before="157" w:line="360" w:lineRule="auto"/>
              <w:ind w:left="0" w:right="115"/>
              <w:jc w:val="both"/>
            </w:pPr>
            <w:r w:rsidRPr="00C35EB8">
              <w:t>21.05</w:t>
            </w:r>
          </w:p>
        </w:tc>
        <w:tc>
          <w:tcPr>
            <w:tcW w:w="1303" w:type="dxa"/>
          </w:tcPr>
          <w:p w14:paraId="70B8F069" w14:textId="77777777" w:rsidR="008E6309" w:rsidRPr="00C35EB8" w:rsidRDefault="008E6309" w:rsidP="00C35EB8">
            <w:pPr>
              <w:pStyle w:val="BodyText"/>
              <w:spacing w:before="157" w:line="360" w:lineRule="auto"/>
              <w:ind w:left="0" w:right="115"/>
              <w:jc w:val="both"/>
            </w:pPr>
            <w:r w:rsidRPr="00C35EB8">
              <w:t>0.49</w:t>
            </w:r>
          </w:p>
        </w:tc>
        <w:tc>
          <w:tcPr>
            <w:tcW w:w="1606" w:type="dxa"/>
          </w:tcPr>
          <w:p w14:paraId="01EBE382" w14:textId="77777777" w:rsidR="008E6309" w:rsidRPr="00C35EB8" w:rsidRDefault="008E6309" w:rsidP="00C35EB8">
            <w:pPr>
              <w:pStyle w:val="BodyText"/>
              <w:spacing w:before="157" w:line="360" w:lineRule="auto"/>
              <w:ind w:left="0" w:right="115"/>
              <w:jc w:val="both"/>
            </w:pPr>
            <w:r w:rsidRPr="00C35EB8">
              <w:t>10.74</w:t>
            </w:r>
          </w:p>
        </w:tc>
        <w:tc>
          <w:tcPr>
            <w:tcW w:w="1371" w:type="dxa"/>
          </w:tcPr>
          <w:p w14:paraId="5183B357" w14:textId="77777777" w:rsidR="008E6309" w:rsidRPr="00C35EB8" w:rsidRDefault="008E6309" w:rsidP="00C35EB8">
            <w:pPr>
              <w:pStyle w:val="BodyText"/>
              <w:spacing w:before="157" w:line="360" w:lineRule="auto"/>
              <w:ind w:left="0" w:right="115"/>
              <w:jc w:val="both"/>
            </w:pPr>
            <w:r w:rsidRPr="00C35EB8">
              <w:t>0.6</w:t>
            </w:r>
          </w:p>
        </w:tc>
        <w:tc>
          <w:tcPr>
            <w:tcW w:w="1619" w:type="dxa"/>
          </w:tcPr>
          <w:p w14:paraId="4483E487" w14:textId="77777777" w:rsidR="008E6309" w:rsidRPr="00C35EB8" w:rsidRDefault="008E6309" w:rsidP="00C35EB8">
            <w:pPr>
              <w:pStyle w:val="BodyText"/>
              <w:spacing w:before="157" w:line="360" w:lineRule="auto"/>
              <w:ind w:left="0" w:right="115"/>
              <w:jc w:val="both"/>
            </w:pPr>
            <w:r w:rsidRPr="00C35EB8">
              <w:t>21.89</w:t>
            </w:r>
          </w:p>
        </w:tc>
        <w:tc>
          <w:tcPr>
            <w:tcW w:w="1413" w:type="dxa"/>
          </w:tcPr>
          <w:p w14:paraId="12E2EA4F" w14:textId="77777777" w:rsidR="008E6309" w:rsidRPr="00C35EB8" w:rsidRDefault="008E6309" w:rsidP="00C35EB8">
            <w:pPr>
              <w:pStyle w:val="BodyText"/>
              <w:spacing w:before="157" w:line="360" w:lineRule="auto"/>
              <w:ind w:left="0" w:right="115"/>
              <w:jc w:val="both"/>
            </w:pPr>
            <w:r w:rsidRPr="00C35EB8">
              <w:t>20.20</w:t>
            </w:r>
          </w:p>
        </w:tc>
        <w:tc>
          <w:tcPr>
            <w:tcW w:w="1879" w:type="dxa"/>
          </w:tcPr>
          <w:p w14:paraId="26439551" w14:textId="77777777" w:rsidR="008E6309" w:rsidRPr="00C35EB8" w:rsidRDefault="008E6309" w:rsidP="00C35EB8">
            <w:pPr>
              <w:pStyle w:val="BodyText"/>
              <w:spacing w:before="157" w:line="360" w:lineRule="auto"/>
              <w:ind w:left="0" w:right="115"/>
              <w:jc w:val="both"/>
            </w:pPr>
            <w:r w:rsidRPr="00C35EB8">
              <w:t>10.93</w:t>
            </w:r>
          </w:p>
        </w:tc>
        <w:tc>
          <w:tcPr>
            <w:tcW w:w="1137" w:type="dxa"/>
          </w:tcPr>
          <w:p w14:paraId="09C41C3F" w14:textId="77777777" w:rsidR="008E6309" w:rsidRPr="00C35EB8" w:rsidRDefault="008E6309" w:rsidP="00C35EB8">
            <w:pPr>
              <w:pStyle w:val="BodyText"/>
              <w:spacing w:before="157" w:line="360" w:lineRule="auto"/>
              <w:ind w:left="0" w:right="115"/>
              <w:jc w:val="both"/>
            </w:pPr>
            <w:r w:rsidRPr="00C35EB8">
              <w:t>14.1</w:t>
            </w:r>
          </w:p>
        </w:tc>
      </w:tr>
      <w:tr w:rsidR="008E6309" w:rsidRPr="00C35EB8" w14:paraId="326B5234" w14:textId="77777777" w:rsidTr="008C5916">
        <w:trPr>
          <w:trHeight w:val="1000"/>
        </w:trPr>
        <w:tc>
          <w:tcPr>
            <w:tcW w:w="916" w:type="dxa"/>
          </w:tcPr>
          <w:p w14:paraId="12775938" w14:textId="77777777" w:rsidR="008E6309" w:rsidRPr="00C35EB8" w:rsidRDefault="008E6309" w:rsidP="00C35EB8">
            <w:pPr>
              <w:pStyle w:val="BodyText"/>
              <w:spacing w:before="157" w:line="360" w:lineRule="auto"/>
              <w:ind w:left="0" w:right="115"/>
              <w:jc w:val="both"/>
            </w:pPr>
          </w:p>
        </w:tc>
        <w:tc>
          <w:tcPr>
            <w:tcW w:w="691" w:type="dxa"/>
          </w:tcPr>
          <w:p w14:paraId="07A67D75" w14:textId="77777777" w:rsidR="008E6309" w:rsidRPr="00C35EB8" w:rsidRDefault="008E6309" w:rsidP="00C35EB8">
            <w:pPr>
              <w:pStyle w:val="BodyText"/>
              <w:spacing w:before="157" w:line="360" w:lineRule="auto"/>
              <w:ind w:left="0" w:right="115"/>
              <w:jc w:val="both"/>
            </w:pPr>
            <w:r w:rsidRPr="00C35EB8">
              <w:t>F</w:t>
            </w:r>
          </w:p>
        </w:tc>
        <w:tc>
          <w:tcPr>
            <w:tcW w:w="1025" w:type="dxa"/>
          </w:tcPr>
          <w:p w14:paraId="1927A941" w14:textId="77777777" w:rsidR="008E6309" w:rsidRPr="00C35EB8" w:rsidRDefault="008E6309" w:rsidP="00C35EB8">
            <w:pPr>
              <w:pStyle w:val="BodyText"/>
              <w:spacing w:before="157" w:line="360" w:lineRule="auto"/>
              <w:ind w:left="0" w:right="115"/>
              <w:jc w:val="both"/>
            </w:pPr>
            <w:r w:rsidRPr="00C35EB8">
              <w:t>India</w:t>
            </w:r>
          </w:p>
        </w:tc>
        <w:tc>
          <w:tcPr>
            <w:tcW w:w="1482" w:type="dxa"/>
          </w:tcPr>
          <w:p w14:paraId="2194DB7C" w14:textId="77777777" w:rsidR="008E6309" w:rsidRPr="00C35EB8" w:rsidRDefault="008E6309" w:rsidP="00C35EB8">
            <w:pPr>
              <w:pStyle w:val="BodyText"/>
              <w:spacing w:before="157" w:line="360" w:lineRule="auto"/>
              <w:ind w:left="0" w:right="115"/>
              <w:jc w:val="both"/>
            </w:pPr>
            <w:r w:rsidRPr="00C35EB8">
              <w:t>64.25</w:t>
            </w:r>
          </w:p>
        </w:tc>
        <w:tc>
          <w:tcPr>
            <w:tcW w:w="1303" w:type="dxa"/>
          </w:tcPr>
          <w:p w14:paraId="66B4F8B7" w14:textId="77777777" w:rsidR="008E6309" w:rsidRPr="00C35EB8" w:rsidRDefault="008E6309" w:rsidP="00C35EB8">
            <w:pPr>
              <w:pStyle w:val="BodyText"/>
              <w:spacing w:before="157" w:line="360" w:lineRule="auto"/>
              <w:ind w:left="0" w:right="115"/>
              <w:jc w:val="both"/>
            </w:pPr>
            <w:r w:rsidRPr="00C35EB8">
              <w:t>0.07</w:t>
            </w:r>
          </w:p>
        </w:tc>
        <w:tc>
          <w:tcPr>
            <w:tcW w:w="1606" w:type="dxa"/>
          </w:tcPr>
          <w:p w14:paraId="47B6680F" w14:textId="77777777" w:rsidR="008E6309" w:rsidRPr="00C35EB8" w:rsidRDefault="008E6309" w:rsidP="00C35EB8">
            <w:pPr>
              <w:pStyle w:val="BodyText"/>
              <w:spacing w:before="157" w:line="360" w:lineRule="auto"/>
              <w:ind w:left="0" w:right="115"/>
              <w:jc w:val="both"/>
            </w:pPr>
            <w:r w:rsidRPr="00C35EB8">
              <w:t>11.14</w:t>
            </w:r>
          </w:p>
        </w:tc>
        <w:tc>
          <w:tcPr>
            <w:tcW w:w="1371" w:type="dxa"/>
          </w:tcPr>
          <w:p w14:paraId="3BC2F0A6" w14:textId="77777777" w:rsidR="008E6309" w:rsidRPr="00C35EB8" w:rsidRDefault="008E6309" w:rsidP="00C35EB8">
            <w:pPr>
              <w:pStyle w:val="BodyText"/>
              <w:spacing w:before="157" w:line="360" w:lineRule="auto"/>
              <w:ind w:left="0" w:right="115"/>
              <w:jc w:val="both"/>
            </w:pPr>
            <w:r w:rsidRPr="00C35EB8">
              <w:t>0.16</w:t>
            </w:r>
          </w:p>
        </w:tc>
        <w:tc>
          <w:tcPr>
            <w:tcW w:w="1619" w:type="dxa"/>
          </w:tcPr>
          <w:p w14:paraId="4096EB0B" w14:textId="77777777" w:rsidR="008E6309" w:rsidRPr="00C35EB8" w:rsidRDefault="008E6309" w:rsidP="00C35EB8">
            <w:pPr>
              <w:pStyle w:val="BodyText"/>
              <w:spacing w:before="157" w:line="360" w:lineRule="auto"/>
              <w:ind w:left="0" w:right="115"/>
              <w:jc w:val="both"/>
            </w:pPr>
            <w:r w:rsidRPr="00C35EB8">
              <w:t>3.98</w:t>
            </w:r>
          </w:p>
        </w:tc>
        <w:tc>
          <w:tcPr>
            <w:tcW w:w="1413" w:type="dxa"/>
          </w:tcPr>
          <w:p w14:paraId="78C3DD8F" w14:textId="77777777" w:rsidR="008E6309" w:rsidRPr="00C35EB8" w:rsidRDefault="008E6309" w:rsidP="00C35EB8">
            <w:pPr>
              <w:pStyle w:val="BodyText"/>
              <w:spacing w:before="157" w:line="360" w:lineRule="auto"/>
              <w:ind w:left="0" w:right="115"/>
              <w:jc w:val="both"/>
            </w:pPr>
            <w:r w:rsidRPr="00C35EB8">
              <w:t>6.19</w:t>
            </w:r>
          </w:p>
        </w:tc>
        <w:tc>
          <w:tcPr>
            <w:tcW w:w="1879" w:type="dxa"/>
          </w:tcPr>
          <w:p w14:paraId="0D17AB9E" w14:textId="77777777" w:rsidR="008E6309" w:rsidRPr="00C35EB8" w:rsidRDefault="008E6309" w:rsidP="00C35EB8">
            <w:pPr>
              <w:pStyle w:val="BodyText"/>
              <w:spacing w:before="157" w:line="360" w:lineRule="auto"/>
              <w:ind w:left="0" w:right="115"/>
              <w:jc w:val="both"/>
            </w:pPr>
            <w:r w:rsidRPr="00C35EB8">
              <w:t>1.18</w:t>
            </w:r>
          </w:p>
        </w:tc>
        <w:tc>
          <w:tcPr>
            <w:tcW w:w="1137" w:type="dxa"/>
          </w:tcPr>
          <w:p w14:paraId="601F78D4" w14:textId="77777777" w:rsidR="008E6309" w:rsidRPr="00C35EB8" w:rsidRDefault="008E6309" w:rsidP="00C35EB8">
            <w:pPr>
              <w:pStyle w:val="BodyText"/>
              <w:spacing w:before="157" w:line="360" w:lineRule="auto"/>
              <w:ind w:left="0" w:right="115"/>
              <w:jc w:val="both"/>
            </w:pPr>
            <w:r w:rsidRPr="00C35EB8">
              <w:t>13.03</w:t>
            </w:r>
          </w:p>
        </w:tc>
      </w:tr>
      <w:tr w:rsidR="008E6309" w:rsidRPr="00C35EB8" w14:paraId="3C8F5EBB" w14:textId="77777777" w:rsidTr="008C5916">
        <w:trPr>
          <w:trHeight w:val="1000"/>
        </w:trPr>
        <w:tc>
          <w:tcPr>
            <w:tcW w:w="916" w:type="dxa"/>
          </w:tcPr>
          <w:p w14:paraId="5A3D7206" w14:textId="77777777" w:rsidR="008E6309" w:rsidRPr="00C35EB8" w:rsidRDefault="008E6309" w:rsidP="00C35EB8">
            <w:pPr>
              <w:pStyle w:val="BodyText"/>
              <w:spacing w:before="157" w:line="360" w:lineRule="auto"/>
              <w:ind w:left="0" w:right="115"/>
              <w:jc w:val="both"/>
            </w:pPr>
          </w:p>
        </w:tc>
        <w:tc>
          <w:tcPr>
            <w:tcW w:w="691" w:type="dxa"/>
          </w:tcPr>
          <w:p w14:paraId="024C47EB" w14:textId="77777777" w:rsidR="008E6309" w:rsidRPr="00C35EB8" w:rsidRDefault="008E6309" w:rsidP="00C35EB8">
            <w:pPr>
              <w:pStyle w:val="BodyText"/>
              <w:spacing w:before="157" w:line="360" w:lineRule="auto"/>
              <w:ind w:left="0" w:right="115"/>
              <w:jc w:val="both"/>
            </w:pPr>
          </w:p>
        </w:tc>
        <w:tc>
          <w:tcPr>
            <w:tcW w:w="1025" w:type="dxa"/>
          </w:tcPr>
          <w:p w14:paraId="436FBFE3" w14:textId="77777777" w:rsidR="008E6309" w:rsidRPr="00C35EB8" w:rsidRDefault="008E6309" w:rsidP="00C35EB8">
            <w:pPr>
              <w:pStyle w:val="BodyText"/>
              <w:spacing w:before="157" w:line="360" w:lineRule="auto"/>
              <w:ind w:left="0" w:right="115"/>
              <w:jc w:val="both"/>
            </w:pPr>
            <w:r w:rsidRPr="00C35EB8">
              <w:t>Kerala</w:t>
            </w:r>
          </w:p>
        </w:tc>
        <w:tc>
          <w:tcPr>
            <w:tcW w:w="1482" w:type="dxa"/>
          </w:tcPr>
          <w:p w14:paraId="3121462E" w14:textId="77777777" w:rsidR="008E6309" w:rsidRPr="00C35EB8" w:rsidRDefault="008E6309" w:rsidP="00C35EB8">
            <w:pPr>
              <w:pStyle w:val="BodyText"/>
              <w:spacing w:before="157" w:line="360" w:lineRule="auto"/>
              <w:ind w:left="0" w:right="115"/>
              <w:jc w:val="both"/>
            </w:pPr>
            <w:r w:rsidRPr="00C35EB8">
              <w:t>38.58</w:t>
            </w:r>
          </w:p>
        </w:tc>
        <w:tc>
          <w:tcPr>
            <w:tcW w:w="1303" w:type="dxa"/>
          </w:tcPr>
          <w:p w14:paraId="648E0D9A" w14:textId="77777777" w:rsidR="008E6309" w:rsidRPr="00C35EB8" w:rsidRDefault="008E6309" w:rsidP="00C35EB8">
            <w:pPr>
              <w:pStyle w:val="BodyText"/>
              <w:spacing w:before="157" w:line="360" w:lineRule="auto"/>
              <w:ind w:left="0" w:right="115"/>
              <w:jc w:val="both"/>
            </w:pPr>
            <w:r w:rsidRPr="00C35EB8">
              <w:t>0.00</w:t>
            </w:r>
          </w:p>
        </w:tc>
        <w:tc>
          <w:tcPr>
            <w:tcW w:w="1606" w:type="dxa"/>
          </w:tcPr>
          <w:p w14:paraId="38ACC44F" w14:textId="77777777" w:rsidR="008E6309" w:rsidRPr="00C35EB8" w:rsidRDefault="008E6309" w:rsidP="00C35EB8">
            <w:pPr>
              <w:pStyle w:val="BodyText"/>
              <w:spacing w:before="157" w:line="360" w:lineRule="auto"/>
              <w:ind w:left="0" w:right="115"/>
              <w:jc w:val="both"/>
            </w:pPr>
            <w:r w:rsidRPr="00C35EB8">
              <w:t>11.21</w:t>
            </w:r>
          </w:p>
        </w:tc>
        <w:tc>
          <w:tcPr>
            <w:tcW w:w="1371" w:type="dxa"/>
          </w:tcPr>
          <w:p w14:paraId="56F3CBBC" w14:textId="77777777" w:rsidR="008E6309" w:rsidRPr="00C35EB8" w:rsidRDefault="008E6309" w:rsidP="00C35EB8">
            <w:pPr>
              <w:pStyle w:val="BodyText"/>
              <w:spacing w:before="157" w:line="360" w:lineRule="auto"/>
              <w:ind w:left="0" w:right="115"/>
              <w:jc w:val="both"/>
            </w:pPr>
            <w:r w:rsidRPr="00C35EB8">
              <w:t>0.39</w:t>
            </w:r>
          </w:p>
        </w:tc>
        <w:tc>
          <w:tcPr>
            <w:tcW w:w="1619" w:type="dxa"/>
          </w:tcPr>
          <w:p w14:paraId="61DBDE9C" w14:textId="77777777" w:rsidR="008E6309" w:rsidRPr="00C35EB8" w:rsidRDefault="008E6309" w:rsidP="00C35EB8">
            <w:pPr>
              <w:pStyle w:val="BodyText"/>
              <w:spacing w:before="157" w:line="360" w:lineRule="auto"/>
              <w:ind w:left="0" w:right="115"/>
              <w:jc w:val="both"/>
            </w:pPr>
            <w:r w:rsidRPr="00C35EB8">
              <w:t>3.52</w:t>
            </w:r>
          </w:p>
        </w:tc>
        <w:tc>
          <w:tcPr>
            <w:tcW w:w="1413" w:type="dxa"/>
          </w:tcPr>
          <w:p w14:paraId="4AF7F56A" w14:textId="77777777" w:rsidR="008E6309" w:rsidRPr="00C35EB8" w:rsidRDefault="008E6309" w:rsidP="00C35EB8">
            <w:pPr>
              <w:pStyle w:val="BodyText"/>
              <w:spacing w:before="157" w:line="360" w:lineRule="auto"/>
              <w:ind w:left="0" w:right="115"/>
              <w:jc w:val="both"/>
            </w:pPr>
            <w:r w:rsidRPr="00C35EB8">
              <w:t>12.93</w:t>
            </w:r>
          </w:p>
        </w:tc>
        <w:tc>
          <w:tcPr>
            <w:tcW w:w="1879" w:type="dxa"/>
          </w:tcPr>
          <w:p w14:paraId="258ECF2F" w14:textId="77777777" w:rsidR="008E6309" w:rsidRPr="00C35EB8" w:rsidRDefault="008E6309" w:rsidP="00C35EB8">
            <w:pPr>
              <w:pStyle w:val="BodyText"/>
              <w:spacing w:before="157" w:line="360" w:lineRule="auto"/>
              <w:ind w:left="0" w:right="115"/>
              <w:jc w:val="both"/>
            </w:pPr>
            <w:r w:rsidRPr="00C35EB8">
              <w:t>2.85</w:t>
            </w:r>
          </w:p>
        </w:tc>
        <w:tc>
          <w:tcPr>
            <w:tcW w:w="1137" w:type="dxa"/>
          </w:tcPr>
          <w:p w14:paraId="72AEF239" w14:textId="77777777" w:rsidR="008E6309" w:rsidRPr="00C35EB8" w:rsidRDefault="008E6309" w:rsidP="00C35EB8">
            <w:pPr>
              <w:pStyle w:val="BodyText"/>
              <w:spacing w:before="157" w:line="360" w:lineRule="auto"/>
              <w:ind w:left="0" w:right="115"/>
              <w:jc w:val="both"/>
            </w:pPr>
            <w:r w:rsidRPr="00C35EB8">
              <w:t>30.51</w:t>
            </w:r>
          </w:p>
        </w:tc>
      </w:tr>
    </w:tbl>
    <w:bookmarkEnd w:id="7"/>
    <w:p w14:paraId="7B75A4ED" w14:textId="7D3A5BE4" w:rsidR="008E6309" w:rsidRDefault="00062378" w:rsidP="00C35EB8">
      <w:pPr>
        <w:tabs>
          <w:tab w:val="left" w:pos="3990"/>
        </w:tabs>
        <w:spacing w:line="360" w:lineRule="auto"/>
        <w:jc w:val="both"/>
        <w:rPr>
          <w:sz w:val="24"/>
          <w:szCs w:val="24"/>
        </w:rPr>
      </w:pPr>
      <w:r>
        <w:rPr>
          <w:sz w:val="24"/>
          <w:szCs w:val="24"/>
        </w:rPr>
        <w:t>Source: author’s</w:t>
      </w:r>
      <w:r w:rsidR="003B42A5">
        <w:rPr>
          <w:sz w:val="24"/>
          <w:szCs w:val="24"/>
        </w:rPr>
        <w:t xml:space="preserve"> </w:t>
      </w:r>
      <w:r>
        <w:rPr>
          <w:sz w:val="24"/>
          <w:szCs w:val="24"/>
        </w:rPr>
        <w:t xml:space="preserve">construction using PLFS </w:t>
      </w:r>
    </w:p>
    <w:p w14:paraId="4E2EB76B" w14:textId="1730CD46" w:rsidR="000C04D6" w:rsidRPr="000C04D6" w:rsidRDefault="000C04D6" w:rsidP="000C04D6">
      <w:pPr>
        <w:tabs>
          <w:tab w:val="left" w:pos="3990"/>
        </w:tabs>
        <w:spacing w:line="360" w:lineRule="auto"/>
        <w:jc w:val="both"/>
        <w:rPr>
          <w:sz w:val="24"/>
          <w:szCs w:val="24"/>
        </w:rPr>
      </w:pPr>
      <w:r>
        <w:rPr>
          <w:sz w:val="24"/>
          <w:szCs w:val="24"/>
        </w:rPr>
        <w:t>*</w:t>
      </w:r>
      <w:r w:rsidRPr="000C04D6">
        <w:rPr>
          <w:sz w:val="24"/>
          <w:szCs w:val="24"/>
        </w:rPr>
        <w:t>values in percentages</w:t>
      </w:r>
    </w:p>
    <w:p w14:paraId="1D274D2F" w14:textId="149047AE" w:rsidR="00836BBD" w:rsidRPr="00C35EB8" w:rsidRDefault="00836BBD" w:rsidP="00C35EB8">
      <w:pPr>
        <w:spacing w:line="360" w:lineRule="auto"/>
        <w:jc w:val="both"/>
        <w:rPr>
          <w:sz w:val="24"/>
          <w:szCs w:val="24"/>
        </w:rPr>
        <w:sectPr w:rsidR="00836BBD" w:rsidRPr="00C35EB8" w:rsidSect="008E6309">
          <w:pgSz w:w="16838" w:h="23811" w:code="8"/>
          <w:pgMar w:top="1360" w:right="1320" w:bottom="280" w:left="1340" w:header="720" w:footer="720" w:gutter="0"/>
          <w:cols w:space="720"/>
          <w:docGrid w:linePitch="299"/>
        </w:sectPr>
      </w:pPr>
      <w:r w:rsidRPr="00C35EB8">
        <w:rPr>
          <w:sz w:val="24"/>
          <w:szCs w:val="24"/>
        </w:rPr>
        <w:t xml:space="preserve">As regards the trend in male workers participation, there is a decline in agriculture and allied sectors </w:t>
      </w:r>
      <w:r w:rsidR="000C04D6" w:rsidRPr="00C35EB8">
        <w:rPr>
          <w:sz w:val="24"/>
          <w:szCs w:val="24"/>
        </w:rPr>
        <w:t xml:space="preserve">at all India and state level </w:t>
      </w:r>
      <w:r w:rsidRPr="00C35EB8">
        <w:rPr>
          <w:sz w:val="24"/>
          <w:szCs w:val="24"/>
        </w:rPr>
        <w:t>during 2015-16 to 2022-23.</w:t>
      </w:r>
      <w:r w:rsidR="0053586C">
        <w:rPr>
          <w:sz w:val="24"/>
          <w:szCs w:val="24"/>
        </w:rPr>
        <w:t xml:space="preserve"> </w:t>
      </w:r>
      <w:r w:rsidR="00603F66">
        <w:rPr>
          <w:sz w:val="24"/>
          <w:szCs w:val="24"/>
        </w:rPr>
        <w:t>Unlike the decline in India (4.6 per cent), it was only</w:t>
      </w:r>
      <w:r w:rsidR="0053586C">
        <w:rPr>
          <w:sz w:val="24"/>
          <w:szCs w:val="24"/>
        </w:rPr>
        <w:t xml:space="preserve"> </w:t>
      </w:r>
      <w:r w:rsidR="004012F3">
        <w:rPr>
          <w:sz w:val="24"/>
          <w:szCs w:val="24"/>
        </w:rPr>
        <w:t xml:space="preserve">a </w:t>
      </w:r>
      <w:r w:rsidR="0053586C">
        <w:rPr>
          <w:sz w:val="24"/>
          <w:szCs w:val="24"/>
        </w:rPr>
        <w:t>small decline (</w:t>
      </w:r>
      <w:r w:rsidR="00603F66">
        <w:rPr>
          <w:sz w:val="24"/>
          <w:szCs w:val="24"/>
        </w:rPr>
        <w:t>0.85 per cent</w:t>
      </w:r>
      <w:r w:rsidR="0053586C">
        <w:rPr>
          <w:sz w:val="24"/>
          <w:szCs w:val="24"/>
        </w:rPr>
        <w:t>)</w:t>
      </w:r>
      <w:r w:rsidR="00603F66">
        <w:rPr>
          <w:sz w:val="24"/>
          <w:szCs w:val="24"/>
        </w:rPr>
        <w:t xml:space="preserve"> in Kerala.</w:t>
      </w:r>
      <w:r w:rsidR="0053586C">
        <w:rPr>
          <w:sz w:val="24"/>
          <w:szCs w:val="24"/>
        </w:rPr>
        <w:t xml:space="preserve"> The increase in the share of male worker participation in the manufacturing sector at all India and Kerala, is similar at 1 per cent.</w:t>
      </w:r>
      <w:r w:rsidR="003E5495">
        <w:rPr>
          <w:sz w:val="24"/>
          <w:szCs w:val="24"/>
        </w:rPr>
        <w:t xml:space="preserve"> The male workforce participation in </w:t>
      </w:r>
      <w:r w:rsidR="004012F3">
        <w:rPr>
          <w:sz w:val="24"/>
          <w:szCs w:val="24"/>
        </w:rPr>
        <w:t xml:space="preserve">the </w:t>
      </w:r>
      <w:r w:rsidR="003E5495">
        <w:rPr>
          <w:sz w:val="24"/>
          <w:szCs w:val="24"/>
        </w:rPr>
        <w:t xml:space="preserve">construction sector has risen by 4 per cent and 3.2 per cent during 2015-16 and 2022-23 for all India and Kerala. Transport, </w:t>
      </w:r>
      <w:r w:rsidR="003E5495" w:rsidRPr="00C35EB8">
        <w:t>Storage</w:t>
      </w:r>
      <w:r w:rsidR="003E5495" w:rsidRPr="00C35EB8">
        <w:rPr>
          <w:spacing w:val="-2"/>
        </w:rPr>
        <w:t xml:space="preserve"> </w:t>
      </w:r>
      <w:r w:rsidR="003E5495" w:rsidRPr="00C35EB8">
        <w:t>&amp;</w:t>
      </w:r>
      <w:r w:rsidR="003E5495" w:rsidRPr="00C35EB8">
        <w:rPr>
          <w:spacing w:val="-2"/>
        </w:rPr>
        <w:t xml:space="preserve"> </w:t>
      </w:r>
      <w:r w:rsidR="003E5495" w:rsidRPr="00C35EB8">
        <w:t>communication</w:t>
      </w:r>
      <w:r w:rsidR="003E5495">
        <w:t xml:space="preserve"> shows almost same</w:t>
      </w:r>
      <w:r w:rsidR="004012F3">
        <w:t xml:space="preserve"> </w:t>
      </w:r>
      <w:r w:rsidR="003E5495">
        <w:t>male workforce at all India</w:t>
      </w:r>
      <w:r w:rsidR="00EA09B0">
        <w:t xml:space="preserve"> during this period</w:t>
      </w:r>
      <w:r w:rsidR="003E5495">
        <w:t xml:space="preserve">; while </w:t>
      </w:r>
      <w:r w:rsidR="00B251D5">
        <w:t>4 per cent decline in Kerala.</w:t>
      </w:r>
      <w:r w:rsidR="00A1555B">
        <w:t xml:space="preserve"> The rise of male worker participation </w:t>
      </w:r>
      <w:r w:rsidR="004012F3">
        <w:t>in</w:t>
      </w:r>
      <w:r w:rsidR="00A1555B">
        <w:t xml:space="preserve"> other services</w:t>
      </w:r>
      <w:r w:rsidR="004012F3">
        <w:t xml:space="preserve"> </w:t>
      </w:r>
      <w:r w:rsidR="00A1555B">
        <w:t xml:space="preserve">has been sharper in Kerala by 10 per </w:t>
      </w:r>
      <w:r w:rsidR="00B1410D">
        <w:t xml:space="preserve">cent </w:t>
      </w:r>
      <w:r w:rsidR="004012F3">
        <w:t>from</w:t>
      </w:r>
      <w:r w:rsidR="00A1555B">
        <w:t xml:space="preserve"> 2015-16 to 2022-</w:t>
      </w:r>
      <w:r w:rsidR="00B1410D">
        <w:t>23;</w:t>
      </w:r>
      <w:r w:rsidR="00A1555B">
        <w:t xml:space="preserve"> </w:t>
      </w:r>
      <w:r w:rsidR="00B1410D">
        <w:t>that of</w:t>
      </w:r>
      <w:r w:rsidR="00A1555B">
        <w:t xml:space="preserve"> India is 8 per cent. </w:t>
      </w:r>
    </w:p>
    <w:p w14:paraId="70A2E23A" w14:textId="7C8933F2" w:rsidR="00836BBD" w:rsidRPr="001A221F" w:rsidRDefault="001A221F" w:rsidP="00C35EB8">
      <w:pPr>
        <w:spacing w:line="360" w:lineRule="auto"/>
        <w:jc w:val="both"/>
        <w:rPr>
          <w:b/>
          <w:sz w:val="24"/>
          <w:szCs w:val="24"/>
        </w:rPr>
      </w:pPr>
      <w:r w:rsidRPr="001A221F">
        <w:rPr>
          <w:b/>
          <w:sz w:val="24"/>
          <w:szCs w:val="24"/>
        </w:rPr>
        <w:lastRenderedPageBreak/>
        <w:t>W</w:t>
      </w:r>
      <w:r w:rsidR="00AC1766" w:rsidRPr="001A221F">
        <w:rPr>
          <w:b/>
          <w:sz w:val="24"/>
          <w:szCs w:val="24"/>
        </w:rPr>
        <w:t>omen agricultural workforce in Kerala</w:t>
      </w:r>
    </w:p>
    <w:p w14:paraId="33CDC5A7" w14:textId="77777777" w:rsidR="00836BBD" w:rsidRPr="00C35EB8" w:rsidRDefault="00836BBD" w:rsidP="00C35EB8">
      <w:pPr>
        <w:spacing w:line="360" w:lineRule="auto"/>
        <w:jc w:val="both"/>
        <w:rPr>
          <w:b/>
          <w:bCs/>
          <w:sz w:val="24"/>
          <w:szCs w:val="24"/>
        </w:rPr>
      </w:pPr>
    </w:p>
    <w:p w14:paraId="44817EAE" w14:textId="099B701C" w:rsidR="00BF0985" w:rsidRDefault="00BF0985" w:rsidP="00583F8C">
      <w:pPr>
        <w:spacing w:line="360" w:lineRule="auto"/>
        <w:jc w:val="both"/>
      </w:pPr>
      <w:r w:rsidRPr="00C35EB8">
        <w:t xml:space="preserve">Agriculture has always been the main venue for women’s work in developing countries, with women having a higher share of agricultural employment. In developing countries like India, agriculture continues to absorb and employ female work force but fails to give them recognition of employed/hired </w:t>
      </w:r>
      <w:proofErr w:type="spellStart"/>
      <w:r w:rsidRPr="00C35EB8">
        <w:t>labour</w:t>
      </w:r>
      <w:proofErr w:type="spellEnd"/>
      <w:r w:rsidRPr="00C35EB8">
        <w:t xml:space="preserve">. Women constituted 38% of the agricultural </w:t>
      </w:r>
      <w:proofErr w:type="spellStart"/>
      <w:r w:rsidRPr="00C35EB8">
        <w:t>labour</w:t>
      </w:r>
      <w:proofErr w:type="spellEnd"/>
      <w:r w:rsidRPr="00C35EB8">
        <w:t xml:space="preserve"> force in developing countries. It is also estimated that 45.3% of the agricultural </w:t>
      </w:r>
      <w:proofErr w:type="spellStart"/>
      <w:r w:rsidRPr="00C35EB8">
        <w:t>labour</w:t>
      </w:r>
      <w:proofErr w:type="spellEnd"/>
      <w:r w:rsidRPr="00C35EB8">
        <w:t xml:space="preserve"> force consists of women. But a large number of women </w:t>
      </w:r>
      <w:bookmarkStart w:id="8" w:name="_Hlk162555538"/>
      <w:r w:rsidRPr="00C35EB8">
        <w:t>have remained as "invisible workers” (Ghosh and Ghosh 2014).</w:t>
      </w:r>
      <w:r>
        <w:t xml:space="preserve"> </w:t>
      </w:r>
      <w:bookmarkEnd w:id="8"/>
      <w:r w:rsidRPr="00CC33F8">
        <w:t xml:space="preserve">Women engaged in family farms often become invisible workers, as they are not paid </w:t>
      </w:r>
      <w:r>
        <w:t xml:space="preserve">as hired </w:t>
      </w:r>
      <w:r w:rsidRPr="00CC33F8">
        <w:t xml:space="preserve">labor and </w:t>
      </w:r>
      <w:r>
        <w:t>their work</w:t>
      </w:r>
      <w:r w:rsidRPr="00CC33F8">
        <w:t xml:space="preserve"> often seen as part of household duties.</w:t>
      </w:r>
      <w:r>
        <w:t xml:space="preserve"> </w:t>
      </w:r>
    </w:p>
    <w:p w14:paraId="2BF7299A" w14:textId="103A8864" w:rsidR="00583F8C" w:rsidRDefault="00583F8C" w:rsidP="00583F8C">
      <w:pPr>
        <w:spacing w:line="360" w:lineRule="auto"/>
        <w:jc w:val="both"/>
        <w:rPr>
          <w:sz w:val="24"/>
          <w:szCs w:val="24"/>
        </w:rPr>
      </w:pPr>
      <w:r w:rsidRPr="00C35EB8">
        <w:rPr>
          <w:sz w:val="24"/>
          <w:szCs w:val="24"/>
        </w:rPr>
        <w:t>In the Indian context, a mixed trend of women’s participation in agriculture is seen</w:t>
      </w:r>
      <w:r>
        <w:rPr>
          <w:sz w:val="24"/>
          <w:szCs w:val="24"/>
        </w:rPr>
        <w:t xml:space="preserve">. </w:t>
      </w:r>
      <w:r w:rsidRPr="002D726D">
        <w:rPr>
          <w:sz w:val="24"/>
          <w:szCs w:val="24"/>
        </w:rPr>
        <w:t>It has been observed that agriculture is becoming more feminine with more women working in fields and doing agriculture-related tasks, especially in areas where men migrate, but they are still paid less</w:t>
      </w:r>
      <w:r>
        <w:rPr>
          <w:sz w:val="24"/>
          <w:szCs w:val="24"/>
        </w:rPr>
        <w:t xml:space="preserve"> </w:t>
      </w:r>
      <w:r w:rsidRPr="002D726D">
        <w:rPr>
          <w:sz w:val="24"/>
          <w:szCs w:val="24"/>
        </w:rPr>
        <w:t>(</w:t>
      </w:r>
      <w:commentRangeStart w:id="9"/>
      <w:proofErr w:type="spellStart"/>
      <w:r w:rsidRPr="002D726D">
        <w:rPr>
          <w:sz w:val="24"/>
          <w:szCs w:val="24"/>
        </w:rPr>
        <w:t>Unni</w:t>
      </w:r>
      <w:proofErr w:type="spellEnd"/>
      <w:r w:rsidRPr="002D726D">
        <w:rPr>
          <w:sz w:val="24"/>
          <w:szCs w:val="24"/>
        </w:rPr>
        <w:t xml:space="preserve"> 1996, </w:t>
      </w:r>
      <w:proofErr w:type="spellStart"/>
      <w:r w:rsidRPr="002D726D">
        <w:rPr>
          <w:sz w:val="24"/>
          <w:szCs w:val="24"/>
        </w:rPr>
        <w:t>Coppard</w:t>
      </w:r>
      <w:proofErr w:type="spellEnd"/>
      <w:r w:rsidRPr="002D726D">
        <w:rPr>
          <w:sz w:val="24"/>
          <w:szCs w:val="24"/>
        </w:rPr>
        <w:t xml:space="preserve"> 2004</w:t>
      </w:r>
      <w:commentRangeEnd w:id="9"/>
      <w:r w:rsidR="00884D88">
        <w:rPr>
          <w:rStyle w:val="CommentReference"/>
        </w:rPr>
        <w:commentReference w:id="9"/>
      </w:r>
      <w:r w:rsidRPr="002D726D">
        <w:rPr>
          <w:sz w:val="24"/>
          <w:szCs w:val="24"/>
        </w:rPr>
        <w:t>).</w:t>
      </w:r>
      <w:r>
        <w:rPr>
          <w:sz w:val="24"/>
          <w:szCs w:val="24"/>
        </w:rPr>
        <w:t xml:space="preserve"> </w:t>
      </w:r>
      <w:r w:rsidRPr="00C35EB8">
        <w:rPr>
          <w:sz w:val="24"/>
          <w:szCs w:val="24"/>
        </w:rPr>
        <w:t>A slowing down of agricultural growth</w:t>
      </w:r>
      <w:r>
        <w:rPr>
          <w:sz w:val="24"/>
          <w:szCs w:val="24"/>
        </w:rPr>
        <w:t xml:space="preserve"> </w:t>
      </w:r>
      <w:r w:rsidRPr="00C35EB8">
        <w:rPr>
          <w:sz w:val="24"/>
          <w:szCs w:val="24"/>
        </w:rPr>
        <w:t>and a decline in investment in agriculture as well as a subsequent increase in non-farm employment are observed (</w:t>
      </w:r>
      <w:commentRangeStart w:id="10"/>
      <w:r w:rsidRPr="00C35EB8">
        <w:rPr>
          <w:sz w:val="24"/>
          <w:szCs w:val="24"/>
        </w:rPr>
        <w:t>Jackson and Rao 2008</w:t>
      </w:r>
      <w:commentRangeEnd w:id="10"/>
      <w:r w:rsidR="00884D88">
        <w:rPr>
          <w:rStyle w:val="CommentReference"/>
        </w:rPr>
        <w:commentReference w:id="10"/>
      </w:r>
      <w:r w:rsidRPr="00C35EB8">
        <w:rPr>
          <w:sz w:val="24"/>
          <w:szCs w:val="24"/>
        </w:rPr>
        <w:t>).</w:t>
      </w:r>
      <w:r w:rsidRPr="002D726D">
        <w:rPr>
          <w:sz w:val="24"/>
          <w:szCs w:val="24"/>
        </w:rPr>
        <w:t xml:space="preserve"> </w:t>
      </w:r>
      <w:r w:rsidRPr="00C35EB8">
        <w:rPr>
          <w:sz w:val="24"/>
          <w:szCs w:val="24"/>
        </w:rPr>
        <w:t>Women are moving out of agriculture at a slower pace than men (</w:t>
      </w:r>
      <w:commentRangeStart w:id="11"/>
      <w:proofErr w:type="spellStart"/>
      <w:r w:rsidRPr="00C35EB8">
        <w:rPr>
          <w:sz w:val="24"/>
          <w:szCs w:val="24"/>
        </w:rPr>
        <w:t>Kabeer</w:t>
      </w:r>
      <w:proofErr w:type="spellEnd"/>
      <w:r w:rsidRPr="00C35EB8">
        <w:rPr>
          <w:sz w:val="24"/>
          <w:szCs w:val="24"/>
        </w:rPr>
        <w:t xml:space="preserve"> 2007, Agarwal 2011</w:t>
      </w:r>
      <w:commentRangeEnd w:id="11"/>
      <w:r w:rsidR="00884D88">
        <w:rPr>
          <w:rStyle w:val="CommentReference"/>
        </w:rPr>
        <w:commentReference w:id="11"/>
      </w:r>
      <w:r w:rsidRPr="00C35EB8">
        <w:rPr>
          <w:sz w:val="24"/>
          <w:szCs w:val="24"/>
        </w:rPr>
        <w:t xml:space="preserve">), suggesting that the agricultural </w:t>
      </w:r>
      <w:proofErr w:type="spellStart"/>
      <w:r w:rsidRPr="00C35EB8">
        <w:rPr>
          <w:sz w:val="24"/>
          <w:szCs w:val="24"/>
        </w:rPr>
        <w:t>labour</w:t>
      </w:r>
      <w:proofErr w:type="spellEnd"/>
      <w:r w:rsidRPr="00C35EB8">
        <w:rPr>
          <w:sz w:val="24"/>
          <w:szCs w:val="24"/>
        </w:rPr>
        <w:t xml:space="preserve"> force is becoming </w:t>
      </w:r>
      <w:proofErr w:type="spellStart"/>
      <w:r w:rsidRPr="00C35EB8">
        <w:rPr>
          <w:sz w:val="24"/>
          <w:szCs w:val="24"/>
        </w:rPr>
        <w:t>feminised</w:t>
      </w:r>
      <w:proofErr w:type="spellEnd"/>
      <w:r w:rsidRPr="00C35EB8">
        <w:rPr>
          <w:sz w:val="24"/>
          <w:szCs w:val="24"/>
        </w:rPr>
        <w:t xml:space="preserve">, along with </w:t>
      </w:r>
      <w:r w:rsidR="00B647E0">
        <w:rPr>
          <w:sz w:val="24"/>
          <w:szCs w:val="24"/>
        </w:rPr>
        <w:t xml:space="preserve">the </w:t>
      </w:r>
      <w:proofErr w:type="spellStart"/>
      <w:r w:rsidRPr="00C35EB8">
        <w:rPr>
          <w:sz w:val="24"/>
          <w:szCs w:val="24"/>
        </w:rPr>
        <w:t>marginalisation</w:t>
      </w:r>
      <w:proofErr w:type="spellEnd"/>
      <w:r w:rsidRPr="00C35EB8">
        <w:rPr>
          <w:sz w:val="24"/>
          <w:szCs w:val="24"/>
        </w:rPr>
        <w:t xml:space="preserve"> of women’s work, illustrating spatial and gendered patterns of </w:t>
      </w:r>
      <w:proofErr w:type="spellStart"/>
      <w:r w:rsidRPr="00C35EB8">
        <w:rPr>
          <w:sz w:val="24"/>
          <w:szCs w:val="24"/>
        </w:rPr>
        <w:t>labour</w:t>
      </w:r>
      <w:proofErr w:type="spellEnd"/>
      <w:r w:rsidRPr="00C35EB8">
        <w:rPr>
          <w:sz w:val="24"/>
          <w:szCs w:val="24"/>
        </w:rPr>
        <w:t xml:space="preserve"> mobility. While higher-caste women are withdrawn into domesticity, landless Dalit women are increasingly engaged in lower-paid employment, but also subject to patriarchal practices that </w:t>
      </w:r>
      <w:proofErr w:type="spellStart"/>
      <w:r w:rsidRPr="00C35EB8">
        <w:rPr>
          <w:sz w:val="24"/>
          <w:szCs w:val="24"/>
        </w:rPr>
        <w:t>emphasise</w:t>
      </w:r>
      <w:proofErr w:type="spellEnd"/>
      <w:r w:rsidRPr="00C35EB8">
        <w:rPr>
          <w:sz w:val="24"/>
          <w:szCs w:val="24"/>
        </w:rPr>
        <w:t xml:space="preserve"> female seclusion and subordination, with social controls by their male kin which restrict their mobility, earnings, and sexuality (</w:t>
      </w:r>
      <w:commentRangeStart w:id="12"/>
      <w:proofErr w:type="spellStart"/>
      <w:r w:rsidRPr="00C35EB8">
        <w:rPr>
          <w:sz w:val="24"/>
          <w:szCs w:val="24"/>
        </w:rPr>
        <w:t>Anandhi</w:t>
      </w:r>
      <w:proofErr w:type="spellEnd"/>
      <w:r w:rsidRPr="00C35EB8">
        <w:rPr>
          <w:sz w:val="24"/>
          <w:szCs w:val="24"/>
        </w:rPr>
        <w:t xml:space="preserve"> 2007, Kapadia 2009</w:t>
      </w:r>
      <w:r w:rsidR="00202AB6">
        <w:rPr>
          <w:sz w:val="24"/>
          <w:szCs w:val="24"/>
        </w:rPr>
        <w:t>)(</w:t>
      </w:r>
      <w:r w:rsidR="00BF0985">
        <w:rPr>
          <w:sz w:val="24"/>
          <w:szCs w:val="24"/>
        </w:rPr>
        <w:t xml:space="preserve"> </w:t>
      </w:r>
      <w:r>
        <w:rPr>
          <w:sz w:val="24"/>
          <w:szCs w:val="24"/>
        </w:rPr>
        <w:t xml:space="preserve">as </w:t>
      </w:r>
      <w:r w:rsidR="00202AB6">
        <w:rPr>
          <w:sz w:val="24"/>
          <w:szCs w:val="24"/>
        </w:rPr>
        <w:t>quoted</w:t>
      </w:r>
      <w:r>
        <w:rPr>
          <w:sz w:val="24"/>
          <w:szCs w:val="24"/>
        </w:rPr>
        <w:t xml:space="preserve"> by </w:t>
      </w:r>
      <w:proofErr w:type="spellStart"/>
      <w:r>
        <w:rPr>
          <w:sz w:val="24"/>
          <w:szCs w:val="24"/>
        </w:rPr>
        <w:t>Arun</w:t>
      </w:r>
      <w:proofErr w:type="spellEnd"/>
      <w:r>
        <w:rPr>
          <w:sz w:val="24"/>
          <w:szCs w:val="24"/>
        </w:rPr>
        <w:t xml:space="preserve"> 2012)</w:t>
      </w:r>
      <w:commentRangeEnd w:id="12"/>
      <w:r w:rsidR="00961CAE">
        <w:rPr>
          <w:rStyle w:val="CommentReference"/>
        </w:rPr>
        <w:commentReference w:id="12"/>
      </w:r>
    </w:p>
    <w:p w14:paraId="782477CC" w14:textId="369AD276" w:rsidR="00836BBD" w:rsidRDefault="00B647E0" w:rsidP="00C35EB8">
      <w:pPr>
        <w:pStyle w:val="BodyText"/>
        <w:spacing w:line="360" w:lineRule="auto"/>
        <w:ind w:left="0" w:right="112"/>
        <w:jc w:val="both"/>
      </w:pPr>
      <w:r>
        <w:t>Women's</w:t>
      </w:r>
      <w:r w:rsidR="00836BBD" w:rsidRPr="00C35EB8">
        <w:t xml:space="preserve"> education, household income, and social constraints were sighted as </w:t>
      </w:r>
      <w:r>
        <w:t xml:space="preserve">the </w:t>
      </w:r>
      <w:r w:rsidR="00836BBD" w:rsidRPr="00C35EB8">
        <w:t xml:space="preserve">most important determinants for low FLFPR than Male </w:t>
      </w:r>
      <w:proofErr w:type="spellStart"/>
      <w:r w:rsidR="00836BBD" w:rsidRPr="00C35EB8">
        <w:t>labour</w:t>
      </w:r>
      <w:proofErr w:type="spellEnd"/>
      <w:r w:rsidR="00836BBD" w:rsidRPr="00C35EB8">
        <w:t xml:space="preserve"> force participation. Table 2 delves into the </w:t>
      </w:r>
      <w:r w:rsidR="00BF0985">
        <w:t xml:space="preserve">gender </w:t>
      </w:r>
      <w:r w:rsidR="00836BBD" w:rsidRPr="00C35EB8">
        <w:t xml:space="preserve">classification of work participation in Kerala based on </w:t>
      </w:r>
      <w:r w:rsidR="00BF0985">
        <w:t>sector</w:t>
      </w:r>
      <w:r w:rsidR="00836BBD" w:rsidRPr="00C35EB8">
        <w:t>.</w:t>
      </w:r>
      <w:r w:rsidR="00F305FD">
        <w:t xml:space="preserve"> </w:t>
      </w:r>
      <w:r w:rsidR="00836BBD" w:rsidRPr="00C35EB8">
        <w:t xml:space="preserve">First, in the farm sector, self-employment loosely indicates cultivators, while casual </w:t>
      </w:r>
      <w:proofErr w:type="spellStart"/>
      <w:r w:rsidR="00836BBD" w:rsidRPr="00C35EB8">
        <w:t>labour</w:t>
      </w:r>
      <w:proofErr w:type="spellEnd"/>
      <w:r w:rsidR="00836BBD" w:rsidRPr="00C35EB8">
        <w:rPr>
          <w:spacing w:val="1"/>
        </w:rPr>
        <w:t xml:space="preserve"> </w:t>
      </w:r>
      <w:r w:rsidR="00836BBD" w:rsidRPr="00C35EB8">
        <w:t xml:space="preserve">primarily includes agricultural </w:t>
      </w:r>
      <w:proofErr w:type="spellStart"/>
      <w:r>
        <w:t>labourers</w:t>
      </w:r>
      <w:proofErr w:type="spellEnd"/>
      <w:r w:rsidR="00836BBD" w:rsidRPr="00C35EB8">
        <w:t>. Thus, self-employment in the farm sector is more of</w:t>
      </w:r>
      <w:r w:rsidR="00836BBD" w:rsidRPr="00C35EB8">
        <w:rPr>
          <w:spacing w:val="-57"/>
        </w:rPr>
        <w:t xml:space="preserve"> </w:t>
      </w:r>
      <w:r w:rsidR="00836BBD" w:rsidRPr="00C35EB8">
        <w:t>a</w:t>
      </w:r>
      <w:r w:rsidR="00836BBD" w:rsidRPr="00C35EB8">
        <w:rPr>
          <w:spacing w:val="1"/>
        </w:rPr>
        <w:t xml:space="preserve"> </w:t>
      </w:r>
      <w:r w:rsidR="00836BBD" w:rsidRPr="00C35EB8">
        <w:t>privileged</w:t>
      </w:r>
      <w:r w:rsidR="00836BBD" w:rsidRPr="00C35EB8">
        <w:rPr>
          <w:spacing w:val="1"/>
        </w:rPr>
        <w:t xml:space="preserve"> </w:t>
      </w:r>
      <w:r w:rsidR="00836BBD" w:rsidRPr="00C35EB8">
        <w:t>occupation.</w:t>
      </w:r>
      <w:r w:rsidR="00836BBD" w:rsidRPr="00C35EB8">
        <w:rPr>
          <w:spacing w:val="1"/>
        </w:rPr>
        <w:t xml:space="preserve"> </w:t>
      </w:r>
      <w:r w:rsidR="00836BBD" w:rsidRPr="00C35EB8">
        <w:t>In</w:t>
      </w:r>
      <w:r w:rsidR="00836BBD" w:rsidRPr="00C35EB8">
        <w:rPr>
          <w:spacing w:val="1"/>
        </w:rPr>
        <w:t xml:space="preserve"> </w:t>
      </w:r>
      <w:r w:rsidR="00836BBD" w:rsidRPr="00C35EB8">
        <w:t>the</w:t>
      </w:r>
      <w:r w:rsidR="00836BBD" w:rsidRPr="00C35EB8">
        <w:rPr>
          <w:spacing w:val="1"/>
        </w:rPr>
        <w:t xml:space="preserve"> </w:t>
      </w:r>
      <w:r w:rsidR="00836BBD" w:rsidRPr="00C35EB8">
        <w:t>non-farm</w:t>
      </w:r>
      <w:r w:rsidR="00836BBD" w:rsidRPr="00C35EB8">
        <w:rPr>
          <w:spacing w:val="1"/>
        </w:rPr>
        <w:t xml:space="preserve"> </w:t>
      </w:r>
      <w:r w:rsidR="00836BBD" w:rsidRPr="00C35EB8">
        <w:t>sector,</w:t>
      </w:r>
      <w:r w:rsidR="00836BBD" w:rsidRPr="00C35EB8">
        <w:rPr>
          <w:spacing w:val="1"/>
        </w:rPr>
        <w:t xml:space="preserve"> </w:t>
      </w:r>
      <w:r w:rsidR="00836BBD" w:rsidRPr="00C35EB8">
        <w:t>however,</w:t>
      </w:r>
      <w:r w:rsidR="00836BBD" w:rsidRPr="00C35EB8">
        <w:rPr>
          <w:spacing w:val="1"/>
        </w:rPr>
        <w:t xml:space="preserve"> </w:t>
      </w:r>
      <w:r w:rsidR="00836BBD" w:rsidRPr="00C35EB8">
        <w:t>this</w:t>
      </w:r>
      <w:r w:rsidR="00836BBD" w:rsidRPr="00C35EB8">
        <w:rPr>
          <w:spacing w:val="1"/>
        </w:rPr>
        <w:t xml:space="preserve"> </w:t>
      </w:r>
      <w:r w:rsidR="00836BBD" w:rsidRPr="00C35EB8">
        <w:t>is</w:t>
      </w:r>
      <w:r w:rsidR="00836BBD" w:rsidRPr="00C35EB8">
        <w:rPr>
          <w:spacing w:val="1"/>
        </w:rPr>
        <w:t xml:space="preserve"> </w:t>
      </w:r>
      <w:r w:rsidR="00836BBD" w:rsidRPr="00C35EB8">
        <w:t>not</w:t>
      </w:r>
      <w:r w:rsidR="00836BBD" w:rsidRPr="00C35EB8">
        <w:rPr>
          <w:spacing w:val="1"/>
        </w:rPr>
        <w:t xml:space="preserve"> </w:t>
      </w:r>
      <w:r w:rsidR="00836BBD" w:rsidRPr="00C35EB8">
        <w:t>very</w:t>
      </w:r>
      <w:r w:rsidR="00836BBD" w:rsidRPr="00C35EB8">
        <w:rPr>
          <w:spacing w:val="1"/>
        </w:rPr>
        <w:t xml:space="preserve"> </w:t>
      </w:r>
      <w:r w:rsidR="00836BBD" w:rsidRPr="00C35EB8">
        <w:t>clear.</w:t>
      </w:r>
      <w:r w:rsidR="00836BBD" w:rsidRPr="00C35EB8">
        <w:rPr>
          <w:spacing w:val="1"/>
        </w:rPr>
        <w:t xml:space="preserve"> </w:t>
      </w:r>
      <w:r>
        <w:t>Self-employment</w:t>
      </w:r>
      <w:r w:rsidR="00836BBD" w:rsidRPr="00C35EB8">
        <w:rPr>
          <w:spacing w:val="-15"/>
        </w:rPr>
        <w:t xml:space="preserve"> </w:t>
      </w:r>
      <w:r w:rsidR="00836BBD" w:rsidRPr="00C35EB8">
        <w:t>in</w:t>
      </w:r>
      <w:r w:rsidR="00836BBD" w:rsidRPr="00C35EB8">
        <w:rPr>
          <w:spacing w:val="-14"/>
        </w:rPr>
        <w:t xml:space="preserve"> </w:t>
      </w:r>
      <w:r w:rsidR="00836BBD" w:rsidRPr="00C35EB8">
        <w:t>the</w:t>
      </w:r>
      <w:r w:rsidR="00836BBD" w:rsidRPr="00C35EB8">
        <w:rPr>
          <w:spacing w:val="-14"/>
        </w:rPr>
        <w:t xml:space="preserve"> </w:t>
      </w:r>
      <w:r w:rsidR="00836BBD" w:rsidRPr="00C35EB8">
        <w:t>non-farm</w:t>
      </w:r>
      <w:r w:rsidR="00836BBD" w:rsidRPr="00C35EB8">
        <w:rPr>
          <w:spacing w:val="-15"/>
        </w:rPr>
        <w:t xml:space="preserve"> </w:t>
      </w:r>
      <w:r w:rsidR="00836BBD" w:rsidRPr="00C35EB8">
        <w:t>sector</w:t>
      </w:r>
      <w:r w:rsidR="00836BBD" w:rsidRPr="00C35EB8">
        <w:rPr>
          <w:spacing w:val="-15"/>
        </w:rPr>
        <w:t xml:space="preserve"> </w:t>
      </w:r>
      <w:r w:rsidR="00836BBD" w:rsidRPr="00C35EB8">
        <w:t>has</w:t>
      </w:r>
      <w:r w:rsidR="00836BBD" w:rsidRPr="00C35EB8">
        <w:rPr>
          <w:spacing w:val="-14"/>
        </w:rPr>
        <w:t xml:space="preserve"> </w:t>
      </w:r>
      <w:r w:rsidR="00836BBD" w:rsidRPr="00C35EB8">
        <w:t>a</w:t>
      </w:r>
      <w:r w:rsidR="00836BBD" w:rsidRPr="00C35EB8">
        <w:rPr>
          <w:spacing w:val="-16"/>
        </w:rPr>
        <w:t xml:space="preserve"> </w:t>
      </w:r>
      <w:r w:rsidR="00836BBD" w:rsidRPr="00C35EB8">
        <w:t>more</w:t>
      </w:r>
      <w:r w:rsidR="00836BBD" w:rsidRPr="00C35EB8">
        <w:rPr>
          <w:spacing w:val="-16"/>
        </w:rPr>
        <w:t xml:space="preserve"> </w:t>
      </w:r>
      <w:r w:rsidR="00836BBD" w:rsidRPr="00C35EB8">
        <w:t>complex</w:t>
      </w:r>
      <w:r w:rsidR="00836BBD" w:rsidRPr="00C35EB8">
        <w:rPr>
          <w:spacing w:val="-14"/>
        </w:rPr>
        <w:t xml:space="preserve"> </w:t>
      </w:r>
      <w:r w:rsidR="00836BBD" w:rsidRPr="00C35EB8">
        <w:t>connotation</w:t>
      </w:r>
      <w:r w:rsidR="00836BBD" w:rsidRPr="00C35EB8">
        <w:rPr>
          <w:spacing w:val="-14"/>
        </w:rPr>
        <w:t xml:space="preserve"> </w:t>
      </w:r>
      <w:r w:rsidR="00836BBD" w:rsidRPr="00C35EB8">
        <w:t>and</w:t>
      </w:r>
      <w:r w:rsidR="00836BBD" w:rsidRPr="00C35EB8">
        <w:rPr>
          <w:spacing w:val="-14"/>
        </w:rPr>
        <w:t xml:space="preserve"> </w:t>
      </w:r>
      <w:r w:rsidR="00836BBD" w:rsidRPr="00C35EB8">
        <w:t>can</w:t>
      </w:r>
      <w:r w:rsidR="00836BBD" w:rsidRPr="00C35EB8">
        <w:rPr>
          <w:spacing w:val="-12"/>
        </w:rPr>
        <w:t xml:space="preserve"> </w:t>
      </w:r>
      <w:r w:rsidR="00836BBD" w:rsidRPr="00C35EB8">
        <w:t>commonly</w:t>
      </w:r>
      <w:r w:rsidR="00836BBD" w:rsidRPr="00C35EB8">
        <w:rPr>
          <w:spacing w:val="-15"/>
        </w:rPr>
        <w:t xml:space="preserve"> </w:t>
      </w:r>
      <w:r w:rsidR="00836BBD" w:rsidRPr="00C35EB8">
        <w:t>include</w:t>
      </w:r>
      <w:r w:rsidR="00836BBD" w:rsidRPr="00C35EB8">
        <w:rPr>
          <w:spacing w:val="-57"/>
        </w:rPr>
        <w:t xml:space="preserve"> </w:t>
      </w:r>
      <w:r w:rsidR="00836BBD" w:rsidRPr="00C35EB8">
        <w:t>very</w:t>
      </w:r>
      <w:r w:rsidR="00836BBD" w:rsidRPr="00C35EB8">
        <w:rPr>
          <w:spacing w:val="-1"/>
        </w:rPr>
        <w:t xml:space="preserve"> </w:t>
      </w:r>
      <w:r w:rsidR="00836BBD" w:rsidRPr="00C35EB8">
        <w:t>small economic</w:t>
      </w:r>
      <w:r w:rsidR="00836BBD" w:rsidRPr="00C35EB8">
        <w:rPr>
          <w:spacing w:val="2"/>
        </w:rPr>
        <w:t xml:space="preserve"> </w:t>
      </w:r>
      <w:r w:rsidR="00836BBD" w:rsidRPr="00C35EB8">
        <w:t>enterprises that may</w:t>
      </w:r>
      <w:r w:rsidR="00836BBD" w:rsidRPr="00C35EB8">
        <w:rPr>
          <w:spacing w:val="-1"/>
        </w:rPr>
        <w:t xml:space="preserve"> </w:t>
      </w:r>
      <w:r w:rsidR="00836BBD" w:rsidRPr="00C35EB8">
        <w:t>just be</w:t>
      </w:r>
      <w:r w:rsidR="00836BBD" w:rsidRPr="00C35EB8">
        <w:rPr>
          <w:spacing w:val="1"/>
        </w:rPr>
        <w:t xml:space="preserve"> </w:t>
      </w:r>
      <w:r w:rsidR="00836BBD" w:rsidRPr="00C35EB8">
        <w:t>breaking even.</w:t>
      </w:r>
    </w:p>
    <w:p w14:paraId="6C88C2F8" w14:textId="55AC9695" w:rsidR="001A221F" w:rsidRDefault="001A221F" w:rsidP="00C35EB8">
      <w:pPr>
        <w:pStyle w:val="BodyText"/>
        <w:spacing w:line="360" w:lineRule="auto"/>
        <w:ind w:left="0" w:right="112"/>
        <w:jc w:val="both"/>
      </w:pPr>
    </w:p>
    <w:p w14:paraId="5919C0F2" w14:textId="4C0BF68E" w:rsidR="001A221F" w:rsidRDefault="001A221F" w:rsidP="00C35EB8">
      <w:pPr>
        <w:pStyle w:val="BodyText"/>
        <w:spacing w:line="360" w:lineRule="auto"/>
        <w:ind w:left="0" w:right="112"/>
        <w:jc w:val="both"/>
      </w:pPr>
    </w:p>
    <w:p w14:paraId="01FE7BFB" w14:textId="77777777" w:rsidR="001A221F" w:rsidRPr="00C35EB8" w:rsidRDefault="001A221F" w:rsidP="00C35EB8">
      <w:pPr>
        <w:pStyle w:val="BodyText"/>
        <w:spacing w:line="360" w:lineRule="auto"/>
        <w:ind w:left="0" w:right="112"/>
        <w:jc w:val="both"/>
      </w:pPr>
    </w:p>
    <w:p w14:paraId="2A14CF09" w14:textId="7D34901E" w:rsidR="00836BBD" w:rsidRPr="001A221F" w:rsidRDefault="00836BBD" w:rsidP="00F305FD">
      <w:pPr>
        <w:spacing w:line="360" w:lineRule="auto"/>
        <w:jc w:val="center"/>
        <w:rPr>
          <w:b/>
          <w:sz w:val="24"/>
          <w:szCs w:val="24"/>
        </w:rPr>
      </w:pPr>
      <w:r w:rsidRPr="001A221F">
        <w:rPr>
          <w:b/>
          <w:sz w:val="24"/>
          <w:szCs w:val="24"/>
        </w:rPr>
        <w:lastRenderedPageBreak/>
        <w:t>Table 2</w:t>
      </w:r>
      <w:r w:rsidR="00F305FD" w:rsidRPr="001A221F">
        <w:rPr>
          <w:b/>
          <w:sz w:val="24"/>
          <w:szCs w:val="24"/>
        </w:rPr>
        <w:t xml:space="preserve">: </w:t>
      </w:r>
      <w:r w:rsidRPr="001A221F">
        <w:rPr>
          <w:b/>
          <w:sz w:val="24"/>
          <w:szCs w:val="24"/>
        </w:rPr>
        <w:t>Sector wise classification of farm</w:t>
      </w:r>
      <w:r w:rsidR="00B647E0" w:rsidRPr="001A221F">
        <w:rPr>
          <w:b/>
          <w:sz w:val="24"/>
          <w:szCs w:val="24"/>
        </w:rPr>
        <w:t xml:space="preserve"> and non-farm</w:t>
      </w:r>
      <w:r w:rsidRPr="001A221F">
        <w:rPr>
          <w:b/>
          <w:sz w:val="24"/>
          <w:szCs w:val="24"/>
        </w:rPr>
        <w:t xml:space="preserve"> activities</w:t>
      </w:r>
      <w:r w:rsidR="00F305FD" w:rsidRPr="001A221F">
        <w:rPr>
          <w:b/>
          <w:sz w:val="24"/>
          <w:szCs w:val="24"/>
        </w:rPr>
        <w:t xml:space="preserve"> (%)</w:t>
      </w:r>
    </w:p>
    <w:tbl>
      <w:tblPr>
        <w:tblStyle w:val="TableGrid"/>
        <w:tblW w:w="0" w:type="auto"/>
        <w:tblLook w:val="04A0" w:firstRow="1" w:lastRow="0" w:firstColumn="1" w:lastColumn="0" w:noHBand="0" w:noVBand="1"/>
      </w:tblPr>
      <w:tblGrid>
        <w:gridCol w:w="1803"/>
        <w:gridCol w:w="1803"/>
        <w:gridCol w:w="1803"/>
        <w:gridCol w:w="1803"/>
        <w:gridCol w:w="1804"/>
      </w:tblGrid>
      <w:tr w:rsidR="00F305FD" w:rsidRPr="00C35EB8" w14:paraId="3F7E7ED4" w14:textId="77777777" w:rsidTr="008C5916">
        <w:tc>
          <w:tcPr>
            <w:tcW w:w="1803" w:type="dxa"/>
            <w:vMerge w:val="restart"/>
          </w:tcPr>
          <w:p w14:paraId="7B5764E8" w14:textId="0B4EEDAC" w:rsidR="00F305FD" w:rsidRPr="00C35EB8" w:rsidRDefault="00F305FD" w:rsidP="00C35EB8">
            <w:pPr>
              <w:spacing w:line="360" w:lineRule="auto"/>
              <w:jc w:val="both"/>
              <w:rPr>
                <w:sz w:val="24"/>
                <w:szCs w:val="24"/>
              </w:rPr>
            </w:pPr>
            <w:r>
              <w:rPr>
                <w:sz w:val="24"/>
                <w:szCs w:val="24"/>
              </w:rPr>
              <w:t>Sector</w:t>
            </w:r>
          </w:p>
        </w:tc>
        <w:tc>
          <w:tcPr>
            <w:tcW w:w="1803" w:type="dxa"/>
          </w:tcPr>
          <w:p w14:paraId="62C713E9" w14:textId="77777777" w:rsidR="00F305FD" w:rsidRPr="00C35EB8" w:rsidRDefault="00F305FD" w:rsidP="00C35EB8">
            <w:pPr>
              <w:spacing w:line="360" w:lineRule="auto"/>
              <w:jc w:val="both"/>
              <w:rPr>
                <w:sz w:val="24"/>
                <w:szCs w:val="24"/>
              </w:rPr>
            </w:pPr>
            <w:r w:rsidRPr="00C35EB8">
              <w:rPr>
                <w:sz w:val="24"/>
                <w:szCs w:val="24"/>
              </w:rPr>
              <w:t>Rural</w:t>
            </w:r>
          </w:p>
        </w:tc>
        <w:tc>
          <w:tcPr>
            <w:tcW w:w="1803" w:type="dxa"/>
          </w:tcPr>
          <w:p w14:paraId="0A53C6C3" w14:textId="77777777" w:rsidR="00F305FD" w:rsidRPr="00C35EB8" w:rsidRDefault="00F305FD" w:rsidP="00C35EB8">
            <w:pPr>
              <w:spacing w:line="360" w:lineRule="auto"/>
              <w:jc w:val="both"/>
              <w:rPr>
                <w:sz w:val="24"/>
                <w:szCs w:val="24"/>
              </w:rPr>
            </w:pPr>
          </w:p>
        </w:tc>
        <w:tc>
          <w:tcPr>
            <w:tcW w:w="1803" w:type="dxa"/>
          </w:tcPr>
          <w:p w14:paraId="4AFCD6A5" w14:textId="77777777" w:rsidR="00F305FD" w:rsidRPr="00C35EB8" w:rsidRDefault="00F305FD" w:rsidP="00C35EB8">
            <w:pPr>
              <w:spacing w:line="360" w:lineRule="auto"/>
              <w:jc w:val="both"/>
              <w:rPr>
                <w:sz w:val="24"/>
                <w:szCs w:val="24"/>
              </w:rPr>
            </w:pPr>
            <w:r w:rsidRPr="00C35EB8">
              <w:rPr>
                <w:sz w:val="24"/>
                <w:szCs w:val="24"/>
              </w:rPr>
              <w:t>Urban</w:t>
            </w:r>
          </w:p>
        </w:tc>
        <w:tc>
          <w:tcPr>
            <w:tcW w:w="1804" w:type="dxa"/>
          </w:tcPr>
          <w:p w14:paraId="60C34D6F" w14:textId="77777777" w:rsidR="00F305FD" w:rsidRPr="00C35EB8" w:rsidRDefault="00F305FD" w:rsidP="00C35EB8">
            <w:pPr>
              <w:spacing w:line="360" w:lineRule="auto"/>
              <w:jc w:val="both"/>
              <w:rPr>
                <w:sz w:val="24"/>
                <w:szCs w:val="24"/>
              </w:rPr>
            </w:pPr>
          </w:p>
        </w:tc>
      </w:tr>
      <w:tr w:rsidR="00F305FD" w:rsidRPr="00C35EB8" w14:paraId="013E0DAF" w14:textId="77777777" w:rsidTr="008C5916">
        <w:tc>
          <w:tcPr>
            <w:tcW w:w="1803" w:type="dxa"/>
            <w:vMerge/>
          </w:tcPr>
          <w:p w14:paraId="72D46D3E" w14:textId="77777777" w:rsidR="00F305FD" w:rsidRPr="00C35EB8" w:rsidRDefault="00F305FD" w:rsidP="00C35EB8">
            <w:pPr>
              <w:spacing w:line="360" w:lineRule="auto"/>
              <w:jc w:val="both"/>
              <w:rPr>
                <w:sz w:val="24"/>
                <w:szCs w:val="24"/>
              </w:rPr>
            </w:pPr>
          </w:p>
        </w:tc>
        <w:tc>
          <w:tcPr>
            <w:tcW w:w="1803" w:type="dxa"/>
          </w:tcPr>
          <w:p w14:paraId="5A6FE8BF" w14:textId="77777777" w:rsidR="00F305FD" w:rsidRPr="00C35EB8" w:rsidRDefault="00F305FD" w:rsidP="00C35EB8">
            <w:pPr>
              <w:spacing w:line="360" w:lineRule="auto"/>
              <w:jc w:val="both"/>
              <w:rPr>
                <w:sz w:val="24"/>
                <w:szCs w:val="24"/>
              </w:rPr>
            </w:pPr>
            <w:r w:rsidRPr="00C35EB8">
              <w:rPr>
                <w:sz w:val="24"/>
                <w:szCs w:val="24"/>
              </w:rPr>
              <w:t>Male</w:t>
            </w:r>
          </w:p>
        </w:tc>
        <w:tc>
          <w:tcPr>
            <w:tcW w:w="1803" w:type="dxa"/>
          </w:tcPr>
          <w:p w14:paraId="1240BFBB" w14:textId="77777777" w:rsidR="00F305FD" w:rsidRPr="00C35EB8" w:rsidRDefault="00F305FD" w:rsidP="00C35EB8">
            <w:pPr>
              <w:spacing w:line="360" w:lineRule="auto"/>
              <w:jc w:val="both"/>
              <w:rPr>
                <w:sz w:val="24"/>
                <w:szCs w:val="24"/>
              </w:rPr>
            </w:pPr>
            <w:r w:rsidRPr="00C35EB8">
              <w:rPr>
                <w:sz w:val="24"/>
                <w:szCs w:val="24"/>
              </w:rPr>
              <w:t>Female</w:t>
            </w:r>
          </w:p>
        </w:tc>
        <w:tc>
          <w:tcPr>
            <w:tcW w:w="1803" w:type="dxa"/>
          </w:tcPr>
          <w:p w14:paraId="59082254" w14:textId="77777777" w:rsidR="00F305FD" w:rsidRPr="00C35EB8" w:rsidRDefault="00F305FD" w:rsidP="00C35EB8">
            <w:pPr>
              <w:spacing w:line="360" w:lineRule="auto"/>
              <w:jc w:val="both"/>
              <w:rPr>
                <w:sz w:val="24"/>
                <w:szCs w:val="24"/>
              </w:rPr>
            </w:pPr>
            <w:r w:rsidRPr="00C35EB8">
              <w:rPr>
                <w:sz w:val="24"/>
                <w:szCs w:val="24"/>
              </w:rPr>
              <w:t>Male</w:t>
            </w:r>
          </w:p>
        </w:tc>
        <w:tc>
          <w:tcPr>
            <w:tcW w:w="1804" w:type="dxa"/>
          </w:tcPr>
          <w:p w14:paraId="2819CF9A" w14:textId="77777777" w:rsidR="00F305FD" w:rsidRPr="00C35EB8" w:rsidRDefault="00F305FD" w:rsidP="00C35EB8">
            <w:pPr>
              <w:spacing w:line="360" w:lineRule="auto"/>
              <w:jc w:val="both"/>
              <w:rPr>
                <w:sz w:val="24"/>
                <w:szCs w:val="24"/>
              </w:rPr>
            </w:pPr>
            <w:r w:rsidRPr="00C35EB8">
              <w:rPr>
                <w:sz w:val="24"/>
                <w:szCs w:val="24"/>
              </w:rPr>
              <w:t>Female</w:t>
            </w:r>
          </w:p>
        </w:tc>
      </w:tr>
      <w:tr w:rsidR="00836BBD" w:rsidRPr="00C35EB8" w14:paraId="58E51383" w14:textId="77777777" w:rsidTr="008C5916">
        <w:tc>
          <w:tcPr>
            <w:tcW w:w="1803" w:type="dxa"/>
          </w:tcPr>
          <w:p w14:paraId="449F91AB" w14:textId="77777777" w:rsidR="00836BBD" w:rsidRPr="00C35EB8" w:rsidRDefault="00836BBD" w:rsidP="00C35EB8">
            <w:pPr>
              <w:spacing w:line="360" w:lineRule="auto"/>
              <w:jc w:val="both"/>
              <w:rPr>
                <w:sz w:val="24"/>
                <w:szCs w:val="24"/>
              </w:rPr>
            </w:pPr>
            <w:r w:rsidRPr="00C35EB8">
              <w:rPr>
                <w:sz w:val="24"/>
                <w:szCs w:val="24"/>
              </w:rPr>
              <w:t>Farm</w:t>
            </w:r>
          </w:p>
        </w:tc>
        <w:tc>
          <w:tcPr>
            <w:tcW w:w="1803" w:type="dxa"/>
          </w:tcPr>
          <w:p w14:paraId="38A43593" w14:textId="77777777" w:rsidR="00836BBD" w:rsidRPr="00C35EB8" w:rsidRDefault="00836BBD" w:rsidP="00C35EB8">
            <w:pPr>
              <w:spacing w:line="360" w:lineRule="auto"/>
              <w:jc w:val="both"/>
              <w:rPr>
                <w:sz w:val="24"/>
                <w:szCs w:val="24"/>
              </w:rPr>
            </w:pPr>
            <w:r w:rsidRPr="00C35EB8">
              <w:rPr>
                <w:sz w:val="24"/>
                <w:szCs w:val="24"/>
              </w:rPr>
              <w:t>28.3</w:t>
            </w:r>
          </w:p>
        </w:tc>
        <w:tc>
          <w:tcPr>
            <w:tcW w:w="1803" w:type="dxa"/>
          </w:tcPr>
          <w:p w14:paraId="0EA80F4A" w14:textId="77777777" w:rsidR="00836BBD" w:rsidRPr="00C35EB8" w:rsidRDefault="00836BBD" w:rsidP="00C35EB8">
            <w:pPr>
              <w:spacing w:line="360" w:lineRule="auto"/>
              <w:jc w:val="both"/>
              <w:rPr>
                <w:sz w:val="24"/>
                <w:szCs w:val="24"/>
              </w:rPr>
            </w:pPr>
            <w:r w:rsidRPr="00C35EB8">
              <w:rPr>
                <w:sz w:val="24"/>
                <w:szCs w:val="24"/>
              </w:rPr>
              <w:t>46.5</w:t>
            </w:r>
          </w:p>
        </w:tc>
        <w:tc>
          <w:tcPr>
            <w:tcW w:w="1803" w:type="dxa"/>
          </w:tcPr>
          <w:p w14:paraId="605F36EA" w14:textId="77777777" w:rsidR="00836BBD" w:rsidRPr="00C35EB8" w:rsidRDefault="00836BBD" w:rsidP="00C35EB8">
            <w:pPr>
              <w:spacing w:line="360" w:lineRule="auto"/>
              <w:jc w:val="both"/>
              <w:rPr>
                <w:sz w:val="24"/>
                <w:szCs w:val="24"/>
              </w:rPr>
            </w:pPr>
            <w:r w:rsidRPr="00C35EB8">
              <w:rPr>
                <w:sz w:val="24"/>
                <w:szCs w:val="24"/>
              </w:rPr>
              <w:t>12.1</w:t>
            </w:r>
          </w:p>
        </w:tc>
        <w:tc>
          <w:tcPr>
            <w:tcW w:w="1804" w:type="dxa"/>
          </w:tcPr>
          <w:p w14:paraId="3FCA8F37" w14:textId="77777777" w:rsidR="00836BBD" w:rsidRPr="00C35EB8" w:rsidRDefault="00836BBD" w:rsidP="00C35EB8">
            <w:pPr>
              <w:spacing w:line="360" w:lineRule="auto"/>
              <w:jc w:val="both"/>
              <w:rPr>
                <w:sz w:val="24"/>
                <w:szCs w:val="24"/>
              </w:rPr>
            </w:pPr>
            <w:r w:rsidRPr="00C35EB8">
              <w:rPr>
                <w:sz w:val="24"/>
                <w:szCs w:val="24"/>
              </w:rPr>
              <w:t>26.8</w:t>
            </w:r>
          </w:p>
        </w:tc>
      </w:tr>
      <w:tr w:rsidR="00836BBD" w:rsidRPr="00C35EB8" w14:paraId="2F7CC8AC" w14:textId="77777777" w:rsidTr="008C5916">
        <w:tc>
          <w:tcPr>
            <w:tcW w:w="1803" w:type="dxa"/>
          </w:tcPr>
          <w:p w14:paraId="672A5CF5" w14:textId="77777777" w:rsidR="00836BBD" w:rsidRPr="00C35EB8" w:rsidRDefault="00836BBD" w:rsidP="00C35EB8">
            <w:pPr>
              <w:spacing w:line="360" w:lineRule="auto"/>
              <w:jc w:val="both"/>
              <w:rPr>
                <w:sz w:val="24"/>
                <w:szCs w:val="24"/>
              </w:rPr>
            </w:pPr>
            <w:commentRangeStart w:id="13"/>
            <w:r w:rsidRPr="00C35EB8">
              <w:rPr>
                <w:sz w:val="24"/>
                <w:szCs w:val="24"/>
              </w:rPr>
              <w:t>Non-farm</w:t>
            </w:r>
            <w:commentRangeEnd w:id="13"/>
            <w:r w:rsidR="00312C81">
              <w:rPr>
                <w:rStyle w:val="CommentReference"/>
              </w:rPr>
              <w:commentReference w:id="13"/>
            </w:r>
          </w:p>
        </w:tc>
        <w:tc>
          <w:tcPr>
            <w:tcW w:w="1803" w:type="dxa"/>
          </w:tcPr>
          <w:p w14:paraId="5F3D1112" w14:textId="77777777" w:rsidR="00836BBD" w:rsidRPr="00C35EB8" w:rsidRDefault="00836BBD" w:rsidP="00C35EB8">
            <w:pPr>
              <w:spacing w:line="360" w:lineRule="auto"/>
              <w:jc w:val="both"/>
              <w:rPr>
                <w:sz w:val="24"/>
                <w:szCs w:val="24"/>
              </w:rPr>
            </w:pPr>
            <w:r w:rsidRPr="00C35EB8">
              <w:rPr>
                <w:sz w:val="24"/>
                <w:szCs w:val="24"/>
              </w:rPr>
              <w:t>71.6</w:t>
            </w:r>
          </w:p>
        </w:tc>
        <w:tc>
          <w:tcPr>
            <w:tcW w:w="1803" w:type="dxa"/>
          </w:tcPr>
          <w:p w14:paraId="44C4D939" w14:textId="77777777" w:rsidR="00836BBD" w:rsidRPr="00C35EB8" w:rsidRDefault="00836BBD" w:rsidP="00C35EB8">
            <w:pPr>
              <w:spacing w:line="360" w:lineRule="auto"/>
              <w:jc w:val="both"/>
              <w:rPr>
                <w:sz w:val="24"/>
                <w:szCs w:val="24"/>
              </w:rPr>
            </w:pPr>
            <w:r w:rsidRPr="00C35EB8">
              <w:rPr>
                <w:sz w:val="24"/>
                <w:szCs w:val="24"/>
              </w:rPr>
              <w:t>53.5</w:t>
            </w:r>
          </w:p>
        </w:tc>
        <w:tc>
          <w:tcPr>
            <w:tcW w:w="1803" w:type="dxa"/>
          </w:tcPr>
          <w:p w14:paraId="4ECE38F2" w14:textId="77777777" w:rsidR="00836BBD" w:rsidRPr="00C35EB8" w:rsidRDefault="00836BBD" w:rsidP="00C35EB8">
            <w:pPr>
              <w:spacing w:line="360" w:lineRule="auto"/>
              <w:jc w:val="both"/>
              <w:rPr>
                <w:sz w:val="24"/>
                <w:szCs w:val="24"/>
              </w:rPr>
            </w:pPr>
            <w:r w:rsidRPr="00C35EB8">
              <w:rPr>
                <w:sz w:val="24"/>
                <w:szCs w:val="24"/>
              </w:rPr>
              <w:t>87.9</w:t>
            </w:r>
          </w:p>
        </w:tc>
        <w:tc>
          <w:tcPr>
            <w:tcW w:w="1804" w:type="dxa"/>
          </w:tcPr>
          <w:p w14:paraId="586B8291" w14:textId="77777777" w:rsidR="00836BBD" w:rsidRPr="00C35EB8" w:rsidRDefault="00836BBD" w:rsidP="00C35EB8">
            <w:pPr>
              <w:spacing w:line="360" w:lineRule="auto"/>
              <w:jc w:val="both"/>
              <w:rPr>
                <w:sz w:val="24"/>
                <w:szCs w:val="24"/>
              </w:rPr>
            </w:pPr>
            <w:r w:rsidRPr="00C35EB8">
              <w:rPr>
                <w:sz w:val="24"/>
                <w:szCs w:val="24"/>
              </w:rPr>
              <w:t>73.1</w:t>
            </w:r>
          </w:p>
        </w:tc>
      </w:tr>
    </w:tbl>
    <w:p w14:paraId="3BE798B8" w14:textId="123FE04C" w:rsidR="00062378" w:rsidRPr="00C35EB8" w:rsidRDefault="00062378" w:rsidP="00062378">
      <w:pPr>
        <w:tabs>
          <w:tab w:val="left" w:pos="3990"/>
        </w:tabs>
        <w:spacing w:line="360" w:lineRule="auto"/>
        <w:jc w:val="both"/>
        <w:rPr>
          <w:sz w:val="24"/>
          <w:szCs w:val="24"/>
        </w:rPr>
      </w:pPr>
      <w:r>
        <w:rPr>
          <w:sz w:val="24"/>
          <w:szCs w:val="24"/>
        </w:rPr>
        <w:t xml:space="preserve">Source: author’s construction using PLFS </w:t>
      </w:r>
      <w:r w:rsidR="00FA2BD0">
        <w:rPr>
          <w:sz w:val="24"/>
          <w:szCs w:val="24"/>
        </w:rPr>
        <w:t>2022-23</w:t>
      </w:r>
    </w:p>
    <w:p w14:paraId="7B5AD38C" w14:textId="0DE6917C" w:rsidR="00F305FD" w:rsidRPr="00C35EB8" w:rsidRDefault="00836BBD" w:rsidP="00C35EB8">
      <w:pPr>
        <w:spacing w:line="360" w:lineRule="auto"/>
        <w:jc w:val="both"/>
        <w:rPr>
          <w:sz w:val="24"/>
          <w:szCs w:val="24"/>
        </w:rPr>
      </w:pPr>
      <w:r w:rsidRPr="00C35EB8">
        <w:rPr>
          <w:sz w:val="24"/>
          <w:szCs w:val="24"/>
        </w:rPr>
        <w:t xml:space="preserve">The table indicates that although women's employment in agriculture and allied activities has increased recently, the majority of women's employment is in non-farm pursuits in both rural and urban areas.  </w:t>
      </w:r>
    </w:p>
    <w:p w14:paraId="4E1FB281" w14:textId="5AF0FDCB" w:rsidR="00836BBD" w:rsidRPr="001A221F" w:rsidRDefault="00F305FD" w:rsidP="00F305FD">
      <w:pPr>
        <w:spacing w:line="360" w:lineRule="auto"/>
        <w:jc w:val="center"/>
        <w:rPr>
          <w:b/>
          <w:sz w:val="24"/>
          <w:szCs w:val="24"/>
        </w:rPr>
      </w:pPr>
      <w:r w:rsidRPr="001A221F">
        <w:rPr>
          <w:b/>
          <w:sz w:val="24"/>
          <w:szCs w:val="24"/>
        </w:rPr>
        <w:t xml:space="preserve">Table 3: </w:t>
      </w:r>
      <w:r w:rsidR="00836BBD" w:rsidRPr="001A221F">
        <w:rPr>
          <w:b/>
          <w:sz w:val="24"/>
          <w:szCs w:val="24"/>
        </w:rPr>
        <w:t>FLFPR across status in employment</w:t>
      </w:r>
      <w:r w:rsidRPr="001A221F">
        <w:rPr>
          <w:b/>
          <w:sz w:val="24"/>
          <w:szCs w:val="24"/>
        </w:rPr>
        <w:t xml:space="preserve"> (%)</w:t>
      </w:r>
    </w:p>
    <w:tbl>
      <w:tblPr>
        <w:tblStyle w:val="TableGrid"/>
        <w:tblW w:w="0" w:type="auto"/>
        <w:tblLook w:val="04A0" w:firstRow="1" w:lastRow="0" w:firstColumn="1" w:lastColumn="0" w:noHBand="0" w:noVBand="1"/>
      </w:tblPr>
      <w:tblGrid>
        <w:gridCol w:w="4015"/>
        <w:gridCol w:w="1948"/>
        <w:gridCol w:w="1948"/>
      </w:tblGrid>
      <w:tr w:rsidR="00836BBD" w:rsidRPr="00C35EB8" w14:paraId="32613E0C" w14:textId="77777777" w:rsidTr="008C5916">
        <w:trPr>
          <w:trHeight w:val="157"/>
        </w:trPr>
        <w:tc>
          <w:tcPr>
            <w:tcW w:w="4015" w:type="dxa"/>
            <w:noWrap/>
            <w:hideMark/>
          </w:tcPr>
          <w:p w14:paraId="310FE717" w14:textId="77777777" w:rsidR="00836BBD" w:rsidRPr="00C35EB8" w:rsidRDefault="00836BBD" w:rsidP="00C35EB8">
            <w:pPr>
              <w:spacing w:line="360" w:lineRule="auto"/>
              <w:jc w:val="both"/>
              <w:rPr>
                <w:sz w:val="24"/>
                <w:szCs w:val="24"/>
                <w:lang w:val="en-IN"/>
              </w:rPr>
            </w:pPr>
            <w:r w:rsidRPr="00C35EB8">
              <w:rPr>
                <w:sz w:val="24"/>
                <w:szCs w:val="24"/>
                <w:lang w:val="en-IN"/>
              </w:rPr>
              <w:t>Employment status</w:t>
            </w:r>
          </w:p>
        </w:tc>
        <w:tc>
          <w:tcPr>
            <w:tcW w:w="1948" w:type="dxa"/>
            <w:noWrap/>
            <w:hideMark/>
          </w:tcPr>
          <w:p w14:paraId="4A212A3B" w14:textId="77777777" w:rsidR="00836BBD" w:rsidRPr="00C35EB8" w:rsidRDefault="00836BBD" w:rsidP="00C35EB8">
            <w:pPr>
              <w:spacing w:line="360" w:lineRule="auto"/>
              <w:jc w:val="both"/>
              <w:rPr>
                <w:sz w:val="24"/>
                <w:szCs w:val="24"/>
              </w:rPr>
            </w:pPr>
            <w:r w:rsidRPr="00C35EB8">
              <w:rPr>
                <w:sz w:val="24"/>
                <w:szCs w:val="24"/>
              </w:rPr>
              <w:t>Farm</w:t>
            </w:r>
          </w:p>
        </w:tc>
        <w:tc>
          <w:tcPr>
            <w:tcW w:w="1948" w:type="dxa"/>
            <w:noWrap/>
            <w:hideMark/>
          </w:tcPr>
          <w:p w14:paraId="755E0135" w14:textId="77777777" w:rsidR="00836BBD" w:rsidRPr="00C35EB8" w:rsidRDefault="00836BBD" w:rsidP="00C35EB8">
            <w:pPr>
              <w:spacing w:line="360" w:lineRule="auto"/>
              <w:jc w:val="both"/>
              <w:rPr>
                <w:sz w:val="24"/>
                <w:szCs w:val="24"/>
              </w:rPr>
            </w:pPr>
            <w:r w:rsidRPr="00C35EB8">
              <w:rPr>
                <w:sz w:val="24"/>
                <w:szCs w:val="24"/>
              </w:rPr>
              <w:t>Non-farm</w:t>
            </w:r>
          </w:p>
        </w:tc>
      </w:tr>
      <w:tr w:rsidR="00836BBD" w:rsidRPr="00C35EB8" w14:paraId="3DDE3168" w14:textId="77777777" w:rsidTr="008C5916">
        <w:trPr>
          <w:trHeight w:val="157"/>
        </w:trPr>
        <w:tc>
          <w:tcPr>
            <w:tcW w:w="4015" w:type="dxa"/>
            <w:noWrap/>
            <w:hideMark/>
          </w:tcPr>
          <w:p w14:paraId="57962C7F" w14:textId="7E889A96" w:rsidR="00836BBD" w:rsidRPr="00C35EB8" w:rsidRDefault="00F305FD" w:rsidP="00C35EB8">
            <w:pPr>
              <w:spacing w:line="360" w:lineRule="auto"/>
              <w:jc w:val="both"/>
              <w:rPr>
                <w:sz w:val="24"/>
                <w:szCs w:val="24"/>
              </w:rPr>
            </w:pPr>
            <w:r>
              <w:rPr>
                <w:sz w:val="24"/>
                <w:szCs w:val="24"/>
              </w:rPr>
              <w:t>S</w:t>
            </w:r>
            <w:r w:rsidR="00B647E0">
              <w:rPr>
                <w:sz w:val="24"/>
                <w:szCs w:val="24"/>
              </w:rPr>
              <w:t>elf-employed</w:t>
            </w:r>
          </w:p>
        </w:tc>
        <w:tc>
          <w:tcPr>
            <w:tcW w:w="1948" w:type="dxa"/>
            <w:noWrap/>
          </w:tcPr>
          <w:p w14:paraId="3735F1AF" w14:textId="77777777" w:rsidR="00836BBD" w:rsidRPr="00C35EB8" w:rsidRDefault="00836BBD" w:rsidP="00C35EB8">
            <w:pPr>
              <w:spacing w:line="360" w:lineRule="auto"/>
              <w:jc w:val="both"/>
              <w:rPr>
                <w:sz w:val="24"/>
                <w:szCs w:val="24"/>
              </w:rPr>
            </w:pPr>
            <w:r w:rsidRPr="00C35EB8">
              <w:rPr>
                <w:sz w:val="24"/>
                <w:szCs w:val="24"/>
              </w:rPr>
              <w:t>61.25</w:t>
            </w:r>
          </w:p>
        </w:tc>
        <w:tc>
          <w:tcPr>
            <w:tcW w:w="1948" w:type="dxa"/>
            <w:noWrap/>
          </w:tcPr>
          <w:p w14:paraId="2B858F7B" w14:textId="77777777" w:rsidR="00836BBD" w:rsidRPr="00C35EB8" w:rsidRDefault="00836BBD" w:rsidP="00C35EB8">
            <w:pPr>
              <w:spacing w:line="360" w:lineRule="auto"/>
              <w:jc w:val="both"/>
              <w:rPr>
                <w:sz w:val="24"/>
                <w:szCs w:val="24"/>
              </w:rPr>
            </w:pPr>
            <w:r w:rsidRPr="00C35EB8">
              <w:rPr>
                <w:sz w:val="24"/>
                <w:szCs w:val="24"/>
              </w:rPr>
              <w:t>38.75</w:t>
            </w:r>
          </w:p>
        </w:tc>
      </w:tr>
      <w:tr w:rsidR="00836BBD" w:rsidRPr="00C35EB8" w14:paraId="51A43E48" w14:textId="77777777" w:rsidTr="008C5916">
        <w:trPr>
          <w:trHeight w:val="307"/>
        </w:trPr>
        <w:tc>
          <w:tcPr>
            <w:tcW w:w="4015" w:type="dxa"/>
            <w:noWrap/>
            <w:hideMark/>
          </w:tcPr>
          <w:p w14:paraId="101A46D0" w14:textId="54C632A6" w:rsidR="00836BBD" w:rsidRPr="00C35EB8" w:rsidRDefault="00F305FD" w:rsidP="00C35EB8">
            <w:pPr>
              <w:spacing w:line="360" w:lineRule="auto"/>
              <w:jc w:val="both"/>
              <w:rPr>
                <w:sz w:val="24"/>
                <w:szCs w:val="24"/>
              </w:rPr>
            </w:pPr>
            <w:r>
              <w:rPr>
                <w:sz w:val="24"/>
                <w:szCs w:val="24"/>
              </w:rPr>
              <w:t>R</w:t>
            </w:r>
            <w:r w:rsidR="00836BBD" w:rsidRPr="00C35EB8">
              <w:rPr>
                <w:sz w:val="24"/>
                <w:szCs w:val="24"/>
              </w:rPr>
              <w:t>egular salaried/wage</w:t>
            </w:r>
          </w:p>
        </w:tc>
        <w:tc>
          <w:tcPr>
            <w:tcW w:w="1948" w:type="dxa"/>
            <w:noWrap/>
          </w:tcPr>
          <w:p w14:paraId="5B1B5FD8" w14:textId="77777777" w:rsidR="00836BBD" w:rsidRPr="00C35EB8" w:rsidRDefault="00836BBD" w:rsidP="00C35EB8">
            <w:pPr>
              <w:spacing w:line="360" w:lineRule="auto"/>
              <w:jc w:val="both"/>
              <w:rPr>
                <w:sz w:val="24"/>
                <w:szCs w:val="24"/>
              </w:rPr>
            </w:pPr>
            <w:r w:rsidRPr="00C35EB8">
              <w:rPr>
                <w:sz w:val="24"/>
                <w:szCs w:val="24"/>
              </w:rPr>
              <w:t>1.23</w:t>
            </w:r>
          </w:p>
        </w:tc>
        <w:tc>
          <w:tcPr>
            <w:tcW w:w="1948" w:type="dxa"/>
            <w:noWrap/>
          </w:tcPr>
          <w:p w14:paraId="4438C9D8" w14:textId="77777777" w:rsidR="00836BBD" w:rsidRPr="00C35EB8" w:rsidRDefault="00836BBD" w:rsidP="00C35EB8">
            <w:pPr>
              <w:spacing w:line="360" w:lineRule="auto"/>
              <w:jc w:val="both"/>
              <w:rPr>
                <w:sz w:val="24"/>
                <w:szCs w:val="24"/>
              </w:rPr>
            </w:pPr>
            <w:r w:rsidRPr="00C35EB8">
              <w:rPr>
                <w:sz w:val="24"/>
                <w:szCs w:val="24"/>
              </w:rPr>
              <w:t>98.77</w:t>
            </w:r>
          </w:p>
        </w:tc>
      </w:tr>
      <w:tr w:rsidR="00836BBD" w:rsidRPr="00C35EB8" w14:paraId="6BA014FD" w14:textId="77777777" w:rsidTr="008C5916">
        <w:trPr>
          <w:trHeight w:val="457"/>
        </w:trPr>
        <w:tc>
          <w:tcPr>
            <w:tcW w:w="4015" w:type="dxa"/>
            <w:noWrap/>
            <w:hideMark/>
          </w:tcPr>
          <w:p w14:paraId="24F62FB1" w14:textId="4614A122" w:rsidR="00836BBD" w:rsidRPr="00C35EB8" w:rsidRDefault="00F305FD" w:rsidP="00C35EB8">
            <w:pPr>
              <w:spacing w:line="360" w:lineRule="auto"/>
              <w:jc w:val="both"/>
              <w:rPr>
                <w:sz w:val="24"/>
                <w:szCs w:val="24"/>
              </w:rPr>
            </w:pPr>
            <w:r>
              <w:rPr>
                <w:sz w:val="24"/>
                <w:szCs w:val="24"/>
              </w:rPr>
              <w:t>C</w:t>
            </w:r>
            <w:r w:rsidR="00836BBD" w:rsidRPr="00C35EB8">
              <w:rPr>
                <w:sz w:val="24"/>
                <w:szCs w:val="24"/>
              </w:rPr>
              <w:t xml:space="preserve">asual wage </w:t>
            </w:r>
            <w:proofErr w:type="spellStart"/>
            <w:r w:rsidR="00836BBD" w:rsidRPr="00C35EB8">
              <w:rPr>
                <w:sz w:val="24"/>
                <w:szCs w:val="24"/>
              </w:rPr>
              <w:t>labourer</w:t>
            </w:r>
            <w:proofErr w:type="spellEnd"/>
          </w:p>
        </w:tc>
        <w:tc>
          <w:tcPr>
            <w:tcW w:w="1948" w:type="dxa"/>
            <w:noWrap/>
          </w:tcPr>
          <w:p w14:paraId="1390637C" w14:textId="77777777" w:rsidR="00836BBD" w:rsidRPr="00C35EB8" w:rsidRDefault="00836BBD" w:rsidP="00C35EB8">
            <w:pPr>
              <w:spacing w:line="360" w:lineRule="auto"/>
              <w:jc w:val="both"/>
              <w:rPr>
                <w:sz w:val="24"/>
                <w:szCs w:val="24"/>
              </w:rPr>
            </w:pPr>
            <w:r w:rsidRPr="00C35EB8">
              <w:rPr>
                <w:sz w:val="24"/>
                <w:szCs w:val="24"/>
              </w:rPr>
              <w:t>68.06</w:t>
            </w:r>
          </w:p>
        </w:tc>
        <w:tc>
          <w:tcPr>
            <w:tcW w:w="1948" w:type="dxa"/>
            <w:noWrap/>
          </w:tcPr>
          <w:p w14:paraId="254538C8" w14:textId="77777777" w:rsidR="00836BBD" w:rsidRPr="00C35EB8" w:rsidRDefault="00836BBD" w:rsidP="00C35EB8">
            <w:pPr>
              <w:spacing w:line="360" w:lineRule="auto"/>
              <w:jc w:val="both"/>
              <w:rPr>
                <w:sz w:val="24"/>
                <w:szCs w:val="24"/>
              </w:rPr>
            </w:pPr>
            <w:r w:rsidRPr="00C35EB8">
              <w:rPr>
                <w:sz w:val="24"/>
                <w:szCs w:val="24"/>
              </w:rPr>
              <w:t>31.94</w:t>
            </w:r>
          </w:p>
        </w:tc>
      </w:tr>
    </w:tbl>
    <w:p w14:paraId="3EDA94A6" w14:textId="023351CC" w:rsidR="00062378" w:rsidRPr="00C35EB8" w:rsidRDefault="00062378" w:rsidP="00062378">
      <w:pPr>
        <w:tabs>
          <w:tab w:val="left" w:pos="3990"/>
        </w:tabs>
        <w:spacing w:line="360" w:lineRule="auto"/>
        <w:jc w:val="both"/>
        <w:rPr>
          <w:sz w:val="24"/>
          <w:szCs w:val="24"/>
        </w:rPr>
      </w:pPr>
      <w:r>
        <w:rPr>
          <w:sz w:val="24"/>
          <w:szCs w:val="24"/>
        </w:rPr>
        <w:t xml:space="preserve">Source: author’s construction using PLFS </w:t>
      </w:r>
      <w:r w:rsidR="00FA2BD0">
        <w:rPr>
          <w:sz w:val="24"/>
          <w:szCs w:val="24"/>
        </w:rPr>
        <w:t>2022-23</w:t>
      </w:r>
    </w:p>
    <w:p w14:paraId="7EF983BF" w14:textId="19FF51DE" w:rsidR="00000B3F" w:rsidRPr="00C35EB8" w:rsidRDefault="00F305FD" w:rsidP="00C35EB8">
      <w:pPr>
        <w:spacing w:line="360" w:lineRule="auto"/>
        <w:jc w:val="both"/>
        <w:rPr>
          <w:sz w:val="24"/>
          <w:szCs w:val="24"/>
        </w:rPr>
      </w:pPr>
      <w:r>
        <w:rPr>
          <w:sz w:val="24"/>
          <w:szCs w:val="24"/>
        </w:rPr>
        <w:t xml:space="preserve">Table 3 shows employment categorization of Female worker participation. </w:t>
      </w:r>
      <w:r w:rsidR="00000B3F" w:rsidRPr="00C35EB8">
        <w:rPr>
          <w:sz w:val="24"/>
          <w:szCs w:val="24"/>
        </w:rPr>
        <w:t>The bulk of female farm workers, as indicated by the table, are casual wage workers</w:t>
      </w:r>
      <w:r w:rsidR="00AC1766">
        <w:rPr>
          <w:sz w:val="24"/>
          <w:szCs w:val="24"/>
        </w:rPr>
        <w:t xml:space="preserve"> and </w:t>
      </w:r>
      <w:r w:rsidR="00B647E0">
        <w:rPr>
          <w:sz w:val="24"/>
          <w:szCs w:val="24"/>
        </w:rPr>
        <w:t>self-employed</w:t>
      </w:r>
      <w:r w:rsidR="00AC1766">
        <w:rPr>
          <w:sz w:val="24"/>
          <w:szCs w:val="24"/>
        </w:rPr>
        <w:t xml:space="preserve">. </w:t>
      </w:r>
      <w:r w:rsidR="00000B3F" w:rsidRPr="00C35EB8">
        <w:rPr>
          <w:sz w:val="24"/>
          <w:szCs w:val="24"/>
        </w:rPr>
        <w:t xml:space="preserve">There are very few regular wage/salary </w:t>
      </w:r>
      <w:r>
        <w:rPr>
          <w:sz w:val="24"/>
          <w:szCs w:val="24"/>
        </w:rPr>
        <w:t>women workers</w:t>
      </w:r>
      <w:r w:rsidR="00AC1766">
        <w:rPr>
          <w:sz w:val="24"/>
          <w:szCs w:val="24"/>
        </w:rPr>
        <w:t xml:space="preserve"> in agriculture</w:t>
      </w:r>
      <w:r w:rsidR="00000B3F" w:rsidRPr="00C35EB8">
        <w:rPr>
          <w:sz w:val="24"/>
          <w:szCs w:val="24"/>
        </w:rPr>
        <w:t>.</w:t>
      </w:r>
    </w:p>
    <w:p w14:paraId="24C5F70C" w14:textId="63E0A3C5" w:rsidR="00836BBD" w:rsidRPr="001A221F" w:rsidRDefault="00836BBD" w:rsidP="00F305FD">
      <w:pPr>
        <w:spacing w:line="360" w:lineRule="auto"/>
        <w:jc w:val="center"/>
        <w:rPr>
          <w:b/>
          <w:bCs/>
          <w:sz w:val="24"/>
          <w:szCs w:val="24"/>
        </w:rPr>
      </w:pPr>
      <w:r w:rsidRPr="001A221F">
        <w:rPr>
          <w:b/>
          <w:sz w:val="24"/>
          <w:szCs w:val="24"/>
        </w:rPr>
        <w:t xml:space="preserve">Table </w:t>
      </w:r>
      <w:r w:rsidR="00F305FD" w:rsidRPr="001A221F">
        <w:rPr>
          <w:b/>
          <w:sz w:val="24"/>
          <w:szCs w:val="24"/>
        </w:rPr>
        <w:t>4</w:t>
      </w:r>
      <w:r w:rsidRPr="001A221F">
        <w:rPr>
          <w:b/>
          <w:bCs/>
          <w:sz w:val="24"/>
          <w:szCs w:val="24"/>
        </w:rPr>
        <w:t xml:space="preserve"> </w:t>
      </w:r>
      <w:r w:rsidR="00F305FD" w:rsidRPr="001A221F">
        <w:rPr>
          <w:b/>
          <w:sz w:val="24"/>
          <w:szCs w:val="24"/>
        </w:rPr>
        <w:t xml:space="preserve">Social group </w:t>
      </w:r>
      <w:r w:rsidRPr="001A221F">
        <w:rPr>
          <w:b/>
          <w:sz w:val="24"/>
          <w:szCs w:val="24"/>
        </w:rPr>
        <w:t xml:space="preserve">of workers in </w:t>
      </w:r>
      <w:r w:rsidR="00F305FD" w:rsidRPr="001A221F">
        <w:rPr>
          <w:b/>
          <w:sz w:val="24"/>
          <w:szCs w:val="24"/>
        </w:rPr>
        <w:t>Farm sector</w:t>
      </w:r>
      <w:r w:rsidR="008425F9" w:rsidRPr="001A221F">
        <w:rPr>
          <w:b/>
          <w:sz w:val="24"/>
          <w:szCs w:val="24"/>
        </w:rPr>
        <w:t xml:space="preserve"> (%)</w:t>
      </w:r>
    </w:p>
    <w:tbl>
      <w:tblPr>
        <w:tblStyle w:val="TableGrid"/>
        <w:tblW w:w="0" w:type="auto"/>
        <w:tblLook w:val="04A0" w:firstRow="1" w:lastRow="0" w:firstColumn="1" w:lastColumn="0" w:noHBand="0" w:noVBand="1"/>
      </w:tblPr>
      <w:tblGrid>
        <w:gridCol w:w="3005"/>
        <w:gridCol w:w="3005"/>
        <w:gridCol w:w="3006"/>
      </w:tblGrid>
      <w:tr w:rsidR="00836BBD" w:rsidRPr="00C35EB8" w14:paraId="26A319E4" w14:textId="77777777" w:rsidTr="008C5916">
        <w:tc>
          <w:tcPr>
            <w:tcW w:w="3005" w:type="dxa"/>
          </w:tcPr>
          <w:p w14:paraId="59A33DD5" w14:textId="2B697EA8" w:rsidR="00836BBD" w:rsidRPr="00C35EB8" w:rsidRDefault="00F305FD" w:rsidP="00C35EB8">
            <w:pPr>
              <w:spacing w:line="360" w:lineRule="auto"/>
              <w:jc w:val="both"/>
              <w:rPr>
                <w:sz w:val="24"/>
                <w:szCs w:val="24"/>
              </w:rPr>
            </w:pPr>
            <w:r w:rsidRPr="00C35EB8">
              <w:rPr>
                <w:sz w:val="24"/>
                <w:szCs w:val="24"/>
              </w:rPr>
              <w:t>Social group</w:t>
            </w:r>
          </w:p>
        </w:tc>
        <w:tc>
          <w:tcPr>
            <w:tcW w:w="3005" w:type="dxa"/>
          </w:tcPr>
          <w:p w14:paraId="6687F03D" w14:textId="77777777" w:rsidR="00836BBD" w:rsidRPr="00C35EB8" w:rsidRDefault="00836BBD" w:rsidP="00C35EB8">
            <w:pPr>
              <w:spacing w:line="360" w:lineRule="auto"/>
              <w:jc w:val="both"/>
              <w:rPr>
                <w:sz w:val="24"/>
                <w:szCs w:val="24"/>
              </w:rPr>
            </w:pPr>
            <w:r w:rsidRPr="00C35EB8">
              <w:rPr>
                <w:sz w:val="24"/>
                <w:szCs w:val="24"/>
              </w:rPr>
              <w:t>Male</w:t>
            </w:r>
          </w:p>
        </w:tc>
        <w:tc>
          <w:tcPr>
            <w:tcW w:w="3006" w:type="dxa"/>
          </w:tcPr>
          <w:p w14:paraId="08184887" w14:textId="77777777" w:rsidR="00836BBD" w:rsidRPr="00C35EB8" w:rsidRDefault="00836BBD" w:rsidP="00C35EB8">
            <w:pPr>
              <w:spacing w:line="360" w:lineRule="auto"/>
              <w:jc w:val="both"/>
              <w:rPr>
                <w:sz w:val="24"/>
                <w:szCs w:val="24"/>
              </w:rPr>
            </w:pPr>
            <w:r w:rsidRPr="00C35EB8">
              <w:rPr>
                <w:sz w:val="24"/>
                <w:szCs w:val="24"/>
              </w:rPr>
              <w:t>Female</w:t>
            </w:r>
          </w:p>
        </w:tc>
      </w:tr>
      <w:tr w:rsidR="00836BBD" w:rsidRPr="00C35EB8" w14:paraId="7EEF0FE2" w14:textId="77777777" w:rsidTr="008C5916">
        <w:tc>
          <w:tcPr>
            <w:tcW w:w="3005" w:type="dxa"/>
          </w:tcPr>
          <w:p w14:paraId="5A25182B" w14:textId="13247661" w:rsidR="00836BBD" w:rsidRPr="00C35EB8" w:rsidRDefault="00F305FD" w:rsidP="00C35EB8">
            <w:pPr>
              <w:spacing w:line="360" w:lineRule="auto"/>
              <w:jc w:val="both"/>
              <w:rPr>
                <w:sz w:val="24"/>
                <w:szCs w:val="24"/>
              </w:rPr>
            </w:pPr>
            <w:r>
              <w:rPr>
                <w:sz w:val="24"/>
                <w:szCs w:val="24"/>
              </w:rPr>
              <w:t>S</w:t>
            </w:r>
            <w:r w:rsidR="00836BBD" w:rsidRPr="00C35EB8">
              <w:rPr>
                <w:sz w:val="24"/>
                <w:szCs w:val="24"/>
              </w:rPr>
              <w:t xml:space="preserve">cheduled </w:t>
            </w:r>
            <w:r>
              <w:rPr>
                <w:sz w:val="24"/>
                <w:szCs w:val="24"/>
              </w:rPr>
              <w:t>T</w:t>
            </w:r>
            <w:r w:rsidR="00836BBD" w:rsidRPr="00C35EB8">
              <w:rPr>
                <w:sz w:val="24"/>
                <w:szCs w:val="24"/>
              </w:rPr>
              <w:t>ribe</w:t>
            </w:r>
          </w:p>
        </w:tc>
        <w:tc>
          <w:tcPr>
            <w:tcW w:w="3005" w:type="dxa"/>
          </w:tcPr>
          <w:p w14:paraId="5C1D0961" w14:textId="77777777" w:rsidR="00836BBD" w:rsidRPr="00C35EB8" w:rsidRDefault="00836BBD" w:rsidP="00C35EB8">
            <w:pPr>
              <w:spacing w:line="360" w:lineRule="auto"/>
              <w:jc w:val="both"/>
              <w:rPr>
                <w:sz w:val="24"/>
                <w:szCs w:val="24"/>
              </w:rPr>
            </w:pPr>
            <w:r w:rsidRPr="00C35EB8">
              <w:rPr>
                <w:sz w:val="24"/>
                <w:szCs w:val="24"/>
              </w:rPr>
              <w:t>30.3</w:t>
            </w:r>
          </w:p>
        </w:tc>
        <w:tc>
          <w:tcPr>
            <w:tcW w:w="3006" w:type="dxa"/>
          </w:tcPr>
          <w:p w14:paraId="60FDAD52" w14:textId="77777777" w:rsidR="00836BBD" w:rsidRPr="00C35EB8" w:rsidRDefault="00836BBD" w:rsidP="00C35EB8">
            <w:pPr>
              <w:spacing w:line="360" w:lineRule="auto"/>
              <w:jc w:val="both"/>
              <w:rPr>
                <w:sz w:val="24"/>
                <w:szCs w:val="24"/>
              </w:rPr>
            </w:pPr>
            <w:r w:rsidRPr="00C35EB8">
              <w:rPr>
                <w:sz w:val="24"/>
                <w:szCs w:val="24"/>
              </w:rPr>
              <w:t>49.6</w:t>
            </w:r>
          </w:p>
        </w:tc>
      </w:tr>
      <w:tr w:rsidR="00836BBD" w:rsidRPr="00C35EB8" w14:paraId="7B73F4DC" w14:textId="77777777" w:rsidTr="008C5916">
        <w:tc>
          <w:tcPr>
            <w:tcW w:w="3005" w:type="dxa"/>
          </w:tcPr>
          <w:p w14:paraId="34413CED" w14:textId="535BB0A9" w:rsidR="00836BBD" w:rsidRPr="00C35EB8" w:rsidRDefault="00F305FD" w:rsidP="00C35EB8">
            <w:pPr>
              <w:spacing w:line="360" w:lineRule="auto"/>
              <w:jc w:val="both"/>
              <w:rPr>
                <w:sz w:val="24"/>
                <w:szCs w:val="24"/>
              </w:rPr>
            </w:pPr>
            <w:r>
              <w:rPr>
                <w:sz w:val="24"/>
                <w:szCs w:val="24"/>
              </w:rPr>
              <w:t>S</w:t>
            </w:r>
            <w:r w:rsidR="00836BBD" w:rsidRPr="00C35EB8">
              <w:rPr>
                <w:sz w:val="24"/>
                <w:szCs w:val="24"/>
              </w:rPr>
              <w:t xml:space="preserve">cheduled </w:t>
            </w:r>
            <w:r>
              <w:rPr>
                <w:sz w:val="24"/>
                <w:szCs w:val="24"/>
              </w:rPr>
              <w:t>C</w:t>
            </w:r>
            <w:r w:rsidR="00836BBD" w:rsidRPr="00C35EB8">
              <w:rPr>
                <w:sz w:val="24"/>
                <w:szCs w:val="24"/>
              </w:rPr>
              <w:t>aste</w:t>
            </w:r>
          </w:p>
        </w:tc>
        <w:tc>
          <w:tcPr>
            <w:tcW w:w="3005" w:type="dxa"/>
          </w:tcPr>
          <w:p w14:paraId="45CB1242" w14:textId="77777777" w:rsidR="00836BBD" w:rsidRPr="00C35EB8" w:rsidRDefault="00836BBD" w:rsidP="00C35EB8">
            <w:pPr>
              <w:spacing w:line="360" w:lineRule="auto"/>
              <w:jc w:val="both"/>
              <w:rPr>
                <w:sz w:val="24"/>
                <w:szCs w:val="24"/>
              </w:rPr>
            </w:pPr>
            <w:r w:rsidRPr="00C35EB8">
              <w:rPr>
                <w:sz w:val="24"/>
                <w:szCs w:val="24"/>
              </w:rPr>
              <w:t>19.9</w:t>
            </w:r>
          </w:p>
        </w:tc>
        <w:tc>
          <w:tcPr>
            <w:tcW w:w="3006" w:type="dxa"/>
          </w:tcPr>
          <w:p w14:paraId="1A8856BB" w14:textId="77777777" w:rsidR="00836BBD" w:rsidRPr="00C35EB8" w:rsidRDefault="00836BBD" w:rsidP="00C35EB8">
            <w:pPr>
              <w:spacing w:line="360" w:lineRule="auto"/>
              <w:jc w:val="both"/>
              <w:rPr>
                <w:sz w:val="24"/>
                <w:szCs w:val="24"/>
              </w:rPr>
            </w:pPr>
            <w:r w:rsidRPr="00C35EB8">
              <w:rPr>
                <w:sz w:val="24"/>
                <w:szCs w:val="24"/>
              </w:rPr>
              <w:t>40.2</w:t>
            </w:r>
          </w:p>
        </w:tc>
      </w:tr>
      <w:tr w:rsidR="00836BBD" w:rsidRPr="00C35EB8" w14:paraId="2ACFEFE0" w14:textId="77777777" w:rsidTr="008C5916">
        <w:tc>
          <w:tcPr>
            <w:tcW w:w="3005" w:type="dxa"/>
          </w:tcPr>
          <w:p w14:paraId="2A858D37" w14:textId="1A6E45D6" w:rsidR="00836BBD" w:rsidRPr="00C35EB8" w:rsidRDefault="00F305FD" w:rsidP="00C35EB8">
            <w:pPr>
              <w:spacing w:line="360" w:lineRule="auto"/>
              <w:jc w:val="both"/>
              <w:rPr>
                <w:sz w:val="24"/>
                <w:szCs w:val="24"/>
              </w:rPr>
            </w:pPr>
            <w:r>
              <w:rPr>
                <w:sz w:val="24"/>
                <w:szCs w:val="24"/>
              </w:rPr>
              <w:t>O</w:t>
            </w:r>
            <w:r w:rsidR="00836BBD" w:rsidRPr="00C35EB8">
              <w:rPr>
                <w:sz w:val="24"/>
                <w:szCs w:val="24"/>
              </w:rPr>
              <w:t xml:space="preserve">ther </w:t>
            </w:r>
            <w:r>
              <w:rPr>
                <w:sz w:val="24"/>
                <w:szCs w:val="24"/>
              </w:rPr>
              <w:t>B</w:t>
            </w:r>
            <w:r w:rsidR="00836BBD" w:rsidRPr="00C35EB8">
              <w:rPr>
                <w:sz w:val="24"/>
                <w:szCs w:val="24"/>
              </w:rPr>
              <w:t xml:space="preserve">ackward </w:t>
            </w:r>
            <w:r>
              <w:rPr>
                <w:sz w:val="24"/>
                <w:szCs w:val="24"/>
              </w:rPr>
              <w:t>C</w:t>
            </w:r>
            <w:r w:rsidR="00836BBD" w:rsidRPr="00C35EB8">
              <w:rPr>
                <w:sz w:val="24"/>
                <w:szCs w:val="24"/>
              </w:rPr>
              <w:t>lass</w:t>
            </w:r>
          </w:p>
        </w:tc>
        <w:tc>
          <w:tcPr>
            <w:tcW w:w="3005" w:type="dxa"/>
          </w:tcPr>
          <w:p w14:paraId="60874308" w14:textId="77777777" w:rsidR="00836BBD" w:rsidRPr="00C35EB8" w:rsidRDefault="00836BBD" w:rsidP="00C35EB8">
            <w:pPr>
              <w:spacing w:line="360" w:lineRule="auto"/>
              <w:jc w:val="both"/>
              <w:rPr>
                <w:sz w:val="24"/>
                <w:szCs w:val="24"/>
              </w:rPr>
            </w:pPr>
            <w:r w:rsidRPr="00C35EB8">
              <w:rPr>
                <w:sz w:val="24"/>
                <w:szCs w:val="24"/>
              </w:rPr>
              <w:t>17.8</w:t>
            </w:r>
          </w:p>
        </w:tc>
        <w:tc>
          <w:tcPr>
            <w:tcW w:w="3006" w:type="dxa"/>
          </w:tcPr>
          <w:p w14:paraId="402371C2" w14:textId="77777777" w:rsidR="00836BBD" w:rsidRPr="00C35EB8" w:rsidRDefault="00836BBD" w:rsidP="00C35EB8">
            <w:pPr>
              <w:spacing w:line="360" w:lineRule="auto"/>
              <w:jc w:val="both"/>
              <w:rPr>
                <w:sz w:val="24"/>
                <w:szCs w:val="24"/>
              </w:rPr>
            </w:pPr>
            <w:r w:rsidRPr="00C35EB8">
              <w:rPr>
                <w:sz w:val="24"/>
                <w:szCs w:val="24"/>
              </w:rPr>
              <w:t>39.5</w:t>
            </w:r>
          </w:p>
        </w:tc>
      </w:tr>
      <w:tr w:rsidR="00836BBD" w:rsidRPr="00C35EB8" w14:paraId="68E47055" w14:textId="77777777" w:rsidTr="008C5916">
        <w:tc>
          <w:tcPr>
            <w:tcW w:w="3005" w:type="dxa"/>
          </w:tcPr>
          <w:p w14:paraId="06323A66" w14:textId="45668525" w:rsidR="00836BBD" w:rsidRPr="00C35EB8" w:rsidRDefault="00F305FD" w:rsidP="00C35EB8">
            <w:pPr>
              <w:spacing w:line="360" w:lineRule="auto"/>
              <w:jc w:val="both"/>
              <w:rPr>
                <w:sz w:val="24"/>
                <w:szCs w:val="24"/>
              </w:rPr>
            </w:pPr>
            <w:r>
              <w:rPr>
                <w:sz w:val="24"/>
                <w:szCs w:val="24"/>
              </w:rPr>
              <w:t>O</w:t>
            </w:r>
            <w:r w:rsidR="00836BBD" w:rsidRPr="00C35EB8">
              <w:rPr>
                <w:sz w:val="24"/>
                <w:szCs w:val="24"/>
              </w:rPr>
              <w:t>thers</w:t>
            </w:r>
          </w:p>
        </w:tc>
        <w:tc>
          <w:tcPr>
            <w:tcW w:w="3005" w:type="dxa"/>
          </w:tcPr>
          <w:p w14:paraId="4FF6FC3F" w14:textId="77777777" w:rsidR="00836BBD" w:rsidRPr="00C35EB8" w:rsidRDefault="00836BBD" w:rsidP="00C35EB8">
            <w:pPr>
              <w:spacing w:line="360" w:lineRule="auto"/>
              <w:jc w:val="both"/>
              <w:rPr>
                <w:sz w:val="24"/>
                <w:szCs w:val="24"/>
              </w:rPr>
            </w:pPr>
            <w:r w:rsidRPr="00C35EB8">
              <w:rPr>
                <w:sz w:val="24"/>
                <w:szCs w:val="24"/>
              </w:rPr>
              <w:t>28.6</w:t>
            </w:r>
          </w:p>
        </w:tc>
        <w:tc>
          <w:tcPr>
            <w:tcW w:w="3006" w:type="dxa"/>
          </w:tcPr>
          <w:p w14:paraId="5137E8A2" w14:textId="77777777" w:rsidR="00836BBD" w:rsidRPr="00C35EB8" w:rsidRDefault="00836BBD" w:rsidP="00C35EB8">
            <w:pPr>
              <w:spacing w:line="360" w:lineRule="auto"/>
              <w:jc w:val="both"/>
              <w:rPr>
                <w:sz w:val="24"/>
                <w:szCs w:val="24"/>
              </w:rPr>
            </w:pPr>
            <w:r w:rsidRPr="00C35EB8">
              <w:rPr>
                <w:sz w:val="24"/>
                <w:szCs w:val="24"/>
              </w:rPr>
              <w:t>35.2</w:t>
            </w:r>
          </w:p>
        </w:tc>
      </w:tr>
    </w:tbl>
    <w:p w14:paraId="35C988AD" w14:textId="20137220" w:rsidR="00062378" w:rsidRPr="00C35EB8" w:rsidRDefault="00836BBD" w:rsidP="00062378">
      <w:pPr>
        <w:tabs>
          <w:tab w:val="left" w:pos="3990"/>
        </w:tabs>
        <w:spacing w:line="360" w:lineRule="auto"/>
        <w:jc w:val="both"/>
        <w:rPr>
          <w:sz w:val="24"/>
          <w:szCs w:val="24"/>
        </w:rPr>
      </w:pPr>
      <w:r w:rsidRPr="00C35EB8">
        <w:rPr>
          <w:sz w:val="24"/>
          <w:szCs w:val="24"/>
        </w:rPr>
        <w:t xml:space="preserve"> </w:t>
      </w:r>
      <w:r w:rsidR="00062378">
        <w:rPr>
          <w:sz w:val="24"/>
          <w:szCs w:val="24"/>
        </w:rPr>
        <w:t xml:space="preserve">Source: author’s own construction using PLFS </w:t>
      </w:r>
      <w:r w:rsidR="00FA2BD0">
        <w:rPr>
          <w:sz w:val="24"/>
          <w:szCs w:val="24"/>
        </w:rPr>
        <w:t>2022-23</w:t>
      </w:r>
    </w:p>
    <w:p w14:paraId="53929DB1" w14:textId="0714A287" w:rsidR="00836BBD" w:rsidRDefault="00B647E0" w:rsidP="00C35EB8">
      <w:pPr>
        <w:spacing w:line="360" w:lineRule="auto"/>
        <w:jc w:val="both"/>
        <w:rPr>
          <w:sz w:val="24"/>
          <w:szCs w:val="24"/>
        </w:rPr>
      </w:pPr>
      <w:r>
        <w:rPr>
          <w:sz w:val="24"/>
          <w:szCs w:val="24"/>
        </w:rPr>
        <w:t xml:space="preserve">Table </w:t>
      </w:r>
      <w:r w:rsidR="00F305FD">
        <w:rPr>
          <w:sz w:val="24"/>
          <w:szCs w:val="24"/>
        </w:rPr>
        <w:t>4</w:t>
      </w:r>
      <w:r w:rsidR="00836BBD" w:rsidRPr="00C35EB8">
        <w:rPr>
          <w:sz w:val="24"/>
          <w:szCs w:val="24"/>
        </w:rPr>
        <w:t xml:space="preserve"> shows the social group of female workers in </w:t>
      </w:r>
      <w:r>
        <w:rPr>
          <w:sz w:val="24"/>
          <w:szCs w:val="24"/>
        </w:rPr>
        <w:t xml:space="preserve">the </w:t>
      </w:r>
      <w:r w:rsidR="00836BBD" w:rsidRPr="00C35EB8">
        <w:rPr>
          <w:sz w:val="24"/>
          <w:szCs w:val="24"/>
        </w:rPr>
        <w:t xml:space="preserve">agriculture sector. </w:t>
      </w:r>
      <w:r w:rsidR="00FA2BD0">
        <w:rPr>
          <w:sz w:val="24"/>
          <w:szCs w:val="24"/>
        </w:rPr>
        <w:t>We have mentioned that, c</w:t>
      </w:r>
      <w:r w:rsidR="00FA2BD0" w:rsidRPr="00C35EB8">
        <w:rPr>
          <w:sz w:val="24"/>
          <w:szCs w:val="24"/>
        </w:rPr>
        <w:t xml:space="preserve">onsidering the social groups, from 2004-05 to 2011-12 the highest decline in </w:t>
      </w:r>
      <w:r w:rsidR="00FA2BD0">
        <w:rPr>
          <w:sz w:val="24"/>
          <w:szCs w:val="24"/>
        </w:rPr>
        <w:t>FLFPR</w:t>
      </w:r>
      <w:r w:rsidR="00FA2BD0" w:rsidRPr="00C35EB8">
        <w:rPr>
          <w:sz w:val="24"/>
          <w:szCs w:val="24"/>
        </w:rPr>
        <w:t xml:space="preserve"> is accounted for Scheduled Tribes women, followed by Scheduled Caste and Other Backward Classes</w:t>
      </w:r>
      <w:r w:rsidR="00FA2BD0">
        <w:rPr>
          <w:sz w:val="24"/>
          <w:szCs w:val="24"/>
        </w:rPr>
        <w:t xml:space="preserve"> (</w:t>
      </w:r>
      <w:proofErr w:type="spellStart"/>
      <w:r w:rsidR="00FA2BD0">
        <w:rPr>
          <w:sz w:val="24"/>
          <w:szCs w:val="24"/>
        </w:rPr>
        <w:t>Neetha</w:t>
      </w:r>
      <w:proofErr w:type="spellEnd"/>
      <w:r w:rsidR="00FA2BD0">
        <w:rPr>
          <w:sz w:val="24"/>
          <w:szCs w:val="24"/>
        </w:rPr>
        <w:t xml:space="preserve"> 2013)</w:t>
      </w:r>
      <w:r w:rsidR="00FA2BD0" w:rsidRPr="00C35EB8">
        <w:rPr>
          <w:sz w:val="24"/>
          <w:szCs w:val="24"/>
        </w:rPr>
        <w:t>.</w:t>
      </w:r>
      <w:r w:rsidR="00FA2BD0" w:rsidRPr="00FA2BD0">
        <w:rPr>
          <w:sz w:val="24"/>
          <w:szCs w:val="24"/>
        </w:rPr>
        <w:t xml:space="preserve"> </w:t>
      </w:r>
      <w:r w:rsidR="00FA2BD0">
        <w:rPr>
          <w:sz w:val="24"/>
          <w:szCs w:val="24"/>
        </w:rPr>
        <w:t>But during 2022-23, t</w:t>
      </w:r>
      <w:r w:rsidR="00FA2BD0" w:rsidRPr="00C35EB8">
        <w:rPr>
          <w:sz w:val="24"/>
          <w:szCs w:val="24"/>
        </w:rPr>
        <w:t>he</w:t>
      </w:r>
      <w:r w:rsidR="00FA2BD0">
        <w:rPr>
          <w:sz w:val="24"/>
          <w:szCs w:val="24"/>
        </w:rPr>
        <w:t xml:space="preserve">re is a reversed shift to agriculture by the female and </w:t>
      </w:r>
      <w:r w:rsidR="00FA2BD0" w:rsidRPr="00C35EB8">
        <w:rPr>
          <w:sz w:val="24"/>
          <w:szCs w:val="24"/>
        </w:rPr>
        <w:t xml:space="preserve">majority of </w:t>
      </w:r>
      <w:r w:rsidR="008425F9">
        <w:rPr>
          <w:sz w:val="24"/>
          <w:szCs w:val="24"/>
        </w:rPr>
        <w:t xml:space="preserve">this </w:t>
      </w:r>
      <w:r w:rsidR="00FA2BD0" w:rsidRPr="00C35EB8">
        <w:rPr>
          <w:sz w:val="24"/>
          <w:szCs w:val="24"/>
        </w:rPr>
        <w:t xml:space="preserve">women workers belong to </w:t>
      </w:r>
      <w:r w:rsidR="00FA2BD0">
        <w:rPr>
          <w:sz w:val="24"/>
          <w:szCs w:val="24"/>
        </w:rPr>
        <w:t>S</w:t>
      </w:r>
      <w:r w:rsidR="00FA2BD0" w:rsidRPr="00C35EB8">
        <w:rPr>
          <w:sz w:val="24"/>
          <w:szCs w:val="24"/>
        </w:rPr>
        <w:t xml:space="preserve">cheduled </w:t>
      </w:r>
      <w:r w:rsidR="00FA2BD0">
        <w:rPr>
          <w:sz w:val="24"/>
          <w:szCs w:val="24"/>
        </w:rPr>
        <w:t>C</w:t>
      </w:r>
      <w:r w:rsidR="00FA2BD0" w:rsidRPr="00C35EB8">
        <w:rPr>
          <w:sz w:val="24"/>
          <w:szCs w:val="24"/>
        </w:rPr>
        <w:t xml:space="preserve">astes and </w:t>
      </w:r>
      <w:r w:rsidR="00FA2BD0">
        <w:rPr>
          <w:sz w:val="24"/>
          <w:szCs w:val="24"/>
        </w:rPr>
        <w:t>S</w:t>
      </w:r>
      <w:r w:rsidR="00FA2BD0" w:rsidRPr="00C35EB8">
        <w:rPr>
          <w:sz w:val="24"/>
          <w:szCs w:val="24"/>
        </w:rPr>
        <w:t xml:space="preserve">cheduled </w:t>
      </w:r>
      <w:r w:rsidR="00FA2BD0">
        <w:rPr>
          <w:sz w:val="24"/>
          <w:szCs w:val="24"/>
        </w:rPr>
        <w:t>T</w:t>
      </w:r>
      <w:r w:rsidR="00FA2BD0" w:rsidRPr="00C35EB8">
        <w:rPr>
          <w:sz w:val="24"/>
          <w:szCs w:val="24"/>
        </w:rPr>
        <w:t>ribe communities.</w:t>
      </w:r>
    </w:p>
    <w:p w14:paraId="3DABB76F" w14:textId="7FA90579" w:rsidR="00F12192" w:rsidRDefault="00F12192" w:rsidP="00C35EB8">
      <w:pPr>
        <w:spacing w:line="360" w:lineRule="auto"/>
        <w:jc w:val="both"/>
        <w:rPr>
          <w:sz w:val="24"/>
          <w:szCs w:val="24"/>
        </w:rPr>
      </w:pPr>
    </w:p>
    <w:p w14:paraId="1243DF3B" w14:textId="77777777" w:rsidR="00F12192" w:rsidRPr="00C35EB8" w:rsidRDefault="00F12192" w:rsidP="00C35EB8">
      <w:pPr>
        <w:spacing w:line="360" w:lineRule="auto"/>
        <w:jc w:val="both"/>
        <w:rPr>
          <w:sz w:val="24"/>
          <w:szCs w:val="24"/>
        </w:rPr>
      </w:pPr>
    </w:p>
    <w:p w14:paraId="53A2CDD7" w14:textId="62022364" w:rsidR="00836BBD" w:rsidRPr="00F12192" w:rsidRDefault="00F12192" w:rsidP="00C35EB8">
      <w:pPr>
        <w:spacing w:line="360" w:lineRule="auto"/>
        <w:jc w:val="both"/>
        <w:rPr>
          <w:b/>
          <w:sz w:val="24"/>
          <w:szCs w:val="24"/>
        </w:rPr>
      </w:pPr>
      <w:r w:rsidRPr="00F12192">
        <w:rPr>
          <w:b/>
          <w:sz w:val="24"/>
          <w:szCs w:val="24"/>
        </w:rPr>
        <w:lastRenderedPageBreak/>
        <w:t>E</w:t>
      </w:r>
      <w:r w:rsidR="00836BBD" w:rsidRPr="00F12192">
        <w:rPr>
          <w:b/>
          <w:sz w:val="24"/>
          <w:szCs w:val="24"/>
        </w:rPr>
        <w:t xml:space="preserve">ducation of female workers in agriculture </w:t>
      </w:r>
    </w:p>
    <w:p w14:paraId="796AA148" w14:textId="1E0229F6" w:rsidR="00836BBD" w:rsidRPr="00C35EB8" w:rsidRDefault="00836BBD" w:rsidP="00C35EB8">
      <w:pPr>
        <w:spacing w:line="360" w:lineRule="auto"/>
        <w:jc w:val="both"/>
        <w:rPr>
          <w:sz w:val="24"/>
          <w:szCs w:val="24"/>
        </w:rPr>
      </w:pPr>
      <w:r w:rsidRPr="00C35EB8">
        <w:rPr>
          <w:sz w:val="24"/>
          <w:szCs w:val="24"/>
        </w:rPr>
        <w:t xml:space="preserve">The U- </w:t>
      </w:r>
      <w:r w:rsidR="00B647E0">
        <w:rPr>
          <w:sz w:val="24"/>
          <w:szCs w:val="24"/>
        </w:rPr>
        <w:t>-hypothesis</w:t>
      </w:r>
      <w:r w:rsidRPr="00C35EB8">
        <w:rPr>
          <w:sz w:val="24"/>
          <w:szCs w:val="24"/>
        </w:rPr>
        <w:t xml:space="preserve"> is seen as the relationship between educational attainment and women’s FLFPR or between income and women’s LFPR in several studies </w:t>
      </w:r>
      <w:commentRangeStart w:id="14"/>
      <w:r w:rsidRPr="00C35EB8">
        <w:rPr>
          <w:sz w:val="24"/>
          <w:szCs w:val="24"/>
        </w:rPr>
        <w:t xml:space="preserve">(Goldin 1994; </w:t>
      </w:r>
      <w:proofErr w:type="spellStart"/>
      <w:r w:rsidRPr="00C35EB8">
        <w:rPr>
          <w:sz w:val="24"/>
          <w:szCs w:val="24"/>
        </w:rPr>
        <w:t>Mammen</w:t>
      </w:r>
      <w:proofErr w:type="spellEnd"/>
      <w:r w:rsidRPr="00C35EB8">
        <w:rPr>
          <w:sz w:val="24"/>
          <w:szCs w:val="24"/>
        </w:rPr>
        <w:t xml:space="preserve"> and </w:t>
      </w:r>
      <w:proofErr w:type="spellStart"/>
      <w:r w:rsidRPr="00C35EB8">
        <w:rPr>
          <w:sz w:val="24"/>
          <w:szCs w:val="24"/>
        </w:rPr>
        <w:t>Paxson</w:t>
      </w:r>
      <w:proofErr w:type="spellEnd"/>
      <w:r w:rsidRPr="00C35EB8">
        <w:rPr>
          <w:sz w:val="24"/>
          <w:szCs w:val="24"/>
        </w:rPr>
        <w:t xml:space="preserve"> 2000; </w:t>
      </w:r>
      <w:proofErr w:type="spellStart"/>
      <w:r w:rsidRPr="00C35EB8">
        <w:rPr>
          <w:sz w:val="24"/>
          <w:szCs w:val="24"/>
        </w:rPr>
        <w:t>Tansel</w:t>
      </w:r>
      <w:proofErr w:type="spellEnd"/>
      <w:r w:rsidRPr="00C35EB8">
        <w:rPr>
          <w:sz w:val="24"/>
          <w:szCs w:val="24"/>
        </w:rPr>
        <w:t xml:space="preserve"> 2002; </w:t>
      </w:r>
      <w:proofErr w:type="spellStart"/>
      <w:r w:rsidRPr="00C35EB8">
        <w:rPr>
          <w:sz w:val="24"/>
          <w:szCs w:val="24"/>
        </w:rPr>
        <w:t>Choudhary</w:t>
      </w:r>
      <w:proofErr w:type="spellEnd"/>
      <w:r w:rsidRPr="00C35EB8">
        <w:rPr>
          <w:sz w:val="24"/>
          <w:szCs w:val="24"/>
        </w:rPr>
        <w:t xml:space="preserve"> and </w:t>
      </w:r>
      <w:proofErr w:type="spellStart"/>
      <w:r w:rsidRPr="00C35EB8">
        <w:rPr>
          <w:sz w:val="24"/>
          <w:szCs w:val="24"/>
        </w:rPr>
        <w:t>Verick</w:t>
      </w:r>
      <w:proofErr w:type="spellEnd"/>
      <w:r w:rsidRPr="00C35EB8">
        <w:rPr>
          <w:sz w:val="24"/>
          <w:szCs w:val="24"/>
        </w:rPr>
        <w:t xml:space="preserve"> 2014)</w:t>
      </w:r>
      <w:commentRangeEnd w:id="14"/>
      <w:r w:rsidR="00312C81">
        <w:rPr>
          <w:rStyle w:val="CommentReference"/>
        </w:rPr>
        <w:commentReference w:id="14"/>
      </w:r>
      <w:r w:rsidRPr="00C35EB8">
        <w:rPr>
          <w:sz w:val="24"/>
          <w:szCs w:val="24"/>
        </w:rPr>
        <w:t xml:space="preserve">. </w:t>
      </w:r>
      <w:r w:rsidR="008425F9">
        <w:rPr>
          <w:sz w:val="24"/>
          <w:szCs w:val="24"/>
        </w:rPr>
        <w:t>I</w:t>
      </w:r>
      <w:r w:rsidRPr="00C35EB8">
        <w:rPr>
          <w:sz w:val="24"/>
          <w:szCs w:val="24"/>
        </w:rPr>
        <w:t xml:space="preserve">t explains that women with higher education have greater chances of getting employed and higher household incomes often prevent women from joining the </w:t>
      </w:r>
      <w:proofErr w:type="spellStart"/>
      <w:r w:rsidRPr="00C35EB8">
        <w:rPr>
          <w:sz w:val="24"/>
          <w:szCs w:val="24"/>
        </w:rPr>
        <w:t>labour</w:t>
      </w:r>
      <w:proofErr w:type="spellEnd"/>
      <w:r w:rsidRPr="00C35EB8">
        <w:rPr>
          <w:sz w:val="24"/>
          <w:szCs w:val="24"/>
        </w:rPr>
        <w:t xml:space="preserve"> force. At the initial level, educational attainment leads to the decline in LFPR, but over time those women with high education re-enter the </w:t>
      </w:r>
      <w:proofErr w:type="spellStart"/>
      <w:r w:rsidRPr="00C35EB8">
        <w:rPr>
          <w:sz w:val="24"/>
          <w:szCs w:val="24"/>
        </w:rPr>
        <w:t>labour</w:t>
      </w:r>
      <w:proofErr w:type="spellEnd"/>
      <w:r w:rsidRPr="00C35EB8">
        <w:rPr>
          <w:sz w:val="24"/>
          <w:szCs w:val="24"/>
        </w:rPr>
        <w:t xml:space="preserve"> market. </w:t>
      </w:r>
      <w:r w:rsidR="00D129AB">
        <w:rPr>
          <w:sz w:val="24"/>
          <w:szCs w:val="24"/>
        </w:rPr>
        <w:t>T</w:t>
      </w:r>
      <w:r w:rsidRPr="00C35EB8">
        <w:rPr>
          <w:sz w:val="24"/>
          <w:szCs w:val="24"/>
        </w:rPr>
        <w:t>his forms a U shape, where the low and high levels of education have high FLFPR with a flat middle section for the moderately educated females (Chattopadhyay and Chowdhury</w:t>
      </w:r>
      <w:proofErr w:type="gramStart"/>
      <w:r w:rsidRPr="00C35EB8">
        <w:rPr>
          <w:sz w:val="24"/>
          <w:szCs w:val="24"/>
        </w:rPr>
        <w:t>,2022</w:t>
      </w:r>
      <w:proofErr w:type="gramEnd"/>
      <w:r w:rsidRPr="00C35EB8">
        <w:rPr>
          <w:sz w:val="24"/>
          <w:szCs w:val="24"/>
        </w:rPr>
        <w:t>).</w:t>
      </w:r>
    </w:p>
    <w:p w14:paraId="18FCE13C" w14:textId="77777777" w:rsidR="001A221F" w:rsidRPr="001A221F" w:rsidRDefault="001A221F" w:rsidP="001A221F">
      <w:pPr>
        <w:spacing w:line="360" w:lineRule="auto"/>
        <w:jc w:val="both"/>
        <w:rPr>
          <w:b/>
          <w:sz w:val="24"/>
          <w:szCs w:val="24"/>
        </w:rPr>
      </w:pPr>
      <w:r w:rsidRPr="001A221F">
        <w:rPr>
          <w:b/>
          <w:sz w:val="24"/>
          <w:szCs w:val="24"/>
        </w:rPr>
        <w:t>Figure 1:</w:t>
      </w:r>
      <w:r w:rsidRPr="001A221F">
        <w:rPr>
          <w:b/>
          <w:bCs/>
          <w:sz w:val="24"/>
          <w:szCs w:val="24"/>
        </w:rPr>
        <w:t xml:space="preserve">  </w:t>
      </w:r>
      <w:r w:rsidRPr="001A221F">
        <w:rPr>
          <w:b/>
          <w:sz w:val="24"/>
          <w:szCs w:val="24"/>
        </w:rPr>
        <w:t>Agricultural workers by education</w:t>
      </w:r>
    </w:p>
    <w:p w14:paraId="38598AE5" w14:textId="77777777" w:rsidR="001A221F" w:rsidRPr="00C35EB8" w:rsidRDefault="001A221F" w:rsidP="001A221F">
      <w:pPr>
        <w:spacing w:line="360" w:lineRule="auto"/>
        <w:jc w:val="both"/>
        <w:rPr>
          <w:sz w:val="24"/>
          <w:szCs w:val="24"/>
        </w:rPr>
      </w:pPr>
    </w:p>
    <w:p w14:paraId="0ABA4916" w14:textId="77777777" w:rsidR="00836BBD" w:rsidRPr="00C35EB8" w:rsidRDefault="00836BBD" w:rsidP="00C35EB8">
      <w:pPr>
        <w:spacing w:line="360" w:lineRule="auto"/>
        <w:jc w:val="both"/>
        <w:rPr>
          <w:sz w:val="24"/>
          <w:szCs w:val="24"/>
        </w:rPr>
      </w:pPr>
    </w:p>
    <w:p w14:paraId="391B7CC0" w14:textId="60294C65" w:rsidR="00B478F7" w:rsidRDefault="001A221F" w:rsidP="00C35EB8">
      <w:pPr>
        <w:spacing w:line="360" w:lineRule="auto"/>
        <w:jc w:val="both"/>
        <w:rPr>
          <w:sz w:val="24"/>
          <w:szCs w:val="24"/>
        </w:rPr>
      </w:pPr>
      <w:r w:rsidRPr="00C35EB8">
        <w:rPr>
          <w:noProof/>
          <w:sz w:val="24"/>
          <w:szCs w:val="24"/>
        </w:rPr>
        <w:drawing>
          <wp:inline distT="0" distB="0" distL="0" distR="0" wp14:anchorId="2B64B8E7" wp14:editId="52163335">
            <wp:extent cx="4572000" cy="2743200"/>
            <wp:effectExtent l="0" t="0" r="0" b="0"/>
            <wp:docPr id="2" name="Chart 2">
              <a:extLst xmlns:a="http://schemas.openxmlformats.org/drawingml/2006/main">
                <a:ext uri="{FF2B5EF4-FFF2-40B4-BE49-F238E27FC236}">
                  <a16:creationId xmlns:a16="http://schemas.microsoft.com/office/drawing/2014/main" id="{E999C127-ACF3-4BF8-A5E1-C5B3F39EDBF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4A16C762" w14:textId="77777777" w:rsidR="00B478F7" w:rsidRDefault="00B478F7" w:rsidP="00C35EB8">
      <w:pPr>
        <w:spacing w:line="360" w:lineRule="auto"/>
        <w:jc w:val="both"/>
        <w:rPr>
          <w:sz w:val="24"/>
          <w:szCs w:val="24"/>
        </w:rPr>
      </w:pPr>
    </w:p>
    <w:p w14:paraId="7C76DECD" w14:textId="77777777" w:rsidR="001A221F" w:rsidRPr="00C35EB8" w:rsidRDefault="001A221F" w:rsidP="001A221F">
      <w:pPr>
        <w:tabs>
          <w:tab w:val="left" w:pos="3990"/>
        </w:tabs>
        <w:spacing w:line="360" w:lineRule="auto"/>
        <w:jc w:val="both"/>
        <w:rPr>
          <w:sz w:val="24"/>
          <w:szCs w:val="24"/>
        </w:rPr>
      </w:pPr>
      <w:r>
        <w:rPr>
          <w:sz w:val="24"/>
          <w:szCs w:val="24"/>
        </w:rPr>
        <w:t>Source: author’s construction using PLFS 2022-23</w:t>
      </w:r>
    </w:p>
    <w:p w14:paraId="01167B28" w14:textId="77777777" w:rsidR="00B478F7" w:rsidRDefault="00B478F7" w:rsidP="00C35EB8">
      <w:pPr>
        <w:spacing w:line="360" w:lineRule="auto"/>
        <w:jc w:val="both"/>
        <w:rPr>
          <w:sz w:val="24"/>
          <w:szCs w:val="24"/>
        </w:rPr>
      </w:pPr>
    </w:p>
    <w:p w14:paraId="6FF2D8CF" w14:textId="77777777" w:rsidR="00B478F7" w:rsidRDefault="00B478F7" w:rsidP="00C35EB8">
      <w:pPr>
        <w:spacing w:line="360" w:lineRule="auto"/>
        <w:jc w:val="both"/>
        <w:rPr>
          <w:sz w:val="24"/>
          <w:szCs w:val="24"/>
        </w:rPr>
      </w:pPr>
    </w:p>
    <w:p w14:paraId="5AC7C10E" w14:textId="77777777" w:rsidR="00B478F7" w:rsidRDefault="00B478F7" w:rsidP="00C35EB8">
      <w:pPr>
        <w:spacing w:line="360" w:lineRule="auto"/>
        <w:jc w:val="both"/>
        <w:rPr>
          <w:sz w:val="24"/>
          <w:szCs w:val="24"/>
        </w:rPr>
      </w:pPr>
    </w:p>
    <w:p w14:paraId="6B0838CA" w14:textId="77777777" w:rsidR="00B478F7" w:rsidRDefault="00B478F7" w:rsidP="00C35EB8">
      <w:pPr>
        <w:spacing w:line="360" w:lineRule="auto"/>
        <w:jc w:val="both"/>
        <w:rPr>
          <w:sz w:val="24"/>
          <w:szCs w:val="24"/>
        </w:rPr>
      </w:pPr>
    </w:p>
    <w:p w14:paraId="43EBEE75" w14:textId="77777777" w:rsidR="00B478F7" w:rsidRDefault="00B478F7" w:rsidP="00C35EB8">
      <w:pPr>
        <w:spacing w:line="360" w:lineRule="auto"/>
        <w:jc w:val="both"/>
        <w:rPr>
          <w:sz w:val="24"/>
          <w:szCs w:val="24"/>
        </w:rPr>
      </w:pPr>
    </w:p>
    <w:p w14:paraId="0A33B5B5" w14:textId="77777777" w:rsidR="00B478F7" w:rsidRDefault="00B478F7" w:rsidP="00C35EB8">
      <w:pPr>
        <w:spacing w:line="360" w:lineRule="auto"/>
        <w:jc w:val="both"/>
        <w:rPr>
          <w:sz w:val="24"/>
          <w:szCs w:val="24"/>
        </w:rPr>
      </w:pPr>
    </w:p>
    <w:p w14:paraId="1DD13952" w14:textId="77777777" w:rsidR="00B478F7" w:rsidRDefault="00B478F7" w:rsidP="00C35EB8">
      <w:pPr>
        <w:spacing w:line="360" w:lineRule="auto"/>
        <w:jc w:val="both"/>
        <w:rPr>
          <w:sz w:val="24"/>
          <w:szCs w:val="24"/>
        </w:rPr>
      </w:pPr>
    </w:p>
    <w:p w14:paraId="134407A6" w14:textId="77777777" w:rsidR="00B478F7" w:rsidRDefault="00B478F7" w:rsidP="00C35EB8">
      <w:pPr>
        <w:spacing w:line="360" w:lineRule="auto"/>
        <w:jc w:val="both"/>
        <w:rPr>
          <w:sz w:val="24"/>
          <w:szCs w:val="24"/>
        </w:rPr>
      </w:pPr>
    </w:p>
    <w:p w14:paraId="21009042" w14:textId="77777777" w:rsidR="00B478F7" w:rsidRDefault="00B478F7" w:rsidP="00C35EB8">
      <w:pPr>
        <w:spacing w:line="360" w:lineRule="auto"/>
        <w:jc w:val="both"/>
        <w:rPr>
          <w:sz w:val="24"/>
          <w:szCs w:val="24"/>
        </w:rPr>
      </w:pPr>
    </w:p>
    <w:p w14:paraId="31FC3F73" w14:textId="1AE71039" w:rsidR="00B478F7" w:rsidRDefault="00B478F7" w:rsidP="00C35EB8">
      <w:pPr>
        <w:spacing w:line="360" w:lineRule="auto"/>
        <w:jc w:val="both"/>
        <w:rPr>
          <w:sz w:val="24"/>
          <w:szCs w:val="24"/>
        </w:rPr>
      </w:pPr>
    </w:p>
    <w:p w14:paraId="14748999" w14:textId="396D5254" w:rsidR="00836BBD" w:rsidRPr="00C35EB8" w:rsidRDefault="00836BBD" w:rsidP="00C35EB8">
      <w:pPr>
        <w:spacing w:line="360" w:lineRule="auto"/>
        <w:jc w:val="both"/>
        <w:rPr>
          <w:sz w:val="24"/>
          <w:szCs w:val="24"/>
        </w:rPr>
      </w:pPr>
      <w:r w:rsidRPr="00C35EB8">
        <w:rPr>
          <w:sz w:val="24"/>
          <w:szCs w:val="24"/>
        </w:rPr>
        <w:t xml:space="preserve">The conventional U shape </w:t>
      </w:r>
      <w:r w:rsidR="00B647E0">
        <w:rPr>
          <w:sz w:val="24"/>
          <w:szCs w:val="24"/>
        </w:rPr>
        <w:t>does not apply</w:t>
      </w:r>
      <w:r w:rsidRPr="00C35EB8">
        <w:rPr>
          <w:sz w:val="24"/>
          <w:szCs w:val="24"/>
        </w:rPr>
        <w:t xml:space="preserve"> to agricultural activities. </w:t>
      </w:r>
      <w:r w:rsidR="008425F9">
        <w:rPr>
          <w:sz w:val="24"/>
          <w:szCs w:val="24"/>
        </w:rPr>
        <w:t>B</w:t>
      </w:r>
      <w:r w:rsidRPr="00C35EB8">
        <w:rPr>
          <w:sz w:val="24"/>
          <w:szCs w:val="24"/>
        </w:rPr>
        <w:t>ecause</w:t>
      </w:r>
      <w:r w:rsidR="008425F9">
        <w:rPr>
          <w:sz w:val="24"/>
          <w:szCs w:val="24"/>
        </w:rPr>
        <w:t xml:space="preserve"> highly</w:t>
      </w:r>
      <w:r w:rsidRPr="00C35EB8">
        <w:rPr>
          <w:sz w:val="24"/>
          <w:szCs w:val="24"/>
        </w:rPr>
        <w:t xml:space="preserve"> educated are turning to non-farm activities.  </w:t>
      </w:r>
      <w:r w:rsidR="008425F9" w:rsidRPr="00C35EB8">
        <w:rPr>
          <w:sz w:val="24"/>
          <w:szCs w:val="24"/>
        </w:rPr>
        <w:t>Even though we can see some highly educated individuals are going back to agriculture</w:t>
      </w:r>
      <w:r w:rsidR="008425F9">
        <w:rPr>
          <w:sz w:val="24"/>
          <w:szCs w:val="24"/>
        </w:rPr>
        <w:t>, t</w:t>
      </w:r>
      <w:r w:rsidRPr="00C35EB8">
        <w:rPr>
          <w:sz w:val="24"/>
          <w:szCs w:val="24"/>
        </w:rPr>
        <w:t xml:space="preserve">here </w:t>
      </w:r>
      <w:r w:rsidR="008425F9">
        <w:rPr>
          <w:sz w:val="24"/>
          <w:szCs w:val="24"/>
        </w:rPr>
        <w:t>are</w:t>
      </w:r>
      <w:r w:rsidRPr="00C35EB8">
        <w:rPr>
          <w:sz w:val="24"/>
          <w:szCs w:val="24"/>
        </w:rPr>
        <w:t xml:space="preserve"> very few persons who pursue technical education in agriculture. </w:t>
      </w:r>
      <w:r w:rsidR="00551FB7" w:rsidRPr="00551FB7">
        <w:rPr>
          <w:sz w:val="24"/>
          <w:szCs w:val="24"/>
        </w:rPr>
        <w:t>More women working in agriculture can be seen as illiterate</w:t>
      </w:r>
      <w:r w:rsidR="00551FB7">
        <w:rPr>
          <w:sz w:val="24"/>
          <w:szCs w:val="24"/>
        </w:rPr>
        <w:t>.</w:t>
      </w:r>
      <w:r w:rsidR="00714F6B">
        <w:rPr>
          <w:sz w:val="24"/>
          <w:szCs w:val="24"/>
        </w:rPr>
        <w:t xml:space="preserve"> </w:t>
      </w:r>
      <w:r w:rsidR="00551FB7">
        <w:rPr>
          <w:sz w:val="24"/>
          <w:szCs w:val="24"/>
        </w:rPr>
        <w:t>We can conclude that a</w:t>
      </w:r>
      <w:r w:rsidR="00B647E0">
        <w:rPr>
          <w:sz w:val="24"/>
          <w:szCs w:val="24"/>
        </w:rPr>
        <w:t>s</w:t>
      </w:r>
      <w:r w:rsidR="00714F6B">
        <w:rPr>
          <w:sz w:val="24"/>
          <w:szCs w:val="24"/>
        </w:rPr>
        <w:t xml:space="preserve"> higher education </w:t>
      </w:r>
      <w:r w:rsidR="00B647E0">
        <w:rPr>
          <w:sz w:val="24"/>
          <w:szCs w:val="24"/>
        </w:rPr>
        <w:t>attains</w:t>
      </w:r>
      <w:r w:rsidR="00714F6B">
        <w:rPr>
          <w:sz w:val="24"/>
          <w:szCs w:val="24"/>
        </w:rPr>
        <w:t xml:space="preserve"> there is a tendency </w:t>
      </w:r>
      <w:r w:rsidR="00B647E0">
        <w:rPr>
          <w:sz w:val="24"/>
          <w:szCs w:val="24"/>
        </w:rPr>
        <w:t>to adopt</w:t>
      </w:r>
      <w:r w:rsidR="00714F6B">
        <w:rPr>
          <w:sz w:val="24"/>
          <w:szCs w:val="24"/>
        </w:rPr>
        <w:t xml:space="preserve"> non-farm employment. </w:t>
      </w:r>
      <w:r w:rsidR="00551FB7">
        <w:rPr>
          <w:sz w:val="24"/>
          <w:szCs w:val="24"/>
        </w:rPr>
        <w:t xml:space="preserve"> </w:t>
      </w:r>
    </w:p>
    <w:p w14:paraId="6FAEBC5A" w14:textId="58F19F0D" w:rsidR="00C35EB8" w:rsidRPr="00C35EB8" w:rsidRDefault="00551FB7" w:rsidP="00551FB7">
      <w:pPr>
        <w:spacing w:line="360" w:lineRule="auto"/>
        <w:rPr>
          <w:sz w:val="24"/>
          <w:szCs w:val="24"/>
        </w:rPr>
      </w:pPr>
      <w:r>
        <w:rPr>
          <w:sz w:val="24"/>
          <w:szCs w:val="24"/>
        </w:rPr>
        <w:t xml:space="preserve">Income distribution </w:t>
      </w:r>
      <w:r w:rsidRPr="00AC1766">
        <w:rPr>
          <w:sz w:val="24"/>
          <w:szCs w:val="24"/>
        </w:rPr>
        <w:t>of female workers in agriculture</w:t>
      </w:r>
    </w:p>
    <w:p w14:paraId="64FCC0B6" w14:textId="486F9089" w:rsidR="00000B3F" w:rsidRPr="00C35EB8" w:rsidRDefault="00C35EB8" w:rsidP="00C35EB8">
      <w:pPr>
        <w:spacing w:line="360" w:lineRule="auto"/>
        <w:jc w:val="both"/>
        <w:rPr>
          <w:sz w:val="24"/>
          <w:szCs w:val="24"/>
        </w:rPr>
      </w:pPr>
      <w:r w:rsidRPr="00C35EB8">
        <w:rPr>
          <w:sz w:val="24"/>
          <w:szCs w:val="24"/>
        </w:rPr>
        <w:t>Table 5 shows the income distribution of the workers. Usual monthly consumption Expenditure is taken as the proxy for income. Income is grouped into five quintiles starting from lower income quintiles to higher income quintiles.</w:t>
      </w:r>
    </w:p>
    <w:p w14:paraId="21642C00" w14:textId="77777777" w:rsidR="00000B3F" w:rsidRPr="00C35EB8" w:rsidRDefault="00000B3F" w:rsidP="00A01257">
      <w:pPr>
        <w:spacing w:before="156" w:line="360" w:lineRule="auto"/>
        <w:ind w:right="117"/>
        <w:jc w:val="both"/>
        <w:rPr>
          <w:sz w:val="24"/>
          <w:szCs w:val="24"/>
        </w:rPr>
      </w:pPr>
    </w:p>
    <w:p w14:paraId="1AF8CBA7" w14:textId="1E26F68D" w:rsidR="00000B3F" w:rsidRPr="001A221F" w:rsidRDefault="00551FB7" w:rsidP="00551FB7">
      <w:pPr>
        <w:spacing w:line="360" w:lineRule="auto"/>
        <w:ind w:right="117"/>
        <w:jc w:val="both"/>
        <w:rPr>
          <w:b/>
          <w:bCs/>
          <w:sz w:val="24"/>
          <w:szCs w:val="24"/>
        </w:rPr>
      </w:pPr>
      <w:r w:rsidRPr="001A221F">
        <w:rPr>
          <w:b/>
          <w:sz w:val="24"/>
          <w:szCs w:val="24"/>
        </w:rPr>
        <w:t xml:space="preserve">Table 5: </w:t>
      </w:r>
      <w:r w:rsidR="00000B3F" w:rsidRPr="001A221F">
        <w:rPr>
          <w:b/>
          <w:sz w:val="24"/>
          <w:szCs w:val="24"/>
        </w:rPr>
        <w:t>Employment participation rate (usual +subsidiary status) by expenditure</w:t>
      </w:r>
      <w:r w:rsidR="00000B3F" w:rsidRPr="001A221F">
        <w:rPr>
          <w:b/>
          <w:bCs/>
          <w:sz w:val="24"/>
          <w:szCs w:val="24"/>
        </w:rPr>
        <w:t xml:space="preserve"> </w:t>
      </w:r>
      <w:r w:rsidR="00000B3F" w:rsidRPr="001A221F">
        <w:rPr>
          <w:b/>
          <w:sz w:val="24"/>
          <w:szCs w:val="24"/>
        </w:rPr>
        <w:t xml:space="preserve">quintile </w:t>
      </w:r>
      <w:r w:rsidRPr="001A221F">
        <w:rPr>
          <w:b/>
          <w:sz w:val="24"/>
          <w:szCs w:val="24"/>
        </w:rPr>
        <w:t>(%)</w:t>
      </w:r>
      <w:r w:rsidR="00B32097" w:rsidRPr="001A221F">
        <w:rPr>
          <w:b/>
          <w:sz w:val="24"/>
          <w:szCs w:val="24"/>
        </w:rPr>
        <w:t xml:space="preserve"> of Female Agricultural workforce</w:t>
      </w:r>
    </w:p>
    <w:p w14:paraId="1C082635" w14:textId="77777777" w:rsidR="00836BBD" w:rsidRPr="00C35EB8" w:rsidRDefault="00836BBD" w:rsidP="00C35EB8">
      <w:pPr>
        <w:spacing w:line="360" w:lineRule="auto"/>
        <w:jc w:val="both"/>
        <w:rPr>
          <w:sz w:val="24"/>
          <w:szCs w:val="24"/>
        </w:rPr>
      </w:pPr>
    </w:p>
    <w:tbl>
      <w:tblPr>
        <w:tblStyle w:val="TableGrid"/>
        <w:tblW w:w="0" w:type="auto"/>
        <w:tblInd w:w="-431" w:type="dxa"/>
        <w:tblLook w:val="04A0" w:firstRow="1" w:lastRow="0" w:firstColumn="1" w:lastColumn="0" w:noHBand="0" w:noVBand="1"/>
      </w:tblPr>
      <w:tblGrid>
        <w:gridCol w:w="520"/>
        <w:gridCol w:w="1120"/>
        <w:gridCol w:w="992"/>
        <w:gridCol w:w="1208"/>
        <w:gridCol w:w="1041"/>
        <w:gridCol w:w="1218"/>
        <w:gridCol w:w="1070"/>
        <w:gridCol w:w="1405"/>
        <w:gridCol w:w="873"/>
      </w:tblGrid>
      <w:tr w:rsidR="00000B3F" w:rsidRPr="00C35EB8" w14:paraId="1300019B" w14:textId="77777777" w:rsidTr="00062378">
        <w:trPr>
          <w:trHeight w:val="2201"/>
        </w:trPr>
        <w:tc>
          <w:tcPr>
            <w:tcW w:w="520" w:type="dxa"/>
          </w:tcPr>
          <w:p w14:paraId="7FAE91E5" w14:textId="77777777" w:rsidR="00836BBD" w:rsidRPr="00C35EB8" w:rsidRDefault="00836BBD" w:rsidP="00C35EB8">
            <w:pPr>
              <w:spacing w:before="156" w:line="360" w:lineRule="auto"/>
              <w:ind w:right="117"/>
              <w:jc w:val="both"/>
              <w:rPr>
                <w:sz w:val="24"/>
                <w:szCs w:val="24"/>
              </w:rPr>
            </w:pPr>
          </w:p>
        </w:tc>
        <w:tc>
          <w:tcPr>
            <w:tcW w:w="1120" w:type="dxa"/>
          </w:tcPr>
          <w:p w14:paraId="67200BCE" w14:textId="77777777" w:rsidR="00836BBD" w:rsidRPr="00C35EB8" w:rsidRDefault="00836BBD" w:rsidP="00C35EB8">
            <w:pPr>
              <w:spacing w:before="156" w:line="360" w:lineRule="auto"/>
              <w:ind w:right="117"/>
              <w:jc w:val="both"/>
              <w:rPr>
                <w:sz w:val="24"/>
                <w:szCs w:val="24"/>
              </w:rPr>
            </w:pPr>
            <w:r w:rsidRPr="00C35EB8">
              <w:rPr>
                <w:sz w:val="24"/>
                <w:szCs w:val="24"/>
              </w:rPr>
              <w:t>Agriculture</w:t>
            </w:r>
          </w:p>
        </w:tc>
        <w:tc>
          <w:tcPr>
            <w:tcW w:w="992" w:type="dxa"/>
          </w:tcPr>
          <w:p w14:paraId="5371C35D" w14:textId="77777777" w:rsidR="00836BBD" w:rsidRPr="00C35EB8" w:rsidRDefault="00836BBD" w:rsidP="00C35EB8">
            <w:pPr>
              <w:spacing w:before="156" w:line="360" w:lineRule="auto"/>
              <w:ind w:right="117"/>
              <w:jc w:val="both"/>
              <w:rPr>
                <w:sz w:val="24"/>
                <w:szCs w:val="24"/>
              </w:rPr>
            </w:pPr>
            <w:r w:rsidRPr="00C35EB8">
              <w:rPr>
                <w:sz w:val="24"/>
                <w:szCs w:val="24"/>
              </w:rPr>
              <w:t>Mining &amp; quarrying</w:t>
            </w:r>
          </w:p>
        </w:tc>
        <w:tc>
          <w:tcPr>
            <w:tcW w:w="1208" w:type="dxa"/>
          </w:tcPr>
          <w:p w14:paraId="4E60A558" w14:textId="77777777" w:rsidR="00836BBD" w:rsidRPr="00C35EB8" w:rsidRDefault="00836BBD" w:rsidP="00C35EB8">
            <w:pPr>
              <w:spacing w:before="156" w:line="360" w:lineRule="auto"/>
              <w:ind w:right="117"/>
              <w:jc w:val="both"/>
              <w:rPr>
                <w:sz w:val="24"/>
                <w:szCs w:val="24"/>
              </w:rPr>
            </w:pPr>
            <w:r w:rsidRPr="00C35EB8">
              <w:rPr>
                <w:sz w:val="24"/>
                <w:szCs w:val="24"/>
              </w:rPr>
              <w:t>Manufacture</w:t>
            </w:r>
          </w:p>
        </w:tc>
        <w:tc>
          <w:tcPr>
            <w:tcW w:w="1041" w:type="dxa"/>
          </w:tcPr>
          <w:p w14:paraId="6CB403A6" w14:textId="77777777" w:rsidR="00836BBD" w:rsidRPr="00C35EB8" w:rsidRDefault="00836BBD" w:rsidP="00C35EB8">
            <w:pPr>
              <w:spacing w:before="156" w:line="360" w:lineRule="auto"/>
              <w:ind w:right="117"/>
              <w:jc w:val="both"/>
              <w:rPr>
                <w:sz w:val="24"/>
                <w:szCs w:val="24"/>
              </w:rPr>
            </w:pPr>
            <w:r w:rsidRPr="00C35EB8">
              <w:rPr>
                <w:sz w:val="24"/>
                <w:szCs w:val="24"/>
              </w:rPr>
              <w:t>Electricity</w:t>
            </w:r>
          </w:p>
        </w:tc>
        <w:tc>
          <w:tcPr>
            <w:tcW w:w="1218" w:type="dxa"/>
          </w:tcPr>
          <w:p w14:paraId="50FCD99C" w14:textId="77777777" w:rsidR="00836BBD" w:rsidRPr="00C35EB8" w:rsidRDefault="00836BBD" w:rsidP="00C35EB8">
            <w:pPr>
              <w:spacing w:before="156" w:line="360" w:lineRule="auto"/>
              <w:ind w:right="117"/>
              <w:jc w:val="both"/>
              <w:rPr>
                <w:sz w:val="24"/>
                <w:szCs w:val="24"/>
              </w:rPr>
            </w:pPr>
            <w:r w:rsidRPr="00C35EB8">
              <w:rPr>
                <w:sz w:val="24"/>
                <w:szCs w:val="24"/>
              </w:rPr>
              <w:t>Construction</w:t>
            </w:r>
          </w:p>
        </w:tc>
        <w:tc>
          <w:tcPr>
            <w:tcW w:w="1070" w:type="dxa"/>
          </w:tcPr>
          <w:p w14:paraId="0F351B81" w14:textId="77777777" w:rsidR="00836BBD" w:rsidRPr="00C35EB8" w:rsidRDefault="00836BBD" w:rsidP="00C35EB8">
            <w:pPr>
              <w:spacing w:before="156" w:line="360" w:lineRule="auto"/>
              <w:ind w:right="117"/>
              <w:jc w:val="both"/>
              <w:rPr>
                <w:sz w:val="24"/>
                <w:szCs w:val="24"/>
              </w:rPr>
            </w:pPr>
            <w:r w:rsidRPr="00C35EB8">
              <w:rPr>
                <w:sz w:val="24"/>
                <w:szCs w:val="24"/>
              </w:rPr>
              <w:t>Trade, Hotel&amp; restaurants</w:t>
            </w:r>
          </w:p>
        </w:tc>
        <w:tc>
          <w:tcPr>
            <w:tcW w:w="1405" w:type="dxa"/>
          </w:tcPr>
          <w:p w14:paraId="036CD193" w14:textId="77777777" w:rsidR="00836BBD" w:rsidRPr="00C35EB8" w:rsidRDefault="00836BBD" w:rsidP="00C35EB8">
            <w:pPr>
              <w:spacing w:before="156" w:line="360" w:lineRule="auto"/>
              <w:ind w:right="117"/>
              <w:jc w:val="both"/>
              <w:rPr>
                <w:sz w:val="24"/>
                <w:szCs w:val="24"/>
              </w:rPr>
            </w:pPr>
            <w:r w:rsidRPr="00C35EB8">
              <w:rPr>
                <w:sz w:val="24"/>
                <w:szCs w:val="24"/>
              </w:rPr>
              <w:t>Transport, Storage &amp; communication</w:t>
            </w:r>
          </w:p>
        </w:tc>
        <w:tc>
          <w:tcPr>
            <w:tcW w:w="873" w:type="dxa"/>
          </w:tcPr>
          <w:p w14:paraId="00B0A03D" w14:textId="77777777" w:rsidR="00836BBD" w:rsidRPr="00C35EB8" w:rsidRDefault="00836BBD" w:rsidP="00C35EB8">
            <w:pPr>
              <w:spacing w:before="156" w:line="360" w:lineRule="auto"/>
              <w:ind w:right="117"/>
              <w:jc w:val="both"/>
              <w:rPr>
                <w:sz w:val="24"/>
                <w:szCs w:val="24"/>
              </w:rPr>
            </w:pPr>
            <w:r w:rsidRPr="00C35EB8">
              <w:rPr>
                <w:sz w:val="24"/>
                <w:szCs w:val="24"/>
              </w:rPr>
              <w:t>Other services</w:t>
            </w:r>
          </w:p>
        </w:tc>
      </w:tr>
      <w:tr w:rsidR="00000B3F" w:rsidRPr="00C35EB8" w14:paraId="6FDB06EF" w14:textId="77777777" w:rsidTr="00062378">
        <w:trPr>
          <w:trHeight w:val="966"/>
        </w:trPr>
        <w:tc>
          <w:tcPr>
            <w:tcW w:w="520" w:type="dxa"/>
          </w:tcPr>
          <w:p w14:paraId="024A48B1" w14:textId="77777777" w:rsidR="00836BBD" w:rsidRPr="00C35EB8" w:rsidRDefault="00836BBD" w:rsidP="00C35EB8">
            <w:pPr>
              <w:spacing w:before="156" w:line="360" w:lineRule="auto"/>
              <w:ind w:right="117"/>
              <w:jc w:val="both"/>
              <w:rPr>
                <w:sz w:val="24"/>
                <w:szCs w:val="24"/>
              </w:rPr>
            </w:pPr>
            <w:r w:rsidRPr="00C35EB8">
              <w:rPr>
                <w:sz w:val="24"/>
                <w:szCs w:val="24"/>
              </w:rPr>
              <w:t>Q1</w:t>
            </w:r>
          </w:p>
        </w:tc>
        <w:tc>
          <w:tcPr>
            <w:tcW w:w="1120" w:type="dxa"/>
          </w:tcPr>
          <w:p w14:paraId="76D361D0" w14:textId="77777777" w:rsidR="00836BBD" w:rsidRPr="00C35EB8" w:rsidRDefault="00836BBD" w:rsidP="00C35EB8">
            <w:pPr>
              <w:spacing w:before="156" w:line="360" w:lineRule="auto"/>
              <w:ind w:right="117"/>
              <w:jc w:val="both"/>
              <w:rPr>
                <w:sz w:val="24"/>
                <w:szCs w:val="24"/>
              </w:rPr>
            </w:pPr>
            <w:r w:rsidRPr="00C35EB8">
              <w:rPr>
                <w:sz w:val="24"/>
                <w:szCs w:val="24"/>
              </w:rPr>
              <w:t>50.43</w:t>
            </w:r>
          </w:p>
        </w:tc>
        <w:tc>
          <w:tcPr>
            <w:tcW w:w="992" w:type="dxa"/>
          </w:tcPr>
          <w:p w14:paraId="265C50E8" w14:textId="77777777" w:rsidR="00836BBD" w:rsidRPr="00C35EB8" w:rsidRDefault="00836BBD" w:rsidP="00C35EB8">
            <w:pPr>
              <w:spacing w:before="156" w:line="360" w:lineRule="auto"/>
              <w:ind w:right="117"/>
              <w:jc w:val="both"/>
              <w:rPr>
                <w:sz w:val="24"/>
                <w:szCs w:val="24"/>
              </w:rPr>
            </w:pPr>
            <w:r w:rsidRPr="00C35EB8">
              <w:rPr>
                <w:sz w:val="24"/>
                <w:szCs w:val="24"/>
              </w:rPr>
              <w:t>0.0</w:t>
            </w:r>
          </w:p>
        </w:tc>
        <w:tc>
          <w:tcPr>
            <w:tcW w:w="1208" w:type="dxa"/>
          </w:tcPr>
          <w:p w14:paraId="3E98891B" w14:textId="77777777" w:rsidR="00836BBD" w:rsidRPr="00C35EB8" w:rsidRDefault="00836BBD" w:rsidP="00C35EB8">
            <w:pPr>
              <w:spacing w:before="156" w:line="360" w:lineRule="auto"/>
              <w:ind w:right="117"/>
              <w:jc w:val="both"/>
              <w:rPr>
                <w:sz w:val="24"/>
                <w:szCs w:val="24"/>
              </w:rPr>
            </w:pPr>
            <w:r w:rsidRPr="00C35EB8">
              <w:rPr>
                <w:sz w:val="24"/>
                <w:szCs w:val="24"/>
              </w:rPr>
              <w:t>11.02</w:t>
            </w:r>
          </w:p>
        </w:tc>
        <w:tc>
          <w:tcPr>
            <w:tcW w:w="1041" w:type="dxa"/>
          </w:tcPr>
          <w:p w14:paraId="7CD0ACD1" w14:textId="77777777" w:rsidR="00836BBD" w:rsidRPr="00C35EB8" w:rsidRDefault="00836BBD" w:rsidP="00C35EB8">
            <w:pPr>
              <w:spacing w:before="156" w:line="360" w:lineRule="auto"/>
              <w:ind w:right="117"/>
              <w:jc w:val="both"/>
              <w:rPr>
                <w:sz w:val="24"/>
                <w:szCs w:val="24"/>
              </w:rPr>
            </w:pPr>
            <w:r w:rsidRPr="00C35EB8">
              <w:rPr>
                <w:sz w:val="24"/>
                <w:szCs w:val="24"/>
              </w:rPr>
              <w:t>0.63</w:t>
            </w:r>
          </w:p>
        </w:tc>
        <w:tc>
          <w:tcPr>
            <w:tcW w:w="1218" w:type="dxa"/>
          </w:tcPr>
          <w:p w14:paraId="6C82D039" w14:textId="77777777" w:rsidR="00836BBD" w:rsidRPr="00C35EB8" w:rsidRDefault="00836BBD" w:rsidP="00C35EB8">
            <w:pPr>
              <w:spacing w:before="156" w:line="360" w:lineRule="auto"/>
              <w:ind w:right="117"/>
              <w:jc w:val="both"/>
              <w:rPr>
                <w:sz w:val="24"/>
                <w:szCs w:val="24"/>
              </w:rPr>
            </w:pPr>
            <w:r w:rsidRPr="00C35EB8">
              <w:rPr>
                <w:sz w:val="24"/>
                <w:szCs w:val="24"/>
              </w:rPr>
              <w:t>5.92</w:t>
            </w:r>
          </w:p>
        </w:tc>
        <w:tc>
          <w:tcPr>
            <w:tcW w:w="1070" w:type="dxa"/>
          </w:tcPr>
          <w:p w14:paraId="717B161C" w14:textId="77777777" w:rsidR="00836BBD" w:rsidRPr="00C35EB8" w:rsidRDefault="00836BBD" w:rsidP="00C35EB8">
            <w:pPr>
              <w:spacing w:before="156" w:line="360" w:lineRule="auto"/>
              <w:ind w:right="117"/>
              <w:jc w:val="both"/>
              <w:rPr>
                <w:sz w:val="24"/>
                <w:szCs w:val="24"/>
              </w:rPr>
            </w:pPr>
            <w:r w:rsidRPr="00C35EB8">
              <w:rPr>
                <w:sz w:val="24"/>
                <w:szCs w:val="24"/>
              </w:rPr>
              <w:t>9.79</w:t>
            </w:r>
          </w:p>
        </w:tc>
        <w:tc>
          <w:tcPr>
            <w:tcW w:w="1405" w:type="dxa"/>
          </w:tcPr>
          <w:p w14:paraId="1A0C36AC" w14:textId="77777777" w:rsidR="00836BBD" w:rsidRPr="00C35EB8" w:rsidRDefault="00836BBD" w:rsidP="00C35EB8">
            <w:pPr>
              <w:spacing w:before="156" w:line="360" w:lineRule="auto"/>
              <w:ind w:right="117"/>
              <w:jc w:val="both"/>
              <w:rPr>
                <w:sz w:val="24"/>
                <w:szCs w:val="24"/>
              </w:rPr>
            </w:pPr>
            <w:r w:rsidRPr="00C35EB8">
              <w:rPr>
                <w:sz w:val="24"/>
                <w:szCs w:val="24"/>
              </w:rPr>
              <w:t>0.61</w:t>
            </w:r>
          </w:p>
        </w:tc>
        <w:tc>
          <w:tcPr>
            <w:tcW w:w="873" w:type="dxa"/>
          </w:tcPr>
          <w:p w14:paraId="619A19C2" w14:textId="77777777" w:rsidR="00836BBD" w:rsidRPr="00C35EB8" w:rsidRDefault="00836BBD" w:rsidP="00C35EB8">
            <w:pPr>
              <w:spacing w:before="156" w:line="360" w:lineRule="auto"/>
              <w:ind w:right="117"/>
              <w:jc w:val="both"/>
              <w:rPr>
                <w:sz w:val="24"/>
                <w:szCs w:val="24"/>
              </w:rPr>
            </w:pPr>
            <w:r w:rsidRPr="00C35EB8">
              <w:rPr>
                <w:sz w:val="24"/>
                <w:szCs w:val="24"/>
              </w:rPr>
              <w:t>21.61</w:t>
            </w:r>
          </w:p>
        </w:tc>
      </w:tr>
      <w:tr w:rsidR="00000B3F" w:rsidRPr="00C35EB8" w14:paraId="323B5472" w14:textId="77777777" w:rsidTr="00062378">
        <w:trPr>
          <w:trHeight w:val="981"/>
        </w:trPr>
        <w:tc>
          <w:tcPr>
            <w:tcW w:w="520" w:type="dxa"/>
          </w:tcPr>
          <w:p w14:paraId="40A5E866" w14:textId="77777777" w:rsidR="00836BBD" w:rsidRPr="00C35EB8" w:rsidRDefault="00836BBD" w:rsidP="00C35EB8">
            <w:pPr>
              <w:spacing w:before="156" w:line="360" w:lineRule="auto"/>
              <w:ind w:right="117"/>
              <w:jc w:val="both"/>
              <w:rPr>
                <w:sz w:val="24"/>
                <w:szCs w:val="24"/>
              </w:rPr>
            </w:pPr>
            <w:r w:rsidRPr="00C35EB8">
              <w:rPr>
                <w:sz w:val="24"/>
                <w:szCs w:val="24"/>
              </w:rPr>
              <w:t>Q2</w:t>
            </w:r>
          </w:p>
        </w:tc>
        <w:tc>
          <w:tcPr>
            <w:tcW w:w="1120" w:type="dxa"/>
          </w:tcPr>
          <w:p w14:paraId="37D16859" w14:textId="77777777" w:rsidR="00836BBD" w:rsidRPr="00C35EB8" w:rsidRDefault="00836BBD" w:rsidP="00C35EB8">
            <w:pPr>
              <w:spacing w:before="156" w:line="360" w:lineRule="auto"/>
              <w:ind w:right="117"/>
              <w:jc w:val="both"/>
              <w:rPr>
                <w:sz w:val="24"/>
                <w:szCs w:val="24"/>
              </w:rPr>
            </w:pPr>
            <w:r w:rsidRPr="00C35EB8">
              <w:rPr>
                <w:sz w:val="24"/>
                <w:szCs w:val="24"/>
              </w:rPr>
              <w:t xml:space="preserve"> 44.85      </w:t>
            </w:r>
          </w:p>
        </w:tc>
        <w:tc>
          <w:tcPr>
            <w:tcW w:w="992" w:type="dxa"/>
          </w:tcPr>
          <w:p w14:paraId="779CE942" w14:textId="77777777" w:rsidR="00836BBD" w:rsidRPr="00C35EB8" w:rsidRDefault="00836BBD" w:rsidP="00C35EB8">
            <w:pPr>
              <w:spacing w:before="156" w:line="360" w:lineRule="auto"/>
              <w:ind w:right="117"/>
              <w:jc w:val="both"/>
              <w:rPr>
                <w:sz w:val="24"/>
                <w:szCs w:val="24"/>
              </w:rPr>
            </w:pPr>
            <w:r w:rsidRPr="00C35EB8">
              <w:rPr>
                <w:sz w:val="24"/>
                <w:szCs w:val="24"/>
              </w:rPr>
              <w:t>0.0</w:t>
            </w:r>
          </w:p>
        </w:tc>
        <w:tc>
          <w:tcPr>
            <w:tcW w:w="1208" w:type="dxa"/>
          </w:tcPr>
          <w:p w14:paraId="59AD7B64" w14:textId="77777777" w:rsidR="00836BBD" w:rsidRPr="00C35EB8" w:rsidRDefault="00836BBD" w:rsidP="00C35EB8">
            <w:pPr>
              <w:spacing w:before="156" w:line="360" w:lineRule="auto"/>
              <w:ind w:right="117"/>
              <w:jc w:val="both"/>
              <w:rPr>
                <w:sz w:val="24"/>
                <w:szCs w:val="24"/>
              </w:rPr>
            </w:pPr>
            <w:r w:rsidRPr="00C35EB8">
              <w:rPr>
                <w:sz w:val="24"/>
                <w:szCs w:val="24"/>
              </w:rPr>
              <w:t xml:space="preserve"> 11.07       </w:t>
            </w:r>
          </w:p>
        </w:tc>
        <w:tc>
          <w:tcPr>
            <w:tcW w:w="1041" w:type="dxa"/>
          </w:tcPr>
          <w:p w14:paraId="6F639340" w14:textId="77777777" w:rsidR="00836BBD" w:rsidRPr="00C35EB8" w:rsidRDefault="00836BBD" w:rsidP="00C35EB8">
            <w:pPr>
              <w:spacing w:before="156" w:line="360" w:lineRule="auto"/>
              <w:ind w:right="117"/>
              <w:jc w:val="both"/>
              <w:rPr>
                <w:sz w:val="24"/>
                <w:szCs w:val="24"/>
              </w:rPr>
            </w:pPr>
            <w:r w:rsidRPr="00C35EB8">
              <w:rPr>
                <w:sz w:val="24"/>
                <w:szCs w:val="24"/>
              </w:rPr>
              <w:t xml:space="preserve"> 0.26     </w:t>
            </w:r>
          </w:p>
        </w:tc>
        <w:tc>
          <w:tcPr>
            <w:tcW w:w="1218" w:type="dxa"/>
          </w:tcPr>
          <w:p w14:paraId="5A14FBFA" w14:textId="77777777" w:rsidR="00836BBD" w:rsidRPr="00C35EB8" w:rsidRDefault="00836BBD" w:rsidP="00C35EB8">
            <w:pPr>
              <w:spacing w:before="156" w:line="360" w:lineRule="auto"/>
              <w:ind w:right="117"/>
              <w:jc w:val="both"/>
              <w:rPr>
                <w:sz w:val="24"/>
                <w:szCs w:val="24"/>
              </w:rPr>
            </w:pPr>
            <w:r w:rsidRPr="00C35EB8">
              <w:rPr>
                <w:sz w:val="24"/>
                <w:szCs w:val="24"/>
              </w:rPr>
              <w:t xml:space="preserve"> 4.44</w:t>
            </w:r>
          </w:p>
        </w:tc>
        <w:tc>
          <w:tcPr>
            <w:tcW w:w="1070" w:type="dxa"/>
          </w:tcPr>
          <w:p w14:paraId="72139E3A" w14:textId="77777777" w:rsidR="00836BBD" w:rsidRPr="00C35EB8" w:rsidRDefault="00836BBD" w:rsidP="00C35EB8">
            <w:pPr>
              <w:spacing w:before="156" w:line="360" w:lineRule="auto"/>
              <w:ind w:right="117"/>
              <w:jc w:val="both"/>
              <w:rPr>
                <w:sz w:val="24"/>
                <w:szCs w:val="24"/>
              </w:rPr>
            </w:pPr>
            <w:r w:rsidRPr="00C35EB8">
              <w:rPr>
                <w:sz w:val="24"/>
                <w:szCs w:val="24"/>
              </w:rPr>
              <w:t>11.91</w:t>
            </w:r>
          </w:p>
        </w:tc>
        <w:tc>
          <w:tcPr>
            <w:tcW w:w="1405" w:type="dxa"/>
          </w:tcPr>
          <w:p w14:paraId="75AA134C" w14:textId="77777777" w:rsidR="00836BBD" w:rsidRPr="00C35EB8" w:rsidRDefault="00836BBD" w:rsidP="00C35EB8">
            <w:pPr>
              <w:spacing w:before="156" w:line="360" w:lineRule="auto"/>
              <w:ind w:right="117"/>
              <w:jc w:val="both"/>
              <w:rPr>
                <w:sz w:val="24"/>
                <w:szCs w:val="24"/>
              </w:rPr>
            </w:pPr>
            <w:r w:rsidRPr="00C35EB8">
              <w:rPr>
                <w:sz w:val="24"/>
                <w:szCs w:val="24"/>
              </w:rPr>
              <w:t>4.33</w:t>
            </w:r>
          </w:p>
        </w:tc>
        <w:tc>
          <w:tcPr>
            <w:tcW w:w="873" w:type="dxa"/>
          </w:tcPr>
          <w:p w14:paraId="18B3511C" w14:textId="77777777" w:rsidR="00836BBD" w:rsidRPr="00C35EB8" w:rsidRDefault="00836BBD" w:rsidP="00C35EB8">
            <w:pPr>
              <w:spacing w:before="156" w:line="360" w:lineRule="auto"/>
              <w:ind w:right="117"/>
              <w:jc w:val="both"/>
              <w:rPr>
                <w:sz w:val="24"/>
                <w:szCs w:val="24"/>
              </w:rPr>
            </w:pPr>
            <w:r w:rsidRPr="00C35EB8">
              <w:rPr>
                <w:sz w:val="24"/>
                <w:szCs w:val="24"/>
              </w:rPr>
              <w:t>23.15</w:t>
            </w:r>
          </w:p>
        </w:tc>
      </w:tr>
      <w:tr w:rsidR="00000B3F" w:rsidRPr="00C35EB8" w14:paraId="2FCC1B12" w14:textId="77777777" w:rsidTr="00062378">
        <w:trPr>
          <w:trHeight w:val="966"/>
        </w:trPr>
        <w:tc>
          <w:tcPr>
            <w:tcW w:w="520" w:type="dxa"/>
          </w:tcPr>
          <w:p w14:paraId="292378E0" w14:textId="77777777" w:rsidR="00836BBD" w:rsidRPr="00C35EB8" w:rsidRDefault="00836BBD" w:rsidP="00C35EB8">
            <w:pPr>
              <w:spacing w:before="156" w:line="360" w:lineRule="auto"/>
              <w:ind w:right="117"/>
              <w:jc w:val="both"/>
              <w:rPr>
                <w:sz w:val="24"/>
                <w:szCs w:val="24"/>
              </w:rPr>
            </w:pPr>
            <w:r w:rsidRPr="00C35EB8">
              <w:rPr>
                <w:sz w:val="24"/>
                <w:szCs w:val="24"/>
              </w:rPr>
              <w:t>Q3</w:t>
            </w:r>
          </w:p>
        </w:tc>
        <w:tc>
          <w:tcPr>
            <w:tcW w:w="1120" w:type="dxa"/>
          </w:tcPr>
          <w:p w14:paraId="50E0EC96" w14:textId="77777777" w:rsidR="00836BBD" w:rsidRPr="00C35EB8" w:rsidRDefault="00836BBD" w:rsidP="00C35EB8">
            <w:pPr>
              <w:spacing w:before="156" w:line="360" w:lineRule="auto"/>
              <w:ind w:right="117"/>
              <w:jc w:val="both"/>
              <w:rPr>
                <w:sz w:val="24"/>
                <w:szCs w:val="24"/>
              </w:rPr>
            </w:pPr>
            <w:r w:rsidRPr="00C35EB8">
              <w:rPr>
                <w:sz w:val="24"/>
                <w:szCs w:val="24"/>
              </w:rPr>
              <w:t>40.64</w:t>
            </w:r>
          </w:p>
        </w:tc>
        <w:tc>
          <w:tcPr>
            <w:tcW w:w="992" w:type="dxa"/>
          </w:tcPr>
          <w:p w14:paraId="5FE10DB5" w14:textId="77777777" w:rsidR="00836BBD" w:rsidRPr="00C35EB8" w:rsidRDefault="00836BBD" w:rsidP="00C35EB8">
            <w:pPr>
              <w:spacing w:before="156" w:line="360" w:lineRule="auto"/>
              <w:ind w:right="117"/>
              <w:jc w:val="both"/>
              <w:rPr>
                <w:sz w:val="24"/>
                <w:szCs w:val="24"/>
              </w:rPr>
            </w:pPr>
            <w:r w:rsidRPr="00C35EB8">
              <w:rPr>
                <w:sz w:val="24"/>
                <w:szCs w:val="24"/>
              </w:rPr>
              <w:t>0.0</w:t>
            </w:r>
          </w:p>
        </w:tc>
        <w:tc>
          <w:tcPr>
            <w:tcW w:w="1208" w:type="dxa"/>
          </w:tcPr>
          <w:p w14:paraId="57D7C313" w14:textId="77777777" w:rsidR="00836BBD" w:rsidRPr="00C35EB8" w:rsidRDefault="00836BBD" w:rsidP="00C35EB8">
            <w:pPr>
              <w:spacing w:before="156" w:line="360" w:lineRule="auto"/>
              <w:ind w:right="117"/>
              <w:jc w:val="both"/>
              <w:rPr>
                <w:sz w:val="24"/>
                <w:szCs w:val="24"/>
              </w:rPr>
            </w:pPr>
            <w:r w:rsidRPr="00C35EB8">
              <w:rPr>
                <w:sz w:val="24"/>
                <w:szCs w:val="24"/>
              </w:rPr>
              <w:t>13.98</w:t>
            </w:r>
          </w:p>
        </w:tc>
        <w:tc>
          <w:tcPr>
            <w:tcW w:w="1041" w:type="dxa"/>
          </w:tcPr>
          <w:p w14:paraId="0B63A671" w14:textId="77777777" w:rsidR="00836BBD" w:rsidRPr="00C35EB8" w:rsidRDefault="00836BBD" w:rsidP="00C35EB8">
            <w:pPr>
              <w:spacing w:before="156" w:line="360" w:lineRule="auto"/>
              <w:ind w:right="117"/>
              <w:jc w:val="both"/>
              <w:rPr>
                <w:sz w:val="24"/>
                <w:szCs w:val="24"/>
              </w:rPr>
            </w:pPr>
            <w:r w:rsidRPr="00C35EB8">
              <w:rPr>
                <w:sz w:val="24"/>
                <w:szCs w:val="24"/>
              </w:rPr>
              <w:t>0.0</w:t>
            </w:r>
          </w:p>
        </w:tc>
        <w:tc>
          <w:tcPr>
            <w:tcW w:w="1218" w:type="dxa"/>
          </w:tcPr>
          <w:p w14:paraId="08F4FE2B" w14:textId="77777777" w:rsidR="00836BBD" w:rsidRPr="00C35EB8" w:rsidRDefault="00836BBD" w:rsidP="00C35EB8">
            <w:pPr>
              <w:spacing w:before="156" w:line="360" w:lineRule="auto"/>
              <w:ind w:right="117"/>
              <w:jc w:val="both"/>
              <w:rPr>
                <w:b/>
                <w:bCs/>
                <w:sz w:val="24"/>
                <w:szCs w:val="24"/>
              </w:rPr>
            </w:pPr>
            <w:r w:rsidRPr="00C35EB8">
              <w:rPr>
                <w:sz w:val="24"/>
                <w:szCs w:val="24"/>
              </w:rPr>
              <w:t>2.18</w:t>
            </w:r>
          </w:p>
        </w:tc>
        <w:tc>
          <w:tcPr>
            <w:tcW w:w="1070" w:type="dxa"/>
          </w:tcPr>
          <w:p w14:paraId="39C7652E" w14:textId="77777777" w:rsidR="00836BBD" w:rsidRPr="00C35EB8" w:rsidRDefault="00836BBD" w:rsidP="00C35EB8">
            <w:pPr>
              <w:spacing w:before="156" w:line="360" w:lineRule="auto"/>
              <w:ind w:right="117"/>
              <w:jc w:val="both"/>
              <w:rPr>
                <w:sz w:val="24"/>
                <w:szCs w:val="24"/>
              </w:rPr>
            </w:pPr>
            <w:r w:rsidRPr="00C35EB8">
              <w:rPr>
                <w:sz w:val="24"/>
                <w:szCs w:val="24"/>
              </w:rPr>
              <w:t>15.18</w:t>
            </w:r>
          </w:p>
        </w:tc>
        <w:tc>
          <w:tcPr>
            <w:tcW w:w="1405" w:type="dxa"/>
          </w:tcPr>
          <w:p w14:paraId="318159F9" w14:textId="77777777" w:rsidR="00836BBD" w:rsidRPr="00C35EB8" w:rsidRDefault="00836BBD" w:rsidP="00C35EB8">
            <w:pPr>
              <w:spacing w:before="156" w:line="360" w:lineRule="auto"/>
              <w:ind w:right="117"/>
              <w:jc w:val="both"/>
              <w:rPr>
                <w:sz w:val="24"/>
                <w:szCs w:val="24"/>
              </w:rPr>
            </w:pPr>
            <w:r w:rsidRPr="00C35EB8">
              <w:rPr>
                <w:sz w:val="24"/>
                <w:szCs w:val="24"/>
              </w:rPr>
              <w:t>4.56</w:t>
            </w:r>
          </w:p>
        </w:tc>
        <w:tc>
          <w:tcPr>
            <w:tcW w:w="873" w:type="dxa"/>
          </w:tcPr>
          <w:p w14:paraId="4A656B24" w14:textId="77777777" w:rsidR="00836BBD" w:rsidRPr="00C35EB8" w:rsidRDefault="00836BBD" w:rsidP="00C35EB8">
            <w:pPr>
              <w:spacing w:before="156" w:line="360" w:lineRule="auto"/>
              <w:ind w:right="117"/>
              <w:jc w:val="both"/>
              <w:rPr>
                <w:sz w:val="24"/>
                <w:szCs w:val="24"/>
              </w:rPr>
            </w:pPr>
            <w:r w:rsidRPr="00C35EB8">
              <w:rPr>
                <w:sz w:val="24"/>
                <w:szCs w:val="24"/>
              </w:rPr>
              <w:t>26.43</w:t>
            </w:r>
          </w:p>
        </w:tc>
      </w:tr>
      <w:tr w:rsidR="00000B3F" w:rsidRPr="00C35EB8" w14:paraId="6F10ADF8" w14:textId="77777777" w:rsidTr="00062378">
        <w:trPr>
          <w:trHeight w:val="966"/>
        </w:trPr>
        <w:tc>
          <w:tcPr>
            <w:tcW w:w="520" w:type="dxa"/>
          </w:tcPr>
          <w:p w14:paraId="443756F5" w14:textId="77777777" w:rsidR="00836BBD" w:rsidRPr="00C35EB8" w:rsidRDefault="00836BBD" w:rsidP="00C35EB8">
            <w:pPr>
              <w:spacing w:before="156" w:line="360" w:lineRule="auto"/>
              <w:ind w:right="117"/>
              <w:jc w:val="both"/>
              <w:rPr>
                <w:sz w:val="24"/>
                <w:szCs w:val="24"/>
              </w:rPr>
            </w:pPr>
            <w:r w:rsidRPr="00C35EB8">
              <w:rPr>
                <w:sz w:val="24"/>
                <w:szCs w:val="24"/>
              </w:rPr>
              <w:t>Q4</w:t>
            </w:r>
          </w:p>
        </w:tc>
        <w:tc>
          <w:tcPr>
            <w:tcW w:w="1120" w:type="dxa"/>
          </w:tcPr>
          <w:p w14:paraId="1A0FD18B" w14:textId="77777777" w:rsidR="00836BBD" w:rsidRPr="00C35EB8" w:rsidRDefault="00836BBD" w:rsidP="00C35EB8">
            <w:pPr>
              <w:spacing w:before="156" w:line="360" w:lineRule="auto"/>
              <w:ind w:right="117"/>
              <w:jc w:val="both"/>
              <w:rPr>
                <w:sz w:val="24"/>
                <w:szCs w:val="24"/>
              </w:rPr>
            </w:pPr>
            <w:r w:rsidRPr="00C35EB8">
              <w:rPr>
                <w:sz w:val="24"/>
                <w:szCs w:val="24"/>
              </w:rPr>
              <w:t>31.33</w:t>
            </w:r>
          </w:p>
        </w:tc>
        <w:tc>
          <w:tcPr>
            <w:tcW w:w="992" w:type="dxa"/>
          </w:tcPr>
          <w:p w14:paraId="6BE6817C" w14:textId="77777777" w:rsidR="00836BBD" w:rsidRPr="00C35EB8" w:rsidRDefault="00836BBD" w:rsidP="00C35EB8">
            <w:pPr>
              <w:spacing w:before="156" w:line="360" w:lineRule="auto"/>
              <w:ind w:right="117"/>
              <w:jc w:val="both"/>
              <w:rPr>
                <w:sz w:val="24"/>
                <w:szCs w:val="24"/>
              </w:rPr>
            </w:pPr>
            <w:r w:rsidRPr="00C35EB8">
              <w:rPr>
                <w:sz w:val="24"/>
                <w:szCs w:val="24"/>
              </w:rPr>
              <w:t>0.0</w:t>
            </w:r>
          </w:p>
        </w:tc>
        <w:tc>
          <w:tcPr>
            <w:tcW w:w="1208" w:type="dxa"/>
          </w:tcPr>
          <w:p w14:paraId="05025089" w14:textId="77777777" w:rsidR="00836BBD" w:rsidRPr="00C35EB8" w:rsidRDefault="00836BBD" w:rsidP="00C35EB8">
            <w:pPr>
              <w:spacing w:before="156" w:line="360" w:lineRule="auto"/>
              <w:ind w:right="117"/>
              <w:jc w:val="both"/>
              <w:rPr>
                <w:sz w:val="24"/>
                <w:szCs w:val="24"/>
              </w:rPr>
            </w:pPr>
            <w:r w:rsidRPr="00C35EB8">
              <w:rPr>
                <w:sz w:val="24"/>
                <w:szCs w:val="24"/>
              </w:rPr>
              <w:t>12.48</w:t>
            </w:r>
          </w:p>
        </w:tc>
        <w:tc>
          <w:tcPr>
            <w:tcW w:w="1041" w:type="dxa"/>
          </w:tcPr>
          <w:p w14:paraId="44D84D32" w14:textId="77777777" w:rsidR="00836BBD" w:rsidRPr="00C35EB8" w:rsidRDefault="00836BBD" w:rsidP="00C35EB8">
            <w:pPr>
              <w:spacing w:before="156" w:line="360" w:lineRule="auto"/>
              <w:ind w:right="117"/>
              <w:jc w:val="both"/>
              <w:rPr>
                <w:sz w:val="24"/>
                <w:szCs w:val="24"/>
              </w:rPr>
            </w:pPr>
            <w:r w:rsidRPr="00C35EB8">
              <w:rPr>
                <w:sz w:val="24"/>
                <w:szCs w:val="24"/>
              </w:rPr>
              <w:t>0.93</w:t>
            </w:r>
          </w:p>
        </w:tc>
        <w:tc>
          <w:tcPr>
            <w:tcW w:w="1218" w:type="dxa"/>
          </w:tcPr>
          <w:p w14:paraId="39163E32" w14:textId="77777777" w:rsidR="00836BBD" w:rsidRPr="00C35EB8" w:rsidRDefault="00836BBD" w:rsidP="00C35EB8">
            <w:pPr>
              <w:spacing w:before="156" w:line="360" w:lineRule="auto"/>
              <w:ind w:right="117"/>
              <w:jc w:val="both"/>
              <w:rPr>
                <w:sz w:val="24"/>
                <w:szCs w:val="24"/>
              </w:rPr>
            </w:pPr>
            <w:r w:rsidRPr="00C35EB8">
              <w:rPr>
                <w:sz w:val="24"/>
                <w:szCs w:val="24"/>
              </w:rPr>
              <w:t>2.34</w:t>
            </w:r>
          </w:p>
        </w:tc>
        <w:tc>
          <w:tcPr>
            <w:tcW w:w="1070" w:type="dxa"/>
          </w:tcPr>
          <w:p w14:paraId="255CE57F" w14:textId="77777777" w:rsidR="00836BBD" w:rsidRPr="00C35EB8" w:rsidRDefault="00836BBD" w:rsidP="00C35EB8">
            <w:pPr>
              <w:spacing w:before="156" w:line="360" w:lineRule="auto"/>
              <w:ind w:right="117"/>
              <w:jc w:val="both"/>
              <w:rPr>
                <w:sz w:val="24"/>
                <w:szCs w:val="24"/>
              </w:rPr>
            </w:pPr>
            <w:r w:rsidRPr="00C35EB8">
              <w:rPr>
                <w:sz w:val="24"/>
                <w:szCs w:val="24"/>
              </w:rPr>
              <w:t>14.71</w:t>
            </w:r>
          </w:p>
        </w:tc>
        <w:tc>
          <w:tcPr>
            <w:tcW w:w="1405" w:type="dxa"/>
          </w:tcPr>
          <w:p w14:paraId="77DD1119" w14:textId="77777777" w:rsidR="00836BBD" w:rsidRPr="00C35EB8" w:rsidRDefault="00836BBD" w:rsidP="00C35EB8">
            <w:pPr>
              <w:spacing w:before="156" w:line="360" w:lineRule="auto"/>
              <w:ind w:right="117"/>
              <w:jc w:val="both"/>
              <w:rPr>
                <w:sz w:val="24"/>
                <w:szCs w:val="24"/>
              </w:rPr>
            </w:pPr>
            <w:r w:rsidRPr="00C35EB8">
              <w:rPr>
                <w:sz w:val="24"/>
                <w:szCs w:val="24"/>
              </w:rPr>
              <w:t>2.5</w:t>
            </w:r>
          </w:p>
        </w:tc>
        <w:tc>
          <w:tcPr>
            <w:tcW w:w="873" w:type="dxa"/>
          </w:tcPr>
          <w:p w14:paraId="76E5F5B9" w14:textId="77777777" w:rsidR="00836BBD" w:rsidRPr="00C35EB8" w:rsidRDefault="00836BBD" w:rsidP="00C35EB8">
            <w:pPr>
              <w:spacing w:before="156" w:line="360" w:lineRule="auto"/>
              <w:ind w:right="117"/>
              <w:jc w:val="both"/>
              <w:rPr>
                <w:sz w:val="24"/>
                <w:szCs w:val="24"/>
              </w:rPr>
            </w:pPr>
            <w:r w:rsidRPr="00C35EB8">
              <w:rPr>
                <w:sz w:val="24"/>
                <w:szCs w:val="24"/>
              </w:rPr>
              <w:t>35.71</w:t>
            </w:r>
          </w:p>
        </w:tc>
      </w:tr>
      <w:tr w:rsidR="00000B3F" w:rsidRPr="00C35EB8" w14:paraId="3FCE9244" w14:textId="77777777" w:rsidTr="00062378">
        <w:trPr>
          <w:trHeight w:val="966"/>
        </w:trPr>
        <w:tc>
          <w:tcPr>
            <w:tcW w:w="520" w:type="dxa"/>
          </w:tcPr>
          <w:p w14:paraId="6DEEF55B" w14:textId="77777777" w:rsidR="00836BBD" w:rsidRPr="00C35EB8" w:rsidRDefault="00836BBD" w:rsidP="00C35EB8">
            <w:pPr>
              <w:spacing w:before="156" w:line="360" w:lineRule="auto"/>
              <w:ind w:right="117"/>
              <w:jc w:val="both"/>
              <w:rPr>
                <w:sz w:val="24"/>
                <w:szCs w:val="24"/>
              </w:rPr>
            </w:pPr>
            <w:r w:rsidRPr="00C35EB8">
              <w:rPr>
                <w:sz w:val="24"/>
                <w:szCs w:val="24"/>
              </w:rPr>
              <w:t>Q5</w:t>
            </w:r>
          </w:p>
        </w:tc>
        <w:tc>
          <w:tcPr>
            <w:tcW w:w="1120" w:type="dxa"/>
          </w:tcPr>
          <w:p w14:paraId="0347A46A" w14:textId="77777777" w:rsidR="00836BBD" w:rsidRPr="00C35EB8" w:rsidRDefault="00836BBD" w:rsidP="00C35EB8">
            <w:pPr>
              <w:spacing w:before="156" w:line="360" w:lineRule="auto"/>
              <w:ind w:right="117"/>
              <w:jc w:val="both"/>
              <w:rPr>
                <w:sz w:val="24"/>
                <w:szCs w:val="24"/>
              </w:rPr>
            </w:pPr>
            <w:r w:rsidRPr="00C35EB8">
              <w:rPr>
                <w:sz w:val="24"/>
                <w:szCs w:val="24"/>
              </w:rPr>
              <w:t>21.52</w:t>
            </w:r>
          </w:p>
        </w:tc>
        <w:tc>
          <w:tcPr>
            <w:tcW w:w="992" w:type="dxa"/>
          </w:tcPr>
          <w:p w14:paraId="6E7B2FD3" w14:textId="77777777" w:rsidR="00836BBD" w:rsidRPr="00C35EB8" w:rsidRDefault="00836BBD" w:rsidP="00C35EB8">
            <w:pPr>
              <w:spacing w:before="156" w:line="360" w:lineRule="auto"/>
              <w:ind w:right="117"/>
              <w:jc w:val="both"/>
              <w:rPr>
                <w:sz w:val="24"/>
                <w:szCs w:val="24"/>
              </w:rPr>
            </w:pPr>
            <w:r w:rsidRPr="00C35EB8">
              <w:rPr>
                <w:sz w:val="24"/>
                <w:szCs w:val="24"/>
              </w:rPr>
              <w:t>0.0</w:t>
            </w:r>
          </w:p>
        </w:tc>
        <w:tc>
          <w:tcPr>
            <w:tcW w:w="1208" w:type="dxa"/>
          </w:tcPr>
          <w:p w14:paraId="06E6B023" w14:textId="77777777" w:rsidR="00836BBD" w:rsidRPr="00C35EB8" w:rsidRDefault="00836BBD" w:rsidP="00C35EB8">
            <w:pPr>
              <w:spacing w:before="156" w:line="360" w:lineRule="auto"/>
              <w:ind w:right="117"/>
              <w:jc w:val="both"/>
              <w:rPr>
                <w:sz w:val="24"/>
                <w:szCs w:val="24"/>
              </w:rPr>
            </w:pPr>
            <w:r w:rsidRPr="00C35EB8">
              <w:rPr>
                <w:sz w:val="24"/>
                <w:szCs w:val="24"/>
              </w:rPr>
              <w:t>7.47</w:t>
            </w:r>
          </w:p>
        </w:tc>
        <w:tc>
          <w:tcPr>
            <w:tcW w:w="1041" w:type="dxa"/>
          </w:tcPr>
          <w:p w14:paraId="5AFFEA48" w14:textId="77777777" w:rsidR="00836BBD" w:rsidRPr="00C35EB8" w:rsidRDefault="00836BBD" w:rsidP="00C35EB8">
            <w:pPr>
              <w:spacing w:before="156" w:line="360" w:lineRule="auto"/>
              <w:ind w:right="117"/>
              <w:jc w:val="both"/>
              <w:rPr>
                <w:sz w:val="24"/>
                <w:szCs w:val="24"/>
              </w:rPr>
            </w:pPr>
            <w:r w:rsidRPr="00C35EB8">
              <w:rPr>
                <w:sz w:val="24"/>
                <w:szCs w:val="24"/>
              </w:rPr>
              <w:t>0.13</w:t>
            </w:r>
          </w:p>
        </w:tc>
        <w:tc>
          <w:tcPr>
            <w:tcW w:w="1218" w:type="dxa"/>
          </w:tcPr>
          <w:p w14:paraId="26CBB582" w14:textId="77777777" w:rsidR="00836BBD" w:rsidRPr="00C35EB8" w:rsidRDefault="00836BBD" w:rsidP="00C35EB8">
            <w:pPr>
              <w:spacing w:before="156" w:line="360" w:lineRule="auto"/>
              <w:ind w:right="117"/>
              <w:jc w:val="both"/>
              <w:rPr>
                <w:sz w:val="24"/>
                <w:szCs w:val="24"/>
              </w:rPr>
            </w:pPr>
            <w:r w:rsidRPr="00C35EB8">
              <w:rPr>
                <w:sz w:val="24"/>
                <w:szCs w:val="24"/>
              </w:rPr>
              <w:t>2.01</w:t>
            </w:r>
          </w:p>
        </w:tc>
        <w:tc>
          <w:tcPr>
            <w:tcW w:w="1070" w:type="dxa"/>
          </w:tcPr>
          <w:p w14:paraId="6FFEFE89" w14:textId="77777777" w:rsidR="00836BBD" w:rsidRPr="00C35EB8" w:rsidRDefault="00836BBD" w:rsidP="00C35EB8">
            <w:pPr>
              <w:spacing w:before="156" w:line="360" w:lineRule="auto"/>
              <w:ind w:right="117"/>
              <w:jc w:val="both"/>
              <w:rPr>
                <w:sz w:val="24"/>
                <w:szCs w:val="24"/>
              </w:rPr>
            </w:pPr>
            <w:r w:rsidRPr="00C35EB8">
              <w:rPr>
                <w:sz w:val="24"/>
                <w:szCs w:val="24"/>
              </w:rPr>
              <w:t>13.92</w:t>
            </w:r>
          </w:p>
        </w:tc>
        <w:tc>
          <w:tcPr>
            <w:tcW w:w="1405" w:type="dxa"/>
          </w:tcPr>
          <w:p w14:paraId="2477C475" w14:textId="77777777" w:rsidR="00836BBD" w:rsidRPr="00C35EB8" w:rsidRDefault="00836BBD" w:rsidP="00C35EB8">
            <w:pPr>
              <w:spacing w:before="156" w:line="360" w:lineRule="auto"/>
              <w:ind w:right="117"/>
              <w:jc w:val="both"/>
              <w:rPr>
                <w:sz w:val="24"/>
                <w:szCs w:val="24"/>
              </w:rPr>
            </w:pPr>
            <w:r w:rsidRPr="00C35EB8">
              <w:rPr>
                <w:sz w:val="24"/>
                <w:szCs w:val="24"/>
              </w:rPr>
              <w:t>5.6</w:t>
            </w:r>
          </w:p>
        </w:tc>
        <w:tc>
          <w:tcPr>
            <w:tcW w:w="873" w:type="dxa"/>
          </w:tcPr>
          <w:p w14:paraId="21B88B8E" w14:textId="77777777" w:rsidR="00836BBD" w:rsidRPr="00C35EB8" w:rsidRDefault="00836BBD" w:rsidP="00C35EB8">
            <w:pPr>
              <w:spacing w:before="156" w:line="360" w:lineRule="auto"/>
              <w:ind w:right="117"/>
              <w:jc w:val="both"/>
              <w:rPr>
                <w:sz w:val="24"/>
                <w:szCs w:val="24"/>
              </w:rPr>
            </w:pPr>
            <w:r w:rsidRPr="00C35EB8">
              <w:rPr>
                <w:sz w:val="24"/>
                <w:szCs w:val="24"/>
              </w:rPr>
              <w:t>49.36</w:t>
            </w:r>
          </w:p>
        </w:tc>
      </w:tr>
    </w:tbl>
    <w:p w14:paraId="772D0109" w14:textId="052C2567" w:rsidR="00062378" w:rsidRPr="00C35EB8" w:rsidRDefault="00062378" w:rsidP="00062378">
      <w:pPr>
        <w:tabs>
          <w:tab w:val="left" w:pos="3990"/>
        </w:tabs>
        <w:spacing w:line="360" w:lineRule="auto"/>
        <w:jc w:val="both"/>
        <w:rPr>
          <w:sz w:val="24"/>
          <w:szCs w:val="24"/>
        </w:rPr>
      </w:pPr>
      <w:r>
        <w:rPr>
          <w:sz w:val="24"/>
          <w:szCs w:val="24"/>
        </w:rPr>
        <w:t xml:space="preserve">Source: author’s construction using PLFS </w:t>
      </w:r>
    </w:p>
    <w:p w14:paraId="72CDFFB6" w14:textId="77777777" w:rsidR="00836BBD" w:rsidRPr="00C35EB8" w:rsidRDefault="00836BBD" w:rsidP="00C35EB8">
      <w:pPr>
        <w:spacing w:line="360" w:lineRule="auto"/>
        <w:jc w:val="both"/>
        <w:rPr>
          <w:sz w:val="24"/>
          <w:szCs w:val="24"/>
        </w:rPr>
      </w:pPr>
    </w:p>
    <w:p w14:paraId="13A54010" w14:textId="77777777" w:rsidR="00B478F7" w:rsidRDefault="00B478F7" w:rsidP="00C35EB8">
      <w:pPr>
        <w:spacing w:before="156" w:line="360" w:lineRule="auto"/>
        <w:ind w:right="117"/>
        <w:jc w:val="both"/>
        <w:rPr>
          <w:sz w:val="24"/>
          <w:szCs w:val="24"/>
        </w:rPr>
      </w:pPr>
    </w:p>
    <w:p w14:paraId="3BB5FC8C" w14:textId="2BEF3A88" w:rsidR="000D0B31" w:rsidRPr="00C35EB8" w:rsidRDefault="00836BBD" w:rsidP="00C35EB8">
      <w:pPr>
        <w:spacing w:before="156" w:line="360" w:lineRule="auto"/>
        <w:ind w:right="117"/>
        <w:jc w:val="both"/>
        <w:rPr>
          <w:sz w:val="24"/>
          <w:szCs w:val="24"/>
        </w:rPr>
      </w:pPr>
      <w:r w:rsidRPr="00C35EB8">
        <w:rPr>
          <w:sz w:val="24"/>
          <w:szCs w:val="24"/>
        </w:rPr>
        <w:t xml:space="preserve">The lowest expenditure quintile group depends more heavily </w:t>
      </w:r>
      <w:r w:rsidR="00B647E0">
        <w:rPr>
          <w:sz w:val="24"/>
          <w:szCs w:val="24"/>
        </w:rPr>
        <w:t>on</w:t>
      </w:r>
      <w:r w:rsidRPr="00C35EB8">
        <w:rPr>
          <w:sz w:val="24"/>
          <w:szCs w:val="24"/>
        </w:rPr>
        <w:t xml:space="preserve"> agriculture and allied sectors than higher quintile groups, and employment among </w:t>
      </w:r>
      <w:r w:rsidR="00B647E0">
        <w:rPr>
          <w:sz w:val="24"/>
          <w:szCs w:val="24"/>
        </w:rPr>
        <w:t xml:space="preserve">the </w:t>
      </w:r>
      <w:r w:rsidRPr="00C35EB8">
        <w:rPr>
          <w:sz w:val="24"/>
          <w:szCs w:val="24"/>
        </w:rPr>
        <w:t xml:space="preserve">non-farm sector is higher among higher quintile groups. </w:t>
      </w:r>
      <w:r w:rsidR="00551FB7">
        <w:rPr>
          <w:sz w:val="24"/>
          <w:szCs w:val="24"/>
        </w:rPr>
        <w:t>Subsequent to</w:t>
      </w:r>
      <w:r w:rsidR="00B647E0">
        <w:rPr>
          <w:sz w:val="24"/>
          <w:szCs w:val="24"/>
        </w:rPr>
        <w:t xml:space="preserve"> </w:t>
      </w:r>
      <w:r w:rsidR="00551FB7">
        <w:rPr>
          <w:sz w:val="24"/>
          <w:szCs w:val="24"/>
        </w:rPr>
        <w:t xml:space="preserve">the </w:t>
      </w:r>
      <w:r w:rsidRPr="00C35EB8">
        <w:rPr>
          <w:sz w:val="24"/>
          <w:szCs w:val="24"/>
        </w:rPr>
        <w:t xml:space="preserve">agricultural sector, the largest number of people are employed in the services sector in the lower quintile group. People in the higher expenditure quintile </w:t>
      </w:r>
      <w:r w:rsidR="00551FB7">
        <w:rPr>
          <w:sz w:val="24"/>
          <w:szCs w:val="24"/>
        </w:rPr>
        <w:t xml:space="preserve">also </w:t>
      </w:r>
      <w:r w:rsidRPr="00C35EB8">
        <w:rPr>
          <w:sz w:val="24"/>
          <w:szCs w:val="24"/>
        </w:rPr>
        <w:t xml:space="preserve">heavily </w:t>
      </w:r>
      <w:r w:rsidR="00B647E0">
        <w:rPr>
          <w:sz w:val="24"/>
          <w:szCs w:val="24"/>
        </w:rPr>
        <w:t>depend</w:t>
      </w:r>
      <w:r w:rsidRPr="00C35EB8">
        <w:rPr>
          <w:sz w:val="24"/>
          <w:szCs w:val="24"/>
        </w:rPr>
        <w:t xml:space="preserve"> on the service sector. </w:t>
      </w:r>
    </w:p>
    <w:p w14:paraId="07B058A3" w14:textId="77777777" w:rsidR="00836BBD" w:rsidRPr="00C35EB8" w:rsidRDefault="00836BBD" w:rsidP="00C35EB8">
      <w:pPr>
        <w:tabs>
          <w:tab w:val="left" w:pos="6870"/>
        </w:tabs>
        <w:spacing w:line="360" w:lineRule="auto"/>
        <w:jc w:val="both"/>
        <w:rPr>
          <w:sz w:val="24"/>
          <w:szCs w:val="24"/>
        </w:rPr>
      </w:pPr>
    </w:p>
    <w:p w14:paraId="13451A0B" w14:textId="550AF702" w:rsidR="00000B3F" w:rsidRPr="001A221F" w:rsidRDefault="001A221F" w:rsidP="00C35EB8">
      <w:pPr>
        <w:spacing w:line="360" w:lineRule="auto"/>
        <w:jc w:val="both"/>
        <w:rPr>
          <w:b/>
          <w:sz w:val="24"/>
          <w:szCs w:val="24"/>
        </w:rPr>
      </w:pPr>
      <w:r w:rsidRPr="001A221F">
        <w:rPr>
          <w:b/>
          <w:sz w:val="24"/>
          <w:szCs w:val="24"/>
        </w:rPr>
        <w:t>A</w:t>
      </w:r>
      <w:r w:rsidR="00C35EB8" w:rsidRPr="001A221F">
        <w:rPr>
          <w:b/>
          <w:sz w:val="24"/>
          <w:szCs w:val="24"/>
        </w:rPr>
        <w:t>gricultural wages in India: 2020-21</w:t>
      </w:r>
    </w:p>
    <w:p w14:paraId="1C520EE2" w14:textId="00BC159C" w:rsidR="00000B3F" w:rsidRPr="00C35EB8" w:rsidRDefault="00C35EB8" w:rsidP="00C35EB8">
      <w:pPr>
        <w:spacing w:line="360" w:lineRule="auto"/>
        <w:jc w:val="both"/>
        <w:rPr>
          <w:sz w:val="24"/>
          <w:szCs w:val="24"/>
        </w:rPr>
      </w:pPr>
      <w:r w:rsidRPr="00C35EB8">
        <w:rPr>
          <w:sz w:val="24"/>
          <w:szCs w:val="24"/>
        </w:rPr>
        <w:t xml:space="preserve">According to the Agricultural </w:t>
      </w:r>
      <w:r w:rsidR="00B647E0">
        <w:rPr>
          <w:sz w:val="24"/>
          <w:szCs w:val="24"/>
        </w:rPr>
        <w:t>Wages</w:t>
      </w:r>
      <w:r w:rsidRPr="00C35EB8">
        <w:rPr>
          <w:sz w:val="24"/>
          <w:szCs w:val="24"/>
        </w:rPr>
        <w:t xml:space="preserve"> in India report, </w:t>
      </w:r>
      <w:r w:rsidR="00000B3F" w:rsidRPr="00C35EB8">
        <w:rPr>
          <w:sz w:val="24"/>
          <w:szCs w:val="24"/>
        </w:rPr>
        <w:t xml:space="preserve">all India annual average daily wage rate for field </w:t>
      </w:r>
      <w:proofErr w:type="spellStart"/>
      <w:r w:rsidR="00000B3F" w:rsidRPr="00C35EB8">
        <w:rPr>
          <w:sz w:val="24"/>
          <w:szCs w:val="24"/>
        </w:rPr>
        <w:t>labour</w:t>
      </w:r>
      <w:proofErr w:type="spellEnd"/>
      <w:r w:rsidR="00000B3F" w:rsidRPr="00C35EB8">
        <w:rPr>
          <w:sz w:val="24"/>
          <w:szCs w:val="24"/>
        </w:rPr>
        <w:t xml:space="preserve"> (male), during 2020-21 was ₹342/day, with Kerala paying the highest wage to field </w:t>
      </w:r>
      <w:proofErr w:type="spellStart"/>
      <w:r w:rsidR="00000B3F" w:rsidRPr="00C35EB8">
        <w:rPr>
          <w:sz w:val="24"/>
          <w:szCs w:val="24"/>
        </w:rPr>
        <w:t>labour</w:t>
      </w:r>
      <w:proofErr w:type="spellEnd"/>
      <w:r w:rsidR="00000B3F" w:rsidRPr="00C35EB8">
        <w:rPr>
          <w:sz w:val="24"/>
          <w:szCs w:val="24"/>
        </w:rPr>
        <w:t xml:space="preserve"> (male) ₹789/day, while Chhattisgarh figured as the lowest wage payer among all states with ₹246/day.</w:t>
      </w:r>
    </w:p>
    <w:p w14:paraId="1311A2B6" w14:textId="694E0744" w:rsidR="00000B3F" w:rsidRPr="00C35EB8" w:rsidRDefault="00B647E0" w:rsidP="00C35EB8">
      <w:pPr>
        <w:spacing w:line="360" w:lineRule="auto"/>
        <w:jc w:val="both"/>
        <w:rPr>
          <w:sz w:val="24"/>
          <w:szCs w:val="24"/>
        </w:rPr>
      </w:pPr>
      <w:r>
        <w:rPr>
          <w:sz w:val="24"/>
          <w:szCs w:val="24"/>
        </w:rPr>
        <w:t>The average</w:t>
      </w:r>
      <w:r w:rsidR="00000B3F" w:rsidRPr="00C35EB8">
        <w:rPr>
          <w:sz w:val="24"/>
          <w:szCs w:val="24"/>
        </w:rPr>
        <w:t xml:space="preserve"> daily wage rate for field </w:t>
      </w:r>
      <w:proofErr w:type="spellStart"/>
      <w:r w:rsidR="00000B3F" w:rsidRPr="00C35EB8">
        <w:rPr>
          <w:sz w:val="24"/>
          <w:szCs w:val="24"/>
        </w:rPr>
        <w:t>labour</w:t>
      </w:r>
      <w:proofErr w:type="spellEnd"/>
      <w:r w:rsidR="00000B3F" w:rsidRPr="00C35EB8">
        <w:rPr>
          <w:sz w:val="24"/>
          <w:szCs w:val="24"/>
        </w:rPr>
        <w:t xml:space="preserve"> (female) at all India and State level also showed </w:t>
      </w:r>
      <w:commentRangeStart w:id="15"/>
      <w:r w:rsidR="00000B3F" w:rsidRPr="00C35EB8">
        <w:rPr>
          <w:sz w:val="24"/>
          <w:szCs w:val="24"/>
        </w:rPr>
        <w:t xml:space="preserve">that Kerala paid the highest wage to field </w:t>
      </w:r>
      <w:proofErr w:type="spellStart"/>
      <w:r w:rsidR="00000B3F" w:rsidRPr="00C35EB8">
        <w:rPr>
          <w:sz w:val="24"/>
          <w:szCs w:val="24"/>
        </w:rPr>
        <w:t>labour</w:t>
      </w:r>
      <w:proofErr w:type="spellEnd"/>
      <w:r w:rsidR="00000B3F" w:rsidRPr="00C35EB8">
        <w:rPr>
          <w:sz w:val="24"/>
          <w:szCs w:val="24"/>
        </w:rPr>
        <w:t xml:space="preserve"> (female) i.e. ₹537/day</w:t>
      </w:r>
      <w:r w:rsidR="00C35EB8" w:rsidRPr="00C35EB8">
        <w:rPr>
          <w:sz w:val="24"/>
          <w:szCs w:val="24"/>
        </w:rPr>
        <w:t>.</w:t>
      </w:r>
      <w:r w:rsidR="00000B3F" w:rsidRPr="00C35EB8">
        <w:rPr>
          <w:sz w:val="24"/>
          <w:szCs w:val="24"/>
        </w:rPr>
        <w:t xml:space="preserve"> All-India annual average wage rate was ₹282/day. The variation between wages of male and female agricultural </w:t>
      </w:r>
      <w:proofErr w:type="spellStart"/>
      <w:r w:rsidR="00000B3F" w:rsidRPr="00C35EB8">
        <w:rPr>
          <w:sz w:val="24"/>
          <w:szCs w:val="24"/>
        </w:rPr>
        <w:t>labourer</w:t>
      </w:r>
      <w:proofErr w:type="spellEnd"/>
      <w:r w:rsidR="00000B3F" w:rsidRPr="00C35EB8">
        <w:rPr>
          <w:sz w:val="24"/>
          <w:szCs w:val="24"/>
        </w:rPr>
        <w:t xml:space="preserve"> for the same category of work has been observed and it is approximately 21 per cent at all India level.</w:t>
      </w:r>
    </w:p>
    <w:p w14:paraId="42F4812F" w14:textId="0B017C0D" w:rsidR="00000B3F" w:rsidRPr="00C35EB8" w:rsidRDefault="00000B3F" w:rsidP="00C35EB8">
      <w:pPr>
        <w:spacing w:line="360" w:lineRule="auto"/>
        <w:jc w:val="both"/>
        <w:rPr>
          <w:sz w:val="24"/>
          <w:szCs w:val="24"/>
        </w:rPr>
      </w:pPr>
      <w:r w:rsidRPr="00C35EB8">
        <w:rPr>
          <w:sz w:val="24"/>
          <w:szCs w:val="24"/>
        </w:rPr>
        <w:t xml:space="preserve">In </w:t>
      </w:r>
      <w:r w:rsidR="00B647E0">
        <w:rPr>
          <w:sz w:val="24"/>
          <w:szCs w:val="24"/>
        </w:rPr>
        <w:t xml:space="preserve">the </w:t>
      </w:r>
      <w:r w:rsidRPr="00C35EB8">
        <w:rPr>
          <w:sz w:val="24"/>
          <w:szCs w:val="24"/>
        </w:rPr>
        <w:t xml:space="preserve">case of skilled </w:t>
      </w:r>
      <w:proofErr w:type="spellStart"/>
      <w:r w:rsidRPr="00C35EB8">
        <w:rPr>
          <w:sz w:val="24"/>
          <w:szCs w:val="24"/>
        </w:rPr>
        <w:t>labour</w:t>
      </w:r>
      <w:proofErr w:type="spellEnd"/>
      <w:r w:rsidRPr="00C35EB8">
        <w:rPr>
          <w:sz w:val="24"/>
          <w:szCs w:val="24"/>
        </w:rPr>
        <w:t xml:space="preserve">, </w:t>
      </w:r>
      <w:r w:rsidR="00B647E0">
        <w:rPr>
          <w:sz w:val="24"/>
          <w:szCs w:val="24"/>
        </w:rPr>
        <w:t xml:space="preserve">the </w:t>
      </w:r>
      <w:r w:rsidRPr="00C35EB8">
        <w:rPr>
          <w:sz w:val="24"/>
          <w:szCs w:val="24"/>
        </w:rPr>
        <w:t>highest wage rate i.e. ₹929/day and lowest wage rate i.e. ₹295/day were paid in Kerala and Tripura respectively. At all India level, the wage rate is ₹457/day</w:t>
      </w:r>
      <w:r w:rsidR="00C35EB8" w:rsidRPr="00C35EB8">
        <w:rPr>
          <w:sz w:val="24"/>
          <w:szCs w:val="24"/>
        </w:rPr>
        <w:t xml:space="preserve">. </w:t>
      </w:r>
      <w:r w:rsidRPr="00C35EB8">
        <w:rPr>
          <w:sz w:val="24"/>
          <w:szCs w:val="24"/>
        </w:rPr>
        <w:t xml:space="preserve">In </w:t>
      </w:r>
      <w:r w:rsidR="00B647E0">
        <w:rPr>
          <w:sz w:val="24"/>
          <w:szCs w:val="24"/>
        </w:rPr>
        <w:t xml:space="preserve">the </w:t>
      </w:r>
      <w:r w:rsidRPr="00C35EB8">
        <w:rPr>
          <w:sz w:val="24"/>
          <w:szCs w:val="24"/>
        </w:rPr>
        <w:t xml:space="preserve">case of field </w:t>
      </w:r>
      <w:proofErr w:type="spellStart"/>
      <w:r w:rsidRPr="00C35EB8">
        <w:rPr>
          <w:sz w:val="24"/>
          <w:szCs w:val="24"/>
        </w:rPr>
        <w:t>labour</w:t>
      </w:r>
      <w:proofErr w:type="spellEnd"/>
      <w:r w:rsidRPr="00C35EB8">
        <w:rPr>
          <w:sz w:val="24"/>
          <w:szCs w:val="24"/>
        </w:rPr>
        <w:t xml:space="preserve"> (male), the highest paid wages (in Kerala) </w:t>
      </w:r>
      <w:r w:rsidR="00B647E0">
        <w:rPr>
          <w:sz w:val="24"/>
          <w:szCs w:val="24"/>
        </w:rPr>
        <w:t>are</w:t>
      </w:r>
      <w:r w:rsidRPr="00C35EB8">
        <w:rPr>
          <w:sz w:val="24"/>
          <w:szCs w:val="24"/>
        </w:rPr>
        <w:t xml:space="preserve"> about 221 per cent more than that of the lowest (in Chhattisgarh) and about 128 per cent more than the all India average daily wages. In </w:t>
      </w:r>
      <w:r w:rsidR="00B647E0">
        <w:rPr>
          <w:sz w:val="24"/>
          <w:szCs w:val="24"/>
        </w:rPr>
        <w:t xml:space="preserve">the </w:t>
      </w:r>
      <w:r w:rsidRPr="00C35EB8">
        <w:rPr>
          <w:sz w:val="24"/>
          <w:szCs w:val="24"/>
        </w:rPr>
        <w:t xml:space="preserve">case of female field </w:t>
      </w:r>
      <w:proofErr w:type="spellStart"/>
      <w:r w:rsidRPr="00C35EB8">
        <w:rPr>
          <w:sz w:val="24"/>
          <w:szCs w:val="24"/>
        </w:rPr>
        <w:t>labour</w:t>
      </w:r>
      <w:proofErr w:type="spellEnd"/>
      <w:r w:rsidRPr="00C35EB8">
        <w:rPr>
          <w:sz w:val="24"/>
          <w:szCs w:val="24"/>
        </w:rPr>
        <w:t xml:space="preserve">, the highest paid wages (in Kerala) also is about 212 per cent more than that of the lowest (in Chhattisgarh) and about 90 per cent more than the all India average daily wages. The very high state variations reflect the scenario of availability of </w:t>
      </w:r>
      <w:proofErr w:type="spellStart"/>
      <w:r w:rsidRPr="00C35EB8">
        <w:rPr>
          <w:sz w:val="24"/>
          <w:szCs w:val="24"/>
        </w:rPr>
        <w:t>labour</w:t>
      </w:r>
      <w:proofErr w:type="spellEnd"/>
      <w:r w:rsidRPr="00C35EB8">
        <w:rPr>
          <w:sz w:val="24"/>
          <w:szCs w:val="24"/>
        </w:rPr>
        <w:t xml:space="preserve">, arduousness of work, cost of living of the workers, geographical location of work and other factors, which play an important role in determining the wage rate in a particular state. </w:t>
      </w:r>
      <w:r w:rsidR="00B647E0">
        <w:rPr>
          <w:sz w:val="24"/>
          <w:szCs w:val="24"/>
        </w:rPr>
        <w:t>Variations</w:t>
      </w:r>
      <w:r w:rsidRPr="00C35EB8">
        <w:rPr>
          <w:sz w:val="24"/>
          <w:szCs w:val="24"/>
        </w:rPr>
        <w:t xml:space="preserve"> in wage rates between states can be explained by the interplay of market forces and </w:t>
      </w:r>
      <w:r w:rsidR="00B647E0">
        <w:rPr>
          <w:sz w:val="24"/>
          <w:szCs w:val="24"/>
        </w:rPr>
        <w:t xml:space="preserve">the </w:t>
      </w:r>
      <w:r w:rsidRPr="00C35EB8">
        <w:rPr>
          <w:sz w:val="24"/>
          <w:szCs w:val="24"/>
        </w:rPr>
        <w:t xml:space="preserve">degree of market imperfections. </w:t>
      </w:r>
    </w:p>
    <w:p w14:paraId="593DE995" w14:textId="77777777" w:rsidR="00B478F7" w:rsidRDefault="00B478F7" w:rsidP="00C35EB8">
      <w:pPr>
        <w:spacing w:line="360" w:lineRule="auto"/>
        <w:jc w:val="both"/>
        <w:rPr>
          <w:sz w:val="24"/>
          <w:szCs w:val="24"/>
        </w:rPr>
      </w:pPr>
    </w:p>
    <w:p w14:paraId="4D28A730" w14:textId="77777777" w:rsidR="00B478F7" w:rsidRDefault="00B478F7" w:rsidP="00C35EB8">
      <w:pPr>
        <w:spacing w:line="360" w:lineRule="auto"/>
        <w:jc w:val="both"/>
        <w:rPr>
          <w:sz w:val="24"/>
          <w:szCs w:val="24"/>
        </w:rPr>
      </w:pPr>
    </w:p>
    <w:p w14:paraId="1D31A837" w14:textId="77777777" w:rsidR="00B478F7" w:rsidRDefault="00B478F7" w:rsidP="00C35EB8">
      <w:pPr>
        <w:spacing w:line="360" w:lineRule="auto"/>
        <w:jc w:val="both"/>
        <w:rPr>
          <w:sz w:val="24"/>
          <w:szCs w:val="24"/>
        </w:rPr>
      </w:pPr>
    </w:p>
    <w:p w14:paraId="7E3684A0" w14:textId="77777777" w:rsidR="00B478F7" w:rsidRDefault="00B478F7" w:rsidP="00C35EB8">
      <w:pPr>
        <w:spacing w:line="360" w:lineRule="auto"/>
        <w:jc w:val="both"/>
        <w:rPr>
          <w:sz w:val="24"/>
          <w:szCs w:val="24"/>
        </w:rPr>
      </w:pPr>
    </w:p>
    <w:p w14:paraId="46DD95BF" w14:textId="77777777" w:rsidR="00B478F7" w:rsidRDefault="00B478F7" w:rsidP="00C35EB8">
      <w:pPr>
        <w:spacing w:line="360" w:lineRule="auto"/>
        <w:jc w:val="both"/>
        <w:rPr>
          <w:sz w:val="24"/>
          <w:szCs w:val="24"/>
        </w:rPr>
      </w:pPr>
    </w:p>
    <w:p w14:paraId="05E9A253" w14:textId="77777777" w:rsidR="00B478F7" w:rsidRDefault="00B478F7" w:rsidP="00C35EB8">
      <w:pPr>
        <w:spacing w:line="360" w:lineRule="auto"/>
        <w:jc w:val="both"/>
        <w:rPr>
          <w:sz w:val="24"/>
          <w:szCs w:val="24"/>
        </w:rPr>
      </w:pPr>
    </w:p>
    <w:p w14:paraId="2F0CA972" w14:textId="77777777" w:rsidR="00B478F7" w:rsidRDefault="00B478F7" w:rsidP="00C35EB8">
      <w:pPr>
        <w:spacing w:line="360" w:lineRule="auto"/>
        <w:jc w:val="both"/>
        <w:rPr>
          <w:sz w:val="24"/>
          <w:szCs w:val="24"/>
        </w:rPr>
      </w:pPr>
    </w:p>
    <w:p w14:paraId="4C59D5EE" w14:textId="6F0507E4" w:rsidR="00972B54" w:rsidRDefault="005228DA" w:rsidP="00C35EB8">
      <w:pPr>
        <w:spacing w:line="360" w:lineRule="auto"/>
        <w:jc w:val="both"/>
        <w:rPr>
          <w:sz w:val="24"/>
          <w:szCs w:val="24"/>
        </w:rPr>
      </w:pPr>
      <w:r>
        <w:rPr>
          <w:sz w:val="24"/>
          <w:szCs w:val="24"/>
        </w:rPr>
        <w:t>B</w:t>
      </w:r>
      <w:r w:rsidRPr="00895DB1">
        <w:rPr>
          <w:sz w:val="24"/>
          <w:szCs w:val="24"/>
        </w:rPr>
        <w:t xml:space="preserve">y </w:t>
      </w:r>
      <w:proofErr w:type="spellStart"/>
      <w:r w:rsidRPr="00895DB1">
        <w:rPr>
          <w:sz w:val="24"/>
          <w:szCs w:val="24"/>
        </w:rPr>
        <w:t>analysing</w:t>
      </w:r>
      <w:proofErr w:type="spellEnd"/>
      <w:r w:rsidRPr="00895DB1">
        <w:rPr>
          <w:sz w:val="24"/>
          <w:szCs w:val="24"/>
        </w:rPr>
        <w:t xml:space="preserve"> the trends and patterns of female </w:t>
      </w:r>
      <w:proofErr w:type="spellStart"/>
      <w:r w:rsidRPr="00895DB1">
        <w:rPr>
          <w:sz w:val="24"/>
          <w:szCs w:val="24"/>
        </w:rPr>
        <w:t>labourforce</w:t>
      </w:r>
      <w:proofErr w:type="spellEnd"/>
      <w:r w:rsidRPr="00895DB1">
        <w:rPr>
          <w:sz w:val="24"/>
          <w:szCs w:val="24"/>
        </w:rPr>
        <w:t xml:space="preserve">, it is argued that there is a reverse structural change in the female workforce to agriculture after 2019-20. </w:t>
      </w:r>
      <w:r w:rsidR="00203F0E">
        <w:rPr>
          <w:sz w:val="24"/>
          <w:szCs w:val="24"/>
        </w:rPr>
        <w:t xml:space="preserve"> </w:t>
      </w:r>
      <w:r w:rsidR="00B647E0">
        <w:rPr>
          <w:sz w:val="24"/>
          <w:szCs w:val="24"/>
        </w:rPr>
        <w:t>F</w:t>
      </w:r>
      <w:r w:rsidR="00203F0E">
        <w:rPr>
          <w:sz w:val="24"/>
          <w:szCs w:val="24"/>
        </w:rPr>
        <w:t xml:space="preserve">rom </w:t>
      </w:r>
      <w:r w:rsidR="000D0B31" w:rsidRPr="00C35EB8">
        <w:rPr>
          <w:sz w:val="24"/>
          <w:szCs w:val="24"/>
        </w:rPr>
        <w:t xml:space="preserve">during 2004-05 to 2015-16 </w:t>
      </w:r>
      <w:r w:rsidR="000D0B31">
        <w:rPr>
          <w:sz w:val="24"/>
          <w:szCs w:val="24"/>
        </w:rPr>
        <w:t xml:space="preserve">FLFPR declined by </w:t>
      </w:r>
      <w:r w:rsidR="000D0B31" w:rsidRPr="00C35EB8">
        <w:rPr>
          <w:sz w:val="24"/>
          <w:szCs w:val="24"/>
        </w:rPr>
        <w:t>24.9</w:t>
      </w:r>
      <w:r w:rsidR="000D0B31">
        <w:rPr>
          <w:sz w:val="24"/>
          <w:szCs w:val="24"/>
        </w:rPr>
        <w:t>.</w:t>
      </w:r>
      <w:r w:rsidR="000D0B31" w:rsidRPr="00C35EB8">
        <w:rPr>
          <w:sz w:val="24"/>
          <w:szCs w:val="24"/>
        </w:rPr>
        <w:t xml:space="preserve"> But we can see a sharp increase in female worker participation in agriculture and allied sector </w:t>
      </w:r>
      <w:r w:rsidR="000D0B31">
        <w:rPr>
          <w:sz w:val="24"/>
          <w:szCs w:val="24"/>
        </w:rPr>
        <w:t xml:space="preserve">for a </w:t>
      </w:r>
      <w:proofErr w:type="spellStart"/>
      <w:r w:rsidR="000D0B31">
        <w:rPr>
          <w:sz w:val="24"/>
          <w:szCs w:val="24"/>
        </w:rPr>
        <w:t>quinquennial</w:t>
      </w:r>
      <w:proofErr w:type="spellEnd"/>
      <w:r w:rsidR="000D0B31">
        <w:rPr>
          <w:sz w:val="24"/>
          <w:szCs w:val="24"/>
        </w:rPr>
        <w:t xml:space="preserve"> period </w:t>
      </w:r>
      <w:r w:rsidR="000D0B31" w:rsidRPr="00C35EB8">
        <w:rPr>
          <w:sz w:val="24"/>
          <w:szCs w:val="24"/>
        </w:rPr>
        <w:t>during 2015-16 to 202</w:t>
      </w:r>
      <w:r w:rsidR="000D0B31">
        <w:rPr>
          <w:sz w:val="24"/>
          <w:szCs w:val="24"/>
        </w:rPr>
        <w:t>1</w:t>
      </w:r>
      <w:r w:rsidR="000D0B31" w:rsidRPr="00C35EB8">
        <w:rPr>
          <w:sz w:val="24"/>
          <w:szCs w:val="24"/>
        </w:rPr>
        <w:t>-2</w:t>
      </w:r>
      <w:r w:rsidR="000D0B31">
        <w:rPr>
          <w:sz w:val="24"/>
          <w:szCs w:val="24"/>
        </w:rPr>
        <w:t>2</w:t>
      </w:r>
      <w:r w:rsidR="000D0B31" w:rsidRPr="00C35EB8">
        <w:rPr>
          <w:sz w:val="24"/>
          <w:szCs w:val="24"/>
        </w:rPr>
        <w:t xml:space="preserve"> in Kerala </w:t>
      </w:r>
      <w:r w:rsidR="000D0B31">
        <w:rPr>
          <w:sz w:val="24"/>
          <w:szCs w:val="24"/>
        </w:rPr>
        <w:t xml:space="preserve">by 8.6 </w:t>
      </w:r>
      <w:r w:rsidR="000D0B31" w:rsidRPr="00C35EB8">
        <w:rPr>
          <w:sz w:val="24"/>
          <w:szCs w:val="24"/>
        </w:rPr>
        <w:t>per cent</w:t>
      </w:r>
      <w:r w:rsidR="000D0B31">
        <w:rPr>
          <w:sz w:val="24"/>
          <w:szCs w:val="24"/>
        </w:rPr>
        <w:t xml:space="preserve"> and 9 per cent for a single period 2021-22 to 2022-23</w:t>
      </w:r>
      <w:r w:rsidR="000D0B31" w:rsidRPr="00C35EB8">
        <w:rPr>
          <w:sz w:val="24"/>
          <w:szCs w:val="24"/>
        </w:rPr>
        <w:t xml:space="preserve">. </w:t>
      </w:r>
      <w:r w:rsidRPr="00895DB1">
        <w:rPr>
          <w:sz w:val="24"/>
          <w:szCs w:val="24"/>
        </w:rPr>
        <w:t xml:space="preserve">It is probably distress driven. In other words, it can be argued that there is an increasing female </w:t>
      </w:r>
      <w:proofErr w:type="spellStart"/>
      <w:r w:rsidRPr="00895DB1">
        <w:rPr>
          <w:sz w:val="24"/>
          <w:szCs w:val="24"/>
        </w:rPr>
        <w:t>labourforce</w:t>
      </w:r>
      <w:proofErr w:type="spellEnd"/>
      <w:r w:rsidRPr="00895DB1">
        <w:rPr>
          <w:sz w:val="24"/>
          <w:szCs w:val="24"/>
        </w:rPr>
        <w:t xml:space="preserve"> participation during the period of </w:t>
      </w:r>
      <w:proofErr w:type="spellStart"/>
      <w:r>
        <w:rPr>
          <w:sz w:val="24"/>
          <w:szCs w:val="24"/>
        </w:rPr>
        <w:t>C</w:t>
      </w:r>
      <w:r w:rsidRPr="00895DB1">
        <w:rPr>
          <w:sz w:val="24"/>
          <w:szCs w:val="24"/>
        </w:rPr>
        <w:t>ovid</w:t>
      </w:r>
      <w:proofErr w:type="spellEnd"/>
      <w:r w:rsidRPr="00895DB1">
        <w:rPr>
          <w:sz w:val="24"/>
          <w:szCs w:val="24"/>
        </w:rPr>
        <w:t xml:space="preserve"> to the agriculture sector. But they are not returning to other sectors in the post </w:t>
      </w:r>
      <w:proofErr w:type="spellStart"/>
      <w:r>
        <w:rPr>
          <w:sz w:val="24"/>
          <w:szCs w:val="24"/>
        </w:rPr>
        <w:t>C</w:t>
      </w:r>
      <w:r w:rsidRPr="00895DB1">
        <w:rPr>
          <w:sz w:val="24"/>
          <w:szCs w:val="24"/>
        </w:rPr>
        <w:t>ovid</w:t>
      </w:r>
      <w:proofErr w:type="spellEnd"/>
      <w:r>
        <w:rPr>
          <w:sz w:val="24"/>
          <w:szCs w:val="24"/>
        </w:rPr>
        <w:t xml:space="preserve"> period</w:t>
      </w:r>
      <w:r w:rsidRPr="00895DB1">
        <w:rPr>
          <w:sz w:val="24"/>
          <w:szCs w:val="24"/>
        </w:rPr>
        <w:t>. They were continui</w:t>
      </w:r>
      <w:r>
        <w:rPr>
          <w:sz w:val="24"/>
          <w:szCs w:val="24"/>
        </w:rPr>
        <w:t xml:space="preserve">ng in the </w:t>
      </w:r>
      <w:r w:rsidRPr="00895DB1">
        <w:rPr>
          <w:sz w:val="24"/>
          <w:szCs w:val="24"/>
        </w:rPr>
        <w:t>low paid agriculture sector</w:t>
      </w:r>
      <w:r w:rsidR="00714F6B" w:rsidRPr="00C35EB8">
        <w:rPr>
          <w:sz w:val="24"/>
          <w:szCs w:val="24"/>
        </w:rPr>
        <w:t>.</w:t>
      </w:r>
      <w:r w:rsidR="00714F6B">
        <w:rPr>
          <w:sz w:val="24"/>
          <w:szCs w:val="24"/>
        </w:rPr>
        <w:t xml:space="preserve"> </w:t>
      </w:r>
      <w:r w:rsidR="00BD5899" w:rsidRPr="004D0ADA">
        <w:rPr>
          <w:sz w:val="24"/>
          <w:szCs w:val="24"/>
        </w:rPr>
        <w:t xml:space="preserve">Although women </w:t>
      </w:r>
      <w:r w:rsidR="00BD5899">
        <w:rPr>
          <w:sz w:val="24"/>
          <w:szCs w:val="24"/>
        </w:rPr>
        <w:t>shift</w:t>
      </w:r>
      <w:r w:rsidR="00BD5899" w:rsidRPr="004D0ADA">
        <w:rPr>
          <w:sz w:val="24"/>
          <w:szCs w:val="24"/>
        </w:rPr>
        <w:t xml:space="preserve"> into the agricultural sector, there is a large gender gap in wages</w:t>
      </w:r>
      <w:r w:rsidR="00BD5899">
        <w:rPr>
          <w:sz w:val="24"/>
          <w:szCs w:val="24"/>
        </w:rPr>
        <w:t xml:space="preserve"> in Kerala. </w:t>
      </w:r>
      <w:r w:rsidR="00BD5899" w:rsidRPr="00C35EB8">
        <w:rPr>
          <w:sz w:val="24"/>
          <w:szCs w:val="24"/>
        </w:rPr>
        <w:t>The majority of women workers belong to scheduled castes and scheduled tribe communities.</w:t>
      </w:r>
      <w:r w:rsidR="00BD5899">
        <w:rPr>
          <w:sz w:val="24"/>
          <w:szCs w:val="24"/>
        </w:rPr>
        <w:t xml:space="preserve"> The majority of illiterate women are employed in the farm sector. It can be concluded that, as higher education attaining there is a tendency to adopt non-farm employment. </w:t>
      </w:r>
      <w:r w:rsidR="00BD5899" w:rsidRPr="00C35EB8">
        <w:rPr>
          <w:sz w:val="24"/>
          <w:szCs w:val="24"/>
        </w:rPr>
        <w:t xml:space="preserve">The lowest expenditure quintile group depends more heavily </w:t>
      </w:r>
      <w:r w:rsidR="00BD5899">
        <w:rPr>
          <w:sz w:val="24"/>
          <w:szCs w:val="24"/>
        </w:rPr>
        <w:t>on</w:t>
      </w:r>
      <w:r w:rsidR="00BD5899" w:rsidRPr="00C35EB8">
        <w:rPr>
          <w:sz w:val="24"/>
          <w:szCs w:val="24"/>
        </w:rPr>
        <w:t xml:space="preserve"> agriculture and allied sectors than higher quintile groups, and employment among </w:t>
      </w:r>
      <w:r w:rsidR="00BD5899">
        <w:rPr>
          <w:sz w:val="24"/>
          <w:szCs w:val="24"/>
        </w:rPr>
        <w:t xml:space="preserve">the </w:t>
      </w:r>
      <w:r w:rsidR="00BD5899" w:rsidRPr="00C35EB8">
        <w:rPr>
          <w:sz w:val="24"/>
          <w:szCs w:val="24"/>
        </w:rPr>
        <w:t>non-farm sector is higher among higher quintile groups.</w:t>
      </w:r>
      <w:r w:rsidR="00BD5899">
        <w:rPr>
          <w:sz w:val="24"/>
          <w:szCs w:val="24"/>
        </w:rPr>
        <w:t xml:space="preserve"> </w:t>
      </w:r>
      <w:commentRangeEnd w:id="15"/>
      <w:r w:rsidR="00312C81">
        <w:rPr>
          <w:rStyle w:val="CommentReference"/>
        </w:rPr>
        <w:commentReference w:id="15"/>
      </w:r>
    </w:p>
    <w:p w14:paraId="6CBB662D" w14:textId="77777777" w:rsidR="00D60FE7" w:rsidRDefault="00D60FE7" w:rsidP="00C35EB8">
      <w:pPr>
        <w:spacing w:line="360" w:lineRule="auto"/>
        <w:jc w:val="both"/>
        <w:rPr>
          <w:sz w:val="24"/>
          <w:szCs w:val="24"/>
        </w:rPr>
      </w:pPr>
    </w:p>
    <w:p w14:paraId="08A91D4B" w14:textId="5D5EF309" w:rsidR="00F66FFD" w:rsidRPr="00F12192" w:rsidRDefault="00F66FFD" w:rsidP="00C35EB8">
      <w:pPr>
        <w:spacing w:line="360" w:lineRule="auto"/>
        <w:jc w:val="both"/>
        <w:rPr>
          <w:b/>
          <w:sz w:val="24"/>
          <w:szCs w:val="24"/>
        </w:rPr>
      </w:pPr>
      <w:r w:rsidRPr="00F12192">
        <w:rPr>
          <w:b/>
          <w:sz w:val="24"/>
          <w:szCs w:val="24"/>
        </w:rPr>
        <w:t>Reference</w:t>
      </w:r>
      <w:r w:rsidR="00F12192" w:rsidRPr="00F12192">
        <w:rPr>
          <w:b/>
          <w:sz w:val="24"/>
          <w:szCs w:val="24"/>
        </w:rPr>
        <w:t>s</w:t>
      </w:r>
    </w:p>
    <w:p w14:paraId="4D591109" w14:textId="77777777" w:rsidR="00F66FFD" w:rsidRDefault="00F66FFD" w:rsidP="00C35EB8">
      <w:pPr>
        <w:spacing w:line="360" w:lineRule="auto"/>
        <w:jc w:val="both"/>
        <w:rPr>
          <w:sz w:val="24"/>
          <w:szCs w:val="24"/>
        </w:rPr>
      </w:pPr>
    </w:p>
    <w:p w14:paraId="78126F85" w14:textId="33B188CB" w:rsidR="00D60FE7" w:rsidRPr="00F515DF" w:rsidRDefault="00D60FE7" w:rsidP="00D60FE7">
      <w:pPr>
        <w:pStyle w:val="ListParagraph"/>
        <w:numPr>
          <w:ilvl w:val="0"/>
          <w:numId w:val="4"/>
        </w:numPr>
        <w:spacing w:line="360" w:lineRule="auto"/>
        <w:jc w:val="both"/>
        <w:rPr>
          <w:sz w:val="24"/>
          <w:szCs w:val="24"/>
        </w:rPr>
      </w:pPr>
      <w:commentRangeStart w:id="16"/>
      <w:r w:rsidRPr="00F515DF">
        <w:rPr>
          <w:color w:val="222222"/>
          <w:sz w:val="24"/>
          <w:szCs w:val="24"/>
          <w:shd w:val="clear" w:color="auto" w:fill="FFFFFF"/>
        </w:rPr>
        <w:t>Abraham, V. (2009). Employment growth in rural India: distress-driven</w:t>
      </w:r>
      <w:proofErr w:type="gramStart"/>
      <w:r w:rsidRPr="00F515DF">
        <w:rPr>
          <w:color w:val="222222"/>
          <w:sz w:val="24"/>
          <w:szCs w:val="24"/>
          <w:shd w:val="clear" w:color="auto" w:fill="FFFFFF"/>
        </w:rPr>
        <w:t>?.</w:t>
      </w:r>
      <w:proofErr w:type="gramEnd"/>
      <w:r w:rsidRPr="00F515DF">
        <w:rPr>
          <w:color w:val="222222"/>
          <w:sz w:val="24"/>
          <w:szCs w:val="24"/>
          <w:shd w:val="clear" w:color="auto" w:fill="FFFFFF"/>
        </w:rPr>
        <w:t> </w:t>
      </w:r>
      <w:r w:rsidRPr="00F515DF">
        <w:rPr>
          <w:i/>
          <w:iCs/>
          <w:color w:val="222222"/>
          <w:sz w:val="24"/>
          <w:szCs w:val="24"/>
          <w:shd w:val="clear" w:color="auto" w:fill="FFFFFF"/>
        </w:rPr>
        <w:t>Economic and Political Weekly</w:t>
      </w:r>
      <w:r w:rsidRPr="00F515DF">
        <w:rPr>
          <w:color w:val="222222"/>
          <w:sz w:val="24"/>
          <w:szCs w:val="24"/>
          <w:shd w:val="clear" w:color="auto" w:fill="FFFFFF"/>
        </w:rPr>
        <w:t>, 97-104.</w:t>
      </w:r>
    </w:p>
    <w:p w14:paraId="4BA8F213" w14:textId="3B678D5C" w:rsidR="00292698" w:rsidRPr="00292698" w:rsidRDefault="00D60FE7" w:rsidP="00292698">
      <w:pPr>
        <w:pStyle w:val="ListParagraph"/>
        <w:numPr>
          <w:ilvl w:val="0"/>
          <w:numId w:val="4"/>
        </w:numPr>
        <w:spacing w:line="360" w:lineRule="auto"/>
        <w:jc w:val="both"/>
        <w:rPr>
          <w:sz w:val="24"/>
          <w:szCs w:val="24"/>
        </w:rPr>
      </w:pPr>
      <w:r w:rsidRPr="00F515DF">
        <w:rPr>
          <w:color w:val="222222"/>
          <w:sz w:val="24"/>
          <w:szCs w:val="24"/>
          <w:shd w:val="clear" w:color="auto" w:fill="FFFFFF"/>
        </w:rPr>
        <w:t xml:space="preserve">Abraham, V. (2013). Missing </w:t>
      </w:r>
      <w:proofErr w:type="spellStart"/>
      <w:r w:rsidRPr="00F515DF">
        <w:rPr>
          <w:color w:val="222222"/>
          <w:sz w:val="24"/>
          <w:szCs w:val="24"/>
          <w:shd w:val="clear" w:color="auto" w:fill="FFFFFF"/>
        </w:rPr>
        <w:t>Labour</w:t>
      </w:r>
      <w:proofErr w:type="spellEnd"/>
      <w:r w:rsidRPr="00F515DF">
        <w:rPr>
          <w:color w:val="222222"/>
          <w:sz w:val="24"/>
          <w:szCs w:val="24"/>
          <w:shd w:val="clear" w:color="auto" w:fill="FFFFFF"/>
        </w:rPr>
        <w:t xml:space="preserve"> or Consistent" De-</w:t>
      </w:r>
      <w:proofErr w:type="spellStart"/>
      <w:r w:rsidRPr="00F515DF">
        <w:rPr>
          <w:color w:val="222222"/>
          <w:sz w:val="24"/>
          <w:szCs w:val="24"/>
          <w:shd w:val="clear" w:color="auto" w:fill="FFFFFF"/>
        </w:rPr>
        <w:t>Feminisation</w:t>
      </w:r>
      <w:proofErr w:type="spellEnd"/>
      <w:r w:rsidRPr="00F515DF">
        <w:rPr>
          <w:color w:val="222222"/>
          <w:sz w:val="24"/>
          <w:szCs w:val="24"/>
          <w:shd w:val="clear" w:color="auto" w:fill="FFFFFF"/>
        </w:rPr>
        <w:t>"</w:t>
      </w:r>
      <w:proofErr w:type="gramStart"/>
      <w:r w:rsidRPr="00F515DF">
        <w:rPr>
          <w:color w:val="222222"/>
          <w:sz w:val="24"/>
          <w:szCs w:val="24"/>
          <w:shd w:val="clear" w:color="auto" w:fill="FFFFFF"/>
        </w:rPr>
        <w:t>?.</w:t>
      </w:r>
      <w:proofErr w:type="gramEnd"/>
      <w:r w:rsidRPr="00F515DF">
        <w:rPr>
          <w:color w:val="222222"/>
          <w:sz w:val="24"/>
          <w:szCs w:val="24"/>
          <w:shd w:val="clear" w:color="auto" w:fill="FFFFFF"/>
        </w:rPr>
        <w:t> </w:t>
      </w:r>
      <w:r w:rsidRPr="00F515DF">
        <w:rPr>
          <w:i/>
          <w:iCs/>
          <w:color w:val="222222"/>
          <w:sz w:val="24"/>
          <w:szCs w:val="24"/>
          <w:shd w:val="clear" w:color="auto" w:fill="FFFFFF"/>
        </w:rPr>
        <w:t>Economic and Political Weekly</w:t>
      </w:r>
      <w:r w:rsidRPr="00F515DF">
        <w:rPr>
          <w:color w:val="222222"/>
          <w:sz w:val="24"/>
          <w:szCs w:val="24"/>
          <w:shd w:val="clear" w:color="auto" w:fill="FFFFFF"/>
        </w:rPr>
        <w:t>, 99-108.</w:t>
      </w:r>
    </w:p>
    <w:p w14:paraId="0EA6D60C" w14:textId="6B0DAB78" w:rsidR="00292698" w:rsidRPr="00292698" w:rsidRDefault="00292698" w:rsidP="00292698">
      <w:pPr>
        <w:pStyle w:val="ListParagraph"/>
        <w:numPr>
          <w:ilvl w:val="0"/>
          <w:numId w:val="4"/>
        </w:numPr>
        <w:spacing w:line="360" w:lineRule="auto"/>
        <w:jc w:val="both"/>
        <w:rPr>
          <w:sz w:val="24"/>
          <w:szCs w:val="24"/>
        </w:rPr>
      </w:pPr>
      <w:r>
        <w:rPr>
          <w:color w:val="222222"/>
          <w:sz w:val="24"/>
          <w:szCs w:val="24"/>
          <w:shd w:val="clear" w:color="auto" w:fill="FFFFFF"/>
        </w:rPr>
        <w:t xml:space="preserve">Kumar et al., 2020. Rural Non-Farm Employment in Eastern India: Implications for Economic Well-being. Indian Journal of </w:t>
      </w:r>
      <w:proofErr w:type="spellStart"/>
      <w:r>
        <w:rPr>
          <w:color w:val="222222"/>
          <w:sz w:val="24"/>
          <w:szCs w:val="24"/>
          <w:shd w:val="clear" w:color="auto" w:fill="FFFFFF"/>
        </w:rPr>
        <w:t>Labour</w:t>
      </w:r>
      <w:proofErr w:type="spellEnd"/>
      <w:r>
        <w:rPr>
          <w:color w:val="222222"/>
          <w:sz w:val="24"/>
          <w:szCs w:val="24"/>
          <w:shd w:val="clear" w:color="auto" w:fill="FFFFFF"/>
        </w:rPr>
        <w:t xml:space="preserve"> Economics, 657-676</w:t>
      </w:r>
    </w:p>
    <w:p w14:paraId="589E7660" w14:textId="24176ECB" w:rsidR="00F66FFD" w:rsidRPr="00F515DF" w:rsidRDefault="00D60FE7" w:rsidP="00D818BF">
      <w:pPr>
        <w:pStyle w:val="ListParagraph"/>
        <w:numPr>
          <w:ilvl w:val="0"/>
          <w:numId w:val="4"/>
        </w:numPr>
        <w:spacing w:line="360" w:lineRule="auto"/>
        <w:jc w:val="both"/>
        <w:rPr>
          <w:sz w:val="24"/>
          <w:szCs w:val="24"/>
        </w:rPr>
      </w:pPr>
      <w:proofErr w:type="spellStart"/>
      <w:r w:rsidRPr="00F515DF">
        <w:rPr>
          <w:color w:val="222222"/>
          <w:sz w:val="24"/>
          <w:szCs w:val="24"/>
          <w:shd w:val="clear" w:color="auto" w:fill="FFFFFF"/>
        </w:rPr>
        <w:t>Arun</w:t>
      </w:r>
      <w:proofErr w:type="spellEnd"/>
      <w:r w:rsidRPr="00F515DF">
        <w:rPr>
          <w:color w:val="222222"/>
          <w:sz w:val="24"/>
          <w:szCs w:val="24"/>
          <w:shd w:val="clear" w:color="auto" w:fill="FFFFFF"/>
        </w:rPr>
        <w:t>, S. (2012). ‘We are farmers too’: agrarian change and gendered livelihoods in Kerala, South India. </w:t>
      </w:r>
      <w:r w:rsidRPr="00F515DF">
        <w:rPr>
          <w:i/>
          <w:iCs/>
          <w:color w:val="222222"/>
          <w:sz w:val="24"/>
          <w:szCs w:val="24"/>
          <w:shd w:val="clear" w:color="auto" w:fill="FFFFFF"/>
        </w:rPr>
        <w:t>Journal of Gender Studies</w:t>
      </w:r>
      <w:r w:rsidRPr="00F515DF">
        <w:rPr>
          <w:color w:val="222222"/>
          <w:sz w:val="24"/>
          <w:szCs w:val="24"/>
          <w:shd w:val="clear" w:color="auto" w:fill="FFFFFF"/>
        </w:rPr>
        <w:t>, </w:t>
      </w:r>
      <w:r w:rsidRPr="00F515DF">
        <w:rPr>
          <w:i/>
          <w:iCs/>
          <w:color w:val="222222"/>
          <w:sz w:val="24"/>
          <w:szCs w:val="24"/>
          <w:shd w:val="clear" w:color="auto" w:fill="FFFFFF"/>
        </w:rPr>
        <w:t>21</w:t>
      </w:r>
      <w:r w:rsidRPr="00F515DF">
        <w:rPr>
          <w:color w:val="222222"/>
          <w:sz w:val="24"/>
          <w:szCs w:val="24"/>
          <w:shd w:val="clear" w:color="auto" w:fill="FFFFFF"/>
        </w:rPr>
        <w:t>(3), 271-284.</w:t>
      </w:r>
    </w:p>
    <w:p w14:paraId="092B6748" w14:textId="0706D8C5" w:rsidR="00D60FE7" w:rsidRPr="00F515DF" w:rsidRDefault="00D60FE7" w:rsidP="00D60FE7">
      <w:pPr>
        <w:pStyle w:val="ListParagraph"/>
        <w:numPr>
          <w:ilvl w:val="0"/>
          <w:numId w:val="4"/>
        </w:numPr>
        <w:spacing w:line="360" w:lineRule="auto"/>
        <w:jc w:val="both"/>
        <w:rPr>
          <w:sz w:val="24"/>
          <w:szCs w:val="24"/>
        </w:rPr>
      </w:pPr>
      <w:r w:rsidRPr="00F515DF">
        <w:rPr>
          <w:color w:val="222222"/>
          <w:sz w:val="24"/>
          <w:szCs w:val="24"/>
          <w:shd w:val="clear" w:color="auto" w:fill="FFFFFF"/>
        </w:rPr>
        <w:t xml:space="preserve">Chattopadhyay, S., &amp; Chowdhury, S. (2022). Female </w:t>
      </w:r>
      <w:proofErr w:type="spellStart"/>
      <w:r w:rsidRPr="00F515DF">
        <w:rPr>
          <w:color w:val="222222"/>
          <w:sz w:val="24"/>
          <w:szCs w:val="24"/>
          <w:shd w:val="clear" w:color="auto" w:fill="FFFFFF"/>
        </w:rPr>
        <w:t>Labour</w:t>
      </w:r>
      <w:proofErr w:type="spellEnd"/>
      <w:r w:rsidRPr="00F515DF">
        <w:rPr>
          <w:color w:val="222222"/>
          <w:sz w:val="24"/>
          <w:szCs w:val="24"/>
          <w:shd w:val="clear" w:color="auto" w:fill="FFFFFF"/>
        </w:rPr>
        <w:t xml:space="preserve"> Force Participation in India: An Empirical Study. </w:t>
      </w:r>
      <w:r w:rsidRPr="00F515DF">
        <w:rPr>
          <w:i/>
          <w:iCs/>
          <w:color w:val="222222"/>
          <w:sz w:val="24"/>
          <w:szCs w:val="24"/>
          <w:shd w:val="clear" w:color="auto" w:fill="FFFFFF"/>
        </w:rPr>
        <w:t xml:space="preserve">The Indian Journal of </w:t>
      </w:r>
      <w:proofErr w:type="spellStart"/>
      <w:r w:rsidRPr="00F515DF">
        <w:rPr>
          <w:i/>
          <w:iCs/>
          <w:color w:val="222222"/>
          <w:sz w:val="24"/>
          <w:szCs w:val="24"/>
          <w:shd w:val="clear" w:color="auto" w:fill="FFFFFF"/>
        </w:rPr>
        <w:t>Labour</w:t>
      </w:r>
      <w:proofErr w:type="spellEnd"/>
      <w:r w:rsidRPr="00F515DF">
        <w:rPr>
          <w:i/>
          <w:iCs/>
          <w:color w:val="222222"/>
          <w:sz w:val="24"/>
          <w:szCs w:val="24"/>
          <w:shd w:val="clear" w:color="auto" w:fill="FFFFFF"/>
        </w:rPr>
        <w:t xml:space="preserve"> Economics</w:t>
      </w:r>
      <w:r w:rsidRPr="00F515DF">
        <w:rPr>
          <w:color w:val="222222"/>
          <w:sz w:val="24"/>
          <w:szCs w:val="24"/>
          <w:shd w:val="clear" w:color="auto" w:fill="FFFFFF"/>
        </w:rPr>
        <w:t>, </w:t>
      </w:r>
      <w:r w:rsidRPr="00F515DF">
        <w:rPr>
          <w:i/>
          <w:iCs/>
          <w:color w:val="222222"/>
          <w:sz w:val="24"/>
          <w:szCs w:val="24"/>
          <w:shd w:val="clear" w:color="auto" w:fill="FFFFFF"/>
        </w:rPr>
        <w:t>65</w:t>
      </w:r>
      <w:r w:rsidRPr="00F515DF">
        <w:rPr>
          <w:color w:val="222222"/>
          <w:sz w:val="24"/>
          <w:szCs w:val="24"/>
          <w:shd w:val="clear" w:color="auto" w:fill="FFFFFF"/>
        </w:rPr>
        <w:t>(1), 59-83.</w:t>
      </w:r>
    </w:p>
    <w:p w14:paraId="2CB69F83" w14:textId="608D9C49" w:rsidR="00D60FE7" w:rsidRPr="00F515DF" w:rsidRDefault="00D60FE7" w:rsidP="00D60FE7">
      <w:pPr>
        <w:pStyle w:val="ListParagraph"/>
        <w:numPr>
          <w:ilvl w:val="0"/>
          <w:numId w:val="4"/>
        </w:numPr>
        <w:spacing w:line="360" w:lineRule="auto"/>
        <w:jc w:val="both"/>
        <w:rPr>
          <w:sz w:val="24"/>
          <w:szCs w:val="24"/>
        </w:rPr>
      </w:pPr>
      <w:r w:rsidRPr="00F515DF">
        <w:rPr>
          <w:color w:val="222222"/>
          <w:sz w:val="24"/>
          <w:szCs w:val="24"/>
          <w:shd w:val="clear" w:color="auto" w:fill="FFFFFF"/>
        </w:rPr>
        <w:t>Ghosh, M., &amp; Ghosh, A. (2014). Analysis of women participation in Indian agriculture. </w:t>
      </w:r>
      <w:r w:rsidRPr="00F515DF">
        <w:rPr>
          <w:i/>
          <w:iCs/>
          <w:color w:val="222222"/>
          <w:sz w:val="24"/>
          <w:szCs w:val="24"/>
          <w:shd w:val="clear" w:color="auto" w:fill="FFFFFF"/>
        </w:rPr>
        <w:t xml:space="preserve">IOSR J. Human. Soc. </w:t>
      </w:r>
      <w:proofErr w:type="spellStart"/>
      <w:r w:rsidRPr="00F515DF">
        <w:rPr>
          <w:i/>
          <w:iCs/>
          <w:color w:val="222222"/>
          <w:sz w:val="24"/>
          <w:szCs w:val="24"/>
          <w:shd w:val="clear" w:color="auto" w:fill="FFFFFF"/>
        </w:rPr>
        <w:t>Sci</w:t>
      </w:r>
      <w:proofErr w:type="spellEnd"/>
      <w:r w:rsidRPr="00F515DF">
        <w:rPr>
          <w:color w:val="222222"/>
          <w:sz w:val="24"/>
          <w:szCs w:val="24"/>
          <w:shd w:val="clear" w:color="auto" w:fill="FFFFFF"/>
        </w:rPr>
        <w:t>, </w:t>
      </w:r>
      <w:r w:rsidRPr="00F515DF">
        <w:rPr>
          <w:i/>
          <w:iCs/>
          <w:color w:val="222222"/>
          <w:sz w:val="24"/>
          <w:szCs w:val="24"/>
          <w:shd w:val="clear" w:color="auto" w:fill="FFFFFF"/>
        </w:rPr>
        <w:t>19</w:t>
      </w:r>
      <w:r w:rsidRPr="00F515DF">
        <w:rPr>
          <w:color w:val="222222"/>
          <w:sz w:val="24"/>
          <w:szCs w:val="24"/>
          <w:shd w:val="clear" w:color="auto" w:fill="FFFFFF"/>
        </w:rPr>
        <w:t>(5), 1-6.</w:t>
      </w:r>
    </w:p>
    <w:p w14:paraId="32022FBF" w14:textId="32B3296D" w:rsidR="00D60FE7" w:rsidRPr="00F515DF" w:rsidRDefault="00D60FE7" w:rsidP="00D818BF">
      <w:pPr>
        <w:pStyle w:val="ListParagraph"/>
        <w:numPr>
          <w:ilvl w:val="0"/>
          <w:numId w:val="4"/>
        </w:numPr>
        <w:spacing w:line="360" w:lineRule="auto"/>
        <w:jc w:val="both"/>
        <w:rPr>
          <w:sz w:val="24"/>
          <w:szCs w:val="24"/>
        </w:rPr>
      </w:pPr>
      <w:proofErr w:type="spellStart"/>
      <w:r w:rsidRPr="00F515DF">
        <w:rPr>
          <w:color w:val="222222"/>
          <w:sz w:val="24"/>
          <w:szCs w:val="24"/>
          <w:shd w:val="clear" w:color="auto" w:fill="FFFFFF"/>
        </w:rPr>
        <w:t>Mehrotra</w:t>
      </w:r>
      <w:proofErr w:type="spellEnd"/>
      <w:r w:rsidRPr="00F515DF">
        <w:rPr>
          <w:color w:val="222222"/>
          <w:sz w:val="24"/>
          <w:szCs w:val="24"/>
          <w:shd w:val="clear" w:color="auto" w:fill="FFFFFF"/>
        </w:rPr>
        <w:t xml:space="preserve">, S., &amp; Sinha, S. (2017). Explaining falling female employment during a high </w:t>
      </w:r>
      <w:r w:rsidRPr="00F515DF">
        <w:rPr>
          <w:color w:val="222222"/>
          <w:sz w:val="24"/>
          <w:szCs w:val="24"/>
          <w:shd w:val="clear" w:color="auto" w:fill="FFFFFF"/>
        </w:rPr>
        <w:lastRenderedPageBreak/>
        <w:t>growth period. </w:t>
      </w:r>
      <w:r w:rsidRPr="00F515DF">
        <w:rPr>
          <w:i/>
          <w:iCs/>
          <w:color w:val="222222"/>
          <w:sz w:val="24"/>
          <w:szCs w:val="24"/>
          <w:shd w:val="clear" w:color="auto" w:fill="FFFFFF"/>
        </w:rPr>
        <w:t>Economic and Political Weekly</w:t>
      </w:r>
      <w:r w:rsidRPr="00F515DF">
        <w:rPr>
          <w:color w:val="222222"/>
          <w:sz w:val="24"/>
          <w:szCs w:val="24"/>
          <w:shd w:val="clear" w:color="auto" w:fill="FFFFFF"/>
        </w:rPr>
        <w:t>, 54-62.</w:t>
      </w:r>
    </w:p>
    <w:p w14:paraId="02DEBD19" w14:textId="41E6C887" w:rsidR="00202AB6" w:rsidRPr="00BC5E77" w:rsidRDefault="00202AB6" w:rsidP="00202AB6">
      <w:pPr>
        <w:pStyle w:val="ListParagraph"/>
        <w:numPr>
          <w:ilvl w:val="0"/>
          <w:numId w:val="4"/>
        </w:numPr>
        <w:spacing w:line="360" w:lineRule="auto"/>
        <w:jc w:val="both"/>
        <w:rPr>
          <w:sz w:val="24"/>
          <w:szCs w:val="24"/>
        </w:rPr>
      </w:pPr>
      <w:proofErr w:type="spellStart"/>
      <w:r w:rsidRPr="003F3489">
        <w:rPr>
          <w:color w:val="222222"/>
          <w:sz w:val="24"/>
          <w:szCs w:val="24"/>
          <w:shd w:val="clear" w:color="auto" w:fill="FFFFFF"/>
        </w:rPr>
        <w:t>Neetha</w:t>
      </w:r>
      <w:proofErr w:type="spellEnd"/>
      <w:r w:rsidRPr="003F3489">
        <w:rPr>
          <w:color w:val="222222"/>
          <w:sz w:val="24"/>
          <w:szCs w:val="24"/>
          <w:shd w:val="clear" w:color="auto" w:fill="FFFFFF"/>
        </w:rPr>
        <w:t>, N. (2013). Inequalities reinforced? Social groups, gender and employment.</w:t>
      </w:r>
    </w:p>
    <w:p w14:paraId="2DC7E10B" w14:textId="20C373C2" w:rsidR="00BC5E77" w:rsidRPr="00BC5E77" w:rsidRDefault="00BC5E77" w:rsidP="00BA38D6">
      <w:pPr>
        <w:pStyle w:val="ListParagraph"/>
        <w:numPr>
          <w:ilvl w:val="0"/>
          <w:numId w:val="4"/>
        </w:numPr>
        <w:spacing w:line="360" w:lineRule="auto"/>
        <w:jc w:val="both"/>
        <w:rPr>
          <w:sz w:val="24"/>
          <w:szCs w:val="24"/>
        </w:rPr>
      </w:pPr>
      <w:r w:rsidRPr="00BC5E77">
        <w:rPr>
          <w:color w:val="222222"/>
          <w:sz w:val="24"/>
          <w:szCs w:val="24"/>
          <w:shd w:val="clear" w:color="auto" w:fill="FFFFFF"/>
        </w:rPr>
        <w:t xml:space="preserve">Prakash, B. A. (2009). </w:t>
      </w:r>
      <w:r w:rsidR="00694BF0">
        <w:rPr>
          <w:sz w:val="24"/>
          <w:szCs w:val="24"/>
        </w:rPr>
        <w:t>Socio–economic</w:t>
      </w:r>
      <w:r w:rsidRPr="00BC5E77">
        <w:rPr>
          <w:sz w:val="24"/>
          <w:szCs w:val="24"/>
        </w:rPr>
        <w:t xml:space="preserve"> conditions of female agricultural workers a study at </w:t>
      </w:r>
      <w:r>
        <w:rPr>
          <w:sz w:val="24"/>
          <w:szCs w:val="24"/>
        </w:rPr>
        <w:t>P</w:t>
      </w:r>
      <w:r w:rsidRPr="00BC5E77">
        <w:rPr>
          <w:sz w:val="24"/>
          <w:szCs w:val="24"/>
        </w:rPr>
        <w:t xml:space="preserve">alakkad and </w:t>
      </w:r>
      <w:proofErr w:type="spellStart"/>
      <w:r>
        <w:rPr>
          <w:sz w:val="24"/>
          <w:szCs w:val="24"/>
        </w:rPr>
        <w:t>K</w:t>
      </w:r>
      <w:r w:rsidRPr="00BC5E77">
        <w:rPr>
          <w:sz w:val="24"/>
          <w:szCs w:val="24"/>
        </w:rPr>
        <w:t>uttanad</w:t>
      </w:r>
      <w:proofErr w:type="spellEnd"/>
      <w:r w:rsidRPr="00BC5E77">
        <w:rPr>
          <w:sz w:val="24"/>
          <w:szCs w:val="24"/>
        </w:rPr>
        <w:t>.</w:t>
      </w:r>
    </w:p>
    <w:p w14:paraId="452C26F0" w14:textId="46FB325C" w:rsidR="00202AB6" w:rsidRPr="00BC5E77" w:rsidRDefault="00202AB6" w:rsidP="00BA38D6">
      <w:pPr>
        <w:pStyle w:val="ListParagraph"/>
        <w:numPr>
          <w:ilvl w:val="0"/>
          <w:numId w:val="4"/>
        </w:numPr>
        <w:spacing w:line="360" w:lineRule="auto"/>
        <w:jc w:val="both"/>
        <w:rPr>
          <w:sz w:val="24"/>
          <w:szCs w:val="24"/>
        </w:rPr>
      </w:pPr>
      <w:r w:rsidRPr="00BC5E77">
        <w:rPr>
          <w:sz w:val="24"/>
          <w:szCs w:val="24"/>
        </w:rPr>
        <w:t>Agricultural Wages in India 2020-21, Government of India</w:t>
      </w:r>
    </w:p>
    <w:p w14:paraId="5D5ECB99" w14:textId="1730C617" w:rsidR="00F515DF" w:rsidRPr="00F515DF" w:rsidRDefault="00F515DF" w:rsidP="00D818BF">
      <w:pPr>
        <w:pStyle w:val="ListParagraph"/>
        <w:numPr>
          <w:ilvl w:val="0"/>
          <w:numId w:val="4"/>
        </w:numPr>
        <w:spacing w:line="360" w:lineRule="auto"/>
        <w:jc w:val="both"/>
        <w:rPr>
          <w:sz w:val="24"/>
          <w:szCs w:val="24"/>
        </w:rPr>
      </w:pPr>
      <w:r w:rsidRPr="00F515DF">
        <w:rPr>
          <w:sz w:val="24"/>
          <w:szCs w:val="24"/>
        </w:rPr>
        <w:t>Economic Review (2018), Government of Kerala</w:t>
      </w:r>
    </w:p>
    <w:p w14:paraId="08F632AA" w14:textId="657FF6A2" w:rsidR="00292698" w:rsidRPr="00292698" w:rsidRDefault="00292698" w:rsidP="00292698">
      <w:pPr>
        <w:pStyle w:val="ListParagraph"/>
        <w:numPr>
          <w:ilvl w:val="0"/>
          <w:numId w:val="4"/>
        </w:numPr>
        <w:spacing w:line="360" w:lineRule="auto"/>
        <w:jc w:val="both"/>
        <w:rPr>
          <w:sz w:val="24"/>
          <w:szCs w:val="24"/>
        </w:rPr>
      </w:pPr>
      <w:r w:rsidRPr="00F515DF">
        <w:rPr>
          <w:sz w:val="24"/>
          <w:szCs w:val="24"/>
        </w:rPr>
        <w:t>Economic Review (2</w:t>
      </w:r>
      <w:r>
        <w:rPr>
          <w:sz w:val="24"/>
          <w:szCs w:val="24"/>
        </w:rPr>
        <w:t>022</w:t>
      </w:r>
      <w:r w:rsidRPr="00F515DF">
        <w:rPr>
          <w:sz w:val="24"/>
          <w:szCs w:val="24"/>
        </w:rPr>
        <w:t>), Government of Kerala</w:t>
      </w:r>
    </w:p>
    <w:p w14:paraId="3EEB690E" w14:textId="64C587C3" w:rsidR="00D60FE7" w:rsidRPr="00F515DF" w:rsidRDefault="00D60FE7" w:rsidP="00D818BF">
      <w:pPr>
        <w:pStyle w:val="ListParagraph"/>
        <w:numPr>
          <w:ilvl w:val="0"/>
          <w:numId w:val="4"/>
        </w:numPr>
        <w:spacing w:line="360" w:lineRule="auto"/>
        <w:jc w:val="both"/>
        <w:rPr>
          <w:sz w:val="24"/>
          <w:szCs w:val="24"/>
        </w:rPr>
      </w:pPr>
      <w:r w:rsidRPr="00F515DF">
        <w:rPr>
          <w:sz w:val="24"/>
          <w:szCs w:val="24"/>
        </w:rPr>
        <w:t>NSSO (</w:t>
      </w:r>
      <w:r w:rsidR="00F515DF" w:rsidRPr="00F515DF">
        <w:rPr>
          <w:sz w:val="24"/>
          <w:szCs w:val="24"/>
        </w:rPr>
        <w:t>2004-05</w:t>
      </w:r>
      <w:r w:rsidRPr="00F515DF">
        <w:rPr>
          <w:sz w:val="24"/>
          <w:szCs w:val="24"/>
        </w:rPr>
        <w:t xml:space="preserve">), </w:t>
      </w:r>
      <w:r w:rsidR="00F515DF" w:rsidRPr="00F515DF">
        <w:rPr>
          <w:sz w:val="24"/>
          <w:szCs w:val="24"/>
        </w:rPr>
        <w:t>Employment and Unemployment Survey (2004-05)</w:t>
      </w:r>
      <w:r w:rsidRPr="00F515DF">
        <w:rPr>
          <w:sz w:val="24"/>
          <w:szCs w:val="24"/>
        </w:rPr>
        <w:t>, New Delhi: National Sample Survey organization.</w:t>
      </w:r>
    </w:p>
    <w:p w14:paraId="3306B98F" w14:textId="75A8E4D7" w:rsidR="00F515DF" w:rsidRPr="00F515DF" w:rsidRDefault="00F515DF" w:rsidP="00F515DF">
      <w:pPr>
        <w:pStyle w:val="ListParagraph"/>
        <w:numPr>
          <w:ilvl w:val="0"/>
          <w:numId w:val="4"/>
        </w:numPr>
        <w:spacing w:line="360" w:lineRule="auto"/>
        <w:jc w:val="both"/>
        <w:rPr>
          <w:sz w:val="24"/>
          <w:szCs w:val="24"/>
        </w:rPr>
      </w:pPr>
      <w:r w:rsidRPr="00F515DF">
        <w:rPr>
          <w:sz w:val="24"/>
          <w:szCs w:val="24"/>
        </w:rPr>
        <w:t>NSSO (2015-16), Employment and Unemployment Survey (2015-16), New Delhi: National Sample Survey organization.</w:t>
      </w:r>
    </w:p>
    <w:p w14:paraId="6543ADC0" w14:textId="158405C9" w:rsidR="00F515DF" w:rsidRPr="00F515DF" w:rsidRDefault="00F515DF" w:rsidP="00F515DF">
      <w:pPr>
        <w:pStyle w:val="ListParagraph"/>
        <w:numPr>
          <w:ilvl w:val="0"/>
          <w:numId w:val="4"/>
        </w:numPr>
        <w:spacing w:line="360" w:lineRule="auto"/>
        <w:jc w:val="both"/>
        <w:rPr>
          <w:sz w:val="24"/>
          <w:szCs w:val="24"/>
        </w:rPr>
      </w:pPr>
      <w:r w:rsidRPr="00F515DF">
        <w:rPr>
          <w:sz w:val="24"/>
          <w:szCs w:val="24"/>
        </w:rPr>
        <w:t xml:space="preserve">NSSO (2017-2023), Periodic </w:t>
      </w:r>
      <w:proofErr w:type="spellStart"/>
      <w:r w:rsidRPr="00F515DF">
        <w:rPr>
          <w:sz w:val="24"/>
          <w:szCs w:val="24"/>
        </w:rPr>
        <w:t>Labour</w:t>
      </w:r>
      <w:proofErr w:type="spellEnd"/>
      <w:r w:rsidRPr="00F515DF">
        <w:rPr>
          <w:sz w:val="24"/>
          <w:szCs w:val="24"/>
        </w:rPr>
        <w:t xml:space="preserve"> Force Survey, New Delhi: National Sample Survey organization.</w:t>
      </w:r>
      <w:commentRangeEnd w:id="16"/>
      <w:r w:rsidR="00312C81">
        <w:rPr>
          <w:rStyle w:val="CommentReference"/>
        </w:rPr>
        <w:commentReference w:id="16"/>
      </w:r>
    </w:p>
    <w:sectPr w:rsidR="00F515DF" w:rsidRPr="00F515DF">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Babloo Jakhar" w:date="2025-09-26T15:54:00Z" w:initials="BJ">
    <w:p w14:paraId="23722319" w14:textId="47AC6473" w:rsidR="00312C81" w:rsidRDefault="00312C81">
      <w:pPr>
        <w:pStyle w:val="CommentText"/>
      </w:pPr>
      <w:r>
        <w:rPr>
          <w:rStyle w:val="CommentReference"/>
        </w:rPr>
        <w:annotationRef/>
      </w:r>
      <w:r>
        <w:t>Title should be revised. It employed data from EUS and other PLFS.</w:t>
      </w:r>
    </w:p>
  </w:comment>
  <w:comment w:id="2" w:author="Babloo Jakhar" w:date="2025-09-26T15:54:00Z" w:initials="BJ">
    <w:p w14:paraId="3B967010" w14:textId="0E754958" w:rsidR="00312C81" w:rsidRDefault="00312C81">
      <w:pPr>
        <w:pStyle w:val="CommentText"/>
      </w:pPr>
      <w:r>
        <w:rPr>
          <w:rStyle w:val="CommentReference"/>
        </w:rPr>
        <w:annotationRef/>
      </w:r>
      <w:r>
        <w:t>It should be in a proper structure: Aim of study, methodology, results, and conclusions.</w:t>
      </w:r>
    </w:p>
  </w:comment>
  <w:comment w:id="4" w:author="Babloo Jakhar" w:date="2025-09-26T16:05:00Z" w:initials="BJ">
    <w:p w14:paraId="6B427332" w14:textId="2EE6132F" w:rsidR="00884D88" w:rsidRDefault="00884D88">
      <w:pPr>
        <w:pStyle w:val="CommentText"/>
      </w:pPr>
      <w:r>
        <w:rPr>
          <w:rStyle w:val="CommentReference"/>
        </w:rPr>
        <w:annotationRef/>
      </w:r>
      <w:r>
        <w:t>There is no connection with structure of the paper.</w:t>
      </w:r>
    </w:p>
  </w:comment>
  <w:comment w:id="5" w:author="Babloo Jakhar" w:date="2025-09-26T15:56:00Z" w:initials="BJ">
    <w:p w14:paraId="448B7089" w14:textId="556230BF" w:rsidR="00312C81" w:rsidRDefault="00312C81">
      <w:pPr>
        <w:pStyle w:val="CommentText"/>
      </w:pPr>
      <w:r>
        <w:rPr>
          <w:rStyle w:val="CommentReference"/>
        </w:rPr>
        <w:annotationRef/>
      </w:r>
      <w:r>
        <w:t>Incomplete methodology. Also mention about sources of data and proper arrangements and tools used.</w:t>
      </w:r>
    </w:p>
  </w:comment>
  <w:comment w:id="6" w:author="Babloo Jakhar" w:date="2025-09-26T15:57:00Z" w:initials="BJ">
    <w:p w14:paraId="32F4F37E" w14:textId="247492D5" w:rsidR="00312C81" w:rsidRDefault="00312C81">
      <w:pPr>
        <w:pStyle w:val="CommentText"/>
      </w:pPr>
      <w:r>
        <w:rPr>
          <w:rStyle w:val="CommentReference"/>
        </w:rPr>
        <w:annotationRef/>
      </w:r>
      <w:r>
        <w:t>Proper formatting of Table required.</w:t>
      </w:r>
    </w:p>
  </w:comment>
  <w:comment w:id="9" w:author="Babloo Jakhar" w:date="2025-09-26T16:04:00Z" w:initials="BJ">
    <w:p w14:paraId="1A0C4B8D" w14:textId="1B2D8C49" w:rsidR="00884D88" w:rsidRDefault="00884D88">
      <w:pPr>
        <w:pStyle w:val="CommentText"/>
      </w:pPr>
      <w:r>
        <w:rPr>
          <w:rStyle w:val="CommentReference"/>
        </w:rPr>
        <w:annotationRef/>
      </w:r>
      <w:r>
        <w:t>?</w:t>
      </w:r>
    </w:p>
  </w:comment>
  <w:comment w:id="10" w:author="Babloo Jakhar" w:date="2025-09-26T16:04:00Z" w:initials="BJ">
    <w:p w14:paraId="1F6B9A9D" w14:textId="1FADD7F4" w:rsidR="00884D88" w:rsidRDefault="00884D88">
      <w:pPr>
        <w:pStyle w:val="CommentText"/>
      </w:pPr>
      <w:r>
        <w:rPr>
          <w:rStyle w:val="CommentReference"/>
        </w:rPr>
        <w:annotationRef/>
      </w:r>
      <w:r>
        <w:t>?</w:t>
      </w:r>
    </w:p>
  </w:comment>
  <w:comment w:id="11" w:author="Babloo Jakhar" w:date="2025-09-26T16:04:00Z" w:initials="BJ">
    <w:p w14:paraId="3D6B8A90" w14:textId="2DD6AB05" w:rsidR="00884D88" w:rsidRDefault="00884D88">
      <w:pPr>
        <w:pStyle w:val="CommentText"/>
      </w:pPr>
      <w:r>
        <w:rPr>
          <w:rStyle w:val="CommentReference"/>
        </w:rPr>
        <w:annotationRef/>
      </w:r>
      <w:r>
        <w:t>?</w:t>
      </w:r>
    </w:p>
  </w:comment>
  <w:comment w:id="12" w:author="Babloo Jakhar" w:date="2025-09-26T16:03:00Z" w:initials="BJ">
    <w:p w14:paraId="70AA723E" w14:textId="7CDAF859" w:rsidR="00961CAE" w:rsidRDefault="00961CAE">
      <w:pPr>
        <w:pStyle w:val="CommentText"/>
      </w:pPr>
      <w:r>
        <w:rPr>
          <w:rStyle w:val="CommentReference"/>
        </w:rPr>
        <w:annotationRef/>
      </w:r>
      <w:r>
        <w:t>Two of them is missing in reference list</w:t>
      </w:r>
    </w:p>
  </w:comment>
  <w:comment w:id="13" w:author="Babloo Jakhar" w:date="2025-09-26T15:58:00Z" w:initials="BJ">
    <w:p w14:paraId="2731CB19" w14:textId="05F40419" w:rsidR="00312C81" w:rsidRDefault="00312C81">
      <w:pPr>
        <w:pStyle w:val="CommentText"/>
      </w:pPr>
      <w:r>
        <w:rPr>
          <w:rStyle w:val="CommentReference"/>
        </w:rPr>
        <w:annotationRef/>
      </w:r>
      <w:r>
        <w:t xml:space="preserve">Definition of Farm and </w:t>
      </w:r>
      <w:proofErr w:type="spellStart"/>
      <w:r>
        <w:t>Non_farm</w:t>
      </w:r>
      <w:proofErr w:type="spellEnd"/>
      <w:r>
        <w:t xml:space="preserve"> activities/ </w:t>
      </w:r>
      <w:proofErr w:type="spellStart"/>
      <w:proofErr w:type="gramStart"/>
      <w:r>
        <w:t>Labourer</w:t>
      </w:r>
      <w:proofErr w:type="spellEnd"/>
      <w:r>
        <w:t>.?????</w:t>
      </w:r>
      <w:proofErr w:type="gramEnd"/>
    </w:p>
  </w:comment>
  <w:comment w:id="14" w:author="Babloo Jakhar" w:date="2025-09-26T16:01:00Z" w:initials="BJ">
    <w:p w14:paraId="6213CDF7" w14:textId="254E4B67" w:rsidR="00312C81" w:rsidRDefault="00312C81">
      <w:pPr>
        <w:pStyle w:val="CommentText"/>
      </w:pPr>
      <w:r>
        <w:rPr>
          <w:rStyle w:val="CommentReference"/>
        </w:rPr>
        <w:annotationRef/>
      </w:r>
      <w:r>
        <w:t>Not available in reference list</w:t>
      </w:r>
    </w:p>
  </w:comment>
  <w:comment w:id="15" w:author="Babloo Jakhar" w:date="2025-09-26T15:59:00Z" w:initials="BJ">
    <w:p w14:paraId="7D4DDF49" w14:textId="0AFF9BA3" w:rsidR="00312C81" w:rsidRDefault="00312C81">
      <w:pPr>
        <w:pStyle w:val="CommentText"/>
      </w:pPr>
      <w:r>
        <w:rPr>
          <w:rStyle w:val="CommentReference"/>
        </w:rPr>
        <w:annotationRef/>
      </w:r>
      <w:r>
        <w:t>Conclusion section is missing.</w:t>
      </w:r>
    </w:p>
  </w:comment>
  <w:comment w:id="16" w:author="Babloo Jakhar" w:date="2025-09-26T16:00:00Z" w:initials="BJ">
    <w:p w14:paraId="0B028007" w14:textId="14322074" w:rsidR="00312C81" w:rsidRDefault="00312C81">
      <w:pPr>
        <w:pStyle w:val="CommentText"/>
      </w:pPr>
      <w:r>
        <w:rPr>
          <w:rStyle w:val="CommentReference"/>
        </w:rPr>
        <w:annotationRef/>
      </w:r>
      <w:r>
        <w:t>Should be arranged according to journal requirements.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3722319" w15:done="0"/>
  <w15:commentEx w15:paraId="3B967010" w15:done="0"/>
  <w15:commentEx w15:paraId="6B427332" w15:done="0"/>
  <w15:commentEx w15:paraId="448B7089" w15:done="0"/>
  <w15:commentEx w15:paraId="32F4F37E" w15:done="0"/>
  <w15:commentEx w15:paraId="1A0C4B8D" w15:done="0"/>
  <w15:commentEx w15:paraId="1F6B9A9D" w15:done="0"/>
  <w15:commentEx w15:paraId="3D6B8A90" w15:done="0"/>
  <w15:commentEx w15:paraId="70AA723E" w15:done="0"/>
  <w15:commentEx w15:paraId="2731CB19" w15:done="0"/>
  <w15:commentEx w15:paraId="6213CDF7" w15:done="0"/>
  <w15:commentEx w15:paraId="7D4DDF49" w15:done="0"/>
  <w15:commentEx w15:paraId="0B02800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0BACB91" w16cex:dateUtc="2025-09-26T10:24:00Z"/>
  <w16cex:commentExtensible w16cex:durableId="6F8913A9" w16cex:dateUtc="2025-09-26T10:24:00Z"/>
  <w16cex:commentExtensible w16cex:durableId="2B7DF82F" w16cex:dateUtc="2025-09-26T10:35:00Z"/>
  <w16cex:commentExtensible w16cex:durableId="1AA68616" w16cex:dateUtc="2025-09-26T10:35:00Z"/>
  <w16cex:commentExtensible w16cex:durableId="61F750ED" w16cex:dateUtc="2025-09-26T10:26:00Z"/>
  <w16cex:commentExtensible w16cex:durableId="31723129" w16cex:dateUtc="2025-09-26T10:27:00Z"/>
  <w16cex:commentExtensible w16cex:durableId="04A3121E" w16cex:dateUtc="2025-09-26T10:34:00Z"/>
  <w16cex:commentExtensible w16cex:durableId="3331A5D1" w16cex:dateUtc="2025-09-26T10:34:00Z"/>
  <w16cex:commentExtensible w16cex:durableId="0A286A8A" w16cex:dateUtc="2025-09-26T10:34:00Z"/>
  <w16cex:commentExtensible w16cex:durableId="6FE5C792" w16cex:dateUtc="2025-09-26T10:33:00Z"/>
  <w16cex:commentExtensible w16cex:durableId="2256FF99" w16cex:dateUtc="2025-09-26T10:28:00Z"/>
  <w16cex:commentExtensible w16cex:durableId="5D37CD73" w16cex:dateUtc="2025-09-26T10:31:00Z"/>
  <w16cex:commentExtensible w16cex:durableId="54450AF6" w16cex:dateUtc="2025-09-26T10:29:00Z"/>
  <w16cex:commentExtensible w16cex:durableId="5BCCC5D1" w16cex:dateUtc="2025-09-26T10:3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3722319" w16cid:durableId="30BACB91"/>
  <w16cid:commentId w16cid:paraId="3B967010" w16cid:durableId="6F8913A9"/>
  <w16cid:commentId w16cid:paraId="4B7AC877" w16cid:durableId="2B7DF82F"/>
  <w16cid:commentId w16cid:paraId="6B427332" w16cid:durableId="1AA68616"/>
  <w16cid:commentId w16cid:paraId="448B7089" w16cid:durableId="61F750ED"/>
  <w16cid:commentId w16cid:paraId="32F4F37E" w16cid:durableId="31723129"/>
  <w16cid:commentId w16cid:paraId="1A0C4B8D" w16cid:durableId="04A3121E"/>
  <w16cid:commentId w16cid:paraId="1F6B9A9D" w16cid:durableId="3331A5D1"/>
  <w16cid:commentId w16cid:paraId="3D6B8A90" w16cid:durableId="0A286A8A"/>
  <w16cid:commentId w16cid:paraId="70AA723E" w16cid:durableId="6FE5C792"/>
  <w16cid:commentId w16cid:paraId="2731CB19" w16cid:durableId="2256FF99"/>
  <w16cid:commentId w16cid:paraId="6213CDF7" w16cid:durableId="5D37CD73"/>
  <w16cid:commentId w16cid:paraId="7D4DDF49" w16cid:durableId="54450AF6"/>
  <w16cid:commentId w16cid:paraId="0B028007" w16cid:durableId="5BCCC5D1"/>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48E579" w14:textId="77777777" w:rsidR="00656D18" w:rsidRDefault="00656D18" w:rsidP="00833257">
      <w:r>
        <w:separator/>
      </w:r>
    </w:p>
  </w:endnote>
  <w:endnote w:type="continuationSeparator" w:id="0">
    <w:p w14:paraId="33EAFA1C" w14:textId="77777777" w:rsidR="00656D18" w:rsidRDefault="00656D18" w:rsidP="008332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3EDF4E" w14:textId="77777777" w:rsidR="00756A19" w:rsidRDefault="00756A1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DCFAD9" w14:textId="77777777" w:rsidR="00CA1E22" w:rsidRDefault="00CA1E2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3C2167" w14:textId="77777777" w:rsidR="00756A19" w:rsidRDefault="00756A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26D7C8" w14:textId="77777777" w:rsidR="00656D18" w:rsidRDefault="00656D18" w:rsidP="00833257">
      <w:r>
        <w:separator/>
      </w:r>
    </w:p>
  </w:footnote>
  <w:footnote w:type="continuationSeparator" w:id="0">
    <w:p w14:paraId="43195B9B" w14:textId="77777777" w:rsidR="00656D18" w:rsidRDefault="00656D18" w:rsidP="008332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A3474D" w14:textId="1E69946E" w:rsidR="00756A19" w:rsidRDefault="00656D18">
    <w:pPr>
      <w:pStyle w:val="Header"/>
    </w:pPr>
    <w:r>
      <w:rPr>
        <w:noProof/>
      </w:rPr>
      <w:pict w14:anchorId="57D195B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21576016" o:spid="_x0000_s2050" type="#_x0000_t136" style="position:absolute;margin-left:0;margin-top:0;width:586.8pt;height:65.2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314FDC" w14:textId="2178514A" w:rsidR="00756A19" w:rsidRDefault="00656D18">
    <w:pPr>
      <w:pStyle w:val="Header"/>
    </w:pPr>
    <w:r>
      <w:rPr>
        <w:noProof/>
      </w:rPr>
      <w:pict w14:anchorId="2D5498D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21576017" o:spid="_x0000_s2051" type="#_x0000_t136" style="position:absolute;margin-left:0;margin-top:0;width:586.8pt;height:65.2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5D35D2" w14:textId="1CB42969" w:rsidR="00756A19" w:rsidRDefault="00656D18">
    <w:pPr>
      <w:pStyle w:val="Header"/>
    </w:pPr>
    <w:r>
      <w:rPr>
        <w:noProof/>
      </w:rPr>
      <w:pict w14:anchorId="14B5C78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21576015" o:spid="_x0000_s2049" type="#_x0000_t136" style="position:absolute;margin-left:0;margin-top:0;width:586.8pt;height:65.2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30037C"/>
    <w:multiLevelType w:val="hybridMultilevel"/>
    <w:tmpl w:val="5226E50C"/>
    <w:lvl w:ilvl="0" w:tplc="40090001">
      <w:start w:val="30"/>
      <w:numFmt w:val="bullet"/>
      <w:lvlText w:val=""/>
      <w:lvlJc w:val="left"/>
      <w:pPr>
        <w:ind w:left="720" w:hanging="360"/>
      </w:pPr>
      <w:rPr>
        <w:rFonts w:ascii="Symbol" w:eastAsia="Times New Roman" w:hAnsi="Symbol"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111911F6"/>
    <w:multiLevelType w:val="hybridMultilevel"/>
    <w:tmpl w:val="2066603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2E41388F"/>
    <w:multiLevelType w:val="hybridMultilevel"/>
    <w:tmpl w:val="6656687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32D9793A"/>
    <w:multiLevelType w:val="multilevel"/>
    <w:tmpl w:val="11E84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8E12DD8"/>
    <w:multiLevelType w:val="hybridMultilevel"/>
    <w:tmpl w:val="F0C2CCE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3"/>
  </w:num>
  <w:num w:numId="2">
    <w:abstractNumId w:val="1"/>
  </w:num>
  <w:num w:numId="3">
    <w:abstractNumId w:val="2"/>
  </w:num>
  <w:num w:numId="4">
    <w:abstractNumId w:val="4"/>
  </w:num>
  <w:num w:numId="5">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Babloo Jakhar">
    <w15:presenceInfo w15:providerId="Windows Live" w15:userId="9ba4fd463185822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xMDY2NTW3NDA1MrQ0NzVU0lEKTi0uzszPAykwrAUAhawywSwAAAA="/>
  </w:docVars>
  <w:rsids>
    <w:rsidRoot w:val="00833257"/>
    <w:rsid w:val="00000B3F"/>
    <w:rsid w:val="000473B6"/>
    <w:rsid w:val="00062378"/>
    <w:rsid w:val="00065CCE"/>
    <w:rsid w:val="00081545"/>
    <w:rsid w:val="000B2CD0"/>
    <w:rsid w:val="000C04D6"/>
    <w:rsid w:val="000D0B31"/>
    <w:rsid w:val="00104116"/>
    <w:rsid w:val="00135198"/>
    <w:rsid w:val="00180314"/>
    <w:rsid w:val="00183641"/>
    <w:rsid w:val="001A221F"/>
    <w:rsid w:val="001B24CD"/>
    <w:rsid w:val="001B4C1C"/>
    <w:rsid w:val="002008B9"/>
    <w:rsid w:val="00202AB6"/>
    <w:rsid w:val="00203F0E"/>
    <w:rsid w:val="00207BC0"/>
    <w:rsid w:val="002102AB"/>
    <w:rsid w:val="002135C1"/>
    <w:rsid w:val="002746A8"/>
    <w:rsid w:val="00275050"/>
    <w:rsid w:val="00292698"/>
    <w:rsid w:val="00297567"/>
    <w:rsid w:val="002D3CD3"/>
    <w:rsid w:val="002D726D"/>
    <w:rsid w:val="002E4570"/>
    <w:rsid w:val="002E58A0"/>
    <w:rsid w:val="002F2932"/>
    <w:rsid w:val="00312C81"/>
    <w:rsid w:val="0031462F"/>
    <w:rsid w:val="00327A36"/>
    <w:rsid w:val="00335FDE"/>
    <w:rsid w:val="00340873"/>
    <w:rsid w:val="003B42A5"/>
    <w:rsid w:val="003C4F68"/>
    <w:rsid w:val="003E5495"/>
    <w:rsid w:val="003F3489"/>
    <w:rsid w:val="004012F3"/>
    <w:rsid w:val="00423895"/>
    <w:rsid w:val="0043554F"/>
    <w:rsid w:val="00442BF6"/>
    <w:rsid w:val="00451E33"/>
    <w:rsid w:val="0049398E"/>
    <w:rsid w:val="004A1F8B"/>
    <w:rsid w:val="004B0EE9"/>
    <w:rsid w:val="004D0ADA"/>
    <w:rsid w:val="004E2653"/>
    <w:rsid w:val="0050556E"/>
    <w:rsid w:val="00510DE7"/>
    <w:rsid w:val="005228DA"/>
    <w:rsid w:val="0053586C"/>
    <w:rsid w:val="00542E9B"/>
    <w:rsid w:val="00551FB7"/>
    <w:rsid w:val="005546ED"/>
    <w:rsid w:val="0055487A"/>
    <w:rsid w:val="0056345D"/>
    <w:rsid w:val="00583F8C"/>
    <w:rsid w:val="005C30C3"/>
    <w:rsid w:val="00603F66"/>
    <w:rsid w:val="00605813"/>
    <w:rsid w:val="006351E7"/>
    <w:rsid w:val="00651FB5"/>
    <w:rsid w:val="00656D18"/>
    <w:rsid w:val="00656F5A"/>
    <w:rsid w:val="0067139B"/>
    <w:rsid w:val="00694BF0"/>
    <w:rsid w:val="006B441A"/>
    <w:rsid w:val="006B61B5"/>
    <w:rsid w:val="00714F6B"/>
    <w:rsid w:val="00723DBD"/>
    <w:rsid w:val="00731939"/>
    <w:rsid w:val="00733626"/>
    <w:rsid w:val="00756A19"/>
    <w:rsid w:val="00784932"/>
    <w:rsid w:val="0079417A"/>
    <w:rsid w:val="007970C6"/>
    <w:rsid w:val="007A6316"/>
    <w:rsid w:val="007B3D7C"/>
    <w:rsid w:val="007D3F30"/>
    <w:rsid w:val="007F0797"/>
    <w:rsid w:val="00800B6F"/>
    <w:rsid w:val="00811DD0"/>
    <w:rsid w:val="00833257"/>
    <w:rsid w:val="00836BBD"/>
    <w:rsid w:val="008425F9"/>
    <w:rsid w:val="00884D88"/>
    <w:rsid w:val="008934CB"/>
    <w:rsid w:val="008B7697"/>
    <w:rsid w:val="008C24F6"/>
    <w:rsid w:val="008C534D"/>
    <w:rsid w:val="008C5916"/>
    <w:rsid w:val="008E6309"/>
    <w:rsid w:val="008E6CC6"/>
    <w:rsid w:val="008F17F0"/>
    <w:rsid w:val="008F34B6"/>
    <w:rsid w:val="008F5DF4"/>
    <w:rsid w:val="00906AEA"/>
    <w:rsid w:val="00921928"/>
    <w:rsid w:val="009276A7"/>
    <w:rsid w:val="00941B4E"/>
    <w:rsid w:val="009448A9"/>
    <w:rsid w:val="00961CAE"/>
    <w:rsid w:val="00962D5B"/>
    <w:rsid w:val="00963EFE"/>
    <w:rsid w:val="009676A7"/>
    <w:rsid w:val="00972B54"/>
    <w:rsid w:val="00994942"/>
    <w:rsid w:val="009A6BEC"/>
    <w:rsid w:val="009B27BA"/>
    <w:rsid w:val="009B5C88"/>
    <w:rsid w:val="00A003F2"/>
    <w:rsid w:val="00A01257"/>
    <w:rsid w:val="00A1555B"/>
    <w:rsid w:val="00A34912"/>
    <w:rsid w:val="00A52DC0"/>
    <w:rsid w:val="00A61EA0"/>
    <w:rsid w:val="00A67BD1"/>
    <w:rsid w:val="00A70D52"/>
    <w:rsid w:val="00AC1766"/>
    <w:rsid w:val="00AC1873"/>
    <w:rsid w:val="00AE43F9"/>
    <w:rsid w:val="00AE64D2"/>
    <w:rsid w:val="00B071E3"/>
    <w:rsid w:val="00B129BF"/>
    <w:rsid w:val="00B1410D"/>
    <w:rsid w:val="00B251D5"/>
    <w:rsid w:val="00B32097"/>
    <w:rsid w:val="00B478F7"/>
    <w:rsid w:val="00B502BD"/>
    <w:rsid w:val="00B647E0"/>
    <w:rsid w:val="00B718C2"/>
    <w:rsid w:val="00B83F03"/>
    <w:rsid w:val="00BA38D6"/>
    <w:rsid w:val="00BB1E2D"/>
    <w:rsid w:val="00BC5E77"/>
    <w:rsid w:val="00BD5899"/>
    <w:rsid w:val="00BF0985"/>
    <w:rsid w:val="00C13F00"/>
    <w:rsid w:val="00C354F6"/>
    <w:rsid w:val="00C35EB8"/>
    <w:rsid w:val="00C4704D"/>
    <w:rsid w:val="00C72E64"/>
    <w:rsid w:val="00CA1E22"/>
    <w:rsid w:val="00CC33F8"/>
    <w:rsid w:val="00CD4E9F"/>
    <w:rsid w:val="00CE12F9"/>
    <w:rsid w:val="00D129AB"/>
    <w:rsid w:val="00D35026"/>
    <w:rsid w:val="00D505C9"/>
    <w:rsid w:val="00D5583B"/>
    <w:rsid w:val="00D60A92"/>
    <w:rsid w:val="00D60FE7"/>
    <w:rsid w:val="00D7585F"/>
    <w:rsid w:val="00D818BF"/>
    <w:rsid w:val="00D86C2B"/>
    <w:rsid w:val="00DB4AE9"/>
    <w:rsid w:val="00DC7178"/>
    <w:rsid w:val="00DD0549"/>
    <w:rsid w:val="00E05F1E"/>
    <w:rsid w:val="00E2607B"/>
    <w:rsid w:val="00E60A52"/>
    <w:rsid w:val="00E91601"/>
    <w:rsid w:val="00EA09B0"/>
    <w:rsid w:val="00EA2CBA"/>
    <w:rsid w:val="00EB7E8B"/>
    <w:rsid w:val="00EE0FB8"/>
    <w:rsid w:val="00F0185B"/>
    <w:rsid w:val="00F12192"/>
    <w:rsid w:val="00F305FD"/>
    <w:rsid w:val="00F340EE"/>
    <w:rsid w:val="00F34473"/>
    <w:rsid w:val="00F450AE"/>
    <w:rsid w:val="00F50282"/>
    <w:rsid w:val="00F515DF"/>
    <w:rsid w:val="00F52AFF"/>
    <w:rsid w:val="00F66FFD"/>
    <w:rsid w:val="00F76377"/>
    <w:rsid w:val="00F766EA"/>
    <w:rsid w:val="00F85307"/>
    <w:rsid w:val="00F95B9D"/>
    <w:rsid w:val="00FA2BD0"/>
    <w:rsid w:val="00FD236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38ED5A49"/>
  <w15:chartTrackingRefBased/>
  <w15:docId w15:val="{37FC9B8D-4487-445E-9A19-6C5D62C7B7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3257"/>
    <w:pPr>
      <w:widowControl w:val="0"/>
      <w:autoSpaceDE w:val="0"/>
      <w:autoSpaceDN w:val="0"/>
      <w:spacing w:after="0" w:line="240" w:lineRule="auto"/>
    </w:pPr>
    <w:rPr>
      <w:rFonts w:ascii="Times New Roman" w:eastAsia="Times New Roman" w:hAnsi="Times New Roman" w:cs="Times New Roman"/>
      <w:lang w:val="en-US"/>
    </w:rPr>
  </w:style>
  <w:style w:type="paragraph" w:styleId="Heading1">
    <w:name w:val="heading 1"/>
    <w:basedOn w:val="Normal"/>
    <w:link w:val="Heading1Char"/>
    <w:uiPriority w:val="9"/>
    <w:qFormat/>
    <w:rsid w:val="00833257"/>
    <w:pPr>
      <w:spacing w:before="161"/>
      <w:ind w:left="100"/>
      <w:outlineLvl w:val="0"/>
    </w:pPr>
    <w:rPr>
      <w:b/>
      <w:bCs/>
      <w:sz w:val="24"/>
      <w:szCs w:val="24"/>
    </w:rPr>
  </w:style>
  <w:style w:type="paragraph" w:styleId="Heading3">
    <w:name w:val="heading 3"/>
    <w:basedOn w:val="Normal"/>
    <w:next w:val="Normal"/>
    <w:link w:val="Heading3Char"/>
    <w:uiPriority w:val="9"/>
    <w:semiHidden/>
    <w:unhideWhenUsed/>
    <w:qFormat/>
    <w:rsid w:val="007D3F30"/>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33257"/>
    <w:pPr>
      <w:tabs>
        <w:tab w:val="center" w:pos="4513"/>
        <w:tab w:val="right" w:pos="9026"/>
      </w:tabs>
    </w:pPr>
  </w:style>
  <w:style w:type="character" w:customStyle="1" w:styleId="HeaderChar">
    <w:name w:val="Header Char"/>
    <w:basedOn w:val="DefaultParagraphFont"/>
    <w:link w:val="Header"/>
    <w:uiPriority w:val="99"/>
    <w:rsid w:val="00833257"/>
    <w:rPr>
      <w:rFonts w:ascii="Times New Roman" w:eastAsia="Times New Roman" w:hAnsi="Times New Roman" w:cs="Times New Roman"/>
      <w:lang w:val="en-US"/>
    </w:rPr>
  </w:style>
  <w:style w:type="paragraph" w:styleId="Footer">
    <w:name w:val="footer"/>
    <w:basedOn w:val="Normal"/>
    <w:link w:val="FooterChar"/>
    <w:uiPriority w:val="99"/>
    <w:unhideWhenUsed/>
    <w:rsid w:val="00833257"/>
    <w:pPr>
      <w:tabs>
        <w:tab w:val="center" w:pos="4513"/>
        <w:tab w:val="right" w:pos="9026"/>
      </w:tabs>
    </w:pPr>
  </w:style>
  <w:style w:type="character" w:customStyle="1" w:styleId="FooterChar">
    <w:name w:val="Footer Char"/>
    <w:basedOn w:val="DefaultParagraphFont"/>
    <w:link w:val="Footer"/>
    <w:uiPriority w:val="99"/>
    <w:rsid w:val="00833257"/>
    <w:rPr>
      <w:rFonts w:ascii="Times New Roman" w:eastAsia="Times New Roman" w:hAnsi="Times New Roman" w:cs="Times New Roman"/>
      <w:lang w:val="en-US"/>
    </w:rPr>
  </w:style>
  <w:style w:type="paragraph" w:styleId="FootnoteText">
    <w:name w:val="footnote text"/>
    <w:basedOn w:val="Normal"/>
    <w:link w:val="FootnoteTextChar"/>
    <w:uiPriority w:val="99"/>
    <w:unhideWhenUsed/>
    <w:rsid w:val="00833257"/>
    <w:rPr>
      <w:sz w:val="20"/>
      <w:szCs w:val="20"/>
    </w:rPr>
  </w:style>
  <w:style w:type="character" w:customStyle="1" w:styleId="FootnoteTextChar">
    <w:name w:val="Footnote Text Char"/>
    <w:basedOn w:val="DefaultParagraphFont"/>
    <w:link w:val="FootnoteText"/>
    <w:uiPriority w:val="99"/>
    <w:rsid w:val="00833257"/>
    <w:rPr>
      <w:rFonts w:ascii="Times New Roman" w:eastAsia="Times New Roman" w:hAnsi="Times New Roman" w:cs="Times New Roman"/>
      <w:sz w:val="20"/>
      <w:szCs w:val="20"/>
      <w:lang w:val="en-US"/>
    </w:rPr>
  </w:style>
  <w:style w:type="character" w:styleId="FootnoteReference">
    <w:name w:val="footnote reference"/>
    <w:basedOn w:val="DefaultParagraphFont"/>
    <w:uiPriority w:val="99"/>
    <w:semiHidden/>
    <w:unhideWhenUsed/>
    <w:rsid w:val="00833257"/>
    <w:rPr>
      <w:vertAlign w:val="superscript"/>
    </w:rPr>
  </w:style>
  <w:style w:type="paragraph" w:styleId="BodyText">
    <w:name w:val="Body Text"/>
    <w:basedOn w:val="Normal"/>
    <w:link w:val="BodyTextChar"/>
    <w:uiPriority w:val="1"/>
    <w:qFormat/>
    <w:rsid w:val="00833257"/>
    <w:pPr>
      <w:ind w:left="100"/>
    </w:pPr>
    <w:rPr>
      <w:sz w:val="24"/>
      <w:szCs w:val="24"/>
    </w:rPr>
  </w:style>
  <w:style w:type="character" w:customStyle="1" w:styleId="BodyTextChar">
    <w:name w:val="Body Text Char"/>
    <w:basedOn w:val="DefaultParagraphFont"/>
    <w:link w:val="BodyText"/>
    <w:uiPriority w:val="1"/>
    <w:rsid w:val="00833257"/>
    <w:rPr>
      <w:rFonts w:ascii="Times New Roman" w:eastAsia="Times New Roman" w:hAnsi="Times New Roman" w:cs="Times New Roman"/>
      <w:sz w:val="24"/>
      <w:szCs w:val="24"/>
      <w:lang w:val="en-US"/>
    </w:rPr>
  </w:style>
  <w:style w:type="character" w:customStyle="1" w:styleId="Heading1Char">
    <w:name w:val="Heading 1 Char"/>
    <w:basedOn w:val="DefaultParagraphFont"/>
    <w:link w:val="Heading1"/>
    <w:uiPriority w:val="9"/>
    <w:rsid w:val="00833257"/>
    <w:rPr>
      <w:rFonts w:ascii="Times New Roman" w:eastAsia="Times New Roman" w:hAnsi="Times New Roman" w:cs="Times New Roman"/>
      <w:b/>
      <w:bCs/>
      <w:sz w:val="24"/>
      <w:szCs w:val="24"/>
      <w:lang w:val="en-US"/>
    </w:rPr>
  </w:style>
  <w:style w:type="table" w:styleId="TableGrid">
    <w:name w:val="Table Grid"/>
    <w:basedOn w:val="TableNormal"/>
    <w:uiPriority w:val="39"/>
    <w:rsid w:val="008E6309"/>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33626"/>
    <w:rPr>
      <w:color w:val="0563C1" w:themeColor="hyperlink"/>
      <w:u w:val="single"/>
    </w:rPr>
  </w:style>
  <w:style w:type="character" w:customStyle="1" w:styleId="UnresolvedMention1">
    <w:name w:val="Unresolved Mention1"/>
    <w:basedOn w:val="DefaultParagraphFont"/>
    <w:uiPriority w:val="99"/>
    <w:semiHidden/>
    <w:unhideWhenUsed/>
    <w:rsid w:val="00733626"/>
    <w:rPr>
      <w:color w:val="605E5C"/>
      <w:shd w:val="clear" w:color="auto" w:fill="E1DFDD"/>
    </w:rPr>
  </w:style>
  <w:style w:type="paragraph" w:styleId="ListParagraph">
    <w:name w:val="List Paragraph"/>
    <w:basedOn w:val="Normal"/>
    <w:uiPriority w:val="34"/>
    <w:qFormat/>
    <w:rsid w:val="00F66FFD"/>
    <w:pPr>
      <w:ind w:left="720"/>
      <w:contextualSpacing/>
    </w:pPr>
  </w:style>
  <w:style w:type="paragraph" w:styleId="EndnoteText">
    <w:name w:val="endnote text"/>
    <w:basedOn w:val="Normal"/>
    <w:link w:val="EndnoteTextChar"/>
    <w:uiPriority w:val="99"/>
    <w:semiHidden/>
    <w:unhideWhenUsed/>
    <w:rsid w:val="00180314"/>
    <w:rPr>
      <w:sz w:val="20"/>
      <w:szCs w:val="20"/>
    </w:rPr>
  </w:style>
  <w:style w:type="character" w:customStyle="1" w:styleId="EndnoteTextChar">
    <w:name w:val="Endnote Text Char"/>
    <w:basedOn w:val="DefaultParagraphFont"/>
    <w:link w:val="EndnoteText"/>
    <w:uiPriority w:val="99"/>
    <w:semiHidden/>
    <w:rsid w:val="00180314"/>
    <w:rPr>
      <w:rFonts w:ascii="Times New Roman" w:eastAsia="Times New Roman" w:hAnsi="Times New Roman" w:cs="Times New Roman"/>
      <w:sz w:val="20"/>
      <w:szCs w:val="20"/>
      <w:lang w:val="en-US"/>
    </w:rPr>
  </w:style>
  <w:style w:type="character" w:styleId="EndnoteReference">
    <w:name w:val="endnote reference"/>
    <w:basedOn w:val="DefaultParagraphFont"/>
    <w:uiPriority w:val="99"/>
    <w:semiHidden/>
    <w:unhideWhenUsed/>
    <w:rsid w:val="00180314"/>
    <w:rPr>
      <w:vertAlign w:val="superscript"/>
    </w:rPr>
  </w:style>
  <w:style w:type="character" w:customStyle="1" w:styleId="UnresolvedMention">
    <w:name w:val="Unresolved Mention"/>
    <w:basedOn w:val="DefaultParagraphFont"/>
    <w:uiPriority w:val="99"/>
    <w:semiHidden/>
    <w:unhideWhenUsed/>
    <w:rsid w:val="007D3F30"/>
    <w:rPr>
      <w:color w:val="605E5C"/>
      <w:shd w:val="clear" w:color="auto" w:fill="E1DFDD"/>
    </w:rPr>
  </w:style>
  <w:style w:type="character" w:customStyle="1" w:styleId="Heading3Char">
    <w:name w:val="Heading 3 Char"/>
    <w:basedOn w:val="DefaultParagraphFont"/>
    <w:link w:val="Heading3"/>
    <w:uiPriority w:val="9"/>
    <w:semiHidden/>
    <w:rsid w:val="007D3F30"/>
    <w:rPr>
      <w:rFonts w:asciiTheme="majorHAnsi" w:eastAsiaTheme="majorEastAsia" w:hAnsiTheme="majorHAnsi" w:cstheme="majorBidi"/>
      <w:color w:val="1F3763" w:themeColor="accent1" w:themeShade="7F"/>
      <w:sz w:val="24"/>
      <w:szCs w:val="24"/>
      <w:lang w:val="en-US"/>
    </w:rPr>
  </w:style>
  <w:style w:type="character" w:styleId="CommentReference">
    <w:name w:val="annotation reference"/>
    <w:basedOn w:val="DefaultParagraphFont"/>
    <w:uiPriority w:val="99"/>
    <w:semiHidden/>
    <w:unhideWhenUsed/>
    <w:rsid w:val="00312C81"/>
    <w:rPr>
      <w:sz w:val="16"/>
      <w:szCs w:val="16"/>
    </w:rPr>
  </w:style>
  <w:style w:type="paragraph" w:styleId="CommentText">
    <w:name w:val="annotation text"/>
    <w:basedOn w:val="Normal"/>
    <w:link w:val="CommentTextChar"/>
    <w:uiPriority w:val="99"/>
    <w:semiHidden/>
    <w:unhideWhenUsed/>
    <w:rsid w:val="00312C81"/>
    <w:rPr>
      <w:sz w:val="20"/>
      <w:szCs w:val="20"/>
    </w:rPr>
  </w:style>
  <w:style w:type="character" w:customStyle="1" w:styleId="CommentTextChar">
    <w:name w:val="Comment Text Char"/>
    <w:basedOn w:val="DefaultParagraphFont"/>
    <w:link w:val="CommentText"/>
    <w:uiPriority w:val="99"/>
    <w:semiHidden/>
    <w:rsid w:val="00312C81"/>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312C81"/>
    <w:rPr>
      <w:b/>
      <w:bCs/>
    </w:rPr>
  </w:style>
  <w:style w:type="character" w:customStyle="1" w:styleId="CommentSubjectChar">
    <w:name w:val="Comment Subject Char"/>
    <w:basedOn w:val="CommentTextChar"/>
    <w:link w:val="CommentSubject"/>
    <w:uiPriority w:val="99"/>
    <w:semiHidden/>
    <w:rsid w:val="00312C81"/>
    <w:rPr>
      <w:rFonts w:ascii="Times New Roman" w:eastAsia="Times New Roman" w:hAnsi="Times New Roman" w:cs="Times New Roman"/>
      <w:b/>
      <w:bCs/>
      <w:sz w:val="20"/>
      <w:szCs w:val="20"/>
      <w:lang w:val="en-US"/>
    </w:rPr>
  </w:style>
  <w:style w:type="paragraph" w:styleId="BalloonText">
    <w:name w:val="Balloon Text"/>
    <w:basedOn w:val="Normal"/>
    <w:link w:val="BalloonTextChar"/>
    <w:uiPriority w:val="99"/>
    <w:semiHidden/>
    <w:unhideWhenUsed/>
    <w:rsid w:val="00E60A5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60A52"/>
    <w:rPr>
      <w:rFonts w:ascii="Segoe UI" w:eastAsia="Times New Roman"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4241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2.xml"/><Relationship Id="rId18" Type="http://schemas.microsoft.com/office/2011/relationships/people" Target="people.xml"/><Relationship Id="rId3" Type="http://schemas.openxmlformats.org/officeDocument/2006/relationships/styles" Target="styles.xml"/><Relationship Id="rId21" Type="http://schemas.microsoft.com/office/2016/09/relationships/commentsIds" Target="commentsId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hart" Target="charts/chart1.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eader" Target="header3.xml"/></Relationships>
</file>

<file path=word/charts/_rels/chart1.xml.rels><?xml version="1.0" encoding="UTF-8" standalone="yes"?>
<Relationships xmlns="http://schemas.openxmlformats.org/package/2006/relationships"><Relationship Id="rId3" Type="http://schemas.openxmlformats.org/officeDocument/2006/relationships/oleObject" Target="../embeddings/oleObject1.bin"/><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Sheet1!$E$1</c:f>
              <c:strCache>
                <c:ptCount val="1"/>
                <c:pt idx="0">
                  <c:v>Male</c:v>
                </c:pt>
              </c:strCache>
            </c:strRef>
          </c:tx>
          <c:spPr>
            <a:ln w="38100" cap="rnd">
              <a:solidFill>
                <a:schemeClr val="accent1"/>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Sheet1!$D$2:$D$8</c:f>
              <c:strCache>
                <c:ptCount val="7"/>
                <c:pt idx="0">
                  <c:v>Illiterate</c:v>
                </c:pt>
                <c:pt idx="1">
                  <c:v>Primary</c:v>
                </c:pt>
                <c:pt idx="2">
                  <c:v>Middle</c:v>
                </c:pt>
                <c:pt idx="3">
                  <c:v>Secondary</c:v>
                </c:pt>
                <c:pt idx="4">
                  <c:v>Higher Secondary</c:v>
                </c:pt>
                <c:pt idx="5">
                  <c:v>Diploma</c:v>
                </c:pt>
                <c:pt idx="6">
                  <c:v>Graduation and above</c:v>
                </c:pt>
              </c:strCache>
            </c:strRef>
          </c:cat>
          <c:val>
            <c:numRef>
              <c:f>Sheet1!$E$2:$E$8</c:f>
              <c:numCache>
                <c:formatCode>General</c:formatCode>
                <c:ptCount val="7"/>
                <c:pt idx="0">
                  <c:v>58.4</c:v>
                </c:pt>
                <c:pt idx="1">
                  <c:v>41.4</c:v>
                </c:pt>
                <c:pt idx="2">
                  <c:v>22.2</c:v>
                </c:pt>
                <c:pt idx="3">
                  <c:v>18.399999999999999</c:v>
                </c:pt>
                <c:pt idx="4">
                  <c:v>9.6</c:v>
                </c:pt>
                <c:pt idx="5">
                  <c:v>10</c:v>
                </c:pt>
                <c:pt idx="6">
                  <c:v>7.2</c:v>
                </c:pt>
              </c:numCache>
            </c:numRef>
          </c:val>
          <c:smooth val="0"/>
          <c:extLst>
            <c:ext xmlns:c16="http://schemas.microsoft.com/office/drawing/2014/chart" uri="{C3380CC4-5D6E-409C-BE32-E72D297353CC}">
              <c16:uniqueId val="{00000000-BE1A-405E-9B10-4EF7AFE104FA}"/>
            </c:ext>
          </c:extLst>
        </c:ser>
        <c:ser>
          <c:idx val="1"/>
          <c:order val="1"/>
          <c:tx>
            <c:strRef>
              <c:f>Sheet1!$F$1</c:f>
              <c:strCache>
                <c:ptCount val="1"/>
                <c:pt idx="0">
                  <c:v>Female</c:v>
                </c:pt>
              </c:strCache>
            </c:strRef>
          </c:tx>
          <c:spPr>
            <a:ln w="38100" cap="rnd">
              <a:solidFill>
                <a:schemeClr val="accent2"/>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Sheet1!$D$2:$D$8</c:f>
              <c:strCache>
                <c:ptCount val="7"/>
                <c:pt idx="0">
                  <c:v>Illiterate</c:v>
                </c:pt>
                <c:pt idx="1">
                  <c:v>Primary</c:v>
                </c:pt>
                <c:pt idx="2">
                  <c:v>Middle</c:v>
                </c:pt>
                <c:pt idx="3">
                  <c:v>Secondary</c:v>
                </c:pt>
                <c:pt idx="4">
                  <c:v>Higher Secondary</c:v>
                </c:pt>
                <c:pt idx="5">
                  <c:v>Diploma</c:v>
                </c:pt>
                <c:pt idx="6">
                  <c:v>Graduation and above</c:v>
                </c:pt>
              </c:strCache>
            </c:strRef>
          </c:cat>
          <c:val>
            <c:numRef>
              <c:f>Sheet1!$F$2:$F$8</c:f>
              <c:numCache>
                <c:formatCode>General</c:formatCode>
                <c:ptCount val="7"/>
                <c:pt idx="0">
                  <c:v>75.88</c:v>
                </c:pt>
                <c:pt idx="1">
                  <c:v>55.04</c:v>
                </c:pt>
                <c:pt idx="2">
                  <c:v>53.63</c:v>
                </c:pt>
                <c:pt idx="3">
                  <c:v>35.44</c:v>
                </c:pt>
                <c:pt idx="4">
                  <c:v>34.64</c:v>
                </c:pt>
                <c:pt idx="5">
                  <c:v>22.74</c:v>
                </c:pt>
                <c:pt idx="6">
                  <c:v>9.86</c:v>
                </c:pt>
              </c:numCache>
            </c:numRef>
          </c:val>
          <c:smooth val="0"/>
          <c:extLst>
            <c:ext xmlns:c16="http://schemas.microsoft.com/office/drawing/2014/chart" uri="{C3380CC4-5D6E-409C-BE32-E72D297353CC}">
              <c16:uniqueId val="{00000001-BE1A-405E-9B10-4EF7AFE104FA}"/>
            </c:ext>
          </c:extLst>
        </c:ser>
        <c:dLbls>
          <c:dLblPos val="ctr"/>
          <c:showLegendKey val="0"/>
          <c:showVal val="1"/>
          <c:showCatName val="0"/>
          <c:showSerName val="0"/>
          <c:showPercent val="0"/>
          <c:showBubbleSize val="0"/>
        </c:dLbls>
        <c:smooth val="0"/>
        <c:axId val="1971606448"/>
        <c:axId val="1971287264"/>
      </c:lineChart>
      <c:catAx>
        <c:axId val="197160644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cap="none" spc="0" normalizeH="0" baseline="0">
                <a:solidFill>
                  <a:schemeClr val="tx1">
                    <a:lumMod val="65000"/>
                    <a:lumOff val="35000"/>
                  </a:schemeClr>
                </a:solidFill>
                <a:latin typeface="+mn-lt"/>
                <a:ea typeface="+mn-ea"/>
                <a:cs typeface="+mn-cs"/>
              </a:defRPr>
            </a:pPr>
            <a:endParaRPr lang="en-US"/>
          </a:p>
        </c:txPr>
        <c:crossAx val="1971287264"/>
        <c:crosses val="autoZero"/>
        <c:auto val="1"/>
        <c:lblAlgn val="ctr"/>
        <c:lblOffset val="100"/>
        <c:noMultiLvlLbl val="0"/>
      </c:catAx>
      <c:valAx>
        <c:axId val="1971287264"/>
        <c:scaling>
          <c:orientation val="minMax"/>
        </c:scaling>
        <c:delete val="0"/>
        <c:axPos val="l"/>
        <c:majorGridlines>
          <c:spPr>
            <a:ln w="9525" cap="flat" cmpd="sng" algn="ctr">
              <a:solidFill>
                <a:schemeClr val="tx1">
                  <a:lumMod val="15000"/>
                  <a:lumOff val="85000"/>
                </a:schemeClr>
              </a:solidFill>
              <a:round/>
            </a:ln>
            <a:effectLst/>
          </c:spPr>
        </c:majorGridlines>
        <c:minorGridlines>
          <c:spPr>
            <a:ln w="9525" cap="flat" cmpd="sng" algn="ctr">
              <a:solidFill>
                <a:schemeClr val="tx1">
                  <a:lumMod val="5000"/>
                  <a:lumOff val="95000"/>
                </a:schemeClr>
              </a:solidFill>
              <a:round/>
            </a:ln>
            <a:effectLst/>
          </c:spPr>
        </c:min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71606448"/>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35">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b="0" kern="1200" cap="none" spc="0" normalizeH="0" baseline="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75000"/>
        <a:lumOff val="25000"/>
      </a:schemeClr>
    </cs:fontRef>
    <cs:spPr>
      <a:solidFill>
        <a:schemeClr val="dk1">
          <a:lumMod val="15000"/>
          <a:lumOff val="85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38100"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8"/>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50000"/>
            <a:lumOff val="50000"/>
          </a:schemeClr>
        </a:solidFill>
        <a:prstDash val="dash"/>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w="9525" cap="flat" cmpd="sng" algn="ctr">
        <a:solidFill>
          <a:schemeClr val="tx1">
            <a:lumMod val="5000"/>
            <a:lumOff val="95000"/>
          </a:schemeClr>
        </a:solidFill>
        <a:round/>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ajor">
      <a:schemeClr val="tx1">
        <a:lumMod val="65000"/>
        <a:lumOff val="35000"/>
      </a:schemeClr>
    </cs:fontRef>
    <cs:defRPr sz="2000" b="0" kern="1200" cap="none" spc="0" normalizeH="0" baseline="0"/>
  </cs:title>
  <cs:trendline>
    <cs:lnRef idx="0">
      <cs:styleClr val="auto"/>
    </cs:lnRef>
    <cs:fillRef idx="0"/>
    <cs:effectRef idx="0"/>
    <cs:fontRef idx="minor">
      <a:schemeClr val="dk1"/>
    </cs:fontRef>
    <cs:spPr>
      <a:ln w="19050" cap="rnd">
        <a:solidFill>
          <a:schemeClr val="phClr"/>
        </a:solidFill>
        <a:round/>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1E66BA-4297-430B-A786-6570D21F1E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12</Pages>
  <Words>3430</Words>
  <Characters>19557</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Manjusha</dc:creator>
  <cp:keywords/>
  <dc:description/>
  <cp:lastModifiedBy>SDI CPU 1130</cp:lastModifiedBy>
  <cp:revision>11</cp:revision>
  <dcterms:created xsi:type="dcterms:W3CDTF">2025-09-23T10:31:00Z</dcterms:created>
  <dcterms:modified xsi:type="dcterms:W3CDTF">2025-09-27T06:40:00Z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7fcae21c16511c0c96e7f8eda5a5e84fb134f145af1241481ef1103a5bfa71d0</vt:lpwstr>
  </property>
</Properties>
</file>