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F2E22" w14:textId="77777777" w:rsidR="00C46C26" w:rsidRDefault="000B46E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Remittances and Growth Nexus in India: A VECM Approach</w:t>
      </w:r>
    </w:p>
    <w:p w14:paraId="742997B4" w14:textId="77777777" w:rsidR="00C46C26" w:rsidRDefault="000B46EF">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Abstract</w:t>
      </w:r>
      <w:r>
        <w:commentReference w:id="0"/>
      </w:r>
    </w:p>
    <w:p w14:paraId="3D379FC4"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w:t>
      </w:r>
      <w:commentRangeStart w:id="1"/>
      <w:r>
        <w:rPr>
          <w:rFonts w:ascii="Times New Roman" w:hAnsi="Times New Roman" w:cs="Times New Roman"/>
          <w:sz w:val="24"/>
          <w:szCs w:val="24"/>
        </w:rPr>
        <w:t xml:space="preserve">attempts </w:t>
      </w:r>
      <w:commentRangeEnd w:id="1"/>
      <w:r>
        <w:commentReference w:id="1"/>
      </w:r>
      <w:r>
        <w:rPr>
          <w:rFonts w:ascii="Times New Roman" w:hAnsi="Times New Roman" w:cs="Times New Roman"/>
          <w:sz w:val="24"/>
          <w:szCs w:val="24"/>
        </w:rPr>
        <w:t>to analyze the impact of remittances on economic growth in India in the long run as well as in the short run for the period 1980 to 2021 using annual data from the World Development Indicators (World Bank). Using the Johansen co-integration test, the resul</w:t>
      </w:r>
      <w:r>
        <w:rPr>
          <w:rFonts w:ascii="Times New Roman" w:hAnsi="Times New Roman" w:cs="Times New Roman"/>
          <w:sz w:val="24"/>
          <w:szCs w:val="24"/>
        </w:rPr>
        <w:t xml:space="preserve">t </w:t>
      </w:r>
      <w:commentRangeStart w:id="2"/>
      <w:r>
        <w:rPr>
          <w:rFonts w:ascii="Times New Roman" w:hAnsi="Times New Roman" w:cs="Times New Roman"/>
          <w:sz w:val="24"/>
          <w:szCs w:val="24"/>
        </w:rPr>
        <w:t xml:space="preserve">shows </w:t>
      </w:r>
      <w:commentRangeEnd w:id="2"/>
      <w:r>
        <w:commentReference w:id="2"/>
      </w:r>
      <w:r>
        <w:rPr>
          <w:rFonts w:ascii="Times New Roman" w:hAnsi="Times New Roman" w:cs="Times New Roman"/>
          <w:sz w:val="24"/>
          <w:szCs w:val="24"/>
        </w:rPr>
        <w:t xml:space="preserve">that there </w:t>
      </w:r>
      <w:commentRangeStart w:id="3"/>
      <w:r>
        <w:rPr>
          <w:rFonts w:ascii="Times New Roman" w:hAnsi="Times New Roman" w:cs="Times New Roman"/>
          <w:sz w:val="24"/>
          <w:szCs w:val="24"/>
        </w:rPr>
        <w:t xml:space="preserve">is </w:t>
      </w:r>
      <w:commentRangeEnd w:id="3"/>
      <w:r>
        <w:commentReference w:id="3"/>
      </w:r>
      <w:r>
        <w:rPr>
          <w:rFonts w:ascii="Times New Roman" w:hAnsi="Times New Roman" w:cs="Times New Roman"/>
          <w:sz w:val="24"/>
          <w:szCs w:val="24"/>
        </w:rPr>
        <w:t>a significant positive long-run relationship between remittances and economic growth in India. The Vector Error Correction Model (VECM) and Granger causality analysis demonstrate that remittances and capital stock have a short r</w:t>
      </w:r>
      <w:r>
        <w:rPr>
          <w:rFonts w:ascii="Times New Roman" w:hAnsi="Times New Roman" w:cs="Times New Roman"/>
          <w:sz w:val="24"/>
          <w:szCs w:val="24"/>
        </w:rPr>
        <w:t xml:space="preserve">un impact on economic growth, and from remittances to capital stock without feedback and from economic growth to capital stock. These findings indicates that remittances are a significant factor influencing India’s economic performance by promoting growth </w:t>
      </w:r>
      <w:r>
        <w:rPr>
          <w:rFonts w:ascii="Times New Roman" w:hAnsi="Times New Roman" w:cs="Times New Roman"/>
          <w:sz w:val="24"/>
          <w:szCs w:val="24"/>
        </w:rPr>
        <w:t>and capital accumulation.</w:t>
      </w:r>
    </w:p>
    <w:p w14:paraId="47032ACD" w14:textId="77777777" w:rsidR="00C46C26" w:rsidRDefault="000B46EF">
      <w:pPr>
        <w:spacing w:line="360" w:lineRule="auto"/>
        <w:jc w:val="both"/>
        <w:rPr>
          <w:rFonts w:ascii="Times New Roman" w:hAnsi="Times New Roman" w:cs="Times New Roman"/>
          <w:bCs/>
          <w:i/>
          <w:iCs/>
          <w:sz w:val="24"/>
          <w:szCs w:val="24"/>
        </w:rPr>
      </w:pPr>
      <w:r>
        <w:rPr>
          <w:rFonts w:ascii="Times New Roman" w:hAnsi="Times New Roman" w:cs="Times New Roman"/>
          <w:b/>
          <w:sz w:val="24"/>
          <w:szCs w:val="24"/>
        </w:rPr>
        <w:t xml:space="preserve">Keywords: </w:t>
      </w:r>
      <w:commentRangeStart w:id="4"/>
      <w:r>
        <w:rPr>
          <w:rFonts w:ascii="Times New Roman" w:hAnsi="Times New Roman" w:cs="Times New Roman"/>
          <w:bCs/>
          <w:i/>
          <w:iCs/>
          <w:sz w:val="24"/>
          <w:szCs w:val="24"/>
        </w:rPr>
        <w:t>Remittances, capital stock, VECM, Granger Causality, economic growth, India</w:t>
      </w:r>
      <w:commentRangeEnd w:id="4"/>
      <w:r>
        <w:commentReference w:id="4"/>
      </w:r>
    </w:p>
    <w:p w14:paraId="612AB1CF" w14:textId="77777777" w:rsidR="00C46C26" w:rsidRDefault="00C46C26">
      <w:pPr>
        <w:spacing w:line="360" w:lineRule="auto"/>
        <w:rPr>
          <w:rFonts w:ascii="Times New Roman" w:hAnsi="Times New Roman" w:cs="Times New Roman"/>
          <w:b/>
          <w:sz w:val="28"/>
          <w:szCs w:val="28"/>
        </w:rPr>
      </w:pPr>
    </w:p>
    <w:p w14:paraId="3DF44DC2" w14:textId="77777777" w:rsidR="00C46C26" w:rsidRDefault="000B46EF">
      <w:pPr>
        <w:spacing w:line="360" w:lineRule="auto"/>
        <w:rPr>
          <w:rFonts w:ascii="Times New Roman" w:hAnsi="Times New Roman" w:cs="Times New Roman"/>
          <w:b/>
          <w:bCs/>
          <w:sz w:val="28"/>
          <w:szCs w:val="28"/>
        </w:rPr>
      </w:pPr>
      <w:r>
        <w:rPr>
          <w:rFonts w:ascii="Times New Roman" w:hAnsi="Times New Roman" w:cs="Times New Roman"/>
          <w:b/>
          <w:sz w:val="28"/>
          <w:szCs w:val="28"/>
        </w:rPr>
        <w:t>I. Introduction</w:t>
      </w:r>
    </w:p>
    <w:p w14:paraId="6057D31B" w14:textId="77777777" w:rsidR="00C46C26" w:rsidRDefault="000B46E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Remittance is the significant source of external financing for developing nations (</w:t>
      </w:r>
      <w:proofErr w:type="spellStart"/>
      <w:r>
        <w:rPr>
          <w:rFonts w:ascii="Times New Roman" w:hAnsi="Times New Roman" w:cs="Times New Roman"/>
          <w:sz w:val="24"/>
          <w:szCs w:val="24"/>
        </w:rPr>
        <w:t>Ratha</w:t>
      </w:r>
      <w:proofErr w:type="spellEnd"/>
      <w:r>
        <w:rPr>
          <w:rFonts w:ascii="Times New Roman" w:hAnsi="Times New Roman" w:cs="Times New Roman"/>
          <w:sz w:val="24"/>
          <w:szCs w:val="24"/>
        </w:rPr>
        <w:t>, 2003). According to the World Migration Report 2022, there are 281 million international migrants in 2020, which is 3.6 percent of the world’s population. According t</w:t>
      </w:r>
      <w:r>
        <w:rPr>
          <w:rFonts w:ascii="Times New Roman" w:hAnsi="Times New Roman" w:cs="Times New Roman"/>
          <w:sz w:val="24"/>
          <w:szCs w:val="24"/>
        </w:rPr>
        <w:t>o the estimation of UN DESA 2021, about 35 to 40 million people relocate every five years. The number of international migrations is expected to reach 405 million by 2050, if the number of migrants keeps growing at the same rate as it has in the last two d</w:t>
      </w:r>
      <w:r>
        <w:rPr>
          <w:rFonts w:ascii="Times New Roman" w:hAnsi="Times New Roman" w:cs="Times New Roman"/>
          <w:sz w:val="24"/>
          <w:szCs w:val="24"/>
        </w:rPr>
        <w:t>ecades (United Nations, 2022). Migrants’ remittance is the vital component of the growth of developing countries. The most noticeable and immediate benefit of international migration is remittances, which migrants send back to their home countries. In gene</w:t>
      </w:r>
      <w:r>
        <w:rPr>
          <w:rFonts w:ascii="Times New Roman" w:hAnsi="Times New Roman" w:cs="Times New Roman"/>
          <w:sz w:val="24"/>
          <w:szCs w:val="24"/>
        </w:rPr>
        <w:t>ral, remittance is the money that foreign worker transfers their earnings to home country. The Indian diaspora ranks second worldwide with an estimated 30 million people currently residing outside of their home nation. It recognizes how important the India</w:t>
      </w:r>
      <w:r>
        <w:rPr>
          <w:rFonts w:ascii="Times New Roman" w:hAnsi="Times New Roman" w:cs="Times New Roman"/>
          <w:sz w:val="24"/>
          <w:szCs w:val="24"/>
        </w:rPr>
        <w:t xml:space="preserve">n diaspora is, which has helped India in several ways, including economically and globally. Remittances to India have been going up steadily, and this trend got stronger when economic reforms were put into the place in 1991 (World Bank, 2022). </w:t>
      </w:r>
    </w:p>
    <w:p w14:paraId="244AA587" w14:textId="77777777" w:rsidR="00C46C26" w:rsidRDefault="000B46E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Remittances</w:t>
      </w:r>
      <w:r>
        <w:rPr>
          <w:rFonts w:ascii="Times New Roman" w:hAnsi="Times New Roman" w:cs="Times New Roman"/>
          <w:sz w:val="24"/>
          <w:szCs w:val="24"/>
        </w:rPr>
        <w:t xml:space="preserve"> transferred outside to developing countries are increasingly the principal source of money coming into many developing countries. In most nations where emigration is frequent, remittances have already exceeded export revenues. Remittances are the second b</w:t>
      </w:r>
      <w:r>
        <w:rPr>
          <w:rFonts w:ascii="Times New Roman" w:hAnsi="Times New Roman" w:cs="Times New Roman"/>
          <w:sz w:val="24"/>
          <w:szCs w:val="24"/>
        </w:rPr>
        <w:t>iggest source of external finance for developing nations after foreign direct investment. They are worth approximately three times as much as the official development aid given to lower-income countries (United Nations, 2005).</w:t>
      </w:r>
    </w:p>
    <w:p w14:paraId="5EBCE30A" w14:textId="77777777" w:rsidR="00C46C26" w:rsidRDefault="000B46E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figure 1 shows, remittance</w:t>
      </w:r>
      <w:r>
        <w:rPr>
          <w:rFonts w:ascii="Times New Roman" w:hAnsi="Times New Roman" w:cs="Times New Roman"/>
          <w:sz w:val="24"/>
          <w:szCs w:val="24"/>
        </w:rPr>
        <w:t xml:space="preserve">s have always been higher than other types of foreign flows such as foreign direct investment (FDI) and official development assistance (ODA). The global financial crisis of 2007-08 affected foreign direct investment </w:t>
      </w:r>
      <w:commentRangeStart w:id="5"/>
      <w:r>
        <w:rPr>
          <w:rFonts w:ascii="Times New Roman" w:hAnsi="Times New Roman" w:cs="Times New Roman"/>
          <w:sz w:val="24"/>
          <w:szCs w:val="24"/>
        </w:rPr>
        <w:t>(</w:t>
      </w:r>
      <w:commentRangeEnd w:id="5"/>
      <w:r w:rsidR="00F8550D">
        <w:rPr>
          <w:rStyle w:val="CommentReference"/>
        </w:rPr>
        <w:commentReference w:id="5"/>
      </w:r>
      <w:r>
        <w:rPr>
          <w:rFonts w:ascii="Times New Roman" w:hAnsi="Times New Roman" w:cs="Times New Roman"/>
          <w:sz w:val="24"/>
          <w:szCs w:val="24"/>
        </w:rPr>
        <w:t xml:space="preserve">FDI0, </w:t>
      </w:r>
      <w:proofErr w:type="spellStart"/>
      <w:r>
        <w:rPr>
          <w:rFonts w:ascii="Times New Roman" w:hAnsi="Times New Roman" w:cs="Times New Roman"/>
          <w:sz w:val="24"/>
          <w:szCs w:val="24"/>
        </w:rPr>
        <w:t>yest</w:t>
      </w:r>
      <w:proofErr w:type="spellEnd"/>
      <w:r>
        <w:rPr>
          <w:rFonts w:ascii="Times New Roman" w:hAnsi="Times New Roman" w:cs="Times New Roman"/>
          <w:sz w:val="24"/>
          <w:szCs w:val="24"/>
        </w:rPr>
        <w:t xml:space="preserve"> remittances increased subst</w:t>
      </w:r>
      <w:r>
        <w:rPr>
          <w:rFonts w:ascii="Times New Roman" w:hAnsi="Times New Roman" w:cs="Times New Roman"/>
          <w:sz w:val="24"/>
          <w:szCs w:val="24"/>
        </w:rPr>
        <w:t>antially. In 2016, both remittances and foreign direct investment were on the decline, but they have substantially grown quickly. Remittances function more like to compensatory payments than to foreign investment flows (</w:t>
      </w:r>
      <w:proofErr w:type="spellStart"/>
      <w:r>
        <w:rPr>
          <w:rFonts w:ascii="Times New Roman" w:hAnsi="Times New Roman" w:cs="Times New Roman"/>
          <w:sz w:val="24"/>
          <w:szCs w:val="24"/>
        </w:rPr>
        <w:t>Chami</w:t>
      </w:r>
      <w:proofErr w:type="spellEnd"/>
      <w:r>
        <w:rPr>
          <w:rFonts w:ascii="Times New Roman" w:hAnsi="Times New Roman" w:cs="Times New Roman"/>
          <w:sz w:val="24"/>
          <w:szCs w:val="24"/>
        </w:rPr>
        <w:t xml:space="preserve"> et al., 2005). In contrast, Gi</w:t>
      </w:r>
      <w:r>
        <w:rPr>
          <w:rFonts w:ascii="Times New Roman" w:hAnsi="Times New Roman" w:cs="Times New Roman"/>
          <w:sz w:val="24"/>
          <w:szCs w:val="24"/>
        </w:rPr>
        <w:t>uliano et al. (2006) contended that remittances enhance the economic growth in economically disadvantaged countries by providing credit that would have been inaccessible. However, they observed an adverse link between remittance flows and economic growth i</w:t>
      </w:r>
      <w:r>
        <w:rPr>
          <w:rFonts w:ascii="Times New Roman" w:hAnsi="Times New Roman" w:cs="Times New Roman"/>
          <w:sz w:val="24"/>
          <w:szCs w:val="24"/>
        </w:rPr>
        <w:t xml:space="preserve">n nations with an adequately </w:t>
      </w:r>
      <w:commentRangeStart w:id="6"/>
      <w:commentRangeStart w:id="7"/>
      <w:r>
        <w:rPr>
          <w:rFonts w:ascii="Times New Roman" w:hAnsi="Times New Roman" w:cs="Times New Roman"/>
          <w:sz w:val="24"/>
          <w:szCs w:val="24"/>
        </w:rPr>
        <w:t>developed</w:t>
      </w:r>
      <w:commentRangeEnd w:id="6"/>
      <w:r w:rsidR="00F8550D">
        <w:rPr>
          <w:rStyle w:val="CommentReference"/>
        </w:rPr>
        <w:commentReference w:id="6"/>
      </w:r>
      <w:commentRangeEnd w:id="7"/>
      <w:r w:rsidR="00F8550D">
        <w:rPr>
          <w:rStyle w:val="CommentReference"/>
        </w:rPr>
        <w:commentReference w:id="7"/>
      </w:r>
      <w:r>
        <w:rPr>
          <w:rFonts w:ascii="Times New Roman" w:hAnsi="Times New Roman" w:cs="Times New Roman"/>
          <w:sz w:val="24"/>
          <w:szCs w:val="24"/>
        </w:rPr>
        <w:t xml:space="preserve"> in financial sector.</w:t>
      </w:r>
    </w:p>
    <w:p w14:paraId="0F5EDCEA" w14:textId="77777777" w:rsidR="00C46C26" w:rsidRDefault="000B46EF">
      <w:pPr>
        <w:spacing w:line="360" w:lineRule="auto"/>
        <w:jc w:val="both"/>
        <w:rPr>
          <w:rFonts w:ascii="Times New Roman" w:hAnsi="Times New Roman" w:cs="Times New Roman"/>
          <w:b/>
          <w:bCs/>
          <w:sz w:val="24"/>
          <w:szCs w:val="24"/>
        </w:rPr>
      </w:pPr>
      <w:r>
        <w:rPr>
          <w:rFonts w:ascii="Times New Roman" w:hAnsi="Times New Roman" w:cs="Times New Roman"/>
          <w:b/>
          <w:bCs/>
          <w:iCs/>
          <w:sz w:val="24"/>
          <w:szCs w:val="24"/>
        </w:rPr>
        <w:t>Figure 1: Remittances via-vis other foreign inflows to India 1980 to 2020 (in current $US).</w:t>
      </w:r>
      <w:r>
        <w:rPr>
          <w:rFonts w:ascii="Times New Roman" w:hAnsi="Times New Roman" w:cs="Times New Roman"/>
          <w:b/>
          <w:bCs/>
          <w:noProof/>
          <w:sz w:val="24"/>
          <w:szCs w:val="24"/>
        </w:rPr>
        <w:drawing>
          <wp:inline distT="0" distB="0" distL="0" distR="0">
            <wp:extent cx="6102350" cy="36195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DAE29" w14:textId="77777777" w:rsidR="00C46C26" w:rsidRDefault="000B46EF">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Source: World Development Indicators World Bank (2022)</w:t>
      </w:r>
    </w:p>
    <w:p w14:paraId="501F3ABA"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India's economy benefits greatly from foreign </w:t>
      </w:r>
      <w:r>
        <w:rPr>
          <w:rFonts w:ascii="Times New Roman" w:hAnsi="Times New Roman" w:cs="Times New Roman"/>
          <w:sz w:val="24"/>
          <w:szCs w:val="24"/>
        </w:rPr>
        <w:t>remittances, which also help to meet the needs of the population. India continued to be the leading recipient of remittances in the world in 2021, getting USD 89 billion from Indian expats around the world.</w:t>
      </w:r>
    </w:p>
    <w:p w14:paraId="591CD79F" w14:textId="77777777" w:rsidR="00C46C26" w:rsidRDefault="00C46C26">
      <w:pPr>
        <w:spacing w:line="360" w:lineRule="auto"/>
        <w:jc w:val="both"/>
        <w:rPr>
          <w:rFonts w:ascii="Times New Roman" w:hAnsi="Times New Roman" w:cs="Times New Roman"/>
          <w:sz w:val="24"/>
          <w:szCs w:val="24"/>
        </w:rPr>
      </w:pPr>
    </w:p>
    <w:p w14:paraId="4288D7BD" w14:textId="77777777" w:rsidR="00C46C26" w:rsidRDefault="00C46C26">
      <w:pPr>
        <w:spacing w:line="360" w:lineRule="auto"/>
        <w:jc w:val="both"/>
        <w:rPr>
          <w:rFonts w:ascii="Times New Roman" w:hAnsi="Times New Roman" w:cs="Times New Roman"/>
          <w:sz w:val="24"/>
          <w:szCs w:val="24"/>
        </w:rPr>
      </w:pPr>
    </w:p>
    <w:p w14:paraId="16C9337F" w14:textId="77777777" w:rsidR="00C46C26" w:rsidRDefault="00C46C26">
      <w:pPr>
        <w:spacing w:line="360" w:lineRule="auto"/>
        <w:jc w:val="both"/>
        <w:rPr>
          <w:rFonts w:ascii="Times New Roman" w:hAnsi="Times New Roman" w:cs="Times New Roman"/>
          <w:sz w:val="24"/>
          <w:szCs w:val="24"/>
        </w:rPr>
      </w:pPr>
    </w:p>
    <w:p w14:paraId="3FC94DB4" w14:textId="77777777" w:rsidR="00C46C26" w:rsidRDefault="00C46C26">
      <w:pPr>
        <w:spacing w:line="360" w:lineRule="auto"/>
        <w:jc w:val="both"/>
        <w:rPr>
          <w:rFonts w:ascii="Times New Roman" w:hAnsi="Times New Roman" w:cs="Times New Roman"/>
          <w:sz w:val="24"/>
          <w:szCs w:val="24"/>
        </w:rPr>
      </w:pPr>
    </w:p>
    <w:p w14:paraId="28B6BF92" w14:textId="77777777" w:rsidR="00C46C26" w:rsidRDefault="00C46C26">
      <w:pPr>
        <w:spacing w:line="360" w:lineRule="auto"/>
        <w:jc w:val="both"/>
        <w:rPr>
          <w:rFonts w:ascii="Times New Roman" w:hAnsi="Times New Roman" w:cs="Times New Roman"/>
          <w:sz w:val="24"/>
          <w:szCs w:val="24"/>
        </w:rPr>
      </w:pPr>
    </w:p>
    <w:p w14:paraId="05DFFAF7" w14:textId="77777777" w:rsidR="00C46C26" w:rsidRDefault="00C46C26">
      <w:pPr>
        <w:spacing w:line="360" w:lineRule="auto"/>
        <w:jc w:val="both"/>
        <w:rPr>
          <w:rFonts w:ascii="Times New Roman" w:hAnsi="Times New Roman" w:cs="Times New Roman"/>
          <w:sz w:val="24"/>
          <w:szCs w:val="24"/>
        </w:rPr>
      </w:pPr>
    </w:p>
    <w:p w14:paraId="7CAB8EAC" w14:textId="77777777" w:rsidR="00C46C26" w:rsidRDefault="00C46C26">
      <w:pPr>
        <w:spacing w:line="360" w:lineRule="auto"/>
        <w:jc w:val="both"/>
        <w:rPr>
          <w:rFonts w:ascii="Times New Roman" w:hAnsi="Times New Roman" w:cs="Times New Roman"/>
          <w:sz w:val="24"/>
          <w:szCs w:val="24"/>
        </w:rPr>
      </w:pPr>
    </w:p>
    <w:p w14:paraId="5C8D5E7C" w14:textId="77777777" w:rsidR="00C46C26" w:rsidRDefault="000B46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Top 20 Major Remittances Receivi</w:t>
      </w:r>
      <w:r>
        <w:rPr>
          <w:rFonts w:ascii="Times New Roman" w:hAnsi="Times New Roman" w:cs="Times New Roman"/>
          <w:b/>
          <w:bCs/>
          <w:sz w:val="24"/>
          <w:szCs w:val="24"/>
        </w:rPr>
        <w:t>ng Countries, 2021 ($US current millions)</w:t>
      </w:r>
    </w:p>
    <w:p w14:paraId="366E9A95"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4080" cy="37795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i/>
          <w:sz w:val="24"/>
          <w:szCs w:val="24"/>
        </w:rPr>
        <w:t xml:space="preserve">Source: </w:t>
      </w:r>
      <w:bookmarkStart w:id="8" w:name="_GoBack"/>
      <w:r>
        <w:rPr>
          <w:rFonts w:ascii="Times New Roman" w:hAnsi="Times New Roman" w:cs="Times New Roman"/>
          <w:i/>
          <w:sz w:val="24"/>
          <w:szCs w:val="24"/>
        </w:rPr>
        <w:t xml:space="preserve">World </w:t>
      </w:r>
      <w:bookmarkEnd w:id="8"/>
      <w:r>
        <w:rPr>
          <w:rFonts w:ascii="Times New Roman" w:hAnsi="Times New Roman" w:cs="Times New Roman"/>
          <w:i/>
          <w:sz w:val="24"/>
          <w:szCs w:val="24"/>
        </w:rPr>
        <w:t>Bank KNOMAD (2023).</w:t>
      </w:r>
    </w:p>
    <w:p w14:paraId="4C2D104F"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figure 2, among the top 20 countries that will receive remittances in 2021, India will be the top recipient nation, followed by China, Mexico, Philippines, France, Eg</w:t>
      </w:r>
      <w:r>
        <w:rPr>
          <w:rFonts w:ascii="Times New Roman" w:hAnsi="Times New Roman" w:cs="Times New Roman"/>
          <w:sz w:val="24"/>
          <w:szCs w:val="24"/>
        </w:rPr>
        <w:t xml:space="preserve">ypt, Pakistan, Bangladesh, Germany, Nigeria, Ukraine, Vietnam, Guatemala, Dominican Republic, Morocco, Italy, Russian Federation, Indonesia, Uzbekistan and Romania. (World Bank, </w:t>
      </w:r>
      <w:commentRangeStart w:id="9"/>
      <w:r>
        <w:rPr>
          <w:rFonts w:ascii="Times New Roman" w:hAnsi="Times New Roman" w:cs="Times New Roman"/>
          <w:sz w:val="24"/>
          <w:szCs w:val="24"/>
        </w:rPr>
        <w:t>2023</w:t>
      </w:r>
      <w:commentRangeEnd w:id="9"/>
      <w:r w:rsidR="00F8550D">
        <w:rPr>
          <w:rStyle w:val="CommentReference"/>
        </w:rPr>
        <w:commentReference w:id="9"/>
      </w:r>
      <w:r>
        <w:rPr>
          <w:rFonts w:ascii="Times New Roman" w:hAnsi="Times New Roman" w:cs="Times New Roman"/>
          <w:sz w:val="24"/>
          <w:szCs w:val="24"/>
        </w:rPr>
        <w:t>).</w:t>
      </w:r>
    </w:p>
    <w:p w14:paraId="77D779CB" w14:textId="77777777" w:rsidR="00C46C26" w:rsidRDefault="000B46E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II</w:t>
      </w:r>
      <w:r>
        <w:rPr>
          <w:rFonts w:ascii="Times New Roman" w:hAnsi="Times New Roman" w:cs="Times New Roman"/>
          <w:b/>
          <w:sz w:val="28"/>
          <w:szCs w:val="28"/>
        </w:rPr>
        <w:t xml:space="preserve">. Review of </w:t>
      </w:r>
      <w:commentRangeStart w:id="10"/>
      <w:r>
        <w:rPr>
          <w:rFonts w:ascii="Times New Roman" w:hAnsi="Times New Roman" w:cs="Times New Roman"/>
          <w:b/>
          <w:sz w:val="28"/>
          <w:szCs w:val="28"/>
        </w:rPr>
        <w:t>Literature</w:t>
      </w:r>
      <w:commentRangeEnd w:id="10"/>
      <w:r w:rsidR="00F8550D">
        <w:rPr>
          <w:rStyle w:val="CommentReference"/>
        </w:rPr>
        <w:commentReference w:id="10"/>
      </w:r>
    </w:p>
    <w:p w14:paraId="20684B72"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exists a substantial and expanding body </w:t>
      </w:r>
      <w:r>
        <w:rPr>
          <w:rFonts w:ascii="Times New Roman" w:hAnsi="Times New Roman" w:cs="Times New Roman"/>
          <w:sz w:val="24"/>
          <w:szCs w:val="24"/>
        </w:rPr>
        <w:t xml:space="preserve">of work that endeavors to empirically assess the impact of remittances on economic growth. Remittances are seen as an essential source of financing for investment and consumption activities that ultimately foster overall economic growth (Pradhan </w:t>
      </w:r>
      <w:r>
        <w:rPr>
          <w:rFonts w:ascii="Times New Roman" w:hAnsi="Times New Roman" w:cs="Times New Roman"/>
          <w:sz w:val="24"/>
          <w:szCs w:val="24"/>
        </w:rPr>
        <w:t>et al., 20</w:t>
      </w:r>
      <w:r>
        <w:rPr>
          <w:rFonts w:ascii="Times New Roman" w:hAnsi="Times New Roman" w:cs="Times New Roman"/>
          <w:sz w:val="24"/>
          <w:szCs w:val="24"/>
        </w:rPr>
        <w:t xml:space="preserve">08; </w:t>
      </w:r>
      <w:proofErr w:type="spellStart"/>
      <w:r>
        <w:rPr>
          <w:rFonts w:ascii="Times New Roman" w:hAnsi="Times New Roman" w:cs="Times New Roman"/>
          <w:sz w:val="24"/>
          <w:szCs w:val="24"/>
        </w:rPr>
        <w:t>Randazzo</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Piracha</w:t>
      </w:r>
      <w:proofErr w:type="spellEnd"/>
      <w:r>
        <w:rPr>
          <w:rFonts w:ascii="Times New Roman" w:hAnsi="Times New Roman" w:cs="Times New Roman"/>
          <w:sz w:val="24"/>
          <w:szCs w:val="24"/>
        </w:rPr>
        <w:t>, 2019). Likewise, capital inflow via foreign direct investment is regarded as a prospective source of financing for domestic investment, hence promoting economic growth (</w:t>
      </w:r>
      <w:commentRangeStart w:id="11"/>
      <w:r>
        <w:rPr>
          <w:rFonts w:ascii="Times New Roman" w:hAnsi="Times New Roman" w:cs="Times New Roman"/>
          <w:sz w:val="24"/>
          <w:szCs w:val="24"/>
        </w:rPr>
        <w:t xml:space="preserve">Tahir </w:t>
      </w:r>
      <w:commentRangeEnd w:id="11"/>
      <w:r w:rsidR="00902611">
        <w:rPr>
          <w:rStyle w:val="CommentReference"/>
        </w:rPr>
        <w:commentReference w:id="11"/>
      </w:r>
      <w:r>
        <w:rPr>
          <w:rFonts w:ascii="Times New Roman" w:hAnsi="Times New Roman" w:cs="Times New Roman"/>
          <w:sz w:val="24"/>
          <w:szCs w:val="24"/>
        </w:rPr>
        <w:t xml:space="preserve">et al., 2020). However, another perspective asserts that </w:t>
      </w:r>
      <w:r>
        <w:rPr>
          <w:rFonts w:ascii="Times New Roman" w:hAnsi="Times New Roman" w:cs="Times New Roman"/>
          <w:sz w:val="24"/>
          <w:szCs w:val="24"/>
        </w:rPr>
        <w:t>institutional factors are necessary for long-term growth and that FDI and remittance flows have not been enough to cause better economic growth (</w:t>
      </w:r>
      <w:commentRangeStart w:id="12"/>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t>
      </w:r>
      <w:commentRangeEnd w:id="12"/>
      <w:r w:rsidR="00902611">
        <w:rPr>
          <w:rStyle w:val="CommentReference"/>
        </w:rPr>
        <w:commentReference w:id="12"/>
      </w:r>
      <w:r>
        <w:rPr>
          <w:rFonts w:ascii="Times New Roman" w:hAnsi="Times New Roman" w:cs="Times New Roman"/>
          <w:sz w:val="24"/>
          <w:szCs w:val="24"/>
        </w:rPr>
        <w:t xml:space="preserve">&amp; </w:t>
      </w:r>
      <w:proofErr w:type="spellStart"/>
      <w:r>
        <w:rPr>
          <w:rFonts w:ascii="Times New Roman" w:hAnsi="Times New Roman" w:cs="Times New Roman"/>
          <w:sz w:val="24"/>
          <w:szCs w:val="24"/>
        </w:rPr>
        <w:t>Odhiambo</w:t>
      </w:r>
      <w:proofErr w:type="spellEnd"/>
      <w:r>
        <w:rPr>
          <w:rFonts w:ascii="Times New Roman" w:hAnsi="Times New Roman" w:cs="Times New Roman"/>
          <w:sz w:val="24"/>
          <w:szCs w:val="24"/>
        </w:rPr>
        <w:t xml:space="preserve">, 2020; </w:t>
      </w:r>
      <w:commentRangeStart w:id="13"/>
      <w:proofErr w:type="spellStart"/>
      <w:r>
        <w:rPr>
          <w:rFonts w:ascii="Times New Roman" w:hAnsi="Times New Roman" w:cs="Times New Roman"/>
          <w:sz w:val="24"/>
          <w:szCs w:val="24"/>
        </w:rPr>
        <w:t>Somng</w:t>
      </w:r>
      <w:proofErr w:type="spellEnd"/>
      <w:r>
        <w:rPr>
          <w:rFonts w:ascii="Times New Roman" w:hAnsi="Times New Roman" w:cs="Times New Roman"/>
          <w:sz w:val="24"/>
          <w:szCs w:val="24"/>
        </w:rPr>
        <w:t xml:space="preserve"> </w:t>
      </w:r>
      <w:commentRangeEnd w:id="13"/>
      <w:r w:rsidR="00902611">
        <w:rPr>
          <w:rStyle w:val="CommentReference"/>
        </w:rPr>
        <w:commentReference w:id="13"/>
      </w:r>
      <w:r>
        <w:rPr>
          <w:rFonts w:ascii="Times New Roman" w:hAnsi="Times New Roman" w:cs="Times New Roman"/>
          <w:sz w:val="24"/>
          <w:szCs w:val="24"/>
        </w:rPr>
        <w:t>et al., 2021). Remittances positively influence economic growth by enhancing emp</w:t>
      </w:r>
      <w:r>
        <w:rPr>
          <w:rFonts w:ascii="Times New Roman" w:hAnsi="Times New Roman" w:cs="Times New Roman"/>
          <w:sz w:val="24"/>
          <w:szCs w:val="24"/>
        </w:rPr>
        <w:t xml:space="preserve">loyment opportunities </w:t>
      </w:r>
      <w:r>
        <w:rPr>
          <w:rFonts w:ascii="Times New Roman" w:hAnsi="Times New Roman" w:cs="Times New Roman"/>
          <w:sz w:val="24"/>
          <w:szCs w:val="24"/>
        </w:rPr>
        <w:lastRenderedPageBreak/>
        <w:t>in the recipient country and reducing the incidence of compulsion to migrate from low-income countries (</w:t>
      </w:r>
      <w:commentRangeStart w:id="14"/>
      <w:proofErr w:type="spellStart"/>
      <w:r>
        <w:rPr>
          <w:rFonts w:ascii="Times New Roman" w:hAnsi="Times New Roman" w:cs="Times New Roman"/>
          <w:sz w:val="24"/>
          <w:szCs w:val="24"/>
        </w:rPr>
        <w:t>Ratha</w:t>
      </w:r>
      <w:proofErr w:type="spellEnd"/>
      <w:r>
        <w:rPr>
          <w:rFonts w:ascii="Times New Roman" w:hAnsi="Times New Roman" w:cs="Times New Roman"/>
          <w:sz w:val="24"/>
          <w:szCs w:val="24"/>
        </w:rPr>
        <w:t xml:space="preserve"> </w:t>
      </w:r>
      <w:commentRangeEnd w:id="14"/>
      <w:r w:rsidR="00902611">
        <w:rPr>
          <w:rStyle w:val="CommentReference"/>
        </w:rPr>
        <w:commentReference w:id="14"/>
      </w:r>
      <w:r>
        <w:rPr>
          <w:rFonts w:ascii="Times New Roman" w:hAnsi="Times New Roman" w:cs="Times New Roman"/>
          <w:sz w:val="24"/>
          <w:szCs w:val="24"/>
        </w:rPr>
        <w:t xml:space="preserve">&amp; Shaw, 2006; </w:t>
      </w:r>
      <w:r>
        <w:rPr>
          <w:rFonts w:ascii="Times New Roman" w:hAnsi="Times New Roman" w:cs="Times New Roman"/>
          <w:sz w:val="24"/>
          <w:szCs w:val="24"/>
        </w:rPr>
        <w:t xml:space="preserve">Freund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Spatafora</w:t>
      </w:r>
      <w:proofErr w:type="spellEnd"/>
      <w:r>
        <w:rPr>
          <w:rFonts w:ascii="Times New Roman" w:hAnsi="Times New Roman" w:cs="Times New Roman"/>
          <w:sz w:val="24"/>
          <w:szCs w:val="24"/>
        </w:rPr>
        <w:t>, 2008). In the same way, remittances also contribute to overall human and social capital of</w:t>
      </w:r>
      <w:r>
        <w:rPr>
          <w:rFonts w:ascii="Times New Roman" w:hAnsi="Times New Roman" w:cs="Times New Roman"/>
          <w:sz w:val="24"/>
          <w:szCs w:val="24"/>
        </w:rPr>
        <w:t xml:space="preserve"> communities (</w:t>
      </w:r>
      <w:commentRangeStart w:id="15"/>
      <w:r>
        <w:rPr>
          <w:rFonts w:ascii="Times New Roman" w:hAnsi="Times New Roman" w:cs="Times New Roman"/>
          <w:sz w:val="24"/>
          <w:szCs w:val="24"/>
        </w:rPr>
        <w:t xml:space="preserve">Sasin </w:t>
      </w:r>
      <w:commentRangeEnd w:id="15"/>
      <w:r w:rsidR="00902611">
        <w:rPr>
          <w:rStyle w:val="CommentReference"/>
        </w:rPr>
        <w:commentReference w:id="15"/>
      </w:r>
      <w:r>
        <w:rPr>
          <w:rFonts w:ascii="Times New Roman" w:hAnsi="Times New Roman" w:cs="Times New Roman"/>
          <w:sz w:val="24"/>
          <w:szCs w:val="24"/>
        </w:rPr>
        <w:t>&amp; McKenzie, 2007). A few well-known works of literature argue that FDI boosts the productive potential of domestic firms and provides ownership that positively affects economic growth (Rivera-</w:t>
      </w:r>
      <w:proofErr w:type="spellStart"/>
      <w:r>
        <w:rPr>
          <w:rFonts w:ascii="Times New Roman" w:hAnsi="Times New Roman" w:cs="Times New Roman"/>
          <w:sz w:val="24"/>
          <w:szCs w:val="24"/>
        </w:rPr>
        <w:t>Batiz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Romer</w:t>
      </w:r>
      <w:proofErr w:type="spellEnd"/>
      <w:r>
        <w:rPr>
          <w:rFonts w:ascii="Times New Roman" w:hAnsi="Times New Roman" w:cs="Times New Roman"/>
          <w:sz w:val="24"/>
          <w:szCs w:val="24"/>
        </w:rPr>
        <w:t xml:space="preserve">, 1991; </w:t>
      </w:r>
      <w:commentRangeStart w:id="16"/>
      <w:r>
        <w:rPr>
          <w:rFonts w:ascii="Times New Roman" w:hAnsi="Times New Roman" w:cs="Times New Roman"/>
          <w:sz w:val="24"/>
          <w:szCs w:val="24"/>
        </w:rPr>
        <w:t xml:space="preserve">Haddad </w:t>
      </w:r>
      <w:commentRangeEnd w:id="16"/>
      <w:r w:rsidR="00902611">
        <w:rPr>
          <w:rStyle w:val="CommentReference"/>
        </w:rPr>
        <w:commentReference w:id="16"/>
      </w:r>
      <w:r>
        <w:rPr>
          <w:rFonts w:ascii="Times New Roman" w:hAnsi="Times New Roman" w:cs="Times New Roman"/>
          <w:sz w:val="24"/>
          <w:szCs w:val="24"/>
        </w:rPr>
        <w:t>&amp; Harrison, 1993</w:t>
      </w:r>
      <w:r>
        <w:rPr>
          <w:rFonts w:ascii="Times New Roman" w:hAnsi="Times New Roman" w:cs="Times New Roman"/>
          <w:sz w:val="24"/>
          <w:szCs w:val="24"/>
        </w:rPr>
        <w:t>).</w:t>
      </w:r>
    </w:p>
    <w:p w14:paraId="5C232110"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 of remittances on economic expansion and the reduction of poverty has been the subject of numerous studies. In a cross-sectional analysis of 36 countries, Pradhan et al. (2008) found that remittances, one of five variables in a linear regress</w:t>
      </w:r>
      <w:r>
        <w:rPr>
          <w:rFonts w:ascii="Times New Roman" w:hAnsi="Times New Roman" w:cs="Times New Roman"/>
          <w:sz w:val="24"/>
          <w:szCs w:val="24"/>
        </w:rPr>
        <w:t xml:space="preserve">ion model, have a tiny but beneficial impact on economic growth. In their study of 99 countries from 1975 to 2003, </w:t>
      </w:r>
      <w:commentRangeStart w:id="17"/>
      <w:r>
        <w:rPr>
          <w:rFonts w:ascii="Times New Roman" w:hAnsi="Times New Roman" w:cs="Times New Roman"/>
          <w:sz w:val="24"/>
          <w:szCs w:val="24"/>
        </w:rPr>
        <w:t xml:space="preserve">Aggarwal </w:t>
      </w:r>
      <w:commentRangeEnd w:id="17"/>
      <w:r w:rsidR="00902611">
        <w:rPr>
          <w:rStyle w:val="CommentReference"/>
        </w:rPr>
        <w:commentReference w:id="17"/>
      </w:r>
      <w:r>
        <w:rPr>
          <w:rFonts w:ascii="Times New Roman" w:hAnsi="Times New Roman" w:cs="Times New Roman"/>
          <w:sz w:val="24"/>
          <w:szCs w:val="24"/>
        </w:rPr>
        <w:t>et al. (2006) discovered that remittances have a favorable impact on bank deposits and credit to GDP. Citing earlier research that d</w:t>
      </w:r>
      <w:r>
        <w:rPr>
          <w:rFonts w:ascii="Times New Roman" w:hAnsi="Times New Roman" w:cs="Times New Roman"/>
          <w:sz w:val="24"/>
          <w:szCs w:val="24"/>
        </w:rPr>
        <w:t>emonstrates the beneficial effects of these two variables on economic growth, the authors then extrapolate the positive influence on development.</w:t>
      </w:r>
    </w:p>
    <w:p w14:paraId="4AB85C0C"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Numerous studies demonstrate a beneficial effect, contending that remittances serve as a substantial catalyst </w:t>
      </w:r>
      <w:r>
        <w:rPr>
          <w:rFonts w:ascii="Times New Roman" w:hAnsi="Times New Roman" w:cs="Times New Roman"/>
          <w:sz w:val="24"/>
          <w:szCs w:val="24"/>
        </w:rPr>
        <w:t>for economic expansion by augmenting household income, facilitating investment and fostering human capital development. Remittances help African economies expand by increasing savings and investment (</w:t>
      </w:r>
      <w:commentRangeStart w:id="18"/>
      <w:proofErr w:type="spellStart"/>
      <w:r>
        <w:rPr>
          <w:rFonts w:ascii="Times New Roman" w:hAnsi="Times New Roman" w:cs="Times New Roman"/>
          <w:sz w:val="24"/>
          <w:szCs w:val="24"/>
        </w:rPr>
        <w:t>Fayissa</w:t>
      </w:r>
      <w:proofErr w:type="spellEnd"/>
      <w:r>
        <w:rPr>
          <w:rFonts w:ascii="Times New Roman" w:hAnsi="Times New Roman" w:cs="Times New Roman"/>
          <w:sz w:val="24"/>
          <w:szCs w:val="24"/>
        </w:rPr>
        <w:t xml:space="preserve"> </w:t>
      </w:r>
      <w:commentRangeEnd w:id="18"/>
      <w:r w:rsidR="00902611">
        <w:rPr>
          <w:rStyle w:val="CommentReference"/>
        </w:rPr>
        <w:commentReference w:id="18"/>
      </w:r>
      <w:r>
        <w:rPr>
          <w:rFonts w:ascii="Times New Roman" w:hAnsi="Times New Roman" w:cs="Times New Roman"/>
          <w:sz w:val="24"/>
          <w:szCs w:val="24"/>
        </w:rPr>
        <w:t xml:space="preserve">&amp; </w:t>
      </w:r>
      <w:proofErr w:type="spellStart"/>
      <w:r>
        <w:rPr>
          <w:rFonts w:ascii="Times New Roman" w:hAnsi="Times New Roman" w:cs="Times New Roman"/>
          <w:sz w:val="24"/>
          <w:szCs w:val="24"/>
        </w:rPr>
        <w:t>Nsiah</w:t>
      </w:r>
      <w:proofErr w:type="spellEnd"/>
      <w:r>
        <w:rPr>
          <w:rFonts w:ascii="Times New Roman" w:hAnsi="Times New Roman" w:cs="Times New Roman"/>
          <w:sz w:val="24"/>
          <w:szCs w:val="24"/>
        </w:rPr>
        <w:t xml:space="preserve">, 2010), whereas </w:t>
      </w:r>
      <w:commentRangeStart w:id="19"/>
      <w:r>
        <w:rPr>
          <w:rFonts w:ascii="Times New Roman" w:hAnsi="Times New Roman" w:cs="Times New Roman"/>
          <w:sz w:val="24"/>
          <w:szCs w:val="24"/>
        </w:rPr>
        <w:t xml:space="preserve">Meyer </w:t>
      </w:r>
      <w:commentRangeEnd w:id="19"/>
      <w:r w:rsidR="003C5BE8">
        <w:rPr>
          <w:rStyle w:val="CommentReference"/>
        </w:rPr>
        <w:commentReference w:id="19"/>
      </w:r>
      <w:r>
        <w:rPr>
          <w:rFonts w:ascii="Times New Roman" w:hAnsi="Times New Roman" w:cs="Times New Roman"/>
          <w:sz w:val="24"/>
          <w:szCs w:val="24"/>
        </w:rPr>
        <w:t xml:space="preserve">and Shera (2017), </w:t>
      </w:r>
      <w:r>
        <w:rPr>
          <w:rFonts w:ascii="Times New Roman" w:hAnsi="Times New Roman" w:cs="Times New Roman"/>
          <w:sz w:val="24"/>
          <w:szCs w:val="24"/>
        </w:rPr>
        <w:t xml:space="preserve">utilizing a panel dataset, validated that remittance inflows enhance production by promoting expenditure, investment and financial inclusion. In the Indian context, research conducted by </w:t>
      </w:r>
      <w:commentRangeStart w:id="20"/>
      <w:r>
        <w:rPr>
          <w:rFonts w:ascii="Times New Roman" w:hAnsi="Times New Roman" w:cs="Times New Roman"/>
          <w:sz w:val="24"/>
          <w:szCs w:val="24"/>
        </w:rPr>
        <w:t xml:space="preserve">Kumar </w:t>
      </w:r>
      <w:commentRangeEnd w:id="20"/>
      <w:r w:rsidR="003C5BE8">
        <w:rPr>
          <w:rStyle w:val="CommentReference"/>
        </w:rPr>
        <w:commentReference w:id="20"/>
      </w:r>
      <w:r>
        <w:rPr>
          <w:rFonts w:ascii="Times New Roman" w:hAnsi="Times New Roman" w:cs="Times New Roman"/>
          <w:sz w:val="24"/>
          <w:szCs w:val="24"/>
        </w:rPr>
        <w:t xml:space="preserve">(2013) and </w:t>
      </w:r>
      <w:commentRangeStart w:id="21"/>
      <w:r>
        <w:rPr>
          <w:rFonts w:ascii="Times New Roman" w:hAnsi="Times New Roman" w:cs="Times New Roman"/>
          <w:sz w:val="24"/>
          <w:szCs w:val="24"/>
        </w:rPr>
        <w:t xml:space="preserve">Srinivasan </w:t>
      </w:r>
      <w:commentRangeEnd w:id="21"/>
      <w:r w:rsidR="003C5BE8">
        <w:rPr>
          <w:rStyle w:val="CommentReference"/>
        </w:rPr>
        <w:commentReference w:id="21"/>
      </w:r>
      <w:r>
        <w:rPr>
          <w:rFonts w:ascii="Times New Roman" w:hAnsi="Times New Roman" w:cs="Times New Roman"/>
          <w:sz w:val="24"/>
          <w:szCs w:val="24"/>
        </w:rPr>
        <w:t xml:space="preserve">and </w:t>
      </w:r>
      <w:proofErr w:type="spellStart"/>
      <w:r>
        <w:rPr>
          <w:rFonts w:ascii="Times New Roman" w:hAnsi="Times New Roman" w:cs="Times New Roman"/>
          <w:sz w:val="24"/>
          <w:szCs w:val="24"/>
        </w:rPr>
        <w:t>Kalaivani</w:t>
      </w:r>
      <w:proofErr w:type="spellEnd"/>
      <w:r>
        <w:rPr>
          <w:rFonts w:ascii="Times New Roman" w:hAnsi="Times New Roman" w:cs="Times New Roman"/>
          <w:sz w:val="24"/>
          <w:szCs w:val="24"/>
        </w:rPr>
        <w:t xml:space="preserve"> (2016) underscores the sign</w:t>
      </w:r>
      <w:r>
        <w:rPr>
          <w:rFonts w:ascii="Times New Roman" w:hAnsi="Times New Roman" w:cs="Times New Roman"/>
          <w:sz w:val="24"/>
          <w:szCs w:val="24"/>
        </w:rPr>
        <w:t>ificant importance of remittances in facilitating economic growth by bolstering household consumption and productive investments.</w:t>
      </w:r>
    </w:p>
    <w:p w14:paraId="1DB00E28" w14:textId="77777777" w:rsidR="00C46C26" w:rsidRDefault="000B46EF">
      <w:pPr>
        <w:spacing w:line="360" w:lineRule="auto"/>
        <w:ind w:firstLine="720"/>
        <w:jc w:val="both"/>
        <w:rPr>
          <w:rFonts w:ascii="Times New Roman" w:eastAsia="Times New Roman" w:hAnsi="Times New Roman" w:cs="Times New Roman"/>
          <w:sz w:val="24"/>
          <w:szCs w:val="24"/>
        </w:rPr>
      </w:pPr>
      <w:commentRangeStart w:id="22"/>
      <w:r>
        <w:rPr>
          <w:rFonts w:ascii="Times New Roman" w:hAnsi="Times New Roman" w:cs="Times New Roman"/>
          <w:sz w:val="24"/>
          <w:szCs w:val="24"/>
        </w:rPr>
        <w:t xml:space="preserve">Taylor (1992) and </w:t>
      </w:r>
      <w:proofErr w:type="spellStart"/>
      <w:r>
        <w:rPr>
          <w:rFonts w:ascii="Times New Roman" w:hAnsi="Times New Roman" w:cs="Times New Roman"/>
          <w:sz w:val="24"/>
          <w:szCs w:val="24"/>
        </w:rPr>
        <w:t>Faini</w:t>
      </w:r>
      <w:proofErr w:type="spellEnd"/>
      <w:r>
        <w:rPr>
          <w:rFonts w:ascii="Times New Roman" w:hAnsi="Times New Roman" w:cs="Times New Roman"/>
          <w:sz w:val="24"/>
          <w:szCs w:val="24"/>
        </w:rPr>
        <w:t xml:space="preserve"> (2001) establish a favorable correlation between remittances and economic growth. Conversely, </w:t>
      </w:r>
      <w:proofErr w:type="spellStart"/>
      <w:r>
        <w:rPr>
          <w:rFonts w:ascii="Times New Roman" w:hAnsi="Times New Roman" w:cs="Times New Roman"/>
          <w:sz w:val="24"/>
          <w:szCs w:val="24"/>
        </w:rPr>
        <w:t>Spatafor</w:t>
      </w:r>
      <w:r>
        <w:rPr>
          <w:rFonts w:ascii="Times New Roman" w:hAnsi="Times New Roman" w:cs="Times New Roman"/>
          <w:sz w:val="24"/>
          <w:szCs w:val="24"/>
        </w:rPr>
        <w:t>a</w:t>
      </w:r>
      <w:proofErr w:type="spellEnd"/>
      <w:r>
        <w:rPr>
          <w:rFonts w:ascii="Times New Roman" w:hAnsi="Times New Roman" w:cs="Times New Roman"/>
          <w:sz w:val="24"/>
          <w:szCs w:val="24"/>
        </w:rPr>
        <w:t xml:space="preserve"> (2005)</w:t>
      </w:r>
      <w:commentRangeEnd w:id="22"/>
      <w:r w:rsidR="003C5BE8">
        <w:rPr>
          <w:rStyle w:val="CommentReference"/>
        </w:rPr>
        <w:commentReference w:id="22"/>
      </w:r>
      <w:r>
        <w:rPr>
          <w:rFonts w:ascii="Times New Roman" w:hAnsi="Times New Roman" w:cs="Times New Roman"/>
          <w:sz w:val="24"/>
          <w:szCs w:val="24"/>
        </w:rPr>
        <w:t xml:space="preserve"> finds no correlation between the increase in remittances and per capita output. On the other hand, remittances adversely affect economic growth in a sample of 113 countries in a significant cross-country analysis. Existing studies on remittances h</w:t>
      </w:r>
      <w:r>
        <w:rPr>
          <w:rFonts w:ascii="Times New Roman" w:hAnsi="Times New Roman" w:cs="Times New Roman"/>
          <w:sz w:val="24"/>
          <w:szCs w:val="24"/>
        </w:rPr>
        <w:t xml:space="preserve">as primarily focused on poverty alleviation rather than overall economic growth (Adams and Page, 2003). The impact of remittances on economic growth in both host and home countries of expatriate workers has garnered the interest of development economists. </w:t>
      </w:r>
      <w:r>
        <w:rPr>
          <w:rFonts w:ascii="Times New Roman" w:hAnsi="Times New Roman" w:cs="Times New Roman"/>
          <w:sz w:val="24"/>
          <w:szCs w:val="24"/>
        </w:rPr>
        <w:t xml:space="preserve">Conflicting viewpoints have emerged concerning the impact on the expatriate employees’ country of origin. </w:t>
      </w:r>
      <w:r>
        <w:rPr>
          <w:rFonts w:ascii="Times New Roman" w:hAnsi="Times New Roman" w:cs="Times New Roman"/>
          <w:sz w:val="24"/>
          <w:szCs w:val="24"/>
        </w:rPr>
        <w:lastRenderedPageBreak/>
        <w:t xml:space="preserve">Some researchers asserts that remittances foster economic growth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Adelman </w:t>
      </w:r>
      <w:r>
        <w:rPr>
          <w:rFonts w:ascii="Times New Roman" w:eastAsia="Times New Roman" w:hAnsi="Times New Roman" w:cs="Times New Roman"/>
          <w:sz w:val="24"/>
          <w:szCs w:val="24"/>
        </w:rPr>
        <w:t>and Taylor, 1990; Durand et al., 1996), while others including (</w:t>
      </w: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2005; 2008, </w:t>
      </w:r>
      <w:proofErr w:type="spellStart"/>
      <w:r>
        <w:rPr>
          <w:rFonts w:ascii="Times New Roman" w:eastAsia="Times New Roman" w:hAnsi="Times New Roman" w:cs="Times New Roman"/>
          <w:sz w:val="24"/>
          <w:szCs w:val="24"/>
        </w:rPr>
        <w:t>Ekanayake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Halkides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Spatafora</w:t>
      </w:r>
      <w:proofErr w:type="spellEnd"/>
      <w:r>
        <w:rPr>
          <w:rFonts w:ascii="Times New Roman" w:eastAsia="Times New Roman" w:hAnsi="Times New Roman" w:cs="Times New Roman"/>
          <w:sz w:val="24"/>
          <w:szCs w:val="24"/>
        </w:rPr>
        <w:t>, 2005) hold a contrary perspective. For example, inhabitants of a host nation may seek job in their own country if the unemployment rate is elevated there. As individuals’ salaries increase, they can trav</w:t>
      </w:r>
      <w:r>
        <w:rPr>
          <w:rFonts w:ascii="Times New Roman" w:eastAsia="Times New Roman" w:hAnsi="Times New Roman" w:cs="Times New Roman"/>
          <w:sz w:val="24"/>
          <w:szCs w:val="24"/>
        </w:rPr>
        <w:t>el greater distances in pursuit of higher-paying employment, therefore enhancing remittances to their home nations. The magnitude of remittance revenue may be affected by economic growth for the aforementioned reasons.</w:t>
      </w:r>
    </w:p>
    <w:p w14:paraId="061BC730" w14:textId="77777777" w:rsidR="00C46C26" w:rsidRDefault="000B46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the present study is to an</w:t>
      </w:r>
      <w:r>
        <w:rPr>
          <w:rFonts w:ascii="Times New Roman" w:eastAsia="Times New Roman" w:hAnsi="Times New Roman" w:cs="Times New Roman"/>
          <w:sz w:val="24"/>
          <w:szCs w:val="24"/>
        </w:rPr>
        <w:t>alyze the impact of remittances on economic growth in India. India continues to be an important source of expatriate workers. The size of expatriate workers has risen substantially throughout the years. In the process remittances have emerged as a vital so</w:t>
      </w:r>
      <w:r>
        <w:rPr>
          <w:rFonts w:ascii="Times New Roman" w:eastAsia="Times New Roman" w:hAnsi="Times New Roman" w:cs="Times New Roman"/>
          <w:sz w:val="24"/>
          <w:szCs w:val="24"/>
        </w:rPr>
        <w:t>urce of foreign exchange earnings for the nation. Thus, the country offers a distinctive opportunity to examine the influence and causal relationship between remittances and economic growth.</w:t>
      </w:r>
    </w:p>
    <w:p w14:paraId="72B527D1" w14:textId="77777777" w:rsidR="00C46C26" w:rsidRDefault="000B46EF">
      <w:pPr>
        <w:spacing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III. Data and </w:t>
      </w:r>
      <w:commentRangeStart w:id="23"/>
      <w:r>
        <w:rPr>
          <w:rFonts w:ascii="Times New Roman" w:hAnsi="Times New Roman" w:cs="Times New Roman"/>
          <w:b/>
          <w:sz w:val="28"/>
          <w:szCs w:val="28"/>
        </w:rPr>
        <w:t>Methodology</w:t>
      </w:r>
      <w:commentRangeEnd w:id="23"/>
      <w:r w:rsidR="003C5BE8">
        <w:rPr>
          <w:rStyle w:val="CommentReference"/>
        </w:rPr>
        <w:commentReference w:id="23"/>
      </w:r>
    </w:p>
    <w:p w14:paraId="2AC583A6"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is based on secondary</w:t>
      </w:r>
      <w:r>
        <w:rPr>
          <w:rFonts w:ascii="Times New Roman" w:hAnsi="Times New Roman" w:cs="Times New Roman"/>
          <w:sz w:val="24"/>
          <w:szCs w:val="24"/>
        </w:rPr>
        <w:t xml:space="preserve"> data from the World Development Indicators (World Bank, 2023) for the period 1980-2021. To test the significant impact of remittances on economic growth, we set up the growth equation as follows;</w:t>
      </w:r>
    </w:p>
    <w:p w14:paraId="7658418E"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ln</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GDP</w:t>
      </w:r>
      <w:r>
        <w:rPr>
          <w:rFonts w:ascii="Times New Roman" w:hAnsi="Times New Roman" w:cs="Times New Roman"/>
          <w:i/>
          <w:iCs/>
          <w:sz w:val="24"/>
          <w:szCs w:val="24"/>
          <w:vertAlign w:val="subscript"/>
        </w:rPr>
        <w:t>t</w:t>
      </w:r>
      <w:proofErr w:type="spellEnd"/>
      <w:r>
        <w:rPr>
          <w:rFonts w:ascii="Times New Roman" w:hAnsi="Times New Roman" w:cs="Times New Roman"/>
          <w:i/>
          <w:iCs/>
          <w:sz w:val="24"/>
          <w:szCs w:val="24"/>
        </w:rPr>
        <w:t>= α+β</w:t>
      </w:r>
      <w:r>
        <w:rPr>
          <w:rFonts w:ascii="Times New Roman" w:hAnsi="Times New Roman" w:cs="Times New Roman"/>
          <w:i/>
          <w:iCs/>
          <w:sz w:val="24"/>
          <w:szCs w:val="24"/>
          <w:vertAlign w:val="subscript"/>
        </w:rPr>
        <w:t>1</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GFCF</w:t>
      </w:r>
      <w:r>
        <w:rPr>
          <w:rFonts w:ascii="Times New Roman" w:hAnsi="Times New Roman" w:cs="Times New Roman"/>
          <w:i/>
          <w:iCs/>
          <w:sz w:val="24"/>
          <w:szCs w:val="24"/>
          <w:vertAlign w:val="subscript"/>
        </w:rPr>
        <w:t>t</w:t>
      </w:r>
      <w:proofErr w:type="spellEnd"/>
      <w:r>
        <w:rPr>
          <w:rFonts w:ascii="Times New Roman" w:hAnsi="Times New Roman" w:cs="Times New Roman"/>
          <w:i/>
          <w:iCs/>
          <w:sz w:val="24"/>
          <w:szCs w:val="24"/>
        </w:rPr>
        <w:t>+ β</w:t>
      </w:r>
      <w:r>
        <w:rPr>
          <w:rFonts w:ascii="Times New Roman" w:hAnsi="Times New Roman" w:cs="Times New Roman"/>
          <w:i/>
          <w:iCs/>
          <w:sz w:val="24"/>
          <w:szCs w:val="24"/>
          <w:vertAlign w:val="subscript"/>
        </w:rPr>
        <w:t>2</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REMt</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μ</w:t>
      </w:r>
      <w:r>
        <w:rPr>
          <w:rFonts w:ascii="Times New Roman" w:hAnsi="Times New Roman" w:cs="Times New Roman"/>
          <w:i/>
          <w:iCs/>
          <w:sz w:val="24"/>
          <w:szCs w:val="24"/>
          <w:vertAlign w:val="subscript"/>
        </w:rPr>
        <w:t>i</w:t>
      </w:r>
      <w:proofErr w:type="spellEnd"/>
      <w:r>
        <w:rPr>
          <w:rFonts w:ascii="Times New Roman" w:hAnsi="Times New Roman" w:cs="Times New Roman"/>
          <w:i/>
          <w:iCs/>
          <w:sz w:val="24"/>
          <w:szCs w:val="24"/>
        </w:rPr>
        <w:t>…………………………... (</w:t>
      </w:r>
      <w:r>
        <w:rPr>
          <w:rFonts w:ascii="Times New Roman" w:hAnsi="Times New Roman" w:cs="Times New Roman"/>
          <w:sz w:val="24"/>
          <w:szCs w:val="24"/>
        </w:rPr>
        <w:t>1)</w:t>
      </w:r>
    </w:p>
    <w:p w14:paraId="32D7E504"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sz w:val="24"/>
          <w:szCs w:val="24"/>
        </w:rPr>
        <w:t>“Where ‘</w:t>
      </w:r>
      <w:r>
        <w:rPr>
          <w:rFonts w:ascii="Times New Roman" w:hAnsi="Times New Roman" w:cs="Times New Roman"/>
          <w:i/>
          <w:sz w:val="24"/>
          <w:szCs w:val="24"/>
        </w:rPr>
        <w:t>ln</w:t>
      </w:r>
      <w:r>
        <w:rPr>
          <w:rFonts w:ascii="Times New Roman" w:hAnsi="Times New Roman" w:cs="Times New Roman"/>
          <w:sz w:val="24"/>
          <w:szCs w:val="24"/>
        </w:rPr>
        <w:t>’ denotes the natural logarithms of respective variables. Data for real GDP per capita (</w:t>
      </w:r>
      <w:r>
        <w:rPr>
          <w:rFonts w:ascii="Times New Roman" w:hAnsi="Times New Roman" w:cs="Times New Roman"/>
          <w:i/>
          <w:sz w:val="24"/>
          <w:szCs w:val="24"/>
        </w:rPr>
        <w:t xml:space="preserve">ln </w:t>
      </w:r>
      <w:r>
        <w:rPr>
          <w:rFonts w:ascii="Times New Roman" w:hAnsi="Times New Roman" w:cs="Times New Roman"/>
          <w:sz w:val="24"/>
          <w:szCs w:val="24"/>
        </w:rPr>
        <w:t>GDP) represents the data for Real GDP Per capita which is used as proxy for per capita income, (</w:t>
      </w:r>
      <w:r>
        <w:rPr>
          <w:rFonts w:ascii="Times New Roman" w:hAnsi="Times New Roman" w:cs="Times New Roman"/>
          <w:i/>
          <w:sz w:val="24"/>
          <w:szCs w:val="24"/>
        </w:rPr>
        <w:t xml:space="preserve">ln </w:t>
      </w:r>
      <w:r>
        <w:rPr>
          <w:rFonts w:ascii="Times New Roman" w:hAnsi="Times New Roman" w:cs="Times New Roman"/>
          <w:sz w:val="24"/>
          <w:szCs w:val="24"/>
        </w:rPr>
        <w:t>GFCF) is the Real Gross Fixed Capit</w:t>
      </w:r>
      <w:r>
        <w:rPr>
          <w:rFonts w:ascii="Times New Roman" w:hAnsi="Times New Roman" w:cs="Times New Roman"/>
          <w:sz w:val="24"/>
          <w:szCs w:val="24"/>
        </w:rPr>
        <w:t>al Formation which is used as proxy for capital stock, and (</w:t>
      </w:r>
      <w:r>
        <w:rPr>
          <w:rFonts w:ascii="Times New Roman" w:hAnsi="Times New Roman" w:cs="Times New Roman"/>
          <w:i/>
          <w:sz w:val="24"/>
          <w:szCs w:val="24"/>
        </w:rPr>
        <w:t xml:space="preserve">ln </w:t>
      </w:r>
      <w:r>
        <w:rPr>
          <w:rFonts w:ascii="Times New Roman" w:hAnsi="Times New Roman" w:cs="Times New Roman"/>
          <w:sz w:val="24"/>
          <w:szCs w:val="24"/>
        </w:rPr>
        <w:t xml:space="preserve">REM) is the Real Remittances per capita, these are the </w:t>
      </w:r>
      <w:commentRangeStart w:id="24"/>
      <w:r>
        <w:rPr>
          <w:rFonts w:ascii="Times New Roman" w:hAnsi="Times New Roman" w:cs="Times New Roman"/>
          <w:sz w:val="24"/>
          <w:szCs w:val="24"/>
        </w:rPr>
        <w:t>variables</w:t>
      </w:r>
      <w:commentRangeEnd w:id="24"/>
      <w:r w:rsidR="003C5BE8">
        <w:rPr>
          <w:rStyle w:val="CommentReference"/>
        </w:rPr>
        <w:commentReference w:id="24"/>
      </w:r>
      <w:r>
        <w:rPr>
          <w:rFonts w:ascii="Times New Roman" w:hAnsi="Times New Roman" w:cs="Times New Roman"/>
          <w:sz w:val="24"/>
          <w:szCs w:val="24"/>
        </w:rPr>
        <w:t xml:space="preserve"> were taken from WDI for the year 1980-2021 in US$ at current prices”.</w:t>
      </w:r>
    </w:p>
    <w:p w14:paraId="1F798AD2"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eliminate spurious regression, the unit root t</w:t>
      </w:r>
      <w:r>
        <w:rPr>
          <w:rFonts w:ascii="Times New Roman" w:hAnsi="Times New Roman" w:cs="Times New Roman"/>
          <w:sz w:val="24"/>
          <w:szCs w:val="24"/>
        </w:rPr>
        <w:t xml:space="preserve">est for stationary was conducted to complete the econometric approach. Series were examined for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in a second phase to ascertain the long-term connection. The outcome of the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test revealed whether a correction term existed in the m</w:t>
      </w:r>
      <w:r>
        <w:rPr>
          <w:rFonts w:ascii="Times New Roman" w:hAnsi="Times New Roman" w:cs="Times New Roman"/>
          <w:sz w:val="24"/>
          <w:szCs w:val="24"/>
        </w:rPr>
        <w:t xml:space="preserve">odel, which was then employed in the following action. The error-correction model (ECM) is used to determine the relationship in this third phase if the series are </w:t>
      </w:r>
      <w:proofErr w:type="spellStart"/>
      <w:r>
        <w:rPr>
          <w:rFonts w:ascii="Times New Roman" w:hAnsi="Times New Roman" w:cs="Times New Roman"/>
          <w:sz w:val="24"/>
          <w:szCs w:val="24"/>
        </w:rPr>
        <w:lastRenderedPageBreak/>
        <w:t>cointegrated</w:t>
      </w:r>
      <w:proofErr w:type="spellEnd"/>
      <w:r>
        <w:rPr>
          <w:rFonts w:ascii="Times New Roman" w:hAnsi="Times New Roman" w:cs="Times New Roman"/>
          <w:sz w:val="24"/>
          <w:szCs w:val="24"/>
        </w:rPr>
        <w:t xml:space="preserve"> of the same order (Engle, R., &amp; Granger, 1987). In accordance with the Engle-Gr</w:t>
      </w:r>
      <w:r>
        <w:rPr>
          <w:rFonts w:ascii="Times New Roman" w:hAnsi="Times New Roman" w:cs="Times New Roman"/>
          <w:sz w:val="24"/>
          <w:szCs w:val="24"/>
        </w:rPr>
        <w:t>anger method, co integration in the model is checked using residual series produced by the following equation.</w:t>
      </w:r>
    </w:p>
    <w:p w14:paraId="14CF4EE4"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μ</w:t>
      </w:r>
      <w:r>
        <w:rPr>
          <w:rFonts w:ascii="Times New Roman" w:hAnsi="Times New Roman" w:cs="Times New Roman"/>
          <w:i/>
          <w:iCs/>
          <w:sz w:val="24"/>
          <w:szCs w:val="24"/>
          <w:vertAlign w:val="subscript"/>
        </w:rPr>
        <w:t>i</w:t>
      </w:r>
      <w:proofErr w:type="spellEnd"/>
      <w:proofErr w:type="gramEnd"/>
      <w:r>
        <w:rPr>
          <w:rFonts w:ascii="Times New Roman" w:hAnsi="Times New Roman" w:cs="Times New Roman"/>
          <w:i/>
          <w:iCs/>
          <w:sz w:val="24"/>
          <w:szCs w:val="24"/>
        </w:rPr>
        <w:t>= ln</w:t>
      </w:r>
      <w:r>
        <w:rPr>
          <w:rFonts w:ascii="Times New Roman" w:hAnsi="Times New Roman" w:cs="Times New Roman"/>
          <w:sz w:val="24"/>
          <w:szCs w:val="24"/>
        </w:rPr>
        <w:t xml:space="preserve"> </w:t>
      </w:r>
      <w:proofErr w:type="spellStart"/>
      <w:r>
        <w:rPr>
          <w:rFonts w:ascii="Times New Roman" w:hAnsi="Times New Roman" w:cs="Times New Roman"/>
          <w:sz w:val="24"/>
          <w:szCs w:val="24"/>
        </w:rPr>
        <w:t>GDP</w:t>
      </w:r>
      <w:r>
        <w:rPr>
          <w:rFonts w:ascii="Times New Roman" w:hAnsi="Times New Roman" w:cs="Times New Roman"/>
          <w:i/>
          <w:iCs/>
          <w:sz w:val="24"/>
          <w:szCs w:val="24"/>
          <w:vertAlign w:val="subscript"/>
        </w:rPr>
        <w:t>t</w:t>
      </w:r>
      <w:proofErr w:type="spellEnd"/>
      <w:r>
        <w:rPr>
          <w:rFonts w:ascii="Times New Roman" w:hAnsi="Times New Roman" w:cs="Times New Roman"/>
          <w:sz w:val="24"/>
          <w:szCs w:val="24"/>
        </w:rPr>
        <w:t xml:space="preserve"> – (</w:t>
      </w:r>
      <w:r>
        <w:rPr>
          <w:rFonts w:ascii="Times New Roman" w:hAnsi="Times New Roman" w:cs="Times New Roman"/>
          <w:i/>
          <w:iCs/>
          <w:sz w:val="24"/>
          <w:szCs w:val="24"/>
        </w:rPr>
        <w:t>α+β</w:t>
      </w:r>
      <w:r>
        <w:rPr>
          <w:rFonts w:ascii="Times New Roman" w:hAnsi="Times New Roman" w:cs="Times New Roman"/>
          <w:i/>
          <w:iCs/>
          <w:sz w:val="24"/>
          <w:szCs w:val="24"/>
          <w:vertAlign w:val="subscript"/>
        </w:rPr>
        <w:t>1</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GFCF</w:t>
      </w:r>
      <w:r>
        <w:rPr>
          <w:rFonts w:ascii="Times New Roman" w:hAnsi="Times New Roman" w:cs="Times New Roman"/>
          <w:i/>
          <w:iCs/>
          <w:sz w:val="24"/>
          <w:szCs w:val="24"/>
          <w:vertAlign w:val="subscript"/>
        </w:rPr>
        <w:t>t</w:t>
      </w:r>
      <w:proofErr w:type="spellEnd"/>
      <w:r>
        <w:rPr>
          <w:rFonts w:ascii="Times New Roman" w:hAnsi="Times New Roman" w:cs="Times New Roman"/>
          <w:i/>
          <w:iCs/>
          <w:sz w:val="24"/>
          <w:szCs w:val="24"/>
        </w:rPr>
        <w:t>+ β</w:t>
      </w:r>
      <w:r>
        <w:rPr>
          <w:rFonts w:ascii="Times New Roman" w:hAnsi="Times New Roman" w:cs="Times New Roman"/>
          <w:i/>
          <w:iCs/>
          <w:sz w:val="24"/>
          <w:szCs w:val="24"/>
          <w:vertAlign w:val="subscript"/>
        </w:rPr>
        <w:t>2</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REM</w:t>
      </w:r>
      <w:r>
        <w:rPr>
          <w:rFonts w:ascii="Times New Roman" w:hAnsi="Times New Roman" w:cs="Times New Roman"/>
          <w:i/>
          <w:iCs/>
          <w:sz w:val="24"/>
          <w:szCs w:val="24"/>
          <w:vertAlign w:val="subscript"/>
        </w:rPr>
        <w:t>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(2)</w:t>
      </w:r>
    </w:p>
    <w:p w14:paraId="701247EF" w14:textId="77777777" w:rsidR="00C46C26" w:rsidRDefault="000B46E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Unit Root Test</w:t>
      </w:r>
      <w:r>
        <w:rPr>
          <w:rFonts w:ascii="Times New Roman" w:hAnsi="Times New Roman" w:cs="Times New Roman"/>
          <w:i/>
          <w:iCs/>
          <w:sz w:val="24"/>
          <w:szCs w:val="24"/>
        </w:rPr>
        <w:t xml:space="preserve"> </w:t>
      </w:r>
    </w:p>
    <w:p w14:paraId="085E8421"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causality test and the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w:t>
      </w:r>
      <w:r>
        <w:rPr>
          <w:rFonts w:ascii="Times New Roman" w:hAnsi="Times New Roman" w:cs="Times New Roman"/>
          <w:sz w:val="24"/>
          <w:szCs w:val="24"/>
        </w:rPr>
        <w:t>test require a stationary test (</w:t>
      </w:r>
      <w:proofErr w:type="spellStart"/>
      <w:r>
        <w:rPr>
          <w:rFonts w:ascii="Times New Roman" w:hAnsi="Times New Roman" w:cs="Times New Roman"/>
          <w:sz w:val="24"/>
          <w:szCs w:val="24"/>
        </w:rPr>
        <w:t>Gyanwaly</w:t>
      </w:r>
      <w:proofErr w:type="spellEnd"/>
      <w:r>
        <w:rPr>
          <w:rFonts w:ascii="Times New Roman" w:hAnsi="Times New Roman" w:cs="Times New Roman"/>
          <w:sz w:val="24"/>
          <w:szCs w:val="24"/>
        </w:rPr>
        <w:t>, 2012). For every series taken into consideration in the analysis, it is critical to test for non-stationary behavior, defined as mean, variance, and auto-covariance that are not constant across time. A series is sa</w:t>
      </w:r>
      <w:r>
        <w:rPr>
          <w:rFonts w:ascii="Times New Roman" w:hAnsi="Times New Roman" w:cs="Times New Roman"/>
          <w:sz w:val="24"/>
          <w:szCs w:val="24"/>
        </w:rPr>
        <w:t xml:space="preserve">id to be integrated of order "n" if, after being differentiated "n" times, it becomes stationary. This is the first stage in time series econometrics to establish causation between variables. The next stage is to check for the presence of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wh</w:t>
      </w:r>
      <w:r>
        <w:rPr>
          <w:rFonts w:ascii="Times New Roman" w:hAnsi="Times New Roman" w:cs="Times New Roman"/>
          <w:sz w:val="24"/>
          <w:szCs w:val="24"/>
        </w:rPr>
        <w:t>ich is the long-term link between variables, if the series are found to be integrated of the same order (Gujarati, D., 2004).</w:t>
      </w:r>
    </w:p>
    <w:p w14:paraId="2CFF9379" w14:textId="77777777" w:rsidR="00C46C26" w:rsidRDefault="000B46EF">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Error Correction Mechanism (ECM)</w:t>
      </w:r>
    </w:p>
    <w:p w14:paraId="63C9463F"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tests described in the preceding section showed that the variables in our</w:t>
      </w:r>
      <w:r>
        <w:rPr>
          <w:rFonts w:ascii="Times New Roman" w:hAnsi="Times New Roman" w:cs="Times New Roman"/>
          <w:sz w:val="24"/>
          <w:szCs w:val="24"/>
        </w:rPr>
        <w:t xml:space="preserve"> analysis are </w:t>
      </w:r>
      <w:proofErr w:type="spellStart"/>
      <w:r>
        <w:rPr>
          <w:rFonts w:ascii="Times New Roman" w:hAnsi="Times New Roman" w:cs="Times New Roman"/>
          <w:sz w:val="24"/>
          <w:szCs w:val="24"/>
        </w:rPr>
        <w:t>cointegrated</w:t>
      </w:r>
      <w:proofErr w:type="spellEnd"/>
      <w:r>
        <w:rPr>
          <w:rFonts w:ascii="Times New Roman" w:hAnsi="Times New Roman" w:cs="Times New Roman"/>
          <w:sz w:val="24"/>
          <w:szCs w:val="24"/>
        </w:rPr>
        <w:t xml:space="preserve"> of order one, i.e., the long-run causality, the ECM mechanism is utilized in this paper to evaluate the link between GDP and remittances. Error-correction mechanism (ECM) is employed to test the relationship in equation (2), beca</w:t>
      </w:r>
      <w:r>
        <w:rPr>
          <w:rFonts w:ascii="Times New Roman" w:hAnsi="Times New Roman" w:cs="Times New Roman"/>
          <w:sz w:val="24"/>
          <w:szCs w:val="24"/>
        </w:rPr>
        <w:t>use the Engle-Granger critical value indicates that the model has long-run association ship. Based on the error-correction term ECT (-1), the ECM can evaluate long-term causal linkages and can be expressed as;</w:t>
      </w:r>
    </w:p>
    <w:p w14:paraId="3B98CF0E"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i/>
          <w:iCs/>
          <w:sz w:val="24"/>
          <w:szCs w:val="24"/>
        </w:rPr>
        <w:t>ln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GDP</w:t>
      </w:r>
      <w:r>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α +β</w:t>
      </w:r>
      <w:r>
        <w:rPr>
          <w:rFonts w:ascii="Times New Roman" w:hAnsi="Times New Roman" w:cs="Times New Roman"/>
          <w:i/>
          <w:iCs/>
          <w:sz w:val="24"/>
          <w:szCs w:val="24"/>
          <w:vertAlign w:val="subscript"/>
        </w:rPr>
        <w:t>1</w:t>
      </w:r>
      <w:r>
        <w:rPr>
          <w:rFonts w:ascii="Times New Roman" w:hAnsi="Times New Roman" w:cs="Times New Roman"/>
          <w:sz w:val="24"/>
          <w:szCs w:val="24"/>
        </w:rPr>
        <w:t xml:space="preserve"> ∆ </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GFCF</w:t>
      </w:r>
      <w:r>
        <w:rPr>
          <w:rFonts w:ascii="Times New Roman" w:hAnsi="Times New Roman" w:cs="Times New Roman"/>
          <w:sz w:val="24"/>
          <w:szCs w:val="24"/>
          <w:vertAlign w:val="subscript"/>
        </w:rPr>
        <w:t>t</w:t>
      </w:r>
      <w:proofErr w:type="spellEnd"/>
      <w:r>
        <w:rPr>
          <w:rFonts w:ascii="Times New Roman" w:hAnsi="Times New Roman" w:cs="Times New Roman"/>
          <w:i/>
          <w:iCs/>
          <w:sz w:val="24"/>
          <w:szCs w:val="24"/>
        </w:rPr>
        <w:t>+ β</w:t>
      </w:r>
      <w:r>
        <w:rPr>
          <w:rFonts w:ascii="Times New Roman" w:hAnsi="Times New Roman" w:cs="Times New Roman"/>
          <w:i/>
          <w:iCs/>
          <w:sz w:val="24"/>
          <w:szCs w:val="24"/>
          <w:vertAlign w:val="subscript"/>
        </w:rPr>
        <w:t>2</w:t>
      </w:r>
      <w:r>
        <w:rPr>
          <w:rFonts w:ascii="Times New Roman" w:hAnsi="Times New Roman" w:cs="Times New Roman"/>
          <w:sz w:val="24"/>
          <w:szCs w:val="24"/>
        </w:rPr>
        <w:t xml:space="preserve"> ∆ </w:t>
      </w:r>
      <w:r>
        <w:rPr>
          <w:rFonts w:ascii="Times New Roman" w:hAnsi="Times New Roman" w:cs="Times New Roman"/>
          <w:i/>
          <w:iCs/>
          <w:sz w:val="24"/>
          <w:szCs w:val="24"/>
        </w:rPr>
        <w:t xml:space="preserve">ln </w:t>
      </w:r>
      <w:proofErr w:type="spellStart"/>
      <w:r>
        <w:rPr>
          <w:rFonts w:ascii="Times New Roman" w:hAnsi="Times New Roman" w:cs="Times New Roman"/>
          <w:i/>
          <w:iCs/>
          <w:sz w:val="24"/>
          <w:szCs w:val="24"/>
        </w:rPr>
        <w:t>REM</w:t>
      </w:r>
      <w:r>
        <w:rPr>
          <w:rFonts w:ascii="Times New Roman" w:hAnsi="Times New Roman" w:cs="Times New Roman"/>
          <w:sz w:val="24"/>
          <w:szCs w:val="24"/>
          <w:vertAlign w:val="subscript"/>
        </w:rPr>
        <w:t>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μ</w:t>
      </w:r>
      <w:r>
        <w:rPr>
          <w:rFonts w:ascii="Times New Roman" w:hAnsi="Times New Roman" w:cs="Times New Roman"/>
          <w:i/>
          <w:iCs/>
          <w:sz w:val="24"/>
          <w:szCs w:val="24"/>
          <w:vertAlign w:val="subscript"/>
        </w:rPr>
        <w:t>i</w:t>
      </w:r>
      <w:proofErr w:type="spellEnd"/>
      <w:r>
        <w:rPr>
          <w:rFonts w:ascii="Times New Roman" w:hAnsi="Times New Roman" w:cs="Times New Roman"/>
          <w:sz w:val="24"/>
          <w:szCs w:val="24"/>
        </w:rPr>
        <w:t>…………………………………….. (2)</w:t>
      </w:r>
    </w:p>
    <w:p w14:paraId="704C22B3" w14:textId="77777777" w:rsidR="00C46C26" w:rsidRDefault="000B4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ECTt-1 is the error correction term (ECT) resulting from the long-run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relationship, and </w:t>
      </w:r>
      <w:proofErr w:type="spellStart"/>
      <w:r>
        <w:rPr>
          <w:rFonts w:ascii="Times New Roman" w:hAnsi="Times New Roman" w:cs="Times New Roman"/>
          <w:i/>
          <w:iCs/>
          <w:sz w:val="24"/>
          <w:szCs w:val="24"/>
        </w:rPr>
        <w:t>μ</w:t>
      </w:r>
      <w:r>
        <w:rPr>
          <w:rFonts w:ascii="Times New Roman" w:hAnsi="Times New Roman" w:cs="Times New Roman"/>
          <w:i/>
          <w:iCs/>
          <w:sz w:val="24"/>
          <w:szCs w:val="24"/>
          <w:vertAlign w:val="subscript"/>
        </w:rPr>
        <w:t>i</w:t>
      </w:r>
      <w:proofErr w:type="spellEnd"/>
      <w:r>
        <w:rPr>
          <w:rFonts w:ascii="Times New Roman" w:hAnsi="Times New Roman" w:cs="Times New Roman"/>
          <w:i/>
          <w:iCs/>
          <w:sz w:val="24"/>
          <w:szCs w:val="24"/>
          <w:vertAlign w:val="subscript"/>
        </w:rPr>
        <w:t xml:space="preserve"> </w:t>
      </w:r>
      <w:r>
        <w:rPr>
          <w:rFonts w:ascii="Times New Roman" w:hAnsi="Times New Roman" w:cs="Times New Roman"/>
          <w:sz w:val="24"/>
          <w:szCs w:val="24"/>
        </w:rPr>
        <w:t>is the white noise error term, ∆ denotes the first difference of variables that captures their short-run disturbances throu</w:t>
      </w:r>
      <w:r>
        <w:rPr>
          <w:rFonts w:ascii="Times New Roman" w:hAnsi="Times New Roman" w:cs="Times New Roman"/>
          <w:sz w:val="24"/>
          <w:szCs w:val="24"/>
        </w:rPr>
        <w:t>ghout periods t=1</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3, 4, ……. n.</w:t>
      </w:r>
    </w:p>
    <w:p w14:paraId="55D38861" w14:textId="77777777" w:rsidR="00C46C26" w:rsidRDefault="000B46E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Long-Run and Short Run Relationship </w:t>
      </w:r>
    </w:p>
    <w:p w14:paraId="2F23DD36"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pace of adjustment is indicated by the ECT coefficient, which also explains the long-term relationship between the dependent and independent variables. The size of coefficient of </w:t>
      </w:r>
      <w:r>
        <w:rPr>
          <w:rFonts w:ascii="Times New Roman" w:hAnsi="Times New Roman" w:cs="Times New Roman"/>
          <w:sz w:val="24"/>
          <w:szCs w:val="24"/>
        </w:rPr>
        <w:t xml:space="preserve">ECT provides information on how much the dependent variables have deviated from the long-term </w:t>
      </w:r>
      <w:r>
        <w:rPr>
          <w:rFonts w:ascii="Times New Roman" w:hAnsi="Times New Roman" w:cs="Times New Roman"/>
          <w:sz w:val="24"/>
          <w:szCs w:val="24"/>
        </w:rPr>
        <w:lastRenderedPageBreak/>
        <w:t>equilibrium, and its significance coefficient implies that the dependent variables are derived from the long-term mechanism in the equilibrium connection. A negat</w:t>
      </w:r>
      <w:r>
        <w:rPr>
          <w:rFonts w:ascii="Times New Roman" w:hAnsi="Times New Roman" w:cs="Times New Roman"/>
          <w:sz w:val="24"/>
          <w:szCs w:val="24"/>
        </w:rPr>
        <w:t>ive number between 0 and -1, according to the general rule, shows roughly how many periods the equilibrium is regained. The ECT coefficient should also be substantial. Analyzing the significance of the independent variable's coefficients allows us to asses</w:t>
      </w:r>
      <w:r>
        <w:rPr>
          <w:rFonts w:ascii="Times New Roman" w:hAnsi="Times New Roman" w:cs="Times New Roman"/>
          <w:sz w:val="24"/>
          <w:szCs w:val="24"/>
        </w:rPr>
        <w:t>s the short-run relationship at the same time.</w:t>
      </w:r>
    </w:p>
    <w:p w14:paraId="0DEA30A5" w14:textId="77777777" w:rsidR="00C46C26" w:rsidRDefault="000B46EF">
      <w:pPr>
        <w:spacing w:line="360" w:lineRule="auto"/>
        <w:jc w:val="both"/>
        <w:rPr>
          <w:rFonts w:ascii="Times New Roman" w:hAnsi="Times New Roman" w:cs="Times New Roman"/>
          <w:b/>
          <w:sz w:val="28"/>
          <w:szCs w:val="28"/>
        </w:rPr>
      </w:pPr>
      <w:r>
        <w:rPr>
          <w:rFonts w:ascii="Times New Roman" w:hAnsi="Times New Roman" w:cs="Times New Roman"/>
          <w:b/>
          <w:sz w:val="28"/>
          <w:szCs w:val="28"/>
        </w:rPr>
        <w:t>IV. Results and Discussions</w:t>
      </w:r>
    </w:p>
    <w:p w14:paraId="6C58DD1D"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major goal of the study is to look at the relationship between remittances and economic growth in the Indian economy from 1980 to 2021. If remittances are used effectively, they</w:t>
      </w:r>
      <w:r>
        <w:rPr>
          <w:rFonts w:ascii="Times New Roman" w:hAnsi="Times New Roman" w:cs="Times New Roman"/>
          <w:sz w:val="24"/>
          <w:szCs w:val="24"/>
        </w:rPr>
        <w:t xml:space="preserve"> can significantly increase saving, investment, the creation of human capital, and household consumption, lowering poverty and raising the country's GDP. Remittances' impact on development is mostly influenced by their volume and successful usage by the re</w:t>
      </w:r>
      <w:r>
        <w:rPr>
          <w:rFonts w:ascii="Times New Roman" w:hAnsi="Times New Roman" w:cs="Times New Roman"/>
          <w:sz w:val="24"/>
          <w:szCs w:val="24"/>
        </w:rPr>
        <w:t>cipient. Consequently, remittances can get through the saving and foreign exchange restrictions, allowing an economy to grow at a faster rate (</w:t>
      </w:r>
      <w:proofErr w:type="spellStart"/>
      <w:r>
        <w:rPr>
          <w:rFonts w:ascii="Times New Roman" w:hAnsi="Times New Roman" w:cs="Times New Roman"/>
          <w:sz w:val="24"/>
          <w:szCs w:val="24"/>
        </w:rPr>
        <w:t>Nayyar</w:t>
      </w:r>
      <w:proofErr w:type="spellEnd"/>
      <w:r>
        <w:rPr>
          <w:rFonts w:ascii="Times New Roman" w:hAnsi="Times New Roman" w:cs="Times New Roman"/>
          <w:sz w:val="24"/>
          <w:szCs w:val="24"/>
        </w:rPr>
        <w:t>, 2008).</w:t>
      </w:r>
    </w:p>
    <w:p w14:paraId="2827A410"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co-integration and VECM techniques are applied on selected indicators to determine the relatio</w:t>
      </w:r>
      <w:r>
        <w:rPr>
          <w:rFonts w:ascii="Times New Roman" w:hAnsi="Times New Roman" w:cs="Times New Roman"/>
          <w:sz w:val="24"/>
          <w:szCs w:val="24"/>
        </w:rPr>
        <w:t xml:space="preserve">nship between remittances and the expansion of the Indian economy. Through the ADF test, the unit root situation among the chosen variables is examined. All of the selected variables are discovered to be non-stationary at level with constant term. Table-1 </w:t>
      </w:r>
      <w:r>
        <w:rPr>
          <w:rFonts w:ascii="Times New Roman" w:hAnsi="Times New Roman" w:cs="Times New Roman"/>
          <w:sz w:val="24"/>
          <w:szCs w:val="24"/>
        </w:rPr>
        <w:t xml:space="preserve">summarizes the ADF results and all the variables were found to be stationary when considering the first difference. Therefore, all of the chosen variables are integrated in the same order, i.e.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1).</w:t>
      </w:r>
    </w:p>
    <w:p w14:paraId="7CF519D7" w14:textId="77777777" w:rsidR="00C46C26" w:rsidRDefault="00C46C26">
      <w:pPr>
        <w:spacing w:line="360" w:lineRule="auto"/>
        <w:jc w:val="both"/>
        <w:rPr>
          <w:rFonts w:ascii="Times New Roman" w:hAnsi="Times New Roman" w:cs="Times New Roman"/>
          <w:sz w:val="24"/>
          <w:szCs w:val="24"/>
        </w:rPr>
      </w:pPr>
    </w:p>
    <w:tbl>
      <w:tblPr>
        <w:tblStyle w:val="PlainTable21"/>
        <w:tblpPr w:leftFromText="180" w:rightFromText="180" w:vertAnchor="text" w:horzAnchor="margin" w:tblpXSpec="center" w:tblpY="530"/>
        <w:tblW w:w="4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115"/>
        <w:gridCol w:w="3095"/>
      </w:tblGrid>
      <w:tr w:rsidR="00C46C26" w14:paraId="04F41E4E" w14:textId="77777777" w:rsidTr="00C46C26">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68" w:type="pct"/>
          </w:tcPr>
          <w:p w14:paraId="61ED45D1" w14:textId="77777777" w:rsidR="00C46C26" w:rsidRDefault="000B46EF">
            <w:pPr>
              <w:spacing w:line="360" w:lineRule="auto"/>
              <w:jc w:val="center"/>
              <w:rPr>
                <w:rFonts w:ascii="Times New Roman" w:hAnsi="Times New Roman" w:cs="Times New Roman"/>
                <w:b w:val="0"/>
                <w:bCs w:val="0"/>
                <w:sz w:val="24"/>
                <w:szCs w:val="24"/>
              </w:rPr>
            </w:pPr>
            <w:r>
              <w:rPr>
                <w:rFonts w:ascii="Times New Roman" w:hAnsi="Times New Roman" w:cs="Times New Roman"/>
                <w:sz w:val="24"/>
                <w:szCs w:val="24"/>
              </w:rPr>
              <w:t>Variables</w:t>
            </w:r>
          </w:p>
        </w:tc>
        <w:tc>
          <w:tcPr>
            <w:tcW w:w="1393" w:type="pct"/>
          </w:tcPr>
          <w:p w14:paraId="669C454E" w14:textId="77777777" w:rsidR="00C46C26" w:rsidRDefault="000B46E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ADF at Level</w:t>
            </w:r>
          </w:p>
        </w:tc>
        <w:tc>
          <w:tcPr>
            <w:tcW w:w="2039" w:type="pct"/>
          </w:tcPr>
          <w:p w14:paraId="141BAE23" w14:textId="77777777" w:rsidR="00C46C26" w:rsidRDefault="000B46E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ADF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difference</w:t>
            </w:r>
          </w:p>
        </w:tc>
      </w:tr>
      <w:tr w:rsidR="00C46C26" w14:paraId="3385C8FF" w14:textId="77777777" w:rsidTr="00C46C26">
        <w:trPr>
          <w:trHeight w:val="188"/>
        </w:trPr>
        <w:tc>
          <w:tcPr>
            <w:cnfStyle w:val="001000000000" w:firstRow="0" w:lastRow="0" w:firstColumn="1" w:lastColumn="0" w:oddVBand="0" w:evenVBand="0" w:oddHBand="0" w:evenHBand="0" w:firstRowFirstColumn="0" w:firstRowLastColumn="0" w:lastRowFirstColumn="0" w:lastRowLastColumn="0"/>
            <w:tcW w:w="1568" w:type="pct"/>
            <w:tcBorders>
              <w:top w:val="single" w:sz="4" w:space="0" w:color="7F7F7F" w:themeColor="text1" w:themeTint="80"/>
              <w:bottom w:val="single" w:sz="4" w:space="0" w:color="7F7F7F" w:themeColor="text1" w:themeTint="80"/>
            </w:tcBorders>
          </w:tcPr>
          <w:p w14:paraId="243B428C" w14:textId="77777777" w:rsidR="00C46C26" w:rsidRDefault="000B46EF">
            <w:pPr>
              <w:spacing w:line="360" w:lineRule="auto"/>
              <w:jc w:val="center"/>
              <w:rPr>
                <w:rFonts w:ascii="Times New Roman" w:hAnsi="Times New Roman" w:cs="Times New Roman"/>
                <w:b w:val="0"/>
                <w:bCs w:val="0"/>
                <w:sz w:val="24"/>
                <w:szCs w:val="24"/>
              </w:rPr>
            </w:pPr>
            <w:r>
              <w:rPr>
                <w:rFonts w:ascii="Times New Roman" w:hAnsi="Times New Roman" w:cs="Times New Roman"/>
                <w:i/>
                <w:iCs/>
                <w:sz w:val="24"/>
                <w:szCs w:val="24"/>
              </w:rPr>
              <w:t xml:space="preserve">ln </w:t>
            </w:r>
            <w:r>
              <w:rPr>
                <w:rFonts w:ascii="Times New Roman" w:hAnsi="Times New Roman" w:cs="Times New Roman"/>
                <w:sz w:val="24"/>
                <w:szCs w:val="24"/>
              </w:rPr>
              <w:t>GDP</w:t>
            </w:r>
          </w:p>
        </w:tc>
        <w:tc>
          <w:tcPr>
            <w:tcW w:w="1393" w:type="pct"/>
            <w:tcBorders>
              <w:top w:val="single" w:sz="4" w:space="0" w:color="7F7F7F" w:themeColor="text1" w:themeTint="80"/>
              <w:bottom w:val="single" w:sz="4" w:space="0" w:color="7F7F7F" w:themeColor="text1" w:themeTint="80"/>
            </w:tcBorders>
          </w:tcPr>
          <w:p w14:paraId="1074AEC8"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0.959418</w:t>
            </w:r>
          </w:p>
        </w:tc>
        <w:tc>
          <w:tcPr>
            <w:tcW w:w="2039" w:type="pct"/>
            <w:tcBorders>
              <w:top w:val="single" w:sz="4" w:space="0" w:color="7F7F7F" w:themeColor="text1" w:themeTint="80"/>
              <w:bottom w:val="single" w:sz="4" w:space="0" w:color="7F7F7F" w:themeColor="text1" w:themeTint="80"/>
            </w:tcBorders>
          </w:tcPr>
          <w:p w14:paraId="6761F1CA"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-5.952947*</w:t>
            </w:r>
          </w:p>
        </w:tc>
      </w:tr>
      <w:tr w:rsidR="00C46C26" w14:paraId="65A3E5ED" w14:textId="77777777" w:rsidTr="00C46C26">
        <w:trPr>
          <w:trHeight w:val="181"/>
        </w:trPr>
        <w:tc>
          <w:tcPr>
            <w:cnfStyle w:val="001000000000" w:firstRow="0" w:lastRow="0" w:firstColumn="1" w:lastColumn="0" w:oddVBand="0" w:evenVBand="0" w:oddHBand="0" w:evenHBand="0" w:firstRowFirstColumn="0" w:firstRowLastColumn="0" w:lastRowFirstColumn="0" w:lastRowLastColumn="0"/>
            <w:tcW w:w="1568" w:type="pct"/>
          </w:tcPr>
          <w:p w14:paraId="2E7CA6B8" w14:textId="77777777" w:rsidR="00C46C26" w:rsidRDefault="000B46EF">
            <w:pPr>
              <w:spacing w:line="360" w:lineRule="auto"/>
              <w:jc w:val="center"/>
              <w:rPr>
                <w:rFonts w:ascii="Times New Roman" w:hAnsi="Times New Roman" w:cs="Times New Roman"/>
                <w:b w:val="0"/>
                <w:bCs w:val="0"/>
                <w:sz w:val="24"/>
                <w:szCs w:val="24"/>
              </w:rPr>
            </w:pPr>
            <w:r>
              <w:rPr>
                <w:rFonts w:ascii="Times New Roman" w:hAnsi="Times New Roman" w:cs="Times New Roman"/>
                <w:i/>
                <w:iCs/>
                <w:sz w:val="24"/>
                <w:szCs w:val="24"/>
              </w:rPr>
              <w:t xml:space="preserve">ln </w:t>
            </w:r>
            <w:r>
              <w:rPr>
                <w:rFonts w:ascii="Times New Roman" w:hAnsi="Times New Roman" w:cs="Times New Roman"/>
                <w:sz w:val="24"/>
                <w:szCs w:val="24"/>
              </w:rPr>
              <w:t>GFCF</w:t>
            </w:r>
          </w:p>
        </w:tc>
        <w:tc>
          <w:tcPr>
            <w:tcW w:w="1393" w:type="pct"/>
          </w:tcPr>
          <w:p w14:paraId="7F14B0A4"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4.584147</w:t>
            </w:r>
          </w:p>
        </w:tc>
        <w:tc>
          <w:tcPr>
            <w:tcW w:w="2039" w:type="pct"/>
          </w:tcPr>
          <w:p w14:paraId="57C96E93"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-2.290769**</w:t>
            </w:r>
          </w:p>
        </w:tc>
      </w:tr>
      <w:tr w:rsidR="00C46C26" w14:paraId="7095DEA3" w14:textId="77777777" w:rsidTr="00C46C26">
        <w:trPr>
          <w:trHeight w:val="188"/>
        </w:trPr>
        <w:tc>
          <w:tcPr>
            <w:cnfStyle w:val="001000000000" w:firstRow="0" w:lastRow="0" w:firstColumn="1" w:lastColumn="0" w:oddVBand="0" w:evenVBand="0" w:oddHBand="0" w:evenHBand="0" w:firstRowFirstColumn="0" w:firstRowLastColumn="0" w:lastRowFirstColumn="0" w:lastRowLastColumn="0"/>
            <w:tcW w:w="1568" w:type="pct"/>
            <w:tcBorders>
              <w:top w:val="single" w:sz="4" w:space="0" w:color="7F7F7F" w:themeColor="text1" w:themeTint="80"/>
              <w:bottom w:val="single" w:sz="4" w:space="0" w:color="7F7F7F" w:themeColor="text1" w:themeTint="80"/>
            </w:tcBorders>
          </w:tcPr>
          <w:p w14:paraId="5BB89DD9" w14:textId="77777777" w:rsidR="00C46C26" w:rsidRDefault="000B46EF">
            <w:pPr>
              <w:spacing w:line="360" w:lineRule="auto"/>
              <w:jc w:val="center"/>
              <w:rPr>
                <w:rFonts w:ascii="Times New Roman" w:hAnsi="Times New Roman" w:cs="Times New Roman"/>
                <w:b w:val="0"/>
                <w:bCs w:val="0"/>
                <w:sz w:val="24"/>
                <w:szCs w:val="24"/>
              </w:rPr>
            </w:pPr>
            <w:r>
              <w:rPr>
                <w:rFonts w:ascii="Times New Roman" w:hAnsi="Times New Roman" w:cs="Times New Roman"/>
                <w:i/>
                <w:iCs/>
                <w:sz w:val="24"/>
                <w:szCs w:val="24"/>
              </w:rPr>
              <w:t xml:space="preserve">ln </w:t>
            </w:r>
            <w:r>
              <w:rPr>
                <w:rFonts w:ascii="Times New Roman" w:hAnsi="Times New Roman" w:cs="Times New Roman"/>
                <w:sz w:val="24"/>
                <w:szCs w:val="24"/>
              </w:rPr>
              <w:t>REM</w:t>
            </w:r>
          </w:p>
        </w:tc>
        <w:tc>
          <w:tcPr>
            <w:tcW w:w="1393" w:type="pct"/>
            <w:tcBorders>
              <w:top w:val="single" w:sz="4" w:space="0" w:color="7F7F7F" w:themeColor="text1" w:themeTint="80"/>
              <w:bottom w:val="single" w:sz="4" w:space="0" w:color="7F7F7F" w:themeColor="text1" w:themeTint="80"/>
            </w:tcBorders>
          </w:tcPr>
          <w:p w14:paraId="548C651F"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3.517464</w:t>
            </w:r>
          </w:p>
        </w:tc>
        <w:tc>
          <w:tcPr>
            <w:tcW w:w="2039" w:type="pct"/>
            <w:tcBorders>
              <w:top w:val="single" w:sz="4" w:space="0" w:color="7F7F7F" w:themeColor="text1" w:themeTint="80"/>
              <w:bottom w:val="single" w:sz="4" w:space="0" w:color="7F7F7F" w:themeColor="text1" w:themeTint="80"/>
            </w:tcBorders>
          </w:tcPr>
          <w:p w14:paraId="2910478E" w14:textId="77777777" w:rsidR="00C46C26" w:rsidRDefault="000B46E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-7.050117*</w:t>
            </w:r>
          </w:p>
        </w:tc>
      </w:tr>
    </w:tbl>
    <w:p w14:paraId="408AFB11" w14:textId="77777777" w:rsidR="00C46C26" w:rsidRDefault="000B46EF">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Table1: Unit Root Test (Augmented Dicky-Fuller)</w:t>
      </w:r>
    </w:p>
    <w:p w14:paraId="2ECE8BBA" w14:textId="77777777" w:rsidR="00C46C26" w:rsidRDefault="00C46C26">
      <w:pPr>
        <w:spacing w:line="360" w:lineRule="auto"/>
        <w:jc w:val="both"/>
        <w:rPr>
          <w:rFonts w:ascii="Times New Roman" w:hAnsi="Times New Roman" w:cs="Times New Roman"/>
          <w:i/>
          <w:sz w:val="24"/>
          <w:szCs w:val="24"/>
        </w:rPr>
      </w:pPr>
    </w:p>
    <w:p w14:paraId="44D31C29" w14:textId="77777777" w:rsidR="00C46C26" w:rsidRDefault="00C46C26">
      <w:pPr>
        <w:spacing w:line="360" w:lineRule="auto"/>
        <w:jc w:val="both"/>
        <w:rPr>
          <w:rFonts w:ascii="Times New Roman" w:hAnsi="Times New Roman" w:cs="Times New Roman"/>
          <w:i/>
          <w:sz w:val="24"/>
          <w:szCs w:val="24"/>
        </w:rPr>
      </w:pPr>
    </w:p>
    <w:p w14:paraId="71EC3692" w14:textId="77777777" w:rsidR="00C46C26" w:rsidRDefault="000B46E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0DF66B8A" w14:textId="77777777" w:rsidR="00C46C26" w:rsidRDefault="000B46E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41884135"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Note: *and ** represents that the value is significant at 1% and 5% level of </w:t>
      </w:r>
      <w:r>
        <w:rPr>
          <w:rFonts w:ascii="Times New Roman" w:hAnsi="Times New Roman" w:cs="Times New Roman"/>
          <w:i/>
          <w:sz w:val="24"/>
          <w:szCs w:val="24"/>
        </w:rPr>
        <w:t>significance</w:t>
      </w:r>
    </w:p>
    <w:p w14:paraId="233A7150" w14:textId="77777777" w:rsidR="00C46C26" w:rsidRDefault="000B46EF">
      <w:pPr>
        <w:spacing w:line="360" w:lineRule="auto"/>
        <w:ind w:firstLine="720"/>
        <w:jc w:val="both"/>
        <w:rPr>
          <w:rFonts w:ascii="Times New Roman" w:hAnsi="Times New Roman" w:cs="Times New Roman"/>
          <w:sz w:val="24"/>
          <w:szCs w:val="24"/>
        </w:rPr>
      </w:pPr>
      <w:commentRangeStart w:id="25"/>
      <w:r>
        <w:rPr>
          <w:rFonts w:ascii="Times New Roman" w:hAnsi="Times New Roman" w:cs="Times New Roman"/>
          <w:sz w:val="24"/>
          <w:szCs w:val="24"/>
        </w:rPr>
        <w:lastRenderedPageBreak/>
        <w:t>We</w:t>
      </w:r>
      <w:commentRangeEnd w:id="25"/>
      <w:r w:rsidR="001357D3">
        <w:rPr>
          <w:rStyle w:val="CommentReference"/>
        </w:rPr>
        <w:commentReference w:id="25"/>
      </w:r>
      <w:r>
        <w:rPr>
          <w:rFonts w:ascii="Times New Roman" w:hAnsi="Times New Roman" w:cs="Times New Roman"/>
          <w:sz w:val="24"/>
          <w:szCs w:val="24"/>
        </w:rPr>
        <w:t xml:space="preserve"> proceed to test for the co integration relationships by using the Johansen test for co integration after determining that all variables are non-stationary and integrated of order one. Co-integrated variables ensure that we remove erroneous </w:t>
      </w:r>
      <w:r>
        <w:rPr>
          <w:rFonts w:ascii="Times New Roman" w:hAnsi="Times New Roman" w:cs="Times New Roman"/>
          <w:sz w:val="24"/>
          <w:szCs w:val="24"/>
        </w:rPr>
        <w:t xml:space="preserve">relationships and, as a result, share similar stochastic trends. Additionally, the fact that they </w:t>
      </w:r>
      <w:commentRangeStart w:id="26"/>
      <w:r>
        <w:rPr>
          <w:rFonts w:ascii="Times New Roman" w:hAnsi="Times New Roman" w:cs="Times New Roman"/>
          <w:sz w:val="24"/>
          <w:szCs w:val="24"/>
        </w:rPr>
        <w:t>are allows</w:t>
      </w:r>
      <w:commentRangeEnd w:id="26"/>
      <w:r w:rsidR="001357D3">
        <w:rPr>
          <w:rStyle w:val="CommentReference"/>
        </w:rPr>
        <w:commentReference w:id="26"/>
      </w:r>
      <w:r>
        <w:rPr>
          <w:rFonts w:ascii="Times New Roman" w:hAnsi="Times New Roman" w:cs="Times New Roman"/>
          <w:sz w:val="24"/>
          <w:szCs w:val="24"/>
        </w:rPr>
        <w:t xml:space="preserve"> us to formulate an Error Correction Model (ECM) when we establish the long-term correlation between the variables. We first calculate the unrestric</w:t>
      </w:r>
      <w:r>
        <w:rPr>
          <w:rFonts w:ascii="Times New Roman" w:hAnsi="Times New Roman" w:cs="Times New Roman"/>
          <w:sz w:val="24"/>
          <w:szCs w:val="24"/>
        </w:rPr>
        <w:t>ted VAR and establish the lag length selection criteria. The ideal lag length is 1, which was chosen. So, using the ideal lag length 1, we apply the Johansen co integration test.</w:t>
      </w:r>
    </w:p>
    <w:p w14:paraId="1419C27D"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Table-2 Lag length selection criteria through VAR</w:t>
      </w:r>
    </w:p>
    <w:tbl>
      <w:tblPr>
        <w:tblStyle w:val="PlainTable21"/>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334"/>
        <w:gridCol w:w="1334"/>
        <w:gridCol w:w="1334"/>
        <w:gridCol w:w="1334"/>
        <w:gridCol w:w="1334"/>
        <w:gridCol w:w="1334"/>
      </w:tblGrid>
      <w:tr w:rsidR="00C46C26" w14:paraId="2F3C8E0A" w14:textId="77777777" w:rsidTr="00C46C26">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bottom w:val="nil"/>
            </w:tcBorders>
          </w:tcPr>
          <w:p w14:paraId="3B46E045" w14:textId="77777777" w:rsidR="00C46C26" w:rsidRDefault="000B46EF">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Lag</w:t>
            </w:r>
          </w:p>
        </w:tc>
        <w:tc>
          <w:tcPr>
            <w:tcW w:w="1334" w:type="dxa"/>
            <w:tcBorders>
              <w:bottom w:val="nil"/>
            </w:tcBorders>
          </w:tcPr>
          <w:p w14:paraId="29168D03"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Log L</w:t>
            </w:r>
          </w:p>
        </w:tc>
        <w:tc>
          <w:tcPr>
            <w:tcW w:w="1334" w:type="dxa"/>
            <w:tcBorders>
              <w:bottom w:val="nil"/>
            </w:tcBorders>
          </w:tcPr>
          <w:p w14:paraId="612C6CAD"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LR</w:t>
            </w:r>
          </w:p>
        </w:tc>
        <w:tc>
          <w:tcPr>
            <w:tcW w:w="1334" w:type="dxa"/>
            <w:tcBorders>
              <w:bottom w:val="nil"/>
            </w:tcBorders>
          </w:tcPr>
          <w:p w14:paraId="005218B8"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FPE</w:t>
            </w:r>
          </w:p>
        </w:tc>
        <w:tc>
          <w:tcPr>
            <w:tcW w:w="1334" w:type="dxa"/>
            <w:tcBorders>
              <w:bottom w:val="nil"/>
            </w:tcBorders>
          </w:tcPr>
          <w:p w14:paraId="688B0596"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AIC</w:t>
            </w:r>
          </w:p>
        </w:tc>
        <w:tc>
          <w:tcPr>
            <w:tcW w:w="1334" w:type="dxa"/>
            <w:tcBorders>
              <w:bottom w:val="nil"/>
            </w:tcBorders>
          </w:tcPr>
          <w:p w14:paraId="386234EB"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SC</w:t>
            </w:r>
          </w:p>
        </w:tc>
        <w:tc>
          <w:tcPr>
            <w:tcW w:w="1334" w:type="dxa"/>
            <w:tcBorders>
              <w:bottom w:val="nil"/>
            </w:tcBorders>
          </w:tcPr>
          <w:p w14:paraId="2A94F30A" w14:textId="77777777" w:rsidR="00C46C26" w:rsidRDefault="000B46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HQ</w:t>
            </w:r>
          </w:p>
        </w:tc>
      </w:tr>
      <w:tr w:rsidR="00C46C26" w14:paraId="525DF641" w14:textId="77777777" w:rsidTr="00C46C26">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4121F371" w14:textId="77777777" w:rsidR="00C46C26" w:rsidRDefault="000B46EF">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0</w:t>
            </w:r>
          </w:p>
        </w:tc>
        <w:tc>
          <w:tcPr>
            <w:tcW w:w="1334" w:type="dxa"/>
            <w:tcBorders>
              <w:top w:val="nil"/>
              <w:bottom w:val="nil"/>
            </w:tcBorders>
          </w:tcPr>
          <w:p w14:paraId="4E851FC6"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-25.49606</w:t>
            </w:r>
          </w:p>
        </w:tc>
        <w:tc>
          <w:tcPr>
            <w:tcW w:w="1334" w:type="dxa"/>
            <w:tcBorders>
              <w:top w:val="nil"/>
              <w:bottom w:val="nil"/>
            </w:tcBorders>
          </w:tcPr>
          <w:p w14:paraId="6420D415"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w:t>
            </w:r>
          </w:p>
        </w:tc>
        <w:tc>
          <w:tcPr>
            <w:tcW w:w="1334" w:type="dxa"/>
            <w:tcBorders>
              <w:top w:val="nil"/>
              <w:bottom w:val="nil"/>
            </w:tcBorders>
          </w:tcPr>
          <w:p w14:paraId="5A750BB5"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0.000865</w:t>
            </w:r>
          </w:p>
        </w:tc>
        <w:tc>
          <w:tcPr>
            <w:tcW w:w="1334" w:type="dxa"/>
            <w:tcBorders>
              <w:top w:val="nil"/>
              <w:bottom w:val="nil"/>
            </w:tcBorders>
          </w:tcPr>
          <w:p w14:paraId="574F160A"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1.461336</w:t>
            </w:r>
          </w:p>
        </w:tc>
        <w:tc>
          <w:tcPr>
            <w:tcW w:w="1334" w:type="dxa"/>
            <w:tcBorders>
              <w:top w:val="nil"/>
              <w:bottom w:val="nil"/>
            </w:tcBorders>
          </w:tcPr>
          <w:p w14:paraId="100D5E12"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1.589303</w:t>
            </w:r>
          </w:p>
        </w:tc>
        <w:tc>
          <w:tcPr>
            <w:tcW w:w="1334" w:type="dxa"/>
            <w:tcBorders>
              <w:top w:val="nil"/>
              <w:bottom w:val="nil"/>
            </w:tcBorders>
          </w:tcPr>
          <w:p w14:paraId="6BDE833F"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1.507250</w:t>
            </w:r>
          </w:p>
        </w:tc>
      </w:tr>
      <w:tr w:rsidR="00C46C26" w14:paraId="4FB24BEE" w14:textId="77777777" w:rsidTr="00C46C26">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79BD0AE1" w14:textId="77777777" w:rsidR="00C46C26" w:rsidRDefault="000B46EF">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1</w:t>
            </w:r>
          </w:p>
        </w:tc>
        <w:tc>
          <w:tcPr>
            <w:tcW w:w="1334" w:type="dxa"/>
          </w:tcPr>
          <w:p w14:paraId="64574FD3"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139.4411</w:t>
            </w:r>
          </w:p>
        </w:tc>
        <w:tc>
          <w:tcPr>
            <w:tcW w:w="1334" w:type="dxa"/>
          </w:tcPr>
          <w:p w14:paraId="049E35B0"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296.0411*</w:t>
            </w:r>
          </w:p>
        </w:tc>
        <w:tc>
          <w:tcPr>
            <w:tcW w:w="1334" w:type="dxa"/>
          </w:tcPr>
          <w:p w14:paraId="447E40DB"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2.92e-07*</w:t>
            </w:r>
          </w:p>
        </w:tc>
        <w:tc>
          <w:tcPr>
            <w:tcW w:w="1334" w:type="dxa"/>
          </w:tcPr>
          <w:p w14:paraId="3A8AF9EF"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-6.535442*</w:t>
            </w:r>
          </w:p>
        </w:tc>
        <w:tc>
          <w:tcPr>
            <w:tcW w:w="1334" w:type="dxa"/>
          </w:tcPr>
          <w:p w14:paraId="00A320A4"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-6.023577*</w:t>
            </w:r>
          </w:p>
        </w:tc>
        <w:tc>
          <w:tcPr>
            <w:tcW w:w="1334" w:type="dxa"/>
          </w:tcPr>
          <w:p w14:paraId="0D27ECC0"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-6.351790*</w:t>
            </w:r>
          </w:p>
        </w:tc>
      </w:tr>
      <w:tr w:rsidR="00C46C26" w14:paraId="4695BA6B" w14:textId="77777777" w:rsidTr="00C46C26">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0617C810" w14:textId="77777777" w:rsidR="00C46C26" w:rsidRDefault="000B46EF">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2</w:t>
            </w:r>
          </w:p>
        </w:tc>
        <w:tc>
          <w:tcPr>
            <w:tcW w:w="1334" w:type="dxa"/>
            <w:tcBorders>
              <w:top w:val="nil"/>
              <w:bottom w:val="nil"/>
            </w:tcBorders>
          </w:tcPr>
          <w:p w14:paraId="5962BA78"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143.8993</w:t>
            </w:r>
          </w:p>
        </w:tc>
        <w:tc>
          <w:tcPr>
            <w:tcW w:w="1334" w:type="dxa"/>
            <w:tcBorders>
              <w:top w:val="nil"/>
              <w:bottom w:val="nil"/>
            </w:tcBorders>
          </w:tcPr>
          <w:p w14:paraId="3B987153"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7.316030</w:t>
            </w:r>
          </w:p>
        </w:tc>
        <w:tc>
          <w:tcPr>
            <w:tcW w:w="1334" w:type="dxa"/>
            <w:tcBorders>
              <w:top w:val="nil"/>
              <w:bottom w:val="nil"/>
            </w:tcBorders>
          </w:tcPr>
          <w:p w14:paraId="62404DEC"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3.72e-07</w:t>
            </w:r>
          </w:p>
        </w:tc>
        <w:tc>
          <w:tcPr>
            <w:tcW w:w="1334" w:type="dxa"/>
            <w:tcBorders>
              <w:top w:val="nil"/>
              <w:bottom w:val="nil"/>
            </w:tcBorders>
          </w:tcPr>
          <w:p w14:paraId="57FA4F98"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-6.302530</w:t>
            </w:r>
          </w:p>
        </w:tc>
        <w:tc>
          <w:tcPr>
            <w:tcW w:w="1334" w:type="dxa"/>
            <w:tcBorders>
              <w:top w:val="nil"/>
              <w:bottom w:val="nil"/>
            </w:tcBorders>
          </w:tcPr>
          <w:p w14:paraId="38CC5389"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-5.406766</w:t>
            </w:r>
          </w:p>
        </w:tc>
        <w:tc>
          <w:tcPr>
            <w:tcW w:w="1334" w:type="dxa"/>
            <w:tcBorders>
              <w:top w:val="nil"/>
              <w:bottom w:val="nil"/>
            </w:tcBorders>
          </w:tcPr>
          <w:p w14:paraId="11AD7608"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-5.981138</w:t>
            </w:r>
          </w:p>
        </w:tc>
      </w:tr>
      <w:tr w:rsidR="00C46C26" w14:paraId="23F30448" w14:textId="77777777" w:rsidTr="00C46C26">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791D6678" w14:textId="77777777" w:rsidR="00C46C26" w:rsidRDefault="000B46EF">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3</w:t>
            </w:r>
          </w:p>
        </w:tc>
        <w:tc>
          <w:tcPr>
            <w:tcW w:w="1334" w:type="dxa"/>
          </w:tcPr>
          <w:p w14:paraId="77F1145C"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150.8850</w:t>
            </w:r>
          </w:p>
        </w:tc>
        <w:tc>
          <w:tcPr>
            <w:tcW w:w="1334" w:type="dxa"/>
          </w:tcPr>
          <w:p w14:paraId="76A6F68B"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10.38897</w:t>
            </w:r>
          </w:p>
        </w:tc>
        <w:tc>
          <w:tcPr>
            <w:tcW w:w="1334" w:type="dxa"/>
          </w:tcPr>
          <w:p w14:paraId="7E4D2CB3"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4.22e-07</w:t>
            </w:r>
          </w:p>
        </w:tc>
        <w:tc>
          <w:tcPr>
            <w:tcW w:w="1334" w:type="dxa"/>
          </w:tcPr>
          <w:p w14:paraId="71B8D91E"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-6.199232</w:t>
            </w:r>
          </w:p>
        </w:tc>
        <w:tc>
          <w:tcPr>
            <w:tcW w:w="1334" w:type="dxa"/>
          </w:tcPr>
          <w:p w14:paraId="5B6E4B1C"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-4.919569</w:t>
            </w:r>
          </w:p>
        </w:tc>
        <w:tc>
          <w:tcPr>
            <w:tcW w:w="1334" w:type="dxa"/>
          </w:tcPr>
          <w:p w14:paraId="31444AB6" w14:textId="77777777" w:rsidR="00C46C26" w:rsidRDefault="000B46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-5.740100</w:t>
            </w:r>
          </w:p>
        </w:tc>
      </w:tr>
    </w:tbl>
    <w:p w14:paraId="3CF801AB" w14:textId="77777777" w:rsidR="00C46C26" w:rsidRDefault="000B46EF">
      <w:pPr>
        <w:pStyle w:val="ListParagraph"/>
        <w:spacing w:line="360" w:lineRule="auto"/>
        <w:ind w:left="540"/>
        <w:jc w:val="both"/>
        <w:rPr>
          <w:rFonts w:ascii="Times New Roman" w:hAnsi="Times New Roman" w:cs="Times New Roman"/>
          <w:i/>
          <w:sz w:val="24"/>
          <w:szCs w:val="24"/>
        </w:rPr>
      </w:pPr>
      <w:r>
        <w:rPr>
          <w:rFonts w:ascii="Times New Roman" w:hAnsi="Times New Roman" w:cs="Times New Roman"/>
          <w:i/>
          <w:sz w:val="24"/>
          <w:szCs w:val="24"/>
        </w:rPr>
        <w:t xml:space="preserve">Note: *Indicates </w:t>
      </w:r>
      <w:r>
        <w:rPr>
          <w:rFonts w:ascii="Times New Roman" w:hAnsi="Times New Roman" w:cs="Times New Roman"/>
          <w:i/>
          <w:sz w:val="24"/>
          <w:szCs w:val="24"/>
        </w:rPr>
        <w:t>lag order selected by the criterion.</w:t>
      </w:r>
    </w:p>
    <w:p w14:paraId="1164C9DA" w14:textId="77777777" w:rsidR="00C46C26" w:rsidRDefault="000B46EF">
      <w:pPr>
        <w:spacing w:line="360" w:lineRule="auto"/>
        <w:ind w:firstLine="540"/>
        <w:jc w:val="both"/>
        <w:rPr>
          <w:rFonts w:ascii="Times New Roman" w:hAnsi="Times New Roman" w:cs="Times New Roman"/>
          <w:iCs/>
          <w:sz w:val="24"/>
          <w:szCs w:val="24"/>
        </w:rPr>
      </w:pPr>
      <w:r>
        <w:rPr>
          <w:rFonts w:ascii="Times New Roman" w:hAnsi="Times New Roman" w:cs="Times New Roman"/>
          <w:iCs/>
          <w:sz w:val="24"/>
          <w:szCs w:val="24"/>
        </w:rPr>
        <w:t>The findings, as shown in Table 3, imply that the variables have two co-integrating relationships. The trace statistics (45.96291) is greater than the critical value (35.19275) from the Johansen table at 5% level of sig</w:t>
      </w:r>
      <w:r>
        <w:rPr>
          <w:rFonts w:ascii="Times New Roman" w:hAnsi="Times New Roman" w:cs="Times New Roman"/>
          <w:iCs/>
          <w:sz w:val="24"/>
          <w:szCs w:val="24"/>
        </w:rPr>
        <w:t>nificance, rejecting the null hypothesis that there is no co integrating vector. Furthermore, at the 5% level of significance, the maximum Eigen statistics (23.24864) is higher than the Eigen critical value (22.</w:t>
      </w:r>
      <w:commentRangeStart w:id="27"/>
      <w:r>
        <w:rPr>
          <w:rFonts w:ascii="Times New Roman" w:hAnsi="Times New Roman" w:cs="Times New Roman"/>
          <w:iCs/>
          <w:sz w:val="24"/>
          <w:szCs w:val="24"/>
        </w:rPr>
        <w:t>29962</w:t>
      </w:r>
      <w:commentRangeEnd w:id="27"/>
      <w:r w:rsidR="001357D3">
        <w:rPr>
          <w:rStyle w:val="CommentReference"/>
        </w:rPr>
        <w:commentReference w:id="27"/>
      </w:r>
      <w:r>
        <w:rPr>
          <w:rFonts w:ascii="Times New Roman" w:hAnsi="Times New Roman" w:cs="Times New Roman"/>
          <w:iCs/>
          <w:sz w:val="24"/>
          <w:szCs w:val="24"/>
        </w:rPr>
        <w:t>).</w:t>
      </w:r>
    </w:p>
    <w:p w14:paraId="3E2FFE3F" w14:textId="77777777" w:rsidR="001357D3" w:rsidRDefault="001357D3">
      <w:pPr>
        <w:spacing w:line="360" w:lineRule="auto"/>
        <w:jc w:val="both"/>
        <w:rPr>
          <w:rFonts w:ascii="Times New Roman" w:hAnsi="Times New Roman" w:cs="Times New Roman"/>
          <w:b/>
          <w:sz w:val="24"/>
          <w:szCs w:val="24"/>
        </w:rPr>
      </w:pPr>
    </w:p>
    <w:p w14:paraId="52399A04" w14:textId="77777777" w:rsidR="001357D3" w:rsidRDefault="001357D3">
      <w:pPr>
        <w:spacing w:line="360" w:lineRule="auto"/>
        <w:jc w:val="both"/>
        <w:rPr>
          <w:rFonts w:ascii="Times New Roman" w:hAnsi="Times New Roman" w:cs="Times New Roman"/>
          <w:b/>
          <w:sz w:val="24"/>
          <w:szCs w:val="24"/>
        </w:rPr>
      </w:pPr>
    </w:p>
    <w:p w14:paraId="06D67136" w14:textId="77777777" w:rsidR="001357D3" w:rsidRDefault="001357D3">
      <w:pPr>
        <w:spacing w:line="360" w:lineRule="auto"/>
        <w:jc w:val="both"/>
        <w:rPr>
          <w:rFonts w:ascii="Times New Roman" w:hAnsi="Times New Roman" w:cs="Times New Roman"/>
          <w:b/>
          <w:sz w:val="24"/>
          <w:szCs w:val="24"/>
        </w:rPr>
      </w:pPr>
    </w:p>
    <w:p w14:paraId="6BC1CB5A" w14:textId="77777777" w:rsidR="001357D3" w:rsidRDefault="001357D3">
      <w:pPr>
        <w:spacing w:line="360" w:lineRule="auto"/>
        <w:jc w:val="both"/>
        <w:rPr>
          <w:rFonts w:ascii="Times New Roman" w:hAnsi="Times New Roman" w:cs="Times New Roman"/>
          <w:b/>
          <w:sz w:val="24"/>
          <w:szCs w:val="24"/>
        </w:rPr>
      </w:pPr>
    </w:p>
    <w:p w14:paraId="04A33861" w14:textId="77777777" w:rsidR="001357D3" w:rsidRDefault="001357D3">
      <w:pPr>
        <w:spacing w:line="360" w:lineRule="auto"/>
        <w:jc w:val="both"/>
        <w:rPr>
          <w:rFonts w:ascii="Times New Roman" w:hAnsi="Times New Roman" w:cs="Times New Roman"/>
          <w:b/>
          <w:sz w:val="24"/>
          <w:szCs w:val="24"/>
        </w:rPr>
      </w:pPr>
    </w:p>
    <w:p w14:paraId="62A063AB" w14:textId="77777777" w:rsidR="00C46C26" w:rsidRDefault="000B46E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Table-3 </w:t>
      </w:r>
      <w:r>
        <w:rPr>
          <w:rFonts w:ascii="Times New Roman" w:hAnsi="Times New Roman" w:cs="Times New Roman"/>
          <w:b/>
          <w:bCs/>
          <w:sz w:val="24"/>
          <w:szCs w:val="24"/>
        </w:rPr>
        <w:t>Results of the Co integration</w:t>
      </w:r>
      <w:r>
        <w:rPr>
          <w:rFonts w:ascii="Times New Roman" w:hAnsi="Times New Roman" w:cs="Times New Roman"/>
          <w:b/>
          <w:bCs/>
          <w:sz w:val="24"/>
          <w:szCs w:val="24"/>
        </w:rPr>
        <w:t xml:space="preserve"> test</w:t>
      </w:r>
    </w:p>
    <w:tbl>
      <w:tblPr>
        <w:tblStyle w:val="PlainTable21"/>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18"/>
        <w:gridCol w:w="1617"/>
        <w:gridCol w:w="1617"/>
        <w:gridCol w:w="1617"/>
        <w:gridCol w:w="1617"/>
      </w:tblGrid>
      <w:tr w:rsidR="00C46C26" w14:paraId="51DA6E84" w14:textId="77777777" w:rsidTr="00C46C26">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bottom w:val="nil"/>
            </w:tcBorders>
          </w:tcPr>
          <w:p w14:paraId="3E1C8F28" w14:textId="77777777" w:rsidR="00C46C26" w:rsidRDefault="000B46EF">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Hypothesized</w:t>
            </w:r>
          </w:p>
        </w:tc>
        <w:tc>
          <w:tcPr>
            <w:tcW w:w="1618" w:type="dxa"/>
            <w:tcBorders>
              <w:bottom w:val="nil"/>
            </w:tcBorders>
          </w:tcPr>
          <w:p w14:paraId="68ACCAEB" w14:textId="77777777" w:rsidR="00C46C26" w:rsidRDefault="000B46EF">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Eigen value</w:t>
            </w:r>
          </w:p>
        </w:tc>
        <w:tc>
          <w:tcPr>
            <w:tcW w:w="1617" w:type="dxa"/>
            <w:tcBorders>
              <w:bottom w:val="nil"/>
            </w:tcBorders>
          </w:tcPr>
          <w:p w14:paraId="47F18DF6" w14:textId="77777777" w:rsidR="00C46C26" w:rsidRDefault="000B46EF">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Trace statistics </w:t>
            </w:r>
          </w:p>
        </w:tc>
        <w:tc>
          <w:tcPr>
            <w:tcW w:w="1617" w:type="dxa"/>
            <w:tcBorders>
              <w:bottom w:val="nil"/>
            </w:tcBorders>
          </w:tcPr>
          <w:p w14:paraId="18DFE21F" w14:textId="77777777" w:rsidR="00C46C26" w:rsidRDefault="000B46EF">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Critical value</w:t>
            </w:r>
          </w:p>
        </w:tc>
        <w:tc>
          <w:tcPr>
            <w:tcW w:w="1617" w:type="dxa"/>
            <w:tcBorders>
              <w:bottom w:val="nil"/>
            </w:tcBorders>
          </w:tcPr>
          <w:p w14:paraId="5FF28B3D" w14:textId="77777777" w:rsidR="00C46C26" w:rsidRDefault="000B46EF">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Max-</w:t>
            </w:r>
            <w:proofErr w:type="spellStart"/>
            <w:r>
              <w:rPr>
                <w:rFonts w:ascii="Times New Roman" w:hAnsi="Times New Roman" w:cs="Times New Roman"/>
                <w:sz w:val="24"/>
                <w:szCs w:val="24"/>
              </w:rPr>
              <w:t>eigen</w:t>
            </w:r>
            <w:proofErr w:type="spellEnd"/>
            <w:r>
              <w:rPr>
                <w:rFonts w:ascii="Times New Roman" w:hAnsi="Times New Roman" w:cs="Times New Roman"/>
                <w:sz w:val="24"/>
                <w:szCs w:val="24"/>
              </w:rPr>
              <w:t xml:space="preserve"> value</w:t>
            </w:r>
          </w:p>
        </w:tc>
        <w:tc>
          <w:tcPr>
            <w:tcW w:w="1617" w:type="dxa"/>
            <w:tcBorders>
              <w:bottom w:val="nil"/>
            </w:tcBorders>
          </w:tcPr>
          <w:p w14:paraId="76D4840A" w14:textId="77777777" w:rsidR="00C46C26" w:rsidRDefault="000B46EF">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Critical value</w:t>
            </w:r>
          </w:p>
        </w:tc>
      </w:tr>
      <w:tr w:rsidR="00C46C26" w14:paraId="6C988E9D" w14:textId="77777777" w:rsidTr="00C46C26">
        <w:trPr>
          <w:trHeight w:val="535"/>
          <w:jc w:val="center"/>
        </w:trPr>
        <w:tc>
          <w:tcPr>
            <w:cnfStyle w:val="001000000000" w:firstRow="0" w:lastRow="0" w:firstColumn="1" w:lastColumn="0" w:oddVBand="0" w:evenVBand="0" w:oddHBand="0" w:evenHBand="0" w:firstRowFirstColumn="0" w:firstRowLastColumn="0" w:lastRowFirstColumn="0" w:lastRowLastColumn="0"/>
            <w:tcW w:w="1675" w:type="dxa"/>
            <w:tcBorders>
              <w:top w:val="nil"/>
              <w:bottom w:val="nil"/>
            </w:tcBorders>
          </w:tcPr>
          <w:p w14:paraId="43CE9399" w14:textId="77777777" w:rsidR="00C46C26" w:rsidRDefault="000B46EF">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None *</w:t>
            </w:r>
          </w:p>
        </w:tc>
        <w:tc>
          <w:tcPr>
            <w:tcW w:w="1618" w:type="dxa"/>
            <w:tcBorders>
              <w:top w:val="nil"/>
              <w:bottom w:val="nil"/>
            </w:tcBorders>
          </w:tcPr>
          <w:p w14:paraId="67011FA8"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0.440782</w:t>
            </w:r>
          </w:p>
        </w:tc>
        <w:tc>
          <w:tcPr>
            <w:tcW w:w="1617" w:type="dxa"/>
            <w:tcBorders>
              <w:top w:val="nil"/>
              <w:bottom w:val="nil"/>
            </w:tcBorders>
          </w:tcPr>
          <w:p w14:paraId="31287062"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45.96291</w:t>
            </w:r>
          </w:p>
          <w:p w14:paraId="776C3F35"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(0.0024) *</w:t>
            </w:r>
          </w:p>
        </w:tc>
        <w:tc>
          <w:tcPr>
            <w:tcW w:w="1617" w:type="dxa"/>
            <w:tcBorders>
              <w:top w:val="nil"/>
              <w:bottom w:val="nil"/>
            </w:tcBorders>
          </w:tcPr>
          <w:p w14:paraId="0EC1CBC5"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35.19275</w:t>
            </w:r>
          </w:p>
        </w:tc>
        <w:tc>
          <w:tcPr>
            <w:tcW w:w="1617" w:type="dxa"/>
            <w:tcBorders>
              <w:top w:val="nil"/>
              <w:bottom w:val="nil"/>
            </w:tcBorders>
          </w:tcPr>
          <w:p w14:paraId="3BB2ED41"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23.24864</w:t>
            </w:r>
          </w:p>
          <w:p w14:paraId="5A44A24A"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(0.0368) *</w:t>
            </w:r>
          </w:p>
        </w:tc>
        <w:tc>
          <w:tcPr>
            <w:tcW w:w="1617" w:type="dxa"/>
            <w:tcBorders>
              <w:top w:val="nil"/>
              <w:bottom w:val="nil"/>
            </w:tcBorders>
          </w:tcPr>
          <w:p w14:paraId="1612DC42"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22.29962</w:t>
            </w:r>
          </w:p>
        </w:tc>
      </w:tr>
      <w:tr w:rsidR="00C46C26" w14:paraId="7D9D1412" w14:textId="77777777" w:rsidTr="00C46C26">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Pr>
          <w:p w14:paraId="33A4178B" w14:textId="77777777" w:rsidR="00C46C26" w:rsidRDefault="000B46EF">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At most 1 *</w:t>
            </w:r>
          </w:p>
        </w:tc>
        <w:tc>
          <w:tcPr>
            <w:tcW w:w="1618" w:type="dxa"/>
          </w:tcPr>
          <w:p w14:paraId="392808BD"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0.328412</w:t>
            </w:r>
          </w:p>
        </w:tc>
        <w:tc>
          <w:tcPr>
            <w:tcW w:w="1617" w:type="dxa"/>
          </w:tcPr>
          <w:p w14:paraId="4FE3FAF3"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22.71427</w:t>
            </w:r>
          </w:p>
          <w:p w14:paraId="781F1045"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(0.0225) *</w:t>
            </w:r>
          </w:p>
        </w:tc>
        <w:tc>
          <w:tcPr>
            <w:tcW w:w="1617" w:type="dxa"/>
          </w:tcPr>
          <w:p w14:paraId="5AC018A8"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20.26184</w:t>
            </w:r>
          </w:p>
        </w:tc>
        <w:tc>
          <w:tcPr>
            <w:tcW w:w="1617" w:type="dxa"/>
          </w:tcPr>
          <w:p w14:paraId="167ECCF6"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15.92442</w:t>
            </w:r>
          </w:p>
          <w:p w14:paraId="1989AA5F"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(0.0494) *</w:t>
            </w:r>
          </w:p>
        </w:tc>
        <w:tc>
          <w:tcPr>
            <w:tcW w:w="1617" w:type="dxa"/>
          </w:tcPr>
          <w:p w14:paraId="5159D068"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15.89210</w:t>
            </w:r>
          </w:p>
        </w:tc>
      </w:tr>
      <w:tr w:rsidR="00C46C26" w14:paraId="5E174805" w14:textId="77777777" w:rsidTr="00C46C26">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top w:val="nil"/>
              <w:bottom w:val="nil"/>
            </w:tcBorders>
          </w:tcPr>
          <w:p w14:paraId="0E180522" w14:textId="77777777" w:rsidR="00C46C26" w:rsidRDefault="000B46EF">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At </w:t>
            </w:r>
            <w:r>
              <w:rPr>
                <w:rFonts w:ascii="Times New Roman" w:hAnsi="Times New Roman" w:cs="Times New Roman"/>
                <w:sz w:val="24"/>
                <w:szCs w:val="24"/>
              </w:rPr>
              <w:t>most 2</w:t>
            </w:r>
          </w:p>
        </w:tc>
        <w:tc>
          <w:tcPr>
            <w:tcW w:w="1618" w:type="dxa"/>
            <w:tcBorders>
              <w:top w:val="nil"/>
              <w:bottom w:val="nil"/>
            </w:tcBorders>
          </w:tcPr>
          <w:p w14:paraId="4A898FF0"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0.156121</w:t>
            </w:r>
          </w:p>
        </w:tc>
        <w:tc>
          <w:tcPr>
            <w:tcW w:w="1617" w:type="dxa"/>
            <w:tcBorders>
              <w:top w:val="nil"/>
              <w:bottom w:val="nil"/>
            </w:tcBorders>
          </w:tcPr>
          <w:p w14:paraId="1A63D8EF"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6.789849</w:t>
            </w:r>
          </w:p>
          <w:p w14:paraId="03860E23"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(0.1379)</w:t>
            </w:r>
          </w:p>
        </w:tc>
        <w:tc>
          <w:tcPr>
            <w:tcW w:w="1617" w:type="dxa"/>
            <w:tcBorders>
              <w:top w:val="nil"/>
              <w:bottom w:val="nil"/>
            </w:tcBorders>
          </w:tcPr>
          <w:p w14:paraId="48D908DD"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9.164546</w:t>
            </w:r>
          </w:p>
        </w:tc>
        <w:tc>
          <w:tcPr>
            <w:tcW w:w="1617" w:type="dxa"/>
            <w:tcBorders>
              <w:top w:val="nil"/>
              <w:bottom w:val="nil"/>
            </w:tcBorders>
          </w:tcPr>
          <w:p w14:paraId="4935F04F"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6.789849</w:t>
            </w:r>
          </w:p>
          <w:p w14:paraId="3550E15D"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(0.1379)</w:t>
            </w:r>
          </w:p>
        </w:tc>
        <w:tc>
          <w:tcPr>
            <w:tcW w:w="1617" w:type="dxa"/>
            <w:tcBorders>
              <w:top w:val="nil"/>
              <w:bottom w:val="nil"/>
            </w:tcBorders>
          </w:tcPr>
          <w:p w14:paraId="7AE27E61" w14:textId="77777777" w:rsidR="00C46C26" w:rsidRDefault="000B46EF">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9.164546</w:t>
            </w:r>
          </w:p>
        </w:tc>
      </w:tr>
    </w:tbl>
    <w:p w14:paraId="3E32E087" w14:textId="77777777" w:rsidR="00C46C26" w:rsidRDefault="000B46EF">
      <w:pPr>
        <w:spacing w:line="360" w:lineRule="auto"/>
        <w:jc w:val="both"/>
        <w:rPr>
          <w:rFonts w:ascii="Times New Roman" w:hAnsi="Times New Roman" w:cs="Times New Roman"/>
          <w:i/>
          <w:sz w:val="24"/>
          <w:szCs w:val="24"/>
        </w:rPr>
      </w:pPr>
      <w:r>
        <w:rPr>
          <w:rFonts w:ascii="Times New Roman" w:hAnsi="Times New Roman" w:cs="Times New Roman"/>
          <w:i/>
          <w:sz w:val="24"/>
          <w:szCs w:val="24"/>
        </w:rPr>
        <w:t>Note: Figures in the parentheses ( ) indicates the p-value, * represent 5% level of significance.</w:t>
      </w:r>
    </w:p>
    <w:p w14:paraId="40DC666C" w14:textId="77777777" w:rsidR="00C46C26" w:rsidRDefault="000B46EF">
      <w:pPr>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rPr>
        <w:t>Vector Error Correction Model (VECM)</w:t>
      </w:r>
    </w:p>
    <w:p w14:paraId="62520CBB" w14:textId="77777777" w:rsidR="00C46C26" w:rsidRDefault="000B46E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After conducting the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xml:space="preserve"> test using Johansen &amp; </w:t>
      </w:r>
      <w:r>
        <w:rPr>
          <w:rFonts w:ascii="Times New Roman" w:hAnsi="Times New Roman" w:cs="Times New Roman"/>
          <w:sz w:val="24"/>
          <w:szCs w:val="24"/>
        </w:rPr>
        <w:t>Julius co integration test</w:t>
      </w:r>
      <w:r>
        <w:rPr>
          <w:rFonts w:ascii="Times New Roman" w:hAnsi="Times New Roman" w:cs="Times New Roman"/>
          <w:bCs/>
          <w:sz w:val="24"/>
          <w:szCs w:val="24"/>
        </w:rPr>
        <w:t xml:space="preserve"> both max </w:t>
      </w:r>
      <w:proofErr w:type="spellStart"/>
      <w:proofErr w:type="gramStart"/>
      <w:r>
        <w:rPr>
          <w:rFonts w:ascii="Times New Roman" w:hAnsi="Times New Roman" w:cs="Times New Roman"/>
          <w:bCs/>
          <w:sz w:val="24"/>
          <w:szCs w:val="24"/>
        </w:rPr>
        <w:t>eigen</w:t>
      </w:r>
      <w:proofErr w:type="spellEnd"/>
      <w:proofErr w:type="gramEnd"/>
      <w:r>
        <w:rPr>
          <w:rFonts w:ascii="Times New Roman" w:hAnsi="Times New Roman" w:cs="Times New Roman"/>
          <w:bCs/>
          <w:sz w:val="24"/>
          <w:szCs w:val="24"/>
        </w:rPr>
        <w:t xml:space="preserve"> test and trace statistics suggested the existence of one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xml:space="preserve"> between </w:t>
      </w:r>
      <w:r>
        <w:rPr>
          <w:rFonts w:ascii="Times New Roman" w:hAnsi="Times New Roman" w:cs="Times New Roman"/>
          <w:bCs/>
          <w:i/>
          <w:iCs/>
          <w:sz w:val="24"/>
          <w:szCs w:val="24"/>
        </w:rPr>
        <w:t>ln</w:t>
      </w:r>
      <w:r>
        <w:rPr>
          <w:rFonts w:ascii="Times New Roman" w:hAnsi="Times New Roman" w:cs="Times New Roman"/>
          <w:bCs/>
          <w:sz w:val="24"/>
          <w:szCs w:val="24"/>
        </w:rPr>
        <w:t xml:space="preserve"> GDP, </w:t>
      </w:r>
      <w:r>
        <w:rPr>
          <w:rFonts w:ascii="Times New Roman" w:hAnsi="Times New Roman" w:cs="Times New Roman"/>
          <w:bCs/>
          <w:i/>
          <w:iCs/>
          <w:sz w:val="24"/>
          <w:szCs w:val="24"/>
        </w:rPr>
        <w:t>ln</w:t>
      </w:r>
      <w:r>
        <w:rPr>
          <w:rFonts w:ascii="Times New Roman" w:hAnsi="Times New Roman" w:cs="Times New Roman"/>
          <w:bCs/>
          <w:sz w:val="24"/>
          <w:szCs w:val="24"/>
        </w:rPr>
        <w:t xml:space="preserve"> GFCF &amp; </w:t>
      </w:r>
      <w:r>
        <w:rPr>
          <w:rFonts w:ascii="Times New Roman" w:hAnsi="Times New Roman" w:cs="Times New Roman"/>
          <w:bCs/>
          <w:i/>
          <w:iCs/>
          <w:sz w:val="24"/>
          <w:szCs w:val="24"/>
        </w:rPr>
        <w:t>ln</w:t>
      </w:r>
      <w:r>
        <w:rPr>
          <w:rFonts w:ascii="Times New Roman" w:hAnsi="Times New Roman" w:cs="Times New Roman"/>
          <w:bCs/>
          <w:sz w:val="24"/>
          <w:szCs w:val="24"/>
        </w:rPr>
        <w:t xml:space="preserve"> REM by rejecting the null hypothesis of no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However, now it is important to know whether the long run relationship between the variables exist or not hence, the study would go for a VECM analysis. Where if the coefficient of independent vari</w:t>
      </w:r>
      <w:r>
        <w:rPr>
          <w:rFonts w:ascii="Times New Roman" w:hAnsi="Times New Roman" w:cs="Times New Roman"/>
          <w:bCs/>
          <w:sz w:val="24"/>
          <w:szCs w:val="24"/>
        </w:rPr>
        <w:t>ables is positive than there exists a positive long run relationship between both the dependent and independent variables.</w:t>
      </w:r>
    </w:p>
    <w:p w14:paraId="00BF576D" w14:textId="77777777" w:rsidR="00C46C26" w:rsidRDefault="000B46EF">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Long run equation:</w:t>
      </w:r>
    </w:p>
    <w:p w14:paraId="47899CE1" w14:textId="77777777" w:rsidR="00C46C26" w:rsidRDefault="000B46EF">
      <w:pPr>
        <w:spacing w:line="360" w:lineRule="auto"/>
        <w:ind w:left="720"/>
        <w:jc w:val="both"/>
        <w:rPr>
          <w:rFonts w:ascii="Times New Roman" w:hAnsi="Times New Roman" w:cs="Times New Roman"/>
          <w:bCs/>
          <w:sz w:val="24"/>
          <w:szCs w:val="24"/>
        </w:rPr>
      </w:pPr>
      <w:proofErr w:type="gramStart"/>
      <w:r>
        <w:rPr>
          <w:rFonts w:ascii="Times New Roman" w:hAnsi="Times New Roman" w:cs="Times New Roman"/>
          <w:bCs/>
          <w:i/>
          <w:iCs/>
          <w:sz w:val="24"/>
          <w:szCs w:val="24"/>
        </w:rPr>
        <w:t>ln</w:t>
      </w:r>
      <w:proofErr w:type="gramEnd"/>
      <w:r>
        <w:rPr>
          <w:rFonts w:ascii="Times New Roman" w:hAnsi="Times New Roman" w:cs="Times New Roman"/>
          <w:bCs/>
          <w:sz w:val="24"/>
          <w:szCs w:val="24"/>
        </w:rPr>
        <w:t xml:space="preserve"> (GDP)</w:t>
      </w:r>
      <w:r>
        <w:rPr>
          <w:rFonts w:ascii="Times New Roman" w:hAnsi="Times New Roman" w:cs="Times New Roman"/>
          <w:bCs/>
          <w:sz w:val="24"/>
          <w:szCs w:val="24"/>
          <w:vertAlign w:val="subscript"/>
        </w:rPr>
        <w:t>t-1</w:t>
      </w:r>
      <w:r>
        <w:rPr>
          <w:rFonts w:ascii="Times New Roman" w:hAnsi="Times New Roman" w:cs="Times New Roman"/>
          <w:bCs/>
          <w:sz w:val="24"/>
          <w:szCs w:val="24"/>
        </w:rPr>
        <w:t xml:space="preserve">= </w:t>
      </w:r>
      <w:r>
        <w:rPr>
          <w:rFonts w:ascii="Times New Roman" w:hAnsi="Times New Roman" w:cs="Times New Roman"/>
          <w:bCs/>
          <w:i/>
          <w:iCs/>
          <w:sz w:val="24"/>
          <w:szCs w:val="24"/>
        </w:rPr>
        <w:t>-</w:t>
      </w:r>
      <w:commentRangeStart w:id="28"/>
      <w:r>
        <w:rPr>
          <w:rFonts w:ascii="Times New Roman" w:hAnsi="Times New Roman" w:cs="Times New Roman"/>
          <w:bCs/>
          <w:i/>
          <w:iCs/>
          <w:sz w:val="24"/>
          <w:szCs w:val="24"/>
        </w:rPr>
        <w:t>7</w:t>
      </w:r>
      <w:commentRangeEnd w:id="28"/>
      <w:r w:rsidR="00DF22AC">
        <w:rPr>
          <w:rStyle w:val="CommentReference"/>
        </w:rPr>
        <w:commentReference w:id="28"/>
      </w:r>
      <w:r>
        <w:rPr>
          <w:rFonts w:ascii="Times New Roman" w:hAnsi="Times New Roman" w:cs="Times New Roman"/>
          <w:bCs/>
          <w:i/>
          <w:iCs/>
          <w:sz w:val="24"/>
          <w:szCs w:val="24"/>
        </w:rPr>
        <w:t>.09+0.50 ln (GFCF)</w:t>
      </w:r>
      <w:r>
        <w:rPr>
          <w:rFonts w:ascii="Times New Roman" w:hAnsi="Times New Roman" w:cs="Times New Roman"/>
          <w:bCs/>
          <w:sz w:val="24"/>
          <w:szCs w:val="24"/>
          <w:vertAlign w:val="subscript"/>
        </w:rPr>
        <w:t>t-1</w:t>
      </w:r>
      <w:r>
        <w:rPr>
          <w:rFonts w:ascii="Times New Roman" w:hAnsi="Times New Roman" w:cs="Times New Roman"/>
          <w:bCs/>
          <w:i/>
          <w:iCs/>
          <w:sz w:val="24"/>
          <w:szCs w:val="24"/>
        </w:rPr>
        <w:t>+0.078 ln (REM)</w:t>
      </w:r>
      <w:r>
        <w:rPr>
          <w:rFonts w:ascii="Times New Roman" w:hAnsi="Times New Roman" w:cs="Times New Roman"/>
          <w:bCs/>
          <w:sz w:val="24"/>
          <w:szCs w:val="24"/>
          <w:vertAlign w:val="subscript"/>
        </w:rPr>
        <w:t>t-1</w:t>
      </w:r>
      <w:r>
        <w:rPr>
          <w:rFonts w:ascii="Times New Roman" w:hAnsi="Times New Roman" w:cs="Times New Roman"/>
          <w:bCs/>
          <w:sz w:val="24"/>
          <w:szCs w:val="24"/>
        </w:rPr>
        <w:t>…………………. (3)</w:t>
      </w:r>
    </w:p>
    <w:p w14:paraId="05544AFF" w14:textId="77777777" w:rsidR="00C46C26" w:rsidRDefault="000B46E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the above equation i.e., the result of VEC</w:t>
      </w:r>
      <w:r>
        <w:rPr>
          <w:rFonts w:ascii="Times New Roman" w:hAnsi="Times New Roman" w:cs="Times New Roman"/>
          <w:bCs/>
          <w:sz w:val="24"/>
          <w:szCs w:val="24"/>
        </w:rPr>
        <w:t xml:space="preserve">M analysis, it was found that the long run </w:t>
      </w:r>
      <w:r>
        <w:rPr>
          <w:rFonts w:ascii="Times New Roman" w:hAnsi="Times New Roman" w:cs="Times New Roman"/>
          <w:bCs/>
          <w:i/>
          <w:iCs/>
          <w:sz w:val="24"/>
          <w:szCs w:val="24"/>
        </w:rPr>
        <w:t xml:space="preserve">ln </w:t>
      </w:r>
      <w:r>
        <w:rPr>
          <w:rFonts w:ascii="Times New Roman" w:hAnsi="Times New Roman" w:cs="Times New Roman"/>
          <w:bCs/>
          <w:sz w:val="24"/>
          <w:szCs w:val="24"/>
        </w:rPr>
        <w:t xml:space="preserve">GFCF is the positive and significant effect on </w:t>
      </w:r>
      <w:r>
        <w:rPr>
          <w:rFonts w:ascii="Times New Roman" w:hAnsi="Times New Roman" w:cs="Times New Roman"/>
          <w:bCs/>
          <w:i/>
          <w:iCs/>
          <w:sz w:val="24"/>
          <w:szCs w:val="24"/>
        </w:rPr>
        <w:t xml:space="preserve">ln </w:t>
      </w:r>
      <w:r>
        <w:rPr>
          <w:rFonts w:ascii="Times New Roman" w:hAnsi="Times New Roman" w:cs="Times New Roman"/>
          <w:bCs/>
          <w:sz w:val="24"/>
          <w:szCs w:val="24"/>
        </w:rPr>
        <w:t xml:space="preserve">GDP, but </w:t>
      </w:r>
      <w:r>
        <w:rPr>
          <w:rFonts w:ascii="Times New Roman" w:hAnsi="Times New Roman" w:cs="Times New Roman"/>
          <w:bCs/>
          <w:i/>
          <w:iCs/>
          <w:sz w:val="24"/>
          <w:szCs w:val="24"/>
        </w:rPr>
        <w:t xml:space="preserve">ln </w:t>
      </w:r>
      <w:r>
        <w:rPr>
          <w:rFonts w:ascii="Times New Roman" w:hAnsi="Times New Roman" w:cs="Times New Roman"/>
          <w:bCs/>
          <w:sz w:val="24"/>
          <w:szCs w:val="24"/>
        </w:rPr>
        <w:t xml:space="preserve">REM is positive but insignificant on </w:t>
      </w:r>
      <w:proofErr w:type="spellStart"/>
      <w:r>
        <w:rPr>
          <w:rFonts w:ascii="Times New Roman" w:hAnsi="Times New Roman" w:cs="Times New Roman"/>
          <w:bCs/>
          <w:i/>
          <w:iCs/>
          <w:sz w:val="24"/>
          <w:szCs w:val="24"/>
        </w:rPr>
        <w:t>lnGDP</w:t>
      </w:r>
      <w:proofErr w:type="spellEnd"/>
      <w:r>
        <w:rPr>
          <w:rFonts w:ascii="Times New Roman" w:hAnsi="Times New Roman" w:cs="Times New Roman"/>
          <w:bCs/>
          <w:sz w:val="24"/>
          <w:szCs w:val="24"/>
        </w:rPr>
        <w:t xml:space="preserve">. </w:t>
      </w:r>
    </w:p>
    <w:p w14:paraId="0DCDBCC1" w14:textId="77777777" w:rsidR="00C46C26" w:rsidRDefault="000B46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Dynamic Short run Relationship (VECM):</w:t>
      </w:r>
    </w:p>
    <w:p w14:paraId="28CF00B8" w14:textId="77777777" w:rsidR="00C46C26" w:rsidRDefault="000B46E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 </w:t>
      </w:r>
      <w:proofErr w:type="gramStart"/>
      <w:r>
        <w:rPr>
          <w:rFonts w:ascii="Times New Roman" w:hAnsi="Times New Roman" w:cs="Times New Roman"/>
          <w:i/>
          <w:sz w:val="24"/>
          <w:szCs w:val="24"/>
        </w:rPr>
        <w:t>ln</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(GDP)= </w:t>
      </w:r>
      <w:r>
        <w:rPr>
          <w:rFonts w:ascii="Times New Roman" w:hAnsi="Times New Roman" w:cs="Times New Roman"/>
          <w:i/>
          <w:iCs/>
          <w:sz w:val="24"/>
          <w:szCs w:val="24"/>
        </w:rPr>
        <w:t>-</w:t>
      </w:r>
      <w:commentRangeStart w:id="29"/>
      <w:r>
        <w:rPr>
          <w:rFonts w:ascii="Times New Roman" w:hAnsi="Times New Roman" w:cs="Times New Roman"/>
          <w:i/>
          <w:iCs/>
          <w:sz w:val="24"/>
          <w:szCs w:val="24"/>
        </w:rPr>
        <w:t>0</w:t>
      </w:r>
      <w:commentRangeEnd w:id="29"/>
      <w:r w:rsidR="00DF22AC">
        <w:rPr>
          <w:rStyle w:val="CommentReference"/>
        </w:rPr>
        <w:commentReference w:id="29"/>
      </w:r>
      <w:r>
        <w:rPr>
          <w:rFonts w:ascii="Times New Roman" w:hAnsi="Times New Roman" w:cs="Times New Roman"/>
          <w:i/>
          <w:iCs/>
          <w:sz w:val="24"/>
          <w:szCs w:val="24"/>
        </w:rPr>
        <w:t>.18 ECM</w:t>
      </w:r>
      <w:r>
        <w:rPr>
          <w:rFonts w:ascii="Times New Roman" w:hAnsi="Times New Roman" w:cs="Times New Roman"/>
          <w:i/>
          <w:iCs/>
          <w:sz w:val="24"/>
          <w:szCs w:val="24"/>
          <w:vertAlign w:val="subscript"/>
        </w:rPr>
        <w:t>t-1</w:t>
      </w:r>
      <w:r>
        <w:rPr>
          <w:rFonts w:ascii="Times New Roman" w:hAnsi="Times New Roman" w:cs="Times New Roman"/>
          <w:i/>
          <w:iCs/>
          <w:sz w:val="24"/>
          <w:szCs w:val="24"/>
        </w:rPr>
        <w:t>+ 0.65 ∆ ln (GDP)</w:t>
      </w:r>
      <w:r>
        <w:rPr>
          <w:rFonts w:ascii="Times New Roman" w:hAnsi="Times New Roman" w:cs="Times New Roman"/>
          <w:i/>
          <w:iCs/>
          <w:sz w:val="24"/>
          <w:szCs w:val="24"/>
          <w:vertAlign w:val="subscript"/>
        </w:rPr>
        <w:t>t-1</w:t>
      </w:r>
      <w:r>
        <w:rPr>
          <w:rFonts w:ascii="Times New Roman" w:hAnsi="Times New Roman" w:cs="Times New Roman"/>
          <w:i/>
          <w:iCs/>
          <w:sz w:val="24"/>
          <w:szCs w:val="24"/>
        </w:rPr>
        <w:t>- 0.51 ∆ ln (GFCF)</w:t>
      </w:r>
      <w:r>
        <w:rPr>
          <w:rFonts w:ascii="Times New Roman" w:hAnsi="Times New Roman" w:cs="Times New Roman"/>
          <w:i/>
          <w:iCs/>
          <w:sz w:val="24"/>
          <w:szCs w:val="24"/>
          <w:vertAlign w:val="subscript"/>
        </w:rPr>
        <w:t>t</w:t>
      </w:r>
      <w:r>
        <w:rPr>
          <w:rFonts w:ascii="Times New Roman" w:hAnsi="Times New Roman" w:cs="Times New Roman"/>
          <w:i/>
          <w:iCs/>
          <w:sz w:val="24"/>
          <w:szCs w:val="24"/>
          <w:vertAlign w:val="subscript"/>
        </w:rPr>
        <w:t>-1</w:t>
      </w:r>
      <w:r>
        <w:rPr>
          <w:rFonts w:ascii="Times New Roman" w:hAnsi="Times New Roman" w:cs="Times New Roman"/>
          <w:i/>
          <w:iCs/>
          <w:sz w:val="24"/>
          <w:szCs w:val="24"/>
        </w:rPr>
        <w:t>+ 0.02 ∆ ln (REM)</w:t>
      </w:r>
      <w:r>
        <w:rPr>
          <w:rFonts w:ascii="Times New Roman" w:hAnsi="Times New Roman" w:cs="Times New Roman"/>
          <w:i/>
          <w:iCs/>
          <w:sz w:val="24"/>
          <w:szCs w:val="24"/>
          <w:vertAlign w:val="subscript"/>
        </w:rPr>
        <w:t>t-1</w:t>
      </w:r>
      <w:r>
        <w:rPr>
          <w:rFonts w:ascii="Times New Roman" w:hAnsi="Times New Roman" w:cs="Times New Roman"/>
          <w:sz w:val="24"/>
          <w:szCs w:val="24"/>
        </w:rPr>
        <w:t>….(4)</w:t>
      </w:r>
    </w:p>
    <w:p w14:paraId="285B6D0F"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short run adjustment ECM values for all variables are given in above equation. According to the above equation ECM coefficient of GDP is negative and significant which as </w:t>
      </w:r>
      <w:r>
        <w:rPr>
          <w:rFonts w:ascii="Times New Roman" w:hAnsi="Times New Roman" w:cs="Times New Roman"/>
          <w:sz w:val="24"/>
          <w:szCs w:val="24"/>
        </w:rPr>
        <w:lastRenderedPageBreak/>
        <w:t xml:space="preserve">expectation explains that adjustments in these </w:t>
      </w:r>
      <w:r>
        <w:rPr>
          <w:rFonts w:ascii="Times New Roman" w:hAnsi="Times New Roman" w:cs="Times New Roman"/>
          <w:sz w:val="24"/>
          <w:szCs w:val="24"/>
        </w:rPr>
        <w:t>variables is significant in short run. The coefficient value of ECT</w:t>
      </w:r>
      <w:r>
        <w:rPr>
          <w:rFonts w:ascii="Times New Roman" w:hAnsi="Times New Roman" w:cs="Times New Roman"/>
          <w:sz w:val="24"/>
          <w:szCs w:val="24"/>
          <w:vertAlign w:val="subscript"/>
        </w:rPr>
        <w:t>t-1</w:t>
      </w:r>
      <w:r>
        <w:rPr>
          <w:rFonts w:ascii="Times New Roman" w:hAnsi="Times New Roman" w:cs="Times New Roman"/>
          <w:sz w:val="24"/>
          <w:szCs w:val="24"/>
        </w:rPr>
        <w:t xml:space="preserve"> is -0.18, this means that the prior period’s deviation from the long run equilibrium has been corrected in current period with 18% speed of adjustment.</w:t>
      </w:r>
    </w:p>
    <w:p w14:paraId="5673A699"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equation (4) demonstrates tha</w:t>
      </w:r>
      <w:r>
        <w:rPr>
          <w:rFonts w:ascii="Times New Roman" w:hAnsi="Times New Roman" w:cs="Times New Roman"/>
          <w:sz w:val="24"/>
          <w:szCs w:val="24"/>
        </w:rPr>
        <w:t>t the coefficient of the error correction term is -0.18 is negative, confirming the presence of a long-term relationship among remittances, GDP and investment. Approximately 18% of any short-run disequilibrium reverts to equilibrium annually indicating a m</w:t>
      </w:r>
      <w:r>
        <w:rPr>
          <w:rFonts w:ascii="Times New Roman" w:hAnsi="Times New Roman" w:cs="Times New Roman"/>
          <w:sz w:val="24"/>
          <w:szCs w:val="24"/>
        </w:rPr>
        <w:t>oderate adjustment rate (Engle &amp; Granger, 1987). The positive coefficient of lagged GDP growth (0.65) indicates persistence in growth, suggesting that previous growth significantly bolsters current growth, in accordance with the endogenous growth theory (</w:t>
      </w:r>
      <w:proofErr w:type="spellStart"/>
      <w:r>
        <w:rPr>
          <w:rFonts w:ascii="Times New Roman" w:hAnsi="Times New Roman" w:cs="Times New Roman"/>
          <w:sz w:val="24"/>
          <w:szCs w:val="24"/>
        </w:rPr>
        <w:t>R</w:t>
      </w:r>
      <w:r>
        <w:rPr>
          <w:rFonts w:ascii="Times New Roman" w:hAnsi="Times New Roman" w:cs="Times New Roman"/>
          <w:sz w:val="24"/>
          <w:szCs w:val="24"/>
        </w:rPr>
        <w:t>omer</w:t>
      </w:r>
      <w:proofErr w:type="spellEnd"/>
      <w:r>
        <w:rPr>
          <w:rFonts w:ascii="Times New Roman" w:hAnsi="Times New Roman" w:cs="Times New Roman"/>
          <w:sz w:val="24"/>
          <w:szCs w:val="24"/>
        </w:rPr>
        <w:t>, 1990). The negative coefficient of gross fixed capital formation (-0.51) indicates that investment does mot promptly result in increased growth in the short run, potentially due to delays in implementation or crowding-out effects, consistent with fin</w:t>
      </w:r>
      <w:r>
        <w:rPr>
          <w:rFonts w:ascii="Times New Roman" w:hAnsi="Times New Roman" w:cs="Times New Roman"/>
          <w:sz w:val="24"/>
          <w:szCs w:val="24"/>
        </w:rPr>
        <w:t>dings that capital accumulation has a more substantial impact in the long-term (Pradhan, 2010). Remittances, characterized by a modest yet positive coefficient (0.02), contribute to income stabilization and facilitate consumption or minor investments (Giul</w:t>
      </w:r>
      <w:r>
        <w:rPr>
          <w:rFonts w:ascii="Times New Roman" w:hAnsi="Times New Roman" w:cs="Times New Roman"/>
          <w:sz w:val="24"/>
          <w:szCs w:val="24"/>
        </w:rPr>
        <w:t>iano &amp; Ruiz-</w:t>
      </w:r>
      <w:proofErr w:type="spellStart"/>
      <w:r>
        <w:rPr>
          <w:rFonts w:ascii="Times New Roman" w:hAnsi="Times New Roman" w:cs="Times New Roman"/>
          <w:sz w:val="24"/>
          <w:szCs w:val="24"/>
        </w:rPr>
        <w:t>Arranz</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Ratha</w:t>
      </w:r>
      <w:proofErr w:type="spellEnd"/>
      <w:r>
        <w:rPr>
          <w:rFonts w:ascii="Times New Roman" w:hAnsi="Times New Roman" w:cs="Times New Roman"/>
          <w:sz w:val="24"/>
          <w:szCs w:val="24"/>
        </w:rPr>
        <w:t xml:space="preserve">, 2013). The results indicate that India’s short- term growth is mostly influenced by past behavior and remittance inflows, whereas investment contributes more significantly in the long-term. </w:t>
      </w:r>
    </w:p>
    <w:p w14:paraId="2DCB26BB" w14:textId="77777777" w:rsidR="00C46C26" w:rsidRDefault="000B46EF">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rPr>
        <w:t>V. Granger Causality Test</w:t>
      </w:r>
      <w:r w:rsidR="00DF22AC">
        <w:rPr>
          <w:rStyle w:val="CommentReference"/>
        </w:rPr>
        <w:commentReference w:id="30"/>
      </w:r>
    </w:p>
    <w:p w14:paraId="6599A408"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Pair-w</w:t>
      </w:r>
      <w:r>
        <w:rPr>
          <w:rFonts w:ascii="Times New Roman" w:hAnsi="Times New Roman" w:cs="Times New Roman"/>
          <w:sz w:val="24"/>
          <w:szCs w:val="24"/>
        </w:rPr>
        <w:t>ise Granger Causality tests are then carried out to determine causality based on the error correction model. The findings demonstrate a one-way causal relationship between gross fixed capital formation and economic growth. As the p-value (0.06) is less tha</w:t>
      </w:r>
      <w:r>
        <w:rPr>
          <w:rFonts w:ascii="Times New Roman" w:hAnsi="Times New Roman" w:cs="Times New Roman"/>
          <w:sz w:val="24"/>
          <w:szCs w:val="24"/>
        </w:rPr>
        <w:t xml:space="preserve">n 10% level of significance, we reject the null hypothesis of </w:t>
      </w:r>
      <w:proofErr w:type="spellStart"/>
      <w:r>
        <w:rPr>
          <w:rFonts w:ascii="Times New Roman" w:hAnsi="Times New Roman" w:cs="Times New Roman"/>
          <w:sz w:val="24"/>
          <w:szCs w:val="24"/>
        </w:rPr>
        <w:t>exogeneity</w:t>
      </w:r>
      <w:proofErr w:type="spellEnd"/>
      <w:r>
        <w:rPr>
          <w:rFonts w:ascii="Times New Roman" w:hAnsi="Times New Roman" w:cs="Times New Roman"/>
          <w:sz w:val="24"/>
          <w:szCs w:val="24"/>
        </w:rPr>
        <w:t xml:space="preserve"> of gross fixed capital creation in the economic growth function. As the p-value (0.04) is significant at the 5% threshold of significance, the result also implies that GDP also Grange</w:t>
      </w:r>
      <w:r>
        <w:rPr>
          <w:rFonts w:ascii="Times New Roman" w:hAnsi="Times New Roman" w:cs="Times New Roman"/>
          <w:sz w:val="24"/>
          <w:szCs w:val="24"/>
        </w:rPr>
        <w:t>r causes GFCF. Furthermore, it is clear that there is a one-way causal relationship between gross fixed capital production and GDP. According to the findings, there is a one-way causal relationship between remittances and gross fixed capital formation as w</w:t>
      </w:r>
      <w:r>
        <w:rPr>
          <w:rFonts w:ascii="Times New Roman" w:hAnsi="Times New Roman" w:cs="Times New Roman"/>
          <w:sz w:val="24"/>
          <w:szCs w:val="24"/>
        </w:rPr>
        <w:t>ell as economic growth.</w:t>
      </w:r>
    </w:p>
    <w:p w14:paraId="44A63A4F" w14:textId="77777777" w:rsidR="00DF22AC" w:rsidRDefault="00DF22AC">
      <w:pPr>
        <w:spacing w:line="360" w:lineRule="auto"/>
        <w:jc w:val="both"/>
        <w:rPr>
          <w:rFonts w:ascii="Times New Roman" w:hAnsi="Times New Roman" w:cs="Times New Roman"/>
          <w:b/>
          <w:bCs/>
          <w:sz w:val="24"/>
          <w:szCs w:val="24"/>
        </w:rPr>
      </w:pPr>
    </w:p>
    <w:p w14:paraId="3817C46A" w14:textId="77777777" w:rsidR="00DF22AC" w:rsidRDefault="00DF22AC">
      <w:pPr>
        <w:spacing w:line="360" w:lineRule="auto"/>
        <w:jc w:val="both"/>
        <w:rPr>
          <w:rFonts w:ascii="Times New Roman" w:hAnsi="Times New Roman" w:cs="Times New Roman"/>
          <w:b/>
          <w:bCs/>
          <w:sz w:val="24"/>
          <w:szCs w:val="24"/>
        </w:rPr>
      </w:pPr>
    </w:p>
    <w:p w14:paraId="5236A76A" w14:textId="77777777" w:rsidR="00C46C26" w:rsidRDefault="000B46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Table-4 Result of Granger Causality Test</w:t>
      </w:r>
    </w:p>
    <w:tbl>
      <w:tblPr>
        <w:tblStyle w:val="PlainTable11"/>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7"/>
        <w:gridCol w:w="2197"/>
        <w:gridCol w:w="2197"/>
      </w:tblGrid>
      <w:tr w:rsidR="00C46C26" w14:paraId="045A4C82" w14:textId="77777777" w:rsidTr="00C46C26">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96" w:type="dxa"/>
          </w:tcPr>
          <w:p w14:paraId="15C1658D" w14:textId="77777777" w:rsidR="00C46C26" w:rsidRDefault="000B46EF">
            <w:pPr>
              <w:spacing w:after="0" w:line="360" w:lineRule="auto"/>
              <w:jc w:val="center"/>
              <w:rPr>
                <w:rFonts w:ascii="Times New Roman" w:hAnsi="Times New Roman" w:cs="Times New Roman"/>
                <w:b w:val="0"/>
                <w:bCs w:val="0"/>
                <w:sz w:val="24"/>
                <w:szCs w:val="24"/>
              </w:rPr>
            </w:pPr>
            <w:r>
              <w:rPr>
                <w:rFonts w:ascii="Times New Roman" w:hAnsi="Times New Roman" w:cs="Times New Roman"/>
                <w:sz w:val="24"/>
                <w:szCs w:val="24"/>
              </w:rPr>
              <w:t>Null Hypotheses</w:t>
            </w:r>
          </w:p>
        </w:tc>
        <w:tc>
          <w:tcPr>
            <w:tcW w:w="2197" w:type="dxa"/>
          </w:tcPr>
          <w:p w14:paraId="3761961C" w14:textId="77777777" w:rsidR="00C46C26" w:rsidRDefault="000B46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F-statistics</w:t>
            </w:r>
          </w:p>
        </w:tc>
        <w:tc>
          <w:tcPr>
            <w:tcW w:w="2197" w:type="dxa"/>
          </w:tcPr>
          <w:p w14:paraId="35C87961" w14:textId="77777777" w:rsidR="00C46C26" w:rsidRDefault="000B46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p-value</w:t>
            </w:r>
          </w:p>
        </w:tc>
        <w:tc>
          <w:tcPr>
            <w:tcW w:w="2197" w:type="dxa"/>
          </w:tcPr>
          <w:p w14:paraId="66E54378" w14:textId="77777777" w:rsidR="00C46C26" w:rsidRDefault="000B46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Conclusion </w:t>
            </w:r>
          </w:p>
        </w:tc>
      </w:tr>
      <w:tr w:rsidR="00C46C26" w14:paraId="53A9BDF4" w14:textId="77777777" w:rsidTr="00C46C26">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1735B8A6"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GFCF≠&gt; GDP</w:t>
            </w:r>
          </w:p>
          <w:p w14:paraId="02F96C3C"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GDP≠&gt; GFCF</w:t>
            </w:r>
          </w:p>
        </w:tc>
        <w:tc>
          <w:tcPr>
            <w:tcW w:w="2197" w:type="dxa"/>
            <w:shd w:val="clear" w:color="auto" w:fill="F2F2F2" w:themeFill="background1" w:themeFillShade="F2"/>
          </w:tcPr>
          <w:p w14:paraId="35B9E88E"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2.93709</w:t>
            </w:r>
          </w:p>
          <w:p w14:paraId="381B5041"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1.12988</w:t>
            </w:r>
          </w:p>
        </w:tc>
        <w:tc>
          <w:tcPr>
            <w:tcW w:w="2197" w:type="dxa"/>
            <w:shd w:val="clear" w:color="auto" w:fill="F2F2F2" w:themeFill="background1" w:themeFillShade="F2"/>
          </w:tcPr>
          <w:p w14:paraId="0AE28EBB"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0.0947**</w:t>
            </w:r>
          </w:p>
          <w:p w14:paraId="308A497E"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0.2945</w:t>
            </w:r>
          </w:p>
        </w:tc>
        <w:tc>
          <w:tcPr>
            <w:tcW w:w="2197" w:type="dxa"/>
            <w:shd w:val="clear" w:color="auto" w:fill="F2F2F2" w:themeFill="background1" w:themeFillShade="F2"/>
          </w:tcPr>
          <w:p w14:paraId="44322B08"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r w:rsidR="00C46C26" w14:paraId="070B9056" w14:textId="77777777" w:rsidTr="00C46C26">
        <w:trPr>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31E910A2"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REM≠&gt;GDP</w:t>
            </w:r>
          </w:p>
          <w:p w14:paraId="552FEC45"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GDP≠&gt;REM</w:t>
            </w:r>
          </w:p>
        </w:tc>
        <w:tc>
          <w:tcPr>
            <w:tcW w:w="2197" w:type="dxa"/>
          </w:tcPr>
          <w:p w14:paraId="2A87EF9B"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7.82571</w:t>
            </w:r>
          </w:p>
          <w:p w14:paraId="3BFFCD4C"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0.42150</w:t>
            </w:r>
          </w:p>
        </w:tc>
        <w:tc>
          <w:tcPr>
            <w:tcW w:w="2197" w:type="dxa"/>
          </w:tcPr>
          <w:p w14:paraId="5F73BB18"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0.0080*</w:t>
            </w:r>
          </w:p>
          <w:p w14:paraId="75DD636E"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0.5201</w:t>
            </w:r>
          </w:p>
          <w:p w14:paraId="493C5963" w14:textId="77777777" w:rsidR="00C46C26" w:rsidRDefault="00C46C2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tcPr>
          <w:p w14:paraId="2B3E107F"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r w:rsidR="00C46C26" w14:paraId="773D0A49" w14:textId="77777777" w:rsidTr="00C46C26">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61ACEF8F"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REM≠&gt;GFCF</w:t>
            </w:r>
          </w:p>
          <w:p w14:paraId="426F2341" w14:textId="77777777" w:rsidR="00C46C26" w:rsidRDefault="000B46EF">
            <w:pPr>
              <w:spacing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rPr>
              <w:t>H</w:t>
            </w:r>
            <w:r>
              <w:rPr>
                <w:rFonts w:ascii="Times New Roman" w:hAnsi="Times New Roman" w:cs="Times New Roman"/>
                <w:b w:val="0"/>
                <w:bCs w:val="0"/>
                <w:sz w:val="24"/>
                <w:szCs w:val="24"/>
                <w:vertAlign w:val="subscript"/>
              </w:rPr>
              <w:t>0</w:t>
            </w:r>
            <w:r>
              <w:rPr>
                <w:rFonts w:ascii="Times New Roman" w:hAnsi="Times New Roman" w:cs="Times New Roman"/>
                <w:b w:val="0"/>
                <w:bCs w:val="0"/>
                <w:sz w:val="24"/>
                <w:szCs w:val="24"/>
              </w:rPr>
              <w:t>: GFCF≠&gt;REM</w:t>
            </w:r>
          </w:p>
        </w:tc>
        <w:tc>
          <w:tcPr>
            <w:tcW w:w="2197" w:type="dxa"/>
            <w:shd w:val="clear" w:color="auto" w:fill="F2F2F2" w:themeFill="background1" w:themeFillShade="F2"/>
          </w:tcPr>
          <w:p w14:paraId="3CA85A71"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5.32595</w:t>
            </w:r>
          </w:p>
          <w:p w14:paraId="21A2751F"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1.28432</w:t>
            </w:r>
          </w:p>
        </w:tc>
        <w:tc>
          <w:tcPr>
            <w:tcW w:w="2197" w:type="dxa"/>
            <w:shd w:val="clear" w:color="auto" w:fill="F2F2F2" w:themeFill="background1" w:themeFillShade="F2"/>
          </w:tcPr>
          <w:p w14:paraId="7073F875"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0.0265*</w:t>
            </w:r>
          </w:p>
          <w:p w14:paraId="2C0F844F"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0.2642</w:t>
            </w:r>
          </w:p>
          <w:p w14:paraId="6A53A270" w14:textId="77777777" w:rsidR="00C46C26" w:rsidRDefault="00C46C2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shd w:val="clear" w:color="auto" w:fill="F2F2F2" w:themeFill="background1" w:themeFillShade="F2"/>
          </w:tcPr>
          <w:p w14:paraId="258B976D" w14:textId="77777777" w:rsidR="00C46C26" w:rsidRDefault="000B46E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bl>
    <w:p w14:paraId="7BC07C9D" w14:textId="77777777" w:rsidR="00C46C26" w:rsidRDefault="00C46C26">
      <w:pPr>
        <w:spacing w:line="360" w:lineRule="auto"/>
        <w:jc w:val="both"/>
        <w:rPr>
          <w:rFonts w:ascii="Times New Roman" w:hAnsi="Times New Roman" w:cs="Times New Roman"/>
          <w:b/>
          <w:bCs/>
          <w:sz w:val="24"/>
          <w:szCs w:val="24"/>
        </w:rPr>
      </w:pPr>
    </w:p>
    <w:p w14:paraId="22799B08" w14:textId="77777777" w:rsidR="00C46C26" w:rsidRDefault="00C46C26">
      <w:pPr>
        <w:spacing w:line="360" w:lineRule="auto"/>
        <w:jc w:val="both"/>
        <w:rPr>
          <w:rFonts w:ascii="Times New Roman" w:hAnsi="Times New Roman" w:cs="Times New Roman"/>
          <w:b/>
          <w:bCs/>
          <w:sz w:val="24"/>
          <w:szCs w:val="24"/>
        </w:rPr>
      </w:pPr>
    </w:p>
    <w:p w14:paraId="2E3D4F75" w14:textId="77777777" w:rsidR="00C46C26" w:rsidRDefault="000B46EF">
      <w:pPr>
        <w:pStyle w:val="ListParagraph"/>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Note: *, and ** represents the 5% and 10% level of significance.</w:t>
      </w:r>
    </w:p>
    <w:p w14:paraId="011E1546" w14:textId="77777777" w:rsidR="00C46C26" w:rsidRDefault="000B46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result of Granger causality test (Table 4) indicates significant relationships among remittances, investment and economic growth. First a one-way relationship between gross capital formation and GDP at 10 % level of significance shows that capital accu</w:t>
      </w:r>
      <w:r>
        <w:rPr>
          <w:rFonts w:ascii="Times New Roman" w:hAnsi="Times New Roman" w:cs="Times New Roman"/>
          <w:iCs/>
          <w:sz w:val="24"/>
          <w:szCs w:val="24"/>
        </w:rPr>
        <w:t>mulation is a big part of economic growth, but growth doesn’t seem to lead to more capital formation in the short-run. This corresponds with the conclusions of Solow’s (1956) growth model, which posits that investment serves as a fundamental driver of econ</w:t>
      </w:r>
      <w:r>
        <w:rPr>
          <w:rFonts w:ascii="Times New Roman" w:hAnsi="Times New Roman" w:cs="Times New Roman"/>
          <w:iCs/>
          <w:sz w:val="24"/>
          <w:szCs w:val="24"/>
        </w:rPr>
        <w:t>omic growth. Secondly, a unidirectional causality from remittances to GDP is evident at the 5% significance level, underscoring the crucial influence of remittance inflows on economic growth. This substantiates the perspective that remittances serve as a r</w:t>
      </w:r>
      <w:r>
        <w:rPr>
          <w:rFonts w:ascii="Times New Roman" w:hAnsi="Times New Roman" w:cs="Times New Roman"/>
          <w:iCs/>
          <w:sz w:val="24"/>
          <w:szCs w:val="24"/>
        </w:rPr>
        <w:t>eliable and countercyclical source of foreign capital, frequently exceeding foreign direct investment (FDI) in developing countries (</w:t>
      </w:r>
      <w:commentRangeStart w:id="31"/>
      <w:proofErr w:type="spellStart"/>
      <w:r>
        <w:rPr>
          <w:rFonts w:ascii="Times New Roman" w:hAnsi="Times New Roman" w:cs="Times New Roman"/>
          <w:iCs/>
          <w:sz w:val="24"/>
          <w:szCs w:val="24"/>
        </w:rPr>
        <w:t>Ratha</w:t>
      </w:r>
      <w:commentRangeEnd w:id="31"/>
      <w:proofErr w:type="spellEnd"/>
      <w:r w:rsidR="00873993">
        <w:rPr>
          <w:rStyle w:val="CommentReference"/>
        </w:rPr>
        <w:commentReference w:id="31"/>
      </w:r>
      <w:r>
        <w:rPr>
          <w:rFonts w:ascii="Times New Roman" w:hAnsi="Times New Roman" w:cs="Times New Roman"/>
          <w:iCs/>
          <w:sz w:val="24"/>
          <w:szCs w:val="24"/>
        </w:rPr>
        <w:t>, 2013). The outcome aligns with the findings by Giuliano and Ruiz-</w:t>
      </w:r>
      <w:proofErr w:type="spellStart"/>
      <w:r>
        <w:rPr>
          <w:rFonts w:ascii="Times New Roman" w:hAnsi="Times New Roman" w:cs="Times New Roman"/>
          <w:iCs/>
          <w:sz w:val="24"/>
          <w:szCs w:val="24"/>
        </w:rPr>
        <w:t>Arranz</w:t>
      </w:r>
      <w:proofErr w:type="spellEnd"/>
      <w:r>
        <w:rPr>
          <w:rFonts w:ascii="Times New Roman" w:hAnsi="Times New Roman" w:cs="Times New Roman"/>
          <w:iCs/>
          <w:sz w:val="24"/>
          <w:szCs w:val="24"/>
        </w:rPr>
        <w:t xml:space="preserve"> (2009), which contend that remittances allev</w:t>
      </w:r>
      <w:r>
        <w:rPr>
          <w:rFonts w:ascii="Times New Roman" w:hAnsi="Times New Roman" w:cs="Times New Roman"/>
          <w:iCs/>
          <w:sz w:val="24"/>
          <w:szCs w:val="24"/>
        </w:rPr>
        <w:t>iate liquidity constraints, thereby promoting higher growth. Finally, a unidirectional causality from remittances to gross fixed capital formation suggests that remittances enhance consumption and also facilitate productive investment endeavors. This outco</w:t>
      </w:r>
      <w:r>
        <w:rPr>
          <w:rFonts w:ascii="Times New Roman" w:hAnsi="Times New Roman" w:cs="Times New Roman"/>
          <w:iCs/>
          <w:sz w:val="24"/>
          <w:szCs w:val="24"/>
        </w:rPr>
        <w:t xml:space="preserve">me supports findings from </w:t>
      </w:r>
      <w:commentRangeStart w:id="32"/>
      <w:r>
        <w:rPr>
          <w:rFonts w:ascii="Times New Roman" w:hAnsi="Times New Roman" w:cs="Times New Roman"/>
          <w:iCs/>
          <w:sz w:val="24"/>
          <w:szCs w:val="24"/>
        </w:rPr>
        <w:t xml:space="preserve">Adams and </w:t>
      </w:r>
      <w:proofErr w:type="spellStart"/>
      <w:r>
        <w:rPr>
          <w:rFonts w:ascii="Times New Roman" w:hAnsi="Times New Roman" w:cs="Times New Roman"/>
          <w:iCs/>
          <w:sz w:val="24"/>
          <w:szCs w:val="24"/>
        </w:rPr>
        <w:t>Cuecuecha</w:t>
      </w:r>
      <w:proofErr w:type="spellEnd"/>
      <w:r>
        <w:rPr>
          <w:rFonts w:ascii="Times New Roman" w:hAnsi="Times New Roman" w:cs="Times New Roman"/>
          <w:iCs/>
          <w:sz w:val="24"/>
          <w:szCs w:val="24"/>
        </w:rPr>
        <w:t xml:space="preserve"> (2010)</w:t>
      </w:r>
      <w:commentRangeEnd w:id="32"/>
      <w:r>
        <w:commentReference w:id="32"/>
      </w:r>
      <w:r>
        <w:rPr>
          <w:rFonts w:ascii="Times New Roman" w:hAnsi="Times New Roman" w:cs="Times New Roman"/>
          <w:iCs/>
          <w:sz w:val="24"/>
          <w:szCs w:val="24"/>
        </w:rPr>
        <w:t>, who stated that a portion of remittances is allocated to physical and human capital investment, hence enhancing long-term development prospects.</w:t>
      </w:r>
    </w:p>
    <w:p w14:paraId="2296DD15" w14:textId="77777777" w:rsidR="00C46C26" w:rsidRDefault="000B46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Overall, these results demonstrates that remittances </w:t>
      </w:r>
      <w:r>
        <w:rPr>
          <w:rFonts w:ascii="Times New Roman" w:hAnsi="Times New Roman" w:cs="Times New Roman"/>
          <w:iCs/>
          <w:sz w:val="24"/>
          <w:szCs w:val="24"/>
        </w:rPr>
        <w:t>serve as a catalyst for economic growth and capital formation in India, highlighting their dual function in enhancing household welfare and financing development.</w:t>
      </w:r>
    </w:p>
    <w:p w14:paraId="10AC21A9" w14:textId="77777777" w:rsidR="00C46C26" w:rsidRDefault="00C46C26">
      <w:pPr>
        <w:spacing w:after="0" w:line="360" w:lineRule="auto"/>
        <w:jc w:val="both"/>
        <w:rPr>
          <w:rFonts w:ascii="Times New Roman" w:hAnsi="Times New Roman" w:cs="Times New Roman"/>
          <w:iCs/>
          <w:sz w:val="24"/>
          <w:szCs w:val="24"/>
        </w:rPr>
      </w:pPr>
    </w:p>
    <w:p w14:paraId="3693F842" w14:textId="77777777" w:rsidR="00C46C26" w:rsidRDefault="000B46EF">
      <w:pPr>
        <w:spacing w:line="360" w:lineRule="auto"/>
        <w:jc w:val="both"/>
        <w:rPr>
          <w:rFonts w:ascii="Times New Roman" w:hAnsi="Times New Roman" w:cs="Times New Roman"/>
          <w:bCs/>
          <w:sz w:val="28"/>
          <w:szCs w:val="28"/>
        </w:rPr>
      </w:pPr>
      <w:r>
        <w:rPr>
          <w:rFonts w:ascii="Times New Roman" w:hAnsi="Times New Roman" w:cs="Times New Roman"/>
          <w:b/>
          <w:sz w:val="28"/>
          <w:szCs w:val="28"/>
        </w:rPr>
        <w:t xml:space="preserve">VI. Residual Diagnostic </w:t>
      </w:r>
      <w:commentRangeStart w:id="33"/>
      <w:r>
        <w:rPr>
          <w:rFonts w:ascii="Times New Roman" w:hAnsi="Times New Roman" w:cs="Times New Roman"/>
          <w:b/>
          <w:sz w:val="28"/>
          <w:szCs w:val="28"/>
        </w:rPr>
        <w:t>Test</w:t>
      </w:r>
      <w:commentRangeEnd w:id="33"/>
      <w:r w:rsidR="00EF6150">
        <w:rPr>
          <w:rStyle w:val="CommentReference"/>
        </w:rPr>
        <w:commentReference w:id="33"/>
      </w:r>
    </w:p>
    <w:p w14:paraId="65A7C7BA" w14:textId="77777777" w:rsidR="00C46C26" w:rsidRDefault="000B46E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variety of post-estimation diagnostic tests are performed to </w:t>
      </w:r>
      <w:r>
        <w:rPr>
          <w:rFonts w:ascii="Times New Roman" w:hAnsi="Times New Roman" w:cs="Times New Roman"/>
          <w:bCs/>
          <w:sz w:val="24"/>
          <w:szCs w:val="24"/>
        </w:rPr>
        <w:t xml:space="preserve">validate the robustness of the model, including the </w:t>
      </w:r>
      <w:proofErr w:type="spellStart"/>
      <w:r>
        <w:rPr>
          <w:rFonts w:ascii="Times New Roman" w:hAnsi="Times New Roman" w:cs="Times New Roman"/>
          <w:bCs/>
          <w:sz w:val="24"/>
          <w:szCs w:val="24"/>
        </w:rPr>
        <w:t>Breusch</w:t>
      </w:r>
      <w:proofErr w:type="spellEnd"/>
      <w:r>
        <w:rPr>
          <w:rFonts w:ascii="Times New Roman" w:hAnsi="Times New Roman" w:cs="Times New Roman"/>
          <w:bCs/>
          <w:sz w:val="24"/>
          <w:szCs w:val="24"/>
        </w:rPr>
        <w:t xml:space="preserve">-Godfrey serial correlation LM test, the </w:t>
      </w:r>
      <w:proofErr w:type="spellStart"/>
      <w:r>
        <w:rPr>
          <w:rFonts w:ascii="Times New Roman" w:hAnsi="Times New Roman" w:cs="Times New Roman"/>
          <w:bCs/>
          <w:sz w:val="24"/>
          <w:szCs w:val="24"/>
        </w:rPr>
        <w:t>Jarque-Bera</w:t>
      </w:r>
      <w:proofErr w:type="spellEnd"/>
      <w:r>
        <w:rPr>
          <w:rFonts w:ascii="Times New Roman" w:hAnsi="Times New Roman" w:cs="Times New Roman"/>
          <w:bCs/>
          <w:sz w:val="24"/>
          <w:szCs w:val="24"/>
        </w:rPr>
        <w:t xml:space="preserve"> normality test, and the </w:t>
      </w:r>
      <w:proofErr w:type="spellStart"/>
      <w:r>
        <w:rPr>
          <w:rFonts w:ascii="Times New Roman" w:hAnsi="Times New Roman" w:cs="Times New Roman"/>
          <w:bCs/>
          <w:sz w:val="24"/>
          <w:szCs w:val="24"/>
        </w:rPr>
        <w:t>heteroskedasticity</w:t>
      </w:r>
      <w:proofErr w:type="spellEnd"/>
      <w:r>
        <w:rPr>
          <w:rFonts w:ascii="Times New Roman" w:hAnsi="Times New Roman" w:cs="Times New Roman"/>
          <w:bCs/>
          <w:sz w:val="24"/>
          <w:szCs w:val="24"/>
        </w:rPr>
        <w:t xml:space="preserve"> test. </w:t>
      </w:r>
      <w:commentRangeStart w:id="34"/>
      <w:proofErr w:type="spellStart"/>
      <w:r>
        <w:rPr>
          <w:rFonts w:ascii="Times New Roman" w:hAnsi="Times New Roman" w:cs="Times New Roman"/>
          <w:bCs/>
          <w:sz w:val="24"/>
          <w:szCs w:val="24"/>
        </w:rPr>
        <w:t>Ther</w:t>
      </w:r>
      <w:proofErr w:type="spellEnd"/>
      <w:r>
        <w:rPr>
          <w:rFonts w:ascii="Times New Roman" w:hAnsi="Times New Roman" w:cs="Times New Roman"/>
          <w:bCs/>
          <w:sz w:val="24"/>
          <w:szCs w:val="24"/>
        </w:rPr>
        <w:t xml:space="preserve"> </w:t>
      </w:r>
      <w:commentRangeEnd w:id="34"/>
      <w:r w:rsidR="00EF6150">
        <w:rPr>
          <w:rStyle w:val="CommentReference"/>
        </w:rPr>
        <w:commentReference w:id="34"/>
      </w:r>
      <w:r>
        <w:rPr>
          <w:rFonts w:ascii="Times New Roman" w:hAnsi="Times New Roman" w:cs="Times New Roman"/>
          <w:bCs/>
          <w:sz w:val="24"/>
          <w:szCs w:val="24"/>
        </w:rPr>
        <w:t>results of these tests validated that the model meets the fundamental econometric features</w:t>
      </w:r>
      <w:r>
        <w:rPr>
          <w:rFonts w:ascii="Times New Roman" w:hAnsi="Times New Roman" w:cs="Times New Roman"/>
          <w:bCs/>
          <w:sz w:val="24"/>
          <w:szCs w:val="24"/>
        </w:rPr>
        <w:t>, demonstrating an adequate functional form with residuals that are serially uncorrelated, normally distributed, homoscedastic residuals. Therefore, the estimated results are considered reliable and trustworthy interpretation.</w:t>
      </w:r>
    </w:p>
    <w:p w14:paraId="70A61CE9" w14:textId="77777777" w:rsidR="00C46C26" w:rsidRDefault="000B46EF">
      <w:pPr>
        <w:spacing w:line="360" w:lineRule="auto"/>
        <w:jc w:val="both"/>
        <w:rPr>
          <w:rFonts w:ascii="Times New Roman" w:hAnsi="Times New Roman" w:cs="Times New Roman"/>
          <w:b/>
          <w:sz w:val="28"/>
          <w:szCs w:val="28"/>
        </w:rPr>
      </w:pPr>
      <w:r>
        <w:rPr>
          <w:rFonts w:ascii="Times New Roman" w:hAnsi="Times New Roman" w:cs="Times New Roman"/>
          <w:b/>
          <w:sz w:val="24"/>
          <w:szCs w:val="24"/>
        </w:rPr>
        <w:t xml:space="preserve">VIII. </w:t>
      </w:r>
      <w:commentRangeStart w:id="35"/>
      <w:r>
        <w:rPr>
          <w:rFonts w:ascii="Times New Roman" w:hAnsi="Times New Roman" w:cs="Times New Roman"/>
          <w:b/>
          <w:sz w:val="28"/>
          <w:szCs w:val="28"/>
        </w:rPr>
        <w:t>Conclusion</w:t>
      </w:r>
      <w:commentRangeEnd w:id="35"/>
      <w:r w:rsidR="00EF6150">
        <w:rPr>
          <w:rStyle w:val="CommentReference"/>
        </w:rPr>
        <w:commentReference w:id="35"/>
      </w:r>
    </w:p>
    <w:p w14:paraId="2FAFF787" w14:textId="77777777" w:rsidR="00C46C26" w:rsidRDefault="000B46E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present </w:t>
      </w:r>
      <w:r>
        <w:rPr>
          <w:rFonts w:ascii="Times New Roman" w:hAnsi="Times New Roman" w:cs="Times New Roman"/>
          <w:bCs/>
          <w:sz w:val="24"/>
          <w:szCs w:val="24"/>
        </w:rPr>
        <w:t>analysis has estimated the impact of remittances on economic growth in India in long run as well as in short run, using time series data for 42 years from the period 1980 to 2021 by employing VECM model. By employing Augmented Dicky-Fuller test statistics,</w:t>
      </w:r>
      <w:r>
        <w:rPr>
          <w:rFonts w:ascii="Times New Roman" w:hAnsi="Times New Roman" w:cs="Times New Roman"/>
          <w:bCs/>
          <w:sz w:val="24"/>
          <w:szCs w:val="24"/>
        </w:rPr>
        <w:t xml:space="preserve"> it was shown that all the chosen variables are stationary, which indicated that a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xml:space="preserve"> relationship existed between them. From the analysis of Vector Error Correction Model, co integration results confirms that there exists a significant positive</w:t>
      </w:r>
      <w:r>
        <w:rPr>
          <w:rFonts w:ascii="Times New Roman" w:hAnsi="Times New Roman" w:cs="Times New Roman"/>
          <w:bCs/>
          <w:sz w:val="24"/>
          <w:szCs w:val="24"/>
        </w:rPr>
        <w:t xml:space="preserve"> long run relationship between gross fixed capital formation and economic growth, but positive insignificant relationship is found between the remittances and economic growth. The ECM results indicates that the convergence of the model and implying that ab</w:t>
      </w:r>
      <w:r>
        <w:rPr>
          <w:rFonts w:ascii="Times New Roman" w:hAnsi="Times New Roman" w:cs="Times New Roman"/>
          <w:bCs/>
          <w:sz w:val="24"/>
          <w:szCs w:val="24"/>
        </w:rPr>
        <w:t xml:space="preserve">out 18% adjustment takes place in every year. </w:t>
      </w:r>
    </w:p>
    <w:p w14:paraId="0CB7CAA4" w14:textId="77777777" w:rsidR="00C46C26" w:rsidRDefault="000B46EF">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empirical findings on India suggests that there is unidirectional causal relationship exists between remittances and economic growth and capital stock to economic growth as well. That means remittances </w:t>
      </w:r>
      <w:r>
        <w:rPr>
          <w:rFonts w:ascii="Times New Roman" w:hAnsi="Times New Roman" w:cs="Times New Roman"/>
          <w:bCs/>
          <w:sz w:val="24"/>
          <w:szCs w:val="24"/>
        </w:rPr>
        <w:t>causes economic growth but growth does not lead to remittances and in the same vein capital stock also.</w:t>
      </w:r>
      <w:r>
        <w:rPr>
          <w:rFonts w:ascii="Times New Roman" w:hAnsi="Times New Roman" w:cs="Times New Roman"/>
          <w:sz w:val="24"/>
          <w:szCs w:val="24"/>
        </w:rPr>
        <w:t xml:space="preserve"> </w:t>
      </w:r>
      <w:r>
        <w:rPr>
          <w:rFonts w:ascii="Times New Roman" w:hAnsi="Times New Roman" w:cs="Times New Roman"/>
          <w:bCs/>
          <w:sz w:val="24"/>
          <w:szCs w:val="24"/>
        </w:rPr>
        <w:t xml:space="preserve">Therefore, it can be said that the role of remittances has positive impact on economic growth in India. However, capital stock was found to be positive </w:t>
      </w:r>
      <w:r>
        <w:rPr>
          <w:rFonts w:ascii="Times New Roman" w:hAnsi="Times New Roman" w:cs="Times New Roman"/>
          <w:bCs/>
          <w:sz w:val="24"/>
          <w:szCs w:val="24"/>
        </w:rPr>
        <w:t xml:space="preserve">and significant to contribute to economic growth. </w:t>
      </w:r>
      <w:r>
        <w:rPr>
          <w:rFonts w:ascii="Times New Roman" w:hAnsi="Times New Roman" w:cs="Times New Roman"/>
          <w:sz w:val="24"/>
          <w:szCs w:val="24"/>
        </w:rPr>
        <w:t>Remittances positively impact economic growth through human capital investments. This suggests that in order to increase remittance support in the nation, the government should concentrate on raising its hu</w:t>
      </w:r>
      <w:r>
        <w:rPr>
          <w:rFonts w:ascii="Times New Roman" w:hAnsi="Times New Roman" w:cs="Times New Roman"/>
          <w:sz w:val="24"/>
          <w:szCs w:val="24"/>
        </w:rPr>
        <w:t>man capital levels.</w:t>
      </w:r>
    </w:p>
    <w:p w14:paraId="01E5ABD5" w14:textId="77777777" w:rsidR="00C46C26" w:rsidRDefault="00C46C26">
      <w:pPr>
        <w:spacing w:line="360" w:lineRule="auto"/>
        <w:ind w:firstLine="720"/>
        <w:jc w:val="both"/>
        <w:rPr>
          <w:rFonts w:ascii="Times New Roman" w:hAnsi="Times New Roman" w:cs="Times New Roman"/>
          <w:sz w:val="24"/>
          <w:szCs w:val="24"/>
        </w:rPr>
      </w:pPr>
    </w:p>
    <w:p w14:paraId="62FDAAF9" w14:textId="77777777" w:rsidR="00C46C26" w:rsidRDefault="000B46EF">
      <w:pPr>
        <w:spacing w:line="360" w:lineRule="auto"/>
        <w:ind w:firstLine="720"/>
        <w:jc w:val="both"/>
        <w:rPr>
          <w:rFonts w:ascii="Times New Roman" w:hAnsi="Times New Roman" w:cs="Times New Roman"/>
          <w:sz w:val="24"/>
          <w:szCs w:val="24"/>
        </w:rPr>
      </w:pPr>
      <w:r>
        <w:commentReference w:id="36"/>
      </w:r>
    </w:p>
    <w:p w14:paraId="444E2761" w14:textId="77777777" w:rsidR="00C46C26" w:rsidRDefault="000B46E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05498E15" w14:textId="77777777" w:rsidR="00C46C26" w:rsidRDefault="000B46EF">
      <w:pPr>
        <w:spacing w:line="360" w:lineRule="auto"/>
        <w:ind w:left="720" w:hanging="720"/>
        <w:jc w:val="both"/>
        <w:rPr>
          <w:rFonts w:ascii="Times New Roman" w:hAnsi="Times New Roman" w:cs="Times New Roman"/>
          <w:sz w:val="24"/>
          <w:szCs w:val="24"/>
        </w:rPr>
      </w:pPr>
      <w:commentRangeStart w:id="37"/>
      <w:r>
        <w:rPr>
          <w:rFonts w:ascii="Times New Roman" w:hAnsi="Times New Roman" w:cs="Times New Roman"/>
          <w:sz w:val="24"/>
          <w:szCs w:val="24"/>
        </w:rPr>
        <w:t>Adams</w:t>
      </w:r>
      <w:commentRangeEnd w:id="37"/>
      <w:r>
        <w:commentReference w:id="37"/>
      </w:r>
      <w:r>
        <w:rPr>
          <w:rFonts w:ascii="Times New Roman" w:hAnsi="Times New Roman" w:cs="Times New Roman"/>
          <w:sz w:val="24"/>
          <w:szCs w:val="24"/>
        </w:rPr>
        <w:t>, R. (2009). The determinants of international remittances in developing countries. World Development, 37(1), pp. 93–103.</w:t>
      </w:r>
    </w:p>
    <w:p w14:paraId="2F65DE94"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Adams, R. and Page, J. (2003). The impact of international migration and remittances on po</w:t>
      </w:r>
      <w:r>
        <w:rPr>
          <w:rFonts w:ascii="Times New Roman" w:hAnsi="Times New Roman" w:cs="Times New Roman"/>
          <w:sz w:val="24"/>
          <w:szCs w:val="24"/>
        </w:rPr>
        <w:t xml:space="preserve">verty. Policy Research Working Paper 2761, Washington DC: World Bank. </w:t>
      </w:r>
    </w:p>
    <w:p w14:paraId="7218A210"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Adelman, I. and Taylor, J.E. (1990). Is structural adjustments in the human face possible? The case of Mexico. Journal of Development Studies, 26, pp. 387–407.</w:t>
      </w:r>
    </w:p>
    <w:p w14:paraId="360E38E6"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Aggarwal, R., </w:t>
      </w:r>
      <w:proofErr w:type="spellStart"/>
      <w:r>
        <w:rPr>
          <w:rFonts w:ascii="Times New Roman" w:hAnsi="Times New Roman" w:cs="Times New Roman"/>
          <w:sz w:val="24"/>
          <w:szCs w:val="24"/>
        </w:rPr>
        <w:t>Demirguc-Ku</w:t>
      </w:r>
      <w:r>
        <w:rPr>
          <w:rFonts w:ascii="Times New Roman" w:hAnsi="Times New Roman" w:cs="Times New Roman"/>
          <w:sz w:val="24"/>
          <w:szCs w:val="24"/>
        </w:rPr>
        <w:t>nt</w:t>
      </w:r>
      <w:proofErr w:type="spellEnd"/>
      <w:r>
        <w:rPr>
          <w:rFonts w:ascii="Times New Roman" w:hAnsi="Times New Roman" w:cs="Times New Roman"/>
          <w:sz w:val="24"/>
          <w:szCs w:val="24"/>
        </w:rPr>
        <w:t xml:space="preserve">, A. and Martinez </w:t>
      </w:r>
      <w:proofErr w:type="spellStart"/>
      <w:r>
        <w:rPr>
          <w:rFonts w:ascii="Times New Roman" w:hAnsi="Times New Roman" w:cs="Times New Roman"/>
          <w:sz w:val="24"/>
          <w:szCs w:val="24"/>
        </w:rPr>
        <w:t>Peria</w:t>
      </w:r>
      <w:proofErr w:type="spellEnd"/>
      <w:r>
        <w:rPr>
          <w:rFonts w:ascii="Times New Roman" w:hAnsi="Times New Roman" w:cs="Times New Roman"/>
          <w:sz w:val="24"/>
          <w:szCs w:val="24"/>
        </w:rPr>
        <w:t>, M.S. (2006). Do workers’ remittances promote financial development? World Bank Policy Research Working Paper No. 3957. Accessed at http://ssrn.com/abstract¼ 923264.</w:t>
      </w:r>
    </w:p>
    <w:p w14:paraId="5AA99769" w14:textId="77777777" w:rsidR="00C46C26" w:rsidRDefault="000B46EF">
      <w:pPr>
        <w:spacing w:line="360" w:lineRule="auto"/>
        <w:ind w:left="720" w:hanging="720"/>
        <w:jc w:val="both"/>
        <w:rPr>
          <w:rFonts w:ascii="Times New Roman" w:hAnsi="Times New Roman" w:cs="Times New Roman"/>
          <w:sz w:val="24"/>
          <w:szCs w:val="24"/>
        </w:rPr>
      </w:pPr>
      <w:commentRangeStart w:id="38"/>
      <w:r>
        <w:rPr>
          <w:rFonts w:ascii="Times New Roman" w:hAnsi="Times New Roman" w:cs="Times New Roman"/>
          <w:sz w:val="24"/>
          <w:szCs w:val="24"/>
        </w:rPr>
        <w:t>Aitken</w:t>
      </w:r>
      <w:commentRangeEnd w:id="38"/>
      <w:r w:rsidR="00EF6150">
        <w:rPr>
          <w:rStyle w:val="CommentReference"/>
        </w:rPr>
        <w:commentReference w:id="38"/>
      </w:r>
      <w:r>
        <w:rPr>
          <w:rFonts w:ascii="Times New Roman" w:hAnsi="Times New Roman" w:cs="Times New Roman"/>
          <w:sz w:val="24"/>
          <w:szCs w:val="24"/>
        </w:rPr>
        <w:t>, B. J., &amp; Harrison, A. E. (1999). Do domestic firms benef</w:t>
      </w:r>
      <w:r>
        <w:rPr>
          <w:rFonts w:ascii="Times New Roman" w:hAnsi="Times New Roman" w:cs="Times New Roman"/>
          <w:sz w:val="24"/>
          <w:szCs w:val="24"/>
        </w:rPr>
        <w:t>it from direct foreign investment? Evidence from Venezuela. American Economic Review, 89(3), 605–618.</w:t>
      </w:r>
    </w:p>
    <w:p w14:paraId="37227867" w14:textId="77777777" w:rsidR="00C46C26" w:rsidRDefault="000B46EF">
      <w:pPr>
        <w:spacing w:line="360" w:lineRule="auto"/>
        <w:ind w:left="720" w:hanging="720"/>
        <w:jc w:val="both"/>
        <w:rPr>
          <w:rFonts w:ascii="Times New Roman" w:hAnsi="Times New Roman" w:cs="Times New Roman"/>
          <w:sz w:val="24"/>
          <w:szCs w:val="24"/>
          <w:shd w:val="clear" w:color="auto" w:fill="FFFFFF"/>
        </w:rPr>
      </w:pPr>
      <w:commentRangeStart w:id="39"/>
      <w:proofErr w:type="spellStart"/>
      <w:r>
        <w:rPr>
          <w:rFonts w:ascii="Times New Roman" w:hAnsi="Times New Roman" w:cs="Times New Roman"/>
          <w:sz w:val="24"/>
          <w:szCs w:val="24"/>
          <w:shd w:val="clear" w:color="auto" w:fill="FFFFFF"/>
        </w:rPr>
        <w:t>Azam</w:t>
      </w:r>
      <w:commentRangeEnd w:id="39"/>
      <w:proofErr w:type="spellEnd"/>
      <w:r w:rsidR="00EF6150">
        <w:rPr>
          <w:rStyle w:val="CommentReference"/>
        </w:rPr>
        <w:commentReference w:id="39"/>
      </w:r>
      <w:r>
        <w:rPr>
          <w:rFonts w:ascii="Times New Roman" w:hAnsi="Times New Roman" w:cs="Times New Roman"/>
          <w:sz w:val="24"/>
          <w:szCs w:val="24"/>
          <w:shd w:val="clear" w:color="auto" w:fill="FFFFFF"/>
        </w:rPr>
        <w:t>, M., &amp; Khan, A. (2011). Workers’ remittances and economic growth: evidence from Azerbaijan and Armenia. </w:t>
      </w:r>
      <w:r>
        <w:rPr>
          <w:rFonts w:ascii="Times New Roman" w:hAnsi="Times New Roman" w:cs="Times New Roman"/>
          <w:i/>
          <w:iCs/>
          <w:sz w:val="24"/>
          <w:szCs w:val="24"/>
          <w:shd w:val="clear" w:color="auto" w:fill="FFFFFF"/>
        </w:rPr>
        <w:t>Global Journal of Human Social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(7), 40-46.</w:t>
      </w:r>
    </w:p>
    <w:p w14:paraId="4071D86A" w14:textId="77777777" w:rsidR="00C46C26" w:rsidRDefault="000B46EF">
      <w:pPr>
        <w:spacing w:line="360" w:lineRule="auto"/>
        <w:ind w:left="720" w:hanging="720"/>
        <w:jc w:val="both"/>
        <w:rPr>
          <w:rFonts w:ascii="Times New Roman" w:hAnsi="Times New Roman" w:cs="Times New Roman"/>
          <w:sz w:val="24"/>
          <w:szCs w:val="24"/>
        </w:rPr>
      </w:pPr>
      <w:commentRangeStart w:id="40"/>
      <w:r>
        <w:rPr>
          <w:rFonts w:ascii="Times New Roman" w:hAnsi="Times New Roman" w:cs="Times New Roman"/>
          <w:sz w:val="24"/>
          <w:szCs w:val="24"/>
        </w:rPr>
        <w:t>Barajas</w:t>
      </w:r>
      <w:commentRangeEnd w:id="40"/>
      <w:r w:rsidR="00EF6150">
        <w:rPr>
          <w:rStyle w:val="CommentReference"/>
        </w:rPr>
        <w:commentReference w:id="40"/>
      </w:r>
      <w:r>
        <w:rPr>
          <w:rFonts w:ascii="Times New Roman" w:hAnsi="Times New Roman" w:cs="Times New Roman"/>
          <w:sz w:val="24"/>
          <w:szCs w:val="24"/>
        </w:rPr>
        <w:t xml:space="preserve">, A., </w:t>
      </w:r>
      <w:proofErr w:type="spellStart"/>
      <w:r>
        <w:rPr>
          <w:rFonts w:ascii="Times New Roman" w:hAnsi="Times New Roman" w:cs="Times New Roman"/>
          <w:sz w:val="24"/>
          <w:szCs w:val="24"/>
        </w:rPr>
        <w:t>Chami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Fullenkamp</w:t>
      </w:r>
      <w:proofErr w:type="spellEnd"/>
      <w:r>
        <w:rPr>
          <w:rFonts w:ascii="Times New Roman" w:hAnsi="Times New Roman" w:cs="Times New Roman"/>
          <w:sz w:val="24"/>
          <w:szCs w:val="24"/>
        </w:rPr>
        <w:t xml:space="preserve">, C. and Garg, A. (2010). The global financial crisis and workers’ remittances to Africa: what’s the damage? IMF Working Paper No. 10/24. Accessed from Social Science Research Network (21 June 2011). </w:t>
      </w:r>
    </w:p>
    <w:p w14:paraId="6A8841E8"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Chami</w:t>
      </w:r>
      <w:proofErr w:type="spellEnd"/>
      <w:r>
        <w:rPr>
          <w:rFonts w:ascii="Times New Roman" w:hAnsi="Times New Roman" w:cs="Times New Roman"/>
          <w:sz w:val="24"/>
          <w:szCs w:val="24"/>
        </w:rPr>
        <w:t>, R.</w:t>
      </w:r>
      <w:r>
        <w:rPr>
          <w:rFonts w:ascii="Times New Roman" w:hAnsi="Times New Roman" w:cs="Times New Roman"/>
          <w:sz w:val="24"/>
          <w:szCs w:val="24"/>
        </w:rPr>
        <w:t xml:space="preserve">, </w:t>
      </w:r>
      <w:proofErr w:type="spellStart"/>
      <w:r>
        <w:rPr>
          <w:rFonts w:ascii="Times New Roman" w:hAnsi="Times New Roman" w:cs="Times New Roman"/>
          <w:sz w:val="24"/>
          <w:szCs w:val="24"/>
        </w:rPr>
        <w:t>Fullenkamp</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Jahjah</w:t>
      </w:r>
      <w:proofErr w:type="spellEnd"/>
      <w:r>
        <w:rPr>
          <w:rFonts w:ascii="Times New Roman" w:hAnsi="Times New Roman" w:cs="Times New Roman"/>
          <w:sz w:val="24"/>
          <w:szCs w:val="24"/>
        </w:rPr>
        <w:t>, S. (2005). Are immigrant remittance flows a source of capital for development? IMF Staff Papers, 52(1), Washington, DC: IMF.</w:t>
      </w:r>
    </w:p>
    <w:p w14:paraId="0855549A"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Durand, J., </w:t>
      </w:r>
      <w:proofErr w:type="spellStart"/>
      <w:r>
        <w:rPr>
          <w:rFonts w:ascii="Times New Roman" w:hAnsi="Times New Roman" w:cs="Times New Roman"/>
          <w:sz w:val="24"/>
          <w:szCs w:val="24"/>
          <w:shd w:val="clear" w:color="auto" w:fill="FFFFFF"/>
        </w:rPr>
        <w:t>Kandel</w:t>
      </w:r>
      <w:proofErr w:type="spellEnd"/>
      <w:r>
        <w:rPr>
          <w:rFonts w:ascii="Times New Roman" w:hAnsi="Times New Roman" w:cs="Times New Roman"/>
          <w:sz w:val="24"/>
          <w:szCs w:val="24"/>
          <w:shd w:val="clear" w:color="auto" w:fill="FFFFFF"/>
        </w:rPr>
        <w:t xml:space="preserve">, W., </w:t>
      </w:r>
      <w:proofErr w:type="spellStart"/>
      <w:r>
        <w:rPr>
          <w:rFonts w:ascii="Times New Roman" w:hAnsi="Times New Roman" w:cs="Times New Roman"/>
          <w:sz w:val="24"/>
          <w:szCs w:val="24"/>
          <w:shd w:val="clear" w:color="auto" w:fill="FFFFFF"/>
        </w:rPr>
        <w:t>Parrado</w:t>
      </w:r>
      <w:proofErr w:type="spellEnd"/>
      <w:r>
        <w:rPr>
          <w:rFonts w:ascii="Times New Roman" w:hAnsi="Times New Roman" w:cs="Times New Roman"/>
          <w:sz w:val="24"/>
          <w:szCs w:val="24"/>
          <w:shd w:val="clear" w:color="auto" w:fill="FFFFFF"/>
        </w:rPr>
        <w:t>, E. A., &amp; Massey, D. S. (1996). International migration and developmen</w:t>
      </w:r>
      <w:r>
        <w:rPr>
          <w:rFonts w:ascii="Times New Roman" w:hAnsi="Times New Roman" w:cs="Times New Roman"/>
          <w:sz w:val="24"/>
          <w:szCs w:val="24"/>
          <w:shd w:val="clear" w:color="auto" w:fill="FFFFFF"/>
        </w:rPr>
        <w:t>t in Mexican communities. </w:t>
      </w:r>
      <w:r>
        <w:rPr>
          <w:rFonts w:ascii="Times New Roman" w:hAnsi="Times New Roman" w:cs="Times New Roman"/>
          <w:i/>
          <w:iCs/>
          <w:sz w:val="24"/>
          <w:szCs w:val="24"/>
          <w:shd w:val="clear" w:color="auto" w:fill="FFFFFF"/>
        </w:rPr>
        <w:t>Demography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33</w:t>
      </w:r>
      <w:r>
        <w:rPr>
          <w:rFonts w:ascii="Times New Roman" w:hAnsi="Times New Roman" w:cs="Times New Roman"/>
          <w:sz w:val="24"/>
          <w:szCs w:val="24"/>
          <w:shd w:val="clear" w:color="auto" w:fill="FFFFFF"/>
        </w:rPr>
        <w:t>, 249-264.</w:t>
      </w:r>
    </w:p>
    <w:p w14:paraId="4C9B39F6"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Engle, R. F., &amp; Granger, C. W. (1987). Co-integration and error correction: representation, estimation, and testing. Econometrical: Journal of the Econometric Society, 251–276.</w:t>
      </w:r>
    </w:p>
    <w:p w14:paraId="7A0B7E09"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Engle, R., &amp; Granger, C. (19</w:t>
      </w:r>
      <w:r>
        <w:rPr>
          <w:rFonts w:ascii="Times New Roman" w:hAnsi="Times New Roman" w:cs="Times New Roman"/>
          <w:sz w:val="24"/>
          <w:szCs w:val="24"/>
        </w:rPr>
        <w:t xml:space="preserve">91). Long-run economic relationships: readings in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Oxford University Press.</w:t>
      </w:r>
    </w:p>
    <w:p w14:paraId="25EF2026"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Faini</w:t>
      </w:r>
      <w:proofErr w:type="spellEnd"/>
      <w:r>
        <w:rPr>
          <w:rFonts w:ascii="Times New Roman" w:hAnsi="Times New Roman" w:cs="Times New Roman"/>
          <w:sz w:val="24"/>
          <w:szCs w:val="24"/>
        </w:rPr>
        <w:t xml:space="preserve">, R. (2001). Development, Trade, and Migration (Washington, DC: IMF). </w:t>
      </w:r>
    </w:p>
    <w:p w14:paraId="61B11577" w14:textId="77777777" w:rsidR="00C46C26" w:rsidRDefault="000B46EF">
      <w:pPr>
        <w:spacing w:line="360" w:lineRule="auto"/>
        <w:ind w:left="720" w:hanging="720"/>
        <w:jc w:val="both"/>
        <w:rPr>
          <w:rFonts w:ascii="Times New Roman" w:hAnsi="Times New Roman" w:cs="Times New Roman"/>
          <w:sz w:val="24"/>
          <w:szCs w:val="24"/>
        </w:rPr>
      </w:pPr>
      <w:commentRangeStart w:id="41"/>
      <w:proofErr w:type="spellStart"/>
      <w:r>
        <w:rPr>
          <w:rFonts w:ascii="Times New Roman" w:hAnsi="Times New Roman" w:cs="Times New Roman"/>
          <w:sz w:val="24"/>
          <w:szCs w:val="24"/>
        </w:rPr>
        <w:t>Faini</w:t>
      </w:r>
      <w:commentRangeEnd w:id="41"/>
      <w:proofErr w:type="spellEnd"/>
      <w:r w:rsidR="00EF6150">
        <w:rPr>
          <w:rStyle w:val="CommentReference"/>
        </w:rPr>
        <w:commentReference w:id="41"/>
      </w:r>
      <w:r>
        <w:rPr>
          <w:rFonts w:ascii="Times New Roman" w:hAnsi="Times New Roman" w:cs="Times New Roman"/>
          <w:sz w:val="24"/>
          <w:szCs w:val="24"/>
        </w:rPr>
        <w:t>, R. (2007). Remittances and the brain drain: do more skilled migrants remit more? Wo</w:t>
      </w:r>
      <w:r>
        <w:rPr>
          <w:rFonts w:ascii="Times New Roman" w:hAnsi="Times New Roman" w:cs="Times New Roman"/>
          <w:sz w:val="24"/>
          <w:szCs w:val="24"/>
        </w:rPr>
        <w:t>rld Banking Economic Review, 21(2), pp. 177–191.</w:t>
      </w:r>
    </w:p>
    <w:p w14:paraId="619150E4"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Freund, C. and </w:t>
      </w:r>
      <w:proofErr w:type="spellStart"/>
      <w:r>
        <w:rPr>
          <w:rFonts w:ascii="Times New Roman" w:hAnsi="Times New Roman" w:cs="Times New Roman"/>
          <w:sz w:val="24"/>
          <w:szCs w:val="24"/>
        </w:rPr>
        <w:t>Spatafora</w:t>
      </w:r>
      <w:proofErr w:type="spellEnd"/>
      <w:r>
        <w:rPr>
          <w:rFonts w:ascii="Times New Roman" w:hAnsi="Times New Roman" w:cs="Times New Roman"/>
          <w:sz w:val="24"/>
          <w:szCs w:val="24"/>
        </w:rPr>
        <w:t>, N. (2008). Remittances, transaction costs, and informality. Journal of Development Economics, 86(2), pp. 356–366.</w:t>
      </w:r>
    </w:p>
    <w:p w14:paraId="1ED932CA"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Giuliano, P. and Ruiz-</w:t>
      </w:r>
      <w:proofErr w:type="spellStart"/>
      <w:r>
        <w:rPr>
          <w:rFonts w:ascii="Times New Roman" w:hAnsi="Times New Roman" w:cs="Times New Roman"/>
          <w:sz w:val="24"/>
          <w:szCs w:val="24"/>
        </w:rPr>
        <w:t>Arranz</w:t>
      </w:r>
      <w:proofErr w:type="spellEnd"/>
      <w:r>
        <w:rPr>
          <w:rFonts w:ascii="Times New Roman" w:hAnsi="Times New Roman" w:cs="Times New Roman"/>
          <w:sz w:val="24"/>
          <w:szCs w:val="24"/>
        </w:rPr>
        <w:t>, M. (2009). Remittances, financial dev</w:t>
      </w:r>
      <w:r>
        <w:rPr>
          <w:rFonts w:ascii="Times New Roman" w:hAnsi="Times New Roman" w:cs="Times New Roman"/>
          <w:sz w:val="24"/>
          <w:szCs w:val="24"/>
        </w:rPr>
        <w:t>elopment, and growth, Journal of Development Economics, 90(1), pp. 144–152.</w:t>
      </w:r>
    </w:p>
    <w:p w14:paraId="0D7E41CF"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Haddad, M., &amp; Harrison, A. (1993). Are there positive spillovers from direct foreign investment? Evidence from panel data for Morocco. Journal of Development Economics, 42(1), 51–7</w:t>
      </w:r>
      <w:r>
        <w:rPr>
          <w:rFonts w:ascii="Times New Roman" w:hAnsi="Times New Roman" w:cs="Times New Roman"/>
          <w:sz w:val="24"/>
          <w:szCs w:val="24"/>
        </w:rPr>
        <w:t>4.</w:t>
      </w:r>
    </w:p>
    <w:p w14:paraId="3FAF4E2F" w14:textId="77777777" w:rsidR="00C46C26" w:rsidRDefault="000B46EF">
      <w:pPr>
        <w:spacing w:line="360" w:lineRule="auto"/>
        <w:ind w:left="720" w:hanging="720"/>
        <w:jc w:val="both"/>
        <w:rPr>
          <w:rFonts w:ascii="Times New Roman" w:hAnsi="Times New Roman" w:cs="Times New Roman"/>
          <w:sz w:val="24"/>
          <w:szCs w:val="24"/>
        </w:rPr>
      </w:pPr>
      <w:commentRangeStart w:id="42"/>
      <w:r>
        <w:rPr>
          <w:rFonts w:ascii="Times New Roman" w:hAnsi="Times New Roman" w:cs="Times New Roman"/>
          <w:sz w:val="24"/>
          <w:szCs w:val="24"/>
          <w:shd w:val="clear" w:color="auto" w:fill="FFFFFF"/>
        </w:rPr>
        <w:t>Haddad, M., &amp; Harrison, A. (1993). Are there positive spillovers from direct foreign investment? Evidence from panel data for Morocco. </w:t>
      </w:r>
      <w:r>
        <w:rPr>
          <w:rFonts w:ascii="Times New Roman" w:hAnsi="Times New Roman" w:cs="Times New Roman"/>
          <w:i/>
          <w:iCs/>
          <w:sz w:val="24"/>
          <w:szCs w:val="24"/>
          <w:shd w:val="clear" w:color="auto" w:fill="FFFFFF"/>
        </w:rPr>
        <w:t>Journal of development economics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42</w:t>
      </w:r>
      <w:r>
        <w:rPr>
          <w:rFonts w:ascii="Times New Roman" w:hAnsi="Times New Roman" w:cs="Times New Roman"/>
          <w:sz w:val="24"/>
          <w:szCs w:val="24"/>
          <w:shd w:val="clear" w:color="auto" w:fill="FFFFFF"/>
        </w:rPr>
        <w:t>(1), 51-74.</w:t>
      </w:r>
      <w:commentRangeEnd w:id="42"/>
      <w:r w:rsidR="00EF6150">
        <w:rPr>
          <w:rStyle w:val="CommentReference"/>
        </w:rPr>
        <w:commentReference w:id="42"/>
      </w:r>
    </w:p>
    <w:p w14:paraId="43572C74" w14:textId="77777777" w:rsidR="00C46C26" w:rsidRDefault="000B46EF">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Johansen, S., &amp; </w:t>
      </w:r>
      <w:proofErr w:type="spellStart"/>
      <w:r>
        <w:rPr>
          <w:rFonts w:ascii="Times New Roman" w:hAnsi="Times New Roman" w:cs="Times New Roman"/>
          <w:sz w:val="24"/>
          <w:szCs w:val="24"/>
          <w:shd w:val="clear" w:color="auto" w:fill="FFFFFF"/>
        </w:rPr>
        <w:t>Juselius</w:t>
      </w:r>
      <w:proofErr w:type="spellEnd"/>
      <w:r>
        <w:rPr>
          <w:rFonts w:ascii="Times New Roman" w:hAnsi="Times New Roman" w:cs="Times New Roman"/>
          <w:sz w:val="24"/>
          <w:szCs w:val="24"/>
          <w:shd w:val="clear" w:color="auto" w:fill="FFFFFF"/>
        </w:rPr>
        <w:t>, K. (1990). Maximum likelihood estimation and</w:t>
      </w:r>
      <w:r>
        <w:rPr>
          <w:rFonts w:ascii="Times New Roman" w:hAnsi="Times New Roman" w:cs="Times New Roman"/>
          <w:sz w:val="24"/>
          <w:szCs w:val="24"/>
          <w:shd w:val="clear" w:color="auto" w:fill="FFFFFF"/>
        </w:rPr>
        <w:t xml:space="preserve"> inference on </w:t>
      </w:r>
      <w:proofErr w:type="spellStart"/>
      <w:r>
        <w:rPr>
          <w:rFonts w:ascii="Times New Roman" w:hAnsi="Times New Roman" w:cs="Times New Roman"/>
          <w:sz w:val="24"/>
          <w:szCs w:val="24"/>
          <w:shd w:val="clear" w:color="auto" w:fill="FFFFFF"/>
        </w:rPr>
        <w:t>cointegration</w:t>
      </w:r>
      <w:proofErr w:type="spellEnd"/>
      <w:r>
        <w:rPr>
          <w:rFonts w:ascii="Times New Roman" w:hAnsi="Times New Roman" w:cs="Times New Roman"/>
          <w:sz w:val="24"/>
          <w:szCs w:val="24"/>
          <w:shd w:val="clear" w:color="auto" w:fill="FFFFFF"/>
        </w:rPr>
        <w:t xml:space="preserve">—with </w:t>
      </w:r>
      <w:proofErr w:type="spellStart"/>
      <w:r>
        <w:rPr>
          <w:rFonts w:ascii="Times New Roman" w:hAnsi="Times New Roman" w:cs="Times New Roman"/>
          <w:sz w:val="24"/>
          <w:szCs w:val="24"/>
          <w:shd w:val="clear" w:color="auto" w:fill="FFFFFF"/>
        </w:rPr>
        <w:t>appucations</w:t>
      </w:r>
      <w:proofErr w:type="spellEnd"/>
      <w:r>
        <w:rPr>
          <w:rFonts w:ascii="Times New Roman" w:hAnsi="Times New Roman" w:cs="Times New Roman"/>
          <w:sz w:val="24"/>
          <w:szCs w:val="24"/>
          <w:shd w:val="clear" w:color="auto" w:fill="FFFFFF"/>
        </w:rPr>
        <w:t xml:space="preserve"> to the demand for money. </w:t>
      </w:r>
      <w:r>
        <w:rPr>
          <w:rFonts w:ascii="Times New Roman" w:hAnsi="Times New Roman" w:cs="Times New Roman"/>
          <w:i/>
          <w:iCs/>
          <w:sz w:val="24"/>
          <w:szCs w:val="24"/>
          <w:shd w:val="clear" w:color="auto" w:fill="FFFFFF"/>
        </w:rPr>
        <w:t>Oxford Bulletin of Economics and statistics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52</w:t>
      </w:r>
      <w:r>
        <w:rPr>
          <w:rFonts w:ascii="Times New Roman" w:hAnsi="Times New Roman" w:cs="Times New Roman"/>
          <w:sz w:val="24"/>
          <w:szCs w:val="24"/>
          <w:shd w:val="clear" w:color="auto" w:fill="FFFFFF"/>
        </w:rPr>
        <w:t>(2), 169-210.</w:t>
      </w:r>
    </w:p>
    <w:p w14:paraId="02512DA5" w14:textId="77777777" w:rsidR="00C46C26" w:rsidRDefault="000B46EF">
      <w:pPr>
        <w:spacing w:line="360" w:lineRule="auto"/>
        <w:ind w:left="720" w:hanging="720"/>
        <w:jc w:val="both"/>
        <w:rPr>
          <w:rFonts w:ascii="Times New Roman" w:hAnsi="Times New Roman" w:cs="Times New Roman"/>
          <w:sz w:val="24"/>
          <w:szCs w:val="24"/>
        </w:rPr>
      </w:pPr>
      <w:commentRangeStart w:id="43"/>
      <w:r>
        <w:rPr>
          <w:rFonts w:ascii="Times New Roman" w:hAnsi="Times New Roman" w:cs="Times New Roman"/>
          <w:sz w:val="24"/>
          <w:szCs w:val="24"/>
          <w:shd w:val="clear" w:color="auto" w:fill="FFFFFF"/>
        </w:rPr>
        <w:t>McKenzie</w:t>
      </w:r>
      <w:commentRangeEnd w:id="43"/>
      <w:r w:rsidR="00873993">
        <w:rPr>
          <w:rStyle w:val="CommentReference"/>
        </w:rPr>
        <w:commentReference w:id="43"/>
      </w:r>
      <w:r>
        <w:rPr>
          <w:rFonts w:ascii="Times New Roman" w:hAnsi="Times New Roman" w:cs="Times New Roman"/>
          <w:sz w:val="24"/>
          <w:szCs w:val="24"/>
          <w:shd w:val="clear" w:color="auto" w:fill="FFFFFF"/>
        </w:rPr>
        <w:t>, D., &amp; Sasin, M. J. (2007). Migration, Remittances, Poverty, and Human Capital: Conceptual and Empirical Challenges.</w:t>
      </w:r>
    </w:p>
    <w:p w14:paraId="7F50BBB3" w14:textId="77777777" w:rsidR="00C46C26" w:rsidRDefault="000B46EF">
      <w:pPr>
        <w:spacing w:line="360" w:lineRule="auto"/>
        <w:ind w:left="720" w:hanging="720"/>
        <w:jc w:val="both"/>
        <w:rPr>
          <w:rFonts w:ascii="Times New Roman" w:hAnsi="Times New Roman" w:cs="Times New Roman"/>
          <w:sz w:val="24"/>
          <w:szCs w:val="24"/>
          <w:shd w:val="clear" w:color="auto" w:fill="FFFFFF"/>
        </w:rPr>
      </w:pPr>
      <w:commentRangeStart w:id="44"/>
      <w:proofErr w:type="spellStart"/>
      <w:r>
        <w:rPr>
          <w:rFonts w:ascii="Times New Roman" w:hAnsi="Times New Roman" w:cs="Times New Roman"/>
          <w:sz w:val="24"/>
          <w:szCs w:val="24"/>
          <w:shd w:val="clear" w:color="auto" w:fill="FFFFFF"/>
        </w:rPr>
        <w:t>Mohapatra</w:t>
      </w:r>
      <w:commentRangeEnd w:id="44"/>
      <w:proofErr w:type="spellEnd"/>
      <w:r w:rsidR="00873993">
        <w:rPr>
          <w:rStyle w:val="CommentReference"/>
        </w:rPr>
        <w:commentReference w:id="44"/>
      </w:r>
      <w:r>
        <w:rPr>
          <w:rFonts w:ascii="Times New Roman" w:hAnsi="Times New Roman" w:cs="Times New Roman"/>
          <w:sz w:val="24"/>
          <w:szCs w:val="24"/>
          <w:shd w:val="clear" w:color="auto" w:fill="FFFFFF"/>
        </w:rPr>
        <w:t xml:space="preserve">, S., &amp; </w:t>
      </w:r>
      <w:proofErr w:type="spellStart"/>
      <w:r>
        <w:rPr>
          <w:rFonts w:ascii="Times New Roman" w:hAnsi="Times New Roman" w:cs="Times New Roman"/>
          <w:sz w:val="24"/>
          <w:szCs w:val="24"/>
          <w:shd w:val="clear" w:color="auto" w:fill="FFFFFF"/>
        </w:rPr>
        <w:t>Ratha</w:t>
      </w:r>
      <w:proofErr w:type="spellEnd"/>
      <w:r>
        <w:rPr>
          <w:rFonts w:ascii="Times New Roman" w:hAnsi="Times New Roman" w:cs="Times New Roman"/>
          <w:sz w:val="24"/>
          <w:szCs w:val="24"/>
          <w:shd w:val="clear" w:color="auto" w:fill="FFFFFF"/>
        </w:rPr>
        <w:t xml:space="preserve">, D. (2010). Forecasting Migrant Remittances </w:t>
      </w:r>
      <w:proofErr w:type="gramStart"/>
      <w:r>
        <w:rPr>
          <w:rFonts w:ascii="Times New Roman" w:hAnsi="Times New Roman" w:cs="Times New Roman"/>
          <w:sz w:val="24"/>
          <w:szCs w:val="24"/>
          <w:shd w:val="clear" w:color="auto" w:fill="FFFFFF"/>
        </w:rPr>
        <w:t>During</w:t>
      </w:r>
      <w:proofErr w:type="gramEnd"/>
      <w:r>
        <w:rPr>
          <w:rFonts w:ascii="Times New Roman" w:hAnsi="Times New Roman" w:cs="Times New Roman"/>
          <w:sz w:val="24"/>
          <w:szCs w:val="24"/>
          <w:shd w:val="clear" w:color="auto" w:fill="FFFFFF"/>
        </w:rPr>
        <w:t xml:space="preserve"> the Global Financial Crisis. </w:t>
      </w:r>
      <w:r>
        <w:rPr>
          <w:rFonts w:ascii="Times New Roman" w:hAnsi="Times New Roman" w:cs="Times New Roman"/>
          <w:i/>
          <w:iCs/>
          <w:sz w:val="24"/>
          <w:szCs w:val="24"/>
          <w:shd w:val="clear" w:color="auto" w:fill="FFFFFF"/>
        </w:rPr>
        <w:t>Migration Letters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(2), 203.</w:t>
      </w:r>
    </w:p>
    <w:p w14:paraId="573DBB0A"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Nyasha</w:t>
      </w:r>
      <w:proofErr w:type="spellEnd"/>
      <w:r>
        <w:rPr>
          <w:rFonts w:ascii="Times New Roman" w:hAnsi="Times New Roman" w:cs="Times New Roman"/>
          <w:sz w:val="24"/>
          <w:szCs w:val="24"/>
          <w:shd w:val="clear" w:color="auto" w:fill="FFFFFF"/>
        </w:rPr>
        <w:t xml:space="preserve">, S., &amp; </w:t>
      </w:r>
      <w:proofErr w:type="spellStart"/>
      <w:r>
        <w:rPr>
          <w:rFonts w:ascii="Times New Roman" w:hAnsi="Times New Roman" w:cs="Times New Roman"/>
          <w:sz w:val="24"/>
          <w:szCs w:val="24"/>
          <w:shd w:val="clear" w:color="auto" w:fill="FFFFFF"/>
        </w:rPr>
        <w:t>Odhiambo</w:t>
      </w:r>
      <w:proofErr w:type="spellEnd"/>
      <w:r>
        <w:rPr>
          <w:rFonts w:ascii="Times New Roman" w:hAnsi="Times New Roman" w:cs="Times New Roman"/>
          <w:sz w:val="24"/>
          <w:szCs w:val="24"/>
          <w:shd w:val="clear" w:color="auto" w:fill="FFFFFF"/>
        </w:rPr>
        <w:t xml:space="preserve">, N. M. (2020). Does Remittance Inflow Granger Cause Economic Growth in South Africa? A dynamic </w:t>
      </w:r>
      <w:r>
        <w:rPr>
          <w:rFonts w:ascii="Times New Roman" w:hAnsi="Times New Roman" w:cs="Times New Roman"/>
          <w:sz w:val="24"/>
          <w:szCs w:val="24"/>
          <w:shd w:val="clear" w:color="auto" w:fill="FFFFFF"/>
        </w:rPr>
        <w:t>Multivariate Causality Test. </w:t>
      </w:r>
      <w:r>
        <w:rPr>
          <w:rFonts w:ascii="Times New Roman" w:hAnsi="Times New Roman" w:cs="Times New Roman"/>
          <w:i/>
          <w:iCs/>
          <w:sz w:val="24"/>
          <w:szCs w:val="24"/>
          <w:shd w:val="clear" w:color="auto" w:fill="FFFFFF"/>
        </w:rPr>
        <w:t>The Review of Black Political Economy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(1), 86-103.</w:t>
      </w:r>
    </w:p>
    <w:p w14:paraId="763D4685"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Pradhan, G., </w:t>
      </w:r>
      <w:proofErr w:type="spellStart"/>
      <w:r>
        <w:rPr>
          <w:rFonts w:ascii="Times New Roman" w:hAnsi="Times New Roman" w:cs="Times New Roman"/>
          <w:sz w:val="24"/>
          <w:szCs w:val="24"/>
        </w:rPr>
        <w:t>Upadhyay</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Upadhyaya</w:t>
      </w:r>
      <w:proofErr w:type="spellEnd"/>
      <w:r>
        <w:rPr>
          <w:rFonts w:ascii="Times New Roman" w:hAnsi="Times New Roman" w:cs="Times New Roman"/>
          <w:sz w:val="24"/>
          <w:szCs w:val="24"/>
        </w:rPr>
        <w:t xml:space="preserve">, K. (2008). Remittances and Economic Growth in Developing Countries. </w:t>
      </w:r>
      <w:r>
        <w:rPr>
          <w:rFonts w:ascii="Times New Roman" w:hAnsi="Times New Roman" w:cs="Times New Roman"/>
          <w:i/>
          <w:iCs/>
          <w:sz w:val="24"/>
          <w:szCs w:val="24"/>
        </w:rPr>
        <w:t>European Journal of Development Research, 20</w:t>
      </w:r>
      <w:r>
        <w:rPr>
          <w:rFonts w:ascii="Times New Roman" w:hAnsi="Times New Roman" w:cs="Times New Roman"/>
          <w:sz w:val="24"/>
          <w:szCs w:val="24"/>
        </w:rPr>
        <w:t>(3), pp. 497–506.</w:t>
      </w:r>
    </w:p>
    <w:p w14:paraId="27C75EFE"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w:t>
      </w:r>
      <w:r>
        <w:rPr>
          <w:rFonts w:ascii="Times New Roman" w:hAnsi="Times New Roman" w:cs="Times New Roman"/>
          <w:sz w:val="24"/>
          <w:szCs w:val="24"/>
        </w:rPr>
        <w:t>ndazzo</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Piracha</w:t>
      </w:r>
      <w:proofErr w:type="spellEnd"/>
      <w:r>
        <w:rPr>
          <w:rFonts w:ascii="Times New Roman" w:hAnsi="Times New Roman" w:cs="Times New Roman"/>
          <w:sz w:val="24"/>
          <w:szCs w:val="24"/>
        </w:rPr>
        <w:t xml:space="preserve">, M. (2019). Remittances and Household Expenditure Behavior: Evidence from Senegal. </w:t>
      </w:r>
      <w:r>
        <w:rPr>
          <w:rFonts w:ascii="Times New Roman" w:hAnsi="Times New Roman" w:cs="Times New Roman"/>
          <w:i/>
          <w:iCs/>
          <w:sz w:val="24"/>
          <w:szCs w:val="24"/>
        </w:rPr>
        <w:t>Economic Modelling</w:t>
      </w:r>
      <w:r>
        <w:rPr>
          <w:rFonts w:ascii="Times New Roman" w:hAnsi="Times New Roman" w:cs="Times New Roman"/>
          <w:sz w:val="24"/>
          <w:szCs w:val="24"/>
        </w:rPr>
        <w:t>, 79, 141–153.</w:t>
      </w:r>
    </w:p>
    <w:p w14:paraId="269407B9"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Ratha</w:t>
      </w:r>
      <w:proofErr w:type="spellEnd"/>
      <w:r>
        <w:rPr>
          <w:rFonts w:ascii="Times New Roman" w:hAnsi="Times New Roman" w:cs="Times New Roman"/>
          <w:color w:val="222222"/>
          <w:sz w:val="24"/>
          <w:szCs w:val="24"/>
          <w:shd w:val="clear" w:color="auto" w:fill="FFFFFF"/>
        </w:rPr>
        <w:t>, D. (2003). Workers’ Remittances: An Important and Stable Source of External Development Finance. </w:t>
      </w:r>
      <w:r>
        <w:rPr>
          <w:rFonts w:ascii="Times New Roman" w:hAnsi="Times New Roman" w:cs="Times New Roman"/>
          <w:i/>
          <w:iCs/>
          <w:color w:val="222222"/>
          <w:sz w:val="24"/>
          <w:szCs w:val="24"/>
          <w:shd w:val="clear" w:color="auto" w:fill="FFFFFF"/>
        </w:rPr>
        <w:t xml:space="preserve">Global </w:t>
      </w:r>
      <w:r>
        <w:rPr>
          <w:rFonts w:ascii="Times New Roman" w:hAnsi="Times New Roman" w:cs="Times New Roman"/>
          <w:i/>
          <w:iCs/>
          <w:color w:val="222222"/>
          <w:sz w:val="24"/>
          <w:szCs w:val="24"/>
          <w:shd w:val="clear" w:color="auto" w:fill="FFFFFF"/>
        </w:rPr>
        <w:t>Development Finance</w:t>
      </w:r>
      <w:r>
        <w:rPr>
          <w:rFonts w:ascii="Times New Roman" w:hAnsi="Times New Roman" w:cs="Times New Roman"/>
          <w:color w:val="222222"/>
          <w:sz w:val="24"/>
          <w:szCs w:val="24"/>
          <w:shd w:val="clear" w:color="auto" w:fill="FFFFFF"/>
        </w:rPr>
        <w:t>.</w:t>
      </w:r>
    </w:p>
    <w:p w14:paraId="17F908B2"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Ratha</w:t>
      </w:r>
      <w:proofErr w:type="spellEnd"/>
      <w:r>
        <w:rPr>
          <w:rFonts w:ascii="Times New Roman" w:hAnsi="Times New Roman" w:cs="Times New Roman"/>
          <w:sz w:val="24"/>
          <w:szCs w:val="24"/>
        </w:rPr>
        <w:t>, D., &amp; Shaw, W. (2006). South-South Migration and Remittances. World Bank Working Paper, 102, 334934–1110315015165.</w:t>
      </w:r>
    </w:p>
    <w:p w14:paraId="47CF48E4" w14:textId="77777777" w:rsidR="00C46C26" w:rsidRDefault="000B46EF">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Rivera-</w:t>
      </w:r>
      <w:proofErr w:type="spellStart"/>
      <w:r>
        <w:rPr>
          <w:rFonts w:ascii="Times New Roman" w:hAnsi="Times New Roman" w:cs="Times New Roman"/>
          <w:sz w:val="24"/>
          <w:szCs w:val="24"/>
          <w:shd w:val="clear" w:color="auto" w:fill="FFFFFF"/>
        </w:rPr>
        <w:t>Batiz</w:t>
      </w:r>
      <w:proofErr w:type="spellEnd"/>
      <w:r>
        <w:rPr>
          <w:rFonts w:ascii="Times New Roman" w:hAnsi="Times New Roman" w:cs="Times New Roman"/>
          <w:sz w:val="24"/>
          <w:szCs w:val="24"/>
          <w:shd w:val="clear" w:color="auto" w:fill="FFFFFF"/>
        </w:rPr>
        <w:t xml:space="preserve">, L. A., &amp; </w:t>
      </w:r>
      <w:proofErr w:type="spellStart"/>
      <w:r>
        <w:rPr>
          <w:rFonts w:ascii="Times New Roman" w:hAnsi="Times New Roman" w:cs="Times New Roman"/>
          <w:sz w:val="24"/>
          <w:szCs w:val="24"/>
          <w:shd w:val="clear" w:color="auto" w:fill="FFFFFF"/>
        </w:rPr>
        <w:t>Romer</w:t>
      </w:r>
      <w:proofErr w:type="spellEnd"/>
      <w:r>
        <w:rPr>
          <w:rFonts w:ascii="Times New Roman" w:hAnsi="Times New Roman" w:cs="Times New Roman"/>
          <w:sz w:val="24"/>
          <w:szCs w:val="24"/>
          <w:shd w:val="clear" w:color="auto" w:fill="FFFFFF"/>
        </w:rPr>
        <w:t>, P. M. (1991). Economic integration and endogenous growth. </w:t>
      </w:r>
      <w:r>
        <w:rPr>
          <w:rFonts w:ascii="Times New Roman" w:hAnsi="Times New Roman" w:cs="Times New Roman"/>
          <w:i/>
          <w:iCs/>
          <w:sz w:val="24"/>
          <w:szCs w:val="24"/>
          <w:shd w:val="clear" w:color="auto" w:fill="FFFFFF"/>
        </w:rPr>
        <w:t xml:space="preserve">The Quarterly Journal of </w:t>
      </w:r>
      <w:r>
        <w:rPr>
          <w:rFonts w:ascii="Times New Roman" w:hAnsi="Times New Roman" w:cs="Times New Roman"/>
          <w:i/>
          <w:iCs/>
          <w:sz w:val="24"/>
          <w:szCs w:val="24"/>
          <w:shd w:val="clear" w:color="auto" w:fill="FFFFFF"/>
        </w:rPr>
        <w:t>Economics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106</w:t>
      </w:r>
      <w:r>
        <w:rPr>
          <w:rFonts w:ascii="Times New Roman" w:hAnsi="Times New Roman" w:cs="Times New Roman"/>
          <w:sz w:val="24"/>
          <w:szCs w:val="24"/>
          <w:shd w:val="clear" w:color="auto" w:fill="FFFFFF"/>
        </w:rPr>
        <w:t>(2), 531-555.</w:t>
      </w:r>
    </w:p>
    <w:p w14:paraId="762C1D74" w14:textId="77777777" w:rsidR="00C46C26" w:rsidRDefault="000B46EF">
      <w:pPr>
        <w:spacing w:line="360" w:lineRule="auto"/>
        <w:ind w:left="720" w:hanging="720"/>
        <w:jc w:val="both"/>
        <w:rPr>
          <w:rFonts w:ascii="Times New Roman" w:hAnsi="Times New Roman" w:cs="Times New Roman"/>
          <w:sz w:val="24"/>
          <w:szCs w:val="24"/>
        </w:rPr>
      </w:pPr>
      <w:commentRangeStart w:id="45"/>
      <w:r>
        <w:rPr>
          <w:rFonts w:ascii="Times New Roman" w:hAnsi="Times New Roman" w:cs="Times New Roman"/>
          <w:sz w:val="24"/>
          <w:szCs w:val="24"/>
          <w:shd w:val="clear" w:color="auto" w:fill="FFFFFF"/>
        </w:rPr>
        <w:t>Ruiz</w:t>
      </w:r>
      <w:commentRangeEnd w:id="45"/>
      <w:r w:rsidR="00873993">
        <w:rPr>
          <w:rStyle w:val="CommentReference"/>
        </w:rPr>
        <w:commentReference w:id="45"/>
      </w:r>
      <w:r>
        <w:rPr>
          <w:rFonts w:ascii="Times New Roman" w:hAnsi="Times New Roman" w:cs="Times New Roman"/>
          <w:sz w:val="24"/>
          <w:szCs w:val="24"/>
          <w:shd w:val="clear" w:color="auto" w:fill="FFFFFF"/>
        </w:rPr>
        <w:t>, I., &amp; Vargas-Silva, C. (2010). Monetary policy and international remittances. </w:t>
      </w:r>
      <w:r>
        <w:rPr>
          <w:rFonts w:ascii="Times New Roman" w:hAnsi="Times New Roman" w:cs="Times New Roman"/>
          <w:i/>
          <w:iCs/>
          <w:sz w:val="24"/>
          <w:szCs w:val="24"/>
          <w:shd w:val="clear" w:color="auto" w:fill="FFFFFF"/>
        </w:rPr>
        <w:t>The Journal of Developing Areas</w:t>
      </w:r>
      <w:r>
        <w:rPr>
          <w:rFonts w:ascii="Times New Roman" w:hAnsi="Times New Roman" w:cs="Times New Roman"/>
          <w:sz w:val="24"/>
          <w:szCs w:val="24"/>
          <w:shd w:val="clear" w:color="auto" w:fill="FFFFFF"/>
        </w:rPr>
        <w:t>, 173-186.</w:t>
      </w:r>
    </w:p>
    <w:p w14:paraId="1572E80D" w14:textId="77777777" w:rsidR="00C46C26" w:rsidRDefault="000B46EF">
      <w:pPr>
        <w:spacing w:line="360" w:lineRule="auto"/>
        <w:ind w:left="720" w:hanging="720"/>
        <w:jc w:val="both"/>
        <w:rPr>
          <w:rFonts w:ascii="Times New Roman" w:hAnsi="Times New Roman" w:cs="Times New Roman"/>
          <w:sz w:val="24"/>
          <w:szCs w:val="24"/>
        </w:rPr>
      </w:pPr>
      <w:commentRangeStart w:id="46"/>
      <w:r>
        <w:rPr>
          <w:rFonts w:ascii="Times New Roman" w:hAnsi="Times New Roman" w:cs="Times New Roman"/>
          <w:sz w:val="24"/>
          <w:szCs w:val="24"/>
        </w:rPr>
        <w:t>Song</w:t>
      </w:r>
      <w:commentRangeEnd w:id="46"/>
      <w:r w:rsidR="00873993">
        <w:rPr>
          <w:rStyle w:val="CommentReference"/>
        </w:rPr>
        <w:commentReference w:id="46"/>
      </w:r>
      <w:r>
        <w:rPr>
          <w:rFonts w:ascii="Times New Roman" w:hAnsi="Times New Roman" w:cs="Times New Roman"/>
          <w:sz w:val="24"/>
          <w:szCs w:val="24"/>
        </w:rPr>
        <w:t xml:space="preserve">, Y., </w:t>
      </w:r>
      <w:proofErr w:type="spellStart"/>
      <w:r>
        <w:rPr>
          <w:rFonts w:ascii="Times New Roman" w:hAnsi="Times New Roman" w:cs="Times New Roman"/>
          <w:sz w:val="24"/>
          <w:szCs w:val="24"/>
        </w:rPr>
        <w:t>Paramati</w:t>
      </w:r>
      <w:proofErr w:type="spellEnd"/>
      <w:r>
        <w:rPr>
          <w:rFonts w:ascii="Times New Roman" w:hAnsi="Times New Roman" w:cs="Times New Roman"/>
          <w:sz w:val="24"/>
          <w:szCs w:val="24"/>
        </w:rPr>
        <w:t xml:space="preserve">, S. R., </w:t>
      </w:r>
      <w:proofErr w:type="spellStart"/>
      <w:r>
        <w:rPr>
          <w:rFonts w:ascii="Times New Roman" w:hAnsi="Times New Roman" w:cs="Times New Roman"/>
          <w:sz w:val="24"/>
          <w:szCs w:val="24"/>
        </w:rPr>
        <w:t>Ummalla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Zakari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Kummitha</w:t>
      </w:r>
      <w:proofErr w:type="spellEnd"/>
      <w:r>
        <w:rPr>
          <w:rFonts w:ascii="Times New Roman" w:hAnsi="Times New Roman" w:cs="Times New Roman"/>
          <w:sz w:val="24"/>
          <w:szCs w:val="24"/>
        </w:rPr>
        <w:t>, H. R. (2021). The Effect of Remittance</w:t>
      </w:r>
      <w:r>
        <w:rPr>
          <w:rFonts w:ascii="Times New Roman" w:hAnsi="Times New Roman" w:cs="Times New Roman"/>
          <w:sz w:val="24"/>
          <w:szCs w:val="24"/>
        </w:rPr>
        <w:t>s and FDI Inflows on Income Distribution in Developing Economies. </w:t>
      </w:r>
      <w:r>
        <w:rPr>
          <w:rFonts w:ascii="Times New Roman" w:hAnsi="Times New Roman" w:cs="Times New Roman"/>
          <w:i/>
          <w:iCs/>
          <w:sz w:val="24"/>
          <w:szCs w:val="24"/>
        </w:rPr>
        <w:t>Economic Analysis and Policy</w:t>
      </w:r>
      <w:r>
        <w:rPr>
          <w:rFonts w:ascii="Times New Roman" w:hAnsi="Times New Roman" w:cs="Times New Roman"/>
          <w:sz w:val="24"/>
          <w:szCs w:val="24"/>
        </w:rPr>
        <w:t>.</w:t>
      </w:r>
    </w:p>
    <w:p w14:paraId="743CE667" w14:textId="77777777" w:rsidR="00C46C26" w:rsidRDefault="000B46EF">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Spatafora</w:t>
      </w:r>
      <w:proofErr w:type="spellEnd"/>
      <w:r>
        <w:rPr>
          <w:rFonts w:ascii="Times New Roman" w:hAnsi="Times New Roman" w:cs="Times New Roman"/>
          <w:sz w:val="24"/>
          <w:szCs w:val="24"/>
        </w:rPr>
        <w:t xml:space="preserve">, N. (2005). Two Current Issues Facing Developing Countries, </w:t>
      </w:r>
      <w:r>
        <w:rPr>
          <w:rFonts w:ascii="Times New Roman" w:hAnsi="Times New Roman" w:cs="Times New Roman"/>
          <w:i/>
          <w:iCs/>
          <w:sz w:val="24"/>
          <w:szCs w:val="24"/>
        </w:rPr>
        <w:t>World Economic Outlook.</w:t>
      </w:r>
      <w:r>
        <w:rPr>
          <w:rFonts w:ascii="Times New Roman" w:hAnsi="Times New Roman" w:cs="Times New Roman"/>
          <w:sz w:val="24"/>
          <w:szCs w:val="24"/>
        </w:rPr>
        <w:t xml:space="preserve"> International Monetary Fund, Washington, DC.</w:t>
      </w:r>
    </w:p>
    <w:p w14:paraId="5F5FF9A6" w14:textId="77777777" w:rsidR="00C46C26" w:rsidRDefault="000B46EF">
      <w:pPr>
        <w:spacing w:line="360" w:lineRule="auto"/>
        <w:ind w:left="720" w:hanging="720"/>
        <w:jc w:val="both"/>
        <w:rPr>
          <w:rFonts w:ascii="Times New Roman" w:hAnsi="Times New Roman" w:cs="Times New Roman"/>
          <w:sz w:val="24"/>
          <w:szCs w:val="24"/>
          <w:shd w:val="clear" w:color="auto" w:fill="FFFFFF"/>
        </w:rPr>
      </w:pPr>
      <w:commentRangeStart w:id="47"/>
      <w:r>
        <w:rPr>
          <w:rFonts w:ascii="Times New Roman" w:hAnsi="Times New Roman" w:cs="Times New Roman"/>
          <w:sz w:val="24"/>
          <w:szCs w:val="24"/>
          <w:shd w:val="clear" w:color="auto" w:fill="FFFFFF"/>
        </w:rPr>
        <w:t>Stahl</w:t>
      </w:r>
      <w:commentRangeEnd w:id="47"/>
      <w:r w:rsidR="00873993">
        <w:rPr>
          <w:rStyle w:val="CommentReference"/>
        </w:rPr>
        <w:commentReference w:id="47"/>
      </w:r>
      <w:r>
        <w:rPr>
          <w:rFonts w:ascii="Times New Roman" w:hAnsi="Times New Roman" w:cs="Times New Roman"/>
          <w:sz w:val="24"/>
          <w:szCs w:val="24"/>
          <w:shd w:val="clear" w:color="auto" w:fill="FFFFFF"/>
        </w:rPr>
        <w:t>, C. W., &amp; Arnol</w:t>
      </w:r>
      <w:r>
        <w:rPr>
          <w:rFonts w:ascii="Times New Roman" w:hAnsi="Times New Roman" w:cs="Times New Roman"/>
          <w:sz w:val="24"/>
          <w:szCs w:val="24"/>
          <w:shd w:val="clear" w:color="auto" w:fill="FFFFFF"/>
        </w:rPr>
        <w:t>d, F. (1986). Overseas workers’ remittances in Asian development. </w:t>
      </w:r>
      <w:r>
        <w:rPr>
          <w:rFonts w:ascii="Times New Roman" w:hAnsi="Times New Roman" w:cs="Times New Roman"/>
          <w:i/>
          <w:iCs/>
          <w:sz w:val="24"/>
          <w:szCs w:val="24"/>
          <w:shd w:val="clear" w:color="auto" w:fill="FFFFFF"/>
        </w:rPr>
        <w:t>International migration review</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w:t>
      </w:r>
      <w:r>
        <w:rPr>
          <w:rFonts w:ascii="Times New Roman" w:hAnsi="Times New Roman" w:cs="Times New Roman"/>
          <w:sz w:val="24"/>
          <w:szCs w:val="24"/>
          <w:shd w:val="clear" w:color="auto" w:fill="FFFFFF"/>
        </w:rPr>
        <w:t>(4), 899-925.</w:t>
      </w:r>
    </w:p>
    <w:p w14:paraId="7FF9356F" w14:textId="77777777" w:rsidR="00C46C26" w:rsidRDefault="000B46EF">
      <w:pPr>
        <w:spacing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Tahir, M., Jan, A. A., Shah, S. Q. A.,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M. B., Afridi, M. A., Tariq, Y. B., &amp; Bashir, M. F. (2020). Foreign inflows and economic growth i</w:t>
      </w:r>
      <w:r>
        <w:rPr>
          <w:rFonts w:ascii="Times New Roman" w:hAnsi="Times New Roman" w:cs="Times New Roman"/>
          <w:sz w:val="24"/>
          <w:szCs w:val="24"/>
        </w:rPr>
        <w:t xml:space="preserve">n Pakistan: Some new insights.  </w:t>
      </w:r>
      <w:r>
        <w:rPr>
          <w:rFonts w:ascii="Times New Roman" w:hAnsi="Times New Roman" w:cs="Times New Roman"/>
          <w:i/>
          <w:iCs/>
          <w:sz w:val="24"/>
          <w:szCs w:val="24"/>
        </w:rPr>
        <w:t>Journal of Chinese Economic and Foreign Trade Studies.</w:t>
      </w:r>
    </w:p>
    <w:p w14:paraId="1683E541"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Taylor, J.E. (1992). Remittances and inequality reconsidered: direct, indirect and intertemporal effects. Journal of Policy Modelling, 14(2), pp. 187–208. </w:t>
      </w:r>
    </w:p>
    <w:p w14:paraId="5CFEA0E4"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(2022). International Migrant Stock. Department of Economic and Social Affairs, United Nations Population Division. </w:t>
      </w:r>
    </w:p>
    <w:p w14:paraId="2F6F2019"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United Nations (2009). International Migrant Stock. Department of Economic and Social Affairs, United Nations Population Div</w:t>
      </w:r>
      <w:r>
        <w:rPr>
          <w:rFonts w:ascii="Times New Roman" w:hAnsi="Times New Roman" w:cs="Times New Roman"/>
          <w:sz w:val="24"/>
          <w:szCs w:val="24"/>
        </w:rPr>
        <w:t xml:space="preserve">ision. </w:t>
      </w:r>
    </w:p>
    <w:p w14:paraId="552F2DAE" w14:textId="77777777" w:rsidR="00C46C26" w:rsidRDefault="000B46EF">
      <w:pPr>
        <w:spacing w:line="360" w:lineRule="auto"/>
        <w:ind w:left="720" w:hanging="720"/>
        <w:jc w:val="both"/>
        <w:rPr>
          <w:rFonts w:ascii="Times New Roman" w:hAnsi="Times New Roman" w:cs="Times New Roman"/>
          <w:sz w:val="24"/>
          <w:szCs w:val="24"/>
        </w:rPr>
      </w:pPr>
      <w:commentRangeStart w:id="48"/>
      <w:r>
        <w:rPr>
          <w:rFonts w:ascii="Times New Roman" w:hAnsi="Times New Roman" w:cs="Times New Roman"/>
          <w:sz w:val="24"/>
          <w:szCs w:val="24"/>
          <w:shd w:val="clear" w:color="auto" w:fill="FFFFFF"/>
        </w:rPr>
        <w:lastRenderedPageBreak/>
        <w:t>Vargas</w:t>
      </w:r>
      <w:commentRangeEnd w:id="48"/>
      <w:r w:rsidR="00873993">
        <w:rPr>
          <w:rStyle w:val="CommentReference"/>
        </w:rPr>
        <w:commentReference w:id="48"/>
      </w:r>
      <w:r>
        <w:rPr>
          <w:rFonts w:ascii="Times New Roman" w:hAnsi="Times New Roman" w:cs="Times New Roman"/>
          <w:sz w:val="24"/>
          <w:szCs w:val="24"/>
          <w:shd w:val="clear" w:color="auto" w:fill="FFFFFF"/>
        </w:rPr>
        <w:t xml:space="preserve">-Silva, C., &amp; Huang, P. (2006). Macroeconomic determinants of workers' remittances: </w:t>
      </w:r>
      <w:proofErr w:type="spellStart"/>
      <w:r>
        <w:rPr>
          <w:rFonts w:ascii="Times New Roman" w:hAnsi="Times New Roman" w:cs="Times New Roman"/>
          <w:sz w:val="24"/>
          <w:szCs w:val="24"/>
          <w:shd w:val="clear" w:color="auto" w:fill="FFFFFF"/>
        </w:rPr>
        <w:t>Hostversus</w:t>
      </w:r>
      <w:proofErr w:type="spellEnd"/>
      <w:r>
        <w:rPr>
          <w:rFonts w:ascii="Times New Roman" w:hAnsi="Times New Roman" w:cs="Times New Roman"/>
          <w:sz w:val="24"/>
          <w:szCs w:val="24"/>
          <w:shd w:val="clear" w:color="auto" w:fill="FFFFFF"/>
        </w:rPr>
        <w:t xml:space="preserve"> home country's economic conditions. </w:t>
      </w:r>
      <w:r>
        <w:rPr>
          <w:rFonts w:ascii="Times New Roman" w:hAnsi="Times New Roman" w:cs="Times New Roman"/>
          <w:i/>
          <w:iCs/>
          <w:sz w:val="24"/>
          <w:szCs w:val="24"/>
          <w:shd w:val="clear" w:color="auto" w:fill="FFFFFF"/>
        </w:rPr>
        <w:t>Journal of International Trade &amp; Economic Development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(1), 81-99.</w:t>
      </w:r>
    </w:p>
    <w:p w14:paraId="0DF85ACF"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Bank. (2022). World development indi</w:t>
      </w:r>
      <w:r>
        <w:rPr>
          <w:rFonts w:ascii="Times New Roman" w:hAnsi="Times New Roman" w:cs="Times New Roman"/>
          <w:sz w:val="24"/>
          <w:szCs w:val="24"/>
        </w:rPr>
        <w:t>cators online database. Washington, DC: World Bank. Retrieved from http://data.worldbank.org/indicator</w:t>
      </w:r>
    </w:p>
    <w:p w14:paraId="0BC06E93" w14:textId="77777777" w:rsidR="00C46C26" w:rsidRDefault="000B46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Migration Report (2022). World Migration Report, International Organization for Migration.</w:t>
      </w:r>
    </w:p>
    <w:sectPr w:rsidR="00C46C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 KOLA FIJABI" w:date="2025-09-16T16:01:00Z" w:initials="M">
    <w:p w14:paraId="7BF6704E" w14:textId="77777777" w:rsidR="00C46C26" w:rsidRDefault="000B46EF">
      <w:pPr>
        <w:pStyle w:val="CommentText"/>
      </w:pPr>
      <w:r>
        <w:t>An abstract should contain the following:</w:t>
      </w:r>
    </w:p>
    <w:p w14:paraId="7B7C6383" w14:textId="77777777" w:rsidR="00C46C26" w:rsidRDefault="000B46EF">
      <w:pPr>
        <w:pStyle w:val="CommentText"/>
      </w:pPr>
      <w:r>
        <w:t>Objec</w:t>
      </w:r>
      <w:r>
        <w:t>tive</w:t>
      </w:r>
    </w:p>
    <w:p w14:paraId="3B1E3D25" w14:textId="77777777" w:rsidR="00C46C26" w:rsidRDefault="000B46EF">
      <w:pPr>
        <w:pStyle w:val="CommentText"/>
      </w:pPr>
      <w:r>
        <w:t>Methodology</w:t>
      </w:r>
    </w:p>
    <w:p w14:paraId="53B91948" w14:textId="77777777" w:rsidR="00C46C26" w:rsidRDefault="000B46EF">
      <w:pPr>
        <w:pStyle w:val="CommentText"/>
      </w:pPr>
      <w:r>
        <w:t>Findings</w:t>
      </w:r>
    </w:p>
    <w:p w14:paraId="28E14E0A" w14:textId="77777777" w:rsidR="00C46C26" w:rsidRDefault="000B46EF">
      <w:pPr>
        <w:pStyle w:val="CommentText"/>
      </w:pPr>
      <w:r>
        <w:t>Recommendation</w:t>
      </w:r>
    </w:p>
    <w:p w14:paraId="7D4426ED" w14:textId="77777777" w:rsidR="00C46C26" w:rsidRDefault="000B46EF">
      <w:pPr>
        <w:pStyle w:val="CommentText"/>
      </w:pPr>
      <w:r>
        <w:t>This abstract did not show methodology and recommendation</w:t>
      </w:r>
    </w:p>
  </w:comment>
  <w:comment w:id="1" w:author="MR KOLA FIJABI" w:date="2025-09-16T15:59:00Z" w:initials="M">
    <w:p w14:paraId="1F14543A" w14:textId="77777777" w:rsidR="00C46C26" w:rsidRDefault="000B46EF">
      <w:pPr>
        <w:pStyle w:val="CommentText"/>
      </w:pPr>
      <w:proofErr w:type="gramStart"/>
      <w:r>
        <w:t>attempted</w:t>
      </w:r>
      <w:proofErr w:type="gramEnd"/>
    </w:p>
  </w:comment>
  <w:comment w:id="2" w:author="MR KOLA FIJABI" w:date="2025-09-16T16:00:00Z" w:initials="M">
    <w:p w14:paraId="14C17640" w14:textId="77777777" w:rsidR="00C46C26" w:rsidRDefault="000B46EF">
      <w:pPr>
        <w:pStyle w:val="CommentText"/>
      </w:pPr>
      <w:proofErr w:type="gramStart"/>
      <w:r>
        <w:t>showed</w:t>
      </w:r>
      <w:proofErr w:type="gramEnd"/>
    </w:p>
  </w:comment>
  <w:comment w:id="3" w:author="MR KOLA FIJABI" w:date="2025-09-16T16:00:00Z" w:initials="M">
    <w:p w14:paraId="348C2BA1" w14:textId="77777777" w:rsidR="00C46C26" w:rsidRDefault="000B46EF">
      <w:pPr>
        <w:pStyle w:val="CommentText"/>
      </w:pPr>
      <w:proofErr w:type="gramStart"/>
      <w:r>
        <w:t>was</w:t>
      </w:r>
      <w:proofErr w:type="gramEnd"/>
    </w:p>
  </w:comment>
  <w:comment w:id="4" w:author="MR KOLA FIJABI" w:date="2025-09-16T15:23:00Z" w:initials="M">
    <w:p w14:paraId="25C10317" w14:textId="77777777" w:rsidR="00C46C26" w:rsidRDefault="000B46EF">
      <w:pPr>
        <w:pStyle w:val="CommentText"/>
      </w:pPr>
      <w:r>
        <w:t>Arrange alphabetically</w:t>
      </w:r>
    </w:p>
  </w:comment>
  <w:comment w:id="5" w:author="Microsoft account" w:date="2025-09-16T19:07:00Z" w:initials="Ma">
    <w:p w14:paraId="576DA840" w14:textId="71EDEAAB" w:rsidR="00F8550D" w:rsidRDefault="00F8550D">
      <w:pPr>
        <w:pStyle w:val="CommentText"/>
      </w:pPr>
      <w:r>
        <w:rPr>
          <w:rStyle w:val="CommentReference"/>
        </w:rPr>
        <w:annotationRef/>
      </w:r>
      <w:r>
        <w:t>Where is the closing bracket?</w:t>
      </w:r>
    </w:p>
  </w:comment>
  <w:comment w:id="6" w:author="Microsoft account" w:date="2025-09-16T19:09:00Z" w:initials="Ma">
    <w:p w14:paraId="4F508FF7" w14:textId="60AFDBA8" w:rsidR="00F8550D" w:rsidRDefault="00F8550D">
      <w:pPr>
        <w:pStyle w:val="CommentText"/>
      </w:pPr>
      <w:r>
        <w:rPr>
          <w:rStyle w:val="CommentReference"/>
        </w:rPr>
        <w:annotationRef/>
      </w:r>
    </w:p>
  </w:comment>
  <w:comment w:id="7" w:author="Microsoft account" w:date="2025-09-16T19:10:00Z" w:initials="Ma">
    <w:p w14:paraId="447E5153" w14:textId="5B0EFA52" w:rsidR="00F8550D" w:rsidRDefault="00F8550D">
      <w:pPr>
        <w:pStyle w:val="CommentText"/>
      </w:pPr>
      <w:r>
        <w:rPr>
          <w:rStyle w:val="CommentReference"/>
        </w:rPr>
        <w:annotationRef/>
      </w:r>
      <w:r>
        <w:t>Incomplete statement</w:t>
      </w:r>
    </w:p>
  </w:comment>
  <w:comment w:id="9" w:author="Microsoft account" w:date="2025-09-16T19:13:00Z" w:initials="Ma">
    <w:p w14:paraId="68A61253" w14:textId="23C2751D" w:rsidR="00F8550D" w:rsidRDefault="00F8550D">
      <w:pPr>
        <w:pStyle w:val="CommentText"/>
      </w:pPr>
      <w:r>
        <w:rPr>
          <w:rStyle w:val="CommentReference"/>
        </w:rPr>
        <w:annotationRef/>
      </w:r>
      <w:r>
        <w:t>What gap is the study filling?</w:t>
      </w:r>
    </w:p>
  </w:comment>
  <w:comment w:id="10" w:author="Microsoft account" w:date="2025-09-16T19:14:00Z" w:initials="Ma">
    <w:p w14:paraId="76138C09" w14:textId="249884BA" w:rsidR="00F8550D" w:rsidRDefault="00F8550D">
      <w:pPr>
        <w:pStyle w:val="CommentText"/>
      </w:pPr>
      <w:r>
        <w:rPr>
          <w:rStyle w:val="CommentReference"/>
        </w:rPr>
        <w:annotationRef/>
      </w:r>
      <w:r w:rsidR="00902611">
        <w:t>Literature review should have the following:</w:t>
      </w:r>
    </w:p>
    <w:p w14:paraId="39BD0C95" w14:textId="503C043F" w:rsidR="00902611" w:rsidRDefault="00902611">
      <w:pPr>
        <w:pStyle w:val="CommentText"/>
      </w:pPr>
      <w:r>
        <w:t>Conceptual review</w:t>
      </w:r>
    </w:p>
    <w:p w14:paraId="0A2889D2" w14:textId="367F8426" w:rsidR="00902611" w:rsidRDefault="00902611">
      <w:pPr>
        <w:pStyle w:val="CommentText"/>
      </w:pPr>
      <w:r>
        <w:t>Theoretical review</w:t>
      </w:r>
    </w:p>
    <w:p w14:paraId="0B64D657" w14:textId="54FD76A7" w:rsidR="00902611" w:rsidRDefault="00902611">
      <w:pPr>
        <w:pStyle w:val="CommentText"/>
      </w:pPr>
      <w:r>
        <w:t>Empirical review</w:t>
      </w:r>
    </w:p>
    <w:p w14:paraId="1ABDBE23" w14:textId="77777777" w:rsidR="00902611" w:rsidRDefault="00902611">
      <w:pPr>
        <w:pStyle w:val="CommentText"/>
      </w:pPr>
    </w:p>
    <w:p w14:paraId="7C33F38B" w14:textId="0B4C5CB3" w:rsidR="00902611" w:rsidRDefault="00902611">
      <w:pPr>
        <w:pStyle w:val="CommentText"/>
      </w:pPr>
      <w:r>
        <w:t>Tis literature review looks scanty. The author should review this section.</w:t>
      </w:r>
    </w:p>
  </w:comment>
  <w:comment w:id="11" w:author="Microsoft account" w:date="2025-09-16T19:22:00Z" w:initials="Ma">
    <w:p w14:paraId="11D4F9D6" w14:textId="2889452B" w:rsidR="00902611" w:rsidRDefault="00902611">
      <w:pPr>
        <w:pStyle w:val="CommentText"/>
      </w:pPr>
      <w:r>
        <w:rPr>
          <w:rStyle w:val="CommentReference"/>
        </w:rPr>
        <w:annotationRef/>
      </w:r>
      <w:r>
        <w:t>Not in the reference</w:t>
      </w:r>
    </w:p>
  </w:comment>
  <w:comment w:id="12" w:author="Microsoft account" w:date="2025-09-16T19:22:00Z" w:initials="Ma">
    <w:p w14:paraId="49FB05E7" w14:textId="1DBDD389" w:rsidR="00902611" w:rsidRDefault="00902611">
      <w:pPr>
        <w:pStyle w:val="CommentText"/>
      </w:pPr>
      <w:r>
        <w:rPr>
          <w:rStyle w:val="CommentReference"/>
        </w:rPr>
        <w:annotationRef/>
      </w:r>
      <w:r>
        <w:t>Not in the reference</w:t>
      </w:r>
    </w:p>
  </w:comment>
  <w:comment w:id="13" w:author="Microsoft account" w:date="2025-09-16T19:23:00Z" w:initials="Ma">
    <w:p w14:paraId="572CC840" w14:textId="2995DA65" w:rsidR="00902611" w:rsidRDefault="00902611">
      <w:pPr>
        <w:pStyle w:val="CommentText"/>
      </w:pPr>
      <w:r>
        <w:rPr>
          <w:rStyle w:val="CommentReference"/>
        </w:rPr>
        <w:annotationRef/>
      </w:r>
      <w:r>
        <w:t xml:space="preserve">Not </w:t>
      </w:r>
      <w:proofErr w:type="spellStart"/>
      <w:r>
        <w:t>n</w:t>
      </w:r>
      <w:proofErr w:type="spellEnd"/>
      <w:r>
        <w:t xml:space="preserve"> the reference</w:t>
      </w:r>
    </w:p>
  </w:comment>
  <w:comment w:id="14" w:author="Microsoft account" w:date="2025-09-16T19:17:00Z" w:initials="Ma">
    <w:p w14:paraId="04AB6F17" w14:textId="0E9636F9" w:rsidR="00902611" w:rsidRDefault="00902611">
      <w:pPr>
        <w:pStyle w:val="CommentText"/>
      </w:pPr>
      <w:r>
        <w:rPr>
          <w:rStyle w:val="CommentReference"/>
        </w:rPr>
        <w:annotationRef/>
      </w:r>
      <w:r>
        <w:t>Not listed in the reference</w:t>
      </w:r>
    </w:p>
  </w:comment>
  <w:comment w:id="15" w:author="Microsoft account" w:date="2025-09-16T19:19:00Z" w:initials="Ma">
    <w:p w14:paraId="456DA5BD" w14:textId="413669C4" w:rsidR="00902611" w:rsidRDefault="00902611">
      <w:pPr>
        <w:pStyle w:val="CommentText"/>
      </w:pPr>
      <w:r>
        <w:rPr>
          <w:rStyle w:val="CommentReference"/>
        </w:rPr>
        <w:annotationRef/>
      </w:r>
      <w:r>
        <w:t>Not in the reference</w:t>
      </w:r>
    </w:p>
  </w:comment>
  <w:comment w:id="16" w:author="Microsoft account" w:date="2025-09-16T19:24:00Z" w:initials="Ma">
    <w:p w14:paraId="60CE60BB" w14:textId="77C7EB4D" w:rsidR="00902611" w:rsidRDefault="00902611">
      <w:pPr>
        <w:pStyle w:val="CommentText"/>
      </w:pPr>
      <w:r>
        <w:rPr>
          <w:rStyle w:val="CommentReference"/>
        </w:rPr>
        <w:annotationRef/>
      </w:r>
      <w:r>
        <w:t>Not in the reference</w:t>
      </w:r>
    </w:p>
  </w:comment>
  <w:comment w:id="17" w:author="Microsoft account" w:date="2025-09-16T19:24:00Z" w:initials="Ma">
    <w:p w14:paraId="38F1DCFC" w14:textId="10CBB27C" w:rsidR="00902611" w:rsidRDefault="00902611">
      <w:pPr>
        <w:pStyle w:val="CommentText"/>
      </w:pPr>
      <w:r>
        <w:rPr>
          <w:rStyle w:val="CommentReference"/>
        </w:rPr>
        <w:annotationRef/>
      </w:r>
      <w:r>
        <w:t>Not in the reference</w:t>
      </w:r>
    </w:p>
  </w:comment>
  <w:comment w:id="18" w:author="Microsoft account" w:date="2025-09-16T19:25:00Z" w:initials="Ma">
    <w:p w14:paraId="378A6421" w14:textId="5AE9CA58" w:rsidR="00902611" w:rsidRDefault="00902611">
      <w:pPr>
        <w:pStyle w:val="CommentText"/>
      </w:pPr>
      <w:r>
        <w:rPr>
          <w:rStyle w:val="CommentReference"/>
        </w:rPr>
        <w:annotationRef/>
      </w:r>
      <w:r w:rsidR="003C5BE8">
        <w:t>Not in the reference</w:t>
      </w:r>
    </w:p>
  </w:comment>
  <w:comment w:id="19" w:author="Microsoft account" w:date="2025-09-16T19:26:00Z" w:initials="Ma">
    <w:p w14:paraId="46016962" w14:textId="2290C39E" w:rsidR="003C5BE8" w:rsidRDefault="003C5BE8">
      <w:pPr>
        <w:pStyle w:val="CommentText"/>
      </w:pPr>
      <w:r>
        <w:rPr>
          <w:rStyle w:val="CommentReference"/>
        </w:rPr>
        <w:annotationRef/>
      </w:r>
      <w:r>
        <w:t>Not in the reference</w:t>
      </w:r>
    </w:p>
  </w:comment>
  <w:comment w:id="20" w:author="Microsoft account" w:date="2025-09-16T19:26:00Z" w:initials="Ma">
    <w:p w14:paraId="30159764" w14:textId="647BA0E1" w:rsidR="003C5BE8" w:rsidRDefault="003C5BE8">
      <w:pPr>
        <w:pStyle w:val="CommentText"/>
      </w:pPr>
      <w:r>
        <w:rPr>
          <w:rStyle w:val="CommentReference"/>
        </w:rPr>
        <w:annotationRef/>
      </w:r>
      <w:r>
        <w:t>Nit in the reference</w:t>
      </w:r>
    </w:p>
  </w:comment>
  <w:comment w:id="21" w:author="Microsoft account" w:date="2025-09-16T19:27:00Z" w:initials="Ma">
    <w:p w14:paraId="325B928E" w14:textId="689CCF6C" w:rsidR="003C5BE8" w:rsidRDefault="003C5BE8">
      <w:pPr>
        <w:pStyle w:val="CommentText"/>
      </w:pPr>
      <w:r>
        <w:rPr>
          <w:rStyle w:val="CommentReference"/>
        </w:rPr>
        <w:annotationRef/>
      </w:r>
      <w:r>
        <w:t>Not in the reference</w:t>
      </w:r>
    </w:p>
  </w:comment>
  <w:comment w:id="22" w:author="Microsoft account" w:date="2025-09-16T19:28:00Z" w:initials="Ma">
    <w:p w14:paraId="29EFFADD" w14:textId="584796F6" w:rsidR="003C5BE8" w:rsidRDefault="003C5BE8">
      <w:pPr>
        <w:pStyle w:val="CommentText"/>
      </w:pPr>
      <w:r>
        <w:rPr>
          <w:rStyle w:val="CommentReference"/>
        </w:rPr>
        <w:annotationRef/>
      </w:r>
      <w:r>
        <w:t>These citations are not in the reference</w:t>
      </w:r>
    </w:p>
  </w:comment>
  <w:comment w:id="23" w:author="Microsoft account" w:date="2025-09-16T19:30:00Z" w:initials="Ma">
    <w:p w14:paraId="2AF9A235" w14:textId="70463C4B" w:rsidR="003C5BE8" w:rsidRDefault="003C5BE8">
      <w:pPr>
        <w:pStyle w:val="CommentText"/>
      </w:pPr>
      <w:r>
        <w:rPr>
          <w:rStyle w:val="CommentReference"/>
        </w:rPr>
        <w:annotationRef/>
      </w:r>
      <w:r>
        <w:t>The author should provide the following here:</w:t>
      </w:r>
    </w:p>
    <w:p w14:paraId="5183FF7B" w14:textId="5AD414A6" w:rsidR="003C5BE8" w:rsidRDefault="003C5BE8">
      <w:pPr>
        <w:pStyle w:val="CommentText"/>
      </w:pPr>
      <w:r>
        <w:t>Research design</w:t>
      </w:r>
    </w:p>
    <w:p w14:paraId="11D606EB" w14:textId="5C15AF23" w:rsidR="003C5BE8" w:rsidRDefault="003C5BE8">
      <w:pPr>
        <w:pStyle w:val="CommentText"/>
      </w:pPr>
      <w:r>
        <w:t>Population</w:t>
      </w:r>
    </w:p>
    <w:p w14:paraId="64341A60" w14:textId="0C49A43F" w:rsidR="003C5BE8" w:rsidRDefault="003C5BE8">
      <w:pPr>
        <w:pStyle w:val="CommentText"/>
      </w:pPr>
      <w:r>
        <w:t>Sample size and sampling technique</w:t>
      </w:r>
    </w:p>
    <w:p w14:paraId="3DD41580" w14:textId="0A1AA240" w:rsidR="003C5BE8" w:rsidRDefault="003C5BE8">
      <w:pPr>
        <w:pStyle w:val="CommentText"/>
      </w:pPr>
      <w:r>
        <w:t>Method of data collection</w:t>
      </w:r>
    </w:p>
    <w:p w14:paraId="4D09C014" w14:textId="2C816997" w:rsidR="003C5BE8" w:rsidRDefault="003C5BE8">
      <w:pPr>
        <w:pStyle w:val="CommentText"/>
      </w:pPr>
      <w:r>
        <w:t>Method of data analysis</w:t>
      </w:r>
    </w:p>
    <w:p w14:paraId="752BCDC1" w14:textId="4414265E" w:rsidR="003C5BE8" w:rsidRDefault="003C5BE8">
      <w:pPr>
        <w:pStyle w:val="CommentText"/>
      </w:pPr>
      <w:r>
        <w:t>Instrument validity</w:t>
      </w:r>
    </w:p>
    <w:p w14:paraId="00EDF672" w14:textId="19898088" w:rsidR="003C5BE8" w:rsidRDefault="003C5BE8">
      <w:pPr>
        <w:pStyle w:val="CommentText"/>
      </w:pPr>
      <w:r>
        <w:t>Instrument reliability</w:t>
      </w:r>
    </w:p>
    <w:p w14:paraId="4B14A5E4" w14:textId="722CF66A" w:rsidR="003C5BE8" w:rsidRDefault="003C5BE8">
      <w:pPr>
        <w:pStyle w:val="CommentText"/>
      </w:pPr>
      <w:r>
        <w:t>Model specification</w:t>
      </w:r>
    </w:p>
  </w:comment>
  <w:comment w:id="24" w:author="Microsoft account" w:date="2025-09-16T19:34:00Z" w:initials="Ma">
    <w:p w14:paraId="41F63180" w14:textId="51E7C1F8" w:rsidR="003C5BE8" w:rsidRDefault="003C5BE8">
      <w:pPr>
        <w:pStyle w:val="CommentText"/>
      </w:pPr>
      <w:r>
        <w:rPr>
          <w:rStyle w:val="CommentReference"/>
        </w:rPr>
        <w:annotationRef/>
      </w:r>
      <w:proofErr w:type="gramStart"/>
      <w:r>
        <w:t>that</w:t>
      </w:r>
      <w:proofErr w:type="gramEnd"/>
    </w:p>
  </w:comment>
  <w:comment w:id="25" w:author="Microsoft account" w:date="2025-09-16T19:40:00Z" w:initials="Ma">
    <w:p w14:paraId="58972788" w14:textId="69851EA0" w:rsidR="001357D3" w:rsidRDefault="001357D3">
      <w:pPr>
        <w:pStyle w:val="CommentText"/>
      </w:pPr>
      <w:r>
        <w:rPr>
          <w:rStyle w:val="CommentReference"/>
        </w:rPr>
        <w:annotationRef/>
      </w:r>
      <w:r>
        <w:t>The figures in the table should be explained</w:t>
      </w:r>
    </w:p>
  </w:comment>
  <w:comment w:id="26" w:author="Microsoft account" w:date="2025-09-16T19:38:00Z" w:initials="Ma">
    <w:p w14:paraId="03F8CF12" w14:textId="771415D9" w:rsidR="001357D3" w:rsidRDefault="001357D3">
      <w:pPr>
        <w:pStyle w:val="CommentText"/>
      </w:pPr>
      <w:r>
        <w:rPr>
          <w:rStyle w:val="CommentReference"/>
        </w:rPr>
        <w:annotationRef/>
      </w:r>
      <w:proofErr w:type="gramStart"/>
      <w:r>
        <w:t>correct</w:t>
      </w:r>
      <w:proofErr w:type="gramEnd"/>
      <w:r>
        <w:t xml:space="preserve"> this</w:t>
      </w:r>
    </w:p>
  </w:comment>
  <w:comment w:id="27" w:author="Microsoft account" w:date="2025-09-16T19:43:00Z" w:initials="Ma">
    <w:p w14:paraId="32F4D8D6" w14:textId="2FA3E90A" w:rsidR="001357D3" w:rsidRDefault="001357D3">
      <w:pPr>
        <w:pStyle w:val="CommentText"/>
      </w:pPr>
      <w:r>
        <w:rPr>
          <w:rStyle w:val="CommentReference"/>
        </w:rPr>
        <w:annotationRef/>
      </w:r>
      <w:proofErr w:type="gramStart"/>
      <w:r>
        <w:t>what</w:t>
      </w:r>
      <w:proofErr w:type="gramEnd"/>
      <w:r>
        <w:t xml:space="preserve"> is the implication of the finding?</w:t>
      </w:r>
    </w:p>
  </w:comment>
  <w:comment w:id="28" w:author="Microsoft account" w:date="2025-09-16T19:48:00Z" w:initials="Ma">
    <w:p w14:paraId="01C1C4B2" w14:textId="727F7961" w:rsidR="00DF22AC" w:rsidRDefault="00DF22AC">
      <w:pPr>
        <w:pStyle w:val="CommentText"/>
      </w:pPr>
      <w:r>
        <w:rPr>
          <w:rStyle w:val="CommentReference"/>
        </w:rPr>
        <w:annotationRef/>
      </w:r>
      <w:r>
        <w:t>Source of the figures</w:t>
      </w:r>
    </w:p>
  </w:comment>
  <w:comment w:id="29" w:author="Microsoft account" w:date="2025-09-16T19:49:00Z" w:initials="Ma">
    <w:p w14:paraId="1F60669E" w14:textId="7FF3BABC" w:rsidR="00DF22AC" w:rsidRDefault="00DF22AC">
      <w:pPr>
        <w:pStyle w:val="CommentText"/>
      </w:pPr>
      <w:r>
        <w:rPr>
          <w:rStyle w:val="CommentReference"/>
        </w:rPr>
        <w:annotationRef/>
      </w:r>
      <w:r>
        <w:t>Source of the figures</w:t>
      </w:r>
    </w:p>
  </w:comment>
  <w:comment w:id="30" w:author="Microsoft account" w:date="2025-09-16T19:51:00Z" w:initials="Ma">
    <w:p w14:paraId="444FC325" w14:textId="7924EF4A" w:rsidR="00DF22AC" w:rsidRDefault="00DF22AC">
      <w:pPr>
        <w:pStyle w:val="CommentText"/>
      </w:pPr>
      <w:r>
        <w:rPr>
          <w:rStyle w:val="CommentReference"/>
        </w:rPr>
        <w:annotationRef/>
      </w:r>
      <w:r>
        <w:t>This should form part of data presentation and discussion of findings.</w:t>
      </w:r>
    </w:p>
    <w:p w14:paraId="32516F3B" w14:textId="517D07EF" w:rsidR="00DF22AC" w:rsidRDefault="00DF22AC">
      <w:pPr>
        <w:pStyle w:val="CommentText"/>
      </w:pPr>
      <w:r>
        <w:t>It should be linked to the table that has its data</w:t>
      </w:r>
    </w:p>
  </w:comment>
  <w:comment w:id="31" w:author="Microsoft account" w:date="2025-09-16T20:09:00Z" w:initials="Ma">
    <w:p w14:paraId="598937A8" w14:textId="58F39875" w:rsidR="00873993" w:rsidRDefault="00873993">
      <w:pPr>
        <w:pStyle w:val="CommentText"/>
      </w:pPr>
      <w:r>
        <w:rPr>
          <w:rStyle w:val="CommentReference"/>
        </w:rPr>
        <w:annotationRef/>
      </w:r>
      <w:r>
        <w:t>Not in the reference</w:t>
      </w:r>
    </w:p>
  </w:comment>
  <w:comment w:id="32" w:author="MR KOLA FIJABI" w:date="2025-09-16T16:07:00Z" w:initials="M">
    <w:p w14:paraId="008F7455" w14:textId="77777777" w:rsidR="00C46C26" w:rsidRDefault="000B46EF">
      <w:pPr>
        <w:pStyle w:val="CommentText"/>
      </w:pPr>
      <w:r>
        <w:t>Not included in the reference list</w:t>
      </w:r>
    </w:p>
  </w:comment>
  <w:comment w:id="33" w:author="Microsoft account" w:date="2025-09-16T19:57:00Z" w:initials="Ma">
    <w:p w14:paraId="01EA76B7" w14:textId="21705C46" w:rsidR="00EF6150" w:rsidRDefault="00EF6150">
      <w:pPr>
        <w:pStyle w:val="CommentText"/>
      </w:pPr>
      <w:r>
        <w:rPr>
          <w:rStyle w:val="CommentReference"/>
        </w:rPr>
        <w:annotationRef/>
      </w:r>
      <w:r>
        <w:t>It should form part of data presentation and discussion of findings</w:t>
      </w:r>
    </w:p>
  </w:comment>
  <w:comment w:id="34" w:author="Microsoft account" w:date="2025-09-16T19:58:00Z" w:initials="Ma">
    <w:p w14:paraId="6E90B554" w14:textId="6FF9DF62" w:rsidR="00EF6150" w:rsidRDefault="00EF6150">
      <w:pPr>
        <w:pStyle w:val="CommentText"/>
      </w:pPr>
      <w:r>
        <w:rPr>
          <w:rStyle w:val="CommentReference"/>
        </w:rPr>
        <w:annotationRef/>
      </w:r>
      <w:r>
        <w:t>The</w:t>
      </w:r>
    </w:p>
  </w:comment>
  <w:comment w:id="35" w:author="Microsoft account" w:date="2025-09-16T19:59:00Z" w:initials="Ma">
    <w:p w14:paraId="5FFBAE3B" w14:textId="568F9AC1" w:rsidR="00EF6150" w:rsidRDefault="00EF6150">
      <w:pPr>
        <w:pStyle w:val="CommentText"/>
      </w:pPr>
      <w:r>
        <w:rPr>
          <w:rStyle w:val="CommentReference"/>
        </w:rPr>
        <w:annotationRef/>
      </w:r>
      <w:r>
        <w:t>And Recommendation</w:t>
      </w:r>
    </w:p>
  </w:comment>
  <w:comment w:id="36" w:author="MR KOLA FIJABI" w:date="2025-09-16T16:08:00Z" w:initials="M">
    <w:p w14:paraId="29DC60EE" w14:textId="77777777" w:rsidR="00C46C26" w:rsidRDefault="000B46EF">
      <w:pPr>
        <w:pStyle w:val="CommentText"/>
      </w:pPr>
      <w:r>
        <w:t>No recommendation was provided</w:t>
      </w:r>
    </w:p>
  </w:comment>
  <w:comment w:id="37" w:author="MR KOLA FIJABI" w:date="2025-09-16T16:06:00Z" w:initials="M">
    <w:p w14:paraId="32896564" w14:textId="77777777" w:rsidR="00C46C26" w:rsidRDefault="000B46EF">
      <w:pPr>
        <w:pStyle w:val="CommentText"/>
      </w:pPr>
      <w:r>
        <w:t>Not cited</w:t>
      </w:r>
    </w:p>
  </w:comment>
  <w:comment w:id="38" w:author="Microsoft account" w:date="2025-09-16T20:00:00Z" w:initials="Ma">
    <w:p w14:paraId="66CB26C8" w14:textId="2B3DA29C" w:rsidR="00EF6150" w:rsidRDefault="00EF6150">
      <w:pPr>
        <w:pStyle w:val="CommentText"/>
      </w:pPr>
      <w:r>
        <w:rPr>
          <w:rStyle w:val="CommentReference"/>
        </w:rPr>
        <w:annotationRef/>
      </w:r>
      <w:r>
        <w:t>Not cited</w:t>
      </w:r>
    </w:p>
  </w:comment>
  <w:comment w:id="39" w:author="Microsoft account" w:date="2025-09-16T20:00:00Z" w:initials="Ma">
    <w:p w14:paraId="7F28C55D" w14:textId="64C1AA70" w:rsidR="00EF6150" w:rsidRDefault="00EF6150">
      <w:pPr>
        <w:pStyle w:val="CommentText"/>
      </w:pPr>
      <w:r>
        <w:rPr>
          <w:rStyle w:val="CommentReference"/>
        </w:rPr>
        <w:annotationRef/>
      </w:r>
      <w:r>
        <w:t>Not cited</w:t>
      </w:r>
    </w:p>
  </w:comment>
  <w:comment w:id="40" w:author="Microsoft account" w:date="2025-09-16T20:01:00Z" w:initials="Ma">
    <w:p w14:paraId="21E8F776" w14:textId="02F0B91C" w:rsidR="00EF6150" w:rsidRDefault="00EF6150">
      <w:pPr>
        <w:pStyle w:val="CommentText"/>
      </w:pPr>
      <w:r>
        <w:rPr>
          <w:rStyle w:val="CommentReference"/>
        </w:rPr>
        <w:annotationRef/>
      </w:r>
      <w:r>
        <w:rPr>
          <w:rStyle w:val="CommentReference"/>
        </w:rPr>
        <w:t>Not cited</w:t>
      </w:r>
    </w:p>
  </w:comment>
  <w:comment w:id="41" w:author="Microsoft account" w:date="2025-09-16T20:03:00Z" w:initials="Ma">
    <w:p w14:paraId="17AD8D61" w14:textId="09A370C7" w:rsidR="00EF6150" w:rsidRDefault="00EF6150">
      <w:pPr>
        <w:pStyle w:val="CommentText"/>
      </w:pPr>
      <w:r>
        <w:rPr>
          <w:rStyle w:val="CommentReference"/>
        </w:rPr>
        <w:annotationRef/>
      </w:r>
      <w:r>
        <w:t>Not cited</w:t>
      </w:r>
    </w:p>
  </w:comment>
  <w:comment w:id="42" w:author="Microsoft account" w:date="2025-09-16T20:04:00Z" w:initials="Ma">
    <w:p w14:paraId="456B3AD4" w14:textId="54053296" w:rsidR="00EF6150" w:rsidRDefault="00EF6150">
      <w:pPr>
        <w:pStyle w:val="CommentText"/>
      </w:pPr>
      <w:r>
        <w:rPr>
          <w:rStyle w:val="CommentReference"/>
        </w:rPr>
        <w:annotationRef/>
      </w:r>
      <w:r>
        <w:t>Duplicated</w:t>
      </w:r>
    </w:p>
    <w:p w14:paraId="16EAF0AF" w14:textId="66729675" w:rsidR="00EF6150" w:rsidRDefault="00EF6150">
      <w:pPr>
        <w:pStyle w:val="CommentText"/>
      </w:pPr>
      <w:proofErr w:type="gramStart"/>
      <w:r>
        <w:t>remove</w:t>
      </w:r>
      <w:proofErr w:type="gramEnd"/>
    </w:p>
  </w:comment>
  <w:comment w:id="43" w:author="Microsoft account" w:date="2025-09-16T20:05:00Z" w:initials="Ma">
    <w:p w14:paraId="06CB17A0" w14:textId="77777777" w:rsidR="00873993" w:rsidRDefault="00873993">
      <w:pPr>
        <w:pStyle w:val="CommentText"/>
      </w:pPr>
      <w:r>
        <w:rPr>
          <w:rStyle w:val="CommentReference"/>
        </w:rPr>
        <w:annotationRef/>
      </w:r>
      <w:proofErr w:type="gramStart"/>
      <w:r>
        <w:t>reconcile</w:t>
      </w:r>
      <w:proofErr w:type="gramEnd"/>
      <w:r>
        <w:t xml:space="preserve"> with citation</w:t>
      </w:r>
    </w:p>
    <w:p w14:paraId="0E2D1BC3" w14:textId="0BFA294E" w:rsidR="00873993" w:rsidRDefault="00873993">
      <w:pPr>
        <w:pStyle w:val="CommentText"/>
      </w:pPr>
      <w:r>
        <w:t xml:space="preserve">Citation has </w:t>
      </w:r>
      <w:proofErr w:type="spellStart"/>
      <w:r>
        <w:t>Sain</w:t>
      </w:r>
      <w:proofErr w:type="spellEnd"/>
      <w:r>
        <w:t xml:space="preserve"> &amp; </w:t>
      </w:r>
      <w:proofErr w:type="spellStart"/>
      <w:r>
        <w:t>Mckenzie</w:t>
      </w:r>
      <w:proofErr w:type="spellEnd"/>
      <w:r>
        <w:t xml:space="preserve"> </w:t>
      </w:r>
    </w:p>
  </w:comment>
  <w:comment w:id="44" w:author="Microsoft account" w:date="2025-09-16T20:07:00Z" w:initials="Ma">
    <w:p w14:paraId="59EBF217" w14:textId="74694A26" w:rsidR="00873993" w:rsidRDefault="00873993">
      <w:pPr>
        <w:pStyle w:val="CommentText"/>
      </w:pPr>
      <w:r>
        <w:rPr>
          <w:rStyle w:val="CommentReference"/>
        </w:rPr>
        <w:annotationRef/>
      </w:r>
      <w:r>
        <w:t>Not cited</w:t>
      </w:r>
    </w:p>
  </w:comment>
  <w:comment w:id="45" w:author="Microsoft account" w:date="2025-09-16T20:11:00Z" w:initials="Ma">
    <w:p w14:paraId="024E7E71" w14:textId="62866FFB" w:rsidR="00873993" w:rsidRDefault="00873993">
      <w:pPr>
        <w:pStyle w:val="CommentText"/>
      </w:pPr>
      <w:r>
        <w:rPr>
          <w:rStyle w:val="CommentReference"/>
        </w:rPr>
        <w:annotationRef/>
      </w:r>
      <w:r>
        <w:t>Not cited</w:t>
      </w:r>
    </w:p>
  </w:comment>
  <w:comment w:id="46" w:author="Microsoft account" w:date="2025-09-16T20:11:00Z" w:initials="Ma">
    <w:p w14:paraId="41C35859" w14:textId="770E9C6B" w:rsidR="00873993" w:rsidRDefault="00873993">
      <w:pPr>
        <w:pStyle w:val="CommentText"/>
      </w:pPr>
      <w:r>
        <w:rPr>
          <w:rStyle w:val="CommentReference"/>
        </w:rPr>
        <w:annotationRef/>
      </w:r>
      <w:r>
        <w:t>Not cited</w:t>
      </w:r>
    </w:p>
  </w:comment>
  <w:comment w:id="47" w:author="Microsoft account" w:date="2025-09-16T20:12:00Z" w:initials="Ma">
    <w:p w14:paraId="73EB56EE" w14:textId="50F47785" w:rsidR="00873993" w:rsidRDefault="00873993">
      <w:pPr>
        <w:pStyle w:val="CommentText"/>
      </w:pPr>
      <w:r>
        <w:rPr>
          <w:rStyle w:val="CommentReference"/>
        </w:rPr>
        <w:annotationRef/>
      </w:r>
      <w:r>
        <w:t>Not cited</w:t>
      </w:r>
    </w:p>
  </w:comment>
  <w:comment w:id="48" w:author="Microsoft account" w:date="2025-09-16T20:13:00Z" w:initials="Ma">
    <w:p w14:paraId="71A699C3" w14:textId="3F388A3D" w:rsidR="00873993" w:rsidRDefault="00873993">
      <w:pPr>
        <w:pStyle w:val="CommentText"/>
      </w:pPr>
      <w:r>
        <w:rPr>
          <w:rStyle w:val="CommentReference"/>
        </w:rPr>
        <w:annotationRef/>
      </w:r>
      <w:r>
        <w:t>Not cited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426ED" w15:done="0"/>
  <w15:commentEx w15:paraId="1F14543A" w15:done="0"/>
  <w15:commentEx w15:paraId="14C17640" w15:done="0"/>
  <w15:commentEx w15:paraId="348C2BA1" w15:done="0"/>
  <w15:commentEx w15:paraId="25C10317" w15:done="0"/>
  <w15:commentEx w15:paraId="576DA840" w15:done="0"/>
  <w15:commentEx w15:paraId="4F508FF7" w15:done="0"/>
  <w15:commentEx w15:paraId="447E5153" w15:paraIdParent="4F508FF7" w15:done="0"/>
  <w15:commentEx w15:paraId="68A61253" w15:done="0"/>
  <w15:commentEx w15:paraId="7C33F38B" w15:done="0"/>
  <w15:commentEx w15:paraId="11D4F9D6" w15:done="0"/>
  <w15:commentEx w15:paraId="49FB05E7" w15:done="0"/>
  <w15:commentEx w15:paraId="572CC840" w15:done="0"/>
  <w15:commentEx w15:paraId="04AB6F17" w15:done="0"/>
  <w15:commentEx w15:paraId="456DA5BD" w15:done="0"/>
  <w15:commentEx w15:paraId="60CE60BB" w15:done="0"/>
  <w15:commentEx w15:paraId="38F1DCFC" w15:done="0"/>
  <w15:commentEx w15:paraId="378A6421" w15:done="0"/>
  <w15:commentEx w15:paraId="46016962" w15:done="0"/>
  <w15:commentEx w15:paraId="30159764" w15:done="0"/>
  <w15:commentEx w15:paraId="325B928E" w15:done="0"/>
  <w15:commentEx w15:paraId="29EFFADD" w15:done="0"/>
  <w15:commentEx w15:paraId="4B14A5E4" w15:done="0"/>
  <w15:commentEx w15:paraId="41F63180" w15:done="0"/>
  <w15:commentEx w15:paraId="58972788" w15:done="0"/>
  <w15:commentEx w15:paraId="03F8CF12" w15:done="0"/>
  <w15:commentEx w15:paraId="32F4D8D6" w15:done="0"/>
  <w15:commentEx w15:paraId="01C1C4B2" w15:done="0"/>
  <w15:commentEx w15:paraId="1F60669E" w15:done="0"/>
  <w15:commentEx w15:paraId="32516F3B" w15:done="0"/>
  <w15:commentEx w15:paraId="598937A8" w15:done="0"/>
  <w15:commentEx w15:paraId="008F7455" w15:done="0"/>
  <w15:commentEx w15:paraId="01EA76B7" w15:done="0"/>
  <w15:commentEx w15:paraId="6E90B554" w15:done="0"/>
  <w15:commentEx w15:paraId="5FFBAE3B" w15:done="0"/>
  <w15:commentEx w15:paraId="29DC60EE" w15:done="0"/>
  <w15:commentEx w15:paraId="32896564" w15:done="0"/>
  <w15:commentEx w15:paraId="66CB26C8" w15:done="0"/>
  <w15:commentEx w15:paraId="7F28C55D" w15:done="0"/>
  <w15:commentEx w15:paraId="21E8F776" w15:done="0"/>
  <w15:commentEx w15:paraId="17AD8D61" w15:done="0"/>
  <w15:commentEx w15:paraId="16EAF0AF" w15:done="0"/>
  <w15:commentEx w15:paraId="0E2D1BC3" w15:done="0"/>
  <w15:commentEx w15:paraId="59EBF217" w15:done="0"/>
  <w15:commentEx w15:paraId="024E7E71" w15:done="0"/>
  <w15:commentEx w15:paraId="41C35859" w15:done="0"/>
  <w15:commentEx w15:paraId="73EB56EE" w15:done="0"/>
  <w15:commentEx w15:paraId="71A699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F47D5" w14:textId="77777777" w:rsidR="000B46EF" w:rsidRDefault="000B46EF">
      <w:pPr>
        <w:spacing w:line="240" w:lineRule="auto"/>
      </w:pPr>
      <w:r>
        <w:separator/>
      </w:r>
    </w:p>
  </w:endnote>
  <w:endnote w:type="continuationSeparator" w:id="0">
    <w:p w14:paraId="70A50247" w14:textId="77777777" w:rsidR="000B46EF" w:rsidRDefault="000B4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62A6" w14:textId="77777777" w:rsidR="00C46C26" w:rsidRDefault="00C46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5C93" w14:textId="77777777" w:rsidR="00C46C26" w:rsidRDefault="00C46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AA410" w14:textId="77777777" w:rsidR="00C46C26" w:rsidRDefault="00C46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1F73" w14:textId="77777777" w:rsidR="000B46EF" w:rsidRDefault="000B46EF">
      <w:pPr>
        <w:spacing w:after="0"/>
      </w:pPr>
      <w:r>
        <w:separator/>
      </w:r>
    </w:p>
  </w:footnote>
  <w:footnote w:type="continuationSeparator" w:id="0">
    <w:p w14:paraId="2CED5F2A" w14:textId="77777777" w:rsidR="000B46EF" w:rsidRDefault="000B46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61DF" w14:textId="77777777" w:rsidR="00C46C26" w:rsidRDefault="000B46EF">
    <w:pPr>
      <w:pStyle w:val="Header"/>
    </w:pPr>
    <w:r>
      <w:pict w14:anchorId="23FB6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1"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982D" w14:textId="77777777" w:rsidR="00C46C26" w:rsidRDefault="000B46EF">
    <w:pPr>
      <w:pStyle w:val="Header"/>
    </w:pPr>
    <w:r>
      <w:pict w14:anchorId="771A9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2"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8A04" w14:textId="77777777" w:rsidR="00C46C26" w:rsidRDefault="000B46EF">
    <w:pPr>
      <w:pStyle w:val="Header"/>
    </w:pPr>
    <w:r>
      <w:pict w14:anchorId="185DC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bae6b6f90f99ce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2MrAwMDU3NDIwMTZT0lEKTi0uzszPAykwqgUAm2YG6ywAAAA="/>
  </w:docVars>
  <w:rsids>
    <w:rsidRoot w:val="00A11211"/>
    <w:rsid w:val="00012401"/>
    <w:rsid w:val="00054695"/>
    <w:rsid w:val="00076720"/>
    <w:rsid w:val="000B46EF"/>
    <w:rsid w:val="00106B8E"/>
    <w:rsid w:val="00117C15"/>
    <w:rsid w:val="001357D3"/>
    <w:rsid w:val="001447B0"/>
    <w:rsid w:val="00162CD8"/>
    <w:rsid w:val="001746C9"/>
    <w:rsid w:val="001832BF"/>
    <w:rsid w:val="001F10D2"/>
    <w:rsid w:val="002F359B"/>
    <w:rsid w:val="00332EA4"/>
    <w:rsid w:val="00364FCE"/>
    <w:rsid w:val="003A09D6"/>
    <w:rsid w:val="003A7937"/>
    <w:rsid w:val="003C5BE8"/>
    <w:rsid w:val="0047558B"/>
    <w:rsid w:val="004B6B0E"/>
    <w:rsid w:val="004B7FB8"/>
    <w:rsid w:val="004F237B"/>
    <w:rsid w:val="00507433"/>
    <w:rsid w:val="005B25C1"/>
    <w:rsid w:val="00631183"/>
    <w:rsid w:val="00746021"/>
    <w:rsid w:val="007A77D2"/>
    <w:rsid w:val="00873993"/>
    <w:rsid w:val="008D7F24"/>
    <w:rsid w:val="00901067"/>
    <w:rsid w:val="00902611"/>
    <w:rsid w:val="0094089F"/>
    <w:rsid w:val="00963AB3"/>
    <w:rsid w:val="00A11211"/>
    <w:rsid w:val="00A60A7F"/>
    <w:rsid w:val="00A65992"/>
    <w:rsid w:val="00A80680"/>
    <w:rsid w:val="00B03BFD"/>
    <w:rsid w:val="00B40C05"/>
    <w:rsid w:val="00B41F09"/>
    <w:rsid w:val="00BA1348"/>
    <w:rsid w:val="00BF41FC"/>
    <w:rsid w:val="00BF7379"/>
    <w:rsid w:val="00C407CD"/>
    <w:rsid w:val="00C46C26"/>
    <w:rsid w:val="00C520A3"/>
    <w:rsid w:val="00C703A0"/>
    <w:rsid w:val="00CA568E"/>
    <w:rsid w:val="00D955E3"/>
    <w:rsid w:val="00DA0C8F"/>
    <w:rsid w:val="00DF22AC"/>
    <w:rsid w:val="00E3323C"/>
    <w:rsid w:val="00E66F53"/>
    <w:rsid w:val="00EB04E5"/>
    <w:rsid w:val="00EE42DF"/>
    <w:rsid w:val="00EF3000"/>
    <w:rsid w:val="00EF6150"/>
    <w:rsid w:val="00F00403"/>
    <w:rsid w:val="00F032FA"/>
    <w:rsid w:val="00F12E84"/>
    <w:rsid w:val="00F77F47"/>
    <w:rsid w:val="00F8550D"/>
    <w:rsid w:val="00F970A4"/>
    <w:rsid w:val="1EFA1E9F"/>
    <w:rsid w:val="53173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96668B5-C50F-4346-AE2D-20F5DF5D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noteTextChar">
    <w:name w:val="Footnote Text Char"/>
    <w:basedOn w:val="DefaultParagraphFont"/>
    <w:link w:val="FootnoteText"/>
    <w:uiPriority w:val="99"/>
    <w:semiHidden/>
    <w:qFormat/>
    <w:rPr>
      <w:kern w:val="0"/>
      <w:sz w:val="20"/>
      <w:szCs w:val="20"/>
      <w14:ligatures w14:val="none"/>
    </w:rPr>
  </w:style>
  <w:style w:type="table" w:customStyle="1" w:styleId="PlainTable21">
    <w:name w:val="Plain Table 21"/>
    <w:basedOn w:val="TableNormal"/>
    <w:uiPriority w:val="42"/>
    <w:rPr>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0"/>
      <w:sz w:val="22"/>
      <w:szCs w:val="22"/>
      <w14:ligatures w14:val="none"/>
    </w:rPr>
  </w:style>
  <w:style w:type="character" w:customStyle="1" w:styleId="FooterChar">
    <w:name w:val="Footer Char"/>
    <w:basedOn w:val="DefaultParagraphFont"/>
    <w:link w:val="Footer"/>
    <w:uiPriority w:val="99"/>
    <w:rPr>
      <w:kern w:val="0"/>
      <w:sz w:val="22"/>
      <w:szCs w:val="22"/>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5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50D"/>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8550D"/>
    <w:rPr>
      <w:sz w:val="22"/>
      <w:szCs w:val="22"/>
    </w:rPr>
  </w:style>
  <w:style w:type="character" w:customStyle="1" w:styleId="CommentSubjectChar">
    <w:name w:val="Comment Subject Char"/>
    <w:basedOn w:val="CommentTextChar"/>
    <w:link w:val="CommentSubject"/>
    <w:uiPriority w:val="99"/>
    <w:semiHidden/>
    <w:rsid w:val="00F8550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G:\New%20folder\New%20folder%20(2)\fdi%20od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16946d31819188/Desktop/inward_remittance_flows_as_of_dec._2_2022_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0">
                <a:latin typeface="Times New Roman" panose="02020603050405020304" charset="0"/>
                <a:cs typeface="Times New Roman" panose="02020603050405020304" charset="0"/>
              </a:rPr>
              <a:t>Remittances</a:t>
            </a:r>
            <a:r>
              <a:rPr lang="en-US" sz="1200" b="0" baseline="0">
                <a:latin typeface="Times New Roman" panose="02020603050405020304" charset="0"/>
                <a:cs typeface="Times New Roman" panose="02020603050405020304" charset="0"/>
              </a:rPr>
              <a:t> </a:t>
            </a:r>
            <a:r>
              <a:rPr lang="en-US" sz="1200" b="0" i="1" baseline="0">
                <a:latin typeface="Times New Roman" panose="02020603050405020304" charset="0"/>
                <a:cs typeface="Times New Roman" panose="02020603050405020304" charset="0"/>
              </a:rPr>
              <a:t>vis-a-vis</a:t>
            </a:r>
            <a:r>
              <a:rPr lang="en-US" sz="1200" b="0" baseline="0">
                <a:latin typeface="Times New Roman" panose="02020603050405020304" charset="0"/>
                <a:cs typeface="Times New Roman" panose="02020603050405020304" charset="0"/>
              </a:rPr>
              <a:t> other foreign inflows to India</a:t>
            </a:r>
            <a:endParaRPr lang="en-US" sz="1200" b="0">
              <a:latin typeface="Times New Roman" panose="02020603050405020304" charset="0"/>
              <a:cs typeface="Times New Roman" panose="02020603050405020304" charset="0"/>
            </a:endParaRPr>
          </a:p>
        </c:rich>
      </c:tx>
      <c:layout>
        <c:manualLayout>
          <c:xMode val="edge"/>
          <c:yMode val="edge"/>
          <c:x val="0.22942307692307701"/>
          <c:y val="0.93141075604053003"/>
        </c:manualLayout>
      </c:layout>
      <c:overlay val="0"/>
    </c:title>
    <c:autoTitleDeleted val="0"/>
    <c:plotArea>
      <c:layout>
        <c:manualLayout>
          <c:layoutTarget val="inner"/>
          <c:xMode val="edge"/>
          <c:yMode val="edge"/>
          <c:x val="0.15901333092988801"/>
          <c:y val="7.8480672870436696E-2"/>
          <c:w val="0.660769230769232"/>
          <c:h val="0.724025141594143"/>
        </c:manualLayout>
      </c:layout>
      <c:lineChart>
        <c:grouping val="standard"/>
        <c:varyColors val="0"/>
        <c:ser>
          <c:idx val="0"/>
          <c:order val="0"/>
          <c:tx>
            <c:strRef>
              <c:f>FDI</c:f>
              <c:strCache>
                <c:ptCount val="1"/>
                <c:pt idx="0">
                  <c:v>FDI</c:v>
                </c:pt>
              </c:strCache>
            </c:strRef>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Sheet1!$B$2:$B$42</c:f>
              <c:numCache>
                <c:formatCode>General</c:formatCode>
                <c:ptCount val="41"/>
                <c:pt idx="0">
                  <c:v>79159999.900000006</c:v>
                </c:pt>
                <c:pt idx="1">
                  <c:v>91920000</c:v>
                </c:pt>
                <c:pt idx="2">
                  <c:v>72079999.900000006</c:v>
                </c:pt>
                <c:pt idx="3">
                  <c:v>5639999.9000000004</c:v>
                </c:pt>
                <c:pt idx="4">
                  <c:v>19239999.899999999</c:v>
                </c:pt>
                <c:pt idx="5">
                  <c:v>106090000</c:v>
                </c:pt>
                <c:pt idx="6">
                  <c:v>117730000</c:v>
                </c:pt>
                <c:pt idx="7">
                  <c:v>212319999.90000001</c:v>
                </c:pt>
                <c:pt idx="8">
                  <c:v>91250000</c:v>
                </c:pt>
                <c:pt idx="9">
                  <c:v>252099999.90000001</c:v>
                </c:pt>
                <c:pt idx="10">
                  <c:v>236690000</c:v>
                </c:pt>
                <c:pt idx="11">
                  <c:v>73537638.388532698</c:v>
                </c:pt>
                <c:pt idx="12">
                  <c:v>276512438.97389299</c:v>
                </c:pt>
                <c:pt idx="13">
                  <c:v>550370024.92938304</c:v>
                </c:pt>
                <c:pt idx="14">
                  <c:v>973271468.72287405</c:v>
                </c:pt>
                <c:pt idx="15">
                  <c:v>2143628110.28392</c:v>
                </c:pt>
                <c:pt idx="16">
                  <c:v>2426057021.9109201</c:v>
                </c:pt>
                <c:pt idx="17">
                  <c:v>3577330042.34587</c:v>
                </c:pt>
                <c:pt idx="18">
                  <c:v>2634651657.77141</c:v>
                </c:pt>
                <c:pt idx="19">
                  <c:v>2168591054.37924</c:v>
                </c:pt>
                <c:pt idx="20">
                  <c:v>3584217307.1875601</c:v>
                </c:pt>
                <c:pt idx="21">
                  <c:v>5128093561.6268797</c:v>
                </c:pt>
                <c:pt idx="22">
                  <c:v>5208967106.2789402</c:v>
                </c:pt>
                <c:pt idx="23">
                  <c:v>3681984671.4342899</c:v>
                </c:pt>
                <c:pt idx="24">
                  <c:v>5429250989.8571701</c:v>
                </c:pt>
                <c:pt idx="25">
                  <c:v>7269407225.6143799</c:v>
                </c:pt>
                <c:pt idx="26">
                  <c:v>20029119267.1395</c:v>
                </c:pt>
                <c:pt idx="27">
                  <c:v>25227740886.6819</c:v>
                </c:pt>
                <c:pt idx="28">
                  <c:v>43406277075.810898</c:v>
                </c:pt>
                <c:pt idx="29">
                  <c:v>35581372929.6642</c:v>
                </c:pt>
                <c:pt idx="30">
                  <c:v>27396885033.783901</c:v>
                </c:pt>
                <c:pt idx="31">
                  <c:v>36498654597.859001</c:v>
                </c:pt>
                <c:pt idx="32">
                  <c:v>23995685014.214199</c:v>
                </c:pt>
                <c:pt idx="33">
                  <c:v>28153031270.320301</c:v>
                </c:pt>
                <c:pt idx="34">
                  <c:v>34576643694.138298</c:v>
                </c:pt>
                <c:pt idx="35">
                  <c:v>44009492129.531898</c:v>
                </c:pt>
                <c:pt idx="36">
                  <c:v>44458571545.797997</c:v>
                </c:pt>
                <c:pt idx="37">
                  <c:v>39966091358.738403</c:v>
                </c:pt>
                <c:pt idx="38">
                  <c:v>42117450737.264297</c:v>
                </c:pt>
                <c:pt idx="39">
                  <c:v>50610647353.591202</c:v>
                </c:pt>
                <c:pt idx="40">
                  <c:v>64362364994.375397</c:v>
                </c:pt>
              </c:numCache>
            </c:numRef>
          </c:val>
          <c:smooth val="0"/>
        </c:ser>
        <c:ser>
          <c:idx val="1"/>
          <c:order val="1"/>
          <c:tx>
            <c:strRef>
              <c:f>Net ODA</c:f>
              <c:strCache>
                <c:ptCount val="1"/>
                <c:pt idx="0">
                  <c:v>Net ODA</c:v>
                </c:pt>
              </c:strCache>
            </c:strRef>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Sheet1!$C$2:$C$42</c:f>
              <c:numCache>
                <c:formatCode>General</c:formatCode>
                <c:ptCount val="41"/>
                <c:pt idx="0">
                  <c:v>2185959960.93751</c:v>
                </c:pt>
                <c:pt idx="1">
                  <c:v>1972469970.70313</c:v>
                </c:pt>
                <c:pt idx="2">
                  <c:v>1635750000</c:v>
                </c:pt>
                <c:pt idx="3">
                  <c:v>1830510009.76563</c:v>
                </c:pt>
                <c:pt idx="4">
                  <c:v>1665939941.40625</c:v>
                </c:pt>
                <c:pt idx="5">
                  <c:v>1587010009.76563</c:v>
                </c:pt>
                <c:pt idx="6">
                  <c:v>1989939941.40625</c:v>
                </c:pt>
                <c:pt idx="7">
                  <c:v>1695479980.46875</c:v>
                </c:pt>
                <c:pt idx="8">
                  <c:v>1947650024.4140601</c:v>
                </c:pt>
                <c:pt idx="9">
                  <c:v>1766109985.3515601</c:v>
                </c:pt>
                <c:pt idx="10">
                  <c:v>1395000000</c:v>
                </c:pt>
                <c:pt idx="11">
                  <c:v>2733520019.53125</c:v>
                </c:pt>
                <c:pt idx="12">
                  <c:v>2425139892.5781298</c:v>
                </c:pt>
                <c:pt idx="13">
                  <c:v>1466290039.0625</c:v>
                </c:pt>
                <c:pt idx="14">
                  <c:v>2322320068.3593798</c:v>
                </c:pt>
                <c:pt idx="15">
                  <c:v>1732829956.0546899</c:v>
                </c:pt>
                <c:pt idx="16">
                  <c:v>1904150024.4140601</c:v>
                </c:pt>
                <c:pt idx="17">
                  <c:v>1646250000</c:v>
                </c:pt>
                <c:pt idx="18">
                  <c:v>1608949951.17188</c:v>
                </c:pt>
                <c:pt idx="19">
                  <c:v>1490760009.76563</c:v>
                </c:pt>
                <c:pt idx="20">
                  <c:v>1383420043.9453101</c:v>
                </c:pt>
                <c:pt idx="21">
                  <c:v>1729609985.3515601</c:v>
                </c:pt>
                <c:pt idx="22">
                  <c:v>1738209960.9375</c:v>
                </c:pt>
                <c:pt idx="23">
                  <c:v>720900024.41406298</c:v>
                </c:pt>
                <c:pt idx="24">
                  <c:v>778309997.55859399</c:v>
                </c:pt>
                <c:pt idx="25">
                  <c:v>1875959960.9375</c:v>
                </c:pt>
                <c:pt idx="26">
                  <c:v>1383579956.0546899</c:v>
                </c:pt>
                <c:pt idx="27">
                  <c:v>1329209960.9375</c:v>
                </c:pt>
                <c:pt idx="28">
                  <c:v>2011579956.0546899</c:v>
                </c:pt>
                <c:pt idx="29">
                  <c:v>2456610107.4218798</c:v>
                </c:pt>
                <c:pt idx="30">
                  <c:v>2831340087.8906298</c:v>
                </c:pt>
                <c:pt idx="31">
                  <c:v>3270219970.7031298</c:v>
                </c:pt>
                <c:pt idx="32">
                  <c:v>1681790039.0625</c:v>
                </c:pt>
                <c:pt idx="33">
                  <c:v>2456330078.125</c:v>
                </c:pt>
                <c:pt idx="34">
                  <c:v>2991820068.3593798</c:v>
                </c:pt>
                <c:pt idx="35">
                  <c:v>3174350097.65625</c:v>
                </c:pt>
                <c:pt idx="36">
                  <c:v>2678669921.87501</c:v>
                </c:pt>
                <c:pt idx="37">
                  <c:v>3197679931.6406298</c:v>
                </c:pt>
                <c:pt idx="38">
                  <c:v>2461629882.81251</c:v>
                </c:pt>
                <c:pt idx="39">
                  <c:v>2550409912.1093798</c:v>
                </c:pt>
                <c:pt idx="40">
                  <c:v>1794209960.9375</c:v>
                </c:pt>
              </c:numCache>
            </c:numRef>
          </c:val>
          <c:smooth val="0"/>
        </c:ser>
        <c:ser>
          <c:idx val="2"/>
          <c:order val="2"/>
          <c:tx>
            <c:strRef>
              <c:f>Remittances</c:f>
              <c:strCache>
                <c:ptCount val="1"/>
                <c:pt idx="0">
                  <c:v>Remittances</c:v>
                </c:pt>
              </c:strCache>
            </c:strRef>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Sheet1!$E$2:$E$42</c:f>
              <c:numCache>
                <c:formatCode>General</c:formatCode>
                <c:ptCount val="41"/>
                <c:pt idx="0">
                  <c:v>2761280684.5999999</c:v>
                </c:pt>
                <c:pt idx="1">
                  <c:v>2301890114.5999999</c:v>
                </c:pt>
                <c:pt idx="2">
                  <c:v>2621913836.3000002</c:v>
                </c:pt>
                <c:pt idx="3">
                  <c:v>2662479622.3000002</c:v>
                </c:pt>
                <c:pt idx="4">
                  <c:v>2293065837.4000001</c:v>
                </c:pt>
                <c:pt idx="5">
                  <c:v>2472285486.6999998</c:v>
                </c:pt>
                <c:pt idx="6">
                  <c:v>2243013880.4000001</c:v>
                </c:pt>
                <c:pt idx="7">
                  <c:v>2663469748.1999998</c:v>
                </c:pt>
                <c:pt idx="8">
                  <c:v>2316724190.5</c:v>
                </c:pt>
                <c:pt idx="9">
                  <c:v>2609857302</c:v>
                </c:pt>
                <c:pt idx="10">
                  <c:v>2383740065.60814</c:v>
                </c:pt>
                <c:pt idx="11">
                  <c:v>3289109445.1017299</c:v>
                </c:pt>
                <c:pt idx="12">
                  <c:v>2897425636.8947201</c:v>
                </c:pt>
                <c:pt idx="13">
                  <c:v>3522788020.8303699</c:v>
                </c:pt>
                <c:pt idx="14">
                  <c:v>5856694457.8566303</c:v>
                </c:pt>
                <c:pt idx="15">
                  <c:v>6222996281.5047903</c:v>
                </c:pt>
                <c:pt idx="16">
                  <c:v>8765693606.5943508</c:v>
                </c:pt>
                <c:pt idx="17">
                  <c:v>10330965043.377199</c:v>
                </c:pt>
                <c:pt idx="18">
                  <c:v>9479300349.9923191</c:v>
                </c:pt>
                <c:pt idx="19">
                  <c:v>11124280843.181601</c:v>
                </c:pt>
                <c:pt idx="20">
                  <c:v>12883465957.061501</c:v>
                </c:pt>
                <c:pt idx="21">
                  <c:v>14273018777.531099</c:v>
                </c:pt>
                <c:pt idx="22">
                  <c:v>15735736285.9137</c:v>
                </c:pt>
                <c:pt idx="23">
                  <c:v>20999150983.0331</c:v>
                </c:pt>
                <c:pt idx="24">
                  <c:v>18750377106.6241</c:v>
                </c:pt>
                <c:pt idx="25">
                  <c:v>22125089480.498199</c:v>
                </c:pt>
                <c:pt idx="26">
                  <c:v>28333642279.854099</c:v>
                </c:pt>
                <c:pt idx="27">
                  <c:v>37216755275.250298</c:v>
                </c:pt>
                <c:pt idx="28">
                  <c:v>49977276916.3209</c:v>
                </c:pt>
                <c:pt idx="29">
                  <c:v>49204000000</c:v>
                </c:pt>
                <c:pt idx="30">
                  <c:v>53479960083.243202</c:v>
                </c:pt>
                <c:pt idx="31">
                  <c:v>62499075444.736702</c:v>
                </c:pt>
                <c:pt idx="32">
                  <c:v>68820517837.653595</c:v>
                </c:pt>
                <c:pt idx="33">
                  <c:v>69970360846.785797</c:v>
                </c:pt>
                <c:pt idx="34">
                  <c:v>70388642796.547104</c:v>
                </c:pt>
                <c:pt idx="35">
                  <c:v>68909693352.835098</c:v>
                </c:pt>
                <c:pt idx="36">
                  <c:v>62744364089.951103</c:v>
                </c:pt>
                <c:pt idx="37">
                  <c:v>68967175499.866501</c:v>
                </c:pt>
                <c:pt idx="38">
                  <c:v>78790170928.674194</c:v>
                </c:pt>
                <c:pt idx="39">
                  <c:v>83332078002.303207</c:v>
                </c:pt>
                <c:pt idx="40">
                  <c:v>83149172934.104294</c:v>
                </c:pt>
              </c:numCache>
            </c:numRef>
          </c:val>
          <c:smooth val="0"/>
        </c:ser>
        <c:dLbls>
          <c:showLegendKey val="0"/>
          <c:showVal val="0"/>
          <c:showCatName val="0"/>
          <c:showSerName val="0"/>
          <c:showPercent val="0"/>
          <c:showBubbleSize val="0"/>
        </c:dLbls>
        <c:smooth val="0"/>
        <c:axId val="562093848"/>
        <c:axId val="562094240"/>
      </c:lineChart>
      <c:catAx>
        <c:axId val="5620938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62094240"/>
        <c:crosses val="autoZero"/>
        <c:auto val="1"/>
        <c:lblAlgn val="ctr"/>
        <c:lblOffset val="100"/>
        <c:noMultiLvlLbl val="0"/>
      </c:catAx>
      <c:valAx>
        <c:axId val="562094240"/>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b="0">
                    <a:latin typeface="Times New Roman" panose="02020603050405020304" charset="0"/>
                    <a:cs typeface="Times New Roman" panose="02020603050405020304" charset="0"/>
                  </a:rPr>
                  <a:t>in</a:t>
                </a:r>
                <a:r>
                  <a:rPr lang="en-US" sz="1200" b="0" baseline="0">
                    <a:latin typeface="Times New Roman" panose="02020603050405020304" charset="0"/>
                    <a:cs typeface="Times New Roman" panose="02020603050405020304" charset="0"/>
                  </a:rPr>
                  <a:t> current $US</a:t>
                </a:r>
                <a:endParaRPr lang="en-US" sz="1200" b="0">
                  <a:latin typeface="Times New Roman" panose="02020603050405020304" charset="0"/>
                  <a:cs typeface="Times New Roman" panose="02020603050405020304" charset="0"/>
                </a:endParaRP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62093848"/>
        <c:crosses val="autoZero"/>
        <c:crossBetween val="between"/>
      </c:valAx>
    </c:plotArea>
    <c:legend>
      <c:legendPos val="r"/>
      <c:legendEntry>
        <c:idx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india</c:f>
              <c:strCache>
                <c:ptCount val="1"/>
                <c:pt idx="0">
                  <c:v>india</c:v>
                </c:pt>
              </c:strCache>
            </c:strRef>
          </c:tx>
          <c:spPr>
            <a:solidFill>
              <a:schemeClr val="accent1"/>
            </a:solidFill>
            <a:ln>
              <a:noFill/>
            </a:ln>
            <a:effectLst/>
          </c:spPr>
          <c:invertIfNegative val="0"/>
          <c:cat>
            <c:strRef>
              <c:f>Sheet2!$A$2:$A$21</c:f>
              <c:strCache>
                <c:ptCount val="20"/>
                <c:pt idx="0">
                  <c:v>India</c:v>
                </c:pt>
                <c:pt idx="1">
                  <c:v>China</c:v>
                </c:pt>
                <c:pt idx="2">
                  <c:v>Mexico</c:v>
                </c:pt>
                <c:pt idx="3">
                  <c:v>Philippines</c:v>
                </c:pt>
                <c:pt idx="4">
                  <c:v>France</c:v>
                </c:pt>
                <c:pt idx="5">
                  <c:v>Egypt, Arab Rep.</c:v>
                </c:pt>
                <c:pt idx="6">
                  <c:v>Pakistan</c:v>
                </c:pt>
                <c:pt idx="7">
                  <c:v>Bangladesh</c:v>
                </c:pt>
                <c:pt idx="8">
                  <c:v>Germany</c:v>
                </c:pt>
                <c:pt idx="9">
                  <c:v>Nigeria</c:v>
                </c:pt>
                <c:pt idx="10">
                  <c:v>Ukraine</c:v>
                </c:pt>
                <c:pt idx="11">
                  <c:v>Vietnam</c:v>
                </c:pt>
                <c:pt idx="12">
                  <c:v>Guatemala</c:v>
                </c:pt>
                <c:pt idx="13">
                  <c:v>Dominican Republic</c:v>
                </c:pt>
                <c:pt idx="14">
                  <c:v>Morocco</c:v>
                </c:pt>
                <c:pt idx="15">
                  <c:v>Italy</c:v>
                </c:pt>
                <c:pt idx="16">
                  <c:v>Russian Federation</c:v>
                </c:pt>
                <c:pt idx="17">
                  <c:v>Indonesia</c:v>
                </c:pt>
                <c:pt idx="18">
                  <c:v>Uzbekistan</c:v>
                </c:pt>
                <c:pt idx="19">
                  <c:v>Romania</c:v>
                </c:pt>
              </c:strCache>
            </c:strRef>
          </c:cat>
          <c:val>
            <c:numRef>
              <c:f>Sheet2!$B$2:$B$21</c:f>
              <c:numCache>
                <c:formatCode>#,##0</c:formatCode>
                <c:ptCount val="20"/>
                <c:pt idx="0">
                  <c:v>89375.152217565803</c:v>
                </c:pt>
                <c:pt idx="1">
                  <c:v>53000</c:v>
                </c:pt>
                <c:pt idx="2">
                  <c:v>54130.111445000002</c:v>
                </c:pt>
                <c:pt idx="3">
                  <c:v>36685.313168048</c:v>
                </c:pt>
                <c:pt idx="4">
                  <c:v>32077.312215223599</c:v>
                </c:pt>
                <c:pt idx="5">
                  <c:v>31487</c:v>
                </c:pt>
                <c:pt idx="6">
                  <c:v>31312</c:v>
                </c:pt>
                <c:pt idx="7">
                  <c:v>22202.917783868601</c:v>
                </c:pt>
                <c:pt idx="8">
                  <c:v>20411.777594011499</c:v>
                </c:pt>
                <c:pt idx="9">
                  <c:v>19483.4020589106</c:v>
                </c:pt>
                <c:pt idx="10">
                  <c:v>18060</c:v>
                </c:pt>
                <c:pt idx="11">
                  <c:v>18060</c:v>
                </c:pt>
                <c:pt idx="12">
                  <c:v>15395.39025</c:v>
                </c:pt>
                <c:pt idx="13">
                  <c:v>10742.8</c:v>
                </c:pt>
                <c:pt idx="14">
                  <c:v>10704.830037895999</c:v>
                </c:pt>
                <c:pt idx="15">
                  <c:v>10258.4234107504</c:v>
                </c:pt>
                <c:pt idx="16">
                  <c:v>9646.92</c:v>
                </c:pt>
                <c:pt idx="17">
                  <c:v>9402.4270888548508</c:v>
                </c:pt>
                <c:pt idx="18">
                  <c:v>9197.5264645253792</c:v>
                </c:pt>
                <c:pt idx="19">
                  <c:v>9159.7459326842309</c:v>
                </c:pt>
              </c:numCache>
            </c:numRef>
          </c:val>
        </c:ser>
        <c:dLbls>
          <c:showLegendKey val="0"/>
          <c:showVal val="0"/>
          <c:showCatName val="0"/>
          <c:showSerName val="0"/>
          <c:showPercent val="0"/>
          <c:showBubbleSize val="0"/>
        </c:dLbls>
        <c:gapWidth val="219"/>
        <c:overlap val="-27"/>
        <c:axId val="928857224"/>
        <c:axId val="928857616"/>
      </c:barChart>
      <c:catAx>
        <c:axId val="92885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8857616"/>
        <c:crosses val="autoZero"/>
        <c:auto val="1"/>
        <c:lblAlgn val="ctr"/>
        <c:lblOffset val="100"/>
        <c:noMultiLvlLbl val="0"/>
      </c:catAx>
      <c:valAx>
        <c:axId val="928857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8857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Seemarani Meher</dc:creator>
  <cp:lastModifiedBy>Microsoft account</cp:lastModifiedBy>
  <cp:revision>47</cp:revision>
  <dcterms:created xsi:type="dcterms:W3CDTF">2025-09-13T10:05:00Z</dcterms:created>
  <dcterms:modified xsi:type="dcterms:W3CDTF">2025-09-16T19:14:00Z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868AD9E04EB34E47A5B0E5C34C41FABE</vt:lpwstr>
  </property>
</Properties>
</file>