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CA0BE" w14:textId="77777777" w:rsidR="009A2D09" w:rsidRDefault="00FE5CF2" w:rsidP="00FE5CF2">
      <w:pPr>
        <w:spacing w:line="360" w:lineRule="auto"/>
        <w:jc w:val="both"/>
        <w:rPr>
          <w:rFonts w:ascii="Times New Roman" w:hAnsi="Times New Roman" w:cs="Times New Roman"/>
          <w:b/>
          <w:bCs/>
        </w:rPr>
      </w:pPr>
      <w:r w:rsidRPr="00503F6C">
        <w:rPr>
          <w:rFonts w:ascii="Times New Roman" w:hAnsi="Times New Roman" w:cs="Times New Roman"/>
          <w:b/>
          <w:bCs/>
        </w:rPr>
        <w:t xml:space="preserve">Migrant Remittances and Economic Growth in Nigeria: An ARDL </w:t>
      </w:r>
      <w:r>
        <w:rPr>
          <w:rFonts w:ascii="Times New Roman" w:hAnsi="Times New Roman" w:cs="Times New Roman"/>
          <w:b/>
          <w:bCs/>
        </w:rPr>
        <w:t>A</w:t>
      </w:r>
      <w:r w:rsidRPr="00503F6C">
        <w:rPr>
          <w:rFonts w:ascii="Times New Roman" w:hAnsi="Times New Roman" w:cs="Times New Roman"/>
          <w:b/>
          <w:bCs/>
        </w:rPr>
        <w:t>pproach</w:t>
      </w:r>
    </w:p>
    <w:p w14:paraId="1A202E8A" w14:textId="4FE0B3C0" w:rsidR="00FE5CF2" w:rsidRPr="00503F6C" w:rsidRDefault="00FE5CF2" w:rsidP="00FE5CF2">
      <w:pPr>
        <w:spacing w:line="360" w:lineRule="auto"/>
        <w:jc w:val="both"/>
        <w:rPr>
          <w:rFonts w:ascii="Times New Roman" w:hAnsi="Times New Roman" w:cs="Times New Roman"/>
          <w:b/>
          <w:bCs/>
        </w:rPr>
      </w:pPr>
      <w:r w:rsidRPr="00503F6C">
        <w:rPr>
          <w:rFonts w:ascii="Times New Roman" w:hAnsi="Times New Roman" w:cs="Times New Roman"/>
          <w:b/>
          <w:bCs/>
        </w:rPr>
        <w:t xml:space="preserve"> </w:t>
      </w:r>
    </w:p>
    <w:p w14:paraId="76ED3AD4" w14:textId="77777777" w:rsidR="00E71B55"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Abstract </w:t>
      </w:r>
    </w:p>
    <w:p w14:paraId="05F6C89C" w14:textId="23149A18" w:rsidR="00E71B55" w:rsidRPr="00503F6C" w:rsidRDefault="009A71CA" w:rsidP="00503F6C">
      <w:pPr>
        <w:pStyle w:val="Default"/>
        <w:spacing w:line="360" w:lineRule="auto"/>
        <w:jc w:val="both"/>
      </w:pPr>
      <w:commentRangeStart w:id="0"/>
      <w:r w:rsidRPr="00503F6C">
        <w:t xml:space="preserve">Nigeria is among the countries with the highest migrant workers' remittance recipients in the world, and these inflows have been increasing significantly over the past few years. </w:t>
      </w:r>
      <w:r w:rsidR="00495144" w:rsidRPr="00503F6C">
        <w:t xml:space="preserve">Remittances have a potential effect on economic growth through the different transmission channels. This study was carried out because of the </w:t>
      </w:r>
      <w:r w:rsidR="009D5CDA" w:rsidRPr="00503F6C">
        <w:t>contradictory</w:t>
      </w:r>
      <w:r w:rsidR="00495144" w:rsidRPr="00503F6C">
        <w:t xml:space="preserve"> empirical findings in the past on the </w:t>
      </w:r>
      <w:r w:rsidR="009D5CDA" w:rsidRPr="00503F6C">
        <w:t>influence</w:t>
      </w:r>
      <w:r w:rsidR="00495144" w:rsidRPr="00503F6C">
        <w:t xml:space="preserve"> of remittance on economic growth when single countries were used</w:t>
      </w:r>
      <w:commentRangeEnd w:id="0"/>
      <w:r w:rsidR="00D52ECF">
        <w:rPr>
          <w:rStyle w:val="CommentReference"/>
          <w:rFonts w:asciiTheme="minorHAnsi" w:hAnsiTheme="minorHAnsi" w:cstheme="minorBidi"/>
          <w:color w:val="auto"/>
          <w:kern w:val="2"/>
          <w14:ligatures w14:val="standardContextual"/>
        </w:rPr>
        <w:commentReference w:id="0"/>
      </w:r>
      <w:r w:rsidR="00495144" w:rsidRPr="00503F6C">
        <w:t>. This</w:t>
      </w:r>
      <w:r w:rsidRPr="00503F6C">
        <w:t xml:space="preserve"> study examined the impact of remittances on economic growth in Nigeria over </w:t>
      </w:r>
      <w:commentRangeStart w:id="1"/>
      <w:r w:rsidRPr="00503F6C">
        <w:t>40</w:t>
      </w:r>
      <w:commentRangeEnd w:id="1"/>
      <w:r w:rsidR="00D52ECF">
        <w:rPr>
          <w:rStyle w:val="CommentReference"/>
          <w:rFonts w:asciiTheme="minorHAnsi" w:hAnsiTheme="minorHAnsi" w:cstheme="minorBidi"/>
          <w:color w:val="auto"/>
          <w:kern w:val="2"/>
          <w14:ligatures w14:val="standardContextual"/>
        </w:rPr>
        <w:commentReference w:id="1"/>
      </w:r>
      <w:r w:rsidRPr="00503F6C">
        <w:t xml:space="preserve"> years. </w:t>
      </w:r>
      <w:commentRangeStart w:id="2"/>
      <w:r w:rsidRPr="00503F6C">
        <w:t xml:space="preserve">The foundational theories of the study were the </w:t>
      </w:r>
      <w:r w:rsidRPr="00503F6C">
        <w:rPr>
          <w:color w:val="000000" w:themeColor="text1"/>
        </w:rPr>
        <w:t>Solow-Swan growth model</w:t>
      </w:r>
      <w:r w:rsidR="006A2337" w:rsidRPr="00503F6C">
        <w:rPr>
          <w:color w:val="000000" w:themeColor="text1"/>
        </w:rPr>
        <w:t>,</w:t>
      </w:r>
      <w:r w:rsidRPr="00503F6C">
        <w:rPr>
          <w:color w:val="000000" w:themeColor="text1"/>
        </w:rPr>
        <w:t xml:space="preserve"> </w:t>
      </w:r>
      <w:r w:rsidR="00E22C59" w:rsidRPr="00503F6C">
        <w:rPr>
          <w:color w:val="000000" w:themeColor="text1"/>
        </w:rPr>
        <w:t xml:space="preserve">the </w:t>
      </w:r>
      <w:r w:rsidR="006A2337" w:rsidRPr="00503F6C">
        <w:t>t</w:t>
      </w:r>
      <w:r w:rsidR="00E22C59" w:rsidRPr="00503F6C">
        <w:t>heory</w:t>
      </w:r>
      <w:r w:rsidRPr="00503F6C">
        <w:t xml:space="preserve"> of </w:t>
      </w:r>
      <w:r w:rsidR="006F1A43">
        <w:t>Te</w:t>
      </w:r>
      <w:r w:rsidRPr="00503F6C">
        <w:t xml:space="preserve">mpered Altruism and </w:t>
      </w:r>
      <w:r w:rsidR="006A2337" w:rsidRPr="00503F6C">
        <w:t>t</w:t>
      </w:r>
      <w:r w:rsidRPr="00503F6C">
        <w:t xml:space="preserve">he </w:t>
      </w:r>
      <w:r w:rsidR="006F1A43">
        <w:t>Pr</w:t>
      </w:r>
      <w:r w:rsidRPr="00503F6C">
        <w:t xml:space="preserve">ospect </w:t>
      </w:r>
      <w:r w:rsidR="006F1A43">
        <w:t>T</w:t>
      </w:r>
      <w:r w:rsidR="006A2337" w:rsidRPr="00503F6C">
        <w:t>heory.</w:t>
      </w:r>
      <w:commentRangeEnd w:id="2"/>
      <w:r w:rsidR="00D52ECF">
        <w:rPr>
          <w:rStyle w:val="CommentReference"/>
          <w:rFonts w:asciiTheme="minorHAnsi" w:hAnsiTheme="minorHAnsi" w:cstheme="minorBidi"/>
          <w:color w:val="auto"/>
          <w:kern w:val="2"/>
          <w14:ligatures w14:val="standardContextual"/>
        </w:rPr>
        <w:commentReference w:id="2"/>
      </w:r>
      <w:r w:rsidR="006A2337" w:rsidRPr="00503F6C">
        <w:rPr>
          <w:bCs/>
        </w:rPr>
        <w:t xml:space="preserve"> The</w:t>
      </w:r>
      <w:r w:rsidRPr="00503F6C">
        <w:rPr>
          <w:bCs/>
        </w:rPr>
        <w:t xml:space="preserve"> study adopted </w:t>
      </w:r>
      <w:r w:rsidRPr="00503F6C">
        <w:rPr>
          <w:rStyle w:val="ilfuvd"/>
        </w:rPr>
        <w:t xml:space="preserve">an ex post facto design method and the </w:t>
      </w:r>
      <w:r w:rsidRPr="00503F6C">
        <w:t xml:space="preserve">Autoregressive distributed lag (ARDL) model as a basis for analysis. The study established </w:t>
      </w:r>
      <w:r w:rsidR="006A2337" w:rsidRPr="00503F6C">
        <w:t>evidence</w:t>
      </w:r>
      <w:r w:rsidRPr="00503F6C">
        <w:t xml:space="preserve"> of </w:t>
      </w:r>
      <w:r w:rsidR="00B6412D" w:rsidRPr="00503F6C">
        <w:t>long-term</w:t>
      </w:r>
      <w:r w:rsidRPr="00503F6C">
        <w:t xml:space="preserve"> </w:t>
      </w:r>
      <w:r w:rsidR="00B6412D" w:rsidRPr="00503F6C">
        <w:t xml:space="preserve">cointegration </w:t>
      </w:r>
      <w:r w:rsidR="00503F6C" w:rsidRPr="00503F6C">
        <w:t>among the</w:t>
      </w:r>
      <w:r w:rsidRPr="00503F6C">
        <w:t xml:space="preserve"> dependent variable and </w:t>
      </w:r>
      <w:r w:rsidR="00B6412D" w:rsidRPr="00503F6C">
        <w:t xml:space="preserve">the </w:t>
      </w:r>
      <w:commentRangeStart w:id="3"/>
      <w:r w:rsidR="00B6412D" w:rsidRPr="00503F6C">
        <w:t>four</w:t>
      </w:r>
      <w:r w:rsidRPr="00503F6C">
        <w:t xml:space="preserve"> independent variables, i.e. migrants' workers' remittance, inflation, exchange rate and </w:t>
      </w:r>
      <w:r w:rsidRPr="00503F6C">
        <w:rPr>
          <w:rFonts w:eastAsia="Times New Roman"/>
          <w:color w:val="auto"/>
        </w:rPr>
        <w:t xml:space="preserve">foreign </w:t>
      </w:r>
      <w:r w:rsidR="00B6412D" w:rsidRPr="00503F6C">
        <w:rPr>
          <w:rFonts w:eastAsia="Times New Roman"/>
          <w:color w:val="auto"/>
        </w:rPr>
        <w:t xml:space="preserve">direct </w:t>
      </w:r>
      <w:r w:rsidR="00B6412D" w:rsidRPr="00503F6C">
        <w:rPr>
          <w:rFonts w:eastAsia="Times New Roman"/>
        </w:rPr>
        <w:t>investment</w:t>
      </w:r>
      <w:commentRangeEnd w:id="3"/>
      <w:r w:rsidR="00D52ECF">
        <w:rPr>
          <w:rStyle w:val="CommentReference"/>
          <w:rFonts w:asciiTheme="minorHAnsi" w:hAnsiTheme="minorHAnsi" w:cstheme="minorBidi"/>
          <w:color w:val="auto"/>
          <w:kern w:val="2"/>
          <w14:ligatures w14:val="standardContextual"/>
        </w:rPr>
        <w:commentReference w:id="3"/>
      </w:r>
      <w:r w:rsidR="00B6412D" w:rsidRPr="00503F6C">
        <w:rPr>
          <w:rFonts w:eastAsia="Times New Roman"/>
        </w:rPr>
        <w:t xml:space="preserve">. </w:t>
      </w:r>
      <w:r w:rsidR="00503F6C">
        <w:rPr>
          <w:rFonts w:eastAsia="Times New Roman"/>
        </w:rPr>
        <w:t xml:space="preserve">The </w:t>
      </w:r>
      <w:r w:rsidR="00503F6C">
        <w:t>r</w:t>
      </w:r>
      <w:r w:rsidR="00B6412D" w:rsidRPr="00503F6C">
        <w:t>esult</w:t>
      </w:r>
      <w:r w:rsidR="00503F6C">
        <w:t xml:space="preserve">s of this </w:t>
      </w:r>
      <w:r w:rsidRPr="00503F6C">
        <w:t>study provided evidence that remittances have insignificant and positive effects on Nigeria's economic growth</w:t>
      </w:r>
      <w:r w:rsidR="00B6412D" w:rsidRPr="00503F6C">
        <w:t xml:space="preserve"> in</w:t>
      </w:r>
      <w:r w:rsidRPr="00503F6C">
        <w:t xml:space="preserve"> the </w:t>
      </w:r>
      <w:r w:rsidR="00B6412D" w:rsidRPr="00503F6C">
        <w:t>short run</w:t>
      </w:r>
      <w:r w:rsidRPr="00503F6C">
        <w:t xml:space="preserve">. In the long run, remittances negatively </w:t>
      </w:r>
      <w:r w:rsidR="0012563C" w:rsidRPr="00503F6C">
        <w:t xml:space="preserve">and </w:t>
      </w:r>
      <w:r w:rsidRPr="00503F6C">
        <w:t>significantly impact growth.</w:t>
      </w:r>
      <w:r w:rsidR="00B6412D" w:rsidRPr="00503F6C">
        <w:t xml:space="preserve"> This </w:t>
      </w:r>
      <w:r w:rsidRPr="00503F6C">
        <w:rPr>
          <w:color w:val="000000" w:themeColor="text1"/>
        </w:rPr>
        <w:t xml:space="preserve">finding does not align with a priori expectations because of the increasing immigrant remittances to Nigeria over the </w:t>
      </w:r>
      <w:r w:rsidR="00B6412D" w:rsidRPr="00503F6C">
        <w:rPr>
          <w:color w:val="000000" w:themeColor="text1"/>
        </w:rPr>
        <w:t>years.</w:t>
      </w:r>
      <w:r w:rsidR="00B6412D" w:rsidRPr="00503F6C">
        <w:t xml:space="preserve"> Foreign</w:t>
      </w:r>
      <w:r w:rsidRPr="00503F6C">
        <w:t xml:space="preserve"> direct investment significantly and positively affects Nigeria's economic growth in the long </w:t>
      </w:r>
      <w:r w:rsidR="00B6412D" w:rsidRPr="00503F6C">
        <w:t>run.</w:t>
      </w:r>
      <w:r w:rsidRPr="00503F6C">
        <w:t xml:space="preserve"> Inflation has a negative and significant impact on growth in </w:t>
      </w:r>
      <w:r w:rsidR="00B6412D" w:rsidRPr="00503F6C">
        <w:t>the long</w:t>
      </w:r>
      <w:r w:rsidRPr="00503F6C">
        <w:t xml:space="preserve"> run. </w:t>
      </w:r>
      <w:r w:rsidR="00503F6C" w:rsidRPr="00503F6C">
        <w:t>The foreign</w:t>
      </w:r>
      <w:r w:rsidRPr="00503F6C">
        <w:t xml:space="preserve"> exchange </w:t>
      </w:r>
      <w:r w:rsidR="00503F6C" w:rsidRPr="00503F6C">
        <w:t>rate has</w:t>
      </w:r>
      <w:r w:rsidRPr="00503F6C">
        <w:t xml:space="preserve"> a negative but not </w:t>
      </w:r>
      <w:r w:rsidR="00503F6C" w:rsidRPr="00503F6C">
        <w:t>significant relationship</w:t>
      </w:r>
      <w:r w:rsidRPr="00503F6C">
        <w:t xml:space="preserve"> with economic growth on economic growth in </w:t>
      </w:r>
      <w:r w:rsidR="00503F6C" w:rsidRPr="00503F6C">
        <w:t>the short</w:t>
      </w:r>
      <w:r w:rsidRPr="00503F6C">
        <w:t xml:space="preserve"> and long </w:t>
      </w:r>
      <w:r w:rsidR="008D5ABF" w:rsidRPr="00503F6C">
        <w:t>run</w:t>
      </w:r>
      <w:r w:rsidR="008D5ABF">
        <w:t>.</w:t>
      </w:r>
      <w:commentRangeStart w:id="5"/>
      <w:r w:rsidR="008D5ABF" w:rsidRPr="00503F6C">
        <w:t xml:space="preserve"> </w:t>
      </w:r>
      <w:commentRangeEnd w:id="5"/>
      <w:r w:rsidR="00D52ECF">
        <w:rPr>
          <w:rStyle w:val="CommentReference"/>
          <w:rFonts w:asciiTheme="minorHAnsi" w:hAnsiTheme="minorHAnsi" w:cstheme="minorBidi"/>
          <w:color w:val="auto"/>
          <w:kern w:val="2"/>
          <w14:ligatures w14:val="standardContextual"/>
        </w:rPr>
        <w:commentReference w:id="5"/>
      </w:r>
      <w:r w:rsidR="008D5ABF" w:rsidRPr="00503F6C">
        <w:t>T</w:t>
      </w:r>
      <w:r w:rsidR="008D5ABF">
        <w:t xml:space="preserve">his </w:t>
      </w:r>
      <w:r w:rsidR="00CC4DB5" w:rsidRPr="00503F6C">
        <w:t>study recommends that p</w:t>
      </w:r>
      <w:r w:rsidRPr="00503F6C">
        <w:t xml:space="preserve">olicymakers in Nigeria should </w:t>
      </w:r>
      <w:r w:rsidR="009D5CDA" w:rsidRPr="00503F6C">
        <w:t>use</w:t>
      </w:r>
      <w:r w:rsidRPr="00503F6C">
        <w:t xml:space="preserve"> </w:t>
      </w:r>
      <w:r w:rsidR="009D5CDA" w:rsidRPr="00503F6C">
        <w:t>suitable</w:t>
      </w:r>
      <w:r w:rsidRPr="00503F6C">
        <w:t xml:space="preserve"> </w:t>
      </w:r>
      <w:r w:rsidR="009D5CDA" w:rsidRPr="00503F6C">
        <w:t>guidelines</w:t>
      </w:r>
      <w:r w:rsidR="009D5CDA">
        <w:t xml:space="preserve"> </w:t>
      </w:r>
      <w:r w:rsidRPr="00503F6C">
        <w:t xml:space="preserve">to </w:t>
      </w:r>
      <w:r w:rsidR="009D5CDA" w:rsidRPr="00503F6C">
        <w:t>foster</w:t>
      </w:r>
      <w:r w:rsidRPr="00503F6C">
        <w:t xml:space="preserve"> the use of remittances for investment in the productive sector of the local economy to boost growth rather than mere consumption purposes. </w:t>
      </w:r>
      <w:r w:rsidR="0011374E">
        <w:t xml:space="preserve">Necessary </w:t>
      </w:r>
      <w:r w:rsidR="0011374E" w:rsidRPr="00503F6C">
        <w:t>institutional</w:t>
      </w:r>
      <w:r w:rsidRPr="00503F6C">
        <w:t xml:space="preserve"> and legal frameworks</w:t>
      </w:r>
      <w:r w:rsidR="008D5ABF">
        <w:t xml:space="preserve"> and backing should support these policies. There is also the need </w:t>
      </w:r>
      <w:r w:rsidRPr="00503F6C">
        <w:t xml:space="preserve">to </w:t>
      </w:r>
      <w:r w:rsidR="008D5ABF">
        <w:t>create</w:t>
      </w:r>
      <w:r w:rsidR="00503F6C">
        <w:t xml:space="preserve"> </w:t>
      </w:r>
      <w:r w:rsidRPr="00503F6C">
        <w:t xml:space="preserve">veritable investment </w:t>
      </w:r>
      <w:r w:rsidR="00503F6C" w:rsidRPr="00503F6C">
        <w:t>vehicles either</w:t>
      </w:r>
      <w:r w:rsidRPr="00503F6C">
        <w:t xml:space="preserve"> supported or guaranteed by </w:t>
      </w:r>
      <w:r w:rsidR="00503F6C" w:rsidRPr="00503F6C">
        <w:t>the government</w:t>
      </w:r>
      <w:r w:rsidRPr="00503F6C">
        <w:t xml:space="preserve"> at both the federal </w:t>
      </w:r>
      <w:r w:rsidR="00503F6C" w:rsidRPr="00503F6C">
        <w:t xml:space="preserve">and </w:t>
      </w:r>
      <w:r w:rsidR="008D5ABF" w:rsidRPr="00503F6C">
        <w:t>subnational levels</w:t>
      </w:r>
      <w:r w:rsidR="00CC4DB5" w:rsidRPr="00503F6C">
        <w:t xml:space="preserve"> </w:t>
      </w:r>
      <w:r w:rsidRPr="00503F6C">
        <w:t>to ensure a higher inflow of remittances and the deployment of these remittances to productive uses</w:t>
      </w:r>
      <w:r w:rsidR="00CC4DB5" w:rsidRPr="00503F6C">
        <w:t xml:space="preserve"> to promote </w:t>
      </w:r>
      <w:r w:rsidR="006F1A43" w:rsidRPr="00503F6C">
        <w:t>growth.</w:t>
      </w:r>
      <w:r w:rsidR="00CC4DB5" w:rsidRPr="00503F6C">
        <w:t xml:space="preserve"> </w:t>
      </w:r>
    </w:p>
    <w:p w14:paraId="677ACA3B" w14:textId="31AAA14C" w:rsidR="00E71B55" w:rsidRDefault="009A71CA" w:rsidP="00503F6C">
      <w:pPr>
        <w:spacing w:line="360" w:lineRule="auto"/>
        <w:jc w:val="both"/>
        <w:rPr>
          <w:rFonts w:ascii="Times New Roman" w:hAnsi="Times New Roman" w:cs="Times New Roman"/>
        </w:rPr>
      </w:pPr>
      <w:r w:rsidRPr="00503F6C">
        <w:rPr>
          <w:rFonts w:ascii="Times New Roman" w:hAnsi="Times New Roman" w:cs="Times New Roman"/>
        </w:rPr>
        <w:t>Key Words</w:t>
      </w:r>
      <w:r w:rsidR="00CB00C1">
        <w:rPr>
          <w:rFonts w:ascii="Times New Roman" w:hAnsi="Times New Roman" w:cs="Times New Roman"/>
        </w:rPr>
        <w:t>:</w:t>
      </w:r>
      <w:r w:rsidRPr="00503F6C">
        <w:rPr>
          <w:rFonts w:ascii="Times New Roman" w:hAnsi="Times New Roman" w:cs="Times New Roman"/>
        </w:rPr>
        <w:t xml:space="preserve"> Economic </w:t>
      </w:r>
      <w:r w:rsidR="006F1A43" w:rsidRPr="00503F6C">
        <w:rPr>
          <w:rFonts w:ascii="Times New Roman" w:hAnsi="Times New Roman" w:cs="Times New Roman"/>
        </w:rPr>
        <w:t>Growth</w:t>
      </w:r>
      <w:r w:rsidR="00CB00C1">
        <w:rPr>
          <w:rFonts w:ascii="Times New Roman" w:hAnsi="Times New Roman" w:cs="Times New Roman"/>
        </w:rPr>
        <w:t xml:space="preserve"> </w:t>
      </w:r>
      <w:r w:rsidR="006F1A43" w:rsidRPr="00503F6C">
        <w:rPr>
          <w:rFonts w:ascii="Times New Roman" w:hAnsi="Times New Roman" w:cs="Times New Roman"/>
        </w:rPr>
        <w:t xml:space="preserve"> </w:t>
      </w:r>
      <w:r w:rsidR="006F1A43">
        <w:rPr>
          <w:rFonts w:ascii="Times New Roman" w:hAnsi="Times New Roman" w:cs="Times New Roman"/>
        </w:rPr>
        <w:t>Nigeria</w:t>
      </w:r>
      <w:r w:rsidR="00503F6C">
        <w:rPr>
          <w:rFonts w:ascii="Times New Roman" w:hAnsi="Times New Roman" w:cs="Times New Roman"/>
        </w:rPr>
        <w:t xml:space="preserve"> </w:t>
      </w:r>
      <w:r w:rsidRPr="00503F6C">
        <w:rPr>
          <w:rFonts w:ascii="Times New Roman" w:hAnsi="Times New Roman" w:cs="Times New Roman"/>
        </w:rPr>
        <w:t xml:space="preserve"> </w:t>
      </w:r>
      <w:r w:rsidR="00CB00C1" w:rsidRPr="00503F6C">
        <w:rPr>
          <w:rFonts w:ascii="Times New Roman" w:hAnsi="Times New Roman" w:cs="Times New Roman"/>
        </w:rPr>
        <w:t>Remittance</w:t>
      </w:r>
      <w:r w:rsidR="00CB00C1">
        <w:rPr>
          <w:rFonts w:ascii="Times New Roman" w:hAnsi="Times New Roman" w:cs="Times New Roman"/>
        </w:rPr>
        <w:t xml:space="preserve"> </w:t>
      </w:r>
      <w:r w:rsidR="00CB00C1" w:rsidRPr="00503F6C">
        <w:rPr>
          <w:rFonts w:ascii="Times New Roman" w:hAnsi="Times New Roman" w:cs="Times New Roman"/>
        </w:rPr>
        <w:t>ARDL</w:t>
      </w:r>
      <w:r w:rsidR="00503F6C">
        <w:rPr>
          <w:rFonts w:ascii="Times New Roman" w:hAnsi="Times New Roman" w:cs="Times New Roman"/>
        </w:rPr>
        <w:t xml:space="preserve"> </w:t>
      </w:r>
    </w:p>
    <w:p w14:paraId="79FAAC0F" w14:textId="20A7B848" w:rsidR="00602ABA" w:rsidRDefault="00602ABA" w:rsidP="00503F6C">
      <w:pPr>
        <w:spacing w:line="360" w:lineRule="auto"/>
        <w:jc w:val="both"/>
        <w:rPr>
          <w:rFonts w:ascii="Times New Roman" w:hAnsi="Times New Roman" w:cs="Times New Roman"/>
        </w:rPr>
      </w:pPr>
    </w:p>
    <w:p w14:paraId="5D556D4F" w14:textId="77777777" w:rsidR="00602ABA" w:rsidRPr="00503F6C" w:rsidRDefault="00602ABA" w:rsidP="00503F6C">
      <w:pPr>
        <w:spacing w:line="360" w:lineRule="auto"/>
        <w:jc w:val="both"/>
        <w:rPr>
          <w:rFonts w:ascii="Times New Roman" w:hAnsi="Times New Roman" w:cs="Times New Roman"/>
        </w:rPr>
      </w:pPr>
    </w:p>
    <w:p w14:paraId="4C2A1827" w14:textId="68BE2162" w:rsidR="009B447D" w:rsidRPr="00503F6C" w:rsidRDefault="009A71CA" w:rsidP="00503F6C">
      <w:pPr>
        <w:spacing w:line="360" w:lineRule="auto"/>
        <w:jc w:val="both"/>
        <w:rPr>
          <w:rFonts w:ascii="Times New Roman" w:hAnsi="Times New Roman" w:cs="Times New Roman"/>
          <w:b/>
          <w:bCs/>
        </w:rPr>
      </w:pPr>
      <w:r w:rsidRPr="00503F6C">
        <w:rPr>
          <w:rFonts w:ascii="Times New Roman" w:hAnsi="Times New Roman" w:cs="Times New Roman"/>
          <w:b/>
          <w:bCs/>
        </w:rPr>
        <w:t xml:space="preserve">Introduction </w:t>
      </w:r>
    </w:p>
    <w:p w14:paraId="05ED7E8B" w14:textId="1F6E352D" w:rsidR="0090627D" w:rsidRPr="00503F6C" w:rsidRDefault="009A71CA" w:rsidP="00CC017C">
      <w:pPr>
        <w:spacing w:line="360" w:lineRule="auto"/>
        <w:jc w:val="both"/>
        <w:rPr>
          <w:rFonts w:ascii="Times New Roman" w:hAnsi="Times New Roman" w:cs="Times New Roman"/>
        </w:rPr>
      </w:pPr>
      <w:commentRangeStart w:id="6"/>
      <w:r w:rsidRPr="00503F6C">
        <w:rPr>
          <w:rFonts w:ascii="Times New Roman" w:hAnsi="Times New Roman" w:cs="Times New Roman"/>
        </w:rPr>
        <w:t>Human migration</w:t>
      </w:r>
      <w:r w:rsidR="0092689D" w:rsidRPr="00503F6C">
        <w:rPr>
          <w:rFonts w:ascii="Times New Roman" w:hAnsi="Times New Roman" w:cs="Times New Roman"/>
        </w:rPr>
        <w:t xml:space="preserve"> is </w:t>
      </w:r>
      <w:r w:rsidR="00490566" w:rsidRPr="00503F6C">
        <w:rPr>
          <w:rFonts w:ascii="Times New Roman" w:hAnsi="Times New Roman" w:cs="Times New Roman"/>
        </w:rPr>
        <w:t>a key</w:t>
      </w:r>
      <w:r w:rsidR="00C0470D" w:rsidRPr="00503F6C">
        <w:rPr>
          <w:rFonts w:ascii="Times New Roman" w:hAnsi="Times New Roman" w:cs="Times New Roman"/>
        </w:rPr>
        <w:t xml:space="preserve"> </w:t>
      </w:r>
      <w:r w:rsidRPr="00503F6C">
        <w:rPr>
          <w:rFonts w:ascii="Times New Roman" w:hAnsi="Times New Roman" w:cs="Times New Roman"/>
        </w:rPr>
        <w:t>component of the</w:t>
      </w:r>
      <w:r w:rsidR="00C0470D" w:rsidRPr="00503F6C">
        <w:rPr>
          <w:rFonts w:ascii="Times New Roman" w:hAnsi="Times New Roman" w:cs="Times New Roman"/>
        </w:rPr>
        <w:t xml:space="preserve"> interconnected </w:t>
      </w:r>
      <w:r w:rsidR="0092689D" w:rsidRPr="00503F6C">
        <w:rPr>
          <w:rFonts w:ascii="Times New Roman" w:hAnsi="Times New Roman" w:cs="Times New Roman"/>
        </w:rPr>
        <w:t xml:space="preserve">world, and </w:t>
      </w:r>
      <w:r w:rsidR="001A4769" w:rsidRPr="00503F6C">
        <w:rPr>
          <w:rFonts w:ascii="Times New Roman" w:hAnsi="Times New Roman" w:cs="Times New Roman"/>
        </w:rPr>
        <w:t xml:space="preserve">it </w:t>
      </w:r>
      <w:r w:rsidR="0092689D" w:rsidRPr="00503F6C">
        <w:rPr>
          <w:rFonts w:ascii="Times New Roman" w:hAnsi="Times New Roman" w:cs="Times New Roman"/>
        </w:rPr>
        <w:t xml:space="preserve">has an economic impact on both </w:t>
      </w:r>
      <w:r w:rsidR="00D10321" w:rsidRPr="00503F6C">
        <w:rPr>
          <w:rFonts w:ascii="Times New Roman" w:hAnsi="Times New Roman" w:cs="Times New Roman"/>
        </w:rPr>
        <w:t xml:space="preserve">migrant </w:t>
      </w:r>
      <w:r w:rsidR="001E0EA3" w:rsidRPr="00503F6C">
        <w:rPr>
          <w:rFonts w:ascii="Times New Roman" w:hAnsi="Times New Roman" w:cs="Times New Roman"/>
        </w:rPr>
        <w:t>countries</w:t>
      </w:r>
      <w:r w:rsidR="0092689D" w:rsidRPr="00503F6C">
        <w:rPr>
          <w:rFonts w:ascii="Times New Roman" w:hAnsi="Times New Roman" w:cs="Times New Roman"/>
        </w:rPr>
        <w:t xml:space="preserve"> of origin and countr</w:t>
      </w:r>
      <w:r w:rsidR="00127EDA" w:rsidRPr="00503F6C">
        <w:rPr>
          <w:rFonts w:ascii="Times New Roman" w:hAnsi="Times New Roman" w:cs="Times New Roman"/>
        </w:rPr>
        <w:t xml:space="preserve">ies of </w:t>
      </w:r>
      <w:r w:rsidRPr="00503F6C">
        <w:rPr>
          <w:rFonts w:ascii="Times New Roman" w:hAnsi="Times New Roman" w:cs="Times New Roman"/>
        </w:rPr>
        <w:t>destination</w:t>
      </w:r>
      <w:commentRangeEnd w:id="6"/>
      <w:r w:rsidR="00D52ECF">
        <w:rPr>
          <w:rStyle w:val="CommentReference"/>
        </w:rPr>
        <w:commentReference w:id="6"/>
      </w:r>
      <w:r w:rsidRPr="00503F6C">
        <w:rPr>
          <w:rFonts w:ascii="Times New Roman" w:hAnsi="Times New Roman" w:cs="Times New Roman"/>
        </w:rPr>
        <w:t>. Oluwafemi</w:t>
      </w:r>
      <w:r w:rsidR="009F394D" w:rsidRPr="00503F6C">
        <w:rPr>
          <w:rFonts w:ascii="Times New Roman" w:hAnsi="Times New Roman" w:cs="Times New Roman"/>
        </w:rPr>
        <w:t xml:space="preserve"> and Ayandibu (2014) </w:t>
      </w:r>
      <w:r w:rsidR="00EF501D" w:rsidRPr="00503F6C">
        <w:rPr>
          <w:rFonts w:ascii="Times New Roman" w:hAnsi="Times New Roman" w:cs="Times New Roman"/>
        </w:rPr>
        <w:t>stated</w:t>
      </w:r>
      <w:r w:rsidR="009F394D" w:rsidRPr="00503F6C">
        <w:rPr>
          <w:rFonts w:ascii="Times New Roman" w:hAnsi="Times New Roman" w:cs="Times New Roman"/>
        </w:rPr>
        <w:t xml:space="preserve"> that remittance is part of human economic activity. Thus, migration and remittance go hand in hand because</w:t>
      </w:r>
      <w:r w:rsidR="00CB00C1">
        <w:rPr>
          <w:rFonts w:ascii="Times New Roman" w:hAnsi="Times New Roman" w:cs="Times New Roman"/>
        </w:rPr>
        <w:t xml:space="preserve">, </w:t>
      </w:r>
      <w:r w:rsidR="009F394D" w:rsidRPr="00503F6C">
        <w:rPr>
          <w:rFonts w:ascii="Times New Roman" w:hAnsi="Times New Roman" w:cs="Times New Roman"/>
        </w:rPr>
        <w:t>without migration</w:t>
      </w:r>
      <w:r w:rsidR="00CB00C1">
        <w:rPr>
          <w:rFonts w:ascii="Times New Roman" w:hAnsi="Times New Roman" w:cs="Times New Roman"/>
        </w:rPr>
        <w:t xml:space="preserve"> </w:t>
      </w:r>
      <w:r w:rsidR="009F394D" w:rsidRPr="00503F6C">
        <w:rPr>
          <w:rFonts w:ascii="Times New Roman" w:hAnsi="Times New Roman" w:cs="Times New Roman"/>
        </w:rPr>
        <w:t>there is no remittance</w:t>
      </w:r>
      <w:r w:rsidRPr="00503F6C">
        <w:rPr>
          <w:rFonts w:ascii="Times New Roman" w:hAnsi="Times New Roman" w:cs="Times New Roman"/>
        </w:rPr>
        <w:t xml:space="preserve"> by migrants.</w:t>
      </w:r>
      <w:r w:rsidR="009F394D" w:rsidRPr="00503F6C">
        <w:rPr>
          <w:rFonts w:ascii="Times New Roman" w:hAnsi="Times New Roman" w:cs="Times New Roman"/>
        </w:rPr>
        <w:t xml:space="preserve"> </w:t>
      </w:r>
      <w:r w:rsidR="004D3443" w:rsidRPr="00503F6C">
        <w:rPr>
          <w:rFonts w:ascii="Times New Roman" w:hAnsi="Times New Roman" w:cs="Times New Roman"/>
        </w:rPr>
        <w:t>Migrants</w:t>
      </w:r>
      <w:r w:rsidR="00D10321" w:rsidRPr="00503F6C">
        <w:rPr>
          <w:rFonts w:ascii="Times New Roman" w:hAnsi="Times New Roman" w:cs="Times New Roman"/>
        </w:rPr>
        <w:t xml:space="preserve">' worker's </w:t>
      </w:r>
      <w:r w:rsidR="004D3443" w:rsidRPr="00503F6C">
        <w:rPr>
          <w:rFonts w:ascii="Times New Roman" w:hAnsi="Times New Roman" w:cs="Times New Roman"/>
        </w:rPr>
        <w:t>remittances to their countries of origin are</w:t>
      </w:r>
      <w:r w:rsidR="0092689D" w:rsidRPr="00503F6C">
        <w:rPr>
          <w:rFonts w:ascii="Times New Roman" w:hAnsi="Times New Roman" w:cs="Times New Roman"/>
        </w:rPr>
        <w:t xml:space="preserve"> now a</w:t>
      </w:r>
      <w:r w:rsidR="00C0470D" w:rsidRPr="00503F6C">
        <w:rPr>
          <w:rFonts w:ascii="Times New Roman" w:hAnsi="Times New Roman" w:cs="Times New Roman"/>
        </w:rPr>
        <w:t xml:space="preserve"> significant source of foreign exchange for </w:t>
      </w:r>
      <w:r w:rsidR="0092689D" w:rsidRPr="00503F6C">
        <w:rPr>
          <w:rFonts w:ascii="Times New Roman" w:hAnsi="Times New Roman" w:cs="Times New Roman"/>
        </w:rPr>
        <w:t xml:space="preserve">many </w:t>
      </w:r>
      <w:r w:rsidR="00C0470D" w:rsidRPr="00503F6C">
        <w:rPr>
          <w:rFonts w:ascii="Times New Roman" w:hAnsi="Times New Roman" w:cs="Times New Roman"/>
        </w:rPr>
        <w:t xml:space="preserve">countries, especially developing countries </w:t>
      </w:r>
      <w:r w:rsidR="002574B8" w:rsidRPr="00503F6C">
        <w:rPr>
          <w:rFonts w:ascii="Times New Roman" w:hAnsi="Times New Roman" w:cs="Times New Roman"/>
        </w:rPr>
        <w:t>(</w:t>
      </w:r>
      <w:r w:rsidR="00EF352D" w:rsidRPr="00503F6C">
        <w:rPr>
          <w:rFonts w:ascii="Times New Roman" w:hAnsi="Times New Roman" w:cs="Times New Roman"/>
        </w:rPr>
        <w:t xml:space="preserve">Adeseye </w:t>
      </w:r>
      <w:r w:rsidR="00FD43C5" w:rsidRPr="00503F6C">
        <w:rPr>
          <w:rFonts w:ascii="Times New Roman" w:hAnsi="Times New Roman" w:cs="Times New Roman"/>
        </w:rPr>
        <w:t xml:space="preserve">2021; </w:t>
      </w:r>
      <w:r w:rsidR="002574B8" w:rsidRPr="00503F6C">
        <w:rPr>
          <w:rFonts w:ascii="Times New Roman" w:hAnsi="Times New Roman" w:cs="Times New Roman"/>
        </w:rPr>
        <w:t xml:space="preserve">Adow </w:t>
      </w:r>
      <w:r w:rsidR="00C87039" w:rsidRPr="00503F6C">
        <w:rPr>
          <w:rFonts w:ascii="Times New Roman" w:hAnsi="Times New Roman" w:cs="Times New Roman"/>
        </w:rPr>
        <w:t>2025; Azam</w:t>
      </w:r>
      <w:r w:rsidR="00C0470D" w:rsidRPr="00503F6C">
        <w:rPr>
          <w:rFonts w:ascii="Times New Roman" w:hAnsi="Times New Roman" w:cs="Times New Roman"/>
        </w:rPr>
        <w:t xml:space="preserve"> 2015;</w:t>
      </w:r>
      <w:r w:rsidR="00D36BCC" w:rsidRPr="00503F6C">
        <w:rPr>
          <w:rFonts w:ascii="Times New Roman" w:hAnsi="Times New Roman" w:cs="Times New Roman"/>
        </w:rPr>
        <w:t xml:space="preserve"> Cazachevici et al. 2020;</w:t>
      </w:r>
      <w:r w:rsidR="0019390C" w:rsidRPr="00503F6C">
        <w:rPr>
          <w:rFonts w:ascii="Times New Roman" w:hAnsi="Times New Roman" w:cs="Times New Roman"/>
        </w:rPr>
        <w:t xml:space="preserve"> Ekanayake &amp; Moslares  2020;</w:t>
      </w:r>
      <w:r w:rsidR="004D3443" w:rsidRPr="00503F6C">
        <w:rPr>
          <w:rFonts w:ascii="Times New Roman" w:hAnsi="Times New Roman" w:cs="Times New Roman"/>
        </w:rPr>
        <w:t xml:space="preserve"> Georgiana 2018; Khan et al., 2019</w:t>
      </w:r>
      <w:r w:rsidR="0092689D" w:rsidRPr="00503F6C">
        <w:rPr>
          <w:rFonts w:ascii="Times New Roman" w:hAnsi="Times New Roman" w:cs="Times New Roman"/>
        </w:rPr>
        <w:t>;</w:t>
      </w:r>
      <w:r w:rsidR="004D3443" w:rsidRPr="00503F6C">
        <w:rPr>
          <w:rFonts w:ascii="Times New Roman" w:hAnsi="Times New Roman" w:cs="Times New Roman"/>
        </w:rPr>
        <w:t xml:space="preserve"> </w:t>
      </w:r>
      <w:r w:rsidR="005705B5" w:rsidRPr="00503F6C">
        <w:rPr>
          <w:rFonts w:ascii="Times New Roman" w:hAnsi="Times New Roman" w:cs="Times New Roman"/>
        </w:rPr>
        <w:t>Islam, 2022; Oladipo</w:t>
      </w:r>
      <w:r w:rsidR="004D3443" w:rsidRPr="00503F6C">
        <w:rPr>
          <w:rFonts w:ascii="Times New Roman" w:hAnsi="Times New Roman" w:cs="Times New Roman"/>
        </w:rPr>
        <w:t>, 2020; Qutb, 2022)</w:t>
      </w:r>
      <w:r w:rsidR="007F111D" w:rsidRPr="00503F6C">
        <w:rPr>
          <w:rFonts w:ascii="Times New Roman" w:hAnsi="Times New Roman" w:cs="Times New Roman"/>
        </w:rPr>
        <w:t>.</w:t>
      </w:r>
      <w:r w:rsidR="00910AEC" w:rsidRPr="00503F6C">
        <w:rPr>
          <w:rFonts w:ascii="Times New Roman" w:hAnsi="Times New Roman" w:cs="Times New Roman"/>
        </w:rPr>
        <w:t xml:space="preserve"> Odozi et al</w:t>
      </w:r>
      <w:r w:rsidR="00EA03F8" w:rsidRPr="00503F6C">
        <w:rPr>
          <w:rFonts w:ascii="Times New Roman" w:hAnsi="Times New Roman" w:cs="Times New Roman"/>
        </w:rPr>
        <w:t>. (</w:t>
      </w:r>
      <w:r w:rsidR="00910AEC" w:rsidRPr="00503F6C">
        <w:rPr>
          <w:rFonts w:ascii="Times New Roman" w:hAnsi="Times New Roman" w:cs="Times New Roman"/>
        </w:rPr>
        <w:t>2010)</w:t>
      </w:r>
      <w:r w:rsidR="001A4769" w:rsidRPr="00503F6C">
        <w:rPr>
          <w:rFonts w:ascii="Times New Roman" w:hAnsi="Times New Roman" w:cs="Times New Roman"/>
        </w:rPr>
        <w:t xml:space="preserve"> also</w:t>
      </w:r>
      <w:r w:rsidR="00910AEC" w:rsidRPr="00503F6C">
        <w:rPr>
          <w:rFonts w:ascii="Times New Roman" w:hAnsi="Times New Roman" w:cs="Times New Roman"/>
        </w:rPr>
        <w:t xml:space="preserve"> reported that </w:t>
      </w:r>
      <w:r w:rsidR="00503F6C" w:rsidRPr="00503F6C">
        <w:rPr>
          <w:rFonts w:ascii="Times New Roman" w:hAnsi="Times New Roman" w:cs="Times New Roman"/>
        </w:rPr>
        <w:t xml:space="preserve">migrant </w:t>
      </w:r>
      <w:r w:rsidR="006F1A43" w:rsidRPr="00503F6C">
        <w:rPr>
          <w:rFonts w:ascii="Times New Roman" w:hAnsi="Times New Roman" w:cs="Times New Roman"/>
        </w:rPr>
        <w:t>remittance</w:t>
      </w:r>
      <w:r w:rsidR="00910AEC" w:rsidRPr="00503F6C">
        <w:rPr>
          <w:rFonts w:ascii="Times New Roman" w:hAnsi="Times New Roman" w:cs="Times New Roman"/>
        </w:rPr>
        <w:t xml:space="preserve"> is a vital driver of economic growth in many developing countries</w:t>
      </w:r>
      <w:r w:rsidRPr="00503F6C">
        <w:rPr>
          <w:rFonts w:ascii="Times New Roman" w:hAnsi="Times New Roman" w:cs="Times New Roman"/>
        </w:rPr>
        <w:t>. Remittances have a potential effect on economic growth through the different transmission channels because they boost aggregate consumption, investment, and savings, leading to poverty reduction and income distribution (</w:t>
      </w:r>
      <w:r w:rsidR="002574B8" w:rsidRPr="00503F6C">
        <w:rPr>
          <w:rFonts w:ascii="Times New Roman" w:hAnsi="Times New Roman" w:cs="Times New Roman"/>
        </w:rPr>
        <w:t>Adow, 2025;</w:t>
      </w:r>
      <w:r w:rsidRPr="00503F6C">
        <w:rPr>
          <w:rFonts w:ascii="Times New Roman" w:hAnsi="Times New Roman" w:cs="Times New Roman"/>
        </w:rPr>
        <w:t xml:space="preserve"> Ekanayake &amp; Moslares, 2020; Depken et .al, 2021;Islam, 2022; Nawaz, 2023).</w:t>
      </w:r>
    </w:p>
    <w:p w14:paraId="031C3CF8" w14:textId="61FAD344" w:rsidR="00047ABF" w:rsidRPr="00503F6C" w:rsidRDefault="009A71CA" w:rsidP="00CC017C">
      <w:pPr>
        <w:spacing w:line="360" w:lineRule="auto"/>
        <w:jc w:val="both"/>
        <w:rPr>
          <w:rFonts w:ascii="Times New Roman" w:hAnsi="Times New Roman" w:cs="Times New Roman"/>
        </w:rPr>
      </w:pPr>
      <w:r w:rsidRPr="00503F6C">
        <w:rPr>
          <w:rFonts w:ascii="Times New Roman" w:hAnsi="Times New Roman" w:cs="Times New Roman"/>
        </w:rPr>
        <w:t>Remittances</w:t>
      </w:r>
      <w:r w:rsidR="00367EFC" w:rsidRPr="00503F6C">
        <w:rPr>
          <w:rFonts w:ascii="Times New Roman" w:hAnsi="Times New Roman" w:cs="Times New Roman"/>
        </w:rPr>
        <w:t xml:space="preserve"> can be defined broadly as cash transfers from migrants working abroad to individuals' countries of origin or home </w:t>
      </w:r>
      <w:r w:rsidR="006817F5" w:rsidRPr="00503F6C">
        <w:rPr>
          <w:rFonts w:ascii="Times New Roman" w:hAnsi="Times New Roman" w:cs="Times New Roman"/>
        </w:rPr>
        <w:t>country through</w:t>
      </w:r>
      <w:r w:rsidR="00367EFC" w:rsidRPr="00503F6C">
        <w:rPr>
          <w:rFonts w:ascii="Times New Roman" w:hAnsi="Times New Roman" w:cs="Times New Roman"/>
        </w:rPr>
        <w:t xml:space="preserve"> official and unofficial channels (</w:t>
      </w:r>
      <w:r w:rsidR="002574B8" w:rsidRPr="00503F6C">
        <w:rPr>
          <w:rFonts w:ascii="Times New Roman" w:hAnsi="Times New Roman" w:cs="Times New Roman"/>
        </w:rPr>
        <w:t xml:space="preserve">Adow, 2025; </w:t>
      </w:r>
      <w:r w:rsidR="00367EFC" w:rsidRPr="00503F6C">
        <w:rPr>
          <w:rFonts w:ascii="Times New Roman" w:hAnsi="Times New Roman" w:cs="Times New Roman"/>
        </w:rPr>
        <w:t>Rapoport &amp; Docquier; Qutb, 2022).</w:t>
      </w:r>
      <w:r w:rsidR="00270A23" w:rsidRPr="00503F6C">
        <w:rPr>
          <w:rFonts w:ascii="Times New Roman" w:hAnsi="Times New Roman" w:cs="Times New Roman"/>
        </w:rPr>
        <w:t xml:space="preserve"> </w:t>
      </w:r>
      <w:r w:rsidR="00910AEC" w:rsidRPr="00503F6C">
        <w:rPr>
          <w:rFonts w:ascii="Times New Roman" w:hAnsi="Times New Roman" w:cs="Times New Roman"/>
        </w:rPr>
        <w:t xml:space="preserve">Oladipo (2020) </w:t>
      </w:r>
      <w:r w:rsidR="001A4769" w:rsidRPr="00503F6C">
        <w:rPr>
          <w:rFonts w:ascii="Times New Roman" w:hAnsi="Times New Roman" w:cs="Times New Roman"/>
        </w:rPr>
        <w:t xml:space="preserve">went further to state </w:t>
      </w:r>
      <w:r w:rsidR="00910AEC" w:rsidRPr="00503F6C">
        <w:rPr>
          <w:rFonts w:ascii="Times New Roman" w:hAnsi="Times New Roman" w:cs="Times New Roman"/>
        </w:rPr>
        <w:t>that the importance of migrant remittances</w:t>
      </w:r>
      <w:r w:rsidR="001A4769" w:rsidRPr="00503F6C">
        <w:rPr>
          <w:rFonts w:ascii="Times New Roman" w:hAnsi="Times New Roman" w:cs="Times New Roman"/>
        </w:rPr>
        <w:t xml:space="preserve"> </w:t>
      </w:r>
      <w:r w:rsidR="004B1BBA" w:rsidRPr="00503F6C">
        <w:rPr>
          <w:rFonts w:ascii="Times New Roman" w:hAnsi="Times New Roman" w:cs="Times New Roman"/>
        </w:rPr>
        <w:t>has</w:t>
      </w:r>
      <w:r w:rsidR="00910AEC" w:rsidRPr="00503F6C">
        <w:rPr>
          <w:rFonts w:ascii="Times New Roman" w:hAnsi="Times New Roman" w:cs="Times New Roman"/>
        </w:rPr>
        <w:t xml:space="preserve"> increased over the years, and these remittances are in two forms, i.e. financial</w:t>
      </w:r>
      <w:r w:rsidR="00CB00C1">
        <w:rPr>
          <w:rFonts w:ascii="Times New Roman" w:hAnsi="Times New Roman" w:cs="Times New Roman"/>
        </w:rPr>
        <w:t xml:space="preserve"> </w:t>
      </w:r>
      <w:r w:rsidR="00910AEC" w:rsidRPr="00503F6C">
        <w:rPr>
          <w:rFonts w:ascii="Times New Roman" w:hAnsi="Times New Roman" w:cs="Times New Roman"/>
        </w:rPr>
        <w:t xml:space="preserve">(cash) and non-financial (equipment, medicine, clothing, etc). </w:t>
      </w:r>
      <w:r w:rsidRPr="00503F6C">
        <w:rPr>
          <w:rFonts w:ascii="Times New Roman" w:hAnsi="Times New Roman" w:cs="Times New Roman"/>
        </w:rPr>
        <w:t>Recipients usually spend the remitted funds on living expenses, education, health care, and investment (Adeseye, 2021; Islam, 2022; Qutb, 2022). Personal remittances as a source of foreign exchange are usually more stable than other sources of foreign inflow, hence the need for study (Depken et .al 2021).</w:t>
      </w:r>
    </w:p>
    <w:p w14:paraId="6D5B987C" w14:textId="77777777" w:rsidR="00C221B5"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Economic growth models stress the importance of domestic and/or foreign capital accumulation to stimulate growth, and the inadequacy of such capital, especially in developing countries, strangulates growth. </w:t>
      </w:r>
      <w:r w:rsidR="0011374E" w:rsidRPr="00503F6C">
        <w:rPr>
          <w:rFonts w:ascii="Times New Roman" w:hAnsi="Times New Roman" w:cs="Times New Roman"/>
        </w:rPr>
        <w:t>Therefore,</w:t>
      </w:r>
      <w:r w:rsidRPr="00503F6C">
        <w:rPr>
          <w:rFonts w:ascii="Times New Roman" w:hAnsi="Times New Roman" w:cs="Times New Roman"/>
        </w:rPr>
        <w:t xml:space="preserve"> it is often argued that remittances will provide a panacea for growth because inflows </w:t>
      </w:r>
      <w:r w:rsidR="00FF4D5F" w:rsidRPr="00503F6C">
        <w:rPr>
          <w:rFonts w:ascii="Times New Roman" w:hAnsi="Times New Roman" w:cs="Times New Roman"/>
        </w:rPr>
        <w:t>raise</w:t>
      </w:r>
      <w:r w:rsidRPr="00503F6C">
        <w:rPr>
          <w:rFonts w:ascii="Times New Roman" w:hAnsi="Times New Roman" w:cs="Times New Roman"/>
        </w:rPr>
        <w:t xml:space="preserve"> recipient countries' household income, stimulating consumption, savings and investment and ultimately, economic growth (Laniran &amp; Adeniyi2015). Islam (2022) also noted that migrant workers' remittances, unlike other sources of external foreign exchange </w:t>
      </w:r>
      <w:r w:rsidRPr="00503F6C">
        <w:rPr>
          <w:rFonts w:ascii="Times New Roman" w:hAnsi="Times New Roman" w:cs="Times New Roman"/>
        </w:rPr>
        <w:lastRenderedPageBreak/>
        <w:t>inflows, are risk-free and require no repayment. Rapoport</w:t>
      </w:r>
      <w:r w:rsidR="00071B33" w:rsidRPr="00503F6C">
        <w:rPr>
          <w:rFonts w:ascii="Times New Roman" w:hAnsi="Times New Roman" w:cs="Times New Roman"/>
        </w:rPr>
        <w:t xml:space="preserve"> and Docquier (2006) reported that the most common motive for migrants' remittance to countries of origin is to take care of family and kinship left behind.</w:t>
      </w:r>
      <w:r w:rsidR="00C779A4" w:rsidRPr="00503F6C">
        <w:rPr>
          <w:rFonts w:ascii="Times New Roman" w:hAnsi="Times New Roman" w:cs="Times New Roman"/>
        </w:rPr>
        <w:t xml:space="preserve"> </w:t>
      </w:r>
    </w:p>
    <w:p w14:paraId="6DF5B532" w14:textId="77777777" w:rsidR="001B17CD"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Cazachevici et al. (</w:t>
      </w:r>
      <w:r w:rsidR="001A4769" w:rsidRPr="00503F6C">
        <w:rPr>
          <w:rFonts w:ascii="Times New Roman" w:hAnsi="Times New Roman" w:cs="Times New Roman"/>
        </w:rPr>
        <w:t>2020) opined</w:t>
      </w:r>
      <w:r w:rsidRPr="00503F6C">
        <w:rPr>
          <w:rFonts w:ascii="Times New Roman" w:hAnsi="Times New Roman" w:cs="Times New Roman"/>
        </w:rPr>
        <w:t xml:space="preserve"> that remittance partly compensates for the loss of skilled labour migration </w:t>
      </w:r>
      <w:r w:rsidR="004B1BBA" w:rsidRPr="00503F6C">
        <w:rPr>
          <w:rFonts w:ascii="Times New Roman" w:hAnsi="Times New Roman" w:cs="Times New Roman"/>
        </w:rPr>
        <w:t>to</w:t>
      </w:r>
      <w:r w:rsidRPr="00503F6C">
        <w:rPr>
          <w:rFonts w:ascii="Times New Roman" w:hAnsi="Times New Roman" w:cs="Times New Roman"/>
        </w:rPr>
        <w:t xml:space="preserve"> destination countries</w:t>
      </w:r>
      <w:r w:rsidR="004B1BBA" w:rsidRPr="00503F6C">
        <w:rPr>
          <w:rFonts w:ascii="Times New Roman" w:hAnsi="Times New Roman" w:cs="Times New Roman"/>
        </w:rPr>
        <w:t>. However</w:t>
      </w:r>
      <w:r w:rsidR="001A4769" w:rsidRPr="00503F6C">
        <w:rPr>
          <w:rFonts w:ascii="Times New Roman" w:hAnsi="Times New Roman" w:cs="Times New Roman"/>
        </w:rPr>
        <w:t>,</w:t>
      </w:r>
      <w:r w:rsidR="0087778B" w:rsidRPr="00503F6C">
        <w:rPr>
          <w:rFonts w:ascii="Times New Roman" w:hAnsi="Times New Roman" w:cs="Times New Roman"/>
        </w:rPr>
        <w:t xml:space="preserve"> remittances can have a negative </w:t>
      </w:r>
      <w:r w:rsidR="001A4769" w:rsidRPr="00503F6C">
        <w:rPr>
          <w:rFonts w:ascii="Times New Roman" w:hAnsi="Times New Roman" w:cs="Times New Roman"/>
        </w:rPr>
        <w:t>impact by</w:t>
      </w:r>
      <w:r w:rsidR="0087778B" w:rsidRPr="00503F6C">
        <w:rPr>
          <w:rFonts w:ascii="Times New Roman" w:hAnsi="Times New Roman" w:cs="Times New Roman"/>
        </w:rPr>
        <w:t xml:space="preserve"> contributing to decreasing labour supply in the home </w:t>
      </w:r>
      <w:r w:rsidR="00C221B5" w:rsidRPr="00503F6C">
        <w:rPr>
          <w:rFonts w:ascii="Times New Roman" w:hAnsi="Times New Roman" w:cs="Times New Roman"/>
        </w:rPr>
        <w:t>country (</w:t>
      </w:r>
      <w:r w:rsidR="009B447D" w:rsidRPr="00503F6C">
        <w:rPr>
          <w:rFonts w:ascii="Times New Roman" w:hAnsi="Times New Roman" w:cs="Times New Roman"/>
        </w:rPr>
        <w:t>Cazachevici</w:t>
      </w:r>
      <w:r w:rsidR="00ED34AC" w:rsidRPr="00503F6C">
        <w:rPr>
          <w:rFonts w:ascii="Times New Roman" w:hAnsi="Times New Roman" w:cs="Times New Roman"/>
        </w:rPr>
        <w:t xml:space="preserve"> et al. (2020</w:t>
      </w:r>
      <w:r w:rsidR="00AA036A" w:rsidRPr="00503F6C">
        <w:rPr>
          <w:rFonts w:ascii="Times New Roman" w:hAnsi="Times New Roman" w:cs="Times New Roman"/>
        </w:rPr>
        <w:t>)</w:t>
      </w:r>
      <w:r w:rsidR="001A4769" w:rsidRPr="00503F6C">
        <w:rPr>
          <w:rFonts w:ascii="Times New Roman" w:hAnsi="Times New Roman" w:cs="Times New Roman"/>
        </w:rPr>
        <w:t>.</w:t>
      </w:r>
      <w:r w:rsidR="006817F5" w:rsidRPr="00503F6C">
        <w:rPr>
          <w:rFonts w:ascii="Times New Roman" w:hAnsi="Times New Roman" w:cs="Times New Roman"/>
        </w:rPr>
        <w:t xml:space="preserve"> </w:t>
      </w:r>
      <w:r w:rsidR="007E1FA7" w:rsidRPr="00503F6C">
        <w:rPr>
          <w:rFonts w:ascii="Times New Roman" w:hAnsi="Times New Roman" w:cs="Times New Roman"/>
        </w:rPr>
        <w:t>In t</w:t>
      </w:r>
      <w:r w:rsidR="00CC523C" w:rsidRPr="00503F6C">
        <w:rPr>
          <w:rFonts w:ascii="Times New Roman" w:hAnsi="Times New Roman" w:cs="Times New Roman"/>
        </w:rPr>
        <w:t xml:space="preserve">he past, the debate on migration focused on the effect of migration on destination </w:t>
      </w:r>
      <w:r w:rsidRPr="00503F6C">
        <w:rPr>
          <w:rFonts w:ascii="Times New Roman" w:hAnsi="Times New Roman" w:cs="Times New Roman"/>
        </w:rPr>
        <w:t>countries (Georgiana, 2018;</w:t>
      </w:r>
      <w:r w:rsidR="00CC523C" w:rsidRPr="00503F6C">
        <w:rPr>
          <w:rFonts w:ascii="Times New Roman" w:hAnsi="Times New Roman" w:cs="Times New Roman"/>
        </w:rPr>
        <w:t xml:space="preserve"> </w:t>
      </w:r>
      <w:r w:rsidRPr="00503F6C">
        <w:rPr>
          <w:rFonts w:ascii="Times New Roman" w:hAnsi="Times New Roman" w:cs="Times New Roman"/>
        </w:rPr>
        <w:t>Oladipo, 2020).</w:t>
      </w:r>
      <w:r w:rsidR="00CC523C" w:rsidRPr="00503F6C">
        <w:rPr>
          <w:rFonts w:ascii="Times New Roman" w:hAnsi="Times New Roman" w:cs="Times New Roman"/>
        </w:rPr>
        <w:t xml:space="preserve"> However, attention has been shifted </w:t>
      </w:r>
      <w:r w:rsidRPr="00503F6C">
        <w:rPr>
          <w:rFonts w:ascii="Times New Roman" w:hAnsi="Times New Roman" w:cs="Times New Roman"/>
        </w:rPr>
        <w:t>to</w:t>
      </w:r>
      <w:r w:rsidR="00CC523C" w:rsidRPr="00503F6C">
        <w:rPr>
          <w:rFonts w:ascii="Times New Roman" w:hAnsi="Times New Roman" w:cs="Times New Roman"/>
        </w:rPr>
        <w:t xml:space="preserve"> the countries of origin, focusing on the relationship between migration and economic </w:t>
      </w:r>
      <w:r w:rsidRPr="00503F6C">
        <w:rPr>
          <w:rFonts w:ascii="Times New Roman" w:hAnsi="Times New Roman" w:cs="Times New Roman"/>
        </w:rPr>
        <w:t>growth (</w:t>
      </w:r>
      <w:r w:rsidR="00D36BCC" w:rsidRPr="00503F6C">
        <w:rPr>
          <w:rFonts w:ascii="Times New Roman" w:hAnsi="Times New Roman" w:cs="Times New Roman"/>
        </w:rPr>
        <w:t>Islam, 2022; Oladipo</w:t>
      </w:r>
      <w:r w:rsidR="00CC523C" w:rsidRPr="00503F6C">
        <w:rPr>
          <w:rFonts w:ascii="Times New Roman" w:hAnsi="Times New Roman" w:cs="Times New Roman"/>
        </w:rPr>
        <w:t>, 2020</w:t>
      </w:r>
      <w:r w:rsidRPr="00503F6C">
        <w:rPr>
          <w:rFonts w:ascii="Times New Roman" w:hAnsi="Times New Roman" w:cs="Times New Roman"/>
        </w:rPr>
        <w:t>). This has led</w:t>
      </w:r>
      <w:r w:rsidR="00D36BCC" w:rsidRPr="00503F6C">
        <w:rPr>
          <w:rFonts w:ascii="Times New Roman" w:hAnsi="Times New Roman" w:cs="Times New Roman"/>
        </w:rPr>
        <w:t xml:space="preserve"> to many</w:t>
      </w:r>
      <w:r w:rsidRPr="00503F6C">
        <w:rPr>
          <w:rFonts w:ascii="Times New Roman" w:hAnsi="Times New Roman" w:cs="Times New Roman"/>
        </w:rPr>
        <w:t xml:space="preserve"> empirical studies on the impact </w:t>
      </w:r>
      <w:r w:rsidR="00D36BCC" w:rsidRPr="00503F6C">
        <w:rPr>
          <w:rFonts w:ascii="Times New Roman" w:hAnsi="Times New Roman" w:cs="Times New Roman"/>
        </w:rPr>
        <w:t>of personal</w:t>
      </w:r>
      <w:r w:rsidRPr="00503F6C">
        <w:rPr>
          <w:rFonts w:ascii="Times New Roman" w:hAnsi="Times New Roman" w:cs="Times New Roman"/>
        </w:rPr>
        <w:t xml:space="preserve"> remittance on economic growth</w:t>
      </w:r>
      <w:r w:rsidR="00D36BCC" w:rsidRPr="00503F6C">
        <w:rPr>
          <w:rFonts w:ascii="Times New Roman" w:hAnsi="Times New Roman" w:cs="Times New Roman"/>
        </w:rPr>
        <w:t>, and these studies have provided divergent results (Meyer</w:t>
      </w:r>
      <w:r w:rsidRPr="00503F6C">
        <w:rPr>
          <w:rFonts w:ascii="Times New Roman" w:hAnsi="Times New Roman" w:cs="Times New Roman"/>
        </w:rPr>
        <w:t xml:space="preserve"> &amp; Shera, 2017)</w:t>
      </w:r>
    </w:p>
    <w:p w14:paraId="06354284" w14:textId="77777777" w:rsidR="005A3A73" w:rsidRPr="00503F6C" w:rsidRDefault="009A71CA" w:rsidP="00503F6C">
      <w:pPr>
        <w:spacing w:line="360" w:lineRule="auto"/>
        <w:jc w:val="both"/>
        <w:rPr>
          <w:rFonts w:ascii="Times New Roman" w:hAnsi="Times New Roman" w:cs="Times New Roman"/>
          <w:b/>
          <w:bCs/>
        </w:rPr>
      </w:pPr>
      <w:r w:rsidRPr="00503F6C">
        <w:rPr>
          <w:rFonts w:ascii="Times New Roman" w:hAnsi="Times New Roman" w:cs="Times New Roman"/>
          <w:b/>
          <w:bCs/>
        </w:rPr>
        <w:t xml:space="preserve">1.1 Overview of Remittances in Nigeria </w:t>
      </w:r>
    </w:p>
    <w:p w14:paraId="44458577" w14:textId="77777777" w:rsidR="00CC60D1"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Nigeria is among the </w:t>
      </w:r>
      <w:r w:rsidR="00F65E2C" w:rsidRPr="00503F6C">
        <w:rPr>
          <w:rFonts w:ascii="Times New Roman" w:hAnsi="Times New Roman" w:cs="Times New Roman"/>
        </w:rPr>
        <w:t>countries with the highest</w:t>
      </w:r>
      <w:r w:rsidRPr="00503F6C">
        <w:rPr>
          <w:rFonts w:ascii="Times New Roman" w:hAnsi="Times New Roman" w:cs="Times New Roman"/>
        </w:rPr>
        <w:t xml:space="preserve"> </w:t>
      </w:r>
      <w:r w:rsidR="00D10321" w:rsidRPr="00503F6C">
        <w:rPr>
          <w:rFonts w:ascii="Times New Roman" w:hAnsi="Times New Roman" w:cs="Times New Roman"/>
        </w:rPr>
        <w:t xml:space="preserve">migrant </w:t>
      </w:r>
      <w:r w:rsidR="00490566" w:rsidRPr="00503F6C">
        <w:rPr>
          <w:rFonts w:ascii="Times New Roman" w:hAnsi="Times New Roman" w:cs="Times New Roman"/>
        </w:rPr>
        <w:t>worker remittance</w:t>
      </w:r>
      <w:r w:rsidRPr="00503F6C">
        <w:rPr>
          <w:rFonts w:ascii="Times New Roman" w:hAnsi="Times New Roman" w:cs="Times New Roman"/>
        </w:rPr>
        <w:t xml:space="preserve"> recipients in the </w:t>
      </w:r>
      <w:r w:rsidR="009B5B07" w:rsidRPr="00503F6C">
        <w:rPr>
          <w:rFonts w:ascii="Times New Roman" w:hAnsi="Times New Roman" w:cs="Times New Roman"/>
        </w:rPr>
        <w:t>world, and</w:t>
      </w:r>
      <w:r w:rsidR="00910AEC" w:rsidRPr="00503F6C">
        <w:rPr>
          <w:rFonts w:ascii="Times New Roman" w:hAnsi="Times New Roman" w:cs="Times New Roman"/>
        </w:rPr>
        <w:t xml:space="preserve"> </w:t>
      </w:r>
      <w:r w:rsidR="00F65E2C" w:rsidRPr="00503F6C">
        <w:rPr>
          <w:rFonts w:ascii="Times New Roman" w:hAnsi="Times New Roman" w:cs="Times New Roman"/>
        </w:rPr>
        <w:t>these inflows</w:t>
      </w:r>
      <w:r w:rsidR="00A90DA9" w:rsidRPr="00503F6C">
        <w:rPr>
          <w:rFonts w:ascii="Times New Roman" w:hAnsi="Times New Roman" w:cs="Times New Roman"/>
        </w:rPr>
        <w:t xml:space="preserve"> have been </w:t>
      </w:r>
      <w:r w:rsidR="00F65E2C" w:rsidRPr="00503F6C">
        <w:rPr>
          <w:rFonts w:ascii="Times New Roman" w:hAnsi="Times New Roman" w:cs="Times New Roman"/>
        </w:rPr>
        <w:t>increasing</w:t>
      </w:r>
      <w:r w:rsidR="00A90DA9" w:rsidRPr="00503F6C">
        <w:rPr>
          <w:rFonts w:ascii="Times New Roman" w:hAnsi="Times New Roman" w:cs="Times New Roman"/>
        </w:rPr>
        <w:t xml:space="preserve"> </w:t>
      </w:r>
      <w:r w:rsidR="00F65E2C" w:rsidRPr="00503F6C">
        <w:rPr>
          <w:rFonts w:ascii="Times New Roman" w:hAnsi="Times New Roman" w:cs="Times New Roman"/>
        </w:rPr>
        <w:t>significantly</w:t>
      </w:r>
      <w:r w:rsidR="00A90DA9" w:rsidRPr="00503F6C">
        <w:rPr>
          <w:rFonts w:ascii="Times New Roman" w:hAnsi="Times New Roman" w:cs="Times New Roman"/>
        </w:rPr>
        <w:t xml:space="preserve"> in Nigeria over the past few </w:t>
      </w:r>
      <w:r w:rsidR="00F65E2C" w:rsidRPr="00503F6C">
        <w:rPr>
          <w:rFonts w:ascii="Times New Roman" w:hAnsi="Times New Roman" w:cs="Times New Roman"/>
        </w:rPr>
        <w:t>years (Adeseye</w:t>
      </w:r>
      <w:r w:rsidR="00910AEC" w:rsidRPr="00503F6C">
        <w:rPr>
          <w:rFonts w:ascii="Times New Roman" w:hAnsi="Times New Roman" w:cs="Times New Roman"/>
        </w:rPr>
        <w:t>, 2021).</w:t>
      </w:r>
      <w:r w:rsidR="009B5B07" w:rsidRPr="00503F6C">
        <w:rPr>
          <w:rFonts w:ascii="Times New Roman" w:hAnsi="Times New Roman" w:cs="Times New Roman"/>
        </w:rPr>
        <w:t xml:space="preserve"> </w:t>
      </w:r>
      <w:r w:rsidR="00F65E2C" w:rsidRPr="00503F6C">
        <w:rPr>
          <w:rFonts w:ascii="Times New Roman" w:hAnsi="Times New Roman" w:cs="Times New Roman"/>
        </w:rPr>
        <w:t xml:space="preserve">In 2023, </w:t>
      </w:r>
      <w:r w:rsidRPr="00503F6C">
        <w:rPr>
          <w:rFonts w:ascii="Times New Roman" w:hAnsi="Times New Roman" w:cs="Times New Roman"/>
        </w:rPr>
        <w:t xml:space="preserve">remittances to Nigeria stood at $19.5 </w:t>
      </w:r>
      <w:r w:rsidR="009B5B07" w:rsidRPr="00503F6C">
        <w:rPr>
          <w:rFonts w:ascii="Times New Roman" w:hAnsi="Times New Roman" w:cs="Times New Roman"/>
        </w:rPr>
        <w:t>billion, ranking 11</w:t>
      </w:r>
      <w:r w:rsidR="009B5B07" w:rsidRPr="00503F6C">
        <w:rPr>
          <w:rFonts w:ascii="Times New Roman" w:hAnsi="Times New Roman" w:cs="Times New Roman"/>
          <w:vertAlign w:val="superscript"/>
        </w:rPr>
        <w:t>th</w:t>
      </w:r>
      <w:r w:rsidR="009B5B07" w:rsidRPr="00503F6C">
        <w:rPr>
          <w:rFonts w:ascii="Times New Roman" w:hAnsi="Times New Roman" w:cs="Times New Roman"/>
        </w:rPr>
        <w:t xml:space="preserve"> in </w:t>
      </w:r>
      <w:r w:rsidR="0011374E" w:rsidRPr="00503F6C">
        <w:rPr>
          <w:rFonts w:ascii="Times New Roman" w:hAnsi="Times New Roman" w:cs="Times New Roman"/>
        </w:rPr>
        <w:t>the world, second</w:t>
      </w:r>
      <w:r w:rsidR="00F65E2C" w:rsidRPr="00503F6C">
        <w:rPr>
          <w:rFonts w:ascii="Times New Roman" w:hAnsi="Times New Roman" w:cs="Times New Roman"/>
        </w:rPr>
        <w:t xml:space="preserve"> to Egypt in Africa and number one in Sub-Saharan Africa and accounting for about 35</w:t>
      </w:r>
      <w:r w:rsidRPr="00503F6C">
        <w:rPr>
          <w:rFonts w:ascii="Times New Roman" w:hAnsi="Times New Roman" w:cs="Times New Roman"/>
        </w:rPr>
        <w:t xml:space="preserve"> </w:t>
      </w:r>
      <w:r w:rsidR="00F65E2C" w:rsidRPr="00503F6C">
        <w:rPr>
          <w:rFonts w:ascii="Times New Roman" w:hAnsi="Times New Roman" w:cs="Times New Roman"/>
        </w:rPr>
        <w:t>per cent of total remittances in Sub-Saharan Saharan Afric</w:t>
      </w:r>
      <w:r w:rsidR="0011374E">
        <w:rPr>
          <w:rFonts w:ascii="Times New Roman" w:hAnsi="Times New Roman" w:cs="Times New Roman"/>
        </w:rPr>
        <w:t>a.</w:t>
      </w:r>
      <w:r w:rsidR="009B5B07" w:rsidRPr="00503F6C">
        <w:rPr>
          <w:rFonts w:ascii="Times New Roman" w:hAnsi="Times New Roman" w:cs="Times New Roman"/>
        </w:rPr>
        <w:t xml:space="preserve"> </w:t>
      </w:r>
      <w:r w:rsidR="00F65E2C" w:rsidRPr="00503F6C">
        <w:rPr>
          <w:rFonts w:ascii="Times New Roman" w:hAnsi="Times New Roman" w:cs="Times New Roman"/>
        </w:rPr>
        <w:t xml:space="preserve">Remittances to Nigeria have become an important foreign exchange earner in recent </w:t>
      </w:r>
      <w:r w:rsidR="009B5B07" w:rsidRPr="00503F6C">
        <w:rPr>
          <w:rFonts w:ascii="Times New Roman" w:hAnsi="Times New Roman" w:cs="Times New Roman"/>
        </w:rPr>
        <w:t>years (World Bank, 2024)</w:t>
      </w:r>
      <w:r w:rsidR="00FC0A4B" w:rsidRPr="00503F6C">
        <w:rPr>
          <w:rFonts w:ascii="Times New Roman" w:hAnsi="Times New Roman" w:cs="Times New Roman"/>
        </w:rPr>
        <w:t xml:space="preserve">. The change in demographics </w:t>
      </w:r>
      <w:r w:rsidR="00DD1F97" w:rsidRPr="00503F6C">
        <w:rPr>
          <w:rFonts w:ascii="Times New Roman" w:hAnsi="Times New Roman" w:cs="Times New Roman"/>
        </w:rPr>
        <w:t>makes migration</w:t>
      </w:r>
      <w:r w:rsidR="00FC0A4B" w:rsidRPr="00503F6C">
        <w:rPr>
          <w:rFonts w:ascii="Times New Roman" w:hAnsi="Times New Roman" w:cs="Times New Roman"/>
        </w:rPr>
        <w:t xml:space="preserve"> even more essential for countries at all income </w:t>
      </w:r>
      <w:r w:rsidR="00DD1F97" w:rsidRPr="00503F6C">
        <w:rPr>
          <w:rFonts w:ascii="Times New Roman" w:hAnsi="Times New Roman" w:cs="Times New Roman"/>
        </w:rPr>
        <w:t>levels (</w:t>
      </w:r>
      <w:r w:rsidR="00FC0A4B" w:rsidRPr="00503F6C">
        <w:rPr>
          <w:rFonts w:ascii="Times New Roman" w:hAnsi="Times New Roman" w:cs="Times New Roman"/>
        </w:rPr>
        <w:t>World Bank, 2023</w:t>
      </w:r>
      <w:r w:rsidR="00DD1F97" w:rsidRPr="00503F6C">
        <w:rPr>
          <w:rFonts w:ascii="Times New Roman" w:hAnsi="Times New Roman" w:cs="Times New Roman"/>
        </w:rPr>
        <w:t>). This</w:t>
      </w:r>
      <w:r w:rsidR="00FC0A4B" w:rsidRPr="00503F6C">
        <w:rPr>
          <w:rFonts w:ascii="Times New Roman" w:hAnsi="Times New Roman" w:cs="Times New Roman"/>
        </w:rPr>
        <w:t xml:space="preserve"> </w:t>
      </w:r>
      <w:r w:rsidR="008D7DBB" w:rsidRPr="00503F6C">
        <w:rPr>
          <w:rFonts w:ascii="Times New Roman" w:hAnsi="Times New Roman" w:cs="Times New Roman"/>
        </w:rPr>
        <w:t xml:space="preserve">is </w:t>
      </w:r>
      <w:r w:rsidR="00FC0A4B" w:rsidRPr="00503F6C">
        <w:rPr>
          <w:rFonts w:ascii="Times New Roman" w:hAnsi="Times New Roman" w:cs="Times New Roman"/>
        </w:rPr>
        <w:t xml:space="preserve">because countries with high income are ageing fast; many people in the middle -income countries are growing older before they become </w:t>
      </w:r>
      <w:r w:rsidR="004B1BBA" w:rsidRPr="00503F6C">
        <w:rPr>
          <w:rFonts w:ascii="Times New Roman" w:hAnsi="Times New Roman" w:cs="Times New Roman"/>
        </w:rPr>
        <w:t>rich, and</w:t>
      </w:r>
      <w:r w:rsidR="00FC0A4B" w:rsidRPr="00503F6C">
        <w:rPr>
          <w:rFonts w:ascii="Times New Roman" w:hAnsi="Times New Roman" w:cs="Times New Roman"/>
        </w:rPr>
        <w:t xml:space="preserve"> the low–income countries have a booming and young population.</w:t>
      </w:r>
      <w:r w:rsidR="008D7DBB" w:rsidRPr="00503F6C">
        <w:rPr>
          <w:rFonts w:ascii="Times New Roman" w:hAnsi="Times New Roman" w:cs="Times New Roman"/>
        </w:rPr>
        <w:t xml:space="preserve"> Young people from low-income countries are</w:t>
      </w:r>
      <w:r w:rsidR="00FC0A4B" w:rsidRPr="00503F6C">
        <w:rPr>
          <w:rFonts w:ascii="Times New Roman" w:hAnsi="Times New Roman" w:cs="Times New Roman"/>
        </w:rPr>
        <w:t xml:space="preserve"> entering the workforce without the skills </w:t>
      </w:r>
      <w:r w:rsidR="008D7DBB" w:rsidRPr="00503F6C">
        <w:rPr>
          <w:rFonts w:ascii="Times New Roman" w:hAnsi="Times New Roman" w:cs="Times New Roman"/>
        </w:rPr>
        <w:t>required</w:t>
      </w:r>
      <w:r w:rsidR="00FC0A4B" w:rsidRPr="00503F6C">
        <w:rPr>
          <w:rFonts w:ascii="Times New Roman" w:hAnsi="Times New Roman" w:cs="Times New Roman"/>
        </w:rPr>
        <w:t xml:space="preserve"> in the global </w:t>
      </w:r>
      <w:r w:rsidR="00DD1F97" w:rsidRPr="00503F6C">
        <w:rPr>
          <w:rFonts w:ascii="Times New Roman" w:hAnsi="Times New Roman" w:cs="Times New Roman"/>
        </w:rPr>
        <w:t>labour market</w:t>
      </w:r>
      <w:r w:rsidR="008D7DBB" w:rsidRPr="00503F6C">
        <w:rPr>
          <w:rFonts w:ascii="Times New Roman" w:hAnsi="Times New Roman" w:cs="Times New Roman"/>
        </w:rPr>
        <w:t xml:space="preserve">, </w:t>
      </w:r>
      <w:r w:rsidR="00DD1F97" w:rsidRPr="00503F6C">
        <w:rPr>
          <w:rFonts w:ascii="Times New Roman" w:hAnsi="Times New Roman" w:cs="Times New Roman"/>
        </w:rPr>
        <w:t>and these trends will spark global competition for workers (World</w:t>
      </w:r>
      <w:r w:rsidR="008D7DBB" w:rsidRPr="00503F6C">
        <w:rPr>
          <w:rFonts w:ascii="Times New Roman" w:hAnsi="Times New Roman" w:cs="Times New Roman"/>
        </w:rPr>
        <w:t xml:space="preserve"> Bank, 202</w:t>
      </w:r>
      <w:r w:rsidR="006F1A43">
        <w:rPr>
          <w:rFonts w:ascii="Times New Roman" w:hAnsi="Times New Roman" w:cs="Times New Roman"/>
        </w:rPr>
        <w:t>4</w:t>
      </w:r>
      <w:r w:rsidR="008D7DBB" w:rsidRPr="00503F6C">
        <w:rPr>
          <w:rFonts w:ascii="Times New Roman" w:hAnsi="Times New Roman" w:cs="Times New Roman"/>
        </w:rPr>
        <w:t>).</w:t>
      </w:r>
    </w:p>
    <w:p w14:paraId="22BB8225" w14:textId="77777777" w:rsidR="0011374E" w:rsidRDefault="0011374E" w:rsidP="0011374E">
      <w:pPr>
        <w:spacing w:after="0" w:line="360" w:lineRule="auto"/>
        <w:jc w:val="both"/>
        <w:rPr>
          <w:rFonts w:ascii="Times New Roman" w:hAnsi="Times New Roman" w:cs="Times New Roman"/>
          <w:b/>
          <w:bCs/>
        </w:rPr>
      </w:pPr>
    </w:p>
    <w:p w14:paraId="0E7C7879" w14:textId="77777777" w:rsidR="00F47A96" w:rsidRPr="0011374E" w:rsidRDefault="009A71CA" w:rsidP="0011374E">
      <w:pPr>
        <w:spacing w:after="0" w:line="360" w:lineRule="auto"/>
        <w:jc w:val="both"/>
        <w:rPr>
          <w:rFonts w:ascii="Times New Roman" w:hAnsi="Times New Roman" w:cs="Times New Roman"/>
          <w:b/>
          <w:bCs/>
        </w:rPr>
      </w:pPr>
      <w:r w:rsidRPr="0011374E">
        <w:rPr>
          <w:rFonts w:ascii="Times New Roman" w:hAnsi="Times New Roman" w:cs="Times New Roman"/>
          <w:b/>
          <w:bCs/>
        </w:rPr>
        <w:t xml:space="preserve">Table 1: Top </w:t>
      </w:r>
      <w:r w:rsidR="0011374E" w:rsidRPr="0011374E">
        <w:rPr>
          <w:rFonts w:ascii="Times New Roman" w:hAnsi="Times New Roman" w:cs="Times New Roman"/>
          <w:b/>
          <w:bCs/>
        </w:rPr>
        <w:t>Fifteen Countries</w:t>
      </w:r>
      <w:r w:rsidRPr="0011374E">
        <w:rPr>
          <w:rFonts w:ascii="Times New Roman" w:hAnsi="Times New Roman" w:cs="Times New Roman"/>
          <w:b/>
          <w:bCs/>
        </w:rPr>
        <w:t xml:space="preserve"> by Remittance in 2023</w:t>
      </w:r>
    </w:p>
    <w:tbl>
      <w:tblPr>
        <w:tblW w:w="9355" w:type="dxa"/>
        <w:tblLook w:val="04A0" w:firstRow="1" w:lastRow="0" w:firstColumn="1" w:lastColumn="0" w:noHBand="0" w:noVBand="1"/>
      </w:tblPr>
      <w:tblGrid>
        <w:gridCol w:w="1740"/>
        <w:gridCol w:w="3700"/>
        <w:gridCol w:w="3915"/>
      </w:tblGrid>
      <w:tr w:rsidR="00E24A6D" w14:paraId="7BB48756" w14:textId="77777777" w:rsidTr="0011374E">
        <w:trPr>
          <w:trHeight w:val="300"/>
        </w:trPr>
        <w:tc>
          <w:tcPr>
            <w:tcW w:w="1740" w:type="dxa"/>
            <w:tcBorders>
              <w:top w:val="single" w:sz="4" w:space="0" w:color="auto"/>
              <w:left w:val="single" w:sz="4" w:space="0" w:color="auto"/>
              <w:bottom w:val="single" w:sz="4" w:space="0" w:color="auto"/>
              <w:right w:val="single" w:sz="4" w:space="0" w:color="auto"/>
            </w:tcBorders>
            <w:noWrap/>
            <w:vAlign w:val="bottom"/>
            <w:hideMark/>
          </w:tcPr>
          <w:p w14:paraId="582661D1" w14:textId="77777777" w:rsidR="00F47A96" w:rsidRPr="00503F6C" w:rsidRDefault="009A71CA" w:rsidP="0011374E">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S/N</w:t>
            </w:r>
          </w:p>
        </w:tc>
        <w:tc>
          <w:tcPr>
            <w:tcW w:w="3700" w:type="dxa"/>
            <w:tcBorders>
              <w:top w:val="single" w:sz="4" w:space="0" w:color="auto"/>
              <w:left w:val="nil"/>
              <w:bottom w:val="single" w:sz="4" w:space="0" w:color="auto"/>
              <w:right w:val="single" w:sz="4" w:space="0" w:color="auto"/>
            </w:tcBorders>
            <w:noWrap/>
            <w:vAlign w:val="bottom"/>
            <w:hideMark/>
          </w:tcPr>
          <w:p w14:paraId="5383810A" w14:textId="77777777" w:rsidR="00F47A96" w:rsidRPr="00503F6C" w:rsidRDefault="009A71CA" w:rsidP="0011374E">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 xml:space="preserve">Country </w:t>
            </w:r>
          </w:p>
        </w:tc>
        <w:tc>
          <w:tcPr>
            <w:tcW w:w="3915" w:type="dxa"/>
            <w:tcBorders>
              <w:top w:val="single" w:sz="4" w:space="0" w:color="auto"/>
              <w:left w:val="nil"/>
              <w:bottom w:val="single" w:sz="4" w:space="0" w:color="auto"/>
              <w:right w:val="single" w:sz="4" w:space="0" w:color="auto"/>
            </w:tcBorders>
            <w:noWrap/>
            <w:vAlign w:val="bottom"/>
            <w:hideMark/>
          </w:tcPr>
          <w:p w14:paraId="76FA4EF8" w14:textId="77777777" w:rsidR="00F47A96" w:rsidRPr="00503F6C" w:rsidRDefault="009A71CA" w:rsidP="0011374E">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 xml:space="preserve">Immigrant </w:t>
            </w:r>
            <w:r w:rsidR="0011374E" w:rsidRPr="00503F6C">
              <w:rPr>
                <w:rFonts w:ascii="Times New Roman" w:eastAsia="Times New Roman" w:hAnsi="Times New Roman" w:cs="Times New Roman"/>
                <w:color w:val="000000"/>
                <w:kern w:val="0"/>
                <w14:ligatures w14:val="none"/>
              </w:rPr>
              <w:t>Remittances (USD) Billions</w:t>
            </w:r>
          </w:p>
        </w:tc>
      </w:tr>
      <w:tr w:rsidR="00E24A6D" w14:paraId="6E716F85"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57B8E933" w14:textId="77777777" w:rsidR="00F47A96" w:rsidRPr="00503F6C" w:rsidRDefault="009A71CA" w:rsidP="0011374E">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w:t>
            </w:r>
          </w:p>
        </w:tc>
        <w:tc>
          <w:tcPr>
            <w:tcW w:w="3700" w:type="dxa"/>
            <w:tcBorders>
              <w:top w:val="nil"/>
              <w:left w:val="nil"/>
              <w:bottom w:val="single" w:sz="4" w:space="0" w:color="auto"/>
              <w:right w:val="single" w:sz="4" w:space="0" w:color="auto"/>
            </w:tcBorders>
            <w:noWrap/>
            <w:vAlign w:val="bottom"/>
            <w:hideMark/>
          </w:tcPr>
          <w:p w14:paraId="6BD72636" w14:textId="77777777" w:rsidR="00F47A96" w:rsidRPr="00503F6C" w:rsidRDefault="009A71CA" w:rsidP="0011374E">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India</w:t>
            </w:r>
          </w:p>
        </w:tc>
        <w:tc>
          <w:tcPr>
            <w:tcW w:w="3915" w:type="dxa"/>
            <w:tcBorders>
              <w:top w:val="nil"/>
              <w:left w:val="nil"/>
              <w:bottom w:val="single" w:sz="4" w:space="0" w:color="auto"/>
              <w:right w:val="single" w:sz="4" w:space="0" w:color="auto"/>
            </w:tcBorders>
            <w:noWrap/>
            <w:vAlign w:val="bottom"/>
            <w:hideMark/>
          </w:tcPr>
          <w:p w14:paraId="37E1D9E8" w14:textId="77777777" w:rsidR="00F47A96" w:rsidRPr="00503F6C" w:rsidRDefault="009A71CA" w:rsidP="0011374E">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120,000</w:t>
            </w:r>
          </w:p>
        </w:tc>
      </w:tr>
      <w:tr w:rsidR="00CB00C1" w14:paraId="5481F3F0"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tcPr>
          <w:p w14:paraId="3DE5387A" w14:textId="2FD1987D" w:rsidR="00CB00C1" w:rsidRPr="00503F6C" w:rsidRDefault="00CB00C1" w:rsidP="0011374E">
            <w:pPr>
              <w:spacing w:after="0" w:line="360" w:lineRule="auto"/>
              <w:ind w:firstLineChars="300"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2</w:t>
            </w:r>
          </w:p>
        </w:tc>
        <w:tc>
          <w:tcPr>
            <w:tcW w:w="3700" w:type="dxa"/>
            <w:tcBorders>
              <w:top w:val="nil"/>
              <w:left w:val="nil"/>
              <w:bottom w:val="single" w:sz="4" w:space="0" w:color="auto"/>
              <w:right w:val="single" w:sz="4" w:space="0" w:color="auto"/>
            </w:tcBorders>
            <w:noWrap/>
            <w:vAlign w:val="bottom"/>
          </w:tcPr>
          <w:p w14:paraId="1DB474C4" w14:textId="2B1431B4" w:rsidR="00CB00C1" w:rsidRPr="00503F6C" w:rsidRDefault="00CB00C1" w:rsidP="0011374E">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Mexico</w:t>
            </w:r>
          </w:p>
        </w:tc>
        <w:tc>
          <w:tcPr>
            <w:tcW w:w="3915" w:type="dxa"/>
            <w:tcBorders>
              <w:top w:val="nil"/>
              <w:left w:val="nil"/>
              <w:bottom w:val="single" w:sz="4" w:space="0" w:color="auto"/>
              <w:right w:val="single" w:sz="4" w:space="0" w:color="auto"/>
            </w:tcBorders>
            <w:noWrap/>
            <w:vAlign w:val="bottom"/>
          </w:tcPr>
          <w:p w14:paraId="2EF051E1" w14:textId="4077B9F5" w:rsidR="00CB00C1" w:rsidRPr="00503F6C" w:rsidRDefault="00CB00C1" w:rsidP="0011374E">
            <w:pPr>
              <w:spacing w:after="0" w:line="360" w:lineRule="auto"/>
              <w:jc w:val="right"/>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66,200</w:t>
            </w:r>
          </w:p>
        </w:tc>
      </w:tr>
      <w:tr w:rsidR="00CB00C1" w14:paraId="2FBE3A5C"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tcPr>
          <w:p w14:paraId="3B2B3B21" w14:textId="4C25D534" w:rsidR="00CB00C1" w:rsidRPr="00503F6C" w:rsidRDefault="00CB00C1" w:rsidP="0011374E">
            <w:pPr>
              <w:spacing w:after="0" w:line="360" w:lineRule="auto"/>
              <w:ind w:firstLineChars="300"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w:t>
            </w:r>
          </w:p>
        </w:tc>
        <w:tc>
          <w:tcPr>
            <w:tcW w:w="3700" w:type="dxa"/>
            <w:tcBorders>
              <w:top w:val="nil"/>
              <w:left w:val="nil"/>
              <w:bottom w:val="single" w:sz="4" w:space="0" w:color="auto"/>
              <w:right w:val="single" w:sz="4" w:space="0" w:color="auto"/>
            </w:tcBorders>
            <w:noWrap/>
            <w:vAlign w:val="bottom"/>
          </w:tcPr>
          <w:p w14:paraId="04883762" w14:textId="2A9F1263" w:rsidR="00CB00C1" w:rsidRPr="00503F6C" w:rsidRDefault="00CB00C1" w:rsidP="0011374E">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Philippines</w:t>
            </w:r>
          </w:p>
        </w:tc>
        <w:tc>
          <w:tcPr>
            <w:tcW w:w="3915" w:type="dxa"/>
            <w:tcBorders>
              <w:top w:val="nil"/>
              <w:left w:val="nil"/>
              <w:bottom w:val="single" w:sz="4" w:space="0" w:color="auto"/>
              <w:right w:val="single" w:sz="4" w:space="0" w:color="auto"/>
            </w:tcBorders>
            <w:noWrap/>
            <w:vAlign w:val="bottom"/>
          </w:tcPr>
          <w:p w14:paraId="78C16EA2" w14:textId="6FDF51C2" w:rsidR="00CB00C1" w:rsidRPr="00503F6C" w:rsidRDefault="00CB00C1" w:rsidP="0011374E">
            <w:pPr>
              <w:spacing w:after="0" w:line="360" w:lineRule="auto"/>
              <w:jc w:val="right"/>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39,096</w:t>
            </w:r>
          </w:p>
        </w:tc>
      </w:tr>
      <w:tr w:rsidR="00E24A6D" w14:paraId="3A890DBE"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73A25FE0"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4</w:t>
            </w:r>
          </w:p>
        </w:tc>
        <w:tc>
          <w:tcPr>
            <w:tcW w:w="3700" w:type="dxa"/>
            <w:tcBorders>
              <w:top w:val="nil"/>
              <w:left w:val="nil"/>
              <w:bottom w:val="single" w:sz="4" w:space="0" w:color="auto"/>
              <w:right w:val="single" w:sz="4" w:space="0" w:color="auto"/>
            </w:tcBorders>
            <w:noWrap/>
            <w:vAlign w:val="bottom"/>
            <w:hideMark/>
          </w:tcPr>
          <w:p w14:paraId="37451ACC"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France</w:t>
            </w:r>
          </w:p>
        </w:tc>
        <w:tc>
          <w:tcPr>
            <w:tcW w:w="3915" w:type="dxa"/>
            <w:tcBorders>
              <w:top w:val="nil"/>
              <w:left w:val="nil"/>
              <w:bottom w:val="single" w:sz="4" w:space="0" w:color="auto"/>
              <w:right w:val="single" w:sz="4" w:space="0" w:color="auto"/>
            </w:tcBorders>
            <w:noWrap/>
            <w:vAlign w:val="bottom"/>
            <w:hideMark/>
          </w:tcPr>
          <w:p w14:paraId="7121D8DA"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36,909</w:t>
            </w:r>
          </w:p>
        </w:tc>
      </w:tr>
      <w:tr w:rsidR="00E24A6D" w14:paraId="524DBDD0"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36E11741"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5</w:t>
            </w:r>
          </w:p>
        </w:tc>
        <w:tc>
          <w:tcPr>
            <w:tcW w:w="3700" w:type="dxa"/>
            <w:tcBorders>
              <w:top w:val="nil"/>
              <w:left w:val="nil"/>
              <w:bottom w:val="single" w:sz="4" w:space="0" w:color="auto"/>
              <w:right w:val="single" w:sz="4" w:space="0" w:color="auto"/>
            </w:tcBorders>
            <w:noWrap/>
            <w:vAlign w:val="bottom"/>
            <w:hideMark/>
          </w:tcPr>
          <w:p w14:paraId="7445DB4C"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Pakistan</w:t>
            </w:r>
          </w:p>
        </w:tc>
        <w:tc>
          <w:tcPr>
            <w:tcW w:w="3915" w:type="dxa"/>
            <w:tcBorders>
              <w:top w:val="nil"/>
              <w:left w:val="nil"/>
              <w:bottom w:val="single" w:sz="4" w:space="0" w:color="auto"/>
              <w:right w:val="single" w:sz="4" w:space="0" w:color="auto"/>
            </w:tcBorders>
            <w:noWrap/>
            <w:vAlign w:val="bottom"/>
            <w:hideMark/>
          </w:tcPr>
          <w:p w14:paraId="36FAE5C6"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34.914</w:t>
            </w:r>
          </w:p>
        </w:tc>
      </w:tr>
      <w:tr w:rsidR="00E24A6D" w14:paraId="387EDD37"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0B77A916"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6</w:t>
            </w:r>
          </w:p>
        </w:tc>
        <w:tc>
          <w:tcPr>
            <w:tcW w:w="3700" w:type="dxa"/>
            <w:tcBorders>
              <w:top w:val="nil"/>
              <w:left w:val="nil"/>
              <w:bottom w:val="single" w:sz="4" w:space="0" w:color="auto"/>
              <w:right w:val="single" w:sz="4" w:space="0" w:color="auto"/>
            </w:tcBorders>
            <w:noWrap/>
            <w:vAlign w:val="bottom"/>
            <w:hideMark/>
          </w:tcPr>
          <w:p w14:paraId="089E6047"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China</w:t>
            </w:r>
          </w:p>
        </w:tc>
        <w:tc>
          <w:tcPr>
            <w:tcW w:w="3915" w:type="dxa"/>
            <w:tcBorders>
              <w:top w:val="nil"/>
              <w:left w:val="nil"/>
              <w:bottom w:val="single" w:sz="4" w:space="0" w:color="auto"/>
              <w:right w:val="single" w:sz="4" w:space="0" w:color="auto"/>
            </w:tcBorders>
            <w:noWrap/>
            <w:vAlign w:val="bottom"/>
            <w:hideMark/>
          </w:tcPr>
          <w:p w14:paraId="3EE02882"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29,110</w:t>
            </w:r>
          </w:p>
        </w:tc>
      </w:tr>
      <w:tr w:rsidR="00E24A6D" w14:paraId="1ABD2F43"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75F96696"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7</w:t>
            </w:r>
          </w:p>
        </w:tc>
        <w:tc>
          <w:tcPr>
            <w:tcW w:w="3700" w:type="dxa"/>
            <w:tcBorders>
              <w:top w:val="nil"/>
              <w:left w:val="nil"/>
              <w:bottom w:val="single" w:sz="4" w:space="0" w:color="auto"/>
              <w:right w:val="single" w:sz="4" w:space="0" w:color="auto"/>
            </w:tcBorders>
            <w:noWrap/>
            <w:vAlign w:val="bottom"/>
            <w:hideMark/>
          </w:tcPr>
          <w:p w14:paraId="7BE18000"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 xml:space="preserve">Bangladesh </w:t>
            </w:r>
          </w:p>
        </w:tc>
        <w:tc>
          <w:tcPr>
            <w:tcW w:w="3915" w:type="dxa"/>
            <w:tcBorders>
              <w:top w:val="nil"/>
              <w:left w:val="nil"/>
              <w:bottom w:val="single" w:sz="4" w:space="0" w:color="auto"/>
              <w:right w:val="single" w:sz="4" w:space="0" w:color="auto"/>
            </w:tcBorders>
            <w:noWrap/>
            <w:vAlign w:val="bottom"/>
            <w:hideMark/>
          </w:tcPr>
          <w:p w14:paraId="14F8756A"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22,070</w:t>
            </w:r>
          </w:p>
        </w:tc>
      </w:tr>
      <w:tr w:rsidR="00E24A6D" w14:paraId="6A0409FC"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66CAE951"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8</w:t>
            </w:r>
          </w:p>
        </w:tc>
        <w:tc>
          <w:tcPr>
            <w:tcW w:w="3700" w:type="dxa"/>
            <w:tcBorders>
              <w:top w:val="nil"/>
              <w:left w:val="nil"/>
              <w:bottom w:val="single" w:sz="4" w:space="0" w:color="auto"/>
              <w:right w:val="single" w:sz="4" w:space="0" w:color="auto"/>
            </w:tcBorders>
            <w:noWrap/>
            <w:vAlign w:val="bottom"/>
            <w:hideMark/>
          </w:tcPr>
          <w:p w14:paraId="1165A950"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Germany</w:t>
            </w:r>
          </w:p>
        </w:tc>
        <w:tc>
          <w:tcPr>
            <w:tcW w:w="3915" w:type="dxa"/>
            <w:tcBorders>
              <w:top w:val="nil"/>
              <w:left w:val="nil"/>
              <w:bottom w:val="single" w:sz="4" w:space="0" w:color="auto"/>
              <w:right w:val="single" w:sz="4" w:space="0" w:color="auto"/>
            </w:tcBorders>
            <w:noWrap/>
            <w:vAlign w:val="bottom"/>
            <w:hideMark/>
          </w:tcPr>
          <w:p w14:paraId="041D1039"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21,042</w:t>
            </w:r>
          </w:p>
        </w:tc>
      </w:tr>
      <w:tr w:rsidR="00E24A6D" w14:paraId="2189AF68"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37FFF9FD"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9</w:t>
            </w:r>
          </w:p>
        </w:tc>
        <w:tc>
          <w:tcPr>
            <w:tcW w:w="3700" w:type="dxa"/>
            <w:tcBorders>
              <w:top w:val="nil"/>
              <w:left w:val="nil"/>
              <w:bottom w:val="single" w:sz="4" w:space="0" w:color="auto"/>
              <w:right w:val="single" w:sz="4" w:space="0" w:color="auto"/>
            </w:tcBorders>
            <w:noWrap/>
            <w:vAlign w:val="bottom"/>
            <w:hideMark/>
          </w:tcPr>
          <w:p w14:paraId="722638E5"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Guatemala</w:t>
            </w:r>
          </w:p>
        </w:tc>
        <w:tc>
          <w:tcPr>
            <w:tcW w:w="3915" w:type="dxa"/>
            <w:tcBorders>
              <w:top w:val="nil"/>
              <w:left w:val="nil"/>
              <w:bottom w:val="single" w:sz="4" w:space="0" w:color="auto"/>
              <w:right w:val="single" w:sz="4" w:space="0" w:color="auto"/>
            </w:tcBorders>
            <w:noWrap/>
            <w:vAlign w:val="bottom"/>
            <w:hideMark/>
          </w:tcPr>
          <w:p w14:paraId="3F61AF2A"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19,980</w:t>
            </w:r>
          </w:p>
        </w:tc>
      </w:tr>
      <w:tr w:rsidR="00E24A6D" w14:paraId="5194134E"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3A1AF7C2"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10</w:t>
            </w:r>
          </w:p>
        </w:tc>
        <w:tc>
          <w:tcPr>
            <w:tcW w:w="3700" w:type="dxa"/>
            <w:tcBorders>
              <w:top w:val="nil"/>
              <w:left w:val="nil"/>
              <w:bottom w:val="single" w:sz="4" w:space="0" w:color="auto"/>
              <w:right w:val="single" w:sz="4" w:space="0" w:color="auto"/>
            </w:tcBorders>
            <w:noWrap/>
            <w:vAlign w:val="bottom"/>
            <w:hideMark/>
          </w:tcPr>
          <w:p w14:paraId="379F9230"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Egypt</w:t>
            </w:r>
          </w:p>
        </w:tc>
        <w:tc>
          <w:tcPr>
            <w:tcW w:w="3915" w:type="dxa"/>
            <w:tcBorders>
              <w:top w:val="nil"/>
              <w:left w:val="nil"/>
              <w:bottom w:val="single" w:sz="4" w:space="0" w:color="auto"/>
              <w:right w:val="single" w:sz="4" w:space="0" w:color="auto"/>
            </w:tcBorders>
            <w:noWrap/>
            <w:vAlign w:val="bottom"/>
            <w:hideMark/>
          </w:tcPr>
          <w:p w14:paraId="7FB80490"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19,532</w:t>
            </w:r>
          </w:p>
        </w:tc>
      </w:tr>
      <w:tr w:rsidR="00E24A6D" w14:paraId="39E1D3CD"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38B56F14"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11</w:t>
            </w:r>
          </w:p>
        </w:tc>
        <w:tc>
          <w:tcPr>
            <w:tcW w:w="3700" w:type="dxa"/>
            <w:tcBorders>
              <w:top w:val="nil"/>
              <w:left w:val="nil"/>
              <w:bottom w:val="single" w:sz="4" w:space="0" w:color="auto"/>
              <w:right w:val="single" w:sz="4" w:space="0" w:color="auto"/>
            </w:tcBorders>
            <w:noWrap/>
            <w:vAlign w:val="bottom"/>
            <w:hideMark/>
          </w:tcPr>
          <w:p w14:paraId="237320A5"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Nigeria</w:t>
            </w:r>
          </w:p>
        </w:tc>
        <w:tc>
          <w:tcPr>
            <w:tcW w:w="3915" w:type="dxa"/>
            <w:tcBorders>
              <w:top w:val="nil"/>
              <w:left w:val="nil"/>
              <w:bottom w:val="single" w:sz="4" w:space="0" w:color="auto"/>
              <w:right w:val="single" w:sz="4" w:space="0" w:color="auto"/>
            </w:tcBorders>
            <w:noWrap/>
            <w:vAlign w:val="bottom"/>
            <w:hideMark/>
          </w:tcPr>
          <w:p w14:paraId="12B80D45"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19,519</w:t>
            </w:r>
          </w:p>
        </w:tc>
      </w:tr>
      <w:tr w:rsidR="00E24A6D" w14:paraId="14886F41"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2787411B"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12</w:t>
            </w:r>
          </w:p>
        </w:tc>
        <w:tc>
          <w:tcPr>
            <w:tcW w:w="3700" w:type="dxa"/>
            <w:tcBorders>
              <w:top w:val="nil"/>
              <w:left w:val="nil"/>
              <w:bottom w:val="single" w:sz="4" w:space="0" w:color="auto"/>
              <w:right w:val="single" w:sz="4" w:space="0" w:color="auto"/>
            </w:tcBorders>
            <w:noWrap/>
            <w:vAlign w:val="bottom"/>
            <w:hideMark/>
          </w:tcPr>
          <w:p w14:paraId="0AD9764A"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Indonesia</w:t>
            </w:r>
          </w:p>
        </w:tc>
        <w:tc>
          <w:tcPr>
            <w:tcW w:w="3915" w:type="dxa"/>
            <w:tcBorders>
              <w:top w:val="nil"/>
              <w:left w:val="nil"/>
              <w:bottom w:val="single" w:sz="4" w:space="0" w:color="auto"/>
              <w:right w:val="single" w:sz="4" w:space="0" w:color="auto"/>
            </w:tcBorders>
            <w:noWrap/>
            <w:vAlign w:val="bottom"/>
            <w:hideMark/>
          </w:tcPr>
          <w:p w14:paraId="539BA150"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16,038</w:t>
            </w:r>
          </w:p>
        </w:tc>
      </w:tr>
      <w:tr w:rsidR="00E24A6D" w14:paraId="4915D10C"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5120C763"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13</w:t>
            </w:r>
          </w:p>
        </w:tc>
        <w:tc>
          <w:tcPr>
            <w:tcW w:w="3700" w:type="dxa"/>
            <w:tcBorders>
              <w:top w:val="nil"/>
              <w:left w:val="nil"/>
              <w:bottom w:val="single" w:sz="4" w:space="0" w:color="auto"/>
              <w:right w:val="single" w:sz="4" w:space="0" w:color="auto"/>
            </w:tcBorders>
            <w:noWrap/>
            <w:vAlign w:val="bottom"/>
            <w:hideMark/>
          </w:tcPr>
          <w:p w14:paraId="718DF256"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Ukraine</w:t>
            </w:r>
          </w:p>
        </w:tc>
        <w:tc>
          <w:tcPr>
            <w:tcW w:w="3915" w:type="dxa"/>
            <w:tcBorders>
              <w:top w:val="nil"/>
              <w:left w:val="nil"/>
              <w:bottom w:val="single" w:sz="4" w:space="0" w:color="auto"/>
              <w:right w:val="single" w:sz="4" w:space="0" w:color="auto"/>
            </w:tcBorders>
            <w:noWrap/>
            <w:vAlign w:val="bottom"/>
            <w:hideMark/>
          </w:tcPr>
          <w:p w14:paraId="6D96B11F"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14,967</w:t>
            </w:r>
          </w:p>
        </w:tc>
      </w:tr>
      <w:tr w:rsidR="00E24A6D" w14:paraId="49423C7B"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65018AA8"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14</w:t>
            </w:r>
          </w:p>
        </w:tc>
        <w:tc>
          <w:tcPr>
            <w:tcW w:w="3700" w:type="dxa"/>
            <w:tcBorders>
              <w:top w:val="nil"/>
              <w:left w:val="nil"/>
              <w:bottom w:val="single" w:sz="4" w:space="0" w:color="auto"/>
              <w:right w:val="single" w:sz="4" w:space="0" w:color="auto"/>
            </w:tcBorders>
            <w:noWrap/>
            <w:vAlign w:val="bottom"/>
            <w:hideMark/>
          </w:tcPr>
          <w:p w14:paraId="07312BF2"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Belgium</w:t>
            </w:r>
          </w:p>
        </w:tc>
        <w:tc>
          <w:tcPr>
            <w:tcW w:w="3915" w:type="dxa"/>
            <w:tcBorders>
              <w:top w:val="nil"/>
              <w:left w:val="nil"/>
              <w:bottom w:val="single" w:sz="4" w:space="0" w:color="auto"/>
              <w:right w:val="single" w:sz="4" w:space="0" w:color="auto"/>
            </w:tcBorders>
            <w:noWrap/>
            <w:vAlign w:val="bottom"/>
            <w:hideMark/>
          </w:tcPr>
          <w:p w14:paraId="046F9F63"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14,861</w:t>
            </w:r>
          </w:p>
        </w:tc>
      </w:tr>
      <w:tr w:rsidR="00E24A6D" w14:paraId="7702FC5A" w14:textId="77777777" w:rsidTr="0011374E">
        <w:trPr>
          <w:trHeight w:val="315"/>
        </w:trPr>
        <w:tc>
          <w:tcPr>
            <w:tcW w:w="1740" w:type="dxa"/>
            <w:tcBorders>
              <w:top w:val="nil"/>
              <w:left w:val="single" w:sz="4" w:space="0" w:color="auto"/>
              <w:bottom w:val="single" w:sz="4" w:space="0" w:color="auto"/>
              <w:right w:val="single" w:sz="4" w:space="0" w:color="auto"/>
            </w:tcBorders>
            <w:noWrap/>
            <w:vAlign w:val="center"/>
            <w:hideMark/>
          </w:tcPr>
          <w:p w14:paraId="0D171846" w14:textId="77777777" w:rsidR="00F47A96" w:rsidRPr="00503F6C" w:rsidRDefault="009A71CA" w:rsidP="00503F6C">
            <w:pPr>
              <w:spacing w:after="0" w:line="360" w:lineRule="auto"/>
              <w:ind w:firstLineChars="300" w:firstLine="720"/>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15</w:t>
            </w:r>
          </w:p>
        </w:tc>
        <w:tc>
          <w:tcPr>
            <w:tcW w:w="3700" w:type="dxa"/>
            <w:tcBorders>
              <w:top w:val="nil"/>
              <w:left w:val="nil"/>
              <w:bottom w:val="single" w:sz="4" w:space="0" w:color="auto"/>
              <w:right w:val="single" w:sz="4" w:space="0" w:color="auto"/>
            </w:tcBorders>
            <w:noWrap/>
            <w:vAlign w:val="bottom"/>
            <w:hideMark/>
          </w:tcPr>
          <w:p w14:paraId="4A0AE3E3" w14:textId="77777777" w:rsidR="00F47A96" w:rsidRPr="00503F6C" w:rsidRDefault="009A71CA" w:rsidP="00503F6C">
            <w:pPr>
              <w:spacing w:after="0" w:line="360" w:lineRule="auto"/>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Uzbekistan</w:t>
            </w:r>
          </w:p>
        </w:tc>
        <w:tc>
          <w:tcPr>
            <w:tcW w:w="3915" w:type="dxa"/>
            <w:tcBorders>
              <w:top w:val="nil"/>
              <w:left w:val="nil"/>
              <w:bottom w:val="single" w:sz="4" w:space="0" w:color="auto"/>
              <w:right w:val="single" w:sz="4" w:space="0" w:color="auto"/>
            </w:tcBorders>
            <w:noWrap/>
            <w:vAlign w:val="bottom"/>
            <w:hideMark/>
          </w:tcPr>
          <w:p w14:paraId="1ED5469F" w14:textId="77777777" w:rsidR="00F47A96" w:rsidRPr="00503F6C" w:rsidRDefault="009A71CA" w:rsidP="00503F6C">
            <w:pPr>
              <w:spacing w:after="0" w:line="360" w:lineRule="auto"/>
              <w:jc w:val="right"/>
              <w:rPr>
                <w:rFonts w:ascii="Times New Roman" w:eastAsia="Times New Roman" w:hAnsi="Times New Roman" w:cs="Times New Roman"/>
                <w:color w:val="000000"/>
                <w:kern w:val="0"/>
                <w14:ligatures w14:val="none"/>
              </w:rPr>
            </w:pPr>
            <w:r w:rsidRPr="00503F6C">
              <w:rPr>
                <w:rFonts w:ascii="Times New Roman" w:eastAsia="Times New Roman" w:hAnsi="Times New Roman" w:cs="Times New Roman"/>
                <w:color w:val="000000"/>
                <w:kern w:val="0"/>
                <w14:ligatures w14:val="none"/>
              </w:rPr>
              <w:t>14,168</w:t>
            </w:r>
          </w:p>
        </w:tc>
      </w:tr>
    </w:tbl>
    <w:p w14:paraId="48980A8C" w14:textId="77777777" w:rsidR="00F47A96"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Sources: World </w:t>
      </w:r>
      <w:r w:rsidR="008D5ABF" w:rsidRPr="00503F6C">
        <w:rPr>
          <w:rFonts w:ascii="Times New Roman" w:hAnsi="Times New Roman" w:cs="Times New Roman"/>
        </w:rPr>
        <w:t>Bank</w:t>
      </w:r>
      <w:r w:rsidRPr="00503F6C">
        <w:rPr>
          <w:rFonts w:ascii="Times New Roman" w:hAnsi="Times New Roman" w:cs="Times New Roman"/>
        </w:rPr>
        <w:t xml:space="preserve"> Author's computations</w:t>
      </w:r>
    </w:p>
    <w:p w14:paraId="0BD96E76" w14:textId="77777777" w:rsidR="003F4D60"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Figure </w:t>
      </w:r>
      <w:r w:rsidR="00F47A96" w:rsidRPr="00503F6C">
        <w:rPr>
          <w:rFonts w:ascii="Times New Roman" w:hAnsi="Times New Roman" w:cs="Times New Roman"/>
        </w:rPr>
        <w:t>1</w:t>
      </w:r>
      <w:r w:rsidRPr="00503F6C">
        <w:rPr>
          <w:rFonts w:ascii="Times New Roman" w:hAnsi="Times New Roman" w:cs="Times New Roman"/>
        </w:rPr>
        <w:t xml:space="preserve">: Remittances to Nigeria in the Past Ten Years </w:t>
      </w:r>
    </w:p>
    <w:p w14:paraId="2F6F50ED" w14:textId="77777777" w:rsidR="003F4D60"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noProof/>
        </w:rPr>
        <w:drawing>
          <wp:inline distT="0" distB="0" distL="0" distR="0" wp14:anchorId="6D8FF27D" wp14:editId="465688D7">
            <wp:extent cx="5943600" cy="2290445"/>
            <wp:effectExtent l="0" t="0" r="0" b="14605"/>
            <wp:docPr id="1504799650" name="Chart 1">
              <a:extLst xmlns:a="http://schemas.openxmlformats.org/drawingml/2006/main">
                <a:ext uri="{FF2B5EF4-FFF2-40B4-BE49-F238E27FC236}">
                  <a16:creationId xmlns:a16="http://schemas.microsoft.com/office/drawing/2014/main" id="{D415DEC6-40A0-57DC-018D-92870E77B5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806671" w14:textId="77777777" w:rsidR="005A3A73"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Sources: World Bank, Authors own computations</w:t>
      </w:r>
    </w:p>
    <w:p w14:paraId="44E6EECB" w14:textId="2BF5BE47" w:rsidR="00885047"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Figure </w:t>
      </w:r>
      <w:r w:rsidR="00CB00C1">
        <w:rPr>
          <w:rFonts w:ascii="Times New Roman" w:hAnsi="Times New Roman" w:cs="Times New Roman"/>
        </w:rPr>
        <w:t>2</w:t>
      </w:r>
      <w:r w:rsidR="0011374E">
        <w:rPr>
          <w:rFonts w:ascii="Times New Roman" w:hAnsi="Times New Roman" w:cs="Times New Roman"/>
        </w:rPr>
        <w:t>:</w:t>
      </w:r>
      <w:r w:rsidR="00F47A96" w:rsidRPr="00503F6C">
        <w:rPr>
          <w:rFonts w:ascii="Times New Roman" w:hAnsi="Times New Roman" w:cs="Times New Roman"/>
        </w:rPr>
        <w:t xml:space="preserve"> </w:t>
      </w:r>
      <w:r w:rsidRPr="00503F6C">
        <w:rPr>
          <w:rFonts w:ascii="Times New Roman" w:hAnsi="Times New Roman" w:cs="Times New Roman"/>
        </w:rPr>
        <w:t xml:space="preserve"> Remittances Inflow vs FDI Past 10 Years </w:t>
      </w:r>
    </w:p>
    <w:p w14:paraId="6A63B13E" w14:textId="77777777" w:rsidR="00885047"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noProof/>
        </w:rPr>
        <w:lastRenderedPageBreak/>
        <w:drawing>
          <wp:inline distT="0" distB="0" distL="0" distR="0" wp14:anchorId="00CC7B72" wp14:editId="3FA88800">
            <wp:extent cx="5943600" cy="2421890"/>
            <wp:effectExtent l="0" t="0" r="0" b="16510"/>
            <wp:docPr id="430499579" name="Chart 1">
              <a:extLst xmlns:a="http://schemas.openxmlformats.org/drawingml/2006/main">
                <a:ext uri="{FF2B5EF4-FFF2-40B4-BE49-F238E27FC236}">
                  <a16:creationId xmlns:a16="http://schemas.microsoft.com/office/drawing/2014/main" id="{672868E7-8712-86BE-4641-35E16C57F5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938D04" w14:textId="77777777" w:rsidR="005A3A73"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Sources: World </w:t>
      </w:r>
      <w:r w:rsidR="0011374E" w:rsidRPr="00503F6C">
        <w:rPr>
          <w:rFonts w:ascii="Times New Roman" w:hAnsi="Times New Roman" w:cs="Times New Roman"/>
        </w:rPr>
        <w:t>Bank,</w:t>
      </w:r>
      <w:r w:rsidRPr="00503F6C">
        <w:rPr>
          <w:rFonts w:ascii="Times New Roman" w:hAnsi="Times New Roman" w:cs="Times New Roman"/>
        </w:rPr>
        <w:t xml:space="preserve"> Authors own computations</w:t>
      </w:r>
    </w:p>
    <w:p w14:paraId="70957EBC" w14:textId="1E1581D5" w:rsidR="00885047"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In 2023, remittance flows in Nigeria were nearly 5.8 times the size of foreign direct investment (FDI) inflows, which stood at $3.3 billion (World Bank</w:t>
      </w:r>
      <w:r w:rsidR="00CB00C1">
        <w:rPr>
          <w:rFonts w:ascii="Times New Roman" w:hAnsi="Times New Roman" w:cs="Times New Roman"/>
        </w:rPr>
        <w:t xml:space="preserve"> </w:t>
      </w:r>
      <w:r w:rsidRPr="00503F6C">
        <w:rPr>
          <w:rFonts w:ascii="Times New Roman" w:hAnsi="Times New Roman" w:cs="Times New Roman"/>
        </w:rPr>
        <w:t xml:space="preserve">2024). </w:t>
      </w:r>
      <w:r w:rsidR="0011374E" w:rsidRPr="00503F6C">
        <w:rPr>
          <w:rFonts w:ascii="Times New Roman" w:hAnsi="Times New Roman" w:cs="Times New Roman"/>
        </w:rPr>
        <w:t>Furthermore,</w:t>
      </w:r>
      <w:r w:rsidRPr="00503F6C">
        <w:rPr>
          <w:rFonts w:ascii="Times New Roman" w:hAnsi="Times New Roman" w:cs="Times New Roman"/>
        </w:rPr>
        <w:t xml:space="preserve"> remittances </w:t>
      </w:r>
      <w:r w:rsidR="00EF501D" w:rsidRPr="00503F6C">
        <w:rPr>
          <w:rFonts w:ascii="Times New Roman" w:hAnsi="Times New Roman" w:cs="Times New Roman"/>
        </w:rPr>
        <w:t xml:space="preserve">to </w:t>
      </w:r>
      <w:r w:rsidR="0011374E" w:rsidRPr="00503F6C">
        <w:rPr>
          <w:rFonts w:ascii="Times New Roman" w:hAnsi="Times New Roman" w:cs="Times New Roman"/>
        </w:rPr>
        <w:t>Nigeria in</w:t>
      </w:r>
      <w:r w:rsidRPr="00503F6C">
        <w:rPr>
          <w:rFonts w:ascii="Times New Roman" w:hAnsi="Times New Roman" w:cs="Times New Roman"/>
        </w:rPr>
        <w:t xml:space="preserve"> 2023, which was $19.5 billion, represent 5 per cent of Nigeria's Gross Domestic Product (GDP)  of  $362.8. As the volume of remittance inflow surpasses (</w:t>
      </w:r>
      <w:r w:rsidR="0011374E" w:rsidRPr="00503F6C">
        <w:rPr>
          <w:rFonts w:ascii="Times New Roman" w:hAnsi="Times New Roman" w:cs="Times New Roman"/>
        </w:rPr>
        <w:t>FDI) inflows</w:t>
      </w:r>
      <w:r w:rsidRPr="00503F6C">
        <w:rPr>
          <w:rFonts w:ascii="Times New Roman" w:hAnsi="Times New Roman" w:cs="Times New Roman"/>
        </w:rPr>
        <w:t>, there is a consensus that remittances have been a crucial stimulant of economic growth in many countries like Nigeria (Adeseye, 2021; Azam, 2015; Ekanayake &amp; Moslares, 2020; Lanigan &amp; Adeniyi, 2015).</w:t>
      </w:r>
    </w:p>
    <w:p w14:paraId="5745B563" w14:textId="01CF3103" w:rsidR="007159F9" w:rsidRPr="00503F6C" w:rsidRDefault="009A71CA" w:rsidP="00503F6C">
      <w:pPr>
        <w:pStyle w:val="Default"/>
        <w:spacing w:line="360" w:lineRule="auto"/>
        <w:jc w:val="both"/>
      </w:pPr>
      <w:r w:rsidRPr="00503F6C">
        <w:t>Remittances to Nigeria by migrants have increased significantly in size and importance over the past four decades, second only to oil exports as a source of foreign exchange inflows (Adeseye 2021: Oladipo 2020).</w:t>
      </w:r>
      <w:r w:rsidR="007159F9" w:rsidRPr="00503F6C">
        <w:t xml:space="preserve"> Many empirical studies have examined the impact of migrants' remittances on economic growth using data across many countries with less emphasis on individual countries</w:t>
      </w:r>
      <w:r w:rsidR="00FF4D5F" w:rsidRPr="00503F6C">
        <w:t xml:space="preserve"> (Qutb, </w:t>
      </w:r>
      <w:r w:rsidR="00C62C6C" w:rsidRPr="00503F6C">
        <w:t xml:space="preserve">2022). </w:t>
      </w:r>
      <w:r w:rsidRPr="00503F6C">
        <w:t xml:space="preserve"> Thus, this study used data from </w:t>
      </w:r>
      <w:r w:rsidR="009D5CDA">
        <w:t>a c</w:t>
      </w:r>
      <w:r w:rsidRPr="00503F6C">
        <w:t xml:space="preserve">ountry that is one of the </w:t>
      </w:r>
      <w:r w:rsidR="009D5CDA" w:rsidRPr="00503F6C">
        <w:t>highest</w:t>
      </w:r>
      <w:r w:rsidRPr="00503F6C">
        <w:t xml:space="preserve"> receivers of migrants' remittances. This</w:t>
      </w:r>
      <w:r w:rsidR="001A7AA8" w:rsidRPr="00503F6C">
        <w:t xml:space="preserve"> study examines the</w:t>
      </w:r>
      <w:r w:rsidR="00AA036A" w:rsidRPr="00503F6C">
        <w:t xml:space="preserve"> impact of these remittances on economic growth in Nigeria </w:t>
      </w:r>
      <w:r w:rsidR="001A7AA8" w:rsidRPr="00503F6C">
        <w:t xml:space="preserve">over </w:t>
      </w:r>
      <w:r w:rsidR="007E1FA7" w:rsidRPr="00503F6C">
        <w:t xml:space="preserve">40 years. The </w:t>
      </w:r>
      <w:r w:rsidR="009D5CDA" w:rsidRPr="00503F6C">
        <w:t>key</w:t>
      </w:r>
      <w:r w:rsidR="007E1FA7" w:rsidRPr="00503F6C">
        <w:t xml:space="preserve"> objective of this study is to examine the short- and long-run causal relationship between economic growth</w:t>
      </w:r>
      <w:r w:rsidRPr="00503F6C">
        <w:t xml:space="preserve"> and the dependent variable and four independent </w:t>
      </w:r>
      <w:r w:rsidR="007E1FA7" w:rsidRPr="00503F6C">
        <w:t xml:space="preserve">variables i.e. migrants' worker's personal remittance, </w:t>
      </w:r>
      <w:r w:rsidR="00270A23" w:rsidRPr="00503F6C">
        <w:t>inflation, exchange</w:t>
      </w:r>
      <w:r w:rsidR="007E1FA7" w:rsidRPr="00503F6C">
        <w:t xml:space="preserve"> </w:t>
      </w:r>
      <w:r w:rsidR="00805AA7" w:rsidRPr="00503F6C">
        <w:t>rate and</w:t>
      </w:r>
      <w:r w:rsidR="007E1FA7" w:rsidRPr="00503F6C">
        <w:t xml:space="preserve"> </w:t>
      </w:r>
      <w:r w:rsidR="00E50EB6" w:rsidRPr="00503F6C">
        <w:rPr>
          <w:rFonts w:eastAsia="Times New Roman"/>
          <w:color w:val="auto"/>
        </w:rPr>
        <w:t xml:space="preserve">foreign direct investment, </w:t>
      </w:r>
      <w:r w:rsidR="00C62C6C" w:rsidRPr="00503F6C">
        <w:t>using</w:t>
      </w:r>
      <w:r w:rsidR="007E1FA7" w:rsidRPr="00503F6C">
        <w:t xml:space="preserve"> yearly data </w:t>
      </w:r>
      <w:r w:rsidR="00270A23" w:rsidRPr="00503F6C">
        <w:t xml:space="preserve">from 1984 to 2023 </w:t>
      </w:r>
      <w:r w:rsidR="0011374E" w:rsidRPr="00503F6C">
        <w:t>in Nigeria</w:t>
      </w:r>
      <w:r w:rsidR="007E1FA7" w:rsidRPr="00503F6C">
        <w:t xml:space="preserve"> by applying an econometric technique that captures short- and long-term </w:t>
      </w:r>
      <w:r w:rsidR="009D5CDA" w:rsidRPr="00503F6C">
        <w:t>relationship.</w:t>
      </w:r>
    </w:p>
    <w:p w14:paraId="172C007F" w14:textId="677E3358" w:rsidR="009A71CA" w:rsidRPr="00503F6C" w:rsidRDefault="009A71CA" w:rsidP="00503F6C">
      <w:pPr>
        <w:spacing w:line="360" w:lineRule="auto"/>
        <w:jc w:val="both"/>
        <w:rPr>
          <w:rFonts w:ascii="Times New Roman" w:hAnsi="Times New Roman" w:cs="Times New Roman"/>
        </w:rPr>
      </w:pPr>
      <w:r>
        <w:rPr>
          <w:rFonts w:ascii="Times New Roman" w:hAnsi="Times New Roman" w:cs="Times New Roman"/>
        </w:rPr>
        <w:lastRenderedPageBreak/>
        <w:t>T</w:t>
      </w:r>
      <w:r w:rsidRPr="009A71CA">
        <w:rPr>
          <w:rFonts w:ascii="Times New Roman" w:hAnsi="Times New Roman" w:cs="Times New Roman"/>
        </w:rPr>
        <w:t xml:space="preserve">his </w:t>
      </w:r>
      <w:r>
        <w:rPr>
          <w:rFonts w:ascii="Times New Roman" w:hAnsi="Times New Roman" w:cs="Times New Roman"/>
        </w:rPr>
        <w:t>study</w:t>
      </w:r>
      <w:r w:rsidRPr="009A71CA">
        <w:rPr>
          <w:rFonts w:ascii="Times New Roman" w:hAnsi="Times New Roman" w:cs="Times New Roman"/>
        </w:rPr>
        <w:t xml:space="preserve"> was conducted due to the inconsistent empirical findings that have surfaced in previous studies regarding the impact of remittances on economic growth when analyzing individual countries. Consequently, this study contributes to existing literature by offering empirical evidence concerning the effects of remittances in a specific country over an extended timeframe. Therefore, this research can assist policymakers in formulating appropriate strategies to transform the economic growth potential represented by migrants' remittances into a reliable source of foreign exchange inflows that foster economic growth.</w:t>
      </w:r>
    </w:p>
    <w:p w14:paraId="1845785D" w14:textId="77777777" w:rsidR="0090627D" w:rsidRPr="0011374E" w:rsidRDefault="009A71CA" w:rsidP="00503F6C">
      <w:pPr>
        <w:spacing w:line="360" w:lineRule="auto"/>
        <w:jc w:val="both"/>
        <w:rPr>
          <w:rFonts w:ascii="Times New Roman" w:hAnsi="Times New Roman" w:cs="Times New Roman"/>
          <w:b/>
          <w:bCs/>
        </w:rPr>
      </w:pPr>
      <w:r w:rsidRPr="0011374E">
        <w:rPr>
          <w:rFonts w:ascii="Times New Roman" w:hAnsi="Times New Roman" w:cs="Times New Roman"/>
          <w:b/>
          <w:bCs/>
        </w:rPr>
        <w:t>2.0 Literature Review</w:t>
      </w:r>
    </w:p>
    <w:p w14:paraId="3C2743BA" w14:textId="77777777" w:rsidR="0090627D" w:rsidRPr="00503F6C" w:rsidRDefault="009A71CA" w:rsidP="00503F6C">
      <w:pPr>
        <w:spacing w:line="360" w:lineRule="auto"/>
        <w:jc w:val="both"/>
        <w:rPr>
          <w:rFonts w:ascii="Times New Roman" w:hAnsi="Times New Roman" w:cs="Times New Roman"/>
          <w:b/>
          <w:bCs/>
        </w:rPr>
      </w:pPr>
      <w:r>
        <w:rPr>
          <w:rFonts w:ascii="Times New Roman" w:hAnsi="Times New Roman" w:cs="Times New Roman"/>
          <w:b/>
          <w:bCs/>
        </w:rPr>
        <w:t xml:space="preserve">2.1 </w:t>
      </w:r>
      <w:r w:rsidRPr="00503F6C">
        <w:rPr>
          <w:rFonts w:ascii="Times New Roman" w:hAnsi="Times New Roman" w:cs="Times New Roman"/>
          <w:b/>
          <w:bCs/>
        </w:rPr>
        <w:t xml:space="preserve">Theoretical Review </w:t>
      </w:r>
    </w:p>
    <w:p w14:paraId="495E1C66" w14:textId="77777777" w:rsidR="002574B8" w:rsidRPr="00503F6C" w:rsidRDefault="009A71CA" w:rsidP="00503F6C">
      <w:pPr>
        <w:spacing w:line="360" w:lineRule="auto"/>
        <w:jc w:val="both"/>
        <w:rPr>
          <w:rFonts w:ascii="Times New Roman" w:hAnsi="Times New Roman" w:cs="Times New Roman"/>
          <w:b/>
          <w:bCs/>
        </w:rPr>
      </w:pPr>
      <w:r>
        <w:rPr>
          <w:rFonts w:ascii="Times New Roman" w:hAnsi="Times New Roman" w:cs="Times New Roman"/>
          <w:b/>
          <w:bCs/>
        </w:rPr>
        <w:t xml:space="preserve">2.1.1 </w:t>
      </w:r>
      <w:r w:rsidR="009078F2" w:rsidRPr="00503F6C">
        <w:rPr>
          <w:rFonts w:ascii="Times New Roman" w:hAnsi="Times New Roman" w:cs="Times New Roman"/>
          <w:b/>
          <w:bCs/>
        </w:rPr>
        <w:t>T</w:t>
      </w:r>
      <w:r w:rsidR="007A36C3" w:rsidRPr="00503F6C">
        <w:rPr>
          <w:rFonts w:ascii="Times New Roman" w:hAnsi="Times New Roman" w:cs="Times New Roman"/>
          <w:b/>
          <w:bCs/>
        </w:rPr>
        <w:t>he</w:t>
      </w:r>
      <w:r w:rsidRPr="00503F6C">
        <w:rPr>
          <w:rFonts w:ascii="Times New Roman" w:hAnsi="Times New Roman" w:cs="Times New Roman"/>
          <w:b/>
          <w:bCs/>
        </w:rPr>
        <w:t xml:space="preserve"> Solow </w:t>
      </w:r>
      <w:r w:rsidR="009078F2" w:rsidRPr="00503F6C">
        <w:rPr>
          <w:rFonts w:ascii="Times New Roman" w:hAnsi="Times New Roman" w:cs="Times New Roman"/>
          <w:b/>
          <w:bCs/>
        </w:rPr>
        <w:t>G</w:t>
      </w:r>
      <w:r w:rsidRPr="00503F6C">
        <w:rPr>
          <w:rFonts w:ascii="Times New Roman" w:hAnsi="Times New Roman" w:cs="Times New Roman"/>
          <w:b/>
          <w:bCs/>
        </w:rPr>
        <w:t xml:space="preserve">rowth </w:t>
      </w:r>
      <w:r w:rsidR="009078F2" w:rsidRPr="00503F6C">
        <w:rPr>
          <w:rFonts w:ascii="Times New Roman" w:hAnsi="Times New Roman" w:cs="Times New Roman"/>
          <w:b/>
          <w:bCs/>
        </w:rPr>
        <w:t>M</w:t>
      </w:r>
      <w:r w:rsidRPr="00503F6C">
        <w:rPr>
          <w:rFonts w:ascii="Times New Roman" w:hAnsi="Times New Roman" w:cs="Times New Roman"/>
          <w:b/>
          <w:bCs/>
        </w:rPr>
        <w:t xml:space="preserve">odel  </w:t>
      </w:r>
    </w:p>
    <w:p w14:paraId="3A744920" w14:textId="77777777" w:rsidR="00FE75D6"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The Solow-Swan growth model was introduced by the economist Robert Solow Swan in 1956 </w:t>
      </w:r>
      <w:commentRangeStart w:id="7"/>
      <w:r w:rsidRPr="00503F6C">
        <w:rPr>
          <w:rFonts w:ascii="Times New Roman" w:hAnsi="Times New Roman" w:cs="Times New Roman"/>
        </w:rPr>
        <w:t>(Adow, 2025</w:t>
      </w:r>
      <w:r w:rsidR="00997CC4" w:rsidRPr="00503F6C">
        <w:rPr>
          <w:rFonts w:ascii="Times New Roman" w:hAnsi="Times New Roman" w:cs="Times New Roman"/>
        </w:rPr>
        <w:t xml:space="preserve">). </w:t>
      </w:r>
      <w:commentRangeEnd w:id="7"/>
      <w:r w:rsidR="00830FD5">
        <w:rPr>
          <w:rStyle w:val="CommentReference"/>
        </w:rPr>
        <w:commentReference w:id="7"/>
      </w:r>
      <w:r w:rsidR="00997CC4" w:rsidRPr="00503F6C">
        <w:rPr>
          <w:rFonts w:ascii="Times New Roman" w:hAnsi="Times New Roman" w:cs="Times New Roman"/>
        </w:rPr>
        <w:t>The</w:t>
      </w:r>
      <w:r w:rsidRPr="00503F6C">
        <w:rPr>
          <w:rFonts w:ascii="Times New Roman" w:hAnsi="Times New Roman" w:cs="Times New Roman"/>
        </w:rPr>
        <w:t xml:space="preserve"> model </w:t>
      </w:r>
      <w:r w:rsidR="002574B8" w:rsidRPr="00503F6C">
        <w:rPr>
          <w:rFonts w:ascii="Times New Roman" w:hAnsi="Times New Roman" w:cs="Times New Roman"/>
        </w:rPr>
        <w:t>provides a foundation explaining the relationship of remittance and economic growth</w:t>
      </w:r>
      <w:r w:rsidR="00997CC4" w:rsidRPr="00503F6C">
        <w:rPr>
          <w:rFonts w:ascii="Times New Roman" w:hAnsi="Times New Roman" w:cs="Times New Roman"/>
        </w:rPr>
        <w:t>. The</w:t>
      </w:r>
      <w:r w:rsidR="002574B8" w:rsidRPr="00503F6C">
        <w:rPr>
          <w:rFonts w:ascii="Times New Roman" w:hAnsi="Times New Roman" w:cs="Times New Roman"/>
        </w:rPr>
        <w:t xml:space="preserve"> model postulates that economic growth is driven by capital </w:t>
      </w:r>
      <w:r w:rsidR="00EA03F8" w:rsidRPr="00503F6C">
        <w:rPr>
          <w:rFonts w:ascii="Times New Roman" w:hAnsi="Times New Roman" w:cs="Times New Roman"/>
        </w:rPr>
        <w:t>accumulation,</w:t>
      </w:r>
    </w:p>
    <w:p w14:paraId="0E95EA18" w14:textId="2CEEB489" w:rsidR="00ED7314" w:rsidRDefault="009A71CA" w:rsidP="00503F6C">
      <w:pPr>
        <w:spacing w:line="360" w:lineRule="auto"/>
        <w:jc w:val="both"/>
        <w:rPr>
          <w:rFonts w:ascii="Times New Roman" w:hAnsi="Times New Roman" w:cs="Times New Roman"/>
        </w:rPr>
      </w:pPr>
      <w:r w:rsidRPr="00503F6C">
        <w:rPr>
          <w:rFonts w:ascii="Times New Roman" w:hAnsi="Times New Roman" w:cs="Times New Roman"/>
        </w:rPr>
        <w:t>technology</w:t>
      </w:r>
      <w:r w:rsidR="002574B8" w:rsidRPr="00503F6C">
        <w:rPr>
          <w:rFonts w:ascii="Times New Roman" w:hAnsi="Times New Roman" w:cs="Times New Roman"/>
        </w:rPr>
        <w:t xml:space="preserve"> and l</w:t>
      </w:r>
      <w:r w:rsidRPr="00503F6C">
        <w:rPr>
          <w:rFonts w:ascii="Times New Roman" w:hAnsi="Times New Roman" w:cs="Times New Roman"/>
        </w:rPr>
        <w:t>abour</w:t>
      </w:r>
      <w:r w:rsidR="00997CC4" w:rsidRPr="00503F6C">
        <w:rPr>
          <w:rFonts w:ascii="Times New Roman" w:hAnsi="Times New Roman" w:cs="Times New Roman"/>
        </w:rPr>
        <w:t>.</w:t>
      </w:r>
      <w:r w:rsidR="002574B8" w:rsidRPr="00503F6C">
        <w:rPr>
          <w:rFonts w:ascii="Times New Roman" w:hAnsi="Times New Roman" w:cs="Times New Roman"/>
        </w:rPr>
        <w:t xml:space="preserve"> </w:t>
      </w:r>
      <w:r w:rsidR="00574AA2" w:rsidRPr="00503F6C">
        <w:rPr>
          <w:rFonts w:ascii="Times New Roman" w:hAnsi="Times New Roman" w:cs="Times New Roman"/>
        </w:rPr>
        <w:t>Therefore,</w:t>
      </w:r>
      <w:r w:rsidR="002574B8" w:rsidRPr="00503F6C">
        <w:rPr>
          <w:rFonts w:ascii="Times New Roman" w:hAnsi="Times New Roman" w:cs="Times New Roman"/>
        </w:rPr>
        <w:t xml:space="preserve"> remittances, as an external source of capital, </w:t>
      </w:r>
      <w:r w:rsidRPr="00503F6C">
        <w:rPr>
          <w:rFonts w:ascii="Times New Roman" w:hAnsi="Times New Roman" w:cs="Times New Roman"/>
        </w:rPr>
        <w:t>inflow drive growth in addition</w:t>
      </w:r>
      <w:r w:rsidR="002574B8" w:rsidRPr="00503F6C">
        <w:rPr>
          <w:rFonts w:ascii="Times New Roman" w:hAnsi="Times New Roman" w:cs="Times New Roman"/>
        </w:rPr>
        <w:t xml:space="preserve"> to domestic savings and investment</w:t>
      </w:r>
      <w:r w:rsidRPr="00503F6C">
        <w:rPr>
          <w:rFonts w:ascii="Times New Roman" w:hAnsi="Times New Roman" w:cs="Times New Roman"/>
        </w:rPr>
        <w:t xml:space="preserve"> (Adow, 2025)</w:t>
      </w:r>
      <w:r w:rsidR="00815E11" w:rsidRPr="00503F6C">
        <w:rPr>
          <w:rFonts w:ascii="Times New Roman" w:hAnsi="Times New Roman" w:cs="Times New Roman"/>
        </w:rPr>
        <w:t xml:space="preserve">. There is a capital </w:t>
      </w:r>
      <w:r w:rsidR="00997CC4" w:rsidRPr="00503F6C">
        <w:rPr>
          <w:rFonts w:ascii="Times New Roman" w:hAnsi="Times New Roman" w:cs="Times New Roman"/>
        </w:rPr>
        <w:t>constraint</w:t>
      </w:r>
      <w:r w:rsidR="00815E11" w:rsidRPr="00503F6C">
        <w:rPr>
          <w:rFonts w:ascii="Times New Roman" w:hAnsi="Times New Roman" w:cs="Times New Roman"/>
        </w:rPr>
        <w:t xml:space="preserve"> in </w:t>
      </w:r>
      <w:r w:rsidR="00776849" w:rsidRPr="00503F6C">
        <w:rPr>
          <w:rFonts w:ascii="Times New Roman" w:hAnsi="Times New Roman" w:cs="Times New Roman"/>
        </w:rPr>
        <w:t>countries</w:t>
      </w:r>
      <w:r w:rsidR="00FE75D6" w:rsidRPr="00503F6C">
        <w:rPr>
          <w:rFonts w:ascii="Times New Roman" w:hAnsi="Times New Roman" w:cs="Times New Roman"/>
        </w:rPr>
        <w:t xml:space="preserve"> like </w:t>
      </w:r>
      <w:r w:rsidR="00776849" w:rsidRPr="00503F6C">
        <w:rPr>
          <w:rFonts w:ascii="Times New Roman" w:hAnsi="Times New Roman" w:cs="Times New Roman"/>
        </w:rPr>
        <w:t>Nigeria, and</w:t>
      </w:r>
      <w:r w:rsidR="00815E11" w:rsidRPr="00503F6C">
        <w:rPr>
          <w:rFonts w:ascii="Times New Roman" w:hAnsi="Times New Roman" w:cs="Times New Roman"/>
        </w:rPr>
        <w:t xml:space="preserve"> remittance inflow has become a significant </w:t>
      </w:r>
      <w:r w:rsidR="00FE75D6" w:rsidRPr="00503F6C">
        <w:rPr>
          <w:rFonts w:ascii="Times New Roman" w:hAnsi="Times New Roman" w:cs="Times New Roman"/>
        </w:rPr>
        <w:t xml:space="preserve">source of capital </w:t>
      </w:r>
      <w:r w:rsidR="00CB00C1" w:rsidRPr="00503F6C">
        <w:rPr>
          <w:rFonts w:ascii="Times New Roman" w:hAnsi="Times New Roman" w:cs="Times New Roman"/>
        </w:rPr>
        <w:t>accumulation</w:t>
      </w:r>
      <w:r w:rsidR="00CB00C1">
        <w:rPr>
          <w:rFonts w:ascii="Times New Roman" w:hAnsi="Times New Roman" w:cs="Times New Roman"/>
        </w:rPr>
        <w:t xml:space="preserve">, </w:t>
      </w:r>
      <w:r w:rsidR="00CB00C1" w:rsidRPr="00503F6C">
        <w:rPr>
          <w:rFonts w:ascii="Times New Roman" w:hAnsi="Times New Roman" w:cs="Times New Roman"/>
        </w:rPr>
        <w:t>because</w:t>
      </w:r>
      <w:r w:rsidR="00776849" w:rsidRPr="00503F6C">
        <w:rPr>
          <w:rFonts w:ascii="Times New Roman" w:hAnsi="Times New Roman" w:cs="Times New Roman"/>
        </w:rPr>
        <w:t xml:space="preserve"> of the limitation of alternative financing</w:t>
      </w:r>
      <w:r w:rsidR="009078F2" w:rsidRPr="00503F6C">
        <w:rPr>
          <w:rFonts w:ascii="Times New Roman" w:hAnsi="Times New Roman" w:cs="Times New Roman"/>
        </w:rPr>
        <w:t>.</w:t>
      </w:r>
      <w:r w:rsidR="00776849" w:rsidRPr="00503F6C">
        <w:rPr>
          <w:rFonts w:ascii="Times New Roman" w:hAnsi="Times New Roman" w:cs="Times New Roman"/>
        </w:rPr>
        <w:t xml:space="preserve"> Neto et al</w:t>
      </w:r>
      <w:r w:rsidR="009078F2" w:rsidRPr="00503F6C">
        <w:rPr>
          <w:rFonts w:ascii="Times New Roman" w:hAnsi="Times New Roman" w:cs="Times New Roman"/>
        </w:rPr>
        <w:t>.,</w:t>
      </w:r>
      <w:r w:rsidR="00776849" w:rsidRPr="00503F6C">
        <w:rPr>
          <w:rFonts w:ascii="Times New Roman" w:hAnsi="Times New Roman" w:cs="Times New Roman"/>
        </w:rPr>
        <w:t xml:space="preserve"> 2009</w:t>
      </w:r>
      <w:r w:rsidR="009078F2" w:rsidRPr="00503F6C">
        <w:rPr>
          <w:rFonts w:ascii="Times New Roman" w:hAnsi="Times New Roman" w:cs="Times New Roman"/>
        </w:rPr>
        <w:t xml:space="preserve"> </w:t>
      </w:r>
      <w:r w:rsidR="00776849" w:rsidRPr="00503F6C">
        <w:rPr>
          <w:rFonts w:ascii="Times New Roman" w:hAnsi="Times New Roman" w:cs="Times New Roman"/>
        </w:rPr>
        <w:t>stated that remittances boost</w:t>
      </w:r>
      <w:r w:rsidR="00FE75D6" w:rsidRPr="00503F6C">
        <w:rPr>
          <w:rFonts w:ascii="Times New Roman" w:hAnsi="Times New Roman" w:cs="Times New Roman"/>
        </w:rPr>
        <w:t xml:space="preserve"> economic productivity by increasing capital formation</w:t>
      </w:r>
      <w:r w:rsidR="009078F2" w:rsidRPr="00503F6C">
        <w:rPr>
          <w:rFonts w:ascii="Times New Roman" w:hAnsi="Times New Roman" w:cs="Times New Roman"/>
        </w:rPr>
        <w:t xml:space="preserve"> i</w:t>
      </w:r>
      <w:r w:rsidR="00776849" w:rsidRPr="00503F6C">
        <w:rPr>
          <w:rFonts w:ascii="Times New Roman" w:hAnsi="Times New Roman" w:cs="Times New Roman"/>
        </w:rPr>
        <w:t xml:space="preserve">n developing </w:t>
      </w:r>
      <w:r w:rsidR="00A161A6" w:rsidRPr="00503F6C">
        <w:rPr>
          <w:rFonts w:ascii="Times New Roman" w:hAnsi="Times New Roman" w:cs="Times New Roman"/>
        </w:rPr>
        <w:t>countries and</w:t>
      </w:r>
      <w:r w:rsidR="00776849" w:rsidRPr="00503F6C">
        <w:rPr>
          <w:rFonts w:ascii="Times New Roman" w:hAnsi="Times New Roman" w:cs="Times New Roman"/>
        </w:rPr>
        <w:t xml:space="preserve"> affirmed that the Solow-Swan growth model demonstrates</w:t>
      </w:r>
      <w:r w:rsidR="00FE75D6" w:rsidRPr="00503F6C">
        <w:rPr>
          <w:rFonts w:ascii="Times New Roman" w:hAnsi="Times New Roman" w:cs="Times New Roman"/>
        </w:rPr>
        <w:t xml:space="preserve"> that remittances positively </w:t>
      </w:r>
      <w:r w:rsidR="0057244D" w:rsidRPr="00503F6C">
        <w:rPr>
          <w:rFonts w:ascii="Times New Roman" w:hAnsi="Times New Roman" w:cs="Times New Roman"/>
        </w:rPr>
        <w:t>impact</w:t>
      </w:r>
      <w:r w:rsidR="00FE75D6" w:rsidRPr="00503F6C">
        <w:rPr>
          <w:rFonts w:ascii="Times New Roman" w:hAnsi="Times New Roman" w:cs="Times New Roman"/>
        </w:rPr>
        <w:t xml:space="preserve"> economic growth </w:t>
      </w:r>
      <w:r w:rsidR="00776849" w:rsidRPr="00503F6C">
        <w:rPr>
          <w:rFonts w:ascii="Times New Roman" w:hAnsi="Times New Roman" w:cs="Times New Roman"/>
        </w:rPr>
        <w:t xml:space="preserve">in </w:t>
      </w:r>
      <w:r w:rsidR="009078F2" w:rsidRPr="00503F6C">
        <w:rPr>
          <w:rFonts w:ascii="Times New Roman" w:hAnsi="Times New Roman" w:cs="Times New Roman"/>
        </w:rPr>
        <w:t xml:space="preserve">these </w:t>
      </w:r>
      <w:r w:rsidR="00776849" w:rsidRPr="00503F6C">
        <w:rPr>
          <w:rFonts w:ascii="Times New Roman" w:hAnsi="Times New Roman" w:cs="Times New Roman"/>
        </w:rPr>
        <w:t xml:space="preserve">countries. </w:t>
      </w:r>
      <w:r w:rsidR="00ED7314" w:rsidRPr="00503F6C">
        <w:rPr>
          <w:rFonts w:ascii="Times New Roman" w:hAnsi="Times New Roman" w:cs="Times New Roman"/>
        </w:rPr>
        <w:t xml:space="preserve">Neto et al., </w:t>
      </w:r>
      <w:r w:rsidR="00CB00C1" w:rsidRPr="00503F6C">
        <w:rPr>
          <w:rFonts w:ascii="Times New Roman" w:hAnsi="Times New Roman" w:cs="Times New Roman"/>
        </w:rPr>
        <w:t>2009</w:t>
      </w:r>
      <w:r w:rsidR="00CB00C1">
        <w:rPr>
          <w:rFonts w:ascii="Times New Roman" w:hAnsi="Times New Roman" w:cs="Times New Roman"/>
        </w:rPr>
        <w:t xml:space="preserve"> noted</w:t>
      </w:r>
      <w:r w:rsidR="00ED7314">
        <w:rPr>
          <w:rFonts w:ascii="Times New Roman" w:hAnsi="Times New Roman" w:cs="Times New Roman"/>
        </w:rPr>
        <w:t xml:space="preserve"> </w:t>
      </w:r>
      <w:r w:rsidR="00CB00C1">
        <w:rPr>
          <w:rFonts w:ascii="Times New Roman" w:hAnsi="Times New Roman" w:cs="Times New Roman"/>
        </w:rPr>
        <w:t xml:space="preserve">that </w:t>
      </w:r>
      <w:r w:rsidR="00CB00C1" w:rsidRPr="00503F6C">
        <w:rPr>
          <w:rFonts w:ascii="Times New Roman" w:hAnsi="Times New Roman" w:cs="Times New Roman"/>
        </w:rPr>
        <w:t>the</w:t>
      </w:r>
      <w:r w:rsidR="00ED7314" w:rsidRPr="00ED7314">
        <w:rPr>
          <w:rFonts w:ascii="Times New Roman" w:hAnsi="Times New Roman" w:cs="Times New Roman"/>
        </w:rPr>
        <w:t xml:space="preserve"> model also suggests that there are diminishing returns to capital, indicating that capital initially expands quickly in relation to the labor force, leading to a slowdown in economic growth compared to previous rates. At this juncture, the economy attains a steady state, where the labor force becomes crucial in achieving this stability. The labor supply within a nation can be increased through immigration, which boosts the workforce. As the population expands, work efforts increase due to more individuals pursuing employment, together with ongoing capital growth from investments, which are the key factors driving economic expansion, as indicated by the Solow </w:t>
      </w:r>
      <w:r w:rsidR="00CB00C1" w:rsidRPr="00ED7314">
        <w:rPr>
          <w:rFonts w:ascii="Times New Roman" w:hAnsi="Times New Roman" w:cs="Times New Roman"/>
        </w:rPr>
        <w:t>model</w:t>
      </w:r>
      <w:r w:rsidR="00CB00C1" w:rsidRPr="00503F6C">
        <w:rPr>
          <w:rFonts w:ascii="Times New Roman" w:hAnsi="Times New Roman" w:cs="Times New Roman"/>
        </w:rPr>
        <w:t xml:space="preserve"> (</w:t>
      </w:r>
      <w:commentRangeStart w:id="8"/>
      <w:r w:rsidR="00ED7314" w:rsidRPr="00503F6C">
        <w:rPr>
          <w:rFonts w:ascii="Times New Roman" w:hAnsi="Times New Roman" w:cs="Times New Roman"/>
        </w:rPr>
        <w:t>Adow, 2025</w:t>
      </w:r>
      <w:commentRangeEnd w:id="8"/>
      <w:r w:rsidR="00830FD5">
        <w:rPr>
          <w:rStyle w:val="CommentReference"/>
        </w:rPr>
        <w:commentReference w:id="8"/>
      </w:r>
      <w:r w:rsidR="00ED7314" w:rsidRPr="00503F6C">
        <w:rPr>
          <w:rFonts w:ascii="Times New Roman" w:hAnsi="Times New Roman" w:cs="Times New Roman"/>
        </w:rPr>
        <w:t>).</w:t>
      </w:r>
    </w:p>
    <w:p w14:paraId="11FB2EA2" w14:textId="77777777" w:rsidR="00ED7314" w:rsidRDefault="00ED7314" w:rsidP="00503F6C">
      <w:pPr>
        <w:spacing w:line="360" w:lineRule="auto"/>
        <w:jc w:val="both"/>
        <w:rPr>
          <w:rFonts w:ascii="Times New Roman" w:hAnsi="Times New Roman" w:cs="Times New Roman"/>
        </w:rPr>
      </w:pPr>
    </w:p>
    <w:p w14:paraId="578084CA" w14:textId="77777777" w:rsidR="00ED7314" w:rsidRDefault="00ED7314" w:rsidP="00503F6C">
      <w:pPr>
        <w:spacing w:line="360" w:lineRule="auto"/>
        <w:jc w:val="both"/>
        <w:rPr>
          <w:rFonts w:ascii="Times New Roman" w:hAnsi="Times New Roman" w:cs="Times New Roman"/>
        </w:rPr>
      </w:pPr>
    </w:p>
    <w:p w14:paraId="70FD4BA7" w14:textId="77777777" w:rsidR="00ED7314" w:rsidRDefault="00ED7314" w:rsidP="00503F6C">
      <w:pPr>
        <w:spacing w:line="360" w:lineRule="auto"/>
        <w:jc w:val="both"/>
        <w:rPr>
          <w:rFonts w:ascii="Times New Roman" w:hAnsi="Times New Roman" w:cs="Times New Roman"/>
        </w:rPr>
      </w:pPr>
    </w:p>
    <w:p w14:paraId="1A2622D3" w14:textId="4A77A68B" w:rsidR="000E34AC" w:rsidRPr="00503F6C" w:rsidRDefault="00A161A6" w:rsidP="00503F6C">
      <w:pPr>
        <w:spacing w:line="360" w:lineRule="auto"/>
        <w:jc w:val="both"/>
        <w:rPr>
          <w:rFonts w:ascii="Times New Roman" w:hAnsi="Times New Roman" w:cs="Times New Roman"/>
        </w:rPr>
      </w:pPr>
      <w:r w:rsidRPr="00503F6C">
        <w:rPr>
          <w:rFonts w:ascii="Times New Roman" w:hAnsi="Times New Roman" w:cs="Times New Roman"/>
        </w:rPr>
        <w:t xml:space="preserve">This labour growth can be related to immigrant trends in Nigeria. Also, technological progress plays a vital role in long-term economic growth by improving output independently of capital and labour inputs. Therefore, Solow's growth theory </w:t>
      </w:r>
      <w:r w:rsidR="006F1A43" w:rsidRPr="00503F6C">
        <w:rPr>
          <w:rFonts w:ascii="Times New Roman" w:hAnsi="Times New Roman" w:cs="Times New Roman"/>
        </w:rPr>
        <w:t>buttresses the</w:t>
      </w:r>
      <w:r w:rsidRPr="00503F6C">
        <w:rPr>
          <w:rFonts w:ascii="Times New Roman" w:hAnsi="Times New Roman" w:cs="Times New Roman"/>
        </w:rPr>
        <w:t xml:space="preserve"> interaction between capital accumulation, labour force growth, and innovation as important components promoting long-term economic growth while identifying the limitations imposed by diminishing returns on </w:t>
      </w:r>
      <w:r w:rsidR="006F1A43" w:rsidRPr="00503F6C">
        <w:rPr>
          <w:rFonts w:ascii="Times New Roman" w:hAnsi="Times New Roman" w:cs="Times New Roman"/>
        </w:rPr>
        <w:t>capital (</w:t>
      </w:r>
      <w:r w:rsidRPr="00503F6C">
        <w:rPr>
          <w:rFonts w:ascii="Times New Roman" w:hAnsi="Times New Roman" w:cs="Times New Roman"/>
        </w:rPr>
        <w:t>Neto et al., 2009).</w:t>
      </w:r>
    </w:p>
    <w:p w14:paraId="4412B618" w14:textId="77777777" w:rsidR="000C3EF1" w:rsidRPr="00503F6C" w:rsidRDefault="009A71CA" w:rsidP="00503F6C">
      <w:pPr>
        <w:spacing w:line="360" w:lineRule="auto"/>
        <w:jc w:val="both"/>
        <w:rPr>
          <w:rFonts w:ascii="Times New Roman" w:hAnsi="Times New Roman" w:cs="Times New Roman"/>
          <w:b/>
          <w:bCs/>
        </w:rPr>
      </w:pPr>
      <w:r>
        <w:rPr>
          <w:rFonts w:ascii="Times New Roman" w:hAnsi="Times New Roman" w:cs="Times New Roman"/>
          <w:b/>
          <w:bCs/>
        </w:rPr>
        <w:t xml:space="preserve">2.1.2 </w:t>
      </w:r>
      <w:r w:rsidR="0057244D" w:rsidRPr="00503F6C">
        <w:rPr>
          <w:rFonts w:ascii="Times New Roman" w:hAnsi="Times New Roman" w:cs="Times New Roman"/>
          <w:b/>
          <w:bCs/>
        </w:rPr>
        <w:t>Theory</w:t>
      </w:r>
      <w:r w:rsidR="000574A6" w:rsidRPr="00503F6C">
        <w:rPr>
          <w:rFonts w:ascii="Times New Roman" w:hAnsi="Times New Roman" w:cs="Times New Roman"/>
          <w:b/>
          <w:bCs/>
        </w:rPr>
        <w:t xml:space="preserve"> of Tempered Altruism </w:t>
      </w:r>
    </w:p>
    <w:p w14:paraId="1CE08E76" w14:textId="4622C566" w:rsidR="00E75790"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Onyike et al. (2020</w:t>
      </w:r>
      <w:r w:rsidR="00CB00C1">
        <w:rPr>
          <w:rFonts w:ascii="Times New Roman" w:hAnsi="Times New Roman" w:cs="Times New Roman"/>
        </w:rPr>
        <w:t xml:space="preserve">) </w:t>
      </w:r>
      <w:r w:rsidRPr="00503F6C">
        <w:rPr>
          <w:rFonts w:ascii="Times New Roman" w:hAnsi="Times New Roman" w:cs="Times New Roman"/>
        </w:rPr>
        <w:t xml:space="preserve">stated that </w:t>
      </w:r>
      <w:r w:rsidR="00936E04" w:rsidRPr="00503F6C">
        <w:rPr>
          <w:rFonts w:ascii="Times New Roman" w:hAnsi="Times New Roman" w:cs="Times New Roman"/>
        </w:rPr>
        <w:t>the</w:t>
      </w:r>
      <w:r w:rsidR="000574A6" w:rsidRPr="00503F6C">
        <w:rPr>
          <w:rFonts w:ascii="Times New Roman" w:hAnsi="Times New Roman" w:cs="Times New Roman"/>
        </w:rPr>
        <w:t xml:space="preserve"> </w:t>
      </w:r>
      <w:r w:rsidR="00143F2C" w:rsidRPr="00503F6C">
        <w:rPr>
          <w:rFonts w:ascii="Times New Roman" w:hAnsi="Times New Roman" w:cs="Times New Roman"/>
        </w:rPr>
        <w:t>T</w:t>
      </w:r>
      <w:r w:rsidR="000574A6" w:rsidRPr="00503F6C">
        <w:rPr>
          <w:rFonts w:ascii="Times New Roman" w:hAnsi="Times New Roman" w:cs="Times New Roman"/>
        </w:rPr>
        <w:t xml:space="preserve">heory </w:t>
      </w:r>
      <w:r w:rsidR="00143F2C" w:rsidRPr="00503F6C">
        <w:rPr>
          <w:rFonts w:ascii="Times New Roman" w:hAnsi="Times New Roman" w:cs="Times New Roman"/>
        </w:rPr>
        <w:t>of Tempered A</w:t>
      </w:r>
      <w:r w:rsidR="000574A6" w:rsidRPr="00503F6C">
        <w:rPr>
          <w:rFonts w:ascii="Times New Roman" w:hAnsi="Times New Roman" w:cs="Times New Roman"/>
        </w:rPr>
        <w:t xml:space="preserve">ltruism </w:t>
      </w:r>
      <w:r w:rsidR="00143F2C" w:rsidRPr="00503F6C">
        <w:rPr>
          <w:rFonts w:ascii="Times New Roman" w:hAnsi="Times New Roman" w:cs="Times New Roman"/>
        </w:rPr>
        <w:t xml:space="preserve">(TTA) </w:t>
      </w:r>
      <w:r w:rsidR="000574A6" w:rsidRPr="00503F6C">
        <w:rPr>
          <w:rFonts w:ascii="Times New Roman" w:hAnsi="Times New Roman" w:cs="Times New Roman"/>
        </w:rPr>
        <w:t xml:space="preserve">was developed by Stark and Lucas in 1985. This theory of remittances </w:t>
      </w:r>
      <w:r w:rsidR="00143F2C" w:rsidRPr="00503F6C">
        <w:rPr>
          <w:rFonts w:ascii="Times New Roman" w:hAnsi="Times New Roman" w:cs="Times New Roman"/>
        </w:rPr>
        <w:t xml:space="preserve">was propounded because </w:t>
      </w:r>
      <w:r w:rsidR="00936E04" w:rsidRPr="00503F6C">
        <w:rPr>
          <w:rFonts w:ascii="Times New Roman" w:hAnsi="Times New Roman" w:cs="Times New Roman"/>
        </w:rPr>
        <w:t>of the</w:t>
      </w:r>
      <w:r w:rsidR="00143F2C" w:rsidRPr="00503F6C">
        <w:rPr>
          <w:rFonts w:ascii="Times New Roman" w:hAnsi="Times New Roman" w:cs="Times New Roman"/>
        </w:rPr>
        <w:t xml:space="preserve"> weaknesses</w:t>
      </w:r>
      <w:r w:rsidR="000574A6" w:rsidRPr="00503F6C">
        <w:rPr>
          <w:rFonts w:ascii="Times New Roman" w:hAnsi="Times New Roman" w:cs="Times New Roman"/>
        </w:rPr>
        <w:t xml:space="preserve"> of the </w:t>
      </w:r>
      <w:r w:rsidR="00143F2C" w:rsidRPr="00503F6C">
        <w:rPr>
          <w:rFonts w:ascii="Times New Roman" w:hAnsi="Times New Roman" w:cs="Times New Roman"/>
        </w:rPr>
        <w:t>earlier</w:t>
      </w:r>
      <w:r w:rsidR="000574A6" w:rsidRPr="00503F6C">
        <w:rPr>
          <w:rFonts w:ascii="Times New Roman" w:hAnsi="Times New Roman" w:cs="Times New Roman"/>
        </w:rPr>
        <w:t xml:space="preserve"> theories trying to </w:t>
      </w:r>
      <w:r w:rsidR="00143F2C" w:rsidRPr="00503F6C">
        <w:rPr>
          <w:rFonts w:ascii="Times New Roman" w:hAnsi="Times New Roman" w:cs="Times New Roman"/>
        </w:rPr>
        <w:t xml:space="preserve">describe </w:t>
      </w:r>
      <w:r w:rsidR="000574A6" w:rsidRPr="00503F6C">
        <w:rPr>
          <w:rFonts w:ascii="Times New Roman" w:hAnsi="Times New Roman" w:cs="Times New Roman"/>
        </w:rPr>
        <w:t xml:space="preserve">the </w:t>
      </w:r>
      <w:r w:rsidR="00143F2C" w:rsidRPr="00503F6C">
        <w:rPr>
          <w:rFonts w:ascii="Times New Roman" w:hAnsi="Times New Roman" w:cs="Times New Roman"/>
        </w:rPr>
        <w:t>characteristics</w:t>
      </w:r>
      <w:r w:rsidR="000574A6" w:rsidRPr="00503F6C">
        <w:rPr>
          <w:rFonts w:ascii="Times New Roman" w:hAnsi="Times New Roman" w:cs="Times New Roman"/>
        </w:rPr>
        <w:t xml:space="preserve"> of </w:t>
      </w:r>
      <w:r w:rsidR="00936E04" w:rsidRPr="00503F6C">
        <w:rPr>
          <w:rFonts w:ascii="Times New Roman" w:hAnsi="Times New Roman" w:cs="Times New Roman"/>
        </w:rPr>
        <w:t>remittances (</w:t>
      </w:r>
      <w:r w:rsidR="00143F2C" w:rsidRPr="00503F6C">
        <w:rPr>
          <w:rFonts w:ascii="Times New Roman" w:hAnsi="Times New Roman" w:cs="Times New Roman"/>
        </w:rPr>
        <w:t xml:space="preserve">Otame, 2023). The </w:t>
      </w:r>
      <w:r w:rsidR="004B1BBA" w:rsidRPr="00503F6C">
        <w:rPr>
          <w:rFonts w:ascii="Times New Roman" w:hAnsi="Times New Roman" w:cs="Times New Roman"/>
        </w:rPr>
        <w:t xml:space="preserve">TTA  </w:t>
      </w:r>
      <w:r w:rsidR="00936E04" w:rsidRPr="00503F6C">
        <w:rPr>
          <w:rFonts w:ascii="Times New Roman" w:hAnsi="Times New Roman" w:cs="Times New Roman"/>
        </w:rPr>
        <w:t xml:space="preserve">states that remittances are core attributes of the </w:t>
      </w:r>
      <w:r w:rsidRPr="00503F6C">
        <w:rPr>
          <w:rFonts w:ascii="Times New Roman" w:hAnsi="Times New Roman" w:cs="Times New Roman"/>
        </w:rPr>
        <w:t>mutually agreed</w:t>
      </w:r>
      <w:r w:rsidR="00936E04" w:rsidRPr="00503F6C">
        <w:rPr>
          <w:rFonts w:ascii="Times New Roman" w:hAnsi="Times New Roman" w:cs="Times New Roman"/>
        </w:rPr>
        <w:t xml:space="preserve"> beneficial contractual plan established between the migrant and the household in the country of origin </w:t>
      </w:r>
      <w:r w:rsidRPr="00503F6C">
        <w:rPr>
          <w:rFonts w:ascii="Times New Roman" w:hAnsi="Times New Roman" w:cs="Times New Roman"/>
        </w:rPr>
        <w:t>(</w:t>
      </w:r>
      <w:r w:rsidR="00936E04" w:rsidRPr="00503F6C">
        <w:rPr>
          <w:rFonts w:ascii="Times New Roman" w:hAnsi="Times New Roman" w:cs="Times New Roman"/>
        </w:rPr>
        <w:t xml:space="preserve">Mahmud, 2020; Otame, 2023). </w:t>
      </w:r>
      <w:r w:rsidR="007577FF" w:rsidRPr="00503F6C">
        <w:rPr>
          <w:rFonts w:ascii="Times New Roman" w:hAnsi="Times New Roman" w:cs="Times New Roman"/>
        </w:rPr>
        <w:t xml:space="preserve">These contracts are </w:t>
      </w:r>
      <w:r w:rsidR="007517BB" w:rsidRPr="00503F6C">
        <w:rPr>
          <w:rFonts w:ascii="Times New Roman" w:hAnsi="Times New Roman" w:cs="Times New Roman"/>
        </w:rPr>
        <w:t>informal and voluntary</w:t>
      </w:r>
      <w:r w:rsidR="00ED4BBE" w:rsidRPr="00503F6C">
        <w:rPr>
          <w:rFonts w:ascii="Times New Roman" w:hAnsi="Times New Roman" w:cs="Times New Roman"/>
        </w:rPr>
        <w:t xml:space="preserve"> with</w:t>
      </w:r>
      <w:r w:rsidR="007577FF" w:rsidRPr="00503F6C">
        <w:rPr>
          <w:rFonts w:ascii="Times New Roman" w:hAnsi="Times New Roman" w:cs="Times New Roman"/>
        </w:rPr>
        <w:t xml:space="preserve"> self-enforcing</w:t>
      </w:r>
      <w:r w:rsidR="00ED4BBE" w:rsidRPr="00503F6C">
        <w:rPr>
          <w:rFonts w:ascii="Times New Roman" w:hAnsi="Times New Roman" w:cs="Times New Roman"/>
        </w:rPr>
        <w:t xml:space="preserve"> features</w:t>
      </w:r>
      <w:r w:rsidR="007517BB" w:rsidRPr="00503F6C">
        <w:rPr>
          <w:rFonts w:ascii="Times New Roman" w:hAnsi="Times New Roman" w:cs="Times New Roman"/>
        </w:rPr>
        <w:t>.</w:t>
      </w:r>
      <w:r w:rsidR="007577FF" w:rsidRPr="00503F6C">
        <w:rPr>
          <w:rFonts w:ascii="Times New Roman" w:hAnsi="Times New Roman" w:cs="Times New Roman"/>
        </w:rPr>
        <w:t xml:space="preserve"> The severe</w:t>
      </w:r>
      <w:r w:rsidR="00936E04" w:rsidRPr="00503F6C">
        <w:rPr>
          <w:rFonts w:ascii="Times New Roman" w:hAnsi="Times New Roman" w:cs="Times New Roman"/>
        </w:rPr>
        <w:t xml:space="preserve"> economic </w:t>
      </w:r>
      <w:r w:rsidR="007517BB" w:rsidRPr="00503F6C">
        <w:rPr>
          <w:rFonts w:ascii="Times New Roman" w:hAnsi="Times New Roman" w:cs="Times New Roman"/>
        </w:rPr>
        <w:t>conditions of the migrant</w:t>
      </w:r>
      <w:r w:rsidRPr="00503F6C">
        <w:rPr>
          <w:rFonts w:ascii="Times New Roman" w:hAnsi="Times New Roman" w:cs="Times New Roman"/>
        </w:rPr>
        <w:t>'s country</w:t>
      </w:r>
      <w:r w:rsidR="00936E04" w:rsidRPr="00503F6C">
        <w:rPr>
          <w:rFonts w:ascii="Times New Roman" w:hAnsi="Times New Roman" w:cs="Times New Roman"/>
        </w:rPr>
        <w:t xml:space="preserve"> or home </w:t>
      </w:r>
      <w:r w:rsidR="007517BB" w:rsidRPr="00503F6C">
        <w:rPr>
          <w:rFonts w:ascii="Times New Roman" w:hAnsi="Times New Roman" w:cs="Times New Roman"/>
        </w:rPr>
        <w:t xml:space="preserve">country </w:t>
      </w:r>
      <w:r w:rsidR="004B1BBA" w:rsidRPr="00503F6C">
        <w:rPr>
          <w:rFonts w:ascii="Times New Roman" w:hAnsi="Times New Roman" w:cs="Times New Roman"/>
        </w:rPr>
        <w:t>influence</w:t>
      </w:r>
      <w:r w:rsidR="00936E04" w:rsidRPr="00503F6C">
        <w:rPr>
          <w:rFonts w:ascii="Times New Roman" w:hAnsi="Times New Roman" w:cs="Times New Roman"/>
        </w:rPr>
        <w:t xml:space="preserve"> and </w:t>
      </w:r>
      <w:r w:rsidR="004B1BBA" w:rsidRPr="00503F6C">
        <w:rPr>
          <w:rFonts w:ascii="Times New Roman" w:hAnsi="Times New Roman" w:cs="Times New Roman"/>
        </w:rPr>
        <w:t>motivate the</w:t>
      </w:r>
      <w:r w:rsidR="00936E04" w:rsidRPr="00503F6C">
        <w:rPr>
          <w:rFonts w:ascii="Times New Roman" w:hAnsi="Times New Roman" w:cs="Times New Roman"/>
        </w:rPr>
        <w:t xml:space="preserve"> flow of remittance money</w:t>
      </w:r>
      <w:r w:rsidR="00257BA8" w:rsidRPr="00503F6C">
        <w:rPr>
          <w:rFonts w:ascii="Times New Roman" w:hAnsi="Times New Roman" w:cs="Times New Roman"/>
        </w:rPr>
        <w:t xml:space="preserve"> (Nawaz et al</w:t>
      </w:r>
      <w:r w:rsidR="004B1BBA" w:rsidRPr="00503F6C">
        <w:rPr>
          <w:rFonts w:ascii="Times New Roman" w:hAnsi="Times New Roman" w:cs="Times New Roman"/>
        </w:rPr>
        <w:t>.,</w:t>
      </w:r>
      <w:r w:rsidR="00257BA8" w:rsidRPr="00503F6C">
        <w:rPr>
          <w:rFonts w:ascii="Times New Roman" w:hAnsi="Times New Roman" w:cs="Times New Roman"/>
        </w:rPr>
        <w:t xml:space="preserve"> 2023). </w:t>
      </w:r>
      <w:r w:rsidR="00936E04" w:rsidRPr="00503F6C">
        <w:rPr>
          <w:rFonts w:ascii="Times New Roman" w:hAnsi="Times New Roman" w:cs="Times New Roman"/>
        </w:rPr>
        <w:t xml:space="preserve">Based on the contract, when the migrants </w:t>
      </w:r>
      <w:r w:rsidRPr="00503F6C">
        <w:rPr>
          <w:rFonts w:ascii="Times New Roman" w:hAnsi="Times New Roman" w:cs="Times New Roman"/>
        </w:rPr>
        <w:t>are unemployed</w:t>
      </w:r>
      <w:r w:rsidR="00936E04" w:rsidRPr="00503F6C">
        <w:rPr>
          <w:rFonts w:ascii="Times New Roman" w:hAnsi="Times New Roman" w:cs="Times New Roman"/>
        </w:rPr>
        <w:t xml:space="preserve"> or lose their sources of </w:t>
      </w:r>
      <w:r w:rsidRPr="00503F6C">
        <w:rPr>
          <w:rFonts w:ascii="Times New Roman" w:hAnsi="Times New Roman" w:cs="Times New Roman"/>
        </w:rPr>
        <w:t>income</w:t>
      </w:r>
      <w:r w:rsidR="00936E04" w:rsidRPr="00503F6C">
        <w:rPr>
          <w:rFonts w:ascii="Times New Roman" w:hAnsi="Times New Roman" w:cs="Times New Roman"/>
        </w:rPr>
        <w:t xml:space="preserve">, the </w:t>
      </w:r>
      <w:r w:rsidRPr="00503F6C">
        <w:rPr>
          <w:rFonts w:ascii="Times New Roman" w:hAnsi="Times New Roman" w:cs="Times New Roman"/>
        </w:rPr>
        <w:t>migrant’s</w:t>
      </w:r>
      <w:r w:rsidR="00936E04" w:rsidRPr="00503F6C">
        <w:rPr>
          <w:rFonts w:ascii="Times New Roman" w:hAnsi="Times New Roman" w:cs="Times New Roman"/>
        </w:rPr>
        <w:t xml:space="preserve"> family should assist by sending money to </w:t>
      </w:r>
      <w:r w:rsidRPr="00503F6C">
        <w:rPr>
          <w:rFonts w:ascii="Times New Roman" w:hAnsi="Times New Roman" w:cs="Times New Roman"/>
        </w:rPr>
        <w:t xml:space="preserve">these </w:t>
      </w:r>
      <w:r w:rsidR="004B1BBA" w:rsidRPr="00503F6C">
        <w:rPr>
          <w:rFonts w:ascii="Times New Roman" w:hAnsi="Times New Roman" w:cs="Times New Roman"/>
        </w:rPr>
        <w:t>migrants (Otame, 2023).</w:t>
      </w:r>
    </w:p>
    <w:p w14:paraId="6DC6133D" w14:textId="361CAA14" w:rsidR="00ED4BBE"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Lucas and Stark tried to better explain the complex connection between the motives of altruism and self-interest </w:t>
      </w:r>
      <w:r w:rsidR="007577FF" w:rsidRPr="00503F6C">
        <w:rPr>
          <w:rFonts w:ascii="Times New Roman" w:hAnsi="Times New Roman" w:cs="Times New Roman"/>
        </w:rPr>
        <w:t>in earlier</w:t>
      </w:r>
      <w:r w:rsidRPr="00503F6C">
        <w:rPr>
          <w:rFonts w:ascii="Times New Roman" w:hAnsi="Times New Roman" w:cs="Times New Roman"/>
        </w:rPr>
        <w:t xml:space="preserve"> theories that separated the purely altruistic motive </w:t>
      </w:r>
      <w:r w:rsidR="007577FF" w:rsidRPr="00503F6C">
        <w:rPr>
          <w:rFonts w:ascii="Times New Roman" w:hAnsi="Times New Roman" w:cs="Times New Roman"/>
        </w:rPr>
        <w:t>from the mutual benefit motive</w:t>
      </w:r>
      <w:r w:rsidR="007517BB" w:rsidRPr="00503F6C">
        <w:rPr>
          <w:rFonts w:ascii="Times New Roman" w:hAnsi="Times New Roman" w:cs="Times New Roman"/>
        </w:rPr>
        <w:t xml:space="preserve">. They </w:t>
      </w:r>
      <w:r w:rsidR="007577FF" w:rsidRPr="00503F6C">
        <w:rPr>
          <w:rFonts w:ascii="Times New Roman" w:hAnsi="Times New Roman" w:cs="Times New Roman"/>
        </w:rPr>
        <w:t xml:space="preserve">coined </w:t>
      </w:r>
      <w:r w:rsidRPr="00503F6C">
        <w:rPr>
          <w:rFonts w:ascii="Times New Roman" w:hAnsi="Times New Roman" w:cs="Times New Roman"/>
        </w:rPr>
        <w:t>the concept of "tempered altruism" (Mahmud, 2020)</w:t>
      </w:r>
      <w:r w:rsidR="004B1BBA" w:rsidRPr="00503F6C">
        <w:rPr>
          <w:rFonts w:ascii="Times New Roman" w:hAnsi="Times New Roman" w:cs="Times New Roman"/>
        </w:rPr>
        <w:t xml:space="preserve">. </w:t>
      </w:r>
      <w:r w:rsidRPr="00503F6C">
        <w:rPr>
          <w:rFonts w:ascii="Times New Roman" w:hAnsi="Times New Roman" w:cs="Times New Roman"/>
        </w:rPr>
        <w:t xml:space="preserve">The mutually beneficial contractual agreement between the migrant and the household in </w:t>
      </w:r>
      <w:r w:rsidR="0057244D" w:rsidRPr="00503F6C">
        <w:rPr>
          <w:rFonts w:ascii="Times New Roman" w:hAnsi="Times New Roman" w:cs="Times New Roman"/>
        </w:rPr>
        <w:t>the home</w:t>
      </w:r>
      <w:r w:rsidRPr="00503F6C">
        <w:rPr>
          <w:rFonts w:ascii="Times New Roman" w:hAnsi="Times New Roman" w:cs="Times New Roman"/>
        </w:rPr>
        <w:t xml:space="preserve"> countries has some risk elements and tends to reduce poverty and promote economic </w:t>
      </w:r>
      <w:r w:rsidR="00915029" w:rsidRPr="00503F6C">
        <w:rPr>
          <w:rFonts w:ascii="Times New Roman" w:hAnsi="Times New Roman" w:cs="Times New Roman"/>
        </w:rPr>
        <w:t>growth</w:t>
      </w:r>
      <w:r w:rsidR="00915029">
        <w:rPr>
          <w:rFonts w:ascii="Times New Roman" w:hAnsi="Times New Roman" w:cs="Times New Roman"/>
        </w:rPr>
        <w:t xml:space="preserve"> </w:t>
      </w:r>
      <w:r w:rsidR="00915029" w:rsidRPr="00503F6C">
        <w:rPr>
          <w:rFonts w:ascii="Times New Roman" w:hAnsi="Times New Roman" w:cs="Times New Roman"/>
        </w:rPr>
        <w:t>(</w:t>
      </w:r>
      <w:r w:rsidR="00915029">
        <w:rPr>
          <w:rFonts w:ascii="Times New Roman" w:hAnsi="Times New Roman" w:cs="Times New Roman"/>
        </w:rPr>
        <w:t>Mahmud</w:t>
      </w:r>
      <w:r w:rsidRPr="00503F6C">
        <w:rPr>
          <w:rFonts w:ascii="Times New Roman" w:hAnsi="Times New Roman" w:cs="Times New Roman"/>
        </w:rPr>
        <w:t xml:space="preserve">, 2020; Otame, 2023; Onyike et al., 2020). </w:t>
      </w:r>
      <w:r w:rsidR="007517BB" w:rsidRPr="00503F6C">
        <w:rPr>
          <w:rFonts w:ascii="Times New Roman" w:hAnsi="Times New Roman" w:cs="Times New Roman"/>
        </w:rPr>
        <w:t xml:space="preserve">The principle advocates that migrants will remit to family members for their consumption or investment. </w:t>
      </w:r>
      <w:r w:rsidRPr="00503F6C">
        <w:rPr>
          <w:rFonts w:ascii="Times New Roman" w:hAnsi="Times New Roman" w:cs="Times New Roman"/>
        </w:rPr>
        <w:t xml:space="preserve">The family in </w:t>
      </w:r>
      <w:r w:rsidR="002A1C74" w:rsidRPr="00503F6C">
        <w:rPr>
          <w:rFonts w:ascii="Times New Roman" w:hAnsi="Times New Roman" w:cs="Times New Roman"/>
        </w:rPr>
        <w:t>the home</w:t>
      </w:r>
      <w:r w:rsidR="007517BB" w:rsidRPr="00503F6C">
        <w:rPr>
          <w:rFonts w:ascii="Times New Roman" w:hAnsi="Times New Roman" w:cs="Times New Roman"/>
        </w:rPr>
        <w:t xml:space="preserve"> </w:t>
      </w:r>
      <w:r w:rsidR="002A1C74" w:rsidRPr="00503F6C">
        <w:rPr>
          <w:rFonts w:ascii="Times New Roman" w:hAnsi="Times New Roman" w:cs="Times New Roman"/>
        </w:rPr>
        <w:t>countries usually</w:t>
      </w:r>
      <w:r w:rsidRPr="00503F6C">
        <w:rPr>
          <w:rFonts w:ascii="Times New Roman" w:hAnsi="Times New Roman" w:cs="Times New Roman"/>
        </w:rPr>
        <w:t xml:space="preserve"> invests by educating the migrant worker and expects </w:t>
      </w:r>
      <w:r w:rsidR="007517BB" w:rsidRPr="00503F6C">
        <w:rPr>
          <w:rFonts w:ascii="Times New Roman" w:hAnsi="Times New Roman" w:cs="Times New Roman"/>
        </w:rPr>
        <w:t>inflows and</w:t>
      </w:r>
      <w:r w:rsidRPr="00503F6C">
        <w:rPr>
          <w:rFonts w:ascii="Times New Roman" w:hAnsi="Times New Roman" w:cs="Times New Roman"/>
        </w:rPr>
        <w:t xml:space="preserve"> return on </w:t>
      </w:r>
      <w:r w:rsidR="002A1C74" w:rsidRPr="00503F6C">
        <w:rPr>
          <w:rFonts w:ascii="Times New Roman" w:hAnsi="Times New Roman" w:cs="Times New Roman"/>
        </w:rPr>
        <w:t>investment in</w:t>
      </w:r>
      <w:r w:rsidRPr="00503F6C">
        <w:rPr>
          <w:rFonts w:ascii="Times New Roman" w:hAnsi="Times New Roman" w:cs="Times New Roman"/>
        </w:rPr>
        <w:t xml:space="preserve"> remittances as they believe </w:t>
      </w:r>
      <w:r w:rsidR="002A1C74" w:rsidRPr="00503F6C">
        <w:rPr>
          <w:rFonts w:ascii="Times New Roman" w:hAnsi="Times New Roman" w:cs="Times New Roman"/>
        </w:rPr>
        <w:t>education</w:t>
      </w:r>
      <w:r w:rsidRPr="00503F6C">
        <w:rPr>
          <w:rFonts w:ascii="Times New Roman" w:hAnsi="Times New Roman" w:cs="Times New Roman"/>
        </w:rPr>
        <w:t xml:space="preserve"> </w:t>
      </w:r>
      <w:r w:rsidR="002A1C74" w:rsidRPr="00503F6C">
        <w:rPr>
          <w:rFonts w:ascii="Times New Roman" w:hAnsi="Times New Roman" w:cs="Times New Roman"/>
        </w:rPr>
        <w:t>is their</w:t>
      </w:r>
      <w:r w:rsidRPr="00503F6C">
        <w:rPr>
          <w:rFonts w:ascii="Times New Roman" w:hAnsi="Times New Roman" w:cs="Times New Roman"/>
        </w:rPr>
        <w:t xml:space="preserve"> </w:t>
      </w:r>
      <w:r w:rsidR="007517BB" w:rsidRPr="00503F6C">
        <w:rPr>
          <w:rFonts w:ascii="Times New Roman" w:hAnsi="Times New Roman" w:cs="Times New Roman"/>
        </w:rPr>
        <w:t xml:space="preserve">investment. </w:t>
      </w:r>
      <w:r w:rsidRPr="00503F6C">
        <w:rPr>
          <w:rFonts w:ascii="Times New Roman" w:hAnsi="Times New Roman" w:cs="Times New Roman"/>
        </w:rPr>
        <w:t>The</w:t>
      </w:r>
      <w:r w:rsidR="007517BB" w:rsidRPr="00503F6C">
        <w:rPr>
          <w:rFonts w:ascii="Times New Roman" w:hAnsi="Times New Roman" w:cs="Times New Roman"/>
        </w:rPr>
        <w:t xml:space="preserve">refore, </w:t>
      </w:r>
      <w:r w:rsidRPr="00503F6C">
        <w:rPr>
          <w:rFonts w:ascii="Times New Roman" w:hAnsi="Times New Roman" w:cs="Times New Roman"/>
        </w:rPr>
        <w:t xml:space="preserve">Lucas and Stark suggested that "mutual </w:t>
      </w:r>
      <w:r w:rsidR="002A1C74" w:rsidRPr="00503F6C">
        <w:rPr>
          <w:rFonts w:ascii="Times New Roman" w:hAnsi="Times New Roman" w:cs="Times New Roman"/>
        </w:rPr>
        <w:t>altruism” as</w:t>
      </w:r>
      <w:r w:rsidR="007517BB" w:rsidRPr="00503F6C">
        <w:rPr>
          <w:rFonts w:ascii="Times New Roman" w:hAnsi="Times New Roman" w:cs="Times New Roman"/>
        </w:rPr>
        <w:t xml:space="preserve"> </w:t>
      </w:r>
      <w:r w:rsidR="002A1C74" w:rsidRPr="00503F6C">
        <w:rPr>
          <w:rFonts w:ascii="Times New Roman" w:hAnsi="Times New Roman" w:cs="Times New Roman"/>
        </w:rPr>
        <w:t>an ethical</w:t>
      </w:r>
      <w:r w:rsidR="007517BB" w:rsidRPr="00503F6C">
        <w:rPr>
          <w:rFonts w:ascii="Times New Roman" w:hAnsi="Times New Roman" w:cs="Times New Roman"/>
        </w:rPr>
        <w:t xml:space="preserve"> doctrine is </w:t>
      </w:r>
      <w:r w:rsidRPr="00503F6C">
        <w:rPr>
          <w:rFonts w:ascii="Times New Roman" w:hAnsi="Times New Roman" w:cs="Times New Roman"/>
        </w:rPr>
        <w:t xml:space="preserve">the most </w:t>
      </w:r>
      <w:r w:rsidR="007517BB" w:rsidRPr="00503F6C">
        <w:rPr>
          <w:rFonts w:ascii="Times New Roman" w:hAnsi="Times New Roman" w:cs="Times New Roman"/>
        </w:rPr>
        <w:t>apparent</w:t>
      </w:r>
      <w:r w:rsidRPr="00503F6C">
        <w:rPr>
          <w:rFonts w:ascii="Times New Roman" w:hAnsi="Times New Roman" w:cs="Times New Roman"/>
        </w:rPr>
        <w:t xml:space="preserve"> force that ensures the </w:t>
      </w:r>
      <w:r w:rsidRPr="00503F6C">
        <w:rPr>
          <w:rFonts w:ascii="Times New Roman" w:hAnsi="Times New Roman" w:cs="Times New Roman"/>
        </w:rPr>
        <w:lastRenderedPageBreak/>
        <w:t>compliance of both the migrant and the family</w:t>
      </w:r>
      <w:r w:rsidR="007517BB" w:rsidRPr="00503F6C">
        <w:rPr>
          <w:rFonts w:ascii="Times New Roman" w:hAnsi="Times New Roman" w:cs="Times New Roman"/>
        </w:rPr>
        <w:t xml:space="preserve">. </w:t>
      </w:r>
      <w:r w:rsidR="002A1C74" w:rsidRPr="00503F6C">
        <w:rPr>
          <w:rFonts w:ascii="Times New Roman" w:hAnsi="Times New Roman" w:cs="Times New Roman"/>
        </w:rPr>
        <w:t>Proponents of this theory submit that family members (migrants and recipients) must assist each other(Mahmud, 2020; Otame, 2023; Onyike et.al, 2020). One</w:t>
      </w:r>
      <w:r w:rsidR="007517BB" w:rsidRPr="00503F6C">
        <w:rPr>
          <w:rFonts w:ascii="Times New Roman" w:hAnsi="Times New Roman" w:cs="Times New Roman"/>
        </w:rPr>
        <w:t xml:space="preserve"> </w:t>
      </w:r>
      <w:r w:rsidR="002A1C74" w:rsidRPr="00503F6C">
        <w:rPr>
          <w:rFonts w:ascii="Times New Roman" w:hAnsi="Times New Roman" w:cs="Times New Roman"/>
        </w:rPr>
        <w:t>limitation</w:t>
      </w:r>
      <w:r w:rsidR="007517BB" w:rsidRPr="00503F6C">
        <w:rPr>
          <w:rFonts w:ascii="Times New Roman" w:hAnsi="Times New Roman" w:cs="Times New Roman"/>
        </w:rPr>
        <w:t xml:space="preserve"> of this </w:t>
      </w:r>
      <w:r w:rsidR="002A1C74" w:rsidRPr="00503F6C">
        <w:rPr>
          <w:rFonts w:ascii="Times New Roman" w:hAnsi="Times New Roman" w:cs="Times New Roman"/>
        </w:rPr>
        <w:t>theory is the</w:t>
      </w:r>
      <w:r w:rsidR="007517BB" w:rsidRPr="00503F6C">
        <w:rPr>
          <w:rFonts w:ascii="Times New Roman" w:hAnsi="Times New Roman" w:cs="Times New Roman"/>
        </w:rPr>
        <w:t xml:space="preserve"> inability to enforce the </w:t>
      </w:r>
      <w:r w:rsidR="002A1C74" w:rsidRPr="00503F6C">
        <w:rPr>
          <w:rFonts w:ascii="Times New Roman" w:hAnsi="Times New Roman" w:cs="Times New Roman"/>
        </w:rPr>
        <w:t>contract</w:t>
      </w:r>
      <w:r w:rsidR="007517BB" w:rsidRPr="00503F6C">
        <w:rPr>
          <w:rFonts w:ascii="Times New Roman" w:hAnsi="Times New Roman" w:cs="Times New Roman"/>
        </w:rPr>
        <w:t xml:space="preserve"> due to </w:t>
      </w:r>
      <w:r w:rsidR="002A1C74" w:rsidRPr="00503F6C">
        <w:rPr>
          <w:rFonts w:ascii="Times New Roman" w:hAnsi="Times New Roman" w:cs="Times New Roman"/>
        </w:rPr>
        <w:t>behavio</w:t>
      </w:r>
      <w:r w:rsidR="007517BB" w:rsidRPr="00503F6C">
        <w:rPr>
          <w:rFonts w:ascii="Times New Roman" w:hAnsi="Times New Roman" w:cs="Times New Roman"/>
        </w:rPr>
        <w:t xml:space="preserve">ural </w:t>
      </w:r>
      <w:r w:rsidR="002A1C74" w:rsidRPr="00503F6C">
        <w:rPr>
          <w:rFonts w:ascii="Times New Roman" w:hAnsi="Times New Roman" w:cs="Times New Roman"/>
        </w:rPr>
        <w:t>tendencies</w:t>
      </w:r>
      <w:r w:rsidR="007517BB" w:rsidRPr="00503F6C">
        <w:rPr>
          <w:rFonts w:ascii="Times New Roman" w:hAnsi="Times New Roman" w:cs="Times New Roman"/>
        </w:rPr>
        <w:t xml:space="preserve">, which always bring about the element of </w:t>
      </w:r>
      <w:r w:rsidR="002A1C74" w:rsidRPr="00503F6C">
        <w:rPr>
          <w:rFonts w:ascii="Times New Roman" w:hAnsi="Times New Roman" w:cs="Times New Roman"/>
        </w:rPr>
        <w:t>self-interest.</w:t>
      </w:r>
    </w:p>
    <w:p w14:paraId="62DD0B36" w14:textId="77777777" w:rsidR="002A1C74" w:rsidRPr="00503F6C" w:rsidRDefault="009A71CA" w:rsidP="00503F6C">
      <w:pPr>
        <w:spacing w:line="360" w:lineRule="auto"/>
        <w:jc w:val="both"/>
        <w:rPr>
          <w:rFonts w:ascii="Times New Roman" w:hAnsi="Times New Roman" w:cs="Times New Roman"/>
          <w:b/>
          <w:bCs/>
        </w:rPr>
      </w:pPr>
      <w:r>
        <w:rPr>
          <w:rFonts w:ascii="Times New Roman" w:hAnsi="Times New Roman" w:cs="Times New Roman"/>
          <w:b/>
          <w:bCs/>
        </w:rPr>
        <w:t xml:space="preserve">2.1.3 </w:t>
      </w:r>
      <w:r w:rsidRPr="00503F6C">
        <w:rPr>
          <w:rFonts w:ascii="Times New Roman" w:hAnsi="Times New Roman" w:cs="Times New Roman"/>
          <w:b/>
          <w:bCs/>
        </w:rPr>
        <w:t xml:space="preserve">The Prospect Theory </w:t>
      </w:r>
    </w:p>
    <w:p w14:paraId="550400CA" w14:textId="6B714C71" w:rsidR="00AB06D1"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Otame </w:t>
      </w:r>
      <w:r w:rsidR="00915029" w:rsidRPr="00503F6C">
        <w:rPr>
          <w:rFonts w:ascii="Times New Roman" w:hAnsi="Times New Roman" w:cs="Times New Roman"/>
        </w:rPr>
        <w:t>(2023</w:t>
      </w:r>
      <w:r w:rsidRPr="00503F6C">
        <w:rPr>
          <w:rFonts w:ascii="Times New Roman" w:hAnsi="Times New Roman" w:cs="Times New Roman"/>
        </w:rPr>
        <w:t>) stated that</w:t>
      </w:r>
      <w:bookmarkStart w:id="9" w:name="_Hlk182741484"/>
      <w:r w:rsidR="0067654D" w:rsidRPr="00503F6C">
        <w:rPr>
          <w:rFonts w:ascii="Times New Roman" w:hAnsi="Times New Roman" w:cs="Times New Roman"/>
        </w:rPr>
        <w:t xml:space="preserve"> </w:t>
      </w:r>
      <w:r w:rsidR="00915029" w:rsidRPr="00503F6C">
        <w:rPr>
          <w:rFonts w:ascii="Times New Roman" w:hAnsi="Times New Roman" w:cs="Times New Roman"/>
        </w:rPr>
        <w:t>Prospect</w:t>
      </w:r>
      <w:r w:rsidRPr="00503F6C">
        <w:rPr>
          <w:rFonts w:ascii="Times New Roman" w:hAnsi="Times New Roman" w:cs="Times New Roman"/>
        </w:rPr>
        <w:t xml:space="preserve"> </w:t>
      </w:r>
      <w:r w:rsidR="00915029">
        <w:rPr>
          <w:rFonts w:ascii="Times New Roman" w:hAnsi="Times New Roman" w:cs="Times New Roman"/>
        </w:rPr>
        <w:t>T</w:t>
      </w:r>
      <w:r w:rsidRPr="00503F6C">
        <w:rPr>
          <w:rFonts w:ascii="Times New Roman" w:hAnsi="Times New Roman" w:cs="Times New Roman"/>
        </w:rPr>
        <w:t xml:space="preserve">heory </w:t>
      </w:r>
      <w:bookmarkEnd w:id="9"/>
      <w:r w:rsidRPr="00503F6C">
        <w:rPr>
          <w:rFonts w:ascii="Times New Roman" w:hAnsi="Times New Roman" w:cs="Times New Roman"/>
        </w:rPr>
        <w:t xml:space="preserve">was developed by Kahneman and Tversky (1979); the theory examines behavioural decisions when faced with uncertainties. The theory provided an alternative view to the expected utility theory of decision-making under risk (Ruggeri et al., </w:t>
      </w:r>
      <w:r w:rsidR="00982493" w:rsidRPr="00503F6C">
        <w:rPr>
          <w:rFonts w:ascii="Times New Roman" w:hAnsi="Times New Roman" w:cs="Times New Roman"/>
        </w:rPr>
        <w:t>2020). This</w:t>
      </w:r>
      <w:r w:rsidRPr="00503F6C">
        <w:rPr>
          <w:rFonts w:ascii="Times New Roman" w:hAnsi="Times New Roman" w:cs="Times New Roman"/>
        </w:rPr>
        <w:t xml:space="preserve"> theory attempts to associate migrant remittances with the intentions behind these remittances. The theory argues that when faced with uncertainties, decision-makers assess outcomes in terms of benefits and costs relative to their reference point in their choice selection (Ruggeri et al., 2020)</w:t>
      </w:r>
    </w:p>
    <w:p w14:paraId="159F2DFC" w14:textId="68A3F279" w:rsidR="009A03A7"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 This is a total departure from traditional expected utility theory because the Prospect theory incorporates psychological biases when individuals make </w:t>
      </w:r>
      <w:r w:rsidR="0067654D" w:rsidRPr="00503F6C">
        <w:rPr>
          <w:rFonts w:ascii="Times New Roman" w:hAnsi="Times New Roman" w:cs="Times New Roman"/>
        </w:rPr>
        <w:t>decisions under</w:t>
      </w:r>
      <w:r w:rsidRPr="00503F6C">
        <w:rPr>
          <w:rFonts w:ascii="Times New Roman" w:hAnsi="Times New Roman" w:cs="Times New Roman"/>
        </w:rPr>
        <w:t xml:space="preserve"> risk and </w:t>
      </w:r>
      <w:r w:rsidR="0067654D" w:rsidRPr="00503F6C">
        <w:rPr>
          <w:rFonts w:ascii="Times New Roman" w:hAnsi="Times New Roman" w:cs="Times New Roman"/>
        </w:rPr>
        <w:t xml:space="preserve">uncertainties. Although the utility theory focuses on making choices among alternatives, the theory postulates that the most </w:t>
      </w:r>
      <w:r w:rsidR="00982493" w:rsidRPr="00503F6C">
        <w:rPr>
          <w:rFonts w:ascii="Times New Roman" w:hAnsi="Times New Roman" w:cs="Times New Roman"/>
        </w:rPr>
        <w:t>important influences</w:t>
      </w:r>
      <w:r w:rsidR="0067654D" w:rsidRPr="00503F6C">
        <w:rPr>
          <w:rFonts w:ascii="Times New Roman" w:hAnsi="Times New Roman" w:cs="Times New Roman"/>
        </w:rPr>
        <w:t xml:space="preserve"> </w:t>
      </w:r>
      <w:r w:rsidR="00982493" w:rsidRPr="00503F6C">
        <w:rPr>
          <w:rFonts w:ascii="Times New Roman" w:hAnsi="Times New Roman" w:cs="Times New Roman"/>
        </w:rPr>
        <w:t>on decision</w:t>
      </w:r>
      <w:r w:rsidR="0067654D" w:rsidRPr="00503F6C">
        <w:rPr>
          <w:rFonts w:ascii="Times New Roman" w:hAnsi="Times New Roman" w:cs="Times New Roman"/>
        </w:rPr>
        <w:t xml:space="preserve">s are </w:t>
      </w:r>
      <w:r w:rsidR="00982493" w:rsidRPr="00503F6C">
        <w:rPr>
          <w:rFonts w:ascii="Times New Roman" w:hAnsi="Times New Roman" w:cs="Times New Roman"/>
        </w:rPr>
        <w:t>based on</w:t>
      </w:r>
      <w:r w:rsidR="0067654D" w:rsidRPr="00503F6C">
        <w:rPr>
          <w:rFonts w:ascii="Times New Roman" w:hAnsi="Times New Roman" w:cs="Times New Roman"/>
        </w:rPr>
        <w:t xml:space="preserve"> changed values rather than final asset positions, including current wealth.</w:t>
      </w:r>
      <w:r w:rsidR="0057244D" w:rsidRPr="00503F6C">
        <w:rPr>
          <w:rFonts w:ascii="Times New Roman" w:hAnsi="Times New Roman" w:cs="Times New Roman"/>
        </w:rPr>
        <w:t xml:space="preserve"> </w:t>
      </w:r>
      <w:r w:rsidRPr="00503F6C">
        <w:rPr>
          <w:rFonts w:ascii="Times New Roman" w:hAnsi="Times New Roman" w:cs="Times New Roman"/>
        </w:rPr>
        <w:t xml:space="preserve">Opong (2012 ) </w:t>
      </w:r>
      <w:r w:rsidR="00915029" w:rsidRPr="00503F6C">
        <w:rPr>
          <w:rFonts w:ascii="Times New Roman" w:hAnsi="Times New Roman" w:cs="Times New Roman"/>
        </w:rPr>
        <w:t>noted that</w:t>
      </w:r>
      <w:r w:rsidRPr="00503F6C">
        <w:rPr>
          <w:rFonts w:ascii="Times New Roman" w:hAnsi="Times New Roman" w:cs="Times New Roman"/>
        </w:rPr>
        <w:t xml:space="preserve"> the major postulation under</w:t>
      </w:r>
      <w:r w:rsidR="00915029">
        <w:rPr>
          <w:rFonts w:ascii="Times New Roman" w:hAnsi="Times New Roman" w:cs="Times New Roman"/>
        </w:rPr>
        <w:t xml:space="preserve"> the </w:t>
      </w:r>
      <w:r w:rsidR="00915029" w:rsidRPr="00503F6C">
        <w:rPr>
          <w:rFonts w:ascii="Times New Roman" w:hAnsi="Times New Roman" w:cs="Times New Roman"/>
        </w:rPr>
        <w:t>Prospect</w:t>
      </w:r>
      <w:r w:rsidRPr="00503F6C">
        <w:rPr>
          <w:rFonts w:ascii="Times New Roman" w:hAnsi="Times New Roman" w:cs="Times New Roman"/>
        </w:rPr>
        <w:t xml:space="preserve"> </w:t>
      </w:r>
      <w:r w:rsidR="00915029">
        <w:rPr>
          <w:rFonts w:ascii="Times New Roman" w:hAnsi="Times New Roman" w:cs="Times New Roman"/>
        </w:rPr>
        <w:t>T</w:t>
      </w:r>
      <w:r w:rsidRPr="00503F6C">
        <w:rPr>
          <w:rFonts w:ascii="Times New Roman" w:hAnsi="Times New Roman" w:cs="Times New Roman"/>
        </w:rPr>
        <w:t>heory is that decision-makers are much more concerned about changes in wealth than the level of wealth under risk conditions</w:t>
      </w:r>
      <w:r w:rsidR="00915029">
        <w:rPr>
          <w:rFonts w:ascii="Times New Roman" w:hAnsi="Times New Roman" w:cs="Times New Roman"/>
        </w:rPr>
        <w:t>.</w:t>
      </w:r>
    </w:p>
    <w:p w14:paraId="16B3E5E8" w14:textId="1A80BA52" w:rsidR="00982493"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The </w:t>
      </w:r>
      <w:r w:rsidR="00915029">
        <w:rPr>
          <w:rFonts w:ascii="Times New Roman" w:hAnsi="Times New Roman" w:cs="Times New Roman"/>
        </w:rPr>
        <w:t>P</w:t>
      </w:r>
      <w:r w:rsidRPr="00503F6C">
        <w:rPr>
          <w:rFonts w:ascii="Times New Roman" w:hAnsi="Times New Roman" w:cs="Times New Roman"/>
        </w:rPr>
        <w:t>rospect hypothesis provides some insights into migrant remittance decision-making. (Woodford, 2012). The economic and social conditions migrants have left behind are usually a basis for remittances (Ekanayake &amp; Moslares, 2020; Yadeta &amp; Hunegnaw, 2022; World Bank,202</w:t>
      </w:r>
      <w:r w:rsidR="00A620E3">
        <w:rPr>
          <w:rFonts w:ascii="Times New Roman" w:hAnsi="Times New Roman" w:cs="Times New Roman"/>
        </w:rPr>
        <w:t>4</w:t>
      </w:r>
      <w:r w:rsidRPr="00503F6C">
        <w:rPr>
          <w:rFonts w:ascii="Times New Roman" w:hAnsi="Times New Roman" w:cs="Times New Roman"/>
        </w:rPr>
        <w:t xml:space="preserve">). </w:t>
      </w:r>
      <w:r w:rsidR="009A03A7" w:rsidRPr="00503F6C">
        <w:rPr>
          <w:rFonts w:ascii="Times New Roman" w:hAnsi="Times New Roman" w:cs="Times New Roman"/>
        </w:rPr>
        <w:t>Remittances</w:t>
      </w:r>
      <w:r w:rsidRPr="00503F6C">
        <w:rPr>
          <w:rFonts w:ascii="Times New Roman" w:hAnsi="Times New Roman" w:cs="Times New Roman"/>
        </w:rPr>
        <w:t xml:space="preserve"> are </w:t>
      </w:r>
      <w:r w:rsidR="006F1A43" w:rsidRPr="00503F6C">
        <w:rPr>
          <w:rFonts w:ascii="Times New Roman" w:hAnsi="Times New Roman" w:cs="Times New Roman"/>
        </w:rPr>
        <w:t>one of</w:t>
      </w:r>
      <w:r w:rsidRPr="00503F6C">
        <w:rPr>
          <w:rFonts w:ascii="Times New Roman" w:hAnsi="Times New Roman" w:cs="Times New Roman"/>
        </w:rPr>
        <w:t xml:space="preserve"> the advantages of home countries when </w:t>
      </w:r>
      <w:r w:rsidR="00A620E3" w:rsidRPr="00503F6C">
        <w:rPr>
          <w:rFonts w:ascii="Times New Roman" w:hAnsi="Times New Roman" w:cs="Times New Roman"/>
        </w:rPr>
        <w:t>migrants leave</w:t>
      </w:r>
      <w:r w:rsidRPr="00503F6C">
        <w:rPr>
          <w:rFonts w:ascii="Times New Roman" w:hAnsi="Times New Roman" w:cs="Times New Roman"/>
        </w:rPr>
        <w:t xml:space="preserve"> their countries </w:t>
      </w:r>
      <w:r w:rsidR="0057244D" w:rsidRPr="00503F6C">
        <w:rPr>
          <w:rFonts w:ascii="Times New Roman" w:hAnsi="Times New Roman" w:cs="Times New Roman"/>
        </w:rPr>
        <w:t>to seek economic</w:t>
      </w:r>
      <w:r w:rsidRPr="00503F6C">
        <w:rPr>
          <w:rFonts w:ascii="Times New Roman" w:hAnsi="Times New Roman" w:cs="Times New Roman"/>
        </w:rPr>
        <w:t xml:space="preserve"> prosperity. Prospect theory provides </w:t>
      </w:r>
      <w:r w:rsidR="009A03A7" w:rsidRPr="00503F6C">
        <w:rPr>
          <w:rFonts w:ascii="Times New Roman" w:hAnsi="Times New Roman" w:cs="Times New Roman"/>
        </w:rPr>
        <w:t>a perceptual</w:t>
      </w:r>
      <w:r w:rsidRPr="00503F6C">
        <w:rPr>
          <w:rFonts w:ascii="Times New Roman" w:hAnsi="Times New Roman" w:cs="Times New Roman"/>
        </w:rPr>
        <w:t xml:space="preserve"> and psychophysical perspective to </w:t>
      </w:r>
      <w:r w:rsidR="009A03A7" w:rsidRPr="00503F6C">
        <w:rPr>
          <w:rFonts w:ascii="Times New Roman" w:hAnsi="Times New Roman" w:cs="Times New Roman"/>
        </w:rPr>
        <w:t xml:space="preserve">immigrant on continuous remittances to their </w:t>
      </w:r>
      <w:r w:rsidR="00EA03F8" w:rsidRPr="00503F6C">
        <w:rPr>
          <w:rFonts w:ascii="Times New Roman" w:hAnsi="Times New Roman" w:cs="Times New Roman"/>
        </w:rPr>
        <w:t>families, thinking</w:t>
      </w:r>
      <w:r w:rsidRPr="00503F6C">
        <w:rPr>
          <w:rFonts w:ascii="Times New Roman" w:hAnsi="Times New Roman" w:cs="Times New Roman"/>
        </w:rPr>
        <w:t xml:space="preserve"> </w:t>
      </w:r>
      <w:r w:rsidR="0057244D" w:rsidRPr="00503F6C">
        <w:rPr>
          <w:rFonts w:ascii="Times New Roman" w:hAnsi="Times New Roman" w:cs="Times New Roman"/>
        </w:rPr>
        <w:t>about their</w:t>
      </w:r>
      <w:r w:rsidR="009A03A7" w:rsidRPr="00503F6C">
        <w:rPr>
          <w:rFonts w:ascii="Times New Roman" w:hAnsi="Times New Roman" w:cs="Times New Roman"/>
        </w:rPr>
        <w:t xml:space="preserve"> welfare. This can be </w:t>
      </w:r>
      <w:r w:rsidR="0057244D" w:rsidRPr="00503F6C">
        <w:rPr>
          <w:rFonts w:ascii="Times New Roman" w:hAnsi="Times New Roman" w:cs="Times New Roman"/>
        </w:rPr>
        <w:t>attributed to</w:t>
      </w:r>
      <w:r w:rsidR="009A03A7" w:rsidRPr="00503F6C">
        <w:rPr>
          <w:rFonts w:ascii="Times New Roman" w:hAnsi="Times New Roman" w:cs="Times New Roman"/>
        </w:rPr>
        <w:t xml:space="preserve"> </w:t>
      </w:r>
      <w:r w:rsidRPr="00503F6C">
        <w:rPr>
          <w:rFonts w:ascii="Times New Roman" w:hAnsi="Times New Roman" w:cs="Times New Roman"/>
        </w:rPr>
        <w:t xml:space="preserve">the positive trend of </w:t>
      </w:r>
      <w:r w:rsidR="0057244D" w:rsidRPr="00503F6C">
        <w:rPr>
          <w:rFonts w:ascii="Times New Roman" w:hAnsi="Times New Roman" w:cs="Times New Roman"/>
        </w:rPr>
        <w:t>remittance flows</w:t>
      </w:r>
      <w:r w:rsidR="009A03A7" w:rsidRPr="00503F6C">
        <w:rPr>
          <w:rFonts w:ascii="Times New Roman" w:hAnsi="Times New Roman" w:cs="Times New Roman"/>
        </w:rPr>
        <w:t xml:space="preserve"> to many developing countries </w:t>
      </w:r>
      <w:r w:rsidR="0057244D" w:rsidRPr="00503F6C">
        <w:rPr>
          <w:rFonts w:ascii="Times New Roman" w:hAnsi="Times New Roman" w:cs="Times New Roman"/>
        </w:rPr>
        <w:t>despite severe</w:t>
      </w:r>
      <w:r w:rsidR="009A03A7" w:rsidRPr="00503F6C">
        <w:rPr>
          <w:rFonts w:ascii="Times New Roman" w:hAnsi="Times New Roman" w:cs="Times New Roman"/>
        </w:rPr>
        <w:t xml:space="preserve"> </w:t>
      </w:r>
      <w:r w:rsidRPr="00503F6C">
        <w:rPr>
          <w:rFonts w:ascii="Times New Roman" w:hAnsi="Times New Roman" w:cs="Times New Roman"/>
        </w:rPr>
        <w:t>conditions that prompted migrants to leave th</w:t>
      </w:r>
      <w:r w:rsidR="009A03A7" w:rsidRPr="00503F6C">
        <w:rPr>
          <w:rFonts w:ascii="Times New Roman" w:hAnsi="Times New Roman" w:cs="Times New Roman"/>
        </w:rPr>
        <w:t xml:space="preserve">ese </w:t>
      </w:r>
      <w:r w:rsidR="006F1A43" w:rsidRPr="00503F6C">
        <w:rPr>
          <w:rFonts w:ascii="Times New Roman" w:hAnsi="Times New Roman" w:cs="Times New Roman"/>
        </w:rPr>
        <w:t>countries in</w:t>
      </w:r>
      <w:r w:rsidRPr="00503F6C">
        <w:rPr>
          <w:rFonts w:ascii="Times New Roman" w:hAnsi="Times New Roman" w:cs="Times New Roman"/>
        </w:rPr>
        <w:t xml:space="preserve"> the first place.</w:t>
      </w:r>
    </w:p>
    <w:p w14:paraId="32420FEE" w14:textId="06F4C2CD" w:rsidR="00ED7314" w:rsidRPr="00503F6C" w:rsidRDefault="00ED7314" w:rsidP="00503F6C">
      <w:pPr>
        <w:spacing w:line="360" w:lineRule="auto"/>
        <w:jc w:val="both"/>
        <w:rPr>
          <w:rFonts w:ascii="Times New Roman" w:hAnsi="Times New Roman" w:cs="Times New Roman"/>
        </w:rPr>
      </w:pPr>
      <w:r w:rsidRPr="00ED7314">
        <w:rPr>
          <w:rFonts w:ascii="Times New Roman" w:hAnsi="Times New Roman" w:cs="Times New Roman"/>
        </w:rPr>
        <w:lastRenderedPageBreak/>
        <w:t xml:space="preserve">Nawaz et al. (2023) observed that a key principle of </w:t>
      </w:r>
      <w:r w:rsidR="00915029">
        <w:rPr>
          <w:rFonts w:ascii="Times New Roman" w:hAnsi="Times New Roman" w:cs="Times New Roman"/>
        </w:rPr>
        <w:t>P</w:t>
      </w:r>
      <w:r w:rsidRPr="00ED7314">
        <w:rPr>
          <w:rFonts w:ascii="Times New Roman" w:hAnsi="Times New Roman" w:cs="Times New Roman"/>
        </w:rPr>
        <w:t xml:space="preserve">rospect </w:t>
      </w:r>
      <w:r w:rsidR="00915029">
        <w:rPr>
          <w:rFonts w:ascii="Times New Roman" w:hAnsi="Times New Roman" w:cs="Times New Roman"/>
        </w:rPr>
        <w:t>T</w:t>
      </w:r>
      <w:r w:rsidRPr="00ED7314">
        <w:rPr>
          <w:rFonts w:ascii="Times New Roman" w:hAnsi="Times New Roman" w:cs="Times New Roman"/>
        </w:rPr>
        <w:t>heory is that individuals making decisions place greater emphasis on changes in their wealth rather than the actual level of wealth when faced with risk. The shifts in how migrants view their wealth and overall well-being in relation to their new social environment and the reference points they use for decision-making will prompt them to make choices aimed at minimizing any perceived disutility or losses. In this context, the concepts of wealth and well-being include both tangible and intangible aspects that money can and cannot purchase.</w:t>
      </w:r>
    </w:p>
    <w:p w14:paraId="046217AA" w14:textId="4AE334FF" w:rsidR="00257BA8"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Begum (2018) argues that </w:t>
      </w:r>
      <w:r w:rsidR="00915029">
        <w:rPr>
          <w:rFonts w:ascii="Times New Roman" w:hAnsi="Times New Roman" w:cs="Times New Roman"/>
        </w:rPr>
        <w:t>P</w:t>
      </w:r>
      <w:r w:rsidRPr="00503F6C">
        <w:rPr>
          <w:rFonts w:ascii="Times New Roman" w:hAnsi="Times New Roman" w:cs="Times New Roman"/>
        </w:rPr>
        <w:t xml:space="preserve">rospect </w:t>
      </w:r>
      <w:r w:rsidR="00915029">
        <w:rPr>
          <w:rFonts w:ascii="Times New Roman" w:hAnsi="Times New Roman" w:cs="Times New Roman"/>
        </w:rPr>
        <w:t>T</w:t>
      </w:r>
      <w:r w:rsidRPr="00503F6C">
        <w:rPr>
          <w:rFonts w:ascii="Times New Roman" w:hAnsi="Times New Roman" w:cs="Times New Roman"/>
        </w:rPr>
        <w:t xml:space="preserve">heory can better explain migrants' decision-making behaviour; that is, migrants </w:t>
      </w:r>
      <w:r w:rsidR="00EA03F8" w:rsidRPr="00503F6C">
        <w:rPr>
          <w:rFonts w:ascii="Times New Roman" w:hAnsi="Times New Roman" w:cs="Times New Roman"/>
        </w:rPr>
        <w:t>weigh</w:t>
      </w:r>
      <w:r w:rsidRPr="00503F6C">
        <w:rPr>
          <w:rFonts w:ascii="Times New Roman" w:hAnsi="Times New Roman" w:cs="Times New Roman"/>
        </w:rPr>
        <w:t xml:space="preserve"> the choices in their set of alternatives and select the alternative that offers them the lowest deviations from a benchmark or target set by them. In terms of migrants' impact on their families, besides monetary support, it is an established fact that families of migrants experience different social hardships.</w:t>
      </w:r>
    </w:p>
    <w:p w14:paraId="423276ED" w14:textId="77777777" w:rsidR="00D857CE" w:rsidRDefault="009A71CA" w:rsidP="00503F6C">
      <w:pPr>
        <w:spacing w:line="360" w:lineRule="auto"/>
        <w:rPr>
          <w:rFonts w:ascii="Times New Roman" w:hAnsi="Times New Roman" w:cs="Times New Roman"/>
          <w:b/>
          <w:bCs/>
        </w:rPr>
      </w:pPr>
      <w:r>
        <w:rPr>
          <w:rFonts w:ascii="Times New Roman" w:hAnsi="Times New Roman" w:cs="Times New Roman"/>
          <w:b/>
          <w:bCs/>
        </w:rPr>
        <w:t xml:space="preserve">2.2 </w:t>
      </w:r>
      <w:r w:rsidR="0090627D" w:rsidRPr="00503F6C">
        <w:rPr>
          <w:rFonts w:ascii="Times New Roman" w:hAnsi="Times New Roman" w:cs="Times New Roman"/>
          <w:b/>
          <w:bCs/>
        </w:rPr>
        <w:t xml:space="preserve">Empirical Reviews </w:t>
      </w:r>
    </w:p>
    <w:p w14:paraId="6D50433D" w14:textId="66B6FF49" w:rsidR="002808BF" w:rsidRPr="003E3E63" w:rsidRDefault="009A71CA" w:rsidP="003E3E63">
      <w:pPr>
        <w:spacing w:line="360" w:lineRule="auto"/>
        <w:jc w:val="both"/>
        <w:rPr>
          <w:rFonts w:ascii="Times New Roman" w:hAnsi="Times New Roman" w:cs="Times New Roman"/>
        </w:rPr>
      </w:pPr>
      <w:r w:rsidRPr="003E3E63">
        <w:rPr>
          <w:rFonts w:ascii="Times New Roman" w:hAnsi="Times New Roman" w:cs="Times New Roman"/>
        </w:rPr>
        <w:t xml:space="preserve">In a study by </w:t>
      </w:r>
      <w:r w:rsidR="003E3E63" w:rsidRPr="003E3E63">
        <w:rPr>
          <w:rFonts w:ascii="Times New Roman" w:hAnsi="Times New Roman" w:cs="Times New Roman"/>
        </w:rPr>
        <w:t>Ugbaka</w:t>
      </w:r>
      <w:r w:rsidR="00915029">
        <w:rPr>
          <w:rFonts w:ascii="Times New Roman" w:hAnsi="Times New Roman" w:cs="Times New Roman"/>
        </w:rPr>
        <w:t xml:space="preserve"> </w:t>
      </w:r>
      <w:r w:rsidR="003E3E63" w:rsidRPr="003E3E63">
        <w:rPr>
          <w:rFonts w:ascii="Times New Roman" w:hAnsi="Times New Roman" w:cs="Times New Roman"/>
        </w:rPr>
        <w:t>(2025</w:t>
      </w:r>
      <w:r w:rsidRPr="003E3E63">
        <w:rPr>
          <w:rFonts w:ascii="Times New Roman" w:hAnsi="Times New Roman" w:cs="Times New Roman"/>
        </w:rPr>
        <w:t>), the impact of foreign remittances on Nigeria's</w:t>
      </w:r>
      <w:r w:rsidR="00D5304C" w:rsidRPr="003E3E63">
        <w:rPr>
          <w:rFonts w:ascii="Times New Roman" w:hAnsi="Times New Roman" w:cs="Times New Roman"/>
        </w:rPr>
        <w:t xml:space="preserve"> economic development was examined using the Vector Error Correction Modeling (VECM</w:t>
      </w:r>
      <w:r w:rsidR="003E3E63" w:rsidRPr="003E3E63">
        <w:rPr>
          <w:rFonts w:ascii="Times New Roman" w:hAnsi="Times New Roman" w:cs="Times New Roman"/>
        </w:rPr>
        <w:t>).</w:t>
      </w:r>
      <w:r w:rsidR="003E3E63">
        <w:rPr>
          <w:rFonts w:ascii="Times New Roman" w:hAnsi="Times New Roman" w:cs="Times New Roman"/>
        </w:rPr>
        <w:t xml:space="preserve"> The period of the study covered </w:t>
      </w:r>
      <w:r w:rsidR="003E3E63" w:rsidRPr="003E3E63">
        <w:rPr>
          <w:rFonts w:ascii="Times New Roman" w:hAnsi="Times New Roman" w:cs="Times New Roman"/>
        </w:rPr>
        <w:t>between 1990 and 2022</w:t>
      </w:r>
      <w:r w:rsidR="003E3E63">
        <w:rPr>
          <w:rFonts w:ascii="Times New Roman" w:hAnsi="Times New Roman" w:cs="Times New Roman"/>
          <w:b/>
          <w:bCs/>
        </w:rPr>
        <w:t xml:space="preserve">. </w:t>
      </w:r>
      <w:r w:rsidR="003E3E63" w:rsidRPr="003E3E63">
        <w:rPr>
          <w:rFonts w:ascii="Times New Roman" w:hAnsi="Times New Roman" w:cs="Times New Roman"/>
        </w:rPr>
        <w:t>The</w:t>
      </w:r>
      <w:r w:rsidRPr="003E3E63">
        <w:rPr>
          <w:rFonts w:ascii="Times New Roman" w:hAnsi="Times New Roman" w:cs="Times New Roman"/>
        </w:rPr>
        <w:t xml:space="preserve"> study disaggregated remittances into two i.e. workers’ remittances and migrants' remittances measure their performance about Nigeria's economic development</w:t>
      </w:r>
      <w:r w:rsidR="003E3E63">
        <w:rPr>
          <w:rFonts w:ascii="Times New Roman" w:hAnsi="Times New Roman" w:cs="Times New Roman"/>
        </w:rPr>
        <w:t>.</w:t>
      </w:r>
      <w:r w:rsidRPr="003E3E63">
        <w:rPr>
          <w:rFonts w:ascii="Times New Roman" w:hAnsi="Times New Roman" w:cs="Times New Roman"/>
        </w:rPr>
        <w:t xml:space="preserve"> The performance of the two remittance components was contrast</w:t>
      </w:r>
      <w:r w:rsidR="003E3E63">
        <w:rPr>
          <w:rFonts w:ascii="Times New Roman" w:hAnsi="Times New Roman" w:cs="Times New Roman"/>
        </w:rPr>
        <w:t xml:space="preserve">, because the </w:t>
      </w:r>
      <w:r w:rsidR="003E3E63" w:rsidRPr="003E3E63">
        <w:rPr>
          <w:rFonts w:ascii="Times New Roman" w:hAnsi="Times New Roman" w:cs="Times New Roman"/>
        </w:rPr>
        <w:t>study</w:t>
      </w:r>
      <w:r w:rsidRPr="003E3E63">
        <w:rPr>
          <w:rFonts w:ascii="Times New Roman" w:hAnsi="Times New Roman" w:cs="Times New Roman"/>
        </w:rPr>
        <w:t xml:space="preserve"> provided evidence that </w:t>
      </w:r>
      <w:r w:rsidR="003E3E63">
        <w:rPr>
          <w:rFonts w:ascii="Times New Roman" w:hAnsi="Times New Roman" w:cs="Times New Roman"/>
        </w:rPr>
        <w:t xml:space="preserve">workers </w:t>
      </w:r>
      <w:r w:rsidRPr="003E3E63">
        <w:rPr>
          <w:rFonts w:ascii="Times New Roman" w:hAnsi="Times New Roman" w:cs="Times New Roman"/>
        </w:rPr>
        <w:t xml:space="preserve">remittance </w:t>
      </w:r>
      <w:r w:rsidR="00915029">
        <w:rPr>
          <w:rFonts w:ascii="Times New Roman" w:hAnsi="Times New Roman" w:cs="Times New Roman"/>
        </w:rPr>
        <w:t>h</w:t>
      </w:r>
      <w:r w:rsidRPr="003E3E63">
        <w:rPr>
          <w:rFonts w:ascii="Times New Roman" w:hAnsi="Times New Roman" w:cs="Times New Roman"/>
        </w:rPr>
        <w:t xml:space="preserve">as a negative statistically significant </w:t>
      </w:r>
      <w:r w:rsidR="003E3E63" w:rsidRPr="003E3E63">
        <w:rPr>
          <w:rFonts w:ascii="Times New Roman" w:hAnsi="Times New Roman" w:cs="Times New Roman"/>
        </w:rPr>
        <w:t>impact on</w:t>
      </w:r>
      <w:r w:rsidRPr="003E3E63">
        <w:rPr>
          <w:rFonts w:ascii="Times New Roman" w:hAnsi="Times New Roman" w:cs="Times New Roman"/>
        </w:rPr>
        <w:t xml:space="preserve"> economic </w:t>
      </w:r>
      <w:r w:rsidR="003E3E63" w:rsidRPr="003E3E63">
        <w:rPr>
          <w:rFonts w:ascii="Times New Roman" w:hAnsi="Times New Roman" w:cs="Times New Roman"/>
        </w:rPr>
        <w:t>development over</w:t>
      </w:r>
      <w:r w:rsidRPr="003E3E63">
        <w:rPr>
          <w:rFonts w:ascii="Times New Roman" w:hAnsi="Times New Roman" w:cs="Times New Roman"/>
        </w:rPr>
        <w:t xml:space="preserve"> the long run, but migrants' remittance component demonstrated a long-run positive, statistically significant relationship with economic development in Nigeria. </w:t>
      </w:r>
      <w:commentRangeStart w:id="10"/>
      <w:r w:rsidR="003E3E63">
        <w:rPr>
          <w:rFonts w:ascii="Times New Roman" w:hAnsi="Times New Roman" w:cs="Times New Roman"/>
        </w:rPr>
        <w:t>T</w:t>
      </w:r>
      <w:r w:rsidRPr="003E3E63">
        <w:rPr>
          <w:rFonts w:ascii="Times New Roman" w:hAnsi="Times New Roman" w:cs="Times New Roman"/>
        </w:rPr>
        <w:t xml:space="preserve">he </w:t>
      </w:r>
      <w:r w:rsidR="003E3E63" w:rsidRPr="003E3E63">
        <w:rPr>
          <w:rFonts w:ascii="Times New Roman" w:hAnsi="Times New Roman" w:cs="Times New Roman"/>
        </w:rPr>
        <w:t>study recommends</w:t>
      </w:r>
      <w:r w:rsidRPr="003E3E63">
        <w:rPr>
          <w:rFonts w:ascii="Times New Roman" w:hAnsi="Times New Roman" w:cs="Times New Roman"/>
        </w:rPr>
        <w:t xml:space="preserve"> that workers' remittances </w:t>
      </w:r>
      <w:r w:rsidR="003E3E63" w:rsidRPr="003E3E63">
        <w:rPr>
          <w:rFonts w:ascii="Times New Roman" w:hAnsi="Times New Roman" w:cs="Times New Roman"/>
        </w:rPr>
        <w:t>should be</w:t>
      </w:r>
      <w:r w:rsidRPr="003E3E63">
        <w:rPr>
          <w:rFonts w:ascii="Times New Roman" w:hAnsi="Times New Roman" w:cs="Times New Roman"/>
        </w:rPr>
        <w:t xml:space="preserve"> purposefully harnessed by making </w:t>
      </w:r>
      <w:r w:rsidR="003E3E63" w:rsidRPr="003E3E63">
        <w:rPr>
          <w:rFonts w:ascii="Times New Roman" w:hAnsi="Times New Roman" w:cs="Times New Roman"/>
        </w:rPr>
        <w:t xml:space="preserve">expenditures </w:t>
      </w:r>
      <w:r w:rsidRPr="003E3E63">
        <w:rPr>
          <w:rFonts w:ascii="Times New Roman" w:hAnsi="Times New Roman" w:cs="Times New Roman"/>
        </w:rPr>
        <w:t xml:space="preserve">on locally </w:t>
      </w:r>
      <w:r w:rsidR="003E3E63" w:rsidRPr="003E3E63">
        <w:rPr>
          <w:rFonts w:ascii="Times New Roman" w:hAnsi="Times New Roman" w:cs="Times New Roman"/>
        </w:rPr>
        <w:t xml:space="preserve">manufactured goods </w:t>
      </w:r>
      <w:r w:rsidRPr="003E3E63">
        <w:rPr>
          <w:rFonts w:ascii="Times New Roman" w:hAnsi="Times New Roman" w:cs="Times New Roman"/>
        </w:rPr>
        <w:t xml:space="preserve">rather than imported ones. </w:t>
      </w:r>
      <w:commentRangeEnd w:id="10"/>
      <w:r w:rsidR="00830FD5">
        <w:rPr>
          <w:rStyle w:val="CommentReference"/>
        </w:rPr>
        <w:commentReference w:id="10"/>
      </w:r>
    </w:p>
    <w:p w14:paraId="3B3065EF" w14:textId="6124929C" w:rsidR="003D4DA2"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Murindagomo </w:t>
      </w:r>
      <w:r w:rsidR="0011374E" w:rsidRPr="00503F6C">
        <w:rPr>
          <w:rFonts w:ascii="Times New Roman" w:hAnsi="Times New Roman" w:cs="Times New Roman"/>
        </w:rPr>
        <w:t>and Chiwira</w:t>
      </w:r>
      <w:r w:rsidRPr="00503F6C">
        <w:rPr>
          <w:rFonts w:ascii="Times New Roman" w:hAnsi="Times New Roman" w:cs="Times New Roman"/>
        </w:rPr>
        <w:t xml:space="preserve"> (2025), using the Autoregressive Distributed Lag (ARDL) Bounds testing approach, examine relationships between remittances and economic growth in Zimbabwe. The period of study was from 1980 to 2022. </w:t>
      </w:r>
      <w:r w:rsidR="00ED7314" w:rsidRPr="00ED7314">
        <w:rPr>
          <w:rFonts w:ascii="Times New Roman" w:hAnsi="Times New Roman" w:cs="Times New Roman"/>
        </w:rPr>
        <w:t xml:space="preserve">The findings indicated that remittances have a positive and significant effect on economic growth in the long term; however, in the short term, remittances do not show statistical significance. Additionally, Net Official Development Assistance has a negative effect on economic growth in both the long term and the short term. Meanwhile, Gross Fixed Capital Formation contributes positively to economic growth over the </w:t>
      </w:r>
      <w:r w:rsidR="00ED7314" w:rsidRPr="00ED7314">
        <w:rPr>
          <w:rFonts w:ascii="Times New Roman" w:hAnsi="Times New Roman" w:cs="Times New Roman"/>
        </w:rPr>
        <w:lastRenderedPageBreak/>
        <w:t xml:space="preserve">long run, although it negatively impacts the short run. The study also demonstrated that domestic credit has a significant short-term negative effect on economic growth in </w:t>
      </w:r>
      <w:r w:rsidR="00915029" w:rsidRPr="00ED7314">
        <w:rPr>
          <w:rFonts w:ascii="Times New Roman" w:hAnsi="Times New Roman" w:cs="Times New Roman"/>
        </w:rPr>
        <w:t>Zimbabwe. The</w:t>
      </w:r>
      <w:r w:rsidR="00ED7314" w:rsidRPr="00ED7314">
        <w:rPr>
          <w:rFonts w:ascii="Times New Roman" w:hAnsi="Times New Roman" w:cs="Times New Roman"/>
        </w:rPr>
        <w:t xml:space="preserve"> research emphasized the significance of remittances for the sustained economic development of Zimbabwe and suggested the necessity of policy changes to improve the beneficial effects of remittances.</w:t>
      </w:r>
    </w:p>
    <w:p w14:paraId="4AC35585" w14:textId="77777777" w:rsidR="00D857CE" w:rsidRPr="00830FD5" w:rsidRDefault="009A71CA" w:rsidP="00503F6C">
      <w:pPr>
        <w:spacing w:line="360" w:lineRule="auto"/>
        <w:jc w:val="both"/>
        <w:rPr>
          <w:rFonts w:ascii="Times New Roman" w:hAnsi="Times New Roman" w:cs="Times New Roman"/>
          <w:strike/>
          <w:color w:val="FF0000"/>
        </w:rPr>
      </w:pPr>
      <w:r w:rsidRPr="00503F6C">
        <w:rPr>
          <w:rFonts w:ascii="Times New Roman" w:hAnsi="Times New Roman" w:cs="Times New Roman"/>
        </w:rPr>
        <w:t xml:space="preserve">Adow (2025) obtained data from 15 East African countries </w:t>
      </w:r>
      <w:r w:rsidR="002574B8" w:rsidRPr="00503F6C">
        <w:rPr>
          <w:rFonts w:ascii="Times New Roman" w:hAnsi="Times New Roman" w:cs="Times New Roman"/>
        </w:rPr>
        <w:t>and employed</w:t>
      </w:r>
      <w:r w:rsidRPr="00503F6C">
        <w:rPr>
          <w:rFonts w:ascii="Times New Roman" w:hAnsi="Times New Roman" w:cs="Times New Roman"/>
        </w:rPr>
        <w:t xml:space="preserve"> a fixed effects model and System Generalized Method of Moments as the basis </w:t>
      </w:r>
      <w:r w:rsidR="00C87039" w:rsidRPr="00503F6C">
        <w:rPr>
          <w:rFonts w:ascii="Times New Roman" w:hAnsi="Times New Roman" w:cs="Times New Roman"/>
        </w:rPr>
        <w:t>of analysis.</w:t>
      </w:r>
      <w:r w:rsidRPr="00503F6C">
        <w:rPr>
          <w:rFonts w:ascii="Times New Roman" w:hAnsi="Times New Roman" w:cs="Times New Roman"/>
        </w:rPr>
        <w:t xml:space="preserve"> </w:t>
      </w:r>
      <w:r w:rsidR="00C87039" w:rsidRPr="00503F6C">
        <w:rPr>
          <w:rFonts w:ascii="Times New Roman" w:hAnsi="Times New Roman" w:cs="Times New Roman"/>
        </w:rPr>
        <w:t>The study</w:t>
      </w:r>
      <w:r w:rsidRPr="00503F6C">
        <w:rPr>
          <w:rFonts w:ascii="Times New Roman" w:hAnsi="Times New Roman" w:cs="Times New Roman"/>
        </w:rPr>
        <w:t xml:space="preserve"> collected data from secondary sources from 2000 to 2022 to examine the association </w:t>
      </w:r>
      <w:r w:rsidR="00C87039" w:rsidRPr="00503F6C">
        <w:rPr>
          <w:rFonts w:ascii="Times New Roman" w:hAnsi="Times New Roman" w:cs="Times New Roman"/>
        </w:rPr>
        <w:t>between</w:t>
      </w:r>
      <w:r w:rsidRPr="00503F6C">
        <w:rPr>
          <w:rFonts w:ascii="Times New Roman" w:hAnsi="Times New Roman" w:cs="Times New Roman"/>
        </w:rPr>
        <w:t xml:space="preserve"> </w:t>
      </w:r>
      <w:r w:rsidR="00C87039" w:rsidRPr="00503F6C">
        <w:rPr>
          <w:rFonts w:ascii="Times New Roman" w:hAnsi="Times New Roman" w:cs="Times New Roman"/>
        </w:rPr>
        <w:t>immigrant</w:t>
      </w:r>
      <w:r w:rsidRPr="00503F6C">
        <w:rPr>
          <w:rFonts w:ascii="Times New Roman" w:hAnsi="Times New Roman" w:cs="Times New Roman"/>
        </w:rPr>
        <w:t xml:space="preserve"> </w:t>
      </w:r>
      <w:r w:rsidR="00C87039" w:rsidRPr="00503F6C">
        <w:rPr>
          <w:rFonts w:ascii="Times New Roman" w:hAnsi="Times New Roman" w:cs="Times New Roman"/>
        </w:rPr>
        <w:t>remittances</w:t>
      </w:r>
      <w:r w:rsidRPr="00503F6C">
        <w:rPr>
          <w:rFonts w:ascii="Times New Roman" w:hAnsi="Times New Roman" w:cs="Times New Roman"/>
        </w:rPr>
        <w:t xml:space="preserve"> and economic growth in these countries. The </w:t>
      </w:r>
      <w:r w:rsidR="00C87039" w:rsidRPr="00503F6C">
        <w:rPr>
          <w:rFonts w:ascii="Times New Roman" w:hAnsi="Times New Roman" w:cs="Times New Roman"/>
        </w:rPr>
        <w:t>study</w:t>
      </w:r>
      <w:r w:rsidRPr="00503F6C">
        <w:rPr>
          <w:rFonts w:ascii="Times New Roman" w:hAnsi="Times New Roman" w:cs="Times New Roman"/>
        </w:rPr>
        <w:t xml:space="preserve"> discovered and established a significant positive impact of remittances on economic growth in these </w:t>
      </w:r>
      <w:r w:rsidR="00C87039" w:rsidRPr="00503F6C">
        <w:rPr>
          <w:rFonts w:ascii="Times New Roman" w:hAnsi="Times New Roman" w:cs="Times New Roman"/>
        </w:rPr>
        <w:t>countries.</w:t>
      </w:r>
      <w:r w:rsidRPr="00503F6C">
        <w:rPr>
          <w:rFonts w:ascii="Times New Roman" w:hAnsi="Times New Roman" w:cs="Times New Roman"/>
        </w:rPr>
        <w:t xml:space="preserve"> The study further provided evidence </w:t>
      </w:r>
      <w:r w:rsidR="00C87039" w:rsidRPr="00503F6C">
        <w:rPr>
          <w:rFonts w:ascii="Times New Roman" w:hAnsi="Times New Roman" w:cs="Times New Roman"/>
        </w:rPr>
        <w:t>that population</w:t>
      </w:r>
      <w:r w:rsidRPr="00503F6C">
        <w:rPr>
          <w:rFonts w:ascii="Times New Roman" w:hAnsi="Times New Roman" w:cs="Times New Roman"/>
        </w:rPr>
        <w:t xml:space="preserve"> growth </w:t>
      </w:r>
      <w:r w:rsidR="00C87039" w:rsidRPr="00503F6C">
        <w:rPr>
          <w:rFonts w:ascii="Times New Roman" w:hAnsi="Times New Roman" w:cs="Times New Roman"/>
        </w:rPr>
        <w:t>and inflation</w:t>
      </w:r>
      <w:r w:rsidRPr="00503F6C">
        <w:rPr>
          <w:rFonts w:ascii="Times New Roman" w:hAnsi="Times New Roman" w:cs="Times New Roman"/>
        </w:rPr>
        <w:t xml:space="preserve"> limit remittances' impact in these countries. </w:t>
      </w:r>
      <w:r w:rsidR="002574B8" w:rsidRPr="00830FD5">
        <w:rPr>
          <w:rFonts w:ascii="Times New Roman" w:hAnsi="Times New Roman" w:cs="Times New Roman"/>
          <w:strike/>
          <w:color w:val="FF0000"/>
        </w:rPr>
        <w:t xml:space="preserve">The </w:t>
      </w:r>
      <w:r w:rsidR="00C87039" w:rsidRPr="00830FD5">
        <w:rPr>
          <w:rFonts w:ascii="Times New Roman" w:hAnsi="Times New Roman" w:cs="Times New Roman"/>
          <w:strike/>
          <w:color w:val="FF0000"/>
        </w:rPr>
        <w:t>study recommended</w:t>
      </w:r>
      <w:r w:rsidR="002574B8" w:rsidRPr="00830FD5">
        <w:rPr>
          <w:rFonts w:ascii="Times New Roman" w:hAnsi="Times New Roman" w:cs="Times New Roman"/>
          <w:strike/>
          <w:color w:val="FF0000"/>
        </w:rPr>
        <w:t xml:space="preserve"> </w:t>
      </w:r>
      <w:r w:rsidR="00C87039" w:rsidRPr="00830FD5">
        <w:rPr>
          <w:rFonts w:ascii="Times New Roman" w:hAnsi="Times New Roman" w:cs="Times New Roman"/>
          <w:strike/>
          <w:color w:val="FF0000"/>
        </w:rPr>
        <w:t>that the</w:t>
      </w:r>
      <w:r w:rsidR="002574B8" w:rsidRPr="00830FD5">
        <w:rPr>
          <w:rFonts w:ascii="Times New Roman" w:hAnsi="Times New Roman" w:cs="Times New Roman"/>
          <w:strike/>
          <w:color w:val="FF0000"/>
        </w:rPr>
        <w:t xml:space="preserve"> </w:t>
      </w:r>
      <w:r w:rsidR="00C87039" w:rsidRPr="00830FD5">
        <w:rPr>
          <w:rFonts w:ascii="Times New Roman" w:hAnsi="Times New Roman" w:cs="Times New Roman"/>
          <w:strike/>
          <w:color w:val="FF0000"/>
        </w:rPr>
        <w:t>government</w:t>
      </w:r>
      <w:r w:rsidR="002574B8" w:rsidRPr="00830FD5">
        <w:rPr>
          <w:rFonts w:ascii="Times New Roman" w:hAnsi="Times New Roman" w:cs="Times New Roman"/>
          <w:strike/>
          <w:color w:val="FF0000"/>
        </w:rPr>
        <w:t xml:space="preserve"> and </w:t>
      </w:r>
      <w:r w:rsidR="00C87039" w:rsidRPr="00830FD5">
        <w:rPr>
          <w:rFonts w:ascii="Times New Roman" w:hAnsi="Times New Roman" w:cs="Times New Roman"/>
          <w:strike/>
          <w:color w:val="FF0000"/>
        </w:rPr>
        <w:t>polic</w:t>
      </w:r>
      <w:r w:rsidR="002574B8" w:rsidRPr="00830FD5">
        <w:rPr>
          <w:rFonts w:ascii="Times New Roman" w:hAnsi="Times New Roman" w:cs="Times New Roman"/>
          <w:strike/>
          <w:color w:val="FF0000"/>
        </w:rPr>
        <w:t xml:space="preserve">ymakers in these countries </w:t>
      </w:r>
      <w:r w:rsidR="00C87039" w:rsidRPr="00830FD5">
        <w:rPr>
          <w:rFonts w:ascii="Times New Roman" w:hAnsi="Times New Roman" w:cs="Times New Roman"/>
          <w:strike/>
          <w:color w:val="FF0000"/>
        </w:rPr>
        <w:t>design</w:t>
      </w:r>
      <w:r w:rsidR="002574B8" w:rsidRPr="00830FD5">
        <w:rPr>
          <w:rFonts w:ascii="Times New Roman" w:hAnsi="Times New Roman" w:cs="Times New Roman"/>
          <w:strike/>
          <w:color w:val="FF0000"/>
        </w:rPr>
        <w:t xml:space="preserve"> </w:t>
      </w:r>
      <w:r w:rsidR="00C87039" w:rsidRPr="00830FD5">
        <w:rPr>
          <w:rFonts w:ascii="Times New Roman" w:hAnsi="Times New Roman" w:cs="Times New Roman"/>
          <w:strike/>
          <w:color w:val="FF0000"/>
        </w:rPr>
        <w:t>programs</w:t>
      </w:r>
      <w:r w:rsidR="002574B8" w:rsidRPr="00830FD5">
        <w:rPr>
          <w:rFonts w:ascii="Times New Roman" w:hAnsi="Times New Roman" w:cs="Times New Roman"/>
          <w:strike/>
          <w:color w:val="FF0000"/>
        </w:rPr>
        <w:t xml:space="preserve"> and </w:t>
      </w:r>
      <w:r w:rsidR="00C87039" w:rsidRPr="00830FD5">
        <w:rPr>
          <w:rFonts w:ascii="Times New Roman" w:hAnsi="Times New Roman" w:cs="Times New Roman"/>
          <w:strike/>
          <w:color w:val="FF0000"/>
        </w:rPr>
        <w:t>initiatives</w:t>
      </w:r>
      <w:r w:rsidR="002574B8" w:rsidRPr="00830FD5">
        <w:rPr>
          <w:rFonts w:ascii="Times New Roman" w:hAnsi="Times New Roman" w:cs="Times New Roman"/>
          <w:strike/>
          <w:color w:val="FF0000"/>
        </w:rPr>
        <w:t xml:space="preserve"> to </w:t>
      </w:r>
      <w:r w:rsidR="00FA1FBA" w:rsidRPr="00830FD5">
        <w:rPr>
          <w:rFonts w:ascii="Times New Roman" w:hAnsi="Times New Roman" w:cs="Times New Roman"/>
          <w:strike/>
          <w:color w:val="FF0000"/>
        </w:rPr>
        <w:t>optimize</w:t>
      </w:r>
      <w:r w:rsidR="00C87039" w:rsidRPr="00830FD5">
        <w:rPr>
          <w:rFonts w:ascii="Times New Roman" w:hAnsi="Times New Roman" w:cs="Times New Roman"/>
          <w:strike/>
          <w:color w:val="FF0000"/>
        </w:rPr>
        <w:t xml:space="preserve"> </w:t>
      </w:r>
      <w:r w:rsidR="002574B8" w:rsidRPr="00830FD5">
        <w:rPr>
          <w:rFonts w:ascii="Times New Roman" w:hAnsi="Times New Roman" w:cs="Times New Roman"/>
          <w:strike/>
          <w:color w:val="FF0000"/>
        </w:rPr>
        <w:t xml:space="preserve">remittances </w:t>
      </w:r>
      <w:r w:rsidR="00C87039" w:rsidRPr="00830FD5">
        <w:rPr>
          <w:rFonts w:ascii="Times New Roman" w:hAnsi="Times New Roman" w:cs="Times New Roman"/>
          <w:strike/>
          <w:color w:val="FF0000"/>
        </w:rPr>
        <w:t xml:space="preserve">from abroad. </w:t>
      </w:r>
    </w:p>
    <w:p w14:paraId="42B4A509" w14:textId="77777777" w:rsidR="003F4D60" w:rsidRPr="00830FD5" w:rsidRDefault="009A71CA" w:rsidP="00503F6C">
      <w:pPr>
        <w:spacing w:line="360" w:lineRule="auto"/>
        <w:jc w:val="both"/>
        <w:rPr>
          <w:rFonts w:ascii="Times New Roman" w:hAnsi="Times New Roman" w:cs="Times New Roman"/>
          <w:strike/>
          <w:color w:val="FF0000"/>
        </w:rPr>
      </w:pPr>
      <w:r w:rsidRPr="00503F6C">
        <w:rPr>
          <w:rFonts w:ascii="Times New Roman" w:hAnsi="Times New Roman" w:cs="Times New Roman"/>
        </w:rPr>
        <w:t xml:space="preserve">Alamoudi (2024) pioneered the inclusion of governance indicators in the remittance-growth debate </w:t>
      </w:r>
      <w:r w:rsidR="00246676" w:rsidRPr="00503F6C">
        <w:rPr>
          <w:rFonts w:ascii="Times New Roman" w:hAnsi="Times New Roman" w:cs="Times New Roman"/>
        </w:rPr>
        <w:t>in Egypt</w:t>
      </w:r>
      <w:r w:rsidRPr="00503F6C">
        <w:rPr>
          <w:rFonts w:ascii="Times New Roman" w:hAnsi="Times New Roman" w:cs="Times New Roman"/>
        </w:rPr>
        <w:t xml:space="preserve">. The study used annual data from 1996 to 2022 and employed </w:t>
      </w:r>
      <w:r w:rsidR="00246676" w:rsidRPr="00503F6C">
        <w:rPr>
          <w:rFonts w:ascii="Times New Roman" w:hAnsi="Times New Roman" w:cs="Times New Roman"/>
        </w:rPr>
        <w:t>ARDL</w:t>
      </w:r>
      <w:r w:rsidRPr="00503F6C">
        <w:rPr>
          <w:rFonts w:ascii="Times New Roman" w:hAnsi="Times New Roman" w:cs="Times New Roman"/>
        </w:rPr>
        <w:t xml:space="preserve"> as the analysis technique</w:t>
      </w:r>
      <w:r w:rsidR="00246676" w:rsidRPr="00503F6C">
        <w:rPr>
          <w:rFonts w:ascii="Times New Roman" w:hAnsi="Times New Roman" w:cs="Times New Roman"/>
        </w:rPr>
        <w:t xml:space="preserve">. The findings from the study established </w:t>
      </w:r>
      <w:r w:rsidR="00047ABF" w:rsidRPr="00503F6C">
        <w:rPr>
          <w:rFonts w:ascii="Times New Roman" w:hAnsi="Times New Roman" w:cs="Times New Roman"/>
        </w:rPr>
        <w:t xml:space="preserve">a </w:t>
      </w:r>
      <w:r w:rsidR="00246676" w:rsidRPr="00503F6C">
        <w:rPr>
          <w:rFonts w:ascii="Times New Roman" w:hAnsi="Times New Roman" w:cs="Times New Roman"/>
        </w:rPr>
        <w:t xml:space="preserve">long-run positive relationship between remittance inflows and economic </w:t>
      </w:r>
      <w:r w:rsidR="00047ABF" w:rsidRPr="00503F6C">
        <w:rPr>
          <w:rFonts w:ascii="Times New Roman" w:hAnsi="Times New Roman" w:cs="Times New Roman"/>
        </w:rPr>
        <w:t>growth in Egypt</w:t>
      </w:r>
      <w:r w:rsidR="00246676" w:rsidRPr="00503F6C">
        <w:rPr>
          <w:rFonts w:ascii="Times New Roman" w:hAnsi="Times New Roman" w:cs="Times New Roman"/>
        </w:rPr>
        <w:t xml:space="preserve">. </w:t>
      </w:r>
      <w:r w:rsidR="00246676" w:rsidRPr="00830FD5">
        <w:rPr>
          <w:rFonts w:ascii="Times New Roman" w:hAnsi="Times New Roman" w:cs="Times New Roman"/>
          <w:strike/>
          <w:color w:val="FF0000"/>
        </w:rPr>
        <w:t xml:space="preserve">In </w:t>
      </w:r>
      <w:r w:rsidR="00047ABF" w:rsidRPr="00830FD5">
        <w:rPr>
          <w:rFonts w:ascii="Times New Roman" w:hAnsi="Times New Roman" w:cs="Times New Roman"/>
          <w:strike/>
          <w:color w:val="FF0000"/>
        </w:rPr>
        <w:t>addition,</w:t>
      </w:r>
      <w:r w:rsidR="00246676" w:rsidRPr="00830FD5">
        <w:rPr>
          <w:rFonts w:ascii="Times New Roman" w:hAnsi="Times New Roman" w:cs="Times New Roman"/>
          <w:strike/>
          <w:color w:val="FF0000"/>
        </w:rPr>
        <w:t xml:space="preserve"> the study provided evidence that </w:t>
      </w:r>
      <w:r w:rsidRPr="00830FD5">
        <w:rPr>
          <w:rFonts w:ascii="Times New Roman" w:hAnsi="Times New Roman" w:cs="Times New Roman"/>
          <w:strike/>
          <w:color w:val="FF0000"/>
        </w:rPr>
        <w:t xml:space="preserve">governance </w:t>
      </w:r>
      <w:r w:rsidR="00246676" w:rsidRPr="00830FD5">
        <w:rPr>
          <w:rFonts w:ascii="Times New Roman" w:hAnsi="Times New Roman" w:cs="Times New Roman"/>
          <w:strike/>
          <w:color w:val="FF0000"/>
        </w:rPr>
        <w:t xml:space="preserve">indicators like </w:t>
      </w:r>
      <w:r w:rsidRPr="00830FD5">
        <w:rPr>
          <w:rFonts w:ascii="Times New Roman" w:hAnsi="Times New Roman" w:cs="Times New Roman"/>
          <w:strike/>
          <w:color w:val="FF0000"/>
        </w:rPr>
        <w:t xml:space="preserve">government </w:t>
      </w:r>
      <w:r w:rsidR="00246676" w:rsidRPr="00830FD5">
        <w:rPr>
          <w:rFonts w:ascii="Times New Roman" w:hAnsi="Times New Roman" w:cs="Times New Roman"/>
          <w:strike/>
          <w:color w:val="FF0000"/>
        </w:rPr>
        <w:t>effectiveness, rule of law,</w:t>
      </w:r>
      <w:r w:rsidRPr="00830FD5">
        <w:rPr>
          <w:rFonts w:ascii="Times New Roman" w:hAnsi="Times New Roman" w:cs="Times New Roman"/>
          <w:strike/>
          <w:color w:val="FF0000"/>
        </w:rPr>
        <w:t xml:space="preserve"> political stability</w:t>
      </w:r>
      <w:r w:rsidR="00246676" w:rsidRPr="00830FD5">
        <w:rPr>
          <w:rFonts w:ascii="Times New Roman" w:hAnsi="Times New Roman" w:cs="Times New Roman"/>
          <w:strike/>
          <w:color w:val="FF0000"/>
        </w:rPr>
        <w:t>, degree of corruption,</w:t>
      </w:r>
      <w:r w:rsidRPr="00830FD5">
        <w:rPr>
          <w:rFonts w:ascii="Times New Roman" w:hAnsi="Times New Roman" w:cs="Times New Roman"/>
          <w:strike/>
          <w:color w:val="FF0000"/>
        </w:rPr>
        <w:t xml:space="preserve"> regulatory </w:t>
      </w:r>
      <w:r w:rsidR="00246676" w:rsidRPr="00830FD5">
        <w:rPr>
          <w:rFonts w:ascii="Times New Roman" w:hAnsi="Times New Roman" w:cs="Times New Roman"/>
          <w:strike/>
          <w:color w:val="FF0000"/>
        </w:rPr>
        <w:t>quality and</w:t>
      </w:r>
      <w:r w:rsidRPr="00830FD5">
        <w:rPr>
          <w:rFonts w:ascii="Times New Roman" w:hAnsi="Times New Roman" w:cs="Times New Roman"/>
          <w:strike/>
          <w:color w:val="FF0000"/>
        </w:rPr>
        <w:t xml:space="preserve"> accountability</w:t>
      </w:r>
      <w:r w:rsidR="00246676" w:rsidRPr="00830FD5">
        <w:rPr>
          <w:rFonts w:ascii="Times New Roman" w:hAnsi="Times New Roman" w:cs="Times New Roman"/>
          <w:strike/>
          <w:color w:val="FF0000"/>
        </w:rPr>
        <w:t xml:space="preserve"> </w:t>
      </w:r>
      <w:r w:rsidRPr="00830FD5">
        <w:rPr>
          <w:rFonts w:ascii="Times New Roman" w:hAnsi="Times New Roman" w:cs="Times New Roman"/>
          <w:strike/>
          <w:color w:val="FF0000"/>
        </w:rPr>
        <w:t>help</w:t>
      </w:r>
      <w:r w:rsidR="00246676" w:rsidRPr="00830FD5">
        <w:rPr>
          <w:rFonts w:ascii="Times New Roman" w:hAnsi="Times New Roman" w:cs="Times New Roman"/>
          <w:strike/>
          <w:color w:val="FF0000"/>
        </w:rPr>
        <w:t xml:space="preserve"> to </w:t>
      </w:r>
      <w:r w:rsidRPr="00830FD5">
        <w:rPr>
          <w:rFonts w:ascii="Times New Roman" w:hAnsi="Times New Roman" w:cs="Times New Roman"/>
          <w:strike/>
          <w:color w:val="FF0000"/>
        </w:rPr>
        <w:t xml:space="preserve">facilitate </w:t>
      </w:r>
      <w:r w:rsidR="00246676" w:rsidRPr="00830FD5">
        <w:rPr>
          <w:rFonts w:ascii="Times New Roman" w:hAnsi="Times New Roman" w:cs="Times New Roman"/>
          <w:strike/>
          <w:color w:val="FF0000"/>
        </w:rPr>
        <w:t>the e</w:t>
      </w:r>
      <w:r w:rsidRPr="00830FD5">
        <w:rPr>
          <w:rFonts w:ascii="Times New Roman" w:hAnsi="Times New Roman" w:cs="Times New Roman"/>
          <w:strike/>
          <w:color w:val="FF0000"/>
        </w:rPr>
        <w:t xml:space="preserve">ffect of remittances on GDP </w:t>
      </w:r>
      <w:r w:rsidR="00246676" w:rsidRPr="00830FD5">
        <w:rPr>
          <w:rFonts w:ascii="Times New Roman" w:hAnsi="Times New Roman" w:cs="Times New Roman"/>
          <w:strike/>
          <w:color w:val="FF0000"/>
        </w:rPr>
        <w:t>growth. The study discovered that high</w:t>
      </w:r>
      <w:r w:rsidRPr="00830FD5">
        <w:rPr>
          <w:rFonts w:ascii="Times New Roman" w:hAnsi="Times New Roman" w:cs="Times New Roman"/>
          <w:strike/>
          <w:color w:val="FF0000"/>
        </w:rPr>
        <w:t xml:space="preserve"> governance indicators </w:t>
      </w:r>
      <w:r w:rsidR="00246676" w:rsidRPr="00830FD5">
        <w:rPr>
          <w:rFonts w:ascii="Times New Roman" w:hAnsi="Times New Roman" w:cs="Times New Roman"/>
          <w:strike/>
          <w:color w:val="FF0000"/>
        </w:rPr>
        <w:t>are</w:t>
      </w:r>
      <w:r w:rsidRPr="00830FD5">
        <w:rPr>
          <w:rFonts w:ascii="Times New Roman" w:hAnsi="Times New Roman" w:cs="Times New Roman"/>
          <w:strike/>
          <w:color w:val="FF0000"/>
        </w:rPr>
        <w:t xml:space="preserve"> </w:t>
      </w:r>
      <w:r w:rsidR="00246676" w:rsidRPr="00830FD5">
        <w:rPr>
          <w:rFonts w:ascii="Times New Roman" w:hAnsi="Times New Roman" w:cs="Times New Roman"/>
          <w:strike/>
          <w:color w:val="FF0000"/>
        </w:rPr>
        <w:t>crucial</w:t>
      </w:r>
      <w:r w:rsidRPr="00830FD5">
        <w:rPr>
          <w:rFonts w:ascii="Times New Roman" w:hAnsi="Times New Roman" w:cs="Times New Roman"/>
          <w:strike/>
          <w:color w:val="FF0000"/>
        </w:rPr>
        <w:t xml:space="preserve"> </w:t>
      </w:r>
      <w:r w:rsidR="00246676" w:rsidRPr="00830FD5">
        <w:rPr>
          <w:rFonts w:ascii="Times New Roman" w:hAnsi="Times New Roman" w:cs="Times New Roman"/>
          <w:strike/>
          <w:color w:val="FF0000"/>
        </w:rPr>
        <w:t xml:space="preserve">because of their transmission effect on </w:t>
      </w:r>
      <w:r w:rsidRPr="00830FD5">
        <w:rPr>
          <w:rFonts w:ascii="Times New Roman" w:hAnsi="Times New Roman" w:cs="Times New Roman"/>
          <w:strike/>
          <w:color w:val="FF0000"/>
        </w:rPr>
        <w:t xml:space="preserve">remittances </w:t>
      </w:r>
      <w:r w:rsidR="00246676" w:rsidRPr="00830FD5">
        <w:rPr>
          <w:rFonts w:ascii="Times New Roman" w:hAnsi="Times New Roman" w:cs="Times New Roman"/>
          <w:strike/>
          <w:color w:val="FF0000"/>
        </w:rPr>
        <w:t>to enhance e</w:t>
      </w:r>
      <w:r w:rsidRPr="00830FD5">
        <w:rPr>
          <w:rFonts w:ascii="Times New Roman" w:hAnsi="Times New Roman" w:cs="Times New Roman"/>
          <w:strike/>
          <w:color w:val="FF0000"/>
        </w:rPr>
        <w:t>conomic growth.</w:t>
      </w:r>
    </w:p>
    <w:p w14:paraId="272C1C51" w14:textId="77777777" w:rsidR="00321F63" w:rsidRPr="006F1A43" w:rsidRDefault="009A71CA" w:rsidP="00503F6C">
      <w:pPr>
        <w:spacing w:line="360" w:lineRule="auto"/>
        <w:jc w:val="both"/>
        <w:rPr>
          <w:rFonts w:ascii="Times New Roman" w:hAnsi="Times New Roman" w:cs="Times New Roman"/>
        </w:rPr>
      </w:pPr>
      <w:r w:rsidRPr="00503F6C">
        <w:rPr>
          <w:rFonts w:ascii="Times New Roman" w:hAnsi="Times New Roman" w:cs="Times New Roman"/>
        </w:rPr>
        <w:t>Pan</w:t>
      </w:r>
      <w:r w:rsidR="00FB4800" w:rsidRPr="00503F6C">
        <w:rPr>
          <w:rFonts w:ascii="Times New Roman" w:hAnsi="Times New Roman" w:cs="Times New Roman"/>
        </w:rPr>
        <w:t xml:space="preserve"> </w:t>
      </w:r>
      <w:r w:rsidRPr="00503F6C">
        <w:rPr>
          <w:rFonts w:ascii="Times New Roman" w:hAnsi="Times New Roman" w:cs="Times New Roman"/>
        </w:rPr>
        <w:t xml:space="preserve">&amp; Sun (2024) developed a quantitative spatial equilibrium model to examine migration and remittances on economic growth in China from 2000 to 2010. The result from the study revealed internal migration in China reduces regional inequality. Also, </w:t>
      </w:r>
      <w:r w:rsidR="0090627D" w:rsidRPr="00503F6C">
        <w:rPr>
          <w:rFonts w:ascii="Times New Roman" w:hAnsi="Times New Roman" w:cs="Times New Roman"/>
        </w:rPr>
        <w:t>the</w:t>
      </w:r>
      <w:r w:rsidRPr="00503F6C">
        <w:rPr>
          <w:rFonts w:ascii="Times New Roman" w:hAnsi="Times New Roman" w:cs="Times New Roman"/>
        </w:rPr>
        <w:t xml:space="preserve"> single-person migration model showed that apart from suggesting a larger reduction in regional inequality, this was a stronger reallocation of employment from the agriculture sector to the manufacturing and services sector. </w:t>
      </w:r>
      <w:r w:rsidR="00FB4800" w:rsidRPr="006F1A43">
        <w:rPr>
          <w:rFonts w:ascii="Times New Roman" w:hAnsi="Times New Roman" w:cs="Times New Roman"/>
        </w:rPr>
        <w:t>Nyasha and</w:t>
      </w:r>
      <w:r w:rsidRPr="006F1A43">
        <w:rPr>
          <w:rFonts w:ascii="Times New Roman" w:hAnsi="Times New Roman" w:cs="Times New Roman"/>
        </w:rPr>
        <w:t xml:space="preserve"> Odhiambo (2022) </w:t>
      </w:r>
      <w:r w:rsidR="00FB4800" w:rsidRPr="006F1A43">
        <w:rPr>
          <w:rFonts w:ascii="Times New Roman" w:hAnsi="Times New Roman" w:cs="Times New Roman"/>
        </w:rPr>
        <w:t>investigated the</w:t>
      </w:r>
      <w:r w:rsidRPr="006F1A43">
        <w:rPr>
          <w:rFonts w:ascii="Times New Roman" w:hAnsi="Times New Roman" w:cs="Times New Roman"/>
        </w:rPr>
        <w:t xml:space="preserve"> effect of remittances on economic growth in South Africa from 1970 to 2019 using the ARDL model as the </w:t>
      </w:r>
      <w:r w:rsidR="00FB4800" w:rsidRPr="006F1A43">
        <w:rPr>
          <w:rFonts w:ascii="Times New Roman" w:hAnsi="Times New Roman" w:cs="Times New Roman"/>
        </w:rPr>
        <w:t xml:space="preserve">analysis method. </w:t>
      </w:r>
      <w:r w:rsidR="004B1BBA" w:rsidRPr="006F1A43">
        <w:rPr>
          <w:rFonts w:ascii="Times New Roman" w:hAnsi="Times New Roman" w:cs="Times New Roman"/>
        </w:rPr>
        <w:t xml:space="preserve">The </w:t>
      </w:r>
      <w:r w:rsidR="0086092D" w:rsidRPr="006F1A43">
        <w:rPr>
          <w:rFonts w:ascii="Times New Roman" w:hAnsi="Times New Roman" w:cs="Times New Roman"/>
        </w:rPr>
        <w:t xml:space="preserve">study </w:t>
      </w:r>
      <w:r w:rsidR="0090627D" w:rsidRPr="006F1A43">
        <w:rPr>
          <w:rFonts w:ascii="Times New Roman" w:hAnsi="Times New Roman" w:cs="Times New Roman"/>
        </w:rPr>
        <w:t>provided empirical</w:t>
      </w:r>
      <w:r w:rsidRPr="006F1A43">
        <w:rPr>
          <w:rFonts w:ascii="Times New Roman" w:hAnsi="Times New Roman" w:cs="Times New Roman"/>
        </w:rPr>
        <w:t xml:space="preserve"> </w:t>
      </w:r>
      <w:r w:rsidR="0090627D" w:rsidRPr="006F1A43">
        <w:rPr>
          <w:rFonts w:ascii="Times New Roman" w:hAnsi="Times New Roman" w:cs="Times New Roman"/>
        </w:rPr>
        <w:t>evidence that remittances</w:t>
      </w:r>
      <w:r w:rsidRPr="006F1A43">
        <w:rPr>
          <w:rFonts w:ascii="Times New Roman" w:hAnsi="Times New Roman" w:cs="Times New Roman"/>
        </w:rPr>
        <w:t xml:space="preserve"> have a negative impact on economic growth </w:t>
      </w:r>
      <w:r w:rsidR="0090627D" w:rsidRPr="006F1A43">
        <w:rPr>
          <w:rFonts w:ascii="Times New Roman" w:hAnsi="Times New Roman" w:cs="Times New Roman"/>
        </w:rPr>
        <w:t>in</w:t>
      </w:r>
      <w:r w:rsidRPr="006F1A43">
        <w:rPr>
          <w:rFonts w:ascii="Times New Roman" w:hAnsi="Times New Roman" w:cs="Times New Roman"/>
        </w:rPr>
        <w:t xml:space="preserve"> South Africa in the short run and long run</w:t>
      </w:r>
      <w:r w:rsidR="0090627D" w:rsidRPr="006F1A43">
        <w:rPr>
          <w:rFonts w:ascii="Times New Roman" w:hAnsi="Times New Roman" w:cs="Times New Roman"/>
        </w:rPr>
        <w:t xml:space="preserve">. </w:t>
      </w:r>
      <w:r w:rsidRPr="006F1A43">
        <w:rPr>
          <w:rFonts w:ascii="Times New Roman" w:hAnsi="Times New Roman" w:cs="Times New Roman"/>
        </w:rPr>
        <w:t xml:space="preserve"> </w:t>
      </w:r>
    </w:p>
    <w:p w14:paraId="6247254B" w14:textId="77777777" w:rsidR="00321F63" w:rsidRPr="00830FD5" w:rsidRDefault="009A71CA" w:rsidP="00503F6C">
      <w:pPr>
        <w:spacing w:line="360" w:lineRule="auto"/>
        <w:jc w:val="both"/>
        <w:rPr>
          <w:rFonts w:ascii="Times New Roman" w:hAnsi="Times New Roman" w:cs="Times New Roman"/>
          <w:strike/>
          <w:color w:val="FF0000"/>
        </w:rPr>
      </w:pPr>
      <w:r w:rsidRPr="006F1A43">
        <w:rPr>
          <w:rFonts w:ascii="Times New Roman" w:hAnsi="Times New Roman" w:cs="Times New Roman"/>
        </w:rPr>
        <w:lastRenderedPageBreak/>
        <w:t xml:space="preserve">Yadeta and Hunegnaw  (2022) investigated the nature of causality between migrant remittances and economic growth in Ethiopia </w:t>
      </w:r>
      <w:r w:rsidRPr="00503F6C">
        <w:rPr>
          <w:rFonts w:ascii="Times New Roman" w:hAnsi="Times New Roman" w:cs="Times New Roman"/>
        </w:rPr>
        <w:t xml:space="preserve">using annual data from 1980 to 2015 </w:t>
      </w:r>
      <w:r w:rsidR="00FB4800" w:rsidRPr="00503F6C">
        <w:rPr>
          <w:rFonts w:ascii="Times New Roman" w:hAnsi="Times New Roman" w:cs="Times New Roman"/>
        </w:rPr>
        <w:t xml:space="preserve">and adopting </w:t>
      </w:r>
      <w:r w:rsidRPr="00503F6C">
        <w:rPr>
          <w:rFonts w:ascii="Times New Roman" w:hAnsi="Times New Roman" w:cs="Times New Roman"/>
        </w:rPr>
        <w:t>the ARDL model and Granger causality test to examine</w:t>
      </w:r>
      <w:r w:rsidR="00FB4800" w:rsidRPr="00503F6C">
        <w:rPr>
          <w:rFonts w:ascii="Times New Roman" w:hAnsi="Times New Roman" w:cs="Times New Roman"/>
        </w:rPr>
        <w:t xml:space="preserve"> </w:t>
      </w:r>
      <w:r w:rsidRPr="00503F6C">
        <w:rPr>
          <w:rFonts w:ascii="Times New Roman" w:hAnsi="Times New Roman" w:cs="Times New Roman"/>
        </w:rPr>
        <w:t>the short- and long-run impact. The</w:t>
      </w:r>
      <w:r w:rsidR="0090627D" w:rsidRPr="00503F6C">
        <w:rPr>
          <w:rFonts w:ascii="Times New Roman" w:hAnsi="Times New Roman" w:cs="Times New Roman"/>
        </w:rPr>
        <w:t>ir study showed</w:t>
      </w:r>
      <w:r w:rsidRPr="00503F6C">
        <w:rPr>
          <w:rFonts w:ascii="Times New Roman" w:hAnsi="Times New Roman" w:cs="Times New Roman"/>
        </w:rPr>
        <w:t xml:space="preserve"> that </w:t>
      </w:r>
      <w:r w:rsidR="00FB4800" w:rsidRPr="00503F6C">
        <w:rPr>
          <w:rFonts w:ascii="Times New Roman" w:hAnsi="Times New Roman" w:cs="Times New Roman"/>
        </w:rPr>
        <w:t>remittance significantly</w:t>
      </w:r>
      <w:r w:rsidRPr="00503F6C">
        <w:rPr>
          <w:rFonts w:ascii="Times New Roman" w:hAnsi="Times New Roman" w:cs="Times New Roman"/>
        </w:rPr>
        <w:t xml:space="preserve"> improves real GDP in </w:t>
      </w:r>
      <w:r w:rsidR="00FB4800" w:rsidRPr="00503F6C">
        <w:rPr>
          <w:rFonts w:ascii="Times New Roman" w:hAnsi="Times New Roman" w:cs="Times New Roman"/>
        </w:rPr>
        <w:t>the long</w:t>
      </w:r>
      <w:r w:rsidRPr="00503F6C">
        <w:rPr>
          <w:rFonts w:ascii="Times New Roman" w:hAnsi="Times New Roman" w:cs="Times New Roman"/>
        </w:rPr>
        <w:t xml:space="preserve"> run, while in the short </w:t>
      </w:r>
      <w:r w:rsidR="00FB4800" w:rsidRPr="00503F6C">
        <w:rPr>
          <w:rFonts w:ascii="Times New Roman" w:hAnsi="Times New Roman" w:cs="Times New Roman"/>
        </w:rPr>
        <w:t xml:space="preserve">run </w:t>
      </w:r>
      <w:r w:rsidRPr="00503F6C">
        <w:rPr>
          <w:rFonts w:ascii="Times New Roman" w:hAnsi="Times New Roman" w:cs="Times New Roman"/>
        </w:rPr>
        <w:t>effect</w:t>
      </w:r>
      <w:r w:rsidR="00FB4800" w:rsidRPr="00503F6C">
        <w:rPr>
          <w:rFonts w:ascii="Times New Roman" w:hAnsi="Times New Roman" w:cs="Times New Roman"/>
        </w:rPr>
        <w:t>, remittances impact GDP negatively. There was also evidence that</w:t>
      </w:r>
      <w:r w:rsidRPr="00503F6C">
        <w:rPr>
          <w:rFonts w:ascii="Times New Roman" w:hAnsi="Times New Roman" w:cs="Times New Roman"/>
        </w:rPr>
        <w:t xml:space="preserve"> short-run adverse effect is higher than the long-run positive </w:t>
      </w:r>
      <w:r w:rsidR="00FB4800" w:rsidRPr="00503F6C">
        <w:rPr>
          <w:rFonts w:ascii="Times New Roman" w:hAnsi="Times New Roman" w:cs="Times New Roman"/>
        </w:rPr>
        <w:t>effect,</w:t>
      </w:r>
      <w:r w:rsidRPr="00503F6C">
        <w:rPr>
          <w:rFonts w:ascii="Times New Roman" w:hAnsi="Times New Roman" w:cs="Times New Roman"/>
        </w:rPr>
        <w:t xml:space="preserve"> </w:t>
      </w:r>
      <w:r w:rsidR="00FB4800" w:rsidRPr="00503F6C">
        <w:rPr>
          <w:rFonts w:ascii="Times New Roman" w:hAnsi="Times New Roman" w:cs="Times New Roman"/>
        </w:rPr>
        <w:t>consider</w:t>
      </w:r>
      <w:r w:rsidRPr="00503F6C">
        <w:rPr>
          <w:rFonts w:ascii="Times New Roman" w:hAnsi="Times New Roman" w:cs="Times New Roman"/>
        </w:rPr>
        <w:t>ing that short</w:t>
      </w:r>
      <w:r w:rsidR="00FB4800" w:rsidRPr="00503F6C">
        <w:rPr>
          <w:rFonts w:ascii="Times New Roman" w:hAnsi="Times New Roman" w:cs="Times New Roman"/>
        </w:rPr>
        <w:t>-run remittances</w:t>
      </w:r>
      <w:r w:rsidRPr="00503F6C">
        <w:rPr>
          <w:rFonts w:ascii="Times New Roman" w:hAnsi="Times New Roman" w:cs="Times New Roman"/>
        </w:rPr>
        <w:t xml:space="preserve"> are mainly used for consumption </w:t>
      </w:r>
      <w:r w:rsidR="00FB4800" w:rsidRPr="00503F6C">
        <w:rPr>
          <w:rFonts w:ascii="Times New Roman" w:hAnsi="Times New Roman" w:cs="Times New Roman"/>
        </w:rPr>
        <w:t>remittances</w:t>
      </w:r>
      <w:r w:rsidRPr="00503F6C">
        <w:rPr>
          <w:rFonts w:ascii="Times New Roman" w:hAnsi="Times New Roman" w:cs="Times New Roman"/>
        </w:rPr>
        <w:t xml:space="preserve"> and mostly are done by informal </w:t>
      </w:r>
      <w:r w:rsidR="00FB4800" w:rsidRPr="00503F6C">
        <w:rPr>
          <w:rFonts w:ascii="Times New Roman" w:hAnsi="Times New Roman" w:cs="Times New Roman"/>
        </w:rPr>
        <w:t>transfer. The</w:t>
      </w:r>
      <w:r w:rsidRPr="00503F6C">
        <w:rPr>
          <w:rFonts w:ascii="Times New Roman" w:hAnsi="Times New Roman" w:cs="Times New Roman"/>
        </w:rPr>
        <w:t xml:space="preserve"> result </w:t>
      </w:r>
      <w:r w:rsidR="004B1BBA" w:rsidRPr="00503F6C">
        <w:rPr>
          <w:rFonts w:ascii="Times New Roman" w:hAnsi="Times New Roman" w:cs="Times New Roman"/>
        </w:rPr>
        <w:t>from the study went further to show a</w:t>
      </w:r>
      <w:r w:rsidRPr="00503F6C">
        <w:rPr>
          <w:rFonts w:ascii="Times New Roman" w:hAnsi="Times New Roman" w:cs="Times New Roman"/>
        </w:rPr>
        <w:t xml:space="preserve"> unidirectional causality from remittances to economic growth. </w:t>
      </w:r>
      <w:r w:rsidRPr="00830FD5">
        <w:rPr>
          <w:rFonts w:ascii="Times New Roman" w:hAnsi="Times New Roman" w:cs="Times New Roman"/>
          <w:strike/>
          <w:color w:val="FF0000"/>
        </w:rPr>
        <w:t xml:space="preserve">The study recommends that the </w:t>
      </w:r>
      <w:r w:rsidR="00FB4800" w:rsidRPr="00830FD5">
        <w:rPr>
          <w:rFonts w:ascii="Times New Roman" w:hAnsi="Times New Roman" w:cs="Times New Roman"/>
          <w:strike/>
          <w:color w:val="FF0000"/>
        </w:rPr>
        <w:t>government</w:t>
      </w:r>
      <w:r w:rsidRPr="00830FD5">
        <w:rPr>
          <w:rFonts w:ascii="Times New Roman" w:hAnsi="Times New Roman" w:cs="Times New Roman"/>
          <w:strike/>
          <w:color w:val="FF0000"/>
        </w:rPr>
        <w:t xml:space="preserve"> in </w:t>
      </w:r>
      <w:r w:rsidR="00FB4800" w:rsidRPr="00830FD5">
        <w:rPr>
          <w:rFonts w:ascii="Times New Roman" w:hAnsi="Times New Roman" w:cs="Times New Roman"/>
          <w:strike/>
          <w:color w:val="FF0000"/>
        </w:rPr>
        <w:t>Ethiopia</w:t>
      </w:r>
      <w:r w:rsidRPr="00830FD5">
        <w:rPr>
          <w:rFonts w:ascii="Times New Roman" w:hAnsi="Times New Roman" w:cs="Times New Roman"/>
          <w:strike/>
          <w:color w:val="FF0000"/>
        </w:rPr>
        <w:t xml:space="preserve"> should provide an </w:t>
      </w:r>
      <w:r w:rsidR="00FB4800" w:rsidRPr="00830FD5">
        <w:rPr>
          <w:rFonts w:ascii="Times New Roman" w:hAnsi="Times New Roman" w:cs="Times New Roman"/>
          <w:strike/>
          <w:color w:val="FF0000"/>
        </w:rPr>
        <w:t>environment</w:t>
      </w:r>
      <w:r w:rsidRPr="00830FD5">
        <w:rPr>
          <w:rFonts w:ascii="Times New Roman" w:hAnsi="Times New Roman" w:cs="Times New Roman"/>
          <w:strike/>
          <w:color w:val="FF0000"/>
        </w:rPr>
        <w:t xml:space="preserve"> that makes transfers more formal to </w:t>
      </w:r>
      <w:r w:rsidR="00FB4800" w:rsidRPr="00830FD5">
        <w:rPr>
          <w:rFonts w:ascii="Times New Roman" w:hAnsi="Times New Roman" w:cs="Times New Roman"/>
          <w:strike/>
          <w:color w:val="FF0000"/>
        </w:rPr>
        <w:t>attract more</w:t>
      </w:r>
      <w:r w:rsidRPr="00830FD5">
        <w:rPr>
          <w:rFonts w:ascii="Times New Roman" w:hAnsi="Times New Roman" w:cs="Times New Roman"/>
          <w:strike/>
          <w:color w:val="FF0000"/>
        </w:rPr>
        <w:t xml:space="preserve"> </w:t>
      </w:r>
      <w:r w:rsidR="00FB4800" w:rsidRPr="00830FD5">
        <w:rPr>
          <w:rFonts w:ascii="Times New Roman" w:hAnsi="Times New Roman" w:cs="Times New Roman"/>
          <w:strike/>
          <w:color w:val="FF0000"/>
        </w:rPr>
        <w:t>transfers</w:t>
      </w:r>
      <w:r w:rsidRPr="00830FD5">
        <w:rPr>
          <w:rFonts w:ascii="Times New Roman" w:hAnsi="Times New Roman" w:cs="Times New Roman"/>
          <w:strike/>
          <w:color w:val="FF0000"/>
        </w:rPr>
        <w:t xml:space="preserve"> and </w:t>
      </w:r>
      <w:r w:rsidR="004B1BBA" w:rsidRPr="00830FD5">
        <w:rPr>
          <w:rFonts w:ascii="Times New Roman" w:hAnsi="Times New Roman" w:cs="Times New Roman"/>
          <w:strike/>
          <w:color w:val="FF0000"/>
        </w:rPr>
        <w:t xml:space="preserve">for </w:t>
      </w:r>
      <w:r w:rsidRPr="00830FD5">
        <w:rPr>
          <w:rFonts w:ascii="Times New Roman" w:hAnsi="Times New Roman" w:cs="Times New Roman"/>
          <w:strike/>
          <w:color w:val="FF0000"/>
        </w:rPr>
        <w:t xml:space="preserve">a better impact on </w:t>
      </w:r>
      <w:r w:rsidR="00FB4800" w:rsidRPr="00830FD5">
        <w:rPr>
          <w:rFonts w:ascii="Times New Roman" w:hAnsi="Times New Roman" w:cs="Times New Roman"/>
          <w:strike/>
          <w:color w:val="FF0000"/>
        </w:rPr>
        <w:t>growth</w:t>
      </w:r>
      <w:r w:rsidR="0090627D" w:rsidRPr="00830FD5">
        <w:rPr>
          <w:rFonts w:ascii="Times New Roman" w:hAnsi="Times New Roman" w:cs="Times New Roman"/>
          <w:strike/>
          <w:color w:val="FF0000"/>
        </w:rPr>
        <w:t xml:space="preserve">. </w:t>
      </w:r>
    </w:p>
    <w:p w14:paraId="113F7A73" w14:textId="32C4002D" w:rsidR="002962EB" w:rsidRPr="00830FD5" w:rsidRDefault="002962EB" w:rsidP="002962EB">
      <w:pPr>
        <w:spacing w:line="360" w:lineRule="auto"/>
        <w:jc w:val="both"/>
        <w:rPr>
          <w:rFonts w:ascii="Times New Roman" w:hAnsi="Times New Roman" w:cs="Times New Roman"/>
          <w:strike/>
          <w:color w:val="FF0000"/>
        </w:rPr>
      </w:pPr>
      <w:r w:rsidRPr="00503F6C">
        <w:rPr>
          <w:rFonts w:ascii="Times New Roman" w:hAnsi="Times New Roman" w:cs="Times New Roman"/>
        </w:rPr>
        <w:t xml:space="preserve">Islam (2022) used annual panel data from 1986 to 2019 and employed FMOLS and the Granger causality model to examine the relationship between remittance and economic growth in selected South Asian economies. </w:t>
      </w:r>
      <w:r w:rsidRPr="002962EB">
        <w:rPr>
          <w:rFonts w:ascii="Times New Roman" w:hAnsi="Times New Roman" w:cs="Times New Roman"/>
        </w:rPr>
        <w:t xml:space="preserve">Both GLS and FMOLS estimations confirm the positive effect of remittances on economic growth. The D–H causality test reveals a unidirectional causal relationship from remittances to economic growth. </w:t>
      </w:r>
      <w:r w:rsidRPr="00830FD5">
        <w:rPr>
          <w:rFonts w:ascii="Times New Roman" w:hAnsi="Times New Roman" w:cs="Times New Roman"/>
          <w:strike/>
          <w:color w:val="FF0000"/>
        </w:rPr>
        <w:t>According to the findings, South Asian economies could work to increase remittances by promoting international migration, allowing migration-friendly policies and regimes, developing various levels of training and support facilities for foreign migrants, diversifying exports, and being picky about foreign direct investment inflows. These measures would ensure regional economic growth.</w:t>
      </w:r>
    </w:p>
    <w:p w14:paraId="52533B0F" w14:textId="77777777" w:rsidR="009B447D"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Aneja &amp; Praveen (2022</w:t>
      </w:r>
      <w:r w:rsidR="008A6FD7" w:rsidRPr="00503F6C">
        <w:rPr>
          <w:rFonts w:ascii="Times New Roman" w:hAnsi="Times New Roman" w:cs="Times New Roman"/>
        </w:rPr>
        <w:t>) examined</w:t>
      </w:r>
      <w:r w:rsidRPr="00503F6C">
        <w:rPr>
          <w:rFonts w:ascii="Times New Roman" w:hAnsi="Times New Roman" w:cs="Times New Roman"/>
        </w:rPr>
        <w:t xml:space="preserve"> the emigrant </w:t>
      </w:r>
      <w:r w:rsidR="00EF501D" w:rsidRPr="00503F6C">
        <w:rPr>
          <w:rFonts w:ascii="Times New Roman" w:hAnsi="Times New Roman" w:cs="Times New Roman"/>
        </w:rPr>
        <w:t>remittance on</w:t>
      </w:r>
      <w:r w:rsidRPr="00503F6C">
        <w:rPr>
          <w:rFonts w:ascii="Times New Roman" w:hAnsi="Times New Roman" w:cs="Times New Roman"/>
        </w:rPr>
        <w:t xml:space="preserve"> economic growth in Kerala </w:t>
      </w:r>
      <w:r w:rsidR="007159F9" w:rsidRPr="00503F6C">
        <w:rPr>
          <w:rFonts w:ascii="Times New Roman" w:hAnsi="Times New Roman" w:cs="Times New Roman"/>
        </w:rPr>
        <w:t xml:space="preserve">state </w:t>
      </w:r>
      <w:r w:rsidRPr="00503F6C">
        <w:rPr>
          <w:rFonts w:ascii="Times New Roman" w:hAnsi="Times New Roman" w:cs="Times New Roman"/>
        </w:rPr>
        <w:t>in India</w:t>
      </w:r>
      <w:r w:rsidR="007159F9" w:rsidRPr="00503F6C">
        <w:rPr>
          <w:rFonts w:ascii="Times New Roman" w:hAnsi="Times New Roman" w:cs="Times New Roman"/>
        </w:rPr>
        <w:t xml:space="preserve"> using </w:t>
      </w:r>
      <w:r w:rsidRPr="00503F6C">
        <w:rPr>
          <w:rFonts w:ascii="Times New Roman" w:hAnsi="Times New Roman" w:cs="Times New Roman"/>
        </w:rPr>
        <w:t>VECM</w:t>
      </w:r>
      <w:r w:rsidR="007159F9" w:rsidRPr="00503F6C">
        <w:rPr>
          <w:rFonts w:ascii="Times New Roman" w:hAnsi="Times New Roman" w:cs="Times New Roman"/>
        </w:rPr>
        <w:t xml:space="preserve"> as the analysis tool. </w:t>
      </w:r>
      <w:r w:rsidRPr="00503F6C">
        <w:rPr>
          <w:rFonts w:ascii="Times New Roman" w:hAnsi="Times New Roman" w:cs="Times New Roman"/>
        </w:rPr>
        <w:t xml:space="preserve">The result of the study reveals that a long-run unidirectional relationship exists between remittances and the economic growth of Kerala. Also, the study confirms that remittance positively impacts the </w:t>
      </w:r>
      <w:r w:rsidR="007159F9" w:rsidRPr="00503F6C">
        <w:rPr>
          <w:rFonts w:ascii="Times New Roman" w:hAnsi="Times New Roman" w:cs="Times New Roman"/>
        </w:rPr>
        <w:t xml:space="preserve">economic growth </w:t>
      </w:r>
      <w:r w:rsidRPr="00503F6C">
        <w:rPr>
          <w:rFonts w:ascii="Times New Roman" w:hAnsi="Times New Roman" w:cs="Times New Roman"/>
        </w:rPr>
        <w:t>of Kerala</w:t>
      </w:r>
      <w:r w:rsidR="007159F9" w:rsidRPr="00503F6C">
        <w:rPr>
          <w:rFonts w:ascii="Times New Roman" w:hAnsi="Times New Roman" w:cs="Times New Roman"/>
        </w:rPr>
        <w:t xml:space="preserve"> state in</w:t>
      </w:r>
      <w:r w:rsidRPr="00503F6C">
        <w:rPr>
          <w:rFonts w:ascii="Times New Roman" w:hAnsi="Times New Roman" w:cs="Times New Roman"/>
        </w:rPr>
        <w:t xml:space="preserve"> the long run.</w:t>
      </w:r>
      <w:r w:rsidR="008510F1" w:rsidRPr="006F1A43">
        <w:rPr>
          <w:rFonts w:ascii="Times New Roman" w:hAnsi="Times New Roman" w:cs="Times New Roman"/>
        </w:rPr>
        <w:t xml:space="preserve"> Qutb</w:t>
      </w:r>
      <w:r w:rsidR="00D621A4" w:rsidRPr="006F1A43">
        <w:rPr>
          <w:rFonts w:ascii="Times New Roman" w:hAnsi="Times New Roman" w:cs="Times New Roman"/>
        </w:rPr>
        <w:t xml:space="preserve"> </w:t>
      </w:r>
      <w:r w:rsidR="008510F1" w:rsidRPr="006F1A43">
        <w:rPr>
          <w:rFonts w:ascii="Times New Roman" w:hAnsi="Times New Roman" w:cs="Times New Roman"/>
        </w:rPr>
        <w:t>(2022</w:t>
      </w:r>
      <w:r w:rsidR="00127EDA" w:rsidRPr="00503F6C">
        <w:rPr>
          <w:rFonts w:ascii="Times New Roman" w:hAnsi="Times New Roman" w:cs="Times New Roman"/>
          <w:color w:val="FF0000"/>
        </w:rPr>
        <w:t xml:space="preserve">) </w:t>
      </w:r>
      <w:r w:rsidR="00127EDA" w:rsidRPr="00503F6C">
        <w:rPr>
          <w:rFonts w:ascii="Times New Roman" w:hAnsi="Times New Roman" w:cs="Times New Roman"/>
        </w:rPr>
        <w:t xml:space="preserve">examined migrant remittances in Egypt using annual data from 1980 to 2017. The study used </w:t>
      </w:r>
      <w:r w:rsidR="001A4C4E" w:rsidRPr="00503F6C">
        <w:rPr>
          <w:rFonts w:ascii="Times New Roman" w:hAnsi="Times New Roman" w:cs="Times New Roman"/>
        </w:rPr>
        <w:t>VECM) model</w:t>
      </w:r>
      <w:r w:rsidR="00127EDA" w:rsidRPr="00503F6C">
        <w:rPr>
          <w:rFonts w:ascii="Times New Roman" w:hAnsi="Times New Roman" w:cs="Times New Roman"/>
        </w:rPr>
        <w:t xml:space="preserve"> as the basis of analysis and the Granger causality test </w:t>
      </w:r>
      <w:r w:rsidR="001A4C4E" w:rsidRPr="00503F6C">
        <w:rPr>
          <w:rFonts w:ascii="Times New Roman" w:hAnsi="Times New Roman" w:cs="Times New Roman"/>
        </w:rPr>
        <w:t>was performed</w:t>
      </w:r>
      <w:r w:rsidR="00127EDA" w:rsidRPr="00503F6C">
        <w:rPr>
          <w:rFonts w:ascii="Times New Roman" w:hAnsi="Times New Roman" w:cs="Times New Roman"/>
        </w:rPr>
        <w:t xml:space="preserve">. They reveal that migrants' remittances have a long-term negative impact on economic </w:t>
      </w:r>
      <w:r w:rsidR="001A4C4E" w:rsidRPr="00503F6C">
        <w:rPr>
          <w:rFonts w:ascii="Times New Roman" w:hAnsi="Times New Roman" w:cs="Times New Roman"/>
        </w:rPr>
        <w:t>growth.</w:t>
      </w:r>
      <w:r w:rsidR="00127EDA" w:rsidRPr="00503F6C">
        <w:rPr>
          <w:rFonts w:ascii="Times New Roman" w:hAnsi="Times New Roman" w:cs="Times New Roman"/>
        </w:rPr>
        <w:t xml:space="preserve"> This result </w:t>
      </w:r>
      <w:r w:rsidR="001A4C4E" w:rsidRPr="00503F6C">
        <w:rPr>
          <w:rFonts w:ascii="Times New Roman" w:hAnsi="Times New Roman" w:cs="Times New Roman"/>
        </w:rPr>
        <w:t>suggests</w:t>
      </w:r>
      <w:r w:rsidR="00127EDA" w:rsidRPr="00503F6C">
        <w:rPr>
          <w:rFonts w:ascii="Times New Roman" w:hAnsi="Times New Roman" w:cs="Times New Roman"/>
        </w:rPr>
        <w:t xml:space="preserve"> that migrants’ remittances to Egypt are countercyclical.</w:t>
      </w:r>
    </w:p>
    <w:p w14:paraId="5E0D8F2E" w14:textId="77777777" w:rsidR="00321F63"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 Alpaslan et al. (2021</w:t>
      </w:r>
      <w:r w:rsidR="008A6FD7" w:rsidRPr="00503F6C">
        <w:rPr>
          <w:rFonts w:ascii="Times New Roman" w:hAnsi="Times New Roman" w:cs="Times New Roman"/>
        </w:rPr>
        <w:t xml:space="preserve">) </w:t>
      </w:r>
      <w:r w:rsidRPr="00503F6C">
        <w:rPr>
          <w:rFonts w:ascii="Times New Roman" w:hAnsi="Times New Roman" w:cs="Times New Roman"/>
        </w:rPr>
        <w:t xml:space="preserve">investigated </w:t>
      </w:r>
      <w:r w:rsidR="009B447D" w:rsidRPr="00503F6C">
        <w:rPr>
          <w:rFonts w:ascii="Times New Roman" w:hAnsi="Times New Roman" w:cs="Times New Roman"/>
        </w:rPr>
        <w:t>the economic</w:t>
      </w:r>
      <w:r w:rsidRPr="00503F6C">
        <w:rPr>
          <w:rFonts w:ascii="Times New Roman" w:hAnsi="Times New Roman" w:cs="Times New Roman"/>
        </w:rPr>
        <w:t xml:space="preserve"> effects of remittances on </w:t>
      </w:r>
      <w:r w:rsidR="008A6FD7" w:rsidRPr="00503F6C">
        <w:rPr>
          <w:rFonts w:ascii="Times New Roman" w:hAnsi="Times New Roman" w:cs="Times New Roman"/>
        </w:rPr>
        <w:t>migrants’</w:t>
      </w:r>
      <w:r w:rsidRPr="00503F6C">
        <w:rPr>
          <w:rFonts w:ascii="Times New Roman" w:hAnsi="Times New Roman" w:cs="Times New Roman"/>
        </w:rPr>
        <w:t xml:space="preserve"> country of </w:t>
      </w:r>
      <w:r w:rsidR="008A6FD7" w:rsidRPr="00503F6C">
        <w:rPr>
          <w:rFonts w:ascii="Times New Roman" w:hAnsi="Times New Roman" w:cs="Times New Roman"/>
        </w:rPr>
        <w:t>origin, examining</w:t>
      </w:r>
      <w:r w:rsidR="00047ABF" w:rsidRPr="00503F6C">
        <w:rPr>
          <w:rFonts w:ascii="Times New Roman" w:hAnsi="Times New Roman" w:cs="Times New Roman"/>
        </w:rPr>
        <w:t xml:space="preserve"> them uniquely by studying</w:t>
      </w:r>
      <w:r w:rsidRPr="00503F6C">
        <w:rPr>
          <w:rFonts w:ascii="Times New Roman" w:hAnsi="Times New Roman" w:cs="Times New Roman"/>
        </w:rPr>
        <w:t xml:space="preserve"> the micro</w:t>
      </w:r>
      <w:r w:rsidR="009B447D" w:rsidRPr="00503F6C">
        <w:rPr>
          <w:rFonts w:ascii="Times New Roman" w:hAnsi="Times New Roman" w:cs="Times New Roman"/>
        </w:rPr>
        <w:t>-</w:t>
      </w:r>
      <w:r w:rsidRPr="00503F6C">
        <w:rPr>
          <w:rFonts w:ascii="Times New Roman" w:hAnsi="Times New Roman" w:cs="Times New Roman"/>
        </w:rPr>
        <w:t xml:space="preserve">economic and </w:t>
      </w:r>
      <w:r w:rsidR="009B447D" w:rsidRPr="00503F6C">
        <w:rPr>
          <w:rFonts w:ascii="Times New Roman" w:hAnsi="Times New Roman" w:cs="Times New Roman"/>
        </w:rPr>
        <w:t>macro-economic</w:t>
      </w:r>
      <w:r w:rsidRPr="00503F6C">
        <w:rPr>
          <w:rFonts w:ascii="Times New Roman" w:hAnsi="Times New Roman" w:cs="Times New Roman"/>
        </w:rPr>
        <w:t xml:space="preserve"> </w:t>
      </w:r>
      <w:r w:rsidR="006F1A43" w:rsidRPr="00503F6C">
        <w:rPr>
          <w:rFonts w:ascii="Times New Roman" w:hAnsi="Times New Roman" w:cs="Times New Roman"/>
        </w:rPr>
        <w:t>effects</w:t>
      </w:r>
      <w:r w:rsidRPr="00503F6C">
        <w:rPr>
          <w:rFonts w:ascii="Times New Roman" w:hAnsi="Times New Roman" w:cs="Times New Roman"/>
        </w:rPr>
        <w:t xml:space="preserve"> </w:t>
      </w:r>
      <w:r w:rsidR="00047ABF" w:rsidRPr="00503F6C">
        <w:rPr>
          <w:rFonts w:ascii="Times New Roman" w:hAnsi="Times New Roman" w:cs="Times New Roman"/>
        </w:rPr>
        <w:t>by</w:t>
      </w:r>
      <w:r w:rsidRPr="00503F6C">
        <w:rPr>
          <w:rFonts w:ascii="Times New Roman" w:hAnsi="Times New Roman" w:cs="Times New Roman"/>
        </w:rPr>
        <w:t xml:space="preserve"> </w:t>
      </w:r>
      <w:r w:rsidR="009B447D" w:rsidRPr="00503F6C">
        <w:rPr>
          <w:rFonts w:ascii="Times New Roman" w:hAnsi="Times New Roman" w:cs="Times New Roman"/>
        </w:rPr>
        <w:t>reviewing</w:t>
      </w:r>
      <w:r w:rsidRPr="00503F6C">
        <w:rPr>
          <w:rFonts w:ascii="Times New Roman" w:hAnsi="Times New Roman" w:cs="Times New Roman"/>
        </w:rPr>
        <w:t xml:space="preserve"> the </w:t>
      </w:r>
      <w:r w:rsidR="009B447D" w:rsidRPr="00503F6C">
        <w:rPr>
          <w:rFonts w:ascii="Times New Roman" w:hAnsi="Times New Roman" w:cs="Times New Roman"/>
        </w:rPr>
        <w:t xml:space="preserve">literature of </w:t>
      </w:r>
      <w:r w:rsidRPr="00503F6C">
        <w:rPr>
          <w:rFonts w:ascii="Times New Roman" w:hAnsi="Times New Roman" w:cs="Times New Roman"/>
        </w:rPr>
        <w:t xml:space="preserve">previous studies. The results showed that on the micro level, </w:t>
      </w:r>
      <w:r w:rsidRPr="00503F6C">
        <w:rPr>
          <w:rFonts w:ascii="Times New Roman" w:hAnsi="Times New Roman" w:cs="Times New Roman"/>
        </w:rPr>
        <w:lastRenderedPageBreak/>
        <w:t xml:space="preserve">remittances had positive effects on consumption, especially on durable goods. On the </w:t>
      </w:r>
      <w:r w:rsidR="009B447D" w:rsidRPr="00503F6C">
        <w:rPr>
          <w:rFonts w:ascii="Times New Roman" w:hAnsi="Times New Roman" w:cs="Times New Roman"/>
        </w:rPr>
        <w:t xml:space="preserve">other hand, at </w:t>
      </w:r>
      <w:r w:rsidR="008A6FD7" w:rsidRPr="00503F6C">
        <w:rPr>
          <w:rFonts w:ascii="Times New Roman" w:hAnsi="Times New Roman" w:cs="Times New Roman"/>
        </w:rPr>
        <w:t>the macroeconomic</w:t>
      </w:r>
      <w:r w:rsidRPr="00503F6C">
        <w:rPr>
          <w:rFonts w:ascii="Times New Roman" w:hAnsi="Times New Roman" w:cs="Times New Roman"/>
        </w:rPr>
        <w:t xml:space="preserve"> level, the study provided evidence that </w:t>
      </w:r>
      <w:r w:rsidR="008A6FD7" w:rsidRPr="00503F6C">
        <w:rPr>
          <w:rFonts w:ascii="Times New Roman" w:hAnsi="Times New Roman" w:cs="Times New Roman"/>
        </w:rPr>
        <w:t>remittances positive</w:t>
      </w:r>
      <w:r w:rsidRPr="00503F6C">
        <w:rPr>
          <w:rFonts w:ascii="Times New Roman" w:hAnsi="Times New Roman" w:cs="Times New Roman"/>
        </w:rPr>
        <w:t>ly affect health, life expectancy, education, and general living standards by reducing poverty, all of which support economic growt</w:t>
      </w:r>
      <w:r w:rsidR="008A6FD7" w:rsidRPr="00503F6C">
        <w:rPr>
          <w:rFonts w:ascii="Times New Roman" w:hAnsi="Times New Roman" w:cs="Times New Roman"/>
        </w:rPr>
        <w:t xml:space="preserve">h. </w:t>
      </w:r>
    </w:p>
    <w:p w14:paraId="493AC4A8" w14:textId="77777777" w:rsidR="00321F63"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Adeseye  (2021) examined migrants’ remittance and economic growth in Nigeria</w:t>
      </w:r>
      <w:r w:rsidR="008A6FD7" w:rsidRPr="00503F6C">
        <w:rPr>
          <w:rFonts w:ascii="Times New Roman" w:hAnsi="Times New Roman" w:cs="Times New Roman"/>
        </w:rPr>
        <w:t xml:space="preserve">. This study </w:t>
      </w:r>
      <w:r w:rsidR="006F1A43" w:rsidRPr="00503F6C">
        <w:rPr>
          <w:rFonts w:ascii="Times New Roman" w:hAnsi="Times New Roman" w:cs="Times New Roman"/>
        </w:rPr>
        <w:t>relied on</w:t>
      </w:r>
      <w:r w:rsidR="008A6FD7" w:rsidRPr="00503F6C">
        <w:rPr>
          <w:rFonts w:ascii="Times New Roman" w:hAnsi="Times New Roman" w:cs="Times New Roman"/>
        </w:rPr>
        <w:t xml:space="preserve"> </w:t>
      </w:r>
      <w:r w:rsidRPr="00503F6C">
        <w:rPr>
          <w:rFonts w:ascii="Times New Roman" w:hAnsi="Times New Roman" w:cs="Times New Roman"/>
        </w:rPr>
        <w:t>secondary data from 1990 to 2018</w:t>
      </w:r>
      <w:r w:rsidR="008A6FD7" w:rsidRPr="00503F6C">
        <w:rPr>
          <w:rFonts w:ascii="Times New Roman" w:hAnsi="Times New Roman" w:cs="Times New Roman"/>
        </w:rPr>
        <w:t xml:space="preserve">. The analysis method involved </w:t>
      </w:r>
      <w:r w:rsidR="006F1A43" w:rsidRPr="00503F6C">
        <w:rPr>
          <w:rFonts w:ascii="Times New Roman" w:hAnsi="Times New Roman" w:cs="Times New Roman"/>
        </w:rPr>
        <w:t>combining correlation</w:t>
      </w:r>
      <w:r w:rsidR="008A6FD7" w:rsidRPr="00503F6C">
        <w:rPr>
          <w:rFonts w:ascii="Times New Roman" w:hAnsi="Times New Roman" w:cs="Times New Roman"/>
        </w:rPr>
        <w:t xml:space="preserve"> analysis</w:t>
      </w:r>
      <w:r w:rsidRPr="00503F6C">
        <w:rPr>
          <w:rFonts w:ascii="Times New Roman" w:hAnsi="Times New Roman" w:cs="Times New Roman"/>
        </w:rPr>
        <w:t xml:space="preserve">, multiple linear regressions </w:t>
      </w:r>
      <w:r w:rsidR="008A6FD7" w:rsidRPr="00503F6C">
        <w:rPr>
          <w:rFonts w:ascii="Times New Roman" w:hAnsi="Times New Roman" w:cs="Times New Roman"/>
        </w:rPr>
        <w:t xml:space="preserve">and </w:t>
      </w:r>
      <w:r w:rsidRPr="00503F6C">
        <w:rPr>
          <w:rFonts w:ascii="Times New Roman" w:hAnsi="Times New Roman" w:cs="Times New Roman"/>
        </w:rPr>
        <w:t>ANOVA</w:t>
      </w:r>
      <w:r w:rsidR="008A6FD7" w:rsidRPr="00503F6C">
        <w:rPr>
          <w:rFonts w:ascii="Times New Roman" w:hAnsi="Times New Roman" w:cs="Times New Roman"/>
        </w:rPr>
        <w:t>. T</w:t>
      </w:r>
      <w:r w:rsidRPr="00503F6C">
        <w:rPr>
          <w:rFonts w:ascii="Times New Roman" w:hAnsi="Times New Roman" w:cs="Times New Roman"/>
        </w:rPr>
        <w:t xml:space="preserve">his study </w:t>
      </w:r>
      <w:r w:rsidR="008A6FD7" w:rsidRPr="00503F6C">
        <w:rPr>
          <w:rFonts w:ascii="Times New Roman" w:hAnsi="Times New Roman" w:cs="Times New Roman"/>
        </w:rPr>
        <w:t>provided another</w:t>
      </w:r>
      <w:r w:rsidRPr="00503F6C">
        <w:rPr>
          <w:rFonts w:ascii="Times New Roman" w:hAnsi="Times New Roman" w:cs="Times New Roman"/>
        </w:rPr>
        <w:t xml:space="preserve"> </w:t>
      </w:r>
      <w:r w:rsidR="006F1A43">
        <w:rPr>
          <w:rFonts w:ascii="Times New Roman" w:hAnsi="Times New Roman" w:cs="Times New Roman"/>
        </w:rPr>
        <w:t>approach</w:t>
      </w:r>
      <w:r w:rsidRPr="00503F6C">
        <w:rPr>
          <w:rFonts w:ascii="Times New Roman" w:hAnsi="Times New Roman" w:cs="Times New Roman"/>
        </w:rPr>
        <w:t xml:space="preserve"> to the debate </w:t>
      </w:r>
      <w:r w:rsidR="008A6FD7" w:rsidRPr="00503F6C">
        <w:rPr>
          <w:rFonts w:ascii="Times New Roman" w:hAnsi="Times New Roman" w:cs="Times New Roman"/>
        </w:rPr>
        <w:t xml:space="preserve">by </w:t>
      </w:r>
      <w:r w:rsidR="006F1A43" w:rsidRPr="00503F6C">
        <w:rPr>
          <w:rFonts w:ascii="Times New Roman" w:hAnsi="Times New Roman" w:cs="Times New Roman"/>
        </w:rPr>
        <w:t>using remittance</w:t>
      </w:r>
      <w:r w:rsidRPr="00503F6C">
        <w:rPr>
          <w:rFonts w:ascii="Times New Roman" w:hAnsi="Times New Roman" w:cs="Times New Roman"/>
        </w:rPr>
        <w:t xml:space="preserve"> inflow</w:t>
      </w:r>
      <w:r w:rsidR="008A6FD7" w:rsidRPr="00503F6C">
        <w:rPr>
          <w:rFonts w:ascii="Times New Roman" w:hAnsi="Times New Roman" w:cs="Times New Roman"/>
        </w:rPr>
        <w:t xml:space="preserve"> as </w:t>
      </w:r>
      <w:r w:rsidRPr="00503F6C">
        <w:rPr>
          <w:rFonts w:ascii="Times New Roman" w:hAnsi="Times New Roman" w:cs="Times New Roman"/>
        </w:rPr>
        <w:t>the dependent variable</w:t>
      </w:r>
      <w:r w:rsidR="008A6FD7" w:rsidRPr="00503F6C">
        <w:rPr>
          <w:rFonts w:ascii="Times New Roman" w:hAnsi="Times New Roman" w:cs="Times New Roman"/>
        </w:rPr>
        <w:t>. The independent variables in the models were   GDP</w:t>
      </w:r>
      <w:r w:rsidRPr="00503F6C">
        <w:rPr>
          <w:rFonts w:ascii="Times New Roman" w:hAnsi="Times New Roman" w:cs="Times New Roman"/>
        </w:rPr>
        <w:t xml:space="preserve">, inflation, imports and exports. The result of the study provided evidence of a positive </w:t>
      </w:r>
      <w:r w:rsidR="008A6FD7" w:rsidRPr="00503F6C">
        <w:rPr>
          <w:rFonts w:ascii="Times New Roman" w:hAnsi="Times New Roman" w:cs="Times New Roman"/>
        </w:rPr>
        <w:t>relationship between</w:t>
      </w:r>
      <w:r w:rsidRPr="00503F6C">
        <w:rPr>
          <w:rFonts w:ascii="Times New Roman" w:hAnsi="Times New Roman" w:cs="Times New Roman"/>
        </w:rPr>
        <w:t xml:space="preserve"> remittance and GDP, as well as exports and imports in Nigeria. At the same time, inflation </w:t>
      </w:r>
      <w:r w:rsidR="006F1A43" w:rsidRPr="00503F6C">
        <w:rPr>
          <w:rFonts w:ascii="Times New Roman" w:hAnsi="Times New Roman" w:cs="Times New Roman"/>
        </w:rPr>
        <w:t>has a</w:t>
      </w:r>
      <w:r w:rsidRPr="00503F6C">
        <w:rPr>
          <w:rFonts w:ascii="Times New Roman" w:hAnsi="Times New Roman" w:cs="Times New Roman"/>
        </w:rPr>
        <w:t xml:space="preserve"> negative relationship with remittance. </w:t>
      </w:r>
    </w:p>
    <w:p w14:paraId="6E973EEA" w14:textId="549C6EED" w:rsidR="00B37EBF"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Depken et al (2021) used quarterly data from Croatia from 2000  to 2020  using Granger causality tests in VAR  models to investigate the relationship between foreign remittances and economic growth. The </w:t>
      </w:r>
      <w:r w:rsidR="008A6FD7" w:rsidRPr="00503F6C">
        <w:rPr>
          <w:rFonts w:ascii="Times New Roman" w:hAnsi="Times New Roman" w:cs="Times New Roman"/>
        </w:rPr>
        <w:t xml:space="preserve">result </w:t>
      </w:r>
      <w:r w:rsidR="000C3FD0" w:rsidRPr="00503F6C">
        <w:rPr>
          <w:rFonts w:ascii="Times New Roman" w:hAnsi="Times New Roman" w:cs="Times New Roman"/>
        </w:rPr>
        <w:t xml:space="preserve">showed </w:t>
      </w:r>
      <w:r w:rsidRPr="00503F6C">
        <w:rPr>
          <w:rFonts w:ascii="Times New Roman" w:hAnsi="Times New Roman" w:cs="Times New Roman"/>
        </w:rPr>
        <w:t>a unidirectional causal relationship between remittances and economic growth but no link in the opposite direction. The result</w:t>
      </w:r>
      <w:r w:rsidR="008A6FD7" w:rsidRPr="00503F6C">
        <w:rPr>
          <w:rFonts w:ascii="Times New Roman" w:hAnsi="Times New Roman" w:cs="Times New Roman"/>
        </w:rPr>
        <w:t xml:space="preserve"> </w:t>
      </w:r>
      <w:r w:rsidR="000C3FD0" w:rsidRPr="00503F6C">
        <w:rPr>
          <w:rFonts w:ascii="Times New Roman" w:hAnsi="Times New Roman" w:cs="Times New Roman"/>
        </w:rPr>
        <w:t>also indicated</w:t>
      </w:r>
      <w:r w:rsidR="008A6FD7" w:rsidRPr="00503F6C">
        <w:rPr>
          <w:rFonts w:ascii="Times New Roman" w:hAnsi="Times New Roman" w:cs="Times New Roman"/>
        </w:rPr>
        <w:t xml:space="preserve"> </w:t>
      </w:r>
      <w:r w:rsidRPr="00503F6C">
        <w:rPr>
          <w:rFonts w:ascii="Times New Roman" w:hAnsi="Times New Roman" w:cs="Times New Roman"/>
        </w:rPr>
        <w:t xml:space="preserve">that foreign remittances have a positive and </w:t>
      </w:r>
      <w:r w:rsidR="008A6FD7" w:rsidRPr="00503F6C">
        <w:rPr>
          <w:rFonts w:ascii="Times New Roman" w:hAnsi="Times New Roman" w:cs="Times New Roman"/>
        </w:rPr>
        <w:t>significant relationship</w:t>
      </w:r>
      <w:r w:rsidRPr="00503F6C">
        <w:rPr>
          <w:rFonts w:ascii="Times New Roman" w:hAnsi="Times New Roman" w:cs="Times New Roman"/>
        </w:rPr>
        <w:t xml:space="preserve"> with Croatia's economic growth. Also, there was evidence </w:t>
      </w:r>
      <w:r w:rsidR="008A6FD7" w:rsidRPr="00503F6C">
        <w:rPr>
          <w:rFonts w:ascii="Times New Roman" w:hAnsi="Times New Roman" w:cs="Times New Roman"/>
        </w:rPr>
        <w:t>of a positive but</w:t>
      </w:r>
      <w:r w:rsidRPr="00503F6C">
        <w:rPr>
          <w:rFonts w:ascii="Times New Roman" w:hAnsi="Times New Roman" w:cs="Times New Roman"/>
        </w:rPr>
        <w:t xml:space="preserve"> </w:t>
      </w:r>
      <w:r w:rsidR="000C3FD0" w:rsidRPr="00503F6C">
        <w:rPr>
          <w:rFonts w:ascii="Times New Roman" w:hAnsi="Times New Roman" w:cs="Times New Roman"/>
        </w:rPr>
        <w:t>insignificant</w:t>
      </w:r>
      <w:r w:rsidRPr="00503F6C">
        <w:rPr>
          <w:rFonts w:ascii="Times New Roman" w:hAnsi="Times New Roman" w:cs="Times New Roman"/>
        </w:rPr>
        <w:t xml:space="preserve"> impact of foreign direct investment and gross fixed capital formation on </w:t>
      </w:r>
      <w:r w:rsidR="008A6FD7" w:rsidRPr="00503F6C">
        <w:rPr>
          <w:rFonts w:ascii="Times New Roman" w:hAnsi="Times New Roman" w:cs="Times New Roman"/>
        </w:rPr>
        <w:t>immigrant</w:t>
      </w:r>
      <w:r w:rsidRPr="00503F6C">
        <w:rPr>
          <w:rFonts w:ascii="Times New Roman" w:hAnsi="Times New Roman" w:cs="Times New Roman"/>
        </w:rPr>
        <w:t xml:space="preserve"> remittances. The study concluded that this positive impact of remittance is because </w:t>
      </w:r>
      <w:r w:rsidR="008A6FD7" w:rsidRPr="00503F6C">
        <w:rPr>
          <w:rFonts w:ascii="Times New Roman" w:hAnsi="Times New Roman" w:cs="Times New Roman"/>
        </w:rPr>
        <w:t>Croatia</w:t>
      </w:r>
      <w:r w:rsidRPr="00503F6C">
        <w:rPr>
          <w:rFonts w:ascii="Times New Roman" w:hAnsi="Times New Roman" w:cs="Times New Roman"/>
        </w:rPr>
        <w:t xml:space="preserve"> join</w:t>
      </w:r>
      <w:r w:rsidR="008A6FD7" w:rsidRPr="00503F6C">
        <w:rPr>
          <w:rFonts w:ascii="Times New Roman" w:hAnsi="Times New Roman" w:cs="Times New Roman"/>
        </w:rPr>
        <w:t>ed the</w:t>
      </w:r>
      <w:r w:rsidRPr="00503F6C">
        <w:rPr>
          <w:rFonts w:ascii="Times New Roman" w:hAnsi="Times New Roman" w:cs="Times New Roman"/>
        </w:rPr>
        <w:t xml:space="preserve"> European Union</w:t>
      </w:r>
      <w:r w:rsidR="00850C0D">
        <w:rPr>
          <w:rFonts w:ascii="Times New Roman" w:hAnsi="Times New Roman" w:cs="Times New Roman"/>
        </w:rPr>
        <w:t xml:space="preserve"> </w:t>
      </w:r>
      <w:r w:rsidR="000C3FD0" w:rsidRPr="00503F6C">
        <w:rPr>
          <w:rFonts w:ascii="Times New Roman" w:hAnsi="Times New Roman" w:cs="Times New Roman"/>
        </w:rPr>
        <w:t>(</w:t>
      </w:r>
      <w:r w:rsidR="00850C0D">
        <w:rPr>
          <w:rFonts w:ascii="Times New Roman" w:hAnsi="Times New Roman" w:cs="Times New Roman"/>
        </w:rPr>
        <w:t xml:space="preserve"> </w:t>
      </w:r>
      <w:r w:rsidR="000C3FD0" w:rsidRPr="00503F6C">
        <w:rPr>
          <w:rFonts w:ascii="Times New Roman" w:hAnsi="Times New Roman" w:cs="Times New Roman"/>
        </w:rPr>
        <w:t xml:space="preserve">EU ), which led to the </w:t>
      </w:r>
      <w:r w:rsidRPr="00503F6C">
        <w:rPr>
          <w:rFonts w:ascii="Times New Roman" w:hAnsi="Times New Roman" w:cs="Times New Roman"/>
        </w:rPr>
        <w:t xml:space="preserve">massive emigration </w:t>
      </w:r>
      <w:r w:rsidR="000C3FD0" w:rsidRPr="00503F6C">
        <w:rPr>
          <w:rFonts w:ascii="Times New Roman" w:hAnsi="Times New Roman" w:cs="Times New Roman"/>
        </w:rPr>
        <w:t xml:space="preserve">by Croatians to other EU countries. </w:t>
      </w:r>
      <w:r w:rsidRPr="00503F6C">
        <w:rPr>
          <w:rFonts w:ascii="Times New Roman" w:hAnsi="Times New Roman" w:cs="Times New Roman"/>
        </w:rPr>
        <w:t>The study recommends that policy</w:t>
      </w:r>
      <w:r w:rsidR="000C3FD0" w:rsidRPr="00503F6C">
        <w:rPr>
          <w:rFonts w:ascii="Times New Roman" w:hAnsi="Times New Roman" w:cs="Times New Roman"/>
        </w:rPr>
        <w:t>makers in</w:t>
      </w:r>
      <w:r w:rsidRPr="00503F6C">
        <w:rPr>
          <w:rFonts w:ascii="Times New Roman" w:hAnsi="Times New Roman" w:cs="Times New Roman"/>
        </w:rPr>
        <w:t xml:space="preserve"> </w:t>
      </w:r>
      <w:r w:rsidR="000C3FD0" w:rsidRPr="00503F6C">
        <w:rPr>
          <w:rFonts w:ascii="Times New Roman" w:hAnsi="Times New Roman" w:cs="Times New Roman"/>
        </w:rPr>
        <w:t>Croatia</w:t>
      </w:r>
      <w:r w:rsidRPr="00503F6C">
        <w:rPr>
          <w:rFonts w:ascii="Times New Roman" w:hAnsi="Times New Roman" w:cs="Times New Roman"/>
        </w:rPr>
        <w:t xml:space="preserve"> put policies and </w:t>
      </w:r>
      <w:r w:rsidR="000C3FD0" w:rsidRPr="00503F6C">
        <w:rPr>
          <w:rFonts w:ascii="Times New Roman" w:hAnsi="Times New Roman" w:cs="Times New Roman"/>
        </w:rPr>
        <w:t>actions in place to</w:t>
      </w:r>
      <w:r w:rsidRPr="00503F6C">
        <w:rPr>
          <w:rFonts w:ascii="Times New Roman" w:hAnsi="Times New Roman" w:cs="Times New Roman"/>
        </w:rPr>
        <w:t xml:space="preserve"> ensure the Croatian diaspora continue</w:t>
      </w:r>
      <w:r w:rsidR="000C3FD0" w:rsidRPr="00503F6C">
        <w:rPr>
          <w:rFonts w:ascii="Times New Roman" w:hAnsi="Times New Roman" w:cs="Times New Roman"/>
        </w:rPr>
        <w:t xml:space="preserve">s the </w:t>
      </w:r>
      <w:r w:rsidRPr="00503F6C">
        <w:rPr>
          <w:rFonts w:ascii="Times New Roman" w:hAnsi="Times New Roman" w:cs="Times New Roman"/>
        </w:rPr>
        <w:t>trend of foreign remittances in the future</w:t>
      </w:r>
      <w:r w:rsidR="000C3FD0" w:rsidRPr="00503F6C">
        <w:rPr>
          <w:rFonts w:ascii="Times New Roman" w:hAnsi="Times New Roman" w:cs="Times New Roman"/>
        </w:rPr>
        <w:t>.</w:t>
      </w:r>
    </w:p>
    <w:p w14:paraId="3B5587B3" w14:textId="77777777" w:rsidR="00490566" w:rsidRPr="00830FD5" w:rsidRDefault="009A71CA" w:rsidP="00503F6C">
      <w:pPr>
        <w:spacing w:line="360" w:lineRule="auto"/>
        <w:jc w:val="both"/>
        <w:rPr>
          <w:rFonts w:ascii="Times New Roman" w:hAnsi="Times New Roman" w:cs="Times New Roman"/>
          <w:strike/>
          <w:color w:val="FF0000"/>
        </w:rPr>
      </w:pPr>
      <w:r w:rsidRPr="00503F6C">
        <w:rPr>
          <w:rFonts w:ascii="Times New Roman" w:hAnsi="Times New Roman" w:cs="Times New Roman"/>
        </w:rPr>
        <w:t>Oladipo (2020) used quarterly data from 1970 to 2017</w:t>
      </w:r>
      <w:r w:rsidR="009E646C" w:rsidRPr="00503F6C">
        <w:rPr>
          <w:rFonts w:ascii="Times New Roman" w:hAnsi="Times New Roman" w:cs="Times New Roman"/>
        </w:rPr>
        <w:t xml:space="preserve"> and employed ARDL methodology </w:t>
      </w:r>
      <w:r w:rsidRPr="00503F6C">
        <w:rPr>
          <w:rFonts w:ascii="Times New Roman" w:hAnsi="Times New Roman" w:cs="Times New Roman"/>
        </w:rPr>
        <w:t xml:space="preserve">to investigate the effect of remittances on Nigeria's economic growth. The study provided evidence of </w:t>
      </w:r>
      <w:r w:rsidR="009E646C" w:rsidRPr="00503F6C">
        <w:rPr>
          <w:rFonts w:ascii="Times New Roman" w:hAnsi="Times New Roman" w:cs="Times New Roman"/>
        </w:rPr>
        <w:t xml:space="preserve">a significant positive relationship in the short and long </w:t>
      </w:r>
      <w:r w:rsidR="000C3FD0" w:rsidRPr="00503F6C">
        <w:rPr>
          <w:rFonts w:ascii="Times New Roman" w:hAnsi="Times New Roman" w:cs="Times New Roman"/>
        </w:rPr>
        <w:t>run between</w:t>
      </w:r>
      <w:r w:rsidR="009E646C" w:rsidRPr="00503F6C">
        <w:rPr>
          <w:rFonts w:ascii="Times New Roman" w:hAnsi="Times New Roman" w:cs="Times New Roman"/>
        </w:rPr>
        <w:t xml:space="preserve"> worker remittances </w:t>
      </w:r>
      <w:r w:rsidR="000C3FD0" w:rsidRPr="00503F6C">
        <w:rPr>
          <w:rFonts w:ascii="Times New Roman" w:hAnsi="Times New Roman" w:cs="Times New Roman"/>
        </w:rPr>
        <w:t>and economic</w:t>
      </w:r>
      <w:r w:rsidR="009E646C" w:rsidRPr="00503F6C">
        <w:rPr>
          <w:rFonts w:ascii="Times New Roman" w:hAnsi="Times New Roman" w:cs="Times New Roman"/>
        </w:rPr>
        <w:t xml:space="preserve"> growth in Nigeria. </w:t>
      </w:r>
      <w:r w:rsidR="009E646C" w:rsidRPr="00830FD5">
        <w:rPr>
          <w:rFonts w:ascii="Times New Roman" w:hAnsi="Times New Roman" w:cs="Times New Roman"/>
          <w:strike/>
          <w:color w:val="FF0000"/>
        </w:rPr>
        <w:t xml:space="preserve">The </w:t>
      </w:r>
      <w:r w:rsidR="000C3FD0" w:rsidRPr="00830FD5">
        <w:rPr>
          <w:rFonts w:ascii="Times New Roman" w:hAnsi="Times New Roman" w:cs="Times New Roman"/>
          <w:strike/>
          <w:color w:val="FF0000"/>
        </w:rPr>
        <w:t>study recommend</w:t>
      </w:r>
      <w:r w:rsidR="009E646C" w:rsidRPr="00830FD5">
        <w:rPr>
          <w:rFonts w:ascii="Times New Roman" w:hAnsi="Times New Roman" w:cs="Times New Roman"/>
          <w:strike/>
          <w:color w:val="FF0000"/>
        </w:rPr>
        <w:t xml:space="preserve">s that to maximize migrant remittances, the government should reduce </w:t>
      </w:r>
      <w:r w:rsidR="000C3FD0" w:rsidRPr="00830FD5">
        <w:rPr>
          <w:rFonts w:ascii="Times New Roman" w:hAnsi="Times New Roman" w:cs="Times New Roman"/>
          <w:strike/>
          <w:color w:val="FF0000"/>
        </w:rPr>
        <w:t>the transaction</w:t>
      </w:r>
      <w:r w:rsidR="009E646C" w:rsidRPr="00830FD5">
        <w:rPr>
          <w:rFonts w:ascii="Times New Roman" w:hAnsi="Times New Roman" w:cs="Times New Roman"/>
          <w:strike/>
          <w:color w:val="FF0000"/>
        </w:rPr>
        <w:t xml:space="preserve"> costs of receiving </w:t>
      </w:r>
      <w:r w:rsidR="000C3FD0" w:rsidRPr="00830FD5">
        <w:rPr>
          <w:rFonts w:ascii="Times New Roman" w:hAnsi="Times New Roman" w:cs="Times New Roman"/>
          <w:strike/>
          <w:color w:val="FF0000"/>
        </w:rPr>
        <w:t>funds into</w:t>
      </w:r>
      <w:r w:rsidR="009E646C" w:rsidRPr="00830FD5">
        <w:rPr>
          <w:rFonts w:ascii="Times New Roman" w:hAnsi="Times New Roman" w:cs="Times New Roman"/>
          <w:strike/>
          <w:color w:val="FF0000"/>
        </w:rPr>
        <w:t xml:space="preserve"> the country </w:t>
      </w:r>
      <w:r w:rsidR="00B37EBF" w:rsidRPr="00830FD5">
        <w:rPr>
          <w:rFonts w:ascii="Times New Roman" w:hAnsi="Times New Roman" w:cs="Times New Roman"/>
          <w:strike/>
          <w:color w:val="FF0000"/>
        </w:rPr>
        <w:t>and</w:t>
      </w:r>
      <w:r w:rsidR="009E646C" w:rsidRPr="00830FD5">
        <w:rPr>
          <w:rFonts w:ascii="Times New Roman" w:hAnsi="Times New Roman" w:cs="Times New Roman"/>
          <w:strike/>
          <w:color w:val="FF0000"/>
        </w:rPr>
        <w:t xml:space="preserve"> provide friendly business and investment conditions to improve remittance inflow</w:t>
      </w:r>
      <w:r w:rsidR="00B37EBF" w:rsidRPr="00830FD5">
        <w:rPr>
          <w:rFonts w:ascii="Times New Roman" w:hAnsi="Times New Roman" w:cs="Times New Roman"/>
          <w:strike/>
          <w:color w:val="FF0000"/>
        </w:rPr>
        <w:t>.</w:t>
      </w:r>
      <w:r w:rsidR="009E646C" w:rsidRPr="00830FD5">
        <w:rPr>
          <w:rFonts w:ascii="Times New Roman" w:hAnsi="Times New Roman" w:cs="Times New Roman"/>
          <w:strike/>
          <w:color w:val="FF0000"/>
        </w:rPr>
        <w:t xml:space="preserve"> </w:t>
      </w:r>
    </w:p>
    <w:p w14:paraId="5B43BF0F" w14:textId="77777777" w:rsidR="001E0EA3" w:rsidRPr="00503F6C" w:rsidRDefault="009A71CA" w:rsidP="00850C0D">
      <w:pPr>
        <w:spacing w:line="360" w:lineRule="auto"/>
        <w:jc w:val="both"/>
        <w:rPr>
          <w:rFonts w:ascii="Times New Roman" w:hAnsi="Times New Roman" w:cs="Times New Roman"/>
        </w:rPr>
      </w:pPr>
      <w:r w:rsidRPr="00503F6C">
        <w:rPr>
          <w:rFonts w:ascii="Times New Roman" w:hAnsi="Times New Roman" w:cs="Times New Roman"/>
        </w:rPr>
        <w:t xml:space="preserve">Cazachevici et al. (2020)  relied on a quantitative survey of 538 estimates reported in 95 studies to investigate the relationship between remittances and economic growth. Their study revealed </w:t>
      </w:r>
      <w:r w:rsidRPr="00503F6C">
        <w:rPr>
          <w:rFonts w:ascii="Times New Roman" w:hAnsi="Times New Roman" w:cs="Times New Roman"/>
        </w:rPr>
        <w:lastRenderedPageBreak/>
        <w:t xml:space="preserve">that 40% </w:t>
      </w:r>
      <w:r w:rsidR="00CD410F" w:rsidRPr="00503F6C">
        <w:rPr>
          <w:rFonts w:ascii="Times New Roman" w:hAnsi="Times New Roman" w:cs="Times New Roman"/>
        </w:rPr>
        <w:t>reported a</w:t>
      </w:r>
      <w:r w:rsidRPr="00503F6C">
        <w:rPr>
          <w:rFonts w:ascii="Times New Roman" w:hAnsi="Times New Roman" w:cs="Times New Roman"/>
        </w:rPr>
        <w:t xml:space="preserve"> positive effect </w:t>
      </w:r>
      <w:r w:rsidR="00CD410F" w:rsidRPr="00503F6C">
        <w:rPr>
          <w:rFonts w:ascii="Times New Roman" w:hAnsi="Times New Roman" w:cs="Times New Roman"/>
        </w:rPr>
        <w:t>of remittances</w:t>
      </w:r>
      <w:r w:rsidRPr="00503F6C">
        <w:rPr>
          <w:rFonts w:ascii="Times New Roman" w:hAnsi="Times New Roman" w:cs="Times New Roman"/>
        </w:rPr>
        <w:t xml:space="preserve"> on economic growth, 40% reported no effect on economic growth, and 20% reported a negative</w:t>
      </w:r>
      <w:r w:rsidR="00111A9F" w:rsidRPr="00503F6C">
        <w:rPr>
          <w:rFonts w:ascii="Times New Roman" w:hAnsi="Times New Roman" w:cs="Times New Roman"/>
        </w:rPr>
        <w:t xml:space="preserve"> impact. The study also found </w:t>
      </w:r>
      <w:r w:rsidR="000C3FD0" w:rsidRPr="00503F6C">
        <w:rPr>
          <w:rFonts w:ascii="Times New Roman" w:hAnsi="Times New Roman" w:cs="Times New Roman"/>
        </w:rPr>
        <w:t>that remittances are growth-enhancing in Asia</w:t>
      </w:r>
      <w:r w:rsidR="00111A9F" w:rsidRPr="00503F6C">
        <w:rPr>
          <w:rFonts w:ascii="Times New Roman" w:hAnsi="Times New Roman" w:cs="Times New Roman"/>
        </w:rPr>
        <w:t xml:space="preserve"> but are economically small and not </w:t>
      </w:r>
      <w:r w:rsidR="000C3FD0" w:rsidRPr="00503F6C">
        <w:rPr>
          <w:rFonts w:ascii="Times New Roman" w:hAnsi="Times New Roman" w:cs="Times New Roman"/>
        </w:rPr>
        <w:t xml:space="preserve">growth-enhancing in  </w:t>
      </w:r>
      <w:r w:rsidR="00111A9F" w:rsidRPr="00503F6C">
        <w:rPr>
          <w:rFonts w:ascii="Times New Roman" w:hAnsi="Times New Roman" w:cs="Times New Roman"/>
        </w:rPr>
        <w:t>Africa.</w:t>
      </w:r>
      <w:r w:rsidR="000C3FD0" w:rsidRPr="00503F6C">
        <w:rPr>
          <w:rFonts w:ascii="Times New Roman" w:hAnsi="Times New Roman" w:cs="Times New Roman"/>
        </w:rPr>
        <w:t xml:space="preserve"> </w:t>
      </w:r>
      <w:r w:rsidR="00CD410F" w:rsidRPr="00503F6C">
        <w:rPr>
          <w:rFonts w:ascii="Times New Roman" w:hAnsi="Times New Roman" w:cs="Times New Roman"/>
        </w:rPr>
        <w:t>Furthermore,</w:t>
      </w:r>
      <w:r w:rsidR="000C3FD0" w:rsidRPr="00503F6C">
        <w:rPr>
          <w:rFonts w:ascii="Times New Roman" w:hAnsi="Times New Roman" w:cs="Times New Roman"/>
        </w:rPr>
        <w:t xml:space="preserve"> the </w:t>
      </w:r>
      <w:r w:rsidR="00CD410F" w:rsidRPr="00503F6C">
        <w:rPr>
          <w:rFonts w:ascii="Times New Roman" w:hAnsi="Times New Roman" w:cs="Times New Roman"/>
        </w:rPr>
        <w:t>study found</w:t>
      </w:r>
      <w:r w:rsidR="00111A9F" w:rsidRPr="00503F6C">
        <w:rPr>
          <w:rFonts w:ascii="Times New Roman" w:hAnsi="Times New Roman" w:cs="Times New Roman"/>
        </w:rPr>
        <w:t xml:space="preserve"> that</w:t>
      </w:r>
      <w:r w:rsidRPr="00503F6C">
        <w:rPr>
          <w:rFonts w:ascii="Times New Roman" w:hAnsi="Times New Roman" w:cs="Times New Roman"/>
        </w:rPr>
        <w:t xml:space="preserve"> time-series studies and studies ignoring endogeneity issues report systematically larger effects of </w:t>
      </w:r>
      <w:r w:rsidR="000C3FD0" w:rsidRPr="00503F6C">
        <w:rPr>
          <w:rFonts w:ascii="Times New Roman" w:hAnsi="Times New Roman" w:cs="Times New Roman"/>
        </w:rPr>
        <w:t>remittances</w:t>
      </w:r>
      <w:r w:rsidRPr="00503F6C">
        <w:rPr>
          <w:rFonts w:ascii="Times New Roman" w:hAnsi="Times New Roman" w:cs="Times New Roman"/>
        </w:rPr>
        <w:t xml:space="preserve"> on growth</w:t>
      </w:r>
      <w:r w:rsidR="000C3FD0" w:rsidRPr="00503F6C">
        <w:rPr>
          <w:rFonts w:ascii="Times New Roman" w:hAnsi="Times New Roman" w:cs="Times New Roman"/>
        </w:rPr>
        <w:t xml:space="preserve">. </w:t>
      </w:r>
    </w:p>
    <w:p w14:paraId="510584E7" w14:textId="77777777" w:rsidR="00E34AE5" w:rsidRPr="00830FD5" w:rsidRDefault="009A71CA" w:rsidP="006B428A">
      <w:pPr>
        <w:spacing w:line="360" w:lineRule="auto"/>
        <w:jc w:val="both"/>
        <w:rPr>
          <w:rFonts w:ascii="Times New Roman" w:hAnsi="Times New Roman" w:cs="Times New Roman"/>
          <w:strike/>
          <w:color w:val="FF0000"/>
        </w:rPr>
      </w:pPr>
      <w:r w:rsidRPr="00503F6C">
        <w:rPr>
          <w:rFonts w:ascii="Times New Roman" w:hAnsi="Times New Roman" w:cs="Times New Roman"/>
        </w:rPr>
        <w:t>Adjei</w:t>
      </w:r>
      <w:r w:rsidR="00812100" w:rsidRPr="00503F6C">
        <w:rPr>
          <w:rFonts w:ascii="Times New Roman" w:hAnsi="Times New Roman" w:cs="Times New Roman"/>
        </w:rPr>
        <w:t xml:space="preserve"> et</w:t>
      </w:r>
      <w:r w:rsidR="00CD410F" w:rsidRPr="00503F6C">
        <w:rPr>
          <w:rFonts w:ascii="Times New Roman" w:hAnsi="Times New Roman" w:cs="Times New Roman"/>
        </w:rPr>
        <w:t xml:space="preserve"> al. (</w:t>
      </w:r>
      <w:r w:rsidRPr="00503F6C">
        <w:rPr>
          <w:rFonts w:ascii="Times New Roman" w:hAnsi="Times New Roman" w:cs="Times New Roman"/>
        </w:rPr>
        <w:t>2020)</w:t>
      </w:r>
      <w:r w:rsidR="00812100" w:rsidRPr="00503F6C">
        <w:rPr>
          <w:rFonts w:ascii="Times New Roman" w:hAnsi="Times New Roman" w:cs="Times New Roman"/>
        </w:rPr>
        <w:t xml:space="preserve"> </w:t>
      </w:r>
      <w:r w:rsidR="00371538" w:rsidRPr="00503F6C">
        <w:rPr>
          <w:rFonts w:ascii="Times New Roman" w:hAnsi="Times New Roman" w:cs="Times New Roman"/>
        </w:rPr>
        <w:t>used data from seven West  African Countries (  Burkina-Faso, Ghana, Guinea, Guinea-Bissau, Mali, Nigeria, and Togo</w:t>
      </w:r>
      <w:r w:rsidR="00CD410F" w:rsidRPr="00503F6C">
        <w:rPr>
          <w:rFonts w:ascii="Times New Roman" w:hAnsi="Times New Roman" w:cs="Times New Roman"/>
        </w:rPr>
        <w:t>)</w:t>
      </w:r>
      <w:r w:rsidR="00EF501D" w:rsidRPr="00503F6C">
        <w:rPr>
          <w:rFonts w:ascii="Times New Roman" w:hAnsi="Times New Roman" w:cs="Times New Roman"/>
        </w:rPr>
        <w:t xml:space="preserve"> </w:t>
      </w:r>
      <w:r w:rsidR="00371538" w:rsidRPr="00503F6C">
        <w:rPr>
          <w:rFonts w:ascii="Times New Roman" w:hAnsi="Times New Roman" w:cs="Times New Roman"/>
        </w:rPr>
        <w:t>to examine the relationship between remittances and economic growth</w:t>
      </w:r>
      <w:r w:rsidRPr="00503F6C">
        <w:rPr>
          <w:rFonts w:ascii="Times New Roman" w:hAnsi="Times New Roman" w:cs="Times New Roman"/>
        </w:rPr>
        <w:t xml:space="preserve"> using the ARDL model</w:t>
      </w:r>
      <w:r w:rsidR="00371538" w:rsidRPr="00503F6C">
        <w:rPr>
          <w:rFonts w:ascii="Times New Roman" w:hAnsi="Times New Roman" w:cs="Times New Roman"/>
        </w:rPr>
        <w:t>. The study's results showed that remittances positively and significantly impact economic growth in these countries</w:t>
      </w:r>
      <w:r w:rsidRPr="00503F6C">
        <w:rPr>
          <w:rFonts w:ascii="Times New Roman" w:hAnsi="Times New Roman" w:cs="Times New Roman"/>
        </w:rPr>
        <w:t xml:space="preserve"> in both the short and long run.</w:t>
      </w:r>
      <w:r w:rsidR="00371538" w:rsidRPr="00503F6C">
        <w:rPr>
          <w:rFonts w:ascii="Times New Roman" w:hAnsi="Times New Roman" w:cs="Times New Roman"/>
        </w:rPr>
        <w:t xml:space="preserve"> Also, the study established a positive relationship between remittance, real effective exchange rate, trade openness, and investment in economic growth in these </w:t>
      </w:r>
      <w:r w:rsidRPr="00503F6C">
        <w:rPr>
          <w:rFonts w:ascii="Times New Roman" w:hAnsi="Times New Roman" w:cs="Times New Roman"/>
        </w:rPr>
        <w:t xml:space="preserve">countries. </w:t>
      </w:r>
      <w:r w:rsidRPr="00830FD5">
        <w:rPr>
          <w:rFonts w:ascii="Times New Roman" w:hAnsi="Times New Roman" w:cs="Times New Roman"/>
          <w:strike/>
          <w:color w:val="FF0000"/>
        </w:rPr>
        <w:t xml:space="preserve">The </w:t>
      </w:r>
      <w:r w:rsidR="00CD410F" w:rsidRPr="00830FD5">
        <w:rPr>
          <w:rFonts w:ascii="Times New Roman" w:hAnsi="Times New Roman" w:cs="Times New Roman"/>
          <w:strike/>
          <w:color w:val="FF0000"/>
        </w:rPr>
        <w:t>study recommended</w:t>
      </w:r>
      <w:r w:rsidRPr="00830FD5">
        <w:rPr>
          <w:rFonts w:ascii="Times New Roman" w:hAnsi="Times New Roman" w:cs="Times New Roman"/>
          <w:strike/>
          <w:color w:val="FF0000"/>
        </w:rPr>
        <w:t xml:space="preserve"> more judicious use of migrant remittances, the need to </w:t>
      </w:r>
      <w:r w:rsidR="00CD410F" w:rsidRPr="00830FD5">
        <w:rPr>
          <w:rFonts w:ascii="Times New Roman" w:hAnsi="Times New Roman" w:cs="Times New Roman"/>
          <w:strike/>
          <w:color w:val="FF0000"/>
        </w:rPr>
        <w:t>stimulate</w:t>
      </w:r>
      <w:r w:rsidRPr="00830FD5">
        <w:rPr>
          <w:rFonts w:ascii="Times New Roman" w:hAnsi="Times New Roman" w:cs="Times New Roman"/>
          <w:strike/>
          <w:color w:val="FF0000"/>
        </w:rPr>
        <w:t xml:space="preserve"> domestic investment, and less r</w:t>
      </w:r>
      <w:r w:rsidR="00CD410F" w:rsidRPr="00830FD5">
        <w:rPr>
          <w:rFonts w:ascii="Times New Roman" w:hAnsi="Times New Roman" w:cs="Times New Roman"/>
          <w:strike/>
          <w:color w:val="FF0000"/>
        </w:rPr>
        <w:t xml:space="preserve">eliance on other sources </w:t>
      </w:r>
      <w:r w:rsidRPr="00830FD5">
        <w:rPr>
          <w:rFonts w:ascii="Times New Roman" w:hAnsi="Times New Roman" w:cs="Times New Roman"/>
          <w:strike/>
          <w:color w:val="FF0000"/>
        </w:rPr>
        <w:t>of foreign inflows</w:t>
      </w:r>
      <w:r w:rsidR="00CD410F" w:rsidRPr="00830FD5">
        <w:rPr>
          <w:rFonts w:ascii="Times New Roman" w:hAnsi="Times New Roman" w:cs="Times New Roman"/>
          <w:strike/>
          <w:color w:val="FF0000"/>
        </w:rPr>
        <w:t xml:space="preserve"> like external debt</w:t>
      </w:r>
      <w:r w:rsidRPr="00830FD5">
        <w:rPr>
          <w:rFonts w:ascii="Times New Roman" w:hAnsi="Times New Roman" w:cs="Times New Roman"/>
          <w:strike/>
          <w:color w:val="FF0000"/>
        </w:rPr>
        <w:t xml:space="preserve"> to stimulate economic growth. </w:t>
      </w:r>
    </w:p>
    <w:p w14:paraId="5BC885AE" w14:textId="77777777" w:rsidR="00A14661" w:rsidRPr="00503F6C" w:rsidRDefault="009A71CA" w:rsidP="006B428A">
      <w:pPr>
        <w:spacing w:line="360" w:lineRule="auto"/>
        <w:jc w:val="both"/>
        <w:rPr>
          <w:rFonts w:ascii="Times New Roman" w:hAnsi="Times New Roman" w:cs="Times New Roman"/>
        </w:rPr>
      </w:pPr>
      <w:r w:rsidRPr="00503F6C">
        <w:rPr>
          <w:rFonts w:ascii="Times New Roman" w:hAnsi="Times New Roman" w:cs="Times New Roman"/>
        </w:rPr>
        <w:t xml:space="preserve">Ekanayake and Moslares  (2020) examined the impact of migrant remittances on economic growth and poverty in 21 Latin American countries. The </w:t>
      </w:r>
      <w:r w:rsidR="00CD410F" w:rsidRPr="00503F6C">
        <w:rPr>
          <w:rFonts w:ascii="Times New Roman" w:hAnsi="Times New Roman" w:cs="Times New Roman"/>
        </w:rPr>
        <w:t>employed Panel</w:t>
      </w:r>
      <w:r w:rsidRPr="00503F6C">
        <w:rPr>
          <w:rFonts w:ascii="Times New Roman" w:hAnsi="Times New Roman" w:cs="Times New Roman"/>
        </w:rPr>
        <w:t xml:space="preserve"> </w:t>
      </w:r>
      <w:r w:rsidR="00CD410F" w:rsidRPr="00503F6C">
        <w:rPr>
          <w:rFonts w:ascii="Times New Roman" w:hAnsi="Times New Roman" w:cs="Times New Roman"/>
        </w:rPr>
        <w:t>fully modified</w:t>
      </w:r>
      <w:r w:rsidRPr="00503F6C">
        <w:rPr>
          <w:rFonts w:ascii="Times New Roman" w:hAnsi="Times New Roman" w:cs="Times New Roman"/>
        </w:rPr>
        <w:t xml:space="preserve"> least squares (FMOLS) and used annual data from 1980 to 2018. </w:t>
      </w:r>
      <w:r w:rsidR="004F29CE" w:rsidRPr="00503F6C">
        <w:rPr>
          <w:rFonts w:ascii="Times New Roman" w:hAnsi="Times New Roman" w:cs="Times New Roman"/>
        </w:rPr>
        <w:t xml:space="preserve">The study provided empirical evidence that remittances positively impact </w:t>
      </w:r>
      <w:r w:rsidR="00CD410F" w:rsidRPr="00503F6C">
        <w:rPr>
          <w:rFonts w:ascii="Times New Roman" w:hAnsi="Times New Roman" w:cs="Times New Roman"/>
        </w:rPr>
        <w:t>economic growth</w:t>
      </w:r>
      <w:r w:rsidR="004F29CE" w:rsidRPr="00503F6C">
        <w:rPr>
          <w:rFonts w:ascii="Times New Roman" w:hAnsi="Times New Roman" w:cs="Times New Roman"/>
        </w:rPr>
        <w:t xml:space="preserve"> in these countries in the long run; however, </w:t>
      </w:r>
      <w:r w:rsidR="00CD410F" w:rsidRPr="00503F6C">
        <w:rPr>
          <w:rFonts w:ascii="Times New Roman" w:hAnsi="Times New Roman" w:cs="Times New Roman"/>
        </w:rPr>
        <w:t>there</w:t>
      </w:r>
      <w:r w:rsidR="004F29CE" w:rsidRPr="00503F6C">
        <w:rPr>
          <w:rFonts w:ascii="Times New Roman" w:hAnsi="Times New Roman" w:cs="Times New Roman"/>
        </w:rPr>
        <w:t xml:space="preserve"> were mixed results in the short run. The result also </w:t>
      </w:r>
      <w:r w:rsidR="00CD410F" w:rsidRPr="00503F6C">
        <w:rPr>
          <w:rFonts w:ascii="Times New Roman" w:hAnsi="Times New Roman" w:cs="Times New Roman"/>
        </w:rPr>
        <w:t>revealed that remittances</w:t>
      </w:r>
      <w:r w:rsidRPr="00503F6C">
        <w:rPr>
          <w:rFonts w:ascii="Times New Roman" w:hAnsi="Times New Roman" w:cs="Times New Roman"/>
        </w:rPr>
        <w:t xml:space="preserve"> tend to lower poverty rates in Latin America</w:t>
      </w:r>
      <w:r w:rsidR="00CD410F" w:rsidRPr="00503F6C">
        <w:rPr>
          <w:rFonts w:ascii="Times New Roman" w:hAnsi="Times New Roman" w:cs="Times New Roman"/>
        </w:rPr>
        <w:t xml:space="preserve"> in the long run. </w:t>
      </w:r>
    </w:p>
    <w:p w14:paraId="36BD5667" w14:textId="77777777" w:rsidR="002878A3" w:rsidRPr="00503F6C" w:rsidRDefault="009A71CA" w:rsidP="006B428A">
      <w:pPr>
        <w:spacing w:line="360" w:lineRule="auto"/>
        <w:jc w:val="both"/>
        <w:rPr>
          <w:rFonts w:ascii="Times New Roman" w:hAnsi="Times New Roman" w:cs="Times New Roman"/>
        </w:rPr>
      </w:pPr>
      <w:r w:rsidRPr="00850C0D">
        <w:rPr>
          <w:rFonts w:ascii="Times New Roman" w:hAnsi="Times New Roman" w:cs="Times New Roman"/>
        </w:rPr>
        <w:t>Ukhtiyani and  Indartono (2020)</w:t>
      </w:r>
      <w:r w:rsidR="00CD410F" w:rsidRPr="00850C0D">
        <w:rPr>
          <w:rFonts w:ascii="Times New Roman" w:hAnsi="Times New Roman" w:cs="Times New Roman"/>
        </w:rPr>
        <w:t xml:space="preserve"> examined the dual impact of remittance and FDI on the economic growth of Indonesia. The </w:t>
      </w:r>
      <w:r w:rsidR="00CD410F" w:rsidRPr="00503F6C">
        <w:rPr>
          <w:rFonts w:ascii="Times New Roman" w:hAnsi="Times New Roman" w:cs="Times New Roman"/>
        </w:rPr>
        <w:t>study relied on secondary data from various sources covering the period from 1998-2018, and the multiple regression model was used as the tool analysis. The study's result differed from a priori expectations</w:t>
      </w:r>
      <w:r w:rsidRPr="00503F6C">
        <w:rPr>
          <w:rFonts w:ascii="Times New Roman" w:hAnsi="Times New Roman" w:cs="Times New Roman"/>
        </w:rPr>
        <w:t xml:space="preserve"> because the study provided empirical evidence of no significant effect of remittance and FDI on Indonesia's economic growth. The study further established that the cause of the lack of impact of remittances on growth in Indonesia was that a significant amount of remittances to the home country were used for consumption, not for investment or to establish businesses. Also, the FDI had no impact caused by the bureaucracy involved in receiving   FDI in Indonesia. The study recommends </w:t>
      </w:r>
      <w:r w:rsidRPr="00503F6C">
        <w:rPr>
          <w:rFonts w:ascii="Times New Roman" w:hAnsi="Times New Roman" w:cs="Times New Roman"/>
        </w:rPr>
        <w:lastRenderedPageBreak/>
        <w:t>channelling remittances for investment purposes and providing infrastructure to increase foreign investor interest.</w:t>
      </w:r>
    </w:p>
    <w:p w14:paraId="18A8805E" w14:textId="77777777" w:rsidR="00CE07B2" w:rsidRPr="00503F6C" w:rsidRDefault="009A71CA" w:rsidP="006B428A">
      <w:pPr>
        <w:spacing w:line="360" w:lineRule="auto"/>
        <w:jc w:val="both"/>
        <w:rPr>
          <w:rFonts w:ascii="Times New Roman" w:hAnsi="Times New Roman" w:cs="Times New Roman"/>
        </w:rPr>
      </w:pPr>
      <w:r w:rsidRPr="00503F6C">
        <w:rPr>
          <w:rFonts w:ascii="Times New Roman" w:hAnsi="Times New Roman" w:cs="Times New Roman"/>
        </w:rPr>
        <w:t xml:space="preserve">Onyike et al. (2020), using data from Nigeria, explored the link between </w:t>
      </w:r>
      <w:r w:rsidR="003838E3" w:rsidRPr="00503F6C">
        <w:rPr>
          <w:rFonts w:ascii="Times New Roman" w:hAnsi="Times New Roman" w:cs="Times New Roman"/>
        </w:rPr>
        <w:t>immigrant remittances</w:t>
      </w:r>
      <w:r w:rsidRPr="00503F6C">
        <w:rPr>
          <w:rFonts w:ascii="Times New Roman" w:hAnsi="Times New Roman" w:cs="Times New Roman"/>
        </w:rPr>
        <w:t xml:space="preserve"> and the economic growth of Nigeria. </w:t>
      </w:r>
      <w:r w:rsidR="003838E3" w:rsidRPr="00503F6C">
        <w:rPr>
          <w:rFonts w:ascii="Times New Roman" w:hAnsi="Times New Roman" w:cs="Times New Roman"/>
        </w:rPr>
        <w:t>The</w:t>
      </w:r>
      <w:r w:rsidR="000C3EF1" w:rsidRPr="00503F6C">
        <w:rPr>
          <w:rFonts w:ascii="Times New Roman" w:hAnsi="Times New Roman" w:cs="Times New Roman"/>
        </w:rPr>
        <w:t xml:space="preserve"> </w:t>
      </w:r>
      <w:r w:rsidR="003838E3" w:rsidRPr="00503F6C">
        <w:rPr>
          <w:rFonts w:ascii="Times New Roman" w:hAnsi="Times New Roman" w:cs="Times New Roman"/>
        </w:rPr>
        <w:t>ARDL cointegration</w:t>
      </w:r>
      <w:r w:rsidR="000C3EF1" w:rsidRPr="00503F6C">
        <w:rPr>
          <w:rFonts w:ascii="Times New Roman" w:hAnsi="Times New Roman" w:cs="Times New Roman"/>
        </w:rPr>
        <w:t xml:space="preserve"> and VECM </w:t>
      </w:r>
      <w:r w:rsidRPr="00503F6C">
        <w:rPr>
          <w:rFonts w:ascii="Times New Roman" w:hAnsi="Times New Roman" w:cs="Times New Roman"/>
        </w:rPr>
        <w:t xml:space="preserve"> </w:t>
      </w:r>
      <w:r w:rsidR="003838E3" w:rsidRPr="00503F6C">
        <w:rPr>
          <w:rFonts w:ascii="Times New Roman" w:hAnsi="Times New Roman" w:cs="Times New Roman"/>
        </w:rPr>
        <w:t xml:space="preserve"> were </w:t>
      </w:r>
      <w:r w:rsidRPr="00503F6C">
        <w:rPr>
          <w:rFonts w:ascii="Times New Roman" w:hAnsi="Times New Roman" w:cs="Times New Roman"/>
        </w:rPr>
        <w:t xml:space="preserve">used as the basis </w:t>
      </w:r>
      <w:r w:rsidR="00B04E75" w:rsidRPr="00503F6C">
        <w:rPr>
          <w:rFonts w:ascii="Times New Roman" w:hAnsi="Times New Roman" w:cs="Times New Roman"/>
        </w:rPr>
        <w:t>of the analysis</w:t>
      </w:r>
      <w:r w:rsidR="003838E3" w:rsidRPr="00503F6C">
        <w:rPr>
          <w:rFonts w:ascii="Times New Roman" w:hAnsi="Times New Roman" w:cs="Times New Roman"/>
        </w:rPr>
        <w:t xml:space="preserve">. The data </w:t>
      </w:r>
      <w:r w:rsidRPr="00503F6C">
        <w:rPr>
          <w:rFonts w:ascii="Times New Roman" w:hAnsi="Times New Roman" w:cs="Times New Roman"/>
        </w:rPr>
        <w:t>from 1986 to 2017</w:t>
      </w:r>
      <w:r w:rsidR="003838E3" w:rsidRPr="00503F6C">
        <w:rPr>
          <w:rFonts w:ascii="Times New Roman" w:hAnsi="Times New Roman" w:cs="Times New Roman"/>
        </w:rPr>
        <w:t xml:space="preserve"> was used </w:t>
      </w:r>
      <w:r w:rsidRPr="00503F6C">
        <w:rPr>
          <w:rFonts w:ascii="Times New Roman" w:hAnsi="Times New Roman" w:cs="Times New Roman"/>
        </w:rPr>
        <w:t xml:space="preserve">to </w:t>
      </w:r>
      <w:r w:rsidR="00B04E75" w:rsidRPr="00503F6C">
        <w:rPr>
          <w:rFonts w:ascii="Times New Roman" w:hAnsi="Times New Roman" w:cs="Times New Roman"/>
        </w:rPr>
        <w:t>estimate relationships</w:t>
      </w:r>
      <w:r w:rsidR="000C3EF1" w:rsidRPr="00503F6C">
        <w:rPr>
          <w:rFonts w:ascii="Times New Roman" w:hAnsi="Times New Roman" w:cs="Times New Roman"/>
        </w:rPr>
        <w:t xml:space="preserve"> among</w:t>
      </w:r>
      <w:r w:rsidRPr="00503F6C">
        <w:rPr>
          <w:rFonts w:ascii="Times New Roman" w:hAnsi="Times New Roman" w:cs="Times New Roman"/>
        </w:rPr>
        <w:t xml:space="preserve"> the variables. </w:t>
      </w:r>
      <w:r w:rsidR="00B04E75" w:rsidRPr="00503F6C">
        <w:rPr>
          <w:rFonts w:ascii="Times New Roman" w:hAnsi="Times New Roman" w:cs="Times New Roman"/>
        </w:rPr>
        <w:t>The</w:t>
      </w:r>
      <w:r w:rsidRPr="00503F6C">
        <w:rPr>
          <w:rFonts w:ascii="Times New Roman" w:hAnsi="Times New Roman" w:cs="Times New Roman"/>
        </w:rPr>
        <w:t xml:space="preserve"> result </w:t>
      </w:r>
      <w:r w:rsidR="00B04E75" w:rsidRPr="00503F6C">
        <w:rPr>
          <w:rFonts w:ascii="Times New Roman" w:hAnsi="Times New Roman" w:cs="Times New Roman"/>
        </w:rPr>
        <w:t>indicated</w:t>
      </w:r>
      <w:r w:rsidRPr="00503F6C">
        <w:rPr>
          <w:rFonts w:ascii="Times New Roman" w:hAnsi="Times New Roman" w:cs="Times New Roman"/>
        </w:rPr>
        <w:t xml:space="preserve"> that in the long run, remittances, inflation rate</w:t>
      </w:r>
      <w:r w:rsidR="00B04E75" w:rsidRPr="00503F6C">
        <w:rPr>
          <w:rFonts w:ascii="Times New Roman" w:hAnsi="Times New Roman" w:cs="Times New Roman"/>
        </w:rPr>
        <w:t xml:space="preserve"> </w:t>
      </w:r>
      <w:r w:rsidRPr="00503F6C">
        <w:rPr>
          <w:rFonts w:ascii="Times New Roman" w:hAnsi="Times New Roman" w:cs="Times New Roman"/>
        </w:rPr>
        <w:t xml:space="preserve">and human capital positively affect growth, while domestic investment and interest rate negatively impact growth. There was also evidence that domestic investment remittances and human capital had </w:t>
      </w:r>
      <w:r w:rsidR="00B04E75" w:rsidRPr="00503F6C">
        <w:rPr>
          <w:rFonts w:ascii="Times New Roman" w:hAnsi="Times New Roman" w:cs="Times New Roman"/>
        </w:rPr>
        <w:t>a positive</w:t>
      </w:r>
      <w:r w:rsidRPr="00503F6C">
        <w:rPr>
          <w:rFonts w:ascii="Times New Roman" w:hAnsi="Times New Roman" w:cs="Times New Roman"/>
        </w:rPr>
        <w:t xml:space="preserve"> impact in the short run, with only interest rates having an adverse effect</w:t>
      </w:r>
      <w:r w:rsidR="00B04E75" w:rsidRPr="00503F6C">
        <w:rPr>
          <w:rFonts w:ascii="Times New Roman" w:hAnsi="Times New Roman" w:cs="Times New Roman"/>
        </w:rPr>
        <w:t>.</w:t>
      </w:r>
    </w:p>
    <w:p w14:paraId="13514C8D" w14:textId="64537A65" w:rsidR="00682B0D" w:rsidRDefault="009A71CA" w:rsidP="006B428A">
      <w:pPr>
        <w:spacing w:line="360" w:lineRule="auto"/>
        <w:jc w:val="both"/>
        <w:rPr>
          <w:rFonts w:ascii="Times New Roman" w:hAnsi="Times New Roman" w:cs="Times New Roman"/>
        </w:rPr>
      </w:pPr>
      <w:r w:rsidRPr="006B428A">
        <w:rPr>
          <w:rFonts w:ascii="Times New Roman" w:hAnsi="Times New Roman" w:cs="Times New Roman"/>
        </w:rPr>
        <w:t>Olayungbo</w:t>
      </w:r>
      <w:r w:rsidR="00CE07B2" w:rsidRPr="006B428A">
        <w:rPr>
          <w:rFonts w:ascii="Times New Roman" w:hAnsi="Times New Roman" w:cs="Times New Roman"/>
        </w:rPr>
        <w:t xml:space="preserve"> et al </w:t>
      </w:r>
      <w:r w:rsidR="006B428A">
        <w:rPr>
          <w:rFonts w:ascii="Times New Roman" w:hAnsi="Times New Roman" w:cs="Times New Roman"/>
        </w:rPr>
        <w:t>.</w:t>
      </w:r>
      <w:r w:rsidRPr="006B428A">
        <w:rPr>
          <w:rFonts w:ascii="Times New Roman" w:hAnsi="Times New Roman" w:cs="Times New Roman"/>
        </w:rPr>
        <w:t>(2020</w:t>
      </w:r>
      <w:r w:rsidR="006B428A" w:rsidRPr="006B428A">
        <w:rPr>
          <w:rFonts w:ascii="Times New Roman" w:hAnsi="Times New Roman" w:cs="Times New Roman"/>
        </w:rPr>
        <w:t>)</w:t>
      </w:r>
      <w:r w:rsidRPr="006B428A">
        <w:rPr>
          <w:rFonts w:ascii="Times New Roman" w:hAnsi="Times New Roman" w:cs="Times New Roman"/>
        </w:rPr>
        <w:t xml:space="preserve"> </w:t>
      </w:r>
      <w:r w:rsidR="00B04E75" w:rsidRPr="00503F6C">
        <w:rPr>
          <w:rFonts w:ascii="Times New Roman" w:hAnsi="Times New Roman" w:cs="Times New Roman"/>
        </w:rPr>
        <w:t>provided a</w:t>
      </w:r>
      <w:r w:rsidRPr="00503F6C">
        <w:rPr>
          <w:rFonts w:ascii="Times New Roman" w:hAnsi="Times New Roman" w:cs="Times New Roman"/>
        </w:rPr>
        <w:t xml:space="preserve"> </w:t>
      </w:r>
      <w:r w:rsidR="00B04E75" w:rsidRPr="00503F6C">
        <w:rPr>
          <w:rFonts w:ascii="Times New Roman" w:hAnsi="Times New Roman" w:cs="Times New Roman"/>
        </w:rPr>
        <w:t>different dimension</w:t>
      </w:r>
      <w:r w:rsidRPr="00503F6C">
        <w:rPr>
          <w:rFonts w:ascii="Times New Roman" w:hAnsi="Times New Roman" w:cs="Times New Roman"/>
        </w:rPr>
        <w:t xml:space="preserve"> to the debate </w:t>
      </w:r>
      <w:r w:rsidR="00B04E75" w:rsidRPr="00503F6C">
        <w:rPr>
          <w:rFonts w:ascii="Times New Roman" w:hAnsi="Times New Roman" w:cs="Times New Roman"/>
        </w:rPr>
        <w:t>by using</w:t>
      </w:r>
      <w:r w:rsidRPr="00503F6C">
        <w:rPr>
          <w:rFonts w:ascii="Times New Roman" w:hAnsi="Times New Roman" w:cs="Times New Roman"/>
        </w:rPr>
        <w:t xml:space="preserve"> a nonlinear autoregressive distributed lag (NARDL) to examine the link between remittances and economic growth in Nigeria covering the period from 1981 to 2018. They observed that growth reacts asymmetrically to remittances only in the long run. The study further showed that both positive and negative variations in remittance reduce the economic growth </w:t>
      </w:r>
      <w:r w:rsidR="00B04E75" w:rsidRPr="00503F6C">
        <w:rPr>
          <w:rFonts w:ascii="Times New Roman" w:hAnsi="Times New Roman" w:cs="Times New Roman"/>
        </w:rPr>
        <w:t>potentials</w:t>
      </w:r>
      <w:r w:rsidRPr="00503F6C">
        <w:rPr>
          <w:rFonts w:ascii="Times New Roman" w:hAnsi="Times New Roman" w:cs="Times New Roman"/>
        </w:rPr>
        <w:t xml:space="preserve"> of the economy in the long run, and </w:t>
      </w:r>
      <w:r w:rsidR="00B04E75" w:rsidRPr="00503F6C">
        <w:rPr>
          <w:rFonts w:ascii="Times New Roman" w:hAnsi="Times New Roman" w:cs="Times New Roman"/>
        </w:rPr>
        <w:t>also, remittances</w:t>
      </w:r>
      <w:r w:rsidRPr="00503F6C">
        <w:rPr>
          <w:rFonts w:ascii="Times New Roman" w:hAnsi="Times New Roman" w:cs="Times New Roman"/>
        </w:rPr>
        <w:t xml:space="preserve"> have a growth stagnation effect and  growth-retarding and improving effect in the short run. </w:t>
      </w:r>
      <w:r w:rsidR="00B04E75" w:rsidRPr="00503F6C">
        <w:rPr>
          <w:rFonts w:ascii="Times New Roman" w:hAnsi="Times New Roman" w:cs="Times New Roman"/>
        </w:rPr>
        <w:t>Their findings</w:t>
      </w:r>
      <w:r w:rsidRPr="00503F6C">
        <w:rPr>
          <w:rFonts w:ascii="Times New Roman" w:hAnsi="Times New Roman" w:cs="Times New Roman"/>
        </w:rPr>
        <w:t xml:space="preserve"> support </w:t>
      </w:r>
      <w:r w:rsidR="00B04E75" w:rsidRPr="00503F6C">
        <w:rPr>
          <w:rFonts w:ascii="Times New Roman" w:hAnsi="Times New Roman" w:cs="Times New Roman"/>
        </w:rPr>
        <w:t>the view</w:t>
      </w:r>
      <w:r w:rsidRPr="00503F6C">
        <w:rPr>
          <w:rFonts w:ascii="Times New Roman" w:hAnsi="Times New Roman" w:cs="Times New Roman"/>
        </w:rPr>
        <w:t xml:space="preserve"> of pessimistic theories on remittances, which postulates that remittances are not beneficial </w:t>
      </w:r>
      <w:r w:rsidR="0072668D" w:rsidRPr="00503F6C">
        <w:rPr>
          <w:rFonts w:ascii="Times New Roman" w:hAnsi="Times New Roman" w:cs="Times New Roman"/>
        </w:rPr>
        <w:t>t</w:t>
      </w:r>
      <w:r w:rsidRPr="00503F6C">
        <w:rPr>
          <w:rFonts w:ascii="Times New Roman" w:hAnsi="Times New Roman" w:cs="Times New Roman"/>
        </w:rPr>
        <w:t xml:space="preserve">o growth. </w:t>
      </w:r>
    </w:p>
    <w:p w14:paraId="30F26BC1" w14:textId="77777777" w:rsidR="00B37EBF" w:rsidRPr="00503F6C" w:rsidRDefault="009A71CA" w:rsidP="00B37EBF">
      <w:pPr>
        <w:spacing w:line="360" w:lineRule="auto"/>
        <w:jc w:val="both"/>
        <w:rPr>
          <w:rFonts w:ascii="Times New Roman" w:hAnsi="Times New Roman" w:cs="Times New Roman"/>
        </w:rPr>
      </w:pPr>
      <w:r w:rsidRPr="006F1A43">
        <w:rPr>
          <w:rFonts w:ascii="Times New Roman" w:hAnsi="Times New Roman" w:cs="Times New Roman"/>
        </w:rPr>
        <w:t xml:space="preserve">Khan et .al (2019), using data from </w:t>
      </w:r>
      <w:r w:rsidRPr="00503F6C">
        <w:rPr>
          <w:rFonts w:ascii="Times New Roman" w:hAnsi="Times New Roman" w:cs="Times New Roman"/>
        </w:rPr>
        <w:t>Pakistan and employing the ARDL model, examined the impact of remittance inflow in Pakistan from 1976 to  2016. Their study provided empirical evidence of a short and long-term relationship between economic growth and remittance inflow in Pakistan. The study concluded that remittance inflow, foreign direct investment, and domestic saving positively affected economic growth. At the same time, consumption and inflation hurt economic growth. The study also showed that the positive impact of remittances on economic growth in Pakistan was through the transmission effect of financial sector development and the education of migrant families.</w:t>
      </w:r>
    </w:p>
    <w:p w14:paraId="5F1C9D3C" w14:textId="77777777" w:rsidR="00321F63" w:rsidRPr="00503F6C" w:rsidRDefault="009A71CA" w:rsidP="00850C0D">
      <w:pPr>
        <w:spacing w:line="360" w:lineRule="auto"/>
        <w:jc w:val="both"/>
        <w:rPr>
          <w:rFonts w:ascii="Times New Roman" w:hAnsi="Times New Roman" w:cs="Times New Roman"/>
        </w:rPr>
      </w:pPr>
      <w:r w:rsidRPr="00503F6C">
        <w:rPr>
          <w:rFonts w:ascii="Times New Roman" w:hAnsi="Times New Roman" w:cs="Times New Roman"/>
        </w:rPr>
        <w:t xml:space="preserve">In Romania, Georgian (2018), using the OLS method, examined the impact of remittances on economic growth from 2000  to 2006. The study provided empirical evidence that remittance </w:t>
      </w:r>
      <w:r w:rsidR="00B04E75" w:rsidRPr="00503F6C">
        <w:rPr>
          <w:rFonts w:ascii="Times New Roman" w:hAnsi="Times New Roman" w:cs="Times New Roman"/>
        </w:rPr>
        <w:t>positively and</w:t>
      </w:r>
      <w:r w:rsidRPr="00503F6C">
        <w:rPr>
          <w:rFonts w:ascii="Times New Roman" w:hAnsi="Times New Roman" w:cs="Times New Roman"/>
        </w:rPr>
        <w:t xml:space="preserve"> significantly impacts the economy of Romania. </w:t>
      </w:r>
      <w:r w:rsidR="006F1A43">
        <w:rPr>
          <w:rFonts w:ascii="Times New Roman" w:hAnsi="Times New Roman" w:cs="Times New Roman"/>
        </w:rPr>
        <w:t>Similarly</w:t>
      </w:r>
      <w:r w:rsidRPr="00503F6C">
        <w:rPr>
          <w:rFonts w:ascii="Times New Roman" w:hAnsi="Times New Roman" w:cs="Times New Roman"/>
        </w:rPr>
        <w:t xml:space="preserve">, Meyer and Shera (2017) examined the impact of remittances on economic growth using data from six European countries that received high migrant remittances: Albania, Bosnia and Herzegovina, Bulgaria, Macedonia, </w:t>
      </w:r>
      <w:r w:rsidRPr="00503F6C">
        <w:rPr>
          <w:rFonts w:ascii="Times New Roman" w:hAnsi="Times New Roman" w:cs="Times New Roman"/>
        </w:rPr>
        <w:lastRenderedPageBreak/>
        <w:t xml:space="preserve">Moldova and Romania. The period for the study was from 1999 to 2013 when remittances in these countries were the largest source of foreign exchange inflow, and remittances contributed more than 10 per cent of GDP. The study used the OLS as the basis </w:t>
      </w:r>
      <w:r w:rsidR="00B04E75" w:rsidRPr="00503F6C">
        <w:rPr>
          <w:rFonts w:ascii="Times New Roman" w:hAnsi="Times New Roman" w:cs="Times New Roman"/>
        </w:rPr>
        <w:t>analysis.</w:t>
      </w:r>
      <w:r w:rsidRPr="00503F6C">
        <w:rPr>
          <w:rFonts w:ascii="Times New Roman" w:hAnsi="Times New Roman" w:cs="Times New Roman"/>
        </w:rPr>
        <w:t xml:space="preserve"> The result </w:t>
      </w:r>
      <w:r w:rsidR="00B04E75" w:rsidRPr="00503F6C">
        <w:rPr>
          <w:rFonts w:ascii="Times New Roman" w:hAnsi="Times New Roman" w:cs="Times New Roman"/>
        </w:rPr>
        <w:t>confirmed that</w:t>
      </w:r>
      <w:r w:rsidRPr="00503F6C">
        <w:rPr>
          <w:rFonts w:ascii="Times New Roman" w:hAnsi="Times New Roman" w:cs="Times New Roman"/>
        </w:rPr>
        <w:t xml:space="preserve"> remittances positively and significantly impact the economic growth of these countries. The study recomm</w:t>
      </w:r>
      <w:r w:rsidR="00B04E75" w:rsidRPr="00503F6C">
        <w:rPr>
          <w:rFonts w:ascii="Times New Roman" w:hAnsi="Times New Roman" w:cs="Times New Roman"/>
        </w:rPr>
        <w:t xml:space="preserve">ends </w:t>
      </w:r>
      <w:r w:rsidRPr="00503F6C">
        <w:rPr>
          <w:rFonts w:ascii="Times New Roman" w:hAnsi="Times New Roman" w:cs="Times New Roman"/>
        </w:rPr>
        <w:t xml:space="preserve">that </w:t>
      </w:r>
      <w:r w:rsidR="00B04E75" w:rsidRPr="00503F6C">
        <w:rPr>
          <w:rFonts w:ascii="Times New Roman" w:hAnsi="Times New Roman" w:cs="Times New Roman"/>
        </w:rPr>
        <w:t>remittances</w:t>
      </w:r>
      <w:r w:rsidRPr="00503F6C">
        <w:rPr>
          <w:rFonts w:ascii="Times New Roman" w:hAnsi="Times New Roman" w:cs="Times New Roman"/>
        </w:rPr>
        <w:t xml:space="preserve"> be </w:t>
      </w:r>
      <w:r w:rsidR="00B04E75" w:rsidRPr="00503F6C">
        <w:rPr>
          <w:rFonts w:ascii="Times New Roman" w:hAnsi="Times New Roman" w:cs="Times New Roman"/>
        </w:rPr>
        <w:t>deployed</w:t>
      </w:r>
      <w:r w:rsidRPr="00503F6C">
        <w:rPr>
          <w:rFonts w:ascii="Times New Roman" w:hAnsi="Times New Roman" w:cs="Times New Roman"/>
        </w:rPr>
        <w:t xml:space="preserve"> more </w:t>
      </w:r>
      <w:r w:rsidR="00B04E75" w:rsidRPr="00503F6C">
        <w:rPr>
          <w:rFonts w:ascii="Times New Roman" w:hAnsi="Times New Roman" w:cs="Times New Roman"/>
        </w:rPr>
        <w:t>productively</w:t>
      </w:r>
      <w:r w:rsidRPr="00503F6C">
        <w:rPr>
          <w:rFonts w:ascii="Times New Roman" w:hAnsi="Times New Roman" w:cs="Times New Roman"/>
        </w:rPr>
        <w:t xml:space="preserve"> by </w:t>
      </w:r>
      <w:r w:rsidR="00B04E75" w:rsidRPr="00503F6C">
        <w:rPr>
          <w:rFonts w:ascii="Times New Roman" w:hAnsi="Times New Roman" w:cs="Times New Roman"/>
        </w:rPr>
        <w:t>channelling</w:t>
      </w:r>
      <w:r w:rsidRPr="00503F6C">
        <w:rPr>
          <w:rFonts w:ascii="Times New Roman" w:hAnsi="Times New Roman" w:cs="Times New Roman"/>
        </w:rPr>
        <w:t xml:space="preserve"> more of their consumption to </w:t>
      </w:r>
      <w:r w:rsidR="00B04E75" w:rsidRPr="00503F6C">
        <w:rPr>
          <w:rFonts w:ascii="Times New Roman" w:hAnsi="Times New Roman" w:cs="Times New Roman"/>
        </w:rPr>
        <w:t>investments</w:t>
      </w:r>
      <w:r w:rsidRPr="00503F6C">
        <w:rPr>
          <w:rFonts w:ascii="Times New Roman" w:hAnsi="Times New Roman" w:cs="Times New Roman"/>
        </w:rPr>
        <w:t xml:space="preserve">. </w:t>
      </w:r>
    </w:p>
    <w:p w14:paraId="67C8E3A2" w14:textId="77777777" w:rsidR="00321F63" w:rsidRPr="00503F6C" w:rsidRDefault="009A71CA" w:rsidP="00850C0D">
      <w:pPr>
        <w:spacing w:line="360" w:lineRule="auto"/>
        <w:jc w:val="both"/>
        <w:rPr>
          <w:rFonts w:ascii="Times New Roman" w:hAnsi="Times New Roman" w:cs="Times New Roman"/>
        </w:rPr>
      </w:pPr>
      <w:r w:rsidRPr="00503F6C">
        <w:rPr>
          <w:rFonts w:ascii="Times New Roman" w:hAnsi="Times New Roman" w:cs="Times New Roman"/>
        </w:rPr>
        <w:t xml:space="preserve">Using ordinary least squares OLS as the basis of </w:t>
      </w:r>
      <w:r w:rsidR="00B04E75" w:rsidRPr="00503F6C">
        <w:rPr>
          <w:rFonts w:ascii="Times New Roman" w:hAnsi="Times New Roman" w:cs="Times New Roman"/>
        </w:rPr>
        <w:t>analysis, Azam</w:t>
      </w:r>
      <w:r w:rsidRPr="00503F6C">
        <w:rPr>
          <w:rFonts w:ascii="Times New Roman" w:hAnsi="Times New Roman" w:cs="Times New Roman"/>
        </w:rPr>
        <w:t xml:space="preserve"> (2015) </w:t>
      </w:r>
      <w:r w:rsidR="00B37EBF" w:rsidRPr="00503F6C">
        <w:rPr>
          <w:rFonts w:ascii="Times New Roman" w:hAnsi="Times New Roman" w:cs="Times New Roman"/>
        </w:rPr>
        <w:t>examined the</w:t>
      </w:r>
      <w:r w:rsidRPr="00503F6C">
        <w:rPr>
          <w:rFonts w:ascii="Times New Roman" w:hAnsi="Times New Roman" w:cs="Times New Roman"/>
        </w:rPr>
        <w:t xml:space="preserve"> impact of migrant remittances on economic growth in four Asian countries (Bangladesh, India, Pakistan and Sri Lanka.). </w:t>
      </w:r>
      <w:r w:rsidR="00B04E75" w:rsidRPr="00503F6C">
        <w:rPr>
          <w:rFonts w:ascii="Times New Roman" w:hAnsi="Times New Roman" w:cs="Times New Roman"/>
        </w:rPr>
        <w:t>The period</w:t>
      </w:r>
      <w:r w:rsidRPr="00503F6C">
        <w:rPr>
          <w:rFonts w:ascii="Times New Roman" w:hAnsi="Times New Roman" w:cs="Times New Roman"/>
        </w:rPr>
        <w:t xml:space="preserve"> </w:t>
      </w:r>
      <w:r w:rsidR="00B04E75" w:rsidRPr="00503F6C">
        <w:rPr>
          <w:rFonts w:ascii="Times New Roman" w:hAnsi="Times New Roman" w:cs="Times New Roman"/>
        </w:rPr>
        <w:t>covered</w:t>
      </w:r>
      <w:r w:rsidRPr="00503F6C">
        <w:rPr>
          <w:rFonts w:ascii="Times New Roman" w:hAnsi="Times New Roman" w:cs="Times New Roman"/>
        </w:rPr>
        <w:t xml:space="preserve"> by the study was from 1976  to 2012. The </w:t>
      </w:r>
      <w:r w:rsidR="00B04E75" w:rsidRPr="00503F6C">
        <w:rPr>
          <w:rFonts w:ascii="Times New Roman" w:hAnsi="Times New Roman" w:cs="Times New Roman"/>
        </w:rPr>
        <w:t>study provided</w:t>
      </w:r>
      <w:r w:rsidRPr="00503F6C">
        <w:rPr>
          <w:rFonts w:ascii="Times New Roman" w:hAnsi="Times New Roman" w:cs="Times New Roman"/>
        </w:rPr>
        <w:t xml:space="preserve"> empirical </w:t>
      </w:r>
      <w:r w:rsidR="00B04E75" w:rsidRPr="00503F6C">
        <w:rPr>
          <w:rFonts w:ascii="Times New Roman" w:hAnsi="Times New Roman" w:cs="Times New Roman"/>
        </w:rPr>
        <w:t>findings</w:t>
      </w:r>
      <w:r w:rsidRPr="00503F6C">
        <w:rPr>
          <w:rFonts w:ascii="Times New Roman" w:hAnsi="Times New Roman" w:cs="Times New Roman"/>
        </w:rPr>
        <w:t xml:space="preserve"> </w:t>
      </w:r>
      <w:r w:rsidR="00B04E75" w:rsidRPr="00503F6C">
        <w:rPr>
          <w:rFonts w:ascii="Times New Roman" w:hAnsi="Times New Roman" w:cs="Times New Roman"/>
        </w:rPr>
        <w:t>show</w:t>
      </w:r>
      <w:r w:rsidRPr="00503F6C">
        <w:rPr>
          <w:rFonts w:ascii="Times New Roman" w:hAnsi="Times New Roman" w:cs="Times New Roman"/>
        </w:rPr>
        <w:t xml:space="preserve">ing </w:t>
      </w:r>
      <w:r w:rsidR="00B04E75" w:rsidRPr="00503F6C">
        <w:rPr>
          <w:rFonts w:ascii="Times New Roman" w:hAnsi="Times New Roman" w:cs="Times New Roman"/>
        </w:rPr>
        <w:t>a</w:t>
      </w:r>
      <w:r w:rsidRPr="00503F6C">
        <w:rPr>
          <w:rFonts w:ascii="Times New Roman" w:hAnsi="Times New Roman" w:cs="Times New Roman"/>
        </w:rPr>
        <w:t xml:space="preserve"> significant positive relationship between remittances and economic growth in </w:t>
      </w:r>
      <w:r w:rsidR="00B04E75" w:rsidRPr="00503F6C">
        <w:rPr>
          <w:rFonts w:ascii="Times New Roman" w:hAnsi="Times New Roman" w:cs="Times New Roman"/>
        </w:rPr>
        <w:t>these countries.</w:t>
      </w:r>
      <w:r w:rsidRPr="00503F6C">
        <w:rPr>
          <w:rFonts w:ascii="Times New Roman" w:hAnsi="Times New Roman" w:cs="Times New Roman"/>
        </w:rPr>
        <w:t xml:space="preserve"> This study also introduced control </w:t>
      </w:r>
      <w:r w:rsidR="00B04E75" w:rsidRPr="00503F6C">
        <w:rPr>
          <w:rFonts w:ascii="Times New Roman" w:hAnsi="Times New Roman" w:cs="Times New Roman"/>
        </w:rPr>
        <w:t>variables, i.e.</w:t>
      </w:r>
      <w:r w:rsidRPr="00503F6C">
        <w:rPr>
          <w:rFonts w:ascii="Times New Roman" w:hAnsi="Times New Roman" w:cs="Times New Roman"/>
        </w:rPr>
        <w:t xml:space="preserve"> infrastructure openness to trade and foreign direct investment, in the </w:t>
      </w:r>
      <w:r w:rsidR="00B04E75" w:rsidRPr="00503F6C">
        <w:rPr>
          <w:rFonts w:ascii="Times New Roman" w:hAnsi="Times New Roman" w:cs="Times New Roman"/>
        </w:rPr>
        <w:t>analysis. All</w:t>
      </w:r>
      <w:r w:rsidRPr="00503F6C">
        <w:rPr>
          <w:rFonts w:ascii="Times New Roman" w:hAnsi="Times New Roman" w:cs="Times New Roman"/>
        </w:rPr>
        <w:t xml:space="preserve"> these </w:t>
      </w:r>
      <w:r w:rsidR="00B04E75" w:rsidRPr="00503F6C">
        <w:rPr>
          <w:rFonts w:ascii="Times New Roman" w:hAnsi="Times New Roman" w:cs="Times New Roman"/>
        </w:rPr>
        <w:t>variables were</w:t>
      </w:r>
      <w:r w:rsidRPr="00503F6C">
        <w:rPr>
          <w:rFonts w:ascii="Times New Roman" w:hAnsi="Times New Roman" w:cs="Times New Roman"/>
        </w:rPr>
        <w:t xml:space="preserve"> also found </w:t>
      </w:r>
      <w:r w:rsidR="00B37EBF" w:rsidRPr="00503F6C">
        <w:rPr>
          <w:rFonts w:ascii="Times New Roman" w:hAnsi="Times New Roman" w:cs="Times New Roman"/>
        </w:rPr>
        <w:t>to have</w:t>
      </w:r>
      <w:r w:rsidRPr="00503F6C">
        <w:rPr>
          <w:rFonts w:ascii="Times New Roman" w:hAnsi="Times New Roman" w:cs="Times New Roman"/>
        </w:rPr>
        <w:t xml:space="preserve"> a significant positive relationship with economic growth in these countries </w:t>
      </w:r>
    </w:p>
    <w:p w14:paraId="20D199B7" w14:textId="77777777" w:rsidR="009B2B37" w:rsidRPr="00503F6C" w:rsidRDefault="009A71CA" w:rsidP="00503F6C">
      <w:pPr>
        <w:spacing w:line="360" w:lineRule="auto"/>
        <w:jc w:val="both"/>
        <w:rPr>
          <w:rFonts w:ascii="Times New Roman" w:hAnsi="Times New Roman" w:cs="Times New Roman"/>
          <w:b/>
          <w:bCs/>
        </w:rPr>
      </w:pPr>
      <w:r>
        <w:rPr>
          <w:rFonts w:ascii="Times New Roman" w:hAnsi="Times New Roman" w:cs="Times New Roman"/>
          <w:b/>
          <w:bCs/>
        </w:rPr>
        <w:t xml:space="preserve">3.0 </w:t>
      </w:r>
      <w:r w:rsidRPr="00503F6C">
        <w:rPr>
          <w:rFonts w:ascii="Times New Roman" w:hAnsi="Times New Roman" w:cs="Times New Roman"/>
          <w:b/>
          <w:bCs/>
        </w:rPr>
        <w:t xml:space="preserve">METHODOLOGY </w:t>
      </w:r>
    </w:p>
    <w:p w14:paraId="2402CF7C" w14:textId="62E40FD5" w:rsidR="009B2B37" w:rsidRPr="00503F6C" w:rsidRDefault="009A71CA" w:rsidP="006B428A">
      <w:pPr>
        <w:spacing w:line="360" w:lineRule="auto"/>
        <w:jc w:val="both"/>
        <w:rPr>
          <w:rFonts w:ascii="Times New Roman" w:hAnsi="Times New Roman" w:cs="Times New Roman"/>
          <w:shd w:val="clear" w:color="auto" w:fill="FFFFFF"/>
        </w:rPr>
      </w:pPr>
      <w:r w:rsidRPr="00503F6C">
        <w:rPr>
          <w:rFonts w:ascii="Times New Roman" w:hAnsi="Times New Roman" w:cs="Times New Roman"/>
          <w:bCs/>
        </w:rPr>
        <w:t xml:space="preserve">The study adopted </w:t>
      </w:r>
      <w:r w:rsidRPr="00503F6C">
        <w:rPr>
          <w:rStyle w:val="ilfuvd"/>
          <w:rFonts w:ascii="Times New Roman" w:hAnsi="Times New Roman" w:cs="Times New Roman"/>
        </w:rPr>
        <w:t xml:space="preserve">an ex post facto design method. This method is </w:t>
      </w:r>
      <w:r w:rsidRPr="00503F6C">
        <w:rPr>
          <w:rFonts w:ascii="Times New Roman" w:eastAsia="TimesNewRoman" w:hAnsi="Times New Roman" w:cs="Times New Roman"/>
        </w:rPr>
        <w:t>retrospective, and secondary data is usually linked between present and past events.</w:t>
      </w:r>
      <w:r w:rsidRPr="00503F6C">
        <w:rPr>
          <w:rFonts w:ascii="Times New Roman" w:hAnsi="Times New Roman" w:cs="Times New Roman"/>
        </w:rPr>
        <w:t xml:space="preserve"> The data was </w:t>
      </w:r>
      <w:r w:rsidR="007159F9" w:rsidRPr="00503F6C">
        <w:rPr>
          <w:rFonts w:ascii="Times New Roman" w:hAnsi="Times New Roman" w:cs="Times New Roman"/>
        </w:rPr>
        <w:t xml:space="preserve">the </w:t>
      </w:r>
      <w:r w:rsidRPr="00503F6C">
        <w:rPr>
          <w:rFonts w:ascii="Times New Roman" w:hAnsi="Times New Roman" w:cs="Times New Roman"/>
          <w:bCs/>
        </w:rPr>
        <w:t>World Development Indicators</w:t>
      </w:r>
      <w:r w:rsidR="007159F9" w:rsidRPr="00503F6C">
        <w:rPr>
          <w:rFonts w:ascii="Times New Roman" w:hAnsi="Times New Roman" w:cs="Times New Roman"/>
          <w:bCs/>
        </w:rPr>
        <w:t xml:space="preserve">. </w:t>
      </w:r>
      <w:r w:rsidRPr="00503F6C">
        <w:rPr>
          <w:rFonts w:ascii="Times New Roman" w:hAnsi="Times New Roman" w:cs="Times New Roman"/>
        </w:rPr>
        <w:t xml:space="preserve">To investigate the nexus between migrant remittance and economic </w:t>
      </w:r>
      <w:r w:rsidR="007159F9" w:rsidRPr="00503F6C">
        <w:rPr>
          <w:rFonts w:ascii="Times New Roman" w:hAnsi="Times New Roman" w:cs="Times New Roman"/>
        </w:rPr>
        <w:t>growth in</w:t>
      </w:r>
      <w:r w:rsidRPr="00503F6C">
        <w:rPr>
          <w:rFonts w:ascii="Times New Roman" w:hAnsi="Times New Roman" w:cs="Times New Roman"/>
        </w:rPr>
        <w:t xml:space="preserve"> Nigeria, this study used yearly time series data from 1984 to 2023. </w:t>
      </w:r>
      <w:r w:rsidRPr="00503F6C">
        <w:rPr>
          <w:rFonts w:ascii="Times New Roman" w:hAnsi="Times New Roman" w:cs="Times New Roman"/>
          <w:bCs/>
        </w:rPr>
        <w:t xml:space="preserve">The study used the </w:t>
      </w:r>
      <w:r w:rsidRPr="00503F6C">
        <w:rPr>
          <w:rFonts w:ascii="Times New Roman" w:hAnsi="Times New Roman" w:cs="Times New Roman"/>
        </w:rPr>
        <w:t xml:space="preserve">ARDL model, </w:t>
      </w:r>
      <w:r w:rsidRPr="0045352D">
        <w:rPr>
          <w:rFonts w:ascii="Times New Roman" w:hAnsi="Times New Roman" w:cs="Times New Roman"/>
          <w:strike/>
          <w:color w:val="FF0000"/>
        </w:rPr>
        <w:t>which is a multiple-regression model.</w:t>
      </w:r>
      <w:r w:rsidRPr="0045352D">
        <w:rPr>
          <w:rFonts w:ascii="Times New Roman" w:hAnsi="Times New Roman" w:cs="Times New Roman"/>
          <w:color w:val="FF0000"/>
        </w:rPr>
        <w:t xml:space="preserve"> </w:t>
      </w:r>
      <w:r w:rsidRPr="00503F6C">
        <w:rPr>
          <w:rFonts w:ascii="Times New Roman" w:hAnsi="Times New Roman" w:cs="Times New Roman"/>
        </w:rPr>
        <w:t>This research gathered time-series data, and an econometric</w:t>
      </w:r>
      <w:r w:rsidRPr="00503F6C">
        <w:rPr>
          <w:rFonts w:ascii="Times New Roman" w:eastAsia="TimesNewRoman" w:hAnsi="Times New Roman" w:cs="Times New Roman"/>
        </w:rPr>
        <w:t xml:space="preserve"> model was built on this data.</w:t>
      </w:r>
      <w:r w:rsidRPr="00503F6C">
        <w:rPr>
          <w:rFonts w:ascii="Times New Roman" w:hAnsi="Times New Roman" w:cs="Times New Roman"/>
        </w:rPr>
        <w:t xml:space="preserve"> The ARDL approach considers the short and long-run relationship simultaneously. The </w:t>
      </w:r>
      <w:r w:rsidRPr="00503F6C">
        <w:rPr>
          <w:rFonts w:ascii="Times New Roman" w:hAnsi="Times New Roman" w:cs="Times New Roman"/>
          <w:bCs/>
        </w:rPr>
        <w:t xml:space="preserve">ARDL bounds testing </w:t>
      </w:r>
      <w:commentRangeStart w:id="11"/>
      <w:r w:rsidRPr="0045352D">
        <w:rPr>
          <w:rFonts w:ascii="Times New Roman" w:hAnsi="Times New Roman" w:cs="Times New Roman"/>
          <w:color w:val="FF0000"/>
          <w:shd w:val="clear" w:color="auto" w:fill="FFFFFF"/>
        </w:rPr>
        <w:t>model</w:t>
      </w:r>
      <w:commentRangeEnd w:id="11"/>
      <w:r w:rsidR="0045352D">
        <w:rPr>
          <w:rStyle w:val="CommentReference"/>
        </w:rPr>
        <w:commentReference w:id="11"/>
      </w:r>
      <w:r w:rsidRPr="00503F6C">
        <w:rPr>
          <w:rFonts w:ascii="Times New Roman" w:hAnsi="Times New Roman" w:cs="Times New Roman"/>
          <w:shd w:val="clear" w:color="auto" w:fill="FFFFFF"/>
        </w:rPr>
        <w:t xml:space="preserve"> is a cointegration method developed by Pesaran et al. (2001) to test the existence of the long-run relationship between variables.</w:t>
      </w:r>
      <w:r w:rsidRPr="00503F6C">
        <w:rPr>
          <w:rFonts w:ascii="Times New Roman" w:hAnsi="Times New Roman" w:cs="Times New Roman"/>
        </w:rPr>
        <w:t xml:space="preserve"> The ARDL is appropriate for testing cointegration among variables with a small sample size (</w:t>
      </w:r>
      <w:r w:rsidRPr="00503F6C">
        <w:rPr>
          <w:rFonts w:ascii="Times New Roman" w:hAnsi="Times New Roman" w:cs="Times New Roman"/>
          <w:shd w:val="clear" w:color="auto" w:fill="FFFFFF"/>
        </w:rPr>
        <w:t xml:space="preserve">Pesaran et al., 2001). </w:t>
      </w:r>
      <w:r w:rsidRPr="00503F6C">
        <w:rPr>
          <w:rFonts w:ascii="Times New Roman" w:hAnsi="Times New Roman" w:cs="Times New Roman"/>
        </w:rPr>
        <w:t xml:space="preserve">The ARDL approach can also be used notwithstanding the stationary properties of the variables in the </w:t>
      </w:r>
      <w:r w:rsidR="00C10FD9" w:rsidRPr="00503F6C">
        <w:rPr>
          <w:rFonts w:ascii="Times New Roman" w:hAnsi="Times New Roman" w:cs="Times New Roman"/>
        </w:rPr>
        <w:t>samples (Pesaran</w:t>
      </w:r>
      <w:r w:rsidRPr="00503F6C">
        <w:rPr>
          <w:rFonts w:ascii="Times New Roman" w:hAnsi="Times New Roman" w:cs="Times New Roman"/>
          <w:shd w:val="clear" w:color="auto" w:fill="FFFFFF"/>
        </w:rPr>
        <w:t xml:space="preserve"> et al. 2001)</w:t>
      </w:r>
      <w:r w:rsidR="00850C0D">
        <w:rPr>
          <w:rFonts w:ascii="Times New Roman" w:hAnsi="Times New Roman" w:cs="Times New Roman"/>
          <w:shd w:val="clear" w:color="auto" w:fill="FFFFFF"/>
        </w:rPr>
        <w:t>.</w:t>
      </w:r>
    </w:p>
    <w:p w14:paraId="1ADE7EE6" w14:textId="77777777" w:rsidR="00FC71C9" w:rsidRPr="00503F6C" w:rsidRDefault="009A71CA" w:rsidP="00503F6C">
      <w:pPr>
        <w:spacing w:line="360" w:lineRule="auto"/>
        <w:jc w:val="both"/>
        <w:rPr>
          <w:rFonts w:ascii="Times New Roman" w:hAnsi="Times New Roman" w:cs="Times New Roman"/>
          <w:b/>
          <w:bCs/>
        </w:rPr>
      </w:pPr>
      <w:r>
        <w:rPr>
          <w:rFonts w:ascii="Times New Roman" w:hAnsi="Times New Roman" w:cs="Times New Roman"/>
          <w:b/>
          <w:bCs/>
        </w:rPr>
        <w:t xml:space="preserve">3.1 </w:t>
      </w:r>
      <w:r w:rsidRPr="00503F6C">
        <w:rPr>
          <w:rFonts w:ascii="Times New Roman" w:hAnsi="Times New Roman" w:cs="Times New Roman"/>
          <w:b/>
          <w:bCs/>
        </w:rPr>
        <w:t>Model Specification</w:t>
      </w:r>
    </w:p>
    <w:p w14:paraId="64B6EF88" w14:textId="7EDC5D6A" w:rsidR="00FC71C9"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The model  </w:t>
      </w:r>
      <w:r w:rsidR="009B2B37" w:rsidRPr="00503F6C">
        <w:rPr>
          <w:rFonts w:ascii="Times New Roman" w:hAnsi="Times New Roman" w:cs="Times New Roman"/>
        </w:rPr>
        <w:t>specification for the study</w:t>
      </w:r>
      <w:r w:rsidRPr="00503F6C">
        <w:rPr>
          <w:rFonts w:ascii="Times New Roman" w:hAnsi="Times New Roman" w:cs="Times New Roman"/>
        </w:rPr>
        <w:t xml:space="preserve"> was adapted based on the</w:t>
      </w:r>
      <w:r w:rsidR="003D170E" w:rsidRPr="00503F6C">
        <w:rPr>
          <w:rFonts w:ascii="Times New Roman" w:hAnsi="Times New Roman" w:cs="Times New Roman"/>
        </w:rPr>
        <w:t xml:space="preserve"> position of </w:t>
      </w:r>
      <w:r w:rsidR="003D170E" w:rsidRPr="003E3E63">
        <w:rPr>
          <w:rFonts w:ascii="Times New Roman" w:hAnsi="Times New Roman" w:cs="Times New Roman"/>
        </w:rPr>
        <w:t>the Solow Growth Model</w:t>
      </w:r>
      <w:r w:rsidR="0045352D">
        <w:rPr>
          <w:rFonts w:ascii="Times New Roman" w:hAnsi="Times New Roman" w:cs="Times New Roman"/>
        </w:rPr>
        <w:t>,</w:t>
      </w:r>
      <w:r w:rsidR="003D170E" w:rsidRPr="003E3E63">
        <w:rPr>
          <w:rFonts w:ascii="Times New Roman" w:hAnsi="Times New Roman" w:cs="Times New Roman"/>
        </w:rPr>
        <w:t xml:space="preserve"> </w:t>
      </w:r>
      <w:r w:rsidR="003D170E" w:rsidRPr="00503F6C">
        <w:rPr>
          <w:rFonts w:ascii="Times New Roman" w:hAnsi="Times New Roman" w:cs="Times New Roman"/>
        </w:rPr>
        <w:t>economic growth is driven as an external source of capital inflow as well as models</w:t>
      </w:r>
      <w:r w:rsidRPr="00503F6C">
        <w:rPr>
          <w:rFonts w:ascii="Times New Roman" w:hAnsi="Times New Roman" w:cs="Times New Roman"/>
        </w:rPr>
        <w:t xml:space="preserve"> of </w:t>
      </w:r>
      <w:r w:rsidR="001E08D3" w:rsidRPr="00503F6C">
        <w:rPr>
          <w:rFonts w:ascii="Times New Roman" w:hAnsi="Times New Roman" w:cs="Times New Roman"/>
        </w:rPr>
        <w:t>existing literatur</w:t>
      </w:r>
      <w:r w:rsidRPr="00503F6C">
        <w:rPr>
          <w:rFonts w:ascii="Times New Roman" w:hAnsi="Times New Roman" w:cs="Times New Roman"/>
        </w:rPr>
        <w:t xml:space="preserve">e (Adjei et al., 2020; Khan et .al,2019: Islam 2022; Qutb, 2022) </w:t>
      </w:r>
    </w:p>
    <w:p w14:paraId="5910142A" w14:textId="77777777" w:rsidR="00FC71C9" w:rsidRPr="00503F6C" w:rsidRDefault="009A71CA" w:rsidP="00503F6C">
      <w:pPr>
        <w:pStyle w:val="Default"/>
        <w:spacing w:after="20" w:line="360" w:lineRule="auto"/>
        <w:jc w:val="both"/>
        <w:rPr>
          <w:color w:val="auto"/>
        </w:rPr>
      </w:pPr>
      <w:commentRangeStart w:id="12"/>
      <w:r w:rsidRPr="00503F6C">
        <w:rPr>
          <w:color w:val="auto"/>
        </w:rPr>
        <w:lastRenderedPageBreak/>
        <w:t>The model is specified as</w:t>
      </w:r>
      <w:commentRangeEnd w:id="12"/>
      <w:r w:rsidR="0045352D">
        <w:rPr>
          <w:rStyle w:val="CommentReference"/>
          <w:rFonts w:asciiTheme="minorHAnsi" w:hAnsiTheme="minorHAnsi" w:cstheme="minorBidi"/>
          <w:color w:val="auto"/>
          <w:kern w:val="2"/>
          <w14:ligatures w14:val="standardContextual"/>
        </w:rPr>
        <w:commentReference w:id="12"/>
      </w:r>
    </w:p>
    <w:p w14:paraId="58E26E57" w14:textId="77777777" w:rsidR="003D170E" w:rsidRPr="002650D2" w:rsidRDefault="009A71CA" w:rsidP="00503F6C">
      <w:pPr>
        <w:pStyle w:val="Default"/>
        <w:spacing w:after="20" w:line="360" w:lineRule="auto"/>
        <w:jc w:val="both"/>
      </w:pPr>
      <w:commentRangeStart w:id="13"/>
      <w:r w:rsidRPr="002650D2">
        <w:rPr>
          <w:color w:val="auto"/>
        </w:rPr>
        <w:t>GDPG =f(R</w:t>
      </w:r>
      <w:r w:rsidR="000266E5" w:rsidRPr="002650D2">
        <w:rPr>
          <w:color w:val="auto"/>
        </w:rPr>
        <w:t>EM</w:t>
      </w:r>
      <w:r w:rsidRPr="002650D2">
        <w:rPr>
          <w:color w:val="auto"/>
        </w:rPr>
        <w:t>, FDI</w:t>
      </w:r>
      <w:r w:rsidR="000266E5" w:rsidRPr="002650D2">
        <w:rPr>
          <w:color w:val="auto"/>
        </w:rPr>
        <w:t xml:space="preserve">, </w:t>
      </w:r>
      <w:r w:rsidR="002650D2" w:rsidRPr="002650D2">
        <w:rPr>
          <w:color w:val="auto"/>
        </w:rPr>
        <w:t>FOREX</w:t>
      </w:r>
      <w:r w:rsidR="002650D2">
        <w:rPr>
          <w:color w:val="auto"/>
        </w:rPr>
        <w:t>,</w:t>
      </w:r>
      <w:r w:rsidR="002650D2" w:rsidRPr="002650D2">
        <w:rPr>
          <w:color w:val="auto"/>
        </w:rPr>
        <w:t xml:space="preserve"> INFL</w:t>
      </w:r>
      <w:r w:rsidR="000266E5" w:rsidRPr="002650D2">
        <w:rPr>
          <w:color w:val="auto"/>
        </w:rPr>
        <w:t xml:space="preserve"> </w:t>
      </w:r>
      <w:commentRangeEnd w:id="13"/>
      <w:r w:rsidR="0045352D">
        <w:rPr>
          <w:rStyle w:val="CommentReference"/>
          <w:rFonts w:asciiTheme="minorHAnsi" w:hAnsiTheme="minorHAnsi" w:cstheme="minorBidi"/>
          <w:color w:val="auto"/>
          <w:kern w:val="2"/>
          <w14:ligatures w14:val="standardContextual"/>
        </w:rPr>
        <w:commentReference w:id="13"/>
      </w:r>
      <w:r w:rsidRPr="002650D2">
        <w:t xml:space="preserve">) </w:t>
      </w:r>
      <w:r w:rsidR="0068111D" w:rsidRPr="002650D2">
        <w:t>(1</w:t>
      </w:r>
      <w:r w:rsidR="000266E5" w:rsidRPr="002650D2">
        <w:t>)</w:t>
      </w:r>
    </w:p>
    <w:p w14:paraId="01AFECB5" w14:textId="77777777" w:rsidR="000266E5" w:rsidRPr="006F1A43" w:rsidRDefault="009A71CA" w:rsidP="00503F6C">
      <w:pPr>
        <w:pStyle w:val="Default"/>
        <w:spacing w:after="20" w:line="360" w:lineRule="auto"/>
        <w:jc w:val="both"/>
      </w:pPr>
      <w:r w:rsidRPr="006F1A43">
        <w:t>Where,</w:t>
      </w:r>
    </w:p>
    <w:p w14:paraId="55187AD9" w14:textId="77777777" w:rsidR="000266E5" w:rsidRPr="00503F6C" w:rsidRDefault="009A71CA" w:rsidP="00503F6C">
      <w:pPr>
        <w:pStyle w:val="Default"/>
        <w:spacing w:after="20" w:line="360" w:lineRule="auto"/>
        <w:jc w:val="both"/>
        <w:rPr>
          <w:b/>
          <w:bCs/>
        </w:rPr>
      </w:pPr>
      <w:r w:rsidRPr="00503F6C">
        <w:rPr>
          <w:color w:val="auto"/>
        </w:rPr>
        <w:t xml:space="preserve">GDPG </w:t>
      </w:r>
      <w:r w:rsidRPr="00503F6C">
        <w:rPr>
          <w:rFonts w:eastAsia="TimesNewRoman"/>
          <w:color w:val="auto"/>
        </w:rPr>
        <w:t xml:space="preserve">represents GDP growth </w:t>
      </w:r>
    </w:p>
    <w:p w14:paraId="272DBF49" w14:textId="77777777" w:rsidR="000266E5" w:rsidRPr="00503F6C" w:rsidRDefault="009A71CA" w:rsidP="00503F6C">
      <w:pPr>
        <w:pStyle w:val="Default"/>
        <w:spacing w:line="360" w:lineRule="auto"/>
        <w:jc w:val="both"/>
        <w:rPr>
          <w:color w:val="auto"/>
        </w:rPr>
      </w:pPr>
      <w:r w:rsidRPr="00503F6C">
        <w:rPr>
          <w:color w:val="auto"/>
          <w:shd w:val="clear" w:color="auto" w:fill="FFFFFF"/>
        </w:rPr>
        <w:t xml:space="preserve">REM is Immigrant </w:t>
      </w:r>
      <w:r w:rsidR="006F1A43">
        <w:rPr>
          <w:color w:val="auto"/>
          <w:shd w:val="clear" w:color="auto" w:fill="FFFFFF"/>
        </w:rPr>
        <w:t>Re</w:t>
      </w:r>
      <w:r w:rsidRPr="00503F6C">
        <w:rPr>
          <w:color w:val="auto"/>
          <w:shd w:val="clear" w:color="auto" w:fill="FFFFFF"/>
        </w:rPr>
        <w:t>mittances</w:t>
      </w:r>
    </w:p>
    <w:p w14:paraId="211025F1" w14:textId="77777777" w:rsidR="000266E5" w:rsidRPr="00503F6C" w:rsidRDefault="009A71CA" w:rsidP="00503F6C">
      <w:pPr>
        <w:pStyle w:val="Default"/>
        <w:spacing w:line="360" w:lineRule="auto"/>
        <w:jc w:val="both"/>
        <w:rPr>
          <w:rFonts w:eastAsia="Times New Roman"/>
          <w:color w:val="auto"/>
        </w:rPr>
      </w:pPr>
      <w:r w:rsidRPr="00503F6C">
        <w:rPr>
          <w:color w:val="auto"/>
        </w:rPr>
        <w:t>FDI is</w:t>
      </w:r>
      <w:r w:rsidRPr="00503F6C">
        <w:rPr>
          <w:color w:val="auto"/>
          <w:shd w:val="clear" w:color="auto" w:fill="FFFFFF"/>
        </w:rPr>
        <w:t xml:space="preserve"> </w:t>
      </w:r>
      <w:r w:rsidRPr="00503F6C">
        <w:rPr>
          <w:rFonts w:eastAsia="Times New Roman"/>
          <w:color w:val="auto"/>
        </w:rPr>
        <w:t xml:space="preserve">foreign direct investment </w:t>
      </w:r>
    </w:p>
    <w:p w14:paraId="038C60E7" w14:textId="77777777" w:rsidR="000266E5" w:rsidRPr="00503F6C" w:rsidRDefault="009A71CA" w:rsidP="00503F6C">
      <w:pPr>
        <w:pStyle w:val="Default"/>
        <w:spacing w:line="360" w:lineRule="auto"/>
        <w:jc w:val="both"/>
        <w:rPr>
          <w:rFonts w:eastAsia="TimesNewRoman"/>
          <w:color w:val="auto"/>
        </w:rPr>
      </w:pPr>
      <w:r w:rsidRPr="00503F6C">
        <w:rPr>
          <w:rFonts w:eastAsia="Times New Roman"/>
          <w:color w:val="auto"/>
        </w:rPr>
        <w:t>FOREX r</w:t>
      </w:r>
      <w:r w:rsidRPr="00503F6C">
        <w:rPr>
          <w:rFonts w:eastAsia="TimesNewRoman"/>
          <w:color w:val="auto"/>
        </w:rPr>
        <w:t xml:space="preserve">epresents the exchange rate </w:t>
      </w:r>
    </w:p>
    <w:p w14:paraId="3B6E22EF" w14:textId="77777777" w:rsidR="000266E5" w:rsidRPr="00503F6C" w:rsidRDefault="009A71CA" w:rsidP="00503F6C">
      <w:pPr>
        <w:pStyle w:val="Default"/>
        <w:spacing w:line="360" w:lineRule="auto"/>
        <w:jc w:val="both"/>
        <w:rPr>
          <w:rFonts w:eastAsia="TimesNewRoman"/>
          <w:color w:val="auto"/>
        </w:rPr>
      </w:pPr>
      <w:r w:rsidRPr="00503F6C">
        <w:rPr>
          <w:rFonts w:eastAsia="TimesNewRoman"/>
          <w:color w:val="auto"/>
        </w:rPr>
        <w:t xml:space="preserve">INFL is the domestic inflation rate </w:t>
      </w:r>
    </w:p>
    <w:p w14:paraId="0B3EFA54" w14:textId="77777777" w:rsidR="000266E5" w:rsidRPr="00B93364" w:rsidRDefault="009A71CA" w:rsidP="00503F6C">
      <w:pPr>
        <w:pStyle w:val="Default"/>
        <w:spacing w:line="360" w:lineRule="auto"/>
        <w:jc w:val="both"/>
        <w:rPr>
          <w:color w:val="auto"/>
        </w:rPr>
      </w:pPr>
      <w:r w:rsidRPr="00B93364">
        <w:rPr>
          <w:rFonts w:eastAsia="TimesNewRoman"/>
          <w:color w:val="auto"/>
        </w:rPr>
        <w:t xml:space="preserve">In the model, this is a mix of variables in absolute values and relative values, </w:t>
      </w:r>
      <w:r w:rsidR="00B93364" w:rsidRPr="00B93364">
        <w:rPr>
          <w:rFonts w:eastAsia="TimesNewRoman"/>
          <w:color w:val="auto"/>
        </w:rPr>
        <w:t>i</w:t>
      </w:r>
      <w:r w:rsidR="00B93364">
        <w:rPr>
          <w:rFonts w:eastAsia="TimesNewRoman"/>
          <w:color w:val="auto"/>
        </w:rPr>
        <w:t>.</w:t>
      </w:r>
      <w:r w:rsidR="00B93364" w:rsidRPr="00B93364">
        <w:rPr>
          <w:rFonts w:eastAsia="TimesNewRoman"/>
          <w:color w:val="auto"/>
        </w:rPr>
        <w:t>e.</w:t>
      </w:r>
      <w:r w:rsidRPr="00B93364">
        <w:rPr>
          <w:rFonts w:eastAsia="TimesNewRoman"/>
          <w:color w:val="auto"/>
        </w:rPr>
        <w:t xml:space="preserve"> </w:t>
      </w:r>
      <w:r w:rsidRPr="00B93364">
        <w:rPr>
          <w:color w:val="auto"/>
        </w:rPr>
        <w:t xml:space="preserve">rate and </w:t>
      </w:r>
      <w:r w:rsidR="005D2B7A" w:rsidRPr="00B93364">
        <w:rPr>
          <w:color w:val="auto"/>
        </w:rPr>
        <w:t xml:space="preserve">differential </w:t>
      </w:r>
      <w:r w:rsidRPr="00B93364">
        <w:rPr>
          <w:color w:val="auto"/>
        </w:rPr>
        <w:t>percentage</w:t>
      </w:r>
      <w:r w:rsidR="005D2B7A" w:rsidRPr="00B93364">
        <w:rPr>
          <w:color w:val="auto"/>
        </w:rPr>
        <w:t xml:space="preserve">; thus, </w:t>
      </w:r>
      <w:r w:rsidRPr="00B93364">
        <w:rPr>
          <w:color w:val="auto"/>
        </w:rPr>
        <w:t>the functional form of the model is specified in Equation (</w:t>
      </w:r>
      <w:r w:rsidR="0068111D" w:rsidRPr="00B93364">
        <w:rPr>
          <w:color w:val="auto"/>
        </w:rPr>
        <w:t>2</w:t>
      </w:r>
      <w:r w:rsidRPr="00B93364">
        <w:rPr>
          <w:color w:val="auto"/>
        </w:rPr>
        <w:t>) as:</w:t>
      </w:r>
    </w:p>
    <w:p w14:paraId="0A161148" w14:textId="77777777" w:rsidR="005D2B7A" w:rsidRPr="00B93364" w:rsidRDefault="009A71CA" w:rsidP="0068111D">
      <w:pPr>
        <w:autoSpaceDE w:val="0"/>
        <w:autoSpaceDN w:val="0"/>
        <w:adjustRightInd w:val="0"/>
        <w:spacing w:line="360" w:lineRule="auto"/>
        <w:jc w:val="both"/>
        <w:rPr>
          <w:rFonts w:ascii="Times New Roman" w:hAnsi="Times New Roman" w:cs="Times New Roman"/>
        </w:rPr>
      </w:pPr>
      <w:commentRangeStart w:id="14"/>
      <w:r w:rsidRPr="00B93364">
        <w:rPr>
          <w:rFonts w:ascii="Cambria Math" w:hAnsi="Cambria Math" w:cs="Cambria Math"/>
          <w:shd w:val="clear" w:color="auto" w:fill="FFFFFF"/>
        </w:rPr>
        <w:t>𝐺𝐷𝑃</w:t>
      </w:r>
      <w:r w:rsidRPr="00B93364">
        <w:rPr>
          <w:rFonts w:ascii="Times New Roman" w:hAnsi="Times New Roman" w:cs="Times New Roman"/>
          <w:shd w:val="clear" w:color="auto" w:fill="FFFFFF"/>
        </w:rPr>
        <w:t xml:space="preserve">G= </w:t>
      </w:r>
      <w:r w:rsidRPr="00B93364">
        <w:rPr>
          <w:rFonts w:ascii="Cambria Math" w:hAnsi="Cambria Math" w:cs="Cambria Math"/>
          <w:shd w:val="clear" w:color="auto" w:fill="FFFFFF"/>
        </w:rPr>
        <w:t>𝛽</w:t>
      </w:r>
      <w:r w:rsidRPr="00B93364">
        <w:rPr>
          <w:rFonts w:ascii="Times New Roman" w:hAnsi="Times New Roman" w:cs="Times New Roman"/>
          <w:shd w:val="clear" w:color="auto" w:fill="FFFFFF"/>
        </w:rPr>
        <w:t xml:space="preserve">0 + </w:t>
      </w:r>
      <w:r w:rsidRPr="00B93364">
        <w:rPr>
          <w:rFonts w:ascii="Cambria Math" w:hAnsi="Cambria Math" w:cs="Cambria Math"/>
          <w:shd w:val="clear" w:color="auto" w:fill="FFFFFF"/>
        </w:rPr>
        <w:t>𝛽</w:t>
      </w:r>
      <w:r w:rsidRPr="00B93364">
        <w:rPr>
          <w:rFonts w:ascii="Times New Roman" w:hAnsi="Times New Roman" w:cs="Times New Roman"/>
          <w:shd w:val="clear" w:color="auto" w:fill="FFFFFF"/>
        </w:rPr>
        <w:t xml:space="preserve">1REM + </w:t>
      </w:r>
      <w:r w:rsidRPr="00B93364">
        <w:rPr>
          <w:rFonts w:ascii="Cambria Math" w:hAnsi="Cambria Math" w:cs="Cambria Math"/>
          <w:shd w:val="clear" w:color="auto" w:fill="FFFFFF"/>
        </w:rPr>
        <w:t>𝛽</w:t>
      </w:r>
      <w:r w:rsidRPr="00B93364">
        <w:rPr>
          <w:rFonts w:ascii="Times New Roman" w:hAnsi="Times New Roman" w:cs="Times New Roman"/>
          <w:shd w:val="clear" w:color="auto" w:fill="FFFFFF"/>
        </w:rPr>
        <w:t>2</w:t>
      </w:r>
      <w:r w:rsidRPr="00B93364">
        <w:rPr>
          <w:rFonts w:ascii="Times New Roman" w:hAnsi="Times New Roman" w:cs="Times New Roman"/>
        </w:rPr>
        <w:t>FDI</w:t>
      </w:r>
      <w:r w:rsidRPr="00B93364">
        <w:rPr>
          <w:rFonts w:ascii="Times New Roman" w:hAnsi="Times New Roman" w:cs="Times New Roman"/>
          <w:shd w:val="clear" w:color="auto" w:fill="FFFFFF"/>
        </w:rPr>
        <w:t xml:space="preserve"> + </w:t>
      </w:r>
      <w:r w:rsidRPr="00B93364">
        <w:rPr>
          <w:rFonts w:ascii="Cambria Math" w:hAnsi="Cambria Math" w:cs="Cambria Math"/>
          <w:shd w:val="clear" w:color="auto" w:fill="FFFFFF"/>
        </w:rPr>
        <w:t>𝛽</w:t>
      </w:r>
      <w:r w:rsidRPr="00B93364">
        <w:rPr>
          <w:rFonts w:ascii="Times New Roman" w:hAnsi="Times New Roman" w:cs="Times New Roman"/>
          <w:shd w:val="clear" w:color="auto" w:fill="FFFFFF"/>
        </w:rPr>
        <w:t>3</w:t>
      </w:r>
      <w:r w:rsidRPr="00B93364">
        <w:rPr>
          <w:rFonts w:ascii="Times New Roman" w:hAnsi="Times New Roman" w:cs="Times New Roman"/>
        </w:rPr>
        <w:t xml:space="preserve"> </w:t>
      </w:r>
      <w:r w:rsidR="0068111D" w:rsidRPr="00B93364">
        <w:rPr>
          <w:rFonts w:ascii="Times New Roman" w:hAnsi="Times New Roman" w:cs="Times New Roman"/>
        </w:rPr>
        <w:t>LNFOREX+</w:t>
      </w:r>
      <w:r w:rsidRPr="00B93364">
        <w:rPr>
          <w:rFonts w:ascii="Times New Roman" w:hAnsi="Times New Roman" w:cs="Times New Roman"/>
        </w:rPr>
        <w:t xml:space="preserve"> + </w:t>
      </w:r>
      <w:r w:rsidRPr="00B93364">
        <w:rPr>
          <w:rFonts w:ascii="Cambria Math" w:hAnsi="Cambria Math" w:cs="Cambria Math"/>
          <w:shd w:val="clear" w:color="auto" w:fill="FFFFFF"/>
        </w:rPr>
        <w:t>𝛽</w:t>
      </w:r>
      <w:r w:rsidRPr="00B93364">
        <w:rPr>
          <w:rFonts w:ascii="Times New Roman" w:hAnsi="Times New Roman" w:cs="Times New Roman"/>
          <w:shd w:val="clear" w:color="auto" w:fill="FFFFFF"/>
        </w:rPr>
        <w:t>4</w:t>
      </w:r>
      <w:r w:rsidR="00B93364">
        <w:rPr>
          <w:rFonts w:ascii="Times New Roman" w:hAnsi="Times New Roman" w:cs="Times New Roman"/>
          <w:shd w:val="clear" w:color="auto" w:fill="FFFFFF"/>
        </w:rPr>
        <w:t>D</w:t>
      </w:r>
      <w:r w:rsidR="00B93364">
        <w:rPr>
          <w:rFonts w:ascii="Times New Roman" w:hAnsi="Times New Roman" w:cs="Times New Roman"/>
        </w:rPr>
        <w:t>I</w:t>
      </w:r>
      <w:r w:rsidRPr="00B93364">
        <w:rPr>
          <w:rFonts w:ascii="Times New Roman" w:hAnsi="Times New Roman" w:cs="Times New Roman"/>
        </w:rPr>
        <w:t xml:space="preserve">NFL </w:t>
      </w:r>
      <w:commentRangeEnd w:id="14"/>
      <w:r w:rsidR="0045352D">
        <w:rPr>
          <w:rStyle w:val="CommentReference"/>
        </w:rPr>
        <w:commentReference w:id="14"/>
      </w:r>
      <w:r w:rsidRPr="00B93364">
        <w:rPr>
          <w:rFonts w:ascii="Times New Roman" w:hAnsi="Times New Roman" w:cs="Times New Roman"/>
        </w:rPr>
        <w:t>+</w:t>
      </w:r>
      <w:r w:rsidRPr="00B93364">
        <w:rPr>
          <w:rFonts w:ascii="Times New Roman" w:hAnsi="Times New Roman" w:cs="Times New Roman"/>
          <w:shd w:val="clear" w:color="auto" w:fill="FFFFFF"/>
        </w:rPr>
        <w:t xml:space="preserve"> </w:t>
      </w:r>
      <m:oMath>
        <m:r>
          <m:rPr>
            <m:scr m:val="script"/>
            <m:sty m:val="p"/>
          </m:rPr>
          <w:rPr>
            <w:rFonts w:ascii="Cambria Math" w:hAnsi="Cambria Math" w:cs="Times New Roman"/>
            <w:shd w:val="clear" w:color="auto" w:fill="FFFFFF"/>
          </w:rPr>
          <m:t>E</m:t>
        </m:r>
      </m:oMath>
      <w:r w:rsidRPr="00B93364">
        <w:rPr>
          <w:rFonts w:ascii="Times New Roman" w:eastAsiaTheme="minorEastAsia" w:hAnsi="Times New Roman" w:cs="Times New Roman"/>
          <w:shd w:val="clear" w:color="auto" w:fill="FFFFFF"/>
        </w:rPr>
        <w:t>…….(</w:t>
      </w:r>
      <w:r w:rsidR="0068111D" w:rsidRPr="00B93364">
        <w:rPr>
          <w:rFonts w:ascii="Times New Roman" w:eastAsiaTheme="minorEastAsia" w:hAnsi="Times New Roman" w:cs="Times New Roman"/>
          <w:shd w:val="clear" w:color="auto" w:fill="FFFFFF"/>
        </w:rPr>
        <w:t>2</w:t>
      </w:r>
      <w:r w:rsidRPr="00B93364">
        <w:rPr>
          <w:rFonts w:ascii="Times New Roman" w:eastAsiaTheme="minorEastAsia" w:hAnsi="Times New Roman" w:cs="Times New Roman"/>
          <w:shd w:val="clear" w:color="auto" w:fill="FFFFFF"/>
        </w:rPr>
        <w:t>)</w:t>
      </w:r>
    </w:p>
    <w:p w14:paraId="0BA1A371" w14:textId="77777777" w:rsidR="001E08D3" w:rsidRPr="00503F6C" w:rsidRDefault="009A71CA" w:rsidP="00503F6C">
      <w:pPr>
        <w:pStyle w:val="Default"/>
        <w:spacing w:line="360" w:lineRule="auto"/>
        <w:rPr>
          <w:color w:val="auto"/>
          <w:shd w:val="clear" w:color="auto" w:fill="FFFFFF"/>
        </w:rPr>
      </w:pPr>
      <w:r w:rsidRPr="00503F6C">
        <w:rPr>
          <w:color w:val="auto"/>
        </w:rPr>
        <w:t>β0</w:t>
      </w:r>
      <w:r w:rsidRPr="00503F6C">
        <w:rPr>
          <w:color w:val="auto"/>
          <w:shd w:val="clear" w:color="auto" w:fill="FFFFFF"/>
        </w:rPr>
        <w:t xml:space="preserve">=constant </w:t>
      </w:r>
    </w:p>
    <w:p w14:paraId="5307E6F0" w14:textId="77777777" w:rsidR="001E08D3" w:rsidRPr="00503F6C" w:rsidRDefault="009A71CA" w:rsidP="00503F6C">
      <w:pPr>
        <w:pStyle w:val="Default"/>
        <w:spacing w:line="360" w:lineRule="auto"/>
        <w:rPr>
          <w:color w:val="auto"/>
          <w:shd w:val="clear" w:color="auto" w:fill="FFFFFF"/>
        </w:rPr>
      </w:pPr>
      <w:r w:rsidRPr="00503F6C">
        <w:rPr>
          <w:color w:val="auto"/>
        </w:rPr>
        <w:t>β</w:t>
      </w:r>
      <w:r w:rsidRPr="00503F6C">
        <w:rPr>
          <w:color w:val="auto"/>
          <w:shd w:val="clear" w:color="auto" w:fill="FFFFFF"/>
        </w:rPr>
        <w:t>1-</w:t>
      </w:r>
      <w:r w:rsidRPr="00503F6C">
        <w:rPr>
          <w:color w:val="auto"/>
        </w:rPr>
        <w:t>β</w:t>
      </w:r>
      <w:r w:rsidRPr="00503F6C">
        <w:rPr>
          <w:color w:val="auto"/>
          <w:shd w:val="clear" w:color="auto" w:fill="FFFFFF"/>
        </w:rPr>
        <w:t xml:space="preserve">4= coefficients of the independent variables </w:t>
      </w:r>
    </w:p>
    <w:p w14:paraId="71336A90" w14:textId="77777777" w:rsidR="001E08D3" w:rsidRPr="00503F6C" w:rsidRDefault="009A71CA" w:rsidP="00503F6C">
      <w:pPr>
        <w:pStyle w:val="Default"/>
        <w:spacing w:line="360" w:lineRule="auto"/>
        <w:jc w:val="both"/>
        <w:rPr>
          <w:color w:val="auto"/>
        </w:rPr>
      </w:pPr>
      <m:oMath>
        <m:r>
          <m:rPr>
            <m:scr m:val="script"/>
            <m:sty m:val="b"/>
          </m:rPr>
          <w:rPr>
            <w:rFonts w:ascii="Cambria Math" w:hAnsi="Cambria Math"/>
            <w:color w:val="auto"/>
            <w:shd w:val="clear" w:color="auto" w:fill="FFFFFF"/>
          </w:rPr>
          <m:t>E</m:t>
        </m:r>
      </m:oMath>
      <w:r w:rsidRPr="00503F6C">
        <w:rPr>
          <w:b/>
          <w:color w:val="auto"/>
          <w:shd w:val="clear" w:color="auto" w:fill="FFFFFF"/>
        </w:rPr>
        <w:t xml:space="preserve"> =</w:t>
      </w:r>
      <w:r w:rsidRPr="00503F6C">
        <w:rPr>
          <w:color w:val="auto"/>
        </w:rPr>
        <w:t xml:space="preserve"> Error or disturbance term.</w:t>
      </w:r>
    </w:p>
    <w:p w14:paraId="5C8C0D4C" w14:textId="77777777" w:rsidR="00FC71C9" w:rsidRPr="00503F6C" w:rsidRDefault="009A71CA" w:rsidP="00503F6C">
      <w:pPr>
        <w:pStyle w:val="Default"/>
        <w:spacing w:line="360" w:lineRule="auto"/>
        <w:jc w:val="both"/>
        <w:rPr>
          <w:rFonts w:eastAsia="TimesNewRoman"/>
          <w:color w:val="auto"/>
        </w:rPr>
      </w:pPr>
      <w:r w:rsidRPr="00503F6C">
        <w:rPr>
          <w:rFonts w:eastAsia="TimesNewRoman"/>
          <w:color w:val="auto"/>
        </w:rPr>
        <w:t xml:space="preserve">The ARDL technique estimates the short- and long-run impact of the explanatory variables on the dependent variable of economic growth. The ARDL form of the model is specified in Equation 4 </w:t>
      </w:r>
    </w:p>
    <w:p w14:paraId="03E70789" w14:textId="77777777" w:rsidR="009B2887" w:rsidRPr="00F40D67" w:rsidRDefault="004253E3" w:rsidP="00503F6C">
      <w:pPr>
        <w:pStyle w:val="Default"/>
        <w:spacing w:line="360" w:lineRule="auto"/>
        <w:jc w:val="both"/>
        <w:rPr>
          <w:rFonts w:eastAsia="TimesNewRoman"/>
          <w:color w:val="auto"/>
        </w:rPr>
      </w:pPr>
      <m:oMath>
        <m:sSub>
          <m:sSubPr>
            <m:ctrlPr>
              <w:rPr>
                <w:rFonts w:ascii="Cambria Math" w:hAnsi="Cambria Math"/>
                <w:i/>
                <w:color w:val="auto"/>
              </w:rPr>
            </m:ctrlPr>
          </m:sSubPr>
          <m:e>
            <m:r>
              <w:rPr>
                <w:rFonts w:ascii="Cambria Math" w:hAnsi="Cambria Math"/>
                <w:color w:val="auto"/>
              </w:rPr>
              <m:t>∆GDPG</m:t>
            </m:r>
          </m:e>
          <m:sub>
            <m:r>
              <w:rPr>
                <w:rFonts w:ascii="Cambria Math" w:hAnsi="Cambria Math"/>
                <w:color w:val="auto"/>
              </w:rPr>
              <m:t>t</m:t>
            </m:r>
          </m:sub>
        </m:sSub>
        <m:r>
          <w:rPr>
            <w:rFonts w:ascii="Cambria Math" w:hAnsi="Cambria Math"/>
            <w:color w:val="auto"/>
          </w:rPr>
          <m:t>=</m:t>
        </m:r>
        <m:sSub>
          <m:sSubPr>
            <m:ctrlPr>
              <w:rPr>
                <w:rFonts w:ascii="Cambria Math" w:hAnsi="Cambria Math"/>
                <w:i/>
                <w:color w:val="auto"/>
              </w:rPr>
            </m:ctrlPr>
          </m:sSubPr>
          <m:e>
            <m:r>
              <m:rPr>
                <m:sty m:val="p"/>
              </m:rPr>
              <w:rPr>
                <w:rFonts w:ascii="Cambria Math" w:hAnsi="Cambria Math"/>
                <w:color w:val="auto"/>
              </w:rPr>
              <m:t>α</m:t>
            </m:r>
          </m:e>
          <m:sub>
            <m:r>
              <w:rPr>
                <w:rFonts w:ascii="Cambria Math" w:hAnsi="Cambria Math"/>
                <w:color w:val="auto"/>
              </w:rPr>
              <m:t>0</m:t>
            </m:r>
          </m:sub>
        </m:sSub>
        <m:r>
          <w:rPr>
            <w:rFonts w:ascii="Cambria Math" w:hAnsi="Cambria Math"/>
            <w:color w:val="auto"/>
          </w:rPr>
          <m:t>+</m:t>
        </m:r>
        <m:r>
          <m:rPr>
            <m:sty m:val="p"/>
          </m:rPr>
          <w:rPr>
            <w:rFonts w:ascii="Cambria Math" w:hAnsi="Cambria Math"/>
            <w:color w:val="auto"/>
            <w:shd w:val="clear" w:color="auto" w:fill="FFFFFF"/>
          </w:rPr>
          <m:t xml:space="preserve"> β1GDPG</m:t>
        </m:r>
        <m:r>
          <w:rPr>
            <w:rFonts w:ascii="Cambria Math" w:hAnsi="Cambria Math"/>
            <w:color w:val="auto"/>
          </w:rPr>
          <m:t xml:space="preserve"> +</m:t>
        </m:r>
        <m:r>
          <m:rPr>
            <m:sty m:val="p"/>
          </m:rPr>
          <w:rPr>
            <w:rFonts w:ascii="Cambria Math" w:hAnsi="Cambria Math" w:cs="Cambria Math"/>
            <w:color w:val="auto"/>
            <w:shd w:val="clear" w:color="auto" w:fill="FFFFFF"/>
          </w:rPr>
          <m:t>β</m:t>
        </m:r>
        <m:r>
          <m:rPr>
            <m:sty m:val="p"/>
          </m:rPr>
          <w:rPr>
            <w:rFonts w:ascii="Cambria Math" w:hAnsi="Cambria Math"/>
            <w:color w:val="auto"/>
            <w:shd w:val="clear" w:color="auto" w:fill="FFFFFF"/>
          </w:rPr>
          <m:t>2REM+β3FDI+</m:t>
        </m:r>
        <m:r>
          <w:rPr>
            <w:rFonts w:ascii="Cambria Math" w:hAnsi="Cambria Math"/>
            <w:color w:val="auto"/>
          </w:rPr>
          <m:t xml:space="preserve"> </m:t>
        </m:r>
        <m:r>
          <m:rPr>
            <m:sty m:val="p"/>
          </m:rPr>
          <w:rPr>
            <w:rFonts w:ascii="Cambria Math" w:hAnsi="Cambria Math" w:cs="Cambria Math"/>
            <w:color w:val="auto"/>
            <w:shd w:val="clear" w:color="auto" w:fill="FFFFFF"/>
          </w:rPr>
          <m:t>β</m:t>
        </m:r>
        <m:r>
          <m:rPr>
            <m:sty m:val="p"/>
          </m:rPr>
          <w:rPr>
            <w:rFonts w:ascii="Cambria Math" w:hAnsi="Cambria Math"/>
            <w:color w:val="auto"/>
            <w:shd w:val="clear" w:color="auto" w:fill="FFFFFF"/>
          </w:rPr>
          <m:t>4</m:t>
        </m:r>
        <m:r>
          <m:rPr>
            <m:sty m:val="p"/>
          </m:rPr>
          <w:rPr>
            <w:rFonts w:ascii="Cambria Math" w:hAnsi="Cambria Math"/>
            <w:color w:val="auto"/>
          </w:rPr>
          <m:t xml:space="preserve"> LNFOREX+</m:t>
        </m:r>
        <m:r>
          <m:rPr>
            <m:sty m:val="p"/>
          </m:rPr>
          <w:rPr>
            <w:rFonts w:ascii="Cambria Math" w:hAnsi="Cambria Math" w:cs="Cambria Math"/>
            <w:color w:val="auto"/>
            <w:shd w:val="clear" w:color="auto" w:fill="FFFFFF"/>
          </w:rPr>
          <m:t>β</m:t>
        </m:r>
        <m:r>
          <m:rPr>
            <m:sty m:val="p"/>
          </m:rPr>
          <w:rPr>
            <w:rFonts w:ascii="Cambria Math" w:hAnsi="Cambria Math"/>
            <w:color w:val="auto"/>
            <w:shd w:val="clear" w:color="auto" w:fill="FFFFFF"/>
          </w:rPr>
          <m:t>5</m:t>
        </m:r>
        <m:r>
          <m:rPr>
            <m:sty m:val="p"/>
          </m:rPr>
          <w:rPr>
            <w:rFonts w:ascii="Cambria Math" w:hAnsi="Cambria Math"/>
            <w:color w:val="auto"/>
          </w:rPr>
          <m:t xml:space="preserve"> DINFL</m:t>
        </m:r>
        <m:nary>
          <m:naryPr>
            <m:chr m:val="∑"/>
            <m:ctrlPr>
              <w:rPr>
                <w:rFonts w:ascii="Cambria Math" w:hAnsi="Cambria Math"/>
                <w:i/>
                <w:color w:val="auto"/>
              </w:rPr>
            </m:ctrlPr>
          </m:naryPr>
          <m:sub>
            <m:r>
              <w:rPr>
                <w:rFonts w:ascii="Cambria Math" w:hAnsi="Cambria Math"/>
                <w:color w:val="auto"/>
              </w:rPr>
              <m:t>i=0</m:t>
            </m:r>
          </m:sub>
          <m:sup>
            <m:r>
              <w:rPr>
                <w:rFonts w:ascii="Cambria Math" w:hAnsi="Cambria Math"/>
                <w:color w:val="auto"/>
              </w:rPr>
              <m:t>n</m:t>
            </m:r>
          </m:sup>
          <m:e>
            <m:r>
              <w:rPr>
                <w:rFonts w:ascii="Cambria Math" w:hAnsi="Cambria Math"/>
                <w:color w:val="auto"/>
              </w:rPr>
              <m:t>+B6</m:t>
            </m:r>
          </m:e>
        </m:nary>
        <m:sSub>
          <m:sSubPr>
            <m:ctrlPr>
              <w:rPr>
                <w:rFonts w:ascii="Cambria Math" w:hAnsi="Cambria Math"/>
                <w:i/>
                <w:color w:val="auto"/>
              </w:rPr>
            </m:ctrlPr>
          </m:sSubPr>
          <m:e>
            <m:r>
              <m:rPr>
                <m:sty m:val="p"/>
              </m:rPr>
              <w:rPr>
                <w:rFonts w:ascii="Cambria Math" w:hAnsi="Cambria Math"/>
                <w:color w:val="auto"/>
              </w:rPr>
              <m:t>Δ</m:t>
            </m:r>
            <m:r>
              <w:rPr>
                <w:rFonts w:ascii="Cambria Math" w:hAnsi="Cambria Math"/>
                <w:color w:val="auto"/>
              </w:rPr>
              <m:t>GDPG</m:t>
            </m:r>
          </m:e>
          <m:sub>
            <m:r>
              <w:rPr>
                <w:rFonts w:ascii="Cambria Math" w:hAnsi="Cambria Math"/>
                <w:color w:val="auto"/>
              </w:rPr>
              <m:t>t-1</m:t>
            </m:r>
          </m:sub>
        </m:sSub>
        <m:r>
          <w:rPr>
            <w:rFonts w:ascii="Cambria Math" w:eastAsiaTheme="minorEastAsia" w:hAnsi="Cambria Math"/>
            <w:color w:val="auto"/>
          </w:rPr>
          <m:t>+</m:t>
        </m:r>
        <m:nary>
          <m:naryPr>
            <m:chr m:val="∑"/>
            <m:ctrlPr>
              <w:rPr>
                <w:rFonts w:ascii="Cambria Math" w:eastAsiaTheme="minorEastAsia" w:hAnsi="Cambria Math"/>
                <w:i/>
                <w:color w:val="auto"/>
              </w:rPr>
            </m:ctrlPr>
          </m:naryPr>
          <m:sub>
            <m:r>
              <w:rPr>
                <w:rFonts w:ascii="Cambria Math" w:hAnsi="Cambria Math"/>
                <w:color w:val="auto"/>
              </w:rPr>
              <m:t>i=0</m:t>
            </m:r>
          </m:sub>
          <m:sup>
            <m:r>
              <w:rPr>
                <w:rFonts w:ascii="Cambria Math" w:hAnsi="Cambria Math"/>
                <w:color w:val="auto"/>
              </w:rPr>
              <m:t>n</m:t>
            </m:r>
          </m:sup>
          <m:e>
            <m:r>
              <m:rPr>
                <m:sty m:val="p"/>
              </m:rPr>
              <w:rPr>
                <w:rFonts w:ascii="Cambria Math" w:hAnsi="Cambria Math"/>
                <w:color w:val="auto"/>
                <w:shd w:val="clear" w:color="auto" w:fill="FFFFFF"/>
              </w:rPr>
              <m:t>β7</m:t>
            </m:r>
          </m:e>
        </m:nary>
        <m:sSub>
          <m:sSubPr>
            <m:ctrlPr>
              <w:rPr>
                <w:rFonts w:ascii="Cambria Math" w:eastAsiaTheme="minorEastAsia" w:hAnsi="Cambria Math"/>
                <w:i/>
                <w:color w:val="auto"/>
              </w:rPr>
            </m:ctrlPr>
          </m:sSubPr>
          <m:e>
            <m:r>
              <m:rPr>
                <m:sty m:val="p"/>
              </m:rPr>
              <w:rPr>
                <w:rFonts w:ascii="Cambria Math" w:eastAsiaTheme="minorEastAsia" w:hAnsi="Cambria Math"/>
                <w:color w:val="auto"/>
              </w:rPr>
              <m:t>Δ</m:t>
            </m:r>
            <m:r>
              <w:rPr>
                <w:rFonts w:ascii="Cambria Math" w:eastAsiaTheme="minorEastAsia" w:hAnsi="Cambria Math"/>
                <w:color w:val="auto"/>
              </w:rPr>
              <m:t>REM</m:t>
            </m:r>
          </m:e>
          <m:sub>
            <m:r>
              <w:rPr>
                <w:rFonts w:ascii="Cambria Math" w:eastAsiaTheme="minorEastAsia" w:hAnsi="Cambria Math"/>
                <w:color w:val="auto"/>
              </w:rPr>
              <m:t>t-1</m:t>
            </m:r>
          </m:sub>
        </m:sSub>
        <m:r>
          <w:rPr>
            <w:rFonts w:ascii="Cambria Math" w:eastAsiaTheme="minorEastAsia" w:hAnsi="Cambria Math"/>
            <w:color w:val="auto"/>
          </w:rPr>
          <m:t>+</m:t>
        </m:r>
        <m:nary>
          <m:naryPr>
            <m:chr m:val="∑"/>
            <m:ctrlPr>
              <w:rPr>
                <w:rFonts w:ascii="Cambria Math" w:eastAsiaTheme="minorEastAsia" w:hAnsi="Cambria Math"/>
                <w:i/>
                <w:color w:val="auto"/>
              </w:rPr>
            </m:ctrlPr>
          </m:naryPr>
          <m:sub>
            <m:r>
              <w:rPr>
                <w:rFonts w:ascii="Cambria Math" w:hAnsi="Cambria Math"/>
                <w:color w:val="auto"/>
              </w:rPr>
              <m:t>i=0</m:t>
            </m:r>
          </m:sub>
          <m:sup>
            <m:r>
              <w:rPr>
                <w:rFonts w:ascii="Cambria Math" w:hAnsi="Cambria Math"/>
                <w:color w:val="auto"/>
              </w:rPr>
              <m:t>n</m:t>
            </m:r>
          </m:sup>
          <m:e>
            <m:r>
              <m:rPr>
                <m:sty m:val="p"/>
              </m:rPr>
              <w:rPr>
                <w:rFonts w:ascii="Cambria Math" w:hAnsi="Cambria Math"/>
                <w:color w:val="auto"/>
                <w:shd w:val="clear" w:color="auto" w:fill="FFFFFF"/>
              </w:rPr>
              <m:t>β8</m:t>
            </m:r>
          </m:e>
        </m:nary>
        <m:sSub>
          <m:sSubPr>
            <m:ctrlPr>
              <w:rPr>
                <w:rFonts w:ascii="Cambria Math" w:eastAsiaTheme="minorEastAsia" w:hAnsi="Cambria Math"/>
                <w:i/>
                <w:color w:val="auto"/>
              </w:rPr>
            </m:ctrlPr>
          </m:sSubPr>
          <m:e>
            <m:r>
              <m:rPr>
                <m:sty m:val="p"/>
              </m:rPr>
              <w:rPr>
                <w:rFonts w:ascii="Cambria Math" w:eastAsiaTheme="minorEastAsia" w:hAnsi="Cambria Math"/>
                <w:color w:val="auto"/>
              </w:rPr>
              <m:t>Δ</m:t>
            </m:r>
            <m:r>
              <w:rPr>
                <w:rFonts w:ascii="Cambria Math" w:eastAsiaTheme="minorEastAsia" w:hAnsi="Cambria Math"/>
                <w:color w:val="auto"/>
              </w:rPr>
              <m:t>LNFOREX</m:t>
            </m:r>
          </m:e>
          <m:sub>
            <m:r>
              <w:rPr>
                <w:rFonts w:ascii="Cambria Math" w:eastAsiaTheme="minorEastAsia" w:hAnsi="Cambria Math"/>
                <w:color w:val="auto"/>
              </w:rPr>
              <m:t>t-1</m:t>
            </m:r>
          </m:sub>
        </m:sSub>
        <m:r>
          <w:rPr>
            <w:rFonts w:ascii="Cambria Math" w:eastAsiaTheme="minorEastAsia" w:hAnsi="Cambria Math"/>
            <w:color w:val="auto"/>
          </w:rPr>
          <m:t>+</m:t>
        </m:r>
        <m:nary>
          <m:naryPr>
            <m:chr m:val="∑"/>
            <m:ctrlPr>
              <w:rPr>
                <w:rFonts w:ascii="Cambria Math" w:hAnsi="Cambria Math"/>
                <w:i/>
                <w:color w:val="auto"/>
              </w:rPr>
            </m:ctrlPr>
          </m:naryPr>
          <m:sub>
            <m:r>
              <w:rPr>
                <w:rFonts w:ascii="Cambria Math" w:hAnsi="Cambria Math"/>
                <w:color w:val="auto"/>
              </w:rPr>
              <m:t>i=0</m:t>
            </m:r>
          </m:sub>
          <m:sup>
            <m:r>
              <w:rPr>
                <w:rFonts w:ascii="Cambria Math" w:hAnsi="Cambria Math"/>
                <w:color w:val="auto"/>
              </w:rPr>
              <m:t>n</m:t>
            </m:r>
          </m:sup>
          <m:e>
            <m:r>
              <m:rPr>
                <m:sty m:val="p"/>
              </m:rPr>
              <w:rPr>
                <w:rFonts w:ascii="Cambria Math" w:hAnsi="Cambria Math"/>
                <w:color w:val="auto"/>
                <w:shd w:val="clear" w:color="auto" w:fill="FFFFFF"/>
              </w:rPr>
              <m:t>β9</m:t>
            </m:r>
          </m:e>
        </m:nary>
        <m:sSub>
          <m:sSubPr>
            <m:ctrlPr>
              <w:rPr>
                <w:rFonts w:ascii="Cambria Math" w:hAnsi="Cambria Math"/>
                <w:i/>
                <w:color w:val="auto"/>
              </w:rPr>
            </m:ctrlPr>
          </m:sSubPr>
          <m:e>
            <m:r>
              <m:rPr>
                <m:sty m:val="p"/>
              </m:rPr>
              <w:rPr>
                <w:rFonts w:ascii="Cambria Math" w:hAnsi="Cambria Math"/>
                <w:color w:val="auto"/>
              </w:rPr>
              <m:t>Δ</m:t>
            </m:r>
            <m:r>
              <w:rPr>
                <w:rFonts w:ascii="Cambria Math" w:hAnsi="Cambria Math"/>
                <w:color w:val="auto"/>
              </w:rPr>
              <m:t>DINFL</m:t>
            </m:r>
          </m:e>
          <m:sub>
            <m:r>
              <w:rPr>
                <w:rFonts w:ascii="Cambria Math" w:hAnsi="Cambria Math"/>
                <w:color w:val="auto"/>
              </w:rPr>
              <m:t>t-1</m:t>
            </m:r>
          </m:sub>
        </m:sSub>
      </m:oMath>
      <w:r w:rsidR="00F40D67" w:rsidRPr="00F40D67">
        <w:rPr>
          <w:rFonts w:eastAsia="TimesNewRoman"/>
          <w:color w:val="auto"/>
        </w:rPr>
        <w:t>…….(3)</w:t>
      </w:r>
    </w:p>
    <w:p w14:paraId="5118CDF6" w14:textId="77777777" w:rsidR="00A75F11" w:rsidRDefault="009A71CA" w:rsidP="00F40D67">
      <w:pPr>
        <w:pStyle w:val="Default"/>
        <w:spacing w:line="360" w:lineRule="auto"/>
        <w:jc w:val="both"/>
      </w:pPr>
      <w:r>
        <w:t>W</w:t>
      </w:r>
      <w:r w:rsidRPr="00F40D67">
        <w:t>here: ∆=First difference operator; α=Drift parameter; εt =White noise residua</w:t>
      </w:r>
      <w:r>
        <w:t>l</w:t>
      </w:r>
    </w:p>
    <w:p w14:paraId="3FA2433D" w14:textId="77777777" w:rsidR="00F40D67" w:rsidRPr="00F40D67" w:rsidRDefault="009A71CA" w:rsidP="00A75F11">
      <w:pPr>
        <w:pStyle w:val="Default"/>
        <w:spacing w:line="360" w:lineRule="auto"/>
        <w:jc w:val="both"/>
        <w:rPr>
          <w:b/>
          <w:bCs/>
        </w:rPr>
      </w:pPr>
      <w:r w:rsidRPr="00F40D67">
        <w:rPr>
          <w:b/>
          <w:bCs/>
          <w:sz w:val="23"/>
          <w:szCs w:val="23"/>
        </w:rPr>
        <w:t>3.2 Variable Definition and Measurement</w:t>
      </w:r>
    </w:p>
    <w:p w14:paraId="4EFA5214" w14:textId="29C4A3E7" w:rsidR="00F40D67" w:rsidRDefault="009A71CA" w:rsidP="00A75F11">
      <w:pPr>
        <w:pStyle w:val="Default"/>
        <w:spacing w:line="360" w:lineRule="auto"/>
        <w:jc w:val="both"/>
        <w:rPr>
          <w:b/>
          <w:bCs/>
          <w:sz w:val="23"/>
          <w:szCs w:val="23"/>
        </w:rPr>
      </w:pPr>
      <w:r>
        <w:rPr>
          <w:b/>
          <w:bCs/>
        </w:rPr>
        <w:t xml:space="preserve">The </w:t>
      </w:r>
      <w:r w:rsidR="00AC41F7" w:rsidRPr="00F40D67">
        <w:rPr>
          <w:b/>
          <w:bCs/>
          <w:sz w:val="23"/>
          <w:szCs w:val="23"/>
        </w:rPr>
        <w:t>variable definition and measurement</w:t>
      </w:r>
      <w:r w:rsidR="00AC41F7">
        <w:rPr>
          <w:b/>
          <w:bCs/>
          <w:sz w:val="23"/>
          <w:szCs w:val="23"/>
        </w:rPr>
        <w:t xml:space="preserve"> are shown on Table</w:t>
      </w:r>
      <w:r w:rsidR="003706D2">
        <w:rPr>
          <w:b/>
          <w:bCs/>
          <w:sz w:val="23"/>
          <w:szCs w:val="23"/>
        </w:rPr>
        <w:t xml:space="preserve"> 2</w:t>
      </w:r>
      <w:r w:rsidR="00AC41F7">
        <w:rPr>
          <w:b/>
          <w:bCs/>
          <w:sz w:val="23"/>
          <w:szCs w:val="23"/>
        </w:rPr>
        <w:t xml:space="preserve"> </w:t>
      </w:r>
    </w:p>
    <w:p w14:paraId="742B97B6" w14:textId="17692CB8" w:rsidR="00AC41F7" w:rsidRPr="002650D2" w:rsidRDefault="009A71CA" w:rsidP="00A75F11">
      <w:pPr>
        <w:pStyle w:val="Default"/>
        <w:spacing w:line="360" w:lineRule="auto"/>
        <w:jc w:val="both"/>
        <w:rPr>
          <w:b/>
          <w:bCs/>
        </w:rPr>
      </w:pPr>
      <w:r w:rsidRPr="002650D2">
        <w:rPr>
          <w:b/>
          <w:bCs/>
        </w:rPr>
        <w:t xml:space="preserve">Table </w:t>
      </w:r>
      <w:r w:rsidR="003706D2">
        <w:rPr>
          <w:b/>
          <w:bCs/>
        </w:rPr>
        <w:t>2</w:t>
      </w:r>
      <w:r w:rsidRPr="002650D2">
        <w:rPr>
          <w:b/>
          <w:bCs/>
        </w:rPr>
        <w:t>: Variable Definition and Measurement</w:t>
      </w:r>
    </w:p>
    <w:tbl>
      <w:tblPr>
        <w:tblW w:w="4875" w:type="pct"/>
        <w:tblLayout w:type="fixed"/>
        <w:tblLook w:val="04A0" w:firstRow="1" w:lastRow="0" w:firstColumn="1" w:lastColumn="0" w:noHBand="0" w:noVBand="1"/>
      </w:tblPr>
      <w:tblGrid>
        <w:gridCol w:w="637"/>
        <w:gridCol w:w="3875"/>
        <w:gridCol w:w="3227"/>
        <w:gridCol w:w="1598"/>
      </w:tblGrid>
      <w:tr w:rsidR="00E24A6D" w14:paraId="36C4C6A2" w14:textId="77777777" w:rsidTr="00AC41F7">
        <w:trPr>
          <w:trHeight w:val="154"/>
        </w:trPr>
        <w:tc>
          <w:tcPr>
            <w:tcW w:w="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82823" w14:textId="77777777" w:rsidR="00AC41F7" w:rsidRPr="002650D2" w:rsidRDefault="009A71CA" w:rsidP="00504845">
            <w:pPr>
              <w:spacing w:line="240" w:lineRule="auto"/>
              <w:jc w:val="both"/>
              <w:rPr>
                <w:rFonts w:ascii="Times New Roman" w:hAnsi="Times New Roman" w:cs="Times New Roman"/>
                <w:b/>
                <w:bCs/>
                <w:color w:val="000000" w:themeColor="text1"/>
              </w:rPr>
            </w:pPr>
            <w:r w:rsidRPr="002650D2">
              <w:rPr>
                <w:rFonts w:ascii="Times New Roman" w:hAnsi="Times New Roman" w:cs="Times New Roman"/>
                <w:b/>
                <w:bCs/>
                <w:color w:val="000000" w:themeColor="text1"/>
              </w:rPr>
              <w:t>S/N</w:t>
            </w:r>
          </w:p>
        </w:tc>
        <w:tc>
          <w:tcPr>
            <w:tcW w:w="20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8ACD9" w14:textId="77777777" w:rsidR="00AC41F7" w:rsidRPr="002650D2" w:rsidRDefault="009A71CA" w:rsidP="00504845">
            <w:pPr>
              <w:spacing w:line="240" w:lineRule="auto"/>
              <w:jc w:val="both"/>
              <w:rPr>
                <w:rFonts w:ascii="Times New Roman" w:hAnsi="Times New Roman" w:cs="Times New Roman"/>
                <w:b/>
                <w:bCs/>
                <w:color w:val="000000" w:themeColor="text1"/>
              </w:rPr>
            </w:pPr>
            <w:r w:rsidRPr="002650D2">
              <w:rPr>
                <w:rFonts w:ascii="Times New Roman" w:hAnsi="Times New Roman" w:cs="Times New Roman"/>
                <w:b/>
                <w:bCs/>
                <w:color w:val="000000" w:themeColor="text1"/>
              </w:rPr>
              <w:t xml:space="preserve">Variable Name </w:t>
            </w:r>
          </w:p>
        </w:tc>
        <w:tc>
          <w:tcPr>
            <w:tcW w:w="1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BA40C" w14:textId="77777777" w:rsidR="00AC41F7" w:rsidRPr="002650D2" w:rsidRDefault="009A71CA" w:rsidP="00504845">
            <w:pPr>
              <w:spacing w:line="240" w:lineRule="auto"/>
              <w:jc w:val="both"/>
              <w:rPr>
                <w:rFonts w:ascii="Times New Roman" w:hAnsi="Times New Roman" w:cs="Times New Roman"/>
                <w:b/>
                <w:bCs/>
                <w:color w:val="000000" w:themeColor="text1"/>
              </w:rPr>
            </w:pPr>
            <w:commentRangeStart w:id="15"/>
            <w:r w:rsidRPr="002650D2">
              <w:rPr>
                <w:rFonts w:ascii="Times New Roman" w:hAnsi="Times New Roman" w:cs="Times New Roman"/>
                <w:b/>
                <w:bCs/>
                <w:color w:val="000000" w:themeColor="text1"/>
              </w:rPr>
              <w:t xml:space="preserve">Definition </w:t>
            </w:r>
            <w:commentRangeEnd w:id="15"/>
            <w:r w:rsidR="0045352D">
              <w:rPr>
                <w:rStyle w:val="CommentReference"/>
              </w:rPr>
              <w:commentReference w:id="15"/>
            </w:r>
          </w:p>
        </w:tc>
        <w:tc>
          <w:tcPr>
            <w:tcW w:w="8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1486F" w14:textId="77777777" w:rsidR="00AC41F7" w:rsidRPr="002650D2" w:rsidRDefault="009A71CA" w:rsidP="00504845">
            <w:pPr>
              <w:spacing w:line="240" w:lineRule="auto"/>
              <w:jc w:val="both"/>
              <w:rPr>
                <w:rFonts w:ascii="Times New Roman" w:hAnsi="Times New Roman" w:cs="Times New Roman"/>
                <w:b/>
                <w:bCs/>
                <w:color w:val="000000" w:themeColor="text1"/>
              </w:rPr>
            </w:pPr>
            <w:r w:rsidRPr="002650D2">
              <w:rPr>
                <w:rFonts w:ascii="Times New Roman" w:hAnsi="Times New Roman" w:cs="Times New Roman"/>
                <w:b/>
                <w:bCs/>
                <w:color w:val="000000" w:themeColor="text1"/>
              </w:rPr>
              <w:t xml:space="preserve"> Source</w:t>
            </w:r>
          </w:p>
        </w:tc>
      </w:tr>
      <w:tr w:rsidR="00E24A6D" w14:paraId="56E6B817" w14:textId="77777777" w:rsidTr="00AC41F7">
        <w:trPr>
          <w:trHeight w:val="638"/>
        </w:trPr>
        <w:tc>
          <w:tcPr>
            <w:tcW w:w="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4F584"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1</w:t>
            </w:r>
          </w:p>
        </w:tc>
        <w:tc>
          <w:tcPr>
            <w:tcW w:w="20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B996C"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 xml:space="preserve"> GDP Growth </w:t>
            </w:r>
            <w:r w:rsidRPr="002650D2">
              <w:rPr>
                <w:rFonts w:ascii="Times New Roman" w:eastAsia="TimesNewRoman" w:hAnsi="Times New Roman" w:cs="Times New Roman"/>
                <w:color w:val="000000" w:themeColor="text1"/>
              </w:rPr>
              <w:t>rate.</w:t>
            </w:r>
          </w:p>
        </w:tc>
        <w:tc>
          <w:tcPr>
            <w:tcW w:w="1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9C796"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 xml:space="preserve">Annual </w:t>
            </w:r>
            <w:r w:rsidRPr="002650D2">
              <w:rPr>
                <w:rFonts w:ascii="Times New Roman" w:hAnsi="Times New Roman" w:cs="Times New Roman"/>
                <w:color w:val="000000" w:themeColor="text1"/>
              </w:rPr>
              <w:t>Percentage change in GDP.</w:t>
            </w:r>
          </w:p>
        </w:tc>
        <w:tc>
          <w:tcPr>
            <w:tcW w:w="8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A8900"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 xml:space="preserve">World Bank </w:t>
            </w:r>
          </w:p>
        </w:tc>
      </w:tr>
      <w:tr w:rsidR="00E24A6D" w14:paraId="65CFCD4C" w14:textId="77777777" w:rsidTr="00AC41F7">
        <w:trPr>
          <w:trHeight w:val="980"/>
        </w:trPr>
        <w:tc>
          <w:tcPr>
            <w:tcW w:w="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12431"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2</w:t>
            </w:r>
          </w:p>
        </w:tc>
        <w:tc>
          <w:tcPr>
            <w:tcW w:w="20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663D6"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eastAsia="Times New Roman" w:hAnsi="Times New Roman" w:cs="Times New Roman"/>
                <w:color w:val="000000"/>
                <w:kern w:val="0"/>
                <w14:ligatures w14:val="none"/>
              </w:rPr>
              <w:t>R</w:t>
            </w:r>
            <w:r w:rsidRPr="00AC41F7">
              <w:rPr>
                <w:rFonts w:ascii="Times New Roman" w:eastAsia="Times New Roman" w:hAnsi="Times New Roman" w:cs="Times New Roman"/>
                <w:color w:val="000000"/>
                <w:kern w:val="0"/>
                <w14:ligatures w14:val="none"/>
              </w:rPr>
              <w:t>emittances</w:t>
            </w:r>
            <w:r w:rsidRPr="002650D2">
              <w:rPr>
                <w:rFonts w:ascii="Times New Roman" w:eastAsia="TimesNewRoman" w:hAnsi="Times New Roman" w:cs="Times New Roman"/>
                <w:color w:val="000000" w:themeColor="text1"/>
              </w:rPr>
              <w:t>.</w:t>
            </w:r>
          </w:p>
        </w:tc>
        <w:tc>
          <w:tcPr>
            <w:tcW w:w="1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0E249" w14:textId="77777777" w:rsidR="00AC41F7" w:rsidRPr="002650D2" w:rsidRDefault="009A71CA" w:rsidP="00504845">
            <w:pPr>
              <w:pStyle w:val="Pa29"/>
              <w:spacing w:line="240" w:lineRule="auto"/>
              <w:jc w:val="both"/>
              <w:rPr>
                <w:rFonts w:ascii="Times New Roman" w:hAnsi="Times New Roman" w:cs="Times New Roman"/>
                <w:color w:val="000000" w:themeColor="text1"/>
              </w:rPr>
            </w:pPr>
            <w:r w:rsidRPr="002650D2">
              <w:rPr>
                <w:rFonts w:ascii="Times New Roman" w:hAnsi="Times New Roman" w:cs="Times New Roman"/>
                <w:color w:val="000000" w:themeColor="text1"/>
              </w:rPr>
              <w:t>Personal remittances received (current US$)</w:t>
            </w:r>
          </w:p>
        </w:tc>
        <w:tc>
          <w:tcPr>
            <w:tcW w:w="8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5C052" w14:textId="77777777" w:rsidR="00AC41F7" w:rsidRPr="002650D2" w:rsidRDefault="009A71CA" w:rsidP="00504845">
            <w:pPr>
              <w:pStyle w:val="NoSpacing"/>
              <w:jc w:val="both"/>
              <w:rPr>
                <w:rFonts w:ascii="Times New Roman" w:hAnsi="Times New Roman" w:cs="Times New Roman"/>
                <w:sz w:val="24"/>
                <w:szCs w:val="24"/>
              </w:rPr>
            </w:pPr>
            <w:r w:rsidRPr="002650D2">
              <w:rPr>
                <w:rFonts w:ascii="Times New Roman" w:hAnsi="Times New Roman" w:cs="Times New Roman"/>
                <w:bCs/>
                <w:color w:val="000000" w:themeColor="text1"/>
                <w:sz w:val="24"/>
                <w:szCs w:val="24"/>
              </w:rPr>
              <w:t>World Bank</w:t>
            </w:r>
          </w:p>
        </w:tc>
      </w:tr>
      <w:tr w:rsidR="00E24A6D" w14:paraId="09A674D5" w14:textId="77777777" w:rsidTr="00AC41F7">
        <w:trPr>
          <w:trHeight w:val="223"/>
        </w:trPr>
        <w:tc>
          <w:tcPr>
            <w:tcW w:w="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3CFB2"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3</w:t>
            </w:r>
          </w:p>
        </w:tc>
        <w:tc>
          <w:tcPr>
            <w:tcW w:w="20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3DFDD"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 xml:space="preserve">Foreign Direct Investment </w:t>
            </w:r>
          </w:p>
        </w:tc>
        <w:tc>
          <w:tcPr>
            <w:tcW w:w="17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01966" w14:textId="77777777" w:rsidR="00AC41F7" w:rsidRPr="002650D2" w:rsidRDefault="009A71CA" w:rsidP="00504845">
            <w:pPr>
              <w:spacing w:line="240" w:lineRule="auto"/>
              <w:jc w:val="both"/>
              <w:rPr>
                <w:rFonts w:ascii="Times New Roman" w:hAnsi="Times New Roman" w:cs="Times New Roman"/>
                <w:color w:val="000000" w:themeColor="text1"/>
              </w:rPr>
            </w:pPr>
            <w:r w:rsidRPr="002650D2">
              <w:rPr>
                <w:rFonts w:ascii="Times New Roman" w:hAnsi="Times New Roman" w:cs="Times New Roman"/>
                <w:color w:val="000000" w:themeColor="text1"/>
              </w:rPr>
              <w:t>Net inflows (current US$)</w:t>
            </w:r>
          </w:p>
        </w:tc>
        <w:tc>
          <w:tcPr>
            <w:tcW w:w="8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B180E"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World Bank</w:t>
            </w:r>
          </w:p>
        </w:tc>
      </w:tr>
      <w:tr w:rsidR="00E24A6D" w14:paraId="5BDB8C0A" w14:textId="77777777" w:rsidTr="00F65465">
        <w:trPr>
          <w:trHeight w:val="378"/>
        </w:trPr>
        <w:tc>
          <w:tcPr>
            <w:tcW w:w="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CB524"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lastRenderedPageBreak/>
              <w:t>4</w:t>
            </w:r>
          </w:p>
        </w:tc>
        <w:tc>
          <w:tcPr>
            <w:tcW w:w="20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E14E6" w14:textId="77777777" w:rsidR="00AC41F7" w:rsidRPr="002650D2" w:rsidRDefault="009A71CA" w:rsidP="00AC41F7">
            <w:pPr>
              <w:tabs>
                <w:tab w:val="left" w:pos="2520"/>
              </w:tabs>
              <w:spacing w:line="240" w:lineRule="auto"/>
              <w:jc w:val="both"/>
              <w:rPr>
                <w:rFonts w:ascii="Times New Roman" w:hAnsi="Times New Roman" w:cs="Times New Roman"/>
                <w:color w:val="000000" w:themeColor="text1"/>
              </w:rPr>
            </w:pPr>
            <w:r w:rsidRPr="002650D2">
              <w:rPr>
                <w:rFonts w:ascii="Times New Roman" w:eastAsia="TimesNewRoman" w:hAnsi="Times New Roman" w:cs="Times New Roman"/>
                <w:color w:val="000000" w:themeColor="text1"/>
              </w:rPr>
              <w:t xml:space="preserve"> Foreign Exchange </w:t>
            </w:r>
          </w:p>
        </w:tc>
        <w:tc>
          <w:tcPr>
            <w:tcW w:w="1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487D4"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Official exchange rate</w:t>
            </w:r>
          </w:p>
        </w:tc>
        <w:tc>
          <w:tcPr>
            <w:tcW w:w="8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BCCC5"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 xml:space="preserve">World Bank </w:t>
            </w:r>
          </w:p>
        </w:tc>
      </w:tr>
      <w:tr w:rsidR="00E24A6D" w14:paraId="278B9984" w14:textId="77777777" w:rsidTr="00AC41F7">
        <w:trPr>
          <w:trHeight w:val="179"/>
        </w:trPr>
        <w:tc>
          <w:tcPr>
            <w:tcW w:w="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839BF"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5</w:t>
            </w:r>
          </w:p>
        </w:tc>
        <w:tc>
          <w:tcPr>
            <w:tcW w:w="20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C0D42"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 xml:space="preserve">Inflation </w:t>
            </w:r>
          </w:p>
        </w:tc>
        <w:tc>
          <w:tcPr>
            <w:tcW w:w="1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571A6"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Consumer prices (annual %)</w:t>
            </w:r>
          </w:p>
        </w:tc>
        <w:tc>
          <w:tcPr>
            <w:tcW w:w="8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5AA86" w14:textId="77777777" w:rsidR="00AC41F7" w:rsidRPr="002650D2" w:rsidRDefault="009A71CA" w:rsidP="00504845">
            <w:pPr>
              <w:spacing w:line="240" w:lineRule="auto"/>
              <w:jc w:val="both"/>
              <w:rPr>
                <w:rFonts w:ascii="Times New Roman" w:hAnsi="Times New Roman" w:cs="Times New Roman"/>
                <w:bCs/>
                <w:color w:val="000000" w:themeColor="text1"/>
              </w:rPr>
            </w:pPr>
            <w:r w:rsidRPr="002650D2">
              <w:rPr>
                <w:rFonts w:ascii="Times New Roman" w:hAnsi="Times New Roman" w:cs="Times New Roman"/>
                <w:bCs/>
                <w:color w:val="000000" w:themeColor="text1"/>
              </w:rPr>
              <w:t>World Bank</w:t>
            </w:r>
          </w:p>
        </w:tc>
      </w:tr>
    </w:tbl>
    <w:p w14:paraId="318D37B1" w14:textId="77777777" w:rsidR="00AC41F7" w:rsidRPr="002650D2" w:rsidRDefault="009A71CA" w:rsidP="00AC41F7">
      <w:pPr>
        <w:pStyle w:val="Default"/>
        <w:jc w:val="both"/>
        <w:rPr>
          <w:bCs/>
          <w:color w:val="000000" w:themeColor="text1"/>
        </w:rPr>
      </w:pPr>
      <w:r w:rsidRPr="002650D2">
        <w:rPr>
          <w:bCs/>
          <w:color w:val="000000" w:themeColor="text1"/>
        </w:rPr>
        <w:t>Source: Authors Compilation, 2025.</w:t>
      </w:r>
    </w:p>
    <w:p w14:paraId="119E59DF" w14:textId="77777777" w:rsidR="00AC41F7" w:rsidRPr="002650D2" w:rsidRDefault="00AC41F7" w:rsidP="00A75F11">
      <w:pPr>
        <w:pStyle w:val="Default"/>
        <w:spacing w:line="360" w:lineRule="auto"/>
        <w:jc w:val="both"/>
        <w:rPr>
          <w:b/>
          <w:bCs/>
        </w:rPr>
      </w:pPr>
    </w:p>
    <w:p w14:paraId="02EA67F4" w14:textId="77777777" w:rsidR="00F65465" w:rsidRDefault="00F65465" w:rsidP="00A75F11">
      <w:pPr>
        <w:pStyle w:val="Default"/>
        <w:spacing w:line="360" w:lineRule="auto"/>
        <w:jc w:val="both"/>
        <w:rPr>
          <w:b/>
          <w:bCs/>
        </w:rPr>
      </w:pPr>
    </w:p>
    <w:p w14:paraId="583785CB" w14:textId="77777777" w:rsidR="00850C0D" w:rsidRDefault="00850C0D" w:rsidP="00A75F11">
      <w:pPr>
        <w:pStyle w:val="Default"/>
        <w:spacing w:line="360" w:lineRule="auto"/>
        <w:jc w:val="both"/>
        <w:rPr>
          <w:b/>
          <w:bCs/>
        </w:rPr>
      </w:pPr>
    </w:p>
    <w:p w14:paraId="75A2A7FF" w14:textId="77777777" w:rsidR="00F65465" w:rsidRPr="00F40D67" w:rsidRDefault="00F65465" w:rsidP="00A75F11">
      <w:pPr>
        <w:pStyle w:val="Default"/>
        <w:spacing w:line="360" w:lineRule="auto"/>
        <w:jc w:val="both"/>
        <w:rPr>
          <w:b/>
          <w:bCs/>
        </w:rPr>
      </w:pPr>
    </w:p>
    <w:p w14:paraId="7C13CFDB" w14:textId="77777777" w:rsidR="00F40D67" w:rsidRDefault="00F40D67" w:rsidP="00A75F11">
      <w:pPr>
        <w:pStyle w:val="Default"/>
        <w:spacing w:line="360" w:lineRule="auto"/>
        <w:jc w:val="both"/>
        <w:rPr>
          <w:b/>
          <w:bCs/>
        </w:rPr>
      </w:pPr>
    </w:p>
    <w:p w14:paraId="1F19FCD2" w14:textId="77777777" w:rsidR="00D951E6" w:rsidRPr="00F40D67" w:rsidRDefault="009A71CA" w:rsidP="00A75F11">
      <w:pPr>
        <w:pStyle w:val="Default"/>
        <w:spacing w:line="360" w:lineRule="auto"/>
        <w:jc w:val="both"/>
        <w:rPr>
          <w:rFonts w:eastAsia="TimesNewRoman"/>
          <w:b/>
          <w:bCs/>
        </w:rPr>
      </w:pPr>
      <w:r>
        <w:rPr>
          <w:b/>
          <w:bCs/>
        </w:rPr>
        <w:t xml:space="preserve">4.0 </w:t>
      </w:r>
      <w:r w:rsidR="00126B46" w:rsidRPr="00F40D67">
        <w:rPr>
          <w:b/>
          <w:bCs/>
        </w:rPr>
        <w:t>PRESENTATION AND DISCUSSION OF RESULTS</w:t>
      </w:r>
    </w:p>
    <w:p w14:paraId="4304CC4C" w14:textId="77777777" w:rsidR="00126B46" w:rsidRPr="00503F6C" w:rsidRDefault="00126B46" w:rsidP="00503F6C">
      <w:pPr>
        <w:autoSpaceDE w:val="0"/>
        <w:autoSpaceDN w:val="0"/>
        <w:adjustRightInd w:val="0"/>
        <w:spacing w:after="0" w:line="360" w:lineRule="auto"/>
        <w:rPr>
          <w:rFonts w:ascii="Times New Roman" w:hAnsi="Times New Roman" w:cs="Times New Roman"/>
        </w:rPr>
      </w:pPr>
    </w:p>
    <w:p w14:paraId="2A1E4871" w14:textId="77777777" w:rsidR="00126B46" w:rsidRPr="006F1A43" w:rsidRDefault="009A71CA" w:rsidP="00503F6C">
      <w:pPr>
        <w:autoSpaceDE w:val="0"/>
        <w:autoSpaceDN w:val="0"/>
        <w:adjustRightInd w:val="0"/>
        <w:spacing w:after="0" w:line="360" w:lineRule="auto"/>
        <w:rPr>
          <w:rFonts w:ascii="Times New Roman" w:hAnsi="Times New Roman" w:cs="Times New Roman"/>
          <w:b/>
          <w:bCs/>
        </w:rPr>
      </w:pPr>
      <w:r w:rsidRPr="006F1A43">
        <w:rPr>
          <w:rFonts w:ascii="Times New Roman" w:hAnsi="Times New Roman" w:cs="Times New Roman"/>
          <w:b/>
          <w:bCs/>
        </w:rPr>
        <w:t xml:space="preserve">4.1 Descriptive statistics </w:t>
      </w:r>
    </w:p>
    <w:p w14:paraId="66CDDFCE" w14:textId="77777777" w:rsidR="00404299" w:rsidRPr="006F1A43" w:rsidRDefault="00404299" w:rsidP="00503F6C">
      <w:pPr>
        <w:autoSpaceDE w:val="0"/>
        <w:autoSpaceDN w:val="0"/>
        <w:adjustRightInd w:val="0"/>
        <w:spacing w:after="0" w:line="360" w:lineRule="auto"/>
        <w:rPr>
          <w:rFonts w:ascii="Times New Roman" w:hAnsi="Times New Roman" w:cs="Times New Roman"/>
          <w:b/>
          <w:bCs/>
        </w:rPr>
      </w:pPr>
    </w:p>
    <w:p w14:paraId="030FC9FE" w14:textId="0C14155A" w:rsidR="00404299" w:rsidRPr="00AC1E42" w:rsidRDefault="009A71CA" w:rsidP="00AC1E42">
      <w:pPr>
        <w:autoSpaceDE w:val="0"/>
        <w:autoSpaceDN w:val="0"/>
        <w:adjustRightInd w:val="0"/>
        <w:spacing w:after="0" w:line="360" w:lineRule="auto"/>
        <w:jc w:val="both"/>
        <w:rPr>
          <w:rFonts w:ascii="Times New Roman" w:hAnsi="Times New Roman" w:cs="Times New Roman"/>
        </w:rPr>
      </w:pPr>
      <w:r w:rsidRPr="00AC1E42">
        <w:rPr>
          <w:rFonts w:ascii="Times New Roman" w:hAnsi="Times New Roman" w:cs="Times New Roman"/>
        </w:rPr>
        <w:t xml:space="preserve">The descriptive statistics in Table </w:t>
      </w:r>
      <w:r w:rsidR="00EA162A">
        <w:rPr>
          <w:rFonts w:ascii="Times New Roman" w:hAnsi="Times New Roman" w:cs="Times New Roman"/>
        </w:rPr>
        <w:t>3</w:t>
      </w:r>
      <w:r w:rsidRPr="00AC1E42">
        <w:rPr>
          <w:rFonts w:ascii="Times New Roman" w:hAnsi="Times New Roman" w:cs="Times New Roman"/>
        </w:rPr>
        <w:t xml:space="preserve"> summarize the central tendency, variability, and precision of five key economic indicators based on a sample size of 40 observations for each variable. These indicators include </w:t>
      </w:r>
      <w:r w:rsidRPr="00AC1E42">
        <w:rPr>
          <w:rStyle w:val="Strong"/>
          <w:rFonts w:ascii="Times New Roman" w:hAnsi="Times New Roman" w:cs="Times New Roman"/>
          <w:b w:val="0"/>
          <w:bCs w:val="0"/>
        </w:rPr>
        <w:t>GDP growth rate (GDPG</w:t>
      </w:r>
      <w:r w:rsidRPr="00AC1E42">
        <w:rPr>
          <w:rFonts w:ascii="Times New Roman" w:hAnsi="Times New Roman" w:cs="Times New Roman"/>
          <w:b/>
          <w:bCs/>
        </w:rPr>
        <w:t xml:space="preserve">) </w:t>
      </w:r>
      <w:r w:rsidRPr="00AC1E42">
        <w:rPr>
          <w:rStyle w:val="Strong"/>
          <w:rFonts w:ascii="Times New Roman" w:hAnsi="Times New Roman" w:cs="Times New Roman"/>
          <w:b w:val="0"/>
          <w:bCs w:val="0"/>
        </w:rPr>
        <w:t>immigrant remittances (REM</w:t>
      </w:r>
      <w:r w:rsidRPr="00AC1E42">
        <w:rPr>
          <w:rFonts w:ascii="Times New Roman" w:hAnsi="Times New Roman" w:cs="Times New Roman"/>
          <w:b/>
          <w:bCs/>
        </w:rPr>
        <w:t>,</w:t>
      </w:r>
      <w:r w:rsidRPr="00AC1E42">
        <w:rPr>
          <w:rStyle w:val="Strong"/>
          <w:rFonts w:ascii="Times New Roman" w:hAnsi="Times New Roman" w:cs="Times New Roman"/>
          <w:b w:val="0"/>
          <w:bCs w:val="0"/>
        </w:rPr>
        <w:t>)</w:t>
      </w:r>
      <w:r w:rsidRPr="00AC1E42">
        <w:rPr>
          <w:rFonts w:ascii="Times New Roman" w:hAnsi="Times New Roman" w:cs="Times New Roman"/>
          <w:b/>
          <w:bCs/>
        </w:rPr>
        <w:t xml:space="preserve">, </w:t>
      </w:r>
      <w:r w:rsidRPr="00AC1E42">
        <w:rPr>
          <w:rStyle w:val="Strong"/>
          <w:rFonts w:ascii="Times New Roman" w:hAnsi="Times New Roman" w:cs="Times New Roman"/>
          <w:b w:val="0"/>
          <w:bCs w:val="0"/>
        </w:rPr>
        <w:t xml:space="preserve">Foreign exchange </w:t>
      </w:r>
      <w:r w:rsidRPr="00850C0D">
        <w:rPr>
          <w:rStyle w:val="Strong"/>
          <w:rFonts w:ascii="Times New Roman" w:hAnsi="Times New Roman" w:cs="Times New Roman"/>
          <w:b w:val="0"/>
          <w:bCs w:val="0"/>
        </w:rPr>
        <w:t>rate (</w:t>
      </w:r>
      <w:r w:rsidR="001F3AC0" w:rsidRPr="00850C0D">
        <w:rPr>
          <w:rFonts w:ascii="Times New Roman" w:hAnsi="Times New Roman" w:cs="Times New Roman"/>
          <w:color w:val="000000" w:themeColor="text1"/>
        </w:rPr>
        <w:t>LN</w:t>
      </w:r>
      <w:r w:rsidRPr="00850C0D">
        <w:rPr>
          <w:rStyle w:val="Strong"/>
          <w:rFonts w:ascii="Times New Roman" w:hAnsi="Times New Roman" w:cs="Times New Roman"/>
          <w:b w:val="0"/>
          <w:bCs w:val="0"/>
        </w:rPr>
        <w:t>FOREX</w:t>
      </w:r>
      <w:r w:rsidRPr="00850C0D">
        <w:rPr>
          <w:rStyle w:val="Strong"/>
          <w:rFonts w:ascii="Times New Roman" w:hAnsi="Times New Roman" w:cs="Times New Roman"/>
        </w:rPr>
        <w:t>)</w:t>
      </w:r>
      <w:r w:rsidRPr="00850C0D">
        <w:rPr>
          <w:rFonts w:ascii="Times New Roman" w:hAnsi="Times New Roman" w:cs="Times New Roman"/>
        </w:rPr>
        <w:t>, and</w:t>
      </w:r>
      <w:r w:rsidRPr="00850C0D">
        <w:rPr>
          <w:rFonts w:ascii="Times New Roman" w:hAnsi="Times New Roman" w:cs="Times New Roman"/>
          <w:b/>
          <w:bCs/>
        </w:rPr>
        <w:t xml:space="preserve"> </w:t>
      </w:r>
      <w:r w:rsidRPr="00850C0D">
        <w:rPr>
          <w:rStyle w:val="Strong"/>
          <w:rFonts w:ascii="Times New Roman" w:hAnsi="Times New Roman" w:cs="Times New Roman"/>
          <w:b w:val="0"/>
          <w:bCs w:val="0"/>
        </w:rPr>
        <w:t>Inflation</w:t>
      </w:r>
      <w:r w:rsidRPr="00AC1E42">
        <w:rPr>
          <w:rStyle w:val="Strong"/>
          <w:rFonts w:ascii="Times New Roman" w:hAnsi="Times New Roman" w:cs="Times New Roman"/>
          <w:b w:val="0"/>
          <w:bCs w:val="0"/>
        </w:rPr>
        <w:t xml:space="preserve"> rate (</w:t>
      </w:r>
      <w:r w:rsidR="00850C0D" w:rsidRPr="00AC1E42">
        <w:rPr>
          <w:rStyle w:val="Strong"/>
          <w:rFonts w:ascii="Times New Roman" w:hAnsi="Times New Roman" w:cs="Times New Roman"/>
          <w:b w:val="0"/>
          <w:bCs w:val="0"/>
        </w:rPr>
        <w:t>DINFL)</w:t>
      </w:r>
      <w:r w:rsidRPr="00AC1E42">
        <w:rPr>
          <w:rFonts w:ascii="Times New Roman" w:hAnsi="Times New Roman" w:cs="Times New Roman"/>
          <w:b/>
          <w:bCs/>
        </w:rPr>
        <w:t>.</w:t>
      </w:r>
      <w:r w:rsidRPr="00AC1E42">
        <w:rPr>
          <w:rFonts w:ascii="Times New Roman" w:hAnsi="Times New Roman" w:cs="Times New Roman"/>
        </w:rPr>
        <w:t xml:space="preserve"> </w:t>
      </w:r>
      <w:r w:rsidR="00AC1E42">
        <w:rPr>
          <w:rFonts w:ascii="Times New Roman" w:hAnsi="Times New Roman" w:cs="Times New Roman"/>
        </w:rPr>
        <w:t xml:space="preserve">Table </w:t>
      </w:r>
      <w:r w:rsidR="00EA162A">
        <w:rPr>
          <w:rFonts w:ascii="Times New Roman" w:hAnsi="Times New Roman" w:cs="Times New Roman"/>
        </w:rPr>
        <w:t>3</w:t>
      </w:r>
      <w:r w:rsidR="00AC1E42">
        <w:rPr>
          <w:rFonts w:ascii="Times New Roman" w:hAnsi="Times New Roman" w:cs="Times New Roman"/>
        </w:rPr>
        <w:t xml:space="preserve"> </w:t>
      </w:r>
      <w:r w:rsidRPr="00AC1E42">
        <w:rPr>
          <w:rFonts w:ascii="Times New Roman" w:hAnsi="Times New Roman" w:cs="Times New Roman"/>
        </w:rPr>
        <w:t xml:space="preserve"> provides the Mean, standard deviation, and standard Error of the Mean for each variable. </w:t>
      </w:r>
    </w:p>
    <w:p w14:paraId="0FC4B4D2" w14:textId="5204CAC2" w:rsidR="00404299" w:rsidRPr="00503F6C" w:rsidRDefault="009A71CA" w:rsidP="00503F6C">
      <w:pPr>
        <w:autoSpaceDE w:val="0"/>
        <w:autoSpaceDN w:val="0"/>
        <w:adjustRightInd w:val="0"/>
        <w:spacing w:after="0" w:line="360" w:lineRule="auto"/>
        <w:rPr>
          <w:rFonts w:ascii="Times New Roman" w:hAnsi="Times New Roman" w:cs="Times New Roman"/>
        </w:rPr>
      </w:pPr>
      <w:r w:rsidRPr="00503F6C">
        <w:rPr>
          <w:rFonts w:ascii="Times New Roman" w:hAnsi="Times New Roman" w:cs="Times New Roman"/>
        </w:rPr>
        <w:t xml:space="preserve">Table </w:t>
      </w:r>
      <w:r w:rsidR="00EA162A">
        <w:rPr>
          <w:rFonts w:ascii="Times New Roman" w:hAnsi="Times New Roman" w:cs="Times New Roman"/>
        </w:rPr>
        <w:t>3</w:t>
      </w:r>
      <w:r w:rsidRPr="00503F6C">
        <w:rPr>
          <w:rFonts w:ascii="Times New Roman" w:hAnsi="Times New Roman" w:cs="Times New Roman"/>
        </w:rPr>
        <w:t xml:space="preserve"> Descriptive Statistics</w:t>
      </w:r>
    </w:p>
    <w:tbl>
      <w:tblPr>
        <w:tblStyle w:val="TableGrid"/>
        <w:tblW w:w="0" w:type="auto"/>
        <w:tblLook w:val="04A0" w:firstRow="1" w:lastRow="0" w:firstColumn="1" w:lastColumn="0" w:noHBand="0" w:noVBand="1"/>
      </w:tblPr>
      <w:tblGrid>
        <w:gridCol w:w="1870"/>
        <w:gridCol w:w="1870"/>
        <w:gridCol w:w="1870"/>
        <w:gridCol w:w="1870"/>
        <w:gridCol w:w="1870"/>
      </w:tblGrid>
      <w:tr w:rsidR="00E24A6D" w14:paraId="628289F4" w14:textId="77777777" w:rsidTr="00A15522">
        <w:tc>
          <w:tcPr>
            <w:tcW w:w="1870" w:type="dxa"/>
            <w:vAlign w:val="bottom"/>
          </w:tcPr>
          <w:p w14:paraId="0859A1D4"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Variable</w:t>
            </w:r>
          </w:p>
        </w:tc>
        <w:tc>
          <w:tcPr>
            <w:tcW w:w="1870" w:type="dxa"/>
            <w:vAlign w:val="bottom"/>
          </w:tcPr>
          <w:p w14:paraId="71A1FBB5"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Count</w:t>
            </w:r>
          </w:p>
        </w:tc>
        <w:tc>
          <w:tcPr>
            <w:tcW w:w="1870" w:type="dxa"/>
            <w:vAlign w:val="bottom"/>
          </w:tcPr>
          <w:p w14:paraId="6E4249B5"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Mean</w:t>
            </w:r>
          </w:p>
        </w:tc>
        <w:tc>
          <w:tcPr>
            <w:tcW w:w="1870" w:type="dxa"/>
            <w:vAlign w:val="bottom"/>
          </w:tcPr>
          <w:p w14:paraId="0012A7CF"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Std. Dev.</w:t>
            </w:r>
          </w:p>
        </w:tc>
        <w:tc>
          <w:tcPr>
            <w:tcW w:w="1870" w:type="dxa"/>
            <w:vAlign w:val="bottom"/>
          </w:tcPr>
          <w:p w14:paraId="66BC57D6"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of Mean</w:t>
            </w:r>
          </w:p>
        </w:tc>
      </w:tr>
      <w:tr w:rsidR="00E24A6D" w14:paraId="1AAD94B9" w14:textId="77777777" w:rsidTr="00A15522">
        <w:tc>
          <w:tcPr>
            <w:tcW w:w="1870" w:type="dxa"/>
            <w:vAlign w:val="bottom"/>
          </w:tcPr>
          <w:p w14:paraId="44F33B9E"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GDPG</w:t>
            </w:r>
          </w:p>
        </w:tc>
        <w:tc>
          <w:tcPr>
            <w:tcW w:w="1870" w:type="dxa"/>
            <w:vAlign w:val="bottom"/>
          </w:tcPr>
          <w:p w14:paraId="4242FE68"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40</w:t>
            </w:r>
          </w:p>
        </w:tc>
        <w:tc>
          <w:tcPr>
            <w:tcW w:w="1870" w:type="dxa"/>
            <w:vAlign w:val="bottom"/>
          </w:tcPr>
          <w:p w14:paraId="1F26A5BD"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4.04</w:t>
            </w:r>
          </w:p>
        </w:tc>
        <w:tc>
          <w:tcPr>
            <w:tcW w:w="1870" w:type="dxa"/>
            <w:vAlign w:val="bottom"/>
          </w:tcPr>
          <w:p w14:paraId="28B101DA"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3.81</w:t>
            </w:r>
          </w:p>
        </w:tc>
        <w:tc>
          <w:tcPr>
            <w:tcW w:w="1870" w:type="dxa"/>
            <w:vAlign w:val="bottom"/>
          </w:tcPr>
          <w:p w14:paraId="29A0D8E5"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0.60</w:t>
            </w:r>
          </w:p>
        </w:tc>
      </w:tr>
      <w:tr w:rsidR="00E24A6D" w14:paraId="0831806B" w14:textId="77777777" w:rsidTr="00A15522">
        <w:tc>
          <w:tcPr>
            <w:tcW w:w="1870" w:type="dxa"/>
            <w:vAlign w:val="bottom"/>
          </w:tcPr>
          <w:p w14:paraId="102F3448"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REM</w:t>
            </w:r>
          </w:p>
        </w:tc>
        <w:tc>
          <w:tcPr>
            <w:tcW w:w="1870" w:type="dxa"/>
            <w:vAlign w:val="bottom"/>
          </w:tcPr>
          <w:p w14:paraId="7DF57509"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40</w:t>
            </w:r>
          </w:p>
        </w:tc>
        <w:tc>
          <w:tcPr>
            <w:tcW w:w="1870" w:type="dxa"/>
            <w:vAlign w:val="bottom"/>
          </w:tcPr>
          <w:p w14:paraId="4C97D407"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9.71</w:t>
            </w:r>
          </w:p>
        </w:tc>
        <w:tc>
          <w:tcPr>
            <w:tcW w:w="1870" w:type="dxa"/>
            <w:vAlign w:val="bottom"/>
          </w:tcPr>
          <w:p w14:paraId="77ADF0D3"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9.88</w:t>
            </w:r>
          </w:p>
        </w:tc>
        <w:tc>
          <w:tcPr>
            <w:tcW w:w="1870" w:type="dxa"/>
            <w:vAlign w:val="bottom"/>
          </w:tcPr>
          <w:p w14:paraId="66FCB826"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1.56</w:t>
            </w:r>
          </w:p>
        </w:tc>
      </w:tr>
      <w:tr w:rsidR="00E24A6D" w14:paraId="7CC15EDF" w14:textId="77777777" w:rsidTr="00A15522">
        <w:tc>
          <w:tcPr>
            <w:tcW w:w="1870" w:type="dxa"/>
            <w:vAlign w:val="bottom"/>
          </w:tcPr>
          <w:p w14:paraId="6E1850F3" w14:textId="77777777" w:rsidR="00404299" w:rsidRPr="00503F6C" w:rsidRDefault="009A71CA" w:rsidP="00503F6C">
            <w:pPr>
              <w:autoSpaceDE w:val="0"/>
              <w:autoSpaceDN w:val="0"/>
              <w:adjustRightInd w:val="0"/>
              <w:spacing w:line="360" w:lineRule="auto"/>
              <w:rPr>
                <w:sz w:val="24"/>
                <w:szCs w:val="24"/>
              </w:rPr>
            </w:pPr>
            <w:r w:rsidRPr="00503F6C">
              <w:rPr>
                <w:color w:val="000000" w:themeColor="text1"/>
                <w:sz w:val="24"/>
                <w:szCs w:val="24"/>
              </w:rPr>
              <w:t>LN</w:t>
            </w:r>
            <w:r w:rsidRPr="00503F6C">
              <w:rPr>
                <w:sz w:val="24"/>
                <w:szCs w:val="24"/>
              </w:rPr>
              <w:t>FOREX</w:t>
            </w:r>
          </w:p>
        </w:tc>
        <w:tc>
          <w:tcPr>
            <w:tcW w:w="1870" w:type="dxa"/>
            <w:vAlign w:val="bottom"/>
          </w:tcPr>
          <w:p w14:paraId="35E67071"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40</w:t>
            </w:r>
          </w:p>
        </w:tc>
        <w:tc>
          <w:tcPr>
            <w:tcW w:w="1870" w:type="dxa"/>
            <w:vAlign w:val="bottom"/>
          </w:tcPr>
          <w:p w14:paraId="647463C2"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137.56</w:t>
            </w:r>
          </w:p>
        </w:tc>
        <w:tc>
          <w:tcPr>
            <w:tcW w:w="1870" w:type="dxa"/>
            <w:vAlign w:val="bottom"/>
          </w:tcPr>
          <w:p w14:paraId="6023F8F8"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143.33</w:t>
            </w:r>
          </w:p>
        </w:tc>
        <w:tc>
          <w:tcPr>
            <w:tcW w:w="1870" w:type="dxa"/>
            <w:vAlign w:val="bottom"/>
          </w:tcPr>
          <w:p w14:paraId="5F1326B9"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22.66</w:t>
            </w:r>
          </w:p>
        </w:tc>
      </w:tr>
      <w:tr w:rsidR="00E24A6D" w14:paraId="0A125550" w14:textId="77777777" w:rsidTr="00A15522">
        <w:tc>
          <w:tcPr>
            <w:tcW w:w="1870" w:type="dxa"/>
            <w:vAlign w:val="bottom"/>
          </w:tcPr>
          <w:p w14:paraId="21617EC9"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DINFL</w:t>
            </w:r>
          </w:p>
        </w:tc>
        <w:tc>
          <w:tcPr>
            <w:tcW w:w="1870" w:type="dxa"/>
            <w:vAlign w:val="bottom"/>
          </w:tcPr>
          <w:p w14:paraId="34499C8B"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40</w:t>
            </w:r>
          </w:p>
        </w:tc>
        <w:tc>
          <w:tcPr>
            <w:tcW w:w="1870" w:type="dxa"/>
            <w:vAlign w:val="bottom"/>
          </w:tcPr>
          <w:p w14:paraId="07074AD4"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19.21</w:t>
            </w:r>
          </w:p>
        </w:tc>
        <w:tc>
          <w:tcPr>
            <w:tcW w:w="1870" w:type="dxa"/>
            <w:vAlign w:val="bottom"/>
          </w:tcPr>
          <w:p w14:paraId="3DCE61AF"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16.78</w:t>
            </w:r>
          </w:p>
        </w:tc>
        <w:tc>
          <w:tcPr>
            <w:tcW w:w="1870" w:type="dxa"/>
            <w:vAlign w:val="bottom"/>
          </w:tcPr>
          <w:p w14:paraId="31865908"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2.65</w:t>
            </w:r>
          </w:p>
        </w:tc>
      </w:tr>
      <w:tr w:rsidR="00E24A6D" w14:paraId="3562E481" w14:textId="77777777" w:rsidTr="00A15522">
        <w:tc>
          <w:tcPr>
            <w:tcW w:w="1870" w:type="dxa"/>
            <w:vAlign w:val="bottom"/>
          </w:tcPr>
          <w:p w14:paraId="7C5F8386"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FDI</w:t>
            </w:r>
          </w:p>
        </w:tc>
        <w:tc>
          <w:tcPr>
            <w:tcW w:w="1870" w:type="dxa"/>
            <w:vAlign w:val="bottom"/>
          </w:tcPr>
          <w:p w14:paraId="7745A4FC"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40</w:t>
            </w:r>
          </w:p>
        </w:tc>
        <w:tc>
          <w:tcPr>
            <w:tcW w:w="1870" w:type="dxa"/>
            <w:vAlign w:val="bottom"/>
          </w:tcPr>
          <w:p w14:paraId="45D75ABF"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2.60</w:t>
            </w:r>
          </w:p>
        </w:tc>
        <w:tc>
          <w:tcPr>
            <w:tcW w:w="1870" w:type="dxa"/>
            <w:vAlign w:val="bottom"/>
          </w:tcPr>
          <w:p w14:paraId="71C12D52"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2.54</w:t>
            </w:r>
          </w:p>
        </w:tc>
        <w:tc>
          <w:tcPr>
            <w:tcW w:w="1870" w:type="dxa"/>
            <w:vAlign w:val="bottom"/>
          </w:tcPr>
          <w:p w14:paraId="1AF49E20" w14:textId="77777777" w:rsidR="00404299" w:rsidRPr="00503F6C" w:rsidRDefault="009A71CA" w:rsidP="00503F6C">
            <w:pPr>
              <w:autoSpaceDE w:val="0"/>
              <w:autoSpaceDN w:val="0"/>
              <w:adjustRightInd w:val="0"/>
              <w:spacing w:line="360" w:lineRule="auto"/>
              <w:rPr>
                <w:sz w:val="24"/>
                <w:szCs w:val="24"/>
              </w:rPr>
            </w:pPr>
            <w:r w:rsidRPr="00503F6C">
              <w:rPr>
                <w:sz w:val="24"/>
                <w:szCs w:val="24"/>
              </w:rPr>
              <w:t>4.02</w:t>
            </w:r>
          </w:p>
        </w:tc>
      </w:tr>
    </w:tbl>
    <w:p w14:paraId="2DE4E927" w14:textId="77777777" w:rsidR="00404299" w:rsidRPr="00503F6C" w:rsidRDefault="009A71CA" w:rsidP="00503F6C">
      <w:pPr>
        <w:autoSpaceDE w:val="0"/>
        <w:autoSpaceDN w:val="0"/>
        <w:adjustRightInd w:val="0"/>
        <w:spacing w:after="0" w:line="360" w:lineRule="auto"/>
        <w:rPr>
          <w:rFonts w:ascii="Times New Roman" w:hAnsi="Times New Roman" w:cs="Times New Roman"/>
        </w:rPr>
      </w:pPr>
      <w:r w:rsidRPr="00503F6C">
        <w:rPr>
          <w:rFonts w:ascii="Times New Roman" w:hAnsi="Times New Roman" w:cs="Times New Roman"/>
        </w:rPr>
        <w:t>Sources: Authors own computations</w:t>
      </w:r>
      <w:commentRangeStart w:id="16"/>
      <w:r w:rsidRPr="00503F6C">
        <w:rPr>
          <w:rFonts w:ascii="Times New Roman" w:hAnsi="Times New Roman" w:cs="Times New Roman"/>
        </w:rPr>
        <w:t>,</w:t>
      </w:r>
      <w:commentRangeEnd w:id="16"/>
      <w:r w:rsidR="00196767">
        <w:rPr>
          <w:rStyle w:val="CommentReference"/>
        </w:rPr>
        <w:commentReference w:id="16"/>
      </w:r>
      <w:r w:rsidRPr="00503F6C">
        <w:rPr>
          <w:rFonts w:ascii="Times New Roman" w:hAnsi="Times New Roman" w:cs="Times New Roman"/>
        </w:rPr>
        <w:t xml:space="preserve"> Eviews 10</w:t>
      </w:r>
    </w:p>
    <w:p w14:paraId="41D1512A" w14:textId="77777777" w:rsidR="00714B74" w:rsidRDefault="009A71CA" w:rsidP="00503F6C">
      <w:pPr>
        <w:pStyle w:val="NormalWeb"/>
        <w:spacing w:line="360" w:lineRule="auto"/>
        <w:jc w:val="both"/>
      </w:pPr>
      <w:r w:rsidRPr="00503F6C">
        <w:t xml:space="preserve">The </w:t>
      </w:r>
      <w:r w:rsidRPr="00503F6C">
        <w:rPr>
          <w:rStyle w:val="Strong"/>
          <w:b w:val="0"/>
          <w:bCs w:val="0"/>
        </w:rPr>
        <w:t>GDP growth</w:t>
      </w:r>
      <w:r w:rsidRPr="00503F6C">
        <w:rPr>
          <w:rStyle w:val="Strong"/>
        </w:rPr>
        <w:t xml:space="preserve"> </w:t>
      </w:r>
      <w:r w:rsidRPr="00503F6C">
        <w:rPr>
          <w:rStyle w:val="Strong"/>
          <w:b w:val="0"/>
          <w:bCs w:val="0"/>
        </w:rPr>
        <w:t>rate</w:t>
      </w:r>
      <w:r w:rsidRPr="00503F6C">
        <w:rPr>
          <w:b/>
          <w:bCs/>
        </w:rPr>
        <w:t xml:space="preserve"> s</w:t>
      </w:r>
      <w:r w:rsidRPr="00503F6C">
        <w:t xml:space="preserve">hows an average growth rate </w:t>
      </w:r>
      <w:r w:rsidRPr="00AC1E42">
        <w:t>of</w:t>
      </w:r>
      <w:r w:rsidRPr="00503F6C">
        <w:rPr>
          <w:b/>
          <w:bCs/>
        </w:rPr>
        <w:t xml:space="preserve"> </w:t>
      </w:r>
      <w:r w:rsidRPr="00503F6C">
        <w:rPr>
          <w:rStyle w:val="Strong"/>
          <w:b w:val="0"/>
          <w:bCs w:val="0"/>
        </w:rPr>
        <w:t>4.04%</w:t>
      </w:r>
      <w:r w:rsidRPr="00503F6C">
        <w:rPr>
          <w:b/>
          <w:bCs/>
        </w:rPr>
        <w:t>,</w:t>
      </w:r>
      <w:r w:rsidRPr="00503F6C">
        <w:t xml:space="preserve"> with a standard deviation of </w:t>
      </w:r>
      <w:r w:rsidRPr="00503F6C">
        <w:rPr>
          <w:rStyle w:val="Strong"/>
          <w:b w:val="0"/>
          <w:bCs w:val="0"/>
        </w:rPr>
        <w:t>3.81%</w:t>
      </w:r>
      <w:r w:rsidRPr="00503F6C">
        <w:rPr>
          <w:b/>
          <w:bCs/>
        </w:rPr>
        <w:t>,</w:t>
      </w:r>
      <w:r w:rsidRPr="00503F6C">
        <w:t xml:space="preserve"> indicating moderate variability in economic growth over the sampled period. The standard Error of the Mean is </w:t>
      </w:r>
      <w:r w:rsidRPr="00B37EBF">
        <w:rPr>
          <w:rStyle w:val="Strong"/>
          <w:b w:val="0"/>
          <w:bCs w:val="0"/>
        </w:rPr>
        <w:t>0.60%</w:t>
      </w:r>
      <w:r w:rsidRPr="00B37EBF">
        <w:rPr>
          <w:b/>
          <w:bCs/>
        </w:rPr>
        <w:t>,</w:t>
      </w:r>
      <w:r w:rsidRPr="00503F6C">
        <w:t xml:space="preserve"> suggesting that the sample mean is a reasonably precise estimate of the population mean GDP growth rate. The </w:t>
      </w:r>
      <w:r w:rsidR="00263A76" w:rsidRPr="00503F6C">
        <w:rPr>
          <w:rStyle w:val="Strong"/>
          <w:b w:val="0"/>
          <w:bCs w:val="0"/>
        </w:rPr>
        <w:t>immigrant remittances</w:t>
      </w:r>
      <w:r w:rsidRPr="00503F6C">
        <w:t xml:space="preserve"> variable, measured in billions </w:t>
      </w:r>
      <w:r w:rsidR="00263A76" w:rsidRPr="00503F6C">
        <w:t xml:space="preserve">of dollars, </w:t>
      </w:r>
      <w:r w:rsidRPr="00503F6C">
        <w:t xml:space="preserve">has a mean value of </w:t>
      </w:r>
      <w:r w:rsidRPr="00503F6C">
        <w:rPr>
          <w:rStyle w:val="Strong"/>
          <w:b w:val="0"/>
          <w:bCs w:val="0"/>
        </w:rPr>
        <w:t>9.71 billion</w:t>
      </w:r>
      <w:r w:rsidRPr="00503F6C">
        <w:t xml:space="preserve"> and a standard deviation of </w:t>
      </w:r>
      <w:r w:rsidRPr="00503F6C">
        <w:rPr>
          <w:rStyle w:val="Strong"/>
          <w:b w:val="0"/>
          <w:bCs w:val="0"/>
        </w:rPr>
        <w:t>9.88 billion</w:t>
      </w:r>
      <w:r w:rsidRPr="00503F6C">
        <w:t xml:space="preserve">, reflecting substantial fluctuations in remittance inflows. The significant standard deviation </w:t>
      </w:r>
      <w:r w:rsidRPr="00503F6C">
        <w:lastRenderedPageBreak/>
        <w:t xml:space="preserve">implies that remittance levels vary widely across the sample period, possibly due to economic conditions or external factors affecting expatriate earnings. The standard Error </w:t>
      </w:r>
      <w:r w:rsidRPr="00B37EBF">
        <w:t xml:space="preserve">of </w:t>
      </w:r>
      <w:r w:rsidRPr="00503F6C">
        <w:rPr>
          <w:rStyle w:val="Strong"/>
          <w:b w:val="0"/>
          <w:bCs w:val="0"/>
        </w:rPr>
        <w:t>1.56 billion</w:t>
      </w:r>
      <w:r w:rsidRPr="00503F6C">
        <w:t xml:space="preserve"> indicates some level of precision in estimating the Mean, but the high variability in remittance inflows suggests this variable is notably </w:t>
      </w:r>
      <w:r w:rsidR="00263A76" w:rsidRPr="00503F6C">
        <w:t>dynamic. The</w:t>
      </w:r>
      <w:r w:rsidRPr="00503F6C">
        <w:rPr>
          <w:b/>
          <w:bCs/>
        </w:rPr>
        <w:t xml:space="preserve"> </w:t>
      </w:r>
      <w:r w:rsidRPr="00503F6C">
        <w:rPr>
          <w:rStyle w:val="Strong"/>
          <w:b w:val="0"/>
          <w:bCs w:val="0"/>
        </w:rPr>
        <w:t>foreign exchange rate</w:t>
      </w:r>
      <w:r w:rsidRPr="00503F6C">
        <w:t xml:space="preserve"> has an average value of </w:t>
      </w:r>
      <w:r w:rsidRPr="00503F6C">
        <w:rPr>
          <w:rStyle w:val="Strong"/>
          <w:b w:val="0"/>
          <w:bCs w:val="0"/>
        </w:rPr>
        <w:t>137.56</w:t>
      </w:r>
      <w:r w:rsidRPr="00503F6C">
        <w:t xml:space="preserve"> (likely against a major currency like the USD), with a high standard deviation of </w:t>
      </w:r>
      <w:r w:rsidRPr="00503F6C">
        <w:rPr>
          <w:rStyle w:val="Strong"/>
          <w:b w:val="0"/>
          <w:bCs w:val="0"/>
        </w:rPr>
        <w:t>143.33</w:t>
      </w:r>
      <w:r w:rsidRPr="00503F6C">
        <w:t xml:space="preserve">, suggesting substantial fluctuations in exchange rates. This variability is expected in contexts where the exchange rate is influenced by inflation, foreign investment, and monetary policy changes. The standard Error of the Mean is </w:t>
      </w:r>
      <w:r w:rsidRPr="00503F6C">
        <w:rPr>
          <w:rStyle w:val="Strong"/>
          <w:b w:val="0"/>
          <w:bCs w:val="0"/>
        </w:rPr>
        <w:t>22.66</w:t>
      </w:r>
      <w:r w:rsidRPr="00503F6C">
        <w:t xml:space="preserve">, indicating some uncertainty in the mean estimate but still providing a general measure of the exchange rate over the period. </w:t>
      </w:r>
      <w:r w:rsidR="00263A76" w:rsidRPr="00503F6C">
        <w:rPr>
          <w:rStyle w:val="Strong"/>
          <w:b w:val="0"/>
          <w:bCs w:val="0"/>
        </w:rPr>
        <w:t>I</w:t>
      </w:r>
      <w:r w:rsidRPr="00503F6C">
        <w:rPr>
          <w:rStyle w:val="Strong"/>
          <w:b w:val="0"/>
          <w:bCs w:val="0"/>
        </w:rPr>
        <w:t>nflation rate</w:t>
      </w:r>
      <w:r w:rsidRPr="00503F6C">
        <w:t xml:space="preserve"> averages </w:t>
      </w:r>
      <w:r w:rsidRPr="00503F6C">
        <w:rPr>
          <w:rStyle w:val="Strong"/>
          <w:b w:val="0"/>
          <w:bCs w:val="0"/>
        </w:rPr>
        <w:t>19.22%</w:t>
      </w:r>
      <w:r w:rsidRPr="00503F6C">
        <w:rPr>
          <w:b/>
          <w:bCs/>
        </w:rPr>
        <w:t>,</w:t>
      </w:r>
      <w:r w:rsidRPr="00503F6C">
        <w:t xml:space="preserve"> with a standard deviation of </w:t>
      </w:r>
      <w:r w:rsidRPr="00503F6C">
        <w:rPr>
          <w:rStyle w:val="Strong"/>
          <w:b w:val="0"/>
          <w:bCs w:val="0"/>
        </w:rPr>
        <w:t>16.78%</w:t>
      </w:r>
      <w:r w:rsidRPr="00503F6C">
        <w:rPr>
          <w:b/>
          <w:bCs/>
        </w:rPr>
        <w:t>.</w:t>
      </w:r>
      <w:r w:rsidRPr="00503F6C">
        <w:t xml:space="preserve"> This level of variability implies significant swings in inflation, possibly due to economic policy shifts, supply chain disruptions, or other economic shocks. The standard Error of the Mean is </w:t>
      </w:r>
      <w:r w:rsidRPr="00503F6C">
        <w:rPr>
          <w:rStyle w:val="Strong"/>
          <w:b w:val="0"/>
          <w:bCs w:val="0"/>
        </w:rPr>
        <w:t>2.65%</w:t>
      </w:r>
      <w:r w:rsidRPr="00503F6C">
        <w:rPr>
          <w:b/>
          <w:bCs/>
        </w:rPr>
        <w:t>,</w:t>
      </w:r>
      <w:r w:rsidRPr="00503F6C">
        <w:t xml:space="preserve"> suggesting a reasonably precise estimation of the mean inflation rate, though the high standard deviation indicates potential economic instability or inflationary pressures over the sample period.</w:t>
      </w:r>
    </w:p>
    <w:p w14:paraId="44C03999" w14:textId="77777777" w:rsidR="00196767" w:rsidRPr="00503F6C" w:rsidRDefault="00196767" w:rsidP="00503F6C">
      <w:pPr>
        <w:pStyle w:val="NormalWeb"/>
        <w:spacing w:line="360" w:lineRule="auto"/>
        <w:jc w:val="both"/>
      </w:pPr>
      <w:r>
        <w:rPr>
          <w:rStyle w:val="CommentReference"/>
          <w:rFonts w:asciiTheme="minorHAnsi" w:hAnsiTheme="minorHAnsi" w:cstheme="minorBidi"/>
        </w:rPr>
        <w:commentReference w:id="17"/>
      </w:r>
    </w:p>
    <w:p w14:paraId="1623837D" w14:textId="5E6468C0" w:rsidR="001F3AC0" w:rsidRPr="00AC1E42" w:rsidRDefault="009A71CA" w:rsidP="00503F6C">
      <w:pPr>
        <w:autoSpaceDE w:val="0"/>
        <w:autoSpaceDN w:val="0"/>
        <w:adjustRightInd w:val="0"/>
        <w:spacing w:after="0" w:line="360" w:lineRule="auto"/>
        <w:rPr>
          <w:rFonts w:ascii="Times New Roman" w:hAnsi="Times New Roman" w:cs="Times New Roman"/>
          <w:b/>
          <w:bCs/>
        </w:rPr>
      </w:pPr>
      <w:r w:rsidRPr="00AC1E42">
        <w:rPr>
          <w:rFonts w:ascii="Times New Roman" w:hAnsi="Times New Roman" w:cs="Times New Roman"/>
          <w:b/>
          <w:bCs/>
        </w:rPr>
        <w:t xml:space="preserve">4.2 </w:t>
      </w:r>
      <w:commentRangeStart w:id="18"/>
      <w:r w:rsidRPr="00AC1E42">
        <w:rPr>
          <w:rFonts w:ascii="Times New Roman" w:hAnsi="Times New Roman" w:cs="Times New Roman"/>
          <w:b/>
          <w:bCs/>
        </w:rPr>
        <w:t xml:space="preserve">Unit </w:t>
      </w:r>
      <w:r w:rsidR="00850C0D" w:rsidRPr="00AC1E42">
        <w:rPr>
          <w:rFonts w:ascii="Times New Roman" w:hAnsi="Times New Roman" w:cs="Times New Roman"/>
          <w:b/>
          <w:bCs/>
        </w:rPr>
        <w:t>Root Test</w:t>
      </w:r>
      <w:r w:rsidRPr="00AC1E42">
        <w:rPr>
          <w:rFonts w:ascii="Times New Roman" w:hAnsi="Times New Roman" w:cs="Times New Roman"/>
          <w:b/>
          <w:bCs/>
        </w:rPr>
        <w:t xml:space="preserve"> </w:t>
      </w:r>
      <w:commentRangeEnd w:id="18"/>
      <w:r w:rsidR="00196767">
        <w:rPr>
          <w:rStyle w:val="CommentReference"/>
        </w:rPr>
        <w:commentReference w:id="18"/>
      </w:r>
    </w:p>
    <w:p w14:paraId="6B7813F8" w14:textId="57E143DB" w:rsidR="00A03F02" w:rsidRPr="00850C0D" w:rsidRDefault="009A71CA" w:rsidP="00503F6C">
      <w:pPr>
        <w:autoSpaceDE w:val="0"/>
        <w:autoSpaceDN w:val="0"/>
        <w:adjustRightInd w:val="0"/>
        <w:spacing w:after="0" w:line="360" w:lineRule="auto"/>
        <w:rPr>
          <w:rFonts w:ascii="Times New Roman" w:hAnsi="Times New Roman" w:cs="Times New Roman"/>
          <w:b/>
          <w:bCs/>
        </w:rPr>
      </w:pPr>
      <w:r w:rsidRPr="00503F6C">
        <w:rPr>
          <w:rFonts w:ascii="Times New Roman" w:hAnsi="Times New Roman" w:cs="Times New Roman"/>
        </w:rPr>
        <w:t xml:space="preserve"> </w:t>
      </w:r>
      <w:r w:rsidR="001F3AC0" w:rsidRPr="00850C0D">
        <w:rPr>
          <w:rFonts w:ascii="Times New Roman" w:hAnsi="Times New Roman" w:cs="Times New Roman"/>
          <w:b/>
          <w:bCs/>
        </w:rPr>
        <w:t xml:space="preserve">Table </w:t>
      </w:r>
      <w:r w:rsidR="00EA162A">
        <w:rPr>
          <w:rFonts w:ascii="Times New Roman" w:hAnsi="Times New Roman" w:cs="Times New Roman"/>
          <w:b/>
          <w:bCs/>
        </w:rPr>
        <w:t>4</w:t>
      </w:r>
      <w:r w:rsidR="00AC1E42" w:rsidRPr="00850C0D">
        <w:rPr>
          <w:rFonts w:ascii="Times New Roman" w:hAnsi="Times New Roman" w:cs="Times New Roman"/>
          <w:b/>
          <w:bCs/>
        </w:rPr>
        <w:t xml:space="preserve"> </w:t>
      </w:r>
      <w:r w:rsidR="00126B46" w:rsidRPr="00850C0D">
        <w:rPr>
          <w:rFonts w:ascii="Times New Roman" w:hAnsi="Times New Roman" w:cs="Times New Roman"/>
          <w:b/>
          <w:bCs/>
        </w:rPr>
        <w:t xml:space="preserve">Unit Root </w:t>
      </w:r>
      <w:r w:rsidRPr="00850C0D">
        <w:rPr>
          <w:rFonts w:ascii="Times New Roman" w:hAnsi="Times New Roman" w:cs="Times New Roman"/>
          <w:b/>
          <w:bCs/>
        </w:rPr>
        <w:t xml:space="preserve"> Test </w:t>
      </w:r>
    </w:p>
    <w:tbl>
      <w:tblPr>
        <w:tblStyle w:val="TableGrid"/>
        <w:tblW w:w="0" w:type="auto"/>
        <w:tblLook w:val="04A0" w:firstRow="1" w:lastRow="0" w:firstColumn="1" w:lastColumn="0" w:noHBand="0" w:noVBand="1"/>
      </w:tblPr>
      <w:tblGrid>
        <w:gridCol w:w="1912"/>
        <w:gridCol w:w="1863"/>
        <w:gridCol w:w="1862"/>
        <w:gridCol w:w="1860"/>
      </w:tblGrid>
      <w:tr w:rsidR="00E24A6D" w14:paraId="430E48DD" w14:textId="77777777" w:rsidTr="00A03F02">
        <w:tc>
          <w:tcPr>
            <w:tcW w:w="1912" w:type="dxa"/>
          </w:tcPr>
          <w:p w14:paraId="78A30ED2" w14:textId="77777777" w:rsidR="00A03F02" w:rsidRPr="00503F6C" w:rsidRDefault="00A03F02" w:rsidP="00503F6C">
            <w:pPr>
              <w:autoSpaceDE w:val="0"/>
              <w:autoSpaceDN w:val="0"/>
              <w:adjustRightInd w:val="0"/>
              <w:spacing w:line="360" w:lineRule="auto"/>
              <w:rPr>
                <w:sz w:val="24"/>
                <w:szCs w:val="24"/>
              </w:rPr>
            </w:pPr>
          </w:p>
        </w:tc>
        <w:tc>
          <w:tcPr>
            <w:tcW w:w="1863" w:type="dxa"/>
          </w:tcPr>
          <w:p w14:paraId="227C86B3" w14:textId="77777777" w:rsidR="00A03F02" w:rsidRPr="00503F6C" w:rsidRDefault="00A03F02" w:rsidP="00503F6C">
            <w:pPr>
              <w:autoSpaceDE w:val="0"/>
              <w:autoSpaceDN w:val="0"/>
              <w:adjustRightInd w:val="0"/>
              <w:spacing w:line="360" w:lineRule="auto"/>
              <w:rPr>
                <w:sz w:val="24"/>
                <w:szCs w:val="24"/>
              </w:rPr>
            </w:pPr>
          </w:p>
        </w:tc>
        <w:tc>
          <w:tcPr>
            <w:tcW w:w="1862" w:type="dxa"/>
          </w:tcPr>
          <w:p w14:paraId="1E4856F9" w14:textId="77777777" w:rsidR="00A03F02" w:rsidRPr="00503F6C" w:rsidRDefault="00A03F02" w:rsidP="00503F6C">
            <w:pPr>
              <w:autoSpaceDE w:val="0"/>
              <w:autoSpaceDN w:val="0"/>
              <w:adjustRightInd w:val="0"/>
              <w:spacing w:line="360" w:lineRule="auto"/>
              <w:rPr>
                <w:sz w:val="24"/>
                <w:szCs w:val="24"/>
              </w:rPr>
            </w:pPr>
          </w:p>
        </w:tc>
        <w:tc>
          <w:tcPr>
            <w:tcW w:w="1860" w:type="dxa"/>
          </w:tcPr>
          <w:p w14:paraId="583D4F0B" w14:textId="77777777" w:rsidR="00A03F02" w:rsidRPr="00503F6C" w:rsidRDefault="00A03F02" w:rsidP="00503F6C">
            <w:pPr>
              <w:autoSpaceDE w:val="0"/>
              <w:autoSpaceDN w:val="0"/>
              <w:adjustRightInd w:val="0"/>
              <w:spacing w:line="360" w:lineRule="auto"/>
              <w:rPr>
                <w:sz w:val="24"/>
                <w:szCs w:val="24"/>
              </w:rPr>
            </w:pPr>
          </w:p>
        </w:tc>
      </w:tr>
      <w:tr w:rsidR="00E24A6D" w14:paraId="67BB03B0" w14:textId="77777777" w:rsidTr="00A03F02">
        <w:tc>
          <w:tcPr>
            <w:tcW w:w="1912" w:type="dxa"/>
          </w:tcPr>
          <w:p w14:paraId="160E2765"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Variable</w:t>
            </w:r>
          </w:p>
        </w:tc>
        <w:tc>
          <w:tcPr>
            <w:tcW w:w="1863" w:type="dxa"/>
            <w:vAlign w:val="bottom"/>
          </w:tcPr>
          <w:p w14:paraId="380A10C1" w14:textId="77777777" w:rsidR="00A03F02" w:rsidRPr="00503F6C" w:rsidRDefault="009A71CA" w:rsidP="00503F6C">
            <w:pPr>
              <w:autoSpaceDE w:val="0"/>
              <w:autoSpaceDN w:val="0"/>
              <w:adjustRightInd w:val="0"/>
              <w:spacing w:line="360" w:lineRule="auto"/>
              <w:rPr>
                <w:sz w:val="24"/>
                <w:szCs w:val="24"/>
              </w:rPr>
            </w:pPr>
            <w:commentRangeStart w:id="19"/>
            <w:r w:rsidRPr="00503F6C">
              <w:rPr>
                <w:sz w:val="24"/>
                <w:szCs w:val="24"/>
              </w:rPr>
              <w:t>t-Statistic</w:t>
            </w:r>
          </w:p>
        </w:tc>
        <w:tc>
          <w:tcPr>
            <w:tcW w:w="1862" w:type="dxa"/>
            <w:vAlign w:val="bottom"/>
          </w:tcPr>
          <w:p w14:paraId="75318564"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  Prob.*</w:t>
            </w:r>
          </w:p>
        </w:tc>
        <w:tc>
          <w:tcPr>
            <w:tcW w:w="1860" w:type="dxa"/>
          </w:tcPr>
          <w:p w14:paraId="07D73FE6"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Status</w:t>
            </w:r>
            <w:commentRangeEnd w:id="19"/>
            <w:r w:rsidR="00196767">
              <w:rPr>
                <w:rStyle w:val="CommentReference"/>
                <w:rFonts w:asciiTheme="minorHAnsi" w:eastAsiaTheme="minorHAnsi" w:hAnsiTheme="minorHAnsi" w:cstheme="minorBidi"/>
                <w:kern w:val="2"/>
                <w14:ligatures w14:val="standardContextual"/>
              </w:rPr>
              <w:commentReference w:id="19"/>
            </w:r>
          </w:p>
        </w:tc>
      </w:tr>
      <w:tr w:rsidR="00E24A6D" w14:paraId="4E25C152" w14:textId="77777777" w:rsidTr="00A03F02">
        <w:tc>
          <w:tcPr>
            <w:tcW w:w="1912" w:type="dxa"/>
            <w:vAlign w:val="bottom"/>
          </w:tcPr>
          <w:p w14:paraId="0C896C6E" w14:textId="77777777" w:rsidR="00A03F02" w:rsidRPr="00503F6C" w:rsidRDefault="009A71CA" w:rsidP="00503F6C">
            <w:pPr>
              <w:autoSpaceDE w:val="0"/>
              <w:autoSpaceDN w:val="0"/>
              <w:adjustRightInd w:val="0"/>
              <w:spacing w:line="360" w:lineRule="auto"/>
              <w:rPr>
                <w:sz w:val="24"/>
                <w:szCs w:val="24"/>
              </w:rPr>
            </w:pPr>
            <w:r w:rsidRPr="00503F6C">
              <w:rPr>
                <w:color w:val="000000"/>
                <w:sz w:val="24"/>
                <w:szCs w:val="24"/>
              </w:rPr>
              <w:t>GDPG</w:t>
            </w:r>
          </w:p>
        </w:tc>
        <w:tc>
          <w:tcPr>
            <w:tcW w:w="1863" w:type="dxa"/>
            <w:vAlign w:val="bottom"/>
          </w:tcPr>
          <w:p w14:paraId="0F11643F"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-4.478799</w:t>
            </w:r>
          </w:p>
        </w:tc>
        <w:tc>
          <w:tcPr>
            <w:tcW w:w="1862" w:type="dxa"/>
            <w:vAlign w:val="bottom"/>
          </w:tcPr>
          <w:p w14:paraId="293F85C7"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 0.0009</w:t>
            </w:r>
          </w:p>
        </w:tc>
        <w:tc>
          <w:tcPr>
            <w:tcW w:w="1860" w:type="dxa"/>
          </w:tcPr>
          <w:p w14:paraId="04FBE250"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I(0)</w:t>
            </w:r>
          </w:p>
        </w:tc>
      </w:tr>
      <w:tr w:rsidR="00E24A6D" w14:paraId="61C28924" w14:textId="77777777" w:rsidTr="00A03F02">
        <w:tc>
          <w:tcPr>
            <w:tcW w:w="1912" w:type="dxa"/>
            <w:vAlign w:val="bottom"/>
          </w:tcPr>
          <w:p w14:paraId="197651B7" w14:textId="77777777" w:rsidR="00A03F02" w:rsidRPr="00503F6C" w:rsidRDefault="009A71CA" w:rsidP="00503F6C">
            <w:pPr>
              <w:autoSpaceDE w:val="0"/>
              <w:autoSpaceDN w:val="0"/>
              <w:adjustRightInd w:val="0"/>
              <w:spacing w:line="360" w:lineRule="auto"/>
              <w:rPr>
                <w:color w:val="000000"/>
                <w:sz w:val="24"/>
                <w:szCs w:val="24"/>
              </w:rPr>
            </w:pPr>
            <w:r w:rsidRPr="00503F6C">
              <w:rPr>
                <w:color w:val="000000"/>
                <w:sz w:val="24"/>
                <w:szCs w:val="24"/>
              </w:rPr>
              <w:t>REM</w:t>
            </w:r>
          </w:p>
        </w:tc>
        <w:tc>
          <w:tcPr>
            <w:tcW w:w="1863" w:type="dxa"/>
            <w:vAlign w:val="bottom"/>
          </w:tcPr>
          <w:p w14:paraId="6B2994AC"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-5.284621</w:t>
            </w:r>
          </w:p>
        </w:tc>
        <w:tc>
          <w:tcPr>
            <w:tcW w:w="1862" w:type="dxa"/>
            <w:vAlign w:val="bottom"/>
          </w:tcPr>
          <w:p w14:paraId="3539775B"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 0.0001</w:t>
            </w:r>
          </w:p>
        </w:tc>
        <w:tc>
          <w:tcPr>
            <w:tcW w:w="1860" w:type="dxa"/>
          </w:tcPr>
          <w:p w14:paraId="78A4B50C"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I(1)</w:t>
            </w:r>
          </w:p>
        </w:tc>
      </w:tr>
      <w:tr w:rsidR="00E24A6D" w14:paraId="334A2B9F" w14:textId="77777777" w:rsidTr="00A03F02">
        <w:tc>
          <w:tcPr>
            <w:tcW w:w="1912" w:type="dxa"/>
            <w:vAlign w:val="bottom"/>
          </w:tcPr>
          <w:p w14:paraId="7F14069C" w14:textId="77777777" w:rsidR="00A03F02" w:rsidRPr="00503F6C" w:rsidRDefault="009A71CA" w:rsidP="00503F6C">
            <w:pPr>
              <w:autoSpaceDE w:val="0"/>
              <w:autoSpaceDN w:val="0"/>
              <w:adjustRightInd w:val="0"/>
              <w:spacing w:line="360" w:lineRule="auto"/>
              <w:rPr>
                <w:color w:val="000000"/>
                <w:sz w:val="24"/>
                <w:szCs w:val="24"/>
              </w:rPr>
            </w:pPr>
            <w:r w:rsidRPr="00503F6C">
              <w:rPr>
                <w:color w:val="000000"/>
                <w:sz w:val="24"/>
                <w:szCs w:val="24"/>
              </w:rPr>
              <w:t>LNFOREX</w:t>
            </w:r>
          </w:p>
        </w:tc>
        <w:tc>
          <w:tcPr>
            <w:tcW w:w="1863" w:type="dxa"/>
            <w:vAlign w:val="bottom"/>
          </w:tcPr>
          <w:p w14:paraId="3E4E9B63"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-5.792862</w:t>
            </w:r>
          </w:p>
        </w:tc>
        <w:tc>
          <w:tcPr>
            <w:tcW w:w="1862" w:type="dxa"/>
            <w:vAlign w:val="bottom"/>
          </w:tcPr>
          <w:p w14:paraId="68AC0399"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 0.0000</w:t>
            </w:r>
          </w:p>
        </w:tc>
        <w:tc>
          <w:tcPr>
            <w:tcW w:w="1860" w:type="dxa"/>
          </w:tcPr>
          <w:p w14:paraId="2A12EE3C"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I(1)</w:t>
            </w:r>
          </w:p>
        </w:tc>
      </w:tr>
      <w:tr w:rsidR="00E24A6D" w14:paraId="2C98ECE3" w14:textId="77777777" w:rsidTr="00A03F02">
        <w:tc>
          <w:tcPr>
            <w:tcW w:w="1912" w:type="dxa"/>
            <w:vAlign w:val="bottom"/>
          </w:tcPr>
          <w:p w14:paraId="3F78329A" w14:textId="77777777" w:rsidR="00A03F02" w:rsidRPr="00503F6C" w:rsidRDefault="009A71CA" w:rsidP="00503F6C">
            <w:pPr>
              <w:autoSpaceDE w:val="0"/>
              <w:autoSpaceDN w:val="0"/>
              <w:adjustRightInd w:val="0"/>
              <w:spacing w:line="360" w:lineRule="auto"/>
              <w:rPr>
                <w:color w:val="000000"/>
                <w:sz w:val="24"/>
                <w:szCs w:val="24"/>
              </w:rPr>
            </w:pPr>
            <w:r w:rsidRPr="00503F6C">
              <w:rPr>
                <w:color w:val="000000"/>
                <w:sz w:val="24"/>
                <w:szCs w:val="24"/>
              </w:rPr>
              <w:t>DINFLATION</w:t>
            </w:r>
          </w:p>
        </w:tc>
        <w:tc>
          <w:tcPr>
            <w:tcW w:w="1863" w:type="dxa"/>
            <w:vAlign w:val="bottom"/>
          </w:tcPr>
          <w:p w14:paraId="013A0E7F"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-4.488580</w:t>
            </w:r>
          </w:p>
        </w:tc>
        <w:tc>
          <w:tcPr>
            <w:tcW w:w="1862" w:type="dxa"/>
            <w:vAlign w:val="bottom"/>
          </w:tcPr>
          <w:p w14:paraId="2B4ADBBB"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 0.0013</w:t>
            </w:r>
          </w:p>
        </w:tc>
        <w:tc>
          <w:tcPr>
            <w:tcW w:w="1860" w:type="dxa"/>
          </w:tcPr>
          <w:p w14:paraId="71DC543F"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I(1)</w:t>
            </w:r>
          </w:p>
        </w:tc>
      </w:tr>
      <w:tr w:rsidR="00E24A6D" w14:paraId="769B0505" w14:textId="77777777" w:rsidTr="00A03F02">
        <w:tc>
          <w:tcPr>
            <w:tcW w:w="1912" w:type="dxa"/>
            <w:vAlign w:val="bottom"/>
          </w:tcPr>
          <w:p w14:paraId="01C4833B" w14:textId="77777777" w:rsidR="00A03F02" w:rsidRPr="00503F6C" w:rsidRDefault="009A71CA" w:rsidP="00503F6C">
            <w:pPr>
              <w:autoSpaceDE w:val="0"/>
              <w:autoSpaceDN w:val="0"/>
              <w:adjustRightInd w:val="0"/>
              <w:spacing w:line="360" w:lineRule="auto"/>
              <w:rPr>
                <w:color w:val="000000"/>
                <w:sz w:val="24"/>
                <w:szCs w:val="24"/>
              </w:rPr>
            </w:pPr>
            <w:r w:rsidRPr="00503F6C">
              <w:rPr>
                <w:color w:val="000000"/>
                <w:sz w:val="24"/>
                <w:szCs w:val="24"/>
              </w:rPr>
              <w:t>FDI</w:t>
            </w:r>
          </w:p>
        </w:tc>
        <w:tc>
          <w:tcPr>
            <w:tcW w:w="1863" w:type="dxa"/>
            <w:vAlign w:val="bottom"/>
          </w:tcPr>
          <w:p w14:paraId="6AEB1BD6"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-8.014754</w:t>
            </w:r>
          </w:p>
        </w:tc>
        <w:tc>
          <w:tcPr>
            <w:tcW w:w="1862" w:type="dxa"/>
            <w:vAlign w:val="bottom"/>
          </w:tcPr>
          <w:p w14:paraId="5897E3CB"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 0.0000</w:t>
            </w:r>
          </w:p>
        </w:tc>
        <w:tc>
          <w:tcPr>
            <w:tcW w:w="1860" w:type="dxa"/>
          </w:tcPr>
          <w:p w14:paraId="560AC7AC" w14:textId="77777777" w:rsidR="00A03F02" w:rsidRPr="00503F6C" w:rsidRDefault="009A71CA" w:rsidP="00503F6C">
            <w:pPr>
              <w:autoSpaceDE w:val="0"/>
              <w:autoSpaceDN w:val="0"/>
              <w:adjustRightInd w:val="0"/>
              <w:spacing w:line="360" w:lineRule="auto"/>
              <w:rPr>
                <w:sz w:val="24"/>
                <w:szCs w:val="24"/>
              </w:rPr>
            </w:pPr>
            <w:r w:rsidRPr="00503F6C">
              <w:rPr>
                <w:sz w:val="24"/>
                <w:szCs w:val="24"/>
              </w:rPr>
              <w:t>I(1)</w:t>
            </w:r>
          </w:p>
        </w:tc>
      </w:tr>
    </w:tbl>
    <w:p w14:paraId="341C9477" w14:textId="77777777" w:rsidR="00D951E6" w:rsidRPr="00503F6C" w:rsidRDefault="009A71CA" w:rsidP="00503F6C">
      <w:pPr>
        <w:autoSpaceDE w:val="0"/>
        <w:autoSpaceDN w:val="0"/>
        <w:adjustRightInd w:val="0"/>
        <w:spacing w:after="0" w:line="360" w:lineRule="auto"/>
        <w:rPr>
          <w:rFonts w:ascii="Times New Roman" w:hAnsi="Times New Roman" w:cs="Times New Roman"/>
        </w:rPr>
      </w:pPr>
      <w:r w:rsidRPr="00503F6C">
        <w:rPr>
          <w:rFonts w:ascii="Times New Roman" w:hAnsi="Times New Roman" w:cs="Times New Roman"/>
        </w:rPr>
        <w:t>Sources: Authors' own computations, Eviews 10</w:t>
      </w:r>
    </w:p>
    <w:p w14:paraId="4778789D" w14:textId="77777777" w:rsidR="00A03F02" w:rsidRPr="00503F6C" w:rsidRDefault="00A03F02" w:rsidP="00503F6C">
      <w:pPr>
        <w:autoSpaceDE w:val="0"/>
        <w:autoSpaceDN w:val="0"/>
        <w:adjustRightInd w:val="0"/>
        <w:spacing w:after="0" w:line="360" w:lineRule="auto"/>
        <w:rPr>
          <w:rFonts w:ascii="Times New Roman" w:hAnsi="Times New Roman" w:cs="Times New Roman"/>
        </w:rPr>
      </w:pPr>
    </w:p>
    <w:p w14:paraId="73B801A3" w14:textId="0D41968A" w:rsidR="00D951E6" w:rsidRPr="00503F6C" w:rsidRDefault="009A71CA" w:rsidP="00503F6C">
      <w:pPr>
        <w:autoSpaceDE w:val="0"/>
        <w:autoSpaceDN w:val="0"/>
        <w:adjustRightInd w:val="0"/>
        <w:spacing w:line="360" w:lineRule="auto"/>
        <w:jc w:val="both"/>
        <w:rPr>
          <w:rFonts w:ascii="Times New Roman" w:hAnsi="Times New Roman" w:cs="Times New Roman"/>
          <w:color w:val="000000" w:themeColor="text1"/>
        </w:rPr>
      </w:pPr>
      <w:r w:rsidRPr="00503F6C">
        <w:rPr>
          <w:rFonts w:ascii="Times New Roman" w:hAnsi="Times New Roman" w:cs="Times New Roman"/>
          <w:color w:val="000000" w:themeColor="text1"/>
        </w:rPr>
        <w:t>The</w:t>
      </w:r>
      <w:r w:rsidR="00126B46" w:rsidRPr="00503F6C">
        <w:rPr>
          <w:rFonts w:ascii="Times New Roman" w:hAnsi="Times New Roman" w:cs="Times New Roman"/>
          <w:color w:val="000000" w:themeColor="text1"/>
        </w:rPr>
        <w:t xml:space="preserve"> unit root test results, as presented in Table</w:t>
      </w:r>
      <w:r w:rsidR="0012563C" w:rsidRPr="00503F6C">
        <w:rPr>
          <w:rFonts w:ascii="Times New Roman" w:hAnsi="Times New Roman" w:cs="Times New Roman"/>
          <w:color w:val="000000" w:themeColor="text1"/>
        </w:rPr>
        <w:t xml:space="preserve"> </w:t>
      </w:r>
      <w:r w:rsidR="00EA162A">
        <w:rPr>
          <w:rFonts w:ascii="Times New Roman" w:hAnsi="Times New Roman" w:cs="Times New Roman"/>
          <w:color w:val="000000" w:themeColor="text1"/>
        </w:rPr>
        <w:t>4</w:t>
      </w:r>
      <w:r w:rsidR="00126B46" w:rsidRPr="00503F6C">
        <w:rPr>
          <w:rFonts w:ascii="Times New Roman" w:hAnsi="Times New Roman" w:cs="Times New Roman"/>
          <w:color w:val="000000" w:themeColor="text1"/>
        </w:rPr>
        <w:t>,</w:t>
      </w:r>
      <w:r w:rsidRPr="00503F6C">
        <w:rPr>
          <w:rFonts w:ascii="Times New Roman" w:hAnsi="Times New Roman" w:cs="Times New Roman"/>
          <w:color w:val="000000" w:themeColor="text1"/>
        </w:rPr>
        <w:t xml:space="preserve"> </w:t>
      </w:r>
      <w:r w:rsidR="001F3AC0" w:rsidRPr="00503F6C">
        <w:rPr>
          <w:rFonts w:ascii="Times New Roman" w:hAnsi="Times New Roman" w:cs="Times New Roman"/>
          <w:color w:val="000000" w:themeColor="text1"/>
        </w:rPr>
        <w:t>show</w:t>
      </w:r>
      <w:r w:rsidRPr="00503F6C">
        <w:rPr>
          <w:rFonts w:ascii="Times New Roman" w:hAnsi="Times New Roman" w:cs="Times New Roman"/>
          <w:color w:val="000000" w:themeColor="text1"/>
        </w:rPr>
        <w:t xml:space="preserve"> </w:t>
      </w:r>
      <w:r w:rsidR="00126B46" w:rsidRPr="00503F6C">
        <w:rPr>
          <w:rFonts w:ascii="Times New Roman" w:hAnsi="Times New Roman" w:cs="Times New Roman"/>
          <w:color w:val="000000" w:themeColor="text1"/>
        </w:rPr>
        <w:t xml:space="preserve">a mixed order of integration. </w:t>
      </w:r>
      <w:r w:rsidRPr="00503F6C">
        <w:rPr>
          <w:rFonts w:ascii="Times New Roman" w:hAnsi="Times New Roman" w:cs="Times New Roman"/>
          <w:color w:val="000000" w:themeColor="text1"/>
        </w:rPr>
        <w:t xml:space="preserve">While </w:t>
      </w:r>
      <w:r w:rsidR="001F3AC0" w:rsidRPr="00503F6C">
        <w:rPr>
          <w:rFonts w:ascii="Times New Roman" w:hAnsi="Times New Roman" w:cs="Times New Roman"/>
          <w:color w:val="000000" w:themeColor="text1"/>
        </w:rPr>
        <w:t>GDPG is</w:t>
      </w:r>
      <w:r w:rsidRPr="00503F6C">
        <w:rPr>
          <w:rFonts w:ascii="Times New Roman" w:hAnsi="Times New Roman" w:cs="Times New Roman"/>
          <w:color w:val="000000" w:themeColor="text1"/>
        </w:rPr>
        <w:t xml:space="preserve"> integrated of order zero [I(0)</w:t>
      </w:r>
      <w:r w:rsidR="001F3AC0" w:rsidRPr="00503F6C">
        <w:rPr>
          <w:rFonts w:ascii="Times New Roman" w:hAnsi="Times New Roman" w:cs="Times New Roman"/>
          <w:color w:val="000000" w:themeColor="text1"/>
        </w:rPr>
        <w:t>],</w:t>
      </w:r>
      <w:r w:rsidRPr="00503F6C">
        <w:rPr>
          <w:rFonts w:ascii="Times New Roman" w:hAnsi="Times New Roman" w:cs="Times New Roman"/>
          <w:color w:val="000000" w:themeColor="text1"/>
        </w:rPr>
        <w:t xml:space="preserve"> the other</w:t>
      </w:r>
      <w:r w:rsidR="00126B46" w:rsidRPr="00503F6C">
        <w:rPr>
          <w:rFonts w:ascii="Times New Roman" w:hAnsi="Times New Roman" w:cs="Times New Roman"/>
          <w:color w:val="000000" w:themeColor="text1"/>
        </w:rPr>
        <w:t xml:space="preserve"> four variables </w:t>
      </w:r>
      <w:r w:rsidRPr="00503F6C">
        <w:rPr>
          <w:rFonts w:ascii="Times New Roman" w:hAnsi="Times New Roman" w:cs="Times New Roman"/>
          <w:color w:val="000000" w:themeColor="text1"/>
        </w:rPr>
        <w:t xml:space="preserve">, REM, LNFOREX DINFLATION FDI, </w:t>
      </w:r>
      <w:r w:rsidR="00126B46" w:rsidRPr="00503F6C">
        <w:rPr>
          <w:rFonts w:ascii="Times New Roman" w:hAnsi="Times New Roman" w:cs="Times New Roman"/>
          <w:color w:val="000000" w:themeColor="text1"/>
        </w:rPr>
        <w:t xml:space="preserve">are integrated </w:t>
      </w:r>
      <w:r w:rsidRPr="00503F6C">
        <w:rPr>
          <w:rFonts w:ascii="Times New Roman" w:hAnsi="Times New Roman" w:cs="Times New Roman"/>
          <w:color w:val="000000" w:themeColor="text1"/>
        </w:rPr>
        <w:t>in order</w:t>
      </w:r>
      <w:r w:rsidR="00126B46" w:rsidRPr="00503F6C">
        <w:rPr>
          <w:rFonts w:ascii="Times New Roman" w:hAnsi="Times New Roman" w:cs="Times New Roman"/>
          <w:color w:val="000000" w:themeColor="text1"/>
        </w:rPr>
        <w:t xml:space="preserve"> 1 [I(1)]. The variables </w:t>
      </w:r>
      <w:r w:rsidRPr="00503F6C">
        <w:rPr>
          <w:rFonts w:ascii="Times New Roman" w:hAnsi="Times New Roman" w:cs="Times New Roman"/>
          <w:color w:val="000000" w:themeColor="text1"/>
        </w:rPr>
        <w:t>show</w:t>
      </w:r>
      <w:r w:rsidR="00126B46" w:rsidRPr="00503F6C">
        <w:rPr>
          <w:rFonts w:ascii="Times New Roman" w:hAnsi="Times New Roman" w:cs="Times New Roman"/>
          <w:color w:val="000000" w:themeColor="text1"/>
        </w:rPr>
        <w:t xml:space="preserve"> a stationary trend since </w:t>
      </w:r>
      <w:r w:rsidR="00126B46" w:rsidRPr="00503F6C">
        <w:rPr>
          <w:rFonts w:ascii="Times New Roman" w:hAnsi="Times New Roman" w:cs="Times New Roman"/>
          <w:color w:val="000000" w:themeColor="text1"/>
        </w:rPr>
        <w:lastRenderedPageBreak/>
        <w:t xml:space="preserve">they </w:t>
      </w:r>
      <w:r w:rsidR="001F3AC0" w:rsidRPr="00503F6C">
        <w:rPr>
          <w:rFonts w:ascii="Times New Roman" w:hAnsi="Times New Roman" w:cs="Times New Roman"/>
          <w:color w:val="000000" w:themeColor="text1"/>
        </w:rPr>
        <w:t>exhibit</w:t>
      </w:r>
      <w:r w:rsidR="00126B46" w:rsidRPr="00503F6C">
        <w:rPr>
          <w:rFonts w:ascii="Times New Roman" w:hAnsi="Times New Roman" w:cs="Times New Roman"/>
          <w:color w:val="000000" w:themeColor="text1"/>
        </w:rPr>
        <w:t xml:space="preserve"> a tendency for their values to revert to long-run constant Mean and variance at level and first difference. Therefore, </w:t>
      </w:r>
      <w:r w:rsidRPr="00503F6C">
        <w:rPr>
          <w:rFonts w:ascii="Times New Roman" w:hAnsi="Times New Roman" w:cs="Times New Roman"/>
          <w:color w:val="000000" w:themeColor="text1"/>
        </w:rPr>
        <w:t>ARDL</w:t>
      </w:r>
      <w:r w:rsidR="00126B46" w:rsidRPr="00503F6C">
        <w:rPr>
          <w:rFonts w:ascii="Times New Roman" w:hAnsi="Times New Roman" w:cs="Times New Roman"/>
          <w:color w:val="000000" w:themeColor="text1"/>
        </w:rPr>
        <w:t xml:space="preserve"> is </w:t>
      </w:r>
      <w:r w:rsidRPr="00503F6C">
        <w:rPr>
          <w:rFonts w:ascii="Times New Roman" w:hAnsi="Times New Roman" w:cs="Times New Roman"/>
          <w:color w:val="000000" w:themeColor="text1"/>
        </w:rPr>
        <w:t>a</w:t>
      </w:r>
      <w:r w:rsidR="00126B46" w:rsidRPr="00503F6C">
        <w:rPr>
          <w:rFonts w:ascii="Times New Roman" w:hAnsi="Times New Roman" w:cs="Times New Roman"/>
          <w:color w:val="000000" w:themeColor="text1"/>
        </w:rPr>
        <w:t xml:space="preserve"> </w:t>
      </w:r>
      <w:r w:rsidRPr="00503F6C">
        <w:rPr>
          <w:rFonts w:ascii="Times New Roman" w:hAnsi="Times New Roman" w:cs="Times New Roman"/>
          <w:color w:val="000000" w:themeColor="text1"/>
        </w:rPr>
        <w:t>suitable</w:t>
      </w:r>
      <w:r w:rsidR="00126B46" w:rsidRPr="00503F6C">
        <w:rPr>
          <w:rFonts w:ascii="Times New Roman" w:hAnsi="Times New Roman" w:cs="Times New Roman"/>
          <w:color w:val="000000" w:themeColor="text1"/>
        </w:rPr>
        <w:t xml:space="preserve"> estimation </w:t>
      </w:r>
      <w:r w:rsidRPr="00503F6C">
        <w:rPr>
          <w:rFonts w:ascii="Times New Roman" w:hAnsi="Times New Roman" w:cs="Times New Roman"/>
          <w:color w:val="000000" w:themeColor="text1"/>
        </w:rPr>
        <w:t>method</w:t>
      </w:r>
      <w:r w:rsidR="00126B46" w:rsidRPr="00503F6C">
        <w:rPr>
          <w:rFonts w:ascii="Times New Roman" w:hAnsi="Times New Roman" w:cs="Times New Roman"/>
          <w:color w:val="000000" w:themeColor="text1"/>
        </w:rPr>
        <w:t xml:space="preserve"> to analyze the data.</w:t>
      </w:r>
    </w:p>
    <w:p w14:paraId="7523CBEA" w14:textId="77777777" w:rsidR="00D951E6" w:rsidRPr="00503F6C" w:rsidRDefault="00D951E6" w:rsidP="00503F6C">
      <w:pPr>
        <w:autoSpaceDE w:val="0"/>
        <w:autoSpaceDN w:val="0"/>
        <w:adjustRightInd w:val="0"/>
        <w:spacing w:after="0" w:line="360" w:lineRule="auto"/>
        <w:rPr>
          <w:rFonts w:ascii="Times New Roman" w:hAnsi="Times New Roman" w:cs="Times New Roman"/>
        </w:rPr>
      </w:pPr>
    </w:p>
    <w:p w14:paraId="7952BA07" w14:textId="77777777" w:rsidR="00ED291F" w:rsidRPr="00AC1E42" w:rsidRDefault="009A71CA" w:rsidP="00503F6C">
      <w:pPr>
        <w:autoSpaceDE w:val="0"/>
        <w:autoSpaceDN w:val="0"/>
        <w:adjustRightInd w:val="0"/>
        <w:spacing w:after="0" w:line="360" w:lineRule="auto"/>
        <w:rPr>
          <w:rFonts w:ascii="Times New Roman" w:hAnsi="Times New Roman" w:cs="Times New Roman"/>
          <w:b/>
          <w:bCs/>
        </w:rPr>
      </w:pPr>
      <w:r w:rsidRPr="00503F6C">
        <w:rPr>
          <w:rFonts w:ascii="Times New Roman" w:hAnsi="Times New Roman" w:cs="Times New Roman"/>
        </w:rPr>
        <w:t>4</w:t>
      </w:r>
      <w:r w:rsidRPr="00AC1E42">
        <w:rPr>
          <w:rFonts w:ascii="Times New Roman" w:hAnsi="Times New Roman" w:cs="Times New Roman"/>
          <w:b/>
          <w:bCs/>
        </w:rPr>
        <w:t>.3 Tests for Lag Order Selection</w:t>
      </w:r>
    </w:p>
    <w:p w14:paraId="75B79FA4" w14:textId="77777777" w:rsidR="00ED291F" w:rsidRPr="00503F6C" w:rsidRDefault="00ED291F" w:rsidP="00503F6C">
      <w:pPr>
        <w:autoSpaceDE w:val="0"/>
        <w:autoSpaceDN w:val="0"/>
        <w:adjustRightInd w:val="0"/>
        <w:spacing w:after="0" w:line="360" w:lineRule="auto"/>
        <w:rPr>
          <w:rFonts w:ascii="Times New Roman" w:hAnsi="Times New Roman" w:cs="Times New Roman"/>
        </w:rPr>
      </w:pPr>
    </w:p>
    <w:p w14:paraId="20745595" w14:textId="2BBB94C1" w:rsidR="00ED291F" w:rsidRPr="00503F6C" w:rsidRDefault="009A71CA" w:rsidP="00503F6C">
      <w:pPr>
        <w:autoSpaceDE w:val="0"/>
        <w:autoSpaceDN w:val="0"/>
        <w:adjustRightInd w:val="0"/>
        <w:spacing w:after="0" w:line="360" w:lineRule="auto"/>
        <w:rPr>
          <w:rFonts w:ascii="Times New Roman" w:hAnsi="Times New Roman" w:cs="Times New Roman"/>
        </w:rPr>
      </w:pPr>
      <w:r w:rsidRPr="00503F6C">
        <w:rPr>
          <w:rFonts w:ascii="Times New Roman" w:hAnsi="Times New Roman" w:cs="Times New Roman"/>
        </w:rPr>
        <w:t xml:space="preserve">Table </w:t>
      </w:r>
      <w:r w:rsidR="00EA162A">
        <w:rPr>
          <w:rFonts w:ascii="Times New Roman" w:hAnsi="Times New Roman" w:cs="Times New Roman"/>
        </w:rPr>
        <w:t>5</w:t>
      </w:r>
      <w:r w:rsidRPr="00503F6C">
        <w:rPr>
          <w:rFonts w:ascii="Times New Roman" w:hAnsi="Times New Roman" w:cs="Times New Roman"/>
        </w:rPr>
        <w:t>: Tests for Lag Order Selection</w:t>
      </w:r>
    </w:p>
    <w:tbl>
      <w:tblPr>
        <w:tblStyle w:val="TableGrid"/>
        <w:tblW w:w="5000" w:type="pct"/>
        <w:tblLook w:val="04A0" w:firstRow="1" w:lastRow="0" w:firstColumn="1" w:lastColumn="0" w:noHBand="0" w:noVBand="1"/>
      </w:tblPr>
      <w:tblGrid>
        <w:gridCol w:w="1339"/>
        <w:gridCol w:w="1352"/>
        <w:gridCol w:w="1389"/>
        <w:gridCol w:w="1329"/>
        <w:gridCol w:w="1389"/>
        <w:gridCol w:w="1389"/>
        <w:gridCol w:w="1389"/>
      </w:tblGrid>
      <w:tr w:rsidR="00E24A6D" w14:paraId="33248FF0" w14:textId="77777777" w:rsidTr="00850C0D">
        <w:tc>
          <w:tcPr>
            <w:tcW w:w="699" w:type="pct"/>
            <w:vAlign w:val="bottom"/>
          </w:tcPr>
          <w:p w14:paraId="2A040A79"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Lag</w:t>
            </w:r>
          </w:p>
        </w:tc>
        <w:tc>
          <w:tcPr>
            <w:tcW w:w="706" w:type="pct"/>
            <w:vAlign w:val="bottom"/>
          </w:tcPr>
          <w:p w14:paraId="78129986"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LogL</w:t>
            </w:r>
          </w:p>
        </w:tc>
        <w:tc>
          <w:tcPr>
            <w:tcW w:w="725" w:type="pct"/>
            <w:vAlign w:val="bottom"/>
          </w:tcPr>
          <w:p w14:paraId="7C989426"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LR</w:t>
            </w:r>
          </w:p>
        </w:tc>
        <w:tc>
          <w:tcPr>
            <w:tcW w:w="694" w:type="pct"/>
            <w:vAlign w:val="bottom"/>
          </w:tcPr>
          <w:p w14:paraId="04787A5B"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FPE</w:t>
            </w:r>
          </w:p>
        </w:tc>
        <w:tc>
          <w:tcPr>
            <w:tcW w:w="725" w:type="pct"/>
            <w:vAlign w:val="bottom"/>
          </w:tcPr>
          <w:p w14:paraId="1CFAB4FA"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AIC</w:t>
            </w:r>
          </w:p>
        </w:tc>
        <w:tc>
          <w:tcPr>
            <w:tcW w:w="725" w:type="pct"/>
            <w:vAlign w:val="bottom"/>
          </w:tcPr>
          <w:p w14:paraId="58FD8BF9" w14:textId="77777777" w:rsidR="00ED291F" w:rsidRPr="00503F6C" w:rsidRDefault="009A71CA" w:rsidP="00503F6C">
            <w:pPr>
              <w:spacing w:line="360" w:lineRule="auto"/>
              <w:rPr>
                <w:sz w:val="24"/>
                <w:szCs w:val="24"/>
              </w:rPr>
            </w:pPr>
            <w:r w:rsidRPr="00503F6C">
              <w:rPr>
                <w:sz w:val="24"/>
                <w:szCs w:val="24"/>
              </w:rPr>
              <w:t>SC</w:t>
            </w:r>
          </w:p>
        </w:tc>
        <w:tc>
          <w:tcPr>
            <w:tcW w:w="725" w:type="pct"/>
            <w:vAlign w:val="bottom"/>
          </w:tcPr>
          <w:p w14:paraId="11EFAF4B" w14:textId="77777777" w:rsidR="00ED291F" w:rsidRPr="00503F6C" w:rsidRDefault="009A71CA" w:rsidP="00503F6C">
            <w:pPr>
              <w:spacing w:line="360" w:lineRule="auto"/>
              <w:rPr>
                <w:sz w:val="24"/>
                <w:szCs w:val="24"/>
              </w:rPr>
            </w:pPr>
            <w:r w:rsidRPr="00503F6C">
              <w:rPr>
                <w:sz w:val="24"/>
                <w:szCs w:val="24"/>
              </w:rPr>
              <w:t>HQ</w:t>
            </w:r>
          </w:p>
        </w:tc>
      </w:tr>
      <w:tr w:rsidR="00E24A6D" w14:paraId="2BE5DD0F" w14:textId="77777777" w:rsidTr="00850C0D">
        <w:tc>
          <w:tcPr>
            <w:tcW w:w="699" w:type="pct"/>
            <w:vAlign w:val="bottom"/>
          </w:tcPr>
          <w:p w14:paraId="7500B18C"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0</w:t>
            </w:r>
          </w:p>
        </w:tc>
        <w:tc>
          <w:tcPr>
            <w:tcW w:w="706" w:type="pct"/>
            <w:vAlign w:val="bottom"/>
          </w:tcPr>
          <w:p w14:paraId="36A84C1C"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-2210.562</w:t>
            </w:r>
          </w:p>
        </w:tc>
        <w:tc>
          <w:tcPr>
            <w:tcW w:w="725" w:type="pct"/>
            <w:vAlign w:val="bottom"/>
          </w:tcPr>
          <w:p w14:paraId="717C9893"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NA </w:t>
            </w:r>
          </w:p>
        </w:tc>
        <w:tc>
          <w:tcPr>
            <w:tcW w:w="694" w:type="pct"/>
            <w:vAlign w:val="bottom"/>
          </w:tcPr>
          <w:p w14:paraId="53F62767"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7.06</w:t>
            </w:r>
          </w:p>
        </w:tc>
        <w:tc>
          <w:tcPr>
            <w:tcW w:w="725" w:type="pct"/>
            <w:vAlign w:val="bottom"/>
          </w:tcPr>
          <w:p w14:paraId="255278C1"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119.7601</w:t>
            </w:r>
          </w:p>
        </w:tc>
        <w:tc>
          <w:tcPr>
            <w:tcW w:w="725" w:type="pct"/>
            <w:vAlign w:val="bottom"/>
          </w:tcPr>
          <w:p w14:paraId="67EF51E3" w14:textId="77777777" w:rsidR="00ED291F" w:rsidRPr="00503F6C" w:rsidRDefault="009A71CA" w:rsidP="00503F6C">
            <w:pPr>
              <w:spacing w:line="360" w:lineRule="auto"/>
              <w:rPr>
                <w:sz w:val="24"/>
                <w:szCs w:val="24"/>
              </w:rPr>
            </w:pPr>
            <w:r w:rsidRPr="00503F6C">
              <w:rPr>
                <w:sz w:val="24"/>
                <w:szCs w:val="24"/>
              </w:rPr>
              <w:t> 119.9778</w:t>
            </w:r>
          </w:p>
        </w:tc>
        <w:tc>
          <w:tcPr>
            <w:tcW w:w="725" w:type="pct"/>
            <w:vAlign w:val="bottom"/>
          </w:tcPr>
          <w:p w14:paraId="63256022" w14:textId="77777777" w:rsidR="00ED291F" w:rsidRPr="00503F6C" w:rsidRDefault="009A71CA" w:rsidP="00503F6C">
            <w:pPr>
              <w:spacing w:line="360" w:lineRule="auto"/>
              <w:rPr>
                <w:sz w:val="24"/>
                <w:szCs w:val="24"/>
              </w:rPr>
            </w:pPr>
            <w:r w:rsidRPr="00503F6C">
              <w:rPr>
                <w:sz w:val="24"/>
                <w:szCs w:val="24"/>
              </w:rPr>
              <w:t> 119.8368</w:t>
            </w:r>
          </w:p>
        </w:tc>
      </w:tr>
      <w:tr w:rsidR="00E24A6D" w14:paraId="419475ED" w14:textId="77777777" w:rsidTr="00850C0D">
        <w:tc>
          <w:tcPr>
            <w:tcW w:w="699" w:type="pct"/>
            <w:vAlign w:val="bottom"/>
          </w:tcPr>
          <w:p w14:paraId="2C5E40B9"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1</w:t>
            </w:r>
          </w:p>
        </w:tc>
        <w:tc>
          <w:tcPr>
            <w:tcW w:w="706" w:type="pct"/>
            <w:vAlign w:val="bottom"/>
          </w:tcPr>
          <w:p w14:paraId="36E5BC7E"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-2086.380</w:t>
            </w:r>
          </w:p>
        </w:tc>
        <w:tc>
          <w:tcPr>
            <w:tcW w:w="725" w:type="pct"/>
            <w:vAlign w:val="bottom"/>
          </w:tcPr>
          <w:p w14:paraId="267D0BF6"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208.0886*</w:t>
            </w:r>
          </w:p>
        </w:tc>
        <w:tc>
          <w:tcPr>
            <w:tcW w:w="694" w:type="pct"/>
            <w:vAlign w:val="bottom"/>
          </w:tcPr>
          <w:p w14:paraId="26409C35"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3.36</w:t>
            </w:r>
          </w:p>
        </w:tc>
        <w:tc>
          <w:tcPr>
            <w:tcW w:w="725" w:type="pct"/>
            <w:vAlign w:val="bottom"/>
          </w:tcPr>
          <w:p w14:paraId="17B56DCE"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114.3989*</w:t>
            </w:r>
          </w:p>
        </w:tc>
        <w:tc>
          <w:tcPr>
            <w:tcW w:w="725" w:type="pct"/>
            <w:vAlign w:val="bottom"/>
          </w:tcPr>
          <w:p w14:paraId="2642356E" w14:textId="77777777" w:rsidR="00ED291F" w:rsidRPr="00503F6C" w:rsidRDefault="009A71CA" w:rsidP="00503F6C">
            <w:pPr>
              <w:spacing w:line="360" w:lineRule="auto"/>
              <w:rPr>
                <w:sz w:val="24"/>
                <w:szCs w:val="24"/>
              </w:rPr>
            </w:pPr>
            <w:r w:rsidRPr="00503F6C">
              <w:rPr>
                <w:sz w:val="24"/>
                <w:szCs w:val="24"/>
              </w:rPr>
              <w:t>  115.7051*</w:t>
            </w:r>
          </w:p>
        </w:tc>
        <w:tc>
          <w:tcPr>
            <w:tcW w:w="725" w:type="pct"/>
            <w:vAlign w:val="bottom"/>
          </w:tcPr>
          <w:p w14:paraId="55087C46" w14:textId="77777777" w:rsidR="00ED291F" w:rsidRPr="00503F6C" w:rsidRDefault="009A71CA" w:rsidP="00503F6C">
            <w:pPr>
              <w:spacing w:line="360" w:lineRule="auto"/>
              <w:rPr>
                <w:sz w:val="24"/>
                <w:szCs w:val="24"/>
              </w:rPr>
            </w:pPr>
            <w:r w:rsidRPr="00503F6C">
              <w:rPr>
                <w:sz w:val="24"/>
                <w:szCs w:val="24"/>
              </w:rPr>
              <w:t>  114.8594*</w:t>
            </w:r>
          </w:p>
        </w:tc>
      </w:tr>
      <w:tr w:rsidR="00E24A6D" w14:paraId="0144745F" w14:textId="77777777" w:rsidTr="00850C0D">
        <w:tc>
          <w:tcPr>
            <w:tcW w:w="699" w:type="pct"/>
            <w:vAlign w:val="bottom"/>
          </w:tcPr>
          <w:p w14:paraId="777CDF88"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2</w:t>
            </w:r>
          </w:p>
        </w:tc>
        <w:tc>
          <w:tcPr>
            <w:tcW w:w="706" w:type="pct"/>
            <w:vAlign w:val="bottom"/>
          </w:tcPr>
          <w:p w14:paraId="0C986DD4"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-2068.566</w:t>
            </w:r>
          </w:p>
        </w:tc>
        <w:tc>
          <w:tcPr>
            <w:tcW w:w="725" w:type="pct"/>
            <w:vAlign w:val="bottom"/>
          </w:tcPr>
          <w:p w14:paraId="4EBA1696"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25.03622</w:t>
            </w:r>
          </w:p>
        </w:tc>
        <w:tc>
          <w:tcPr>
            <w:tcW w:w="694" w:type="pct"/>
            <w:vAlign w:val="bottom"/>
          </w:tcPr>
          <w:p w14:paraId="540157A6"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5.36</w:t>
            </w:r>
          </w:p>
        </w:tc>
        <w:tc>
          <w:tcPr>
            <w:tcW w:w="725" w:type="pct"/>
            <w:vAlign w:val="bottom"/>
          </w:tcPr>
          <w:p w14:paraId="528C6F5E"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114.7873</w:t>
            </w:r>
          </w:p>
        </w:tc>
        <w:tc>
          <w:tcPr>
            <w:tcW w:w="725" w:type="pct"/>
            <w:vAlign w:val="bottom"/>
          </w:tcPr>
          <w:p w14:paraId="709950D9" w14:textId="77777777" w:rsidR="00ED291F" w:rsidRPr="00503F6C" w:rsidRDefault="009A71CA" w:rsidP="00503F6C">
            <w:pPr>
              <w:spacing w:line="360" w:lineRule="auto"/>
              <w:rPr>
                <w:sz w:val="24"/>
                <w:szCs w:val="24"/>
              </w:rPr>
            </w:pPr>
            <w:r w:rsidRPr="00503F6C">
              <w:rPr>
                <w:sz w:val="24"/>
                <w:szCs w:val="24"/>
              </w:rPr>
              <w:t> 117.1819</w:t>
            </w:r>
          </w:p>
        </w:tc>
        <w:tc>
          <w:tcPr>
            <w:tcW w:w="725" w:type="pct"/>
            <w:vAlign w:val="bottom"/>
          </w:tcPr>
          <w:p w14:paraId="44BF7DA8" w14:textId="77777777" w:rsidR="00ED291F" w:rsidRPr="00503F6C" w:rsidRDefault="009A71CA" w:rsidP="00503F6C">
            <w:pPr>
              <w:spacing w:line="360" w:lineRule="auto"/>
              <w:rPr>
                <w:sz w:val="24"/>
                <w:szCs w:val="24"/>
              </w:rPr>
            </w:pPr>
            <w:r w:rsidRPr="00503F6C">
              <w:rPr>
                <w:sz w:val="24"/>
                <w:szCs w:val="24"/>
              </w:rPr>
              <w:t> 115.6315</w:t>
            </w:r>
          </w:p>
        </w:tc>
      </w:tr>
      <w:tr w:rsidR="00E24A6D" w14:paraId="58E42039" w14:textId="77777777" w:rsidTr="00850C0D">
        <w:tc>
          <w:tcPr>
            <w:tcW w:w="699" w:type="pct"/>
            <w:vAlign w:val="bottom"/>
          </w:tcPr>
          <w:p w14:paraId="3A3107ED"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3</w:t>
            </w:r>
          </w:p>
        </w:tc>
        <w:tc>
          <w:tcPr>
            <w:tcW w:w="706" w:type="pct"/>
            <w:vAlign w:val="bottom"/>
          </w:tcPr>
          <w:p w14:paraId="0609D769"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-2046.786</w:t>
            </w:r>
          </w:p>
        </w:tc>
        <w:tc>
          <w:tcPr>
            <w:tcW w:w="725" w:type="pct"/>
            <w:vAlign w:val="bottom"/>
          </w:tcPr>
          <w:p w14:paraId="42997A96"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24.72327</w:t>
            </w:r>
          </w:p>
        </w:tc>
        <w:tc>
          <w:tcPr>
            <w:tcW w:w="694" w:type="pct"/>
            <w:vAlign w:val="bottom"/>
          </w:tcPr>
          <w:p w14:paraId="1500A31D"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7.8</w:t>
            </w:r>
            <w:r w:rsidR="00263A76" w:rsidRPr="00503F6C">
              <w:rPr>
                <w:sz w:val="24"/>
                <w:szCs w:val="24"/>
              </w:rPr>
              <w:t>0</w:t>
            </w:r>
          </w:p>
        </w:tc>
        <w:tc>
          <w:tcPr>
            <w:tcW w:w="725" w:type="pct"/>
            <w:vAlign w:val="bottom"/>
          </w:tcPr>
          <w:p w14:paraId="547E421C" w14:textId="77777777" w:rsidR="00ED291F" w:rsidRPr="00503F6C" w:rsidRDefault="009A71CA" w:rsidP="00503F6C">
            <w:pPr>
              <w:autoSpaceDE w:val="0"/>
              <w:autoSpaceDN w:val="0"/>
              <w:adjustRightInd w:val="0"/>
              <w:spacing w:line="360" w:lineRule="auto"/>
              <w:rPr>
                <w:sz w:val="24"/>
                <w:szCs w:val="24"/>
              </w:rPr>
            </w:pPr>
            <w:r w:rsidRPr="00503F6C">
              <w:rPr>
                <w:sz w:val="24"/>
                <w:szCs w:val="24"/>
              </w:rPr>
              <w:t> 114.9614</w:t>
            </w:r>
          </w:p>
        </w:tc>
        <w:tc>
          <w:tcPr>
            <w:tcW w:w="725" w:type="pct"/>
            <w:vAlign w:val="bottom"/>
          </w:tcPr>
          <w:p w14:paraId="0ABB1D51" w14:textId="77777777" w:rsidR="00ED291F" w:rsidRPr="00503F6C" w:rsidRDefault="009A71CA" w:rsidP="00503F6C">
            <w:pPr>
              <w:spacing w:line="360" w:lineRule="auto"/>
              <w:rPr>
                <w:sz w:val="24"/>
                <w:szCs w:val="24"/>
              </w:rPr>
            </w:pPr>
            <w:r w:rsidRPr="00503F6C">
              <w:rPr>
                <w:sz w:val="24"/>
                <w:szCs w:val="24"/>
              </w:rPr>
              <w:t> 118.4444</w:t>
            </w:r>
          </w:p>
        </w:tc>
        <w:tc>
          <w:tcPr>
            <w:tcW w:w="725" w:type="pct"/>
            <w:vAlign w:val="bottom"/>
          </w:tcPr>
          <w:p w14:paraId="47606A8B" w14:textId="77777777" w:rsidR="00ED291F" w:rsidRPr="00503F6C" w:rsidRDefault="009A71CA" w:rsidP="00503F6C">
            <w:pPr>
              <w:spacing w:line="360" w:lineRule="auto"/>
              <w:rPr>
                <w:sz w:val="24"/>
                <w:szCs w:val="24"/>
              </w:rPr>
            </w:pPr>
            <w:r w:rsidRPr="00503F6C">
              <w:rPr>
                <w:sz w:val="24"/>
                <w:szCs w:val="24"/>
              </w:rPr>
              <w:t> 116.1893</w:t>
            </w:r>
          </w:p>
        </w:tc>
      </w:tr>
      <w:tr w:rsidR="00E24A6D" w14:paraId="2036BBFB" w14:textId="77777777" w:rsidTr="00850C0D">
        <w:tc>
          <w:tcPr>
            <w:tcW w:w="699" w:type="pct"/>
            <w:vAlign w:val="bottom"/>
          </w:tcPr>
          <w:p w14:paraId="42B520B8" w14:textId="77777777" w:rsidR="00ED291F" w:rsidRPr="00503F6C" w:rsidRDefault="00ED291F" w:rsidP="00503F6C">
            <w:pPr>
              <w:autoSpaceDE w:val="0"/>
              <w:autoSpaceDN w:val="0"/>
              <w:adjustRightInd w:val="0"/>
              <w:spacing w:line="360" w:lineRule="auto"/>
              <w:rPr>
                <w:sz w:val="24"/>
                <w:szCs w:val="24"/>
              </w:rPr>
            </w:pPr>
          </w:p>
        </w:tc>
        <w:tc>
          <w:tcPr>
            <w:tcW w:w="706" w:type="pct"/>
            <w:vAlign w:val="bottom"/>
          </w:tcPr>
          <w:p w14:paraId="39B50FE8" w14:textId="77777777" w:rsidR="00ED291F" w:rsidRPr="00503F6C" w:rsidRDefault="00ED291F" w:rsidP="00503F6C">
            <w:pPr>
              <w:autoSpaceDE w:val="0"/>
              <w:autoSpaceDN w:val="0"/>
              <w:adjustRightInd w:val="0"/>
              <w:spacing w:line="360" w:lineRule="auto"/>
              <w:rPr>
                <w:sz w:val="24"/>
                <w:szCs w:val="24"/>
              </w:rPr>
            </w:pPr>
          </w:p>
        </w:tc>
        <w:tc>
          <w:tcPr>
            <w:tcW w:w="725" w:type="pct"/>
            <w:vAlign w:val="bottom"/>
          </w:tcPr>
          <w:p w14:paraId="723001AF" w14:textId="77777777" w:rsidR="00ED291F" w:rsidRPr="00503F6C" w:rsidRDefault="00ED291F" w:rsidP="00503F6C">
            <w:pPr>
              <w:autoSpaceDE w:val="0"/>
              <w:autoSpaceDN w:val="0"/>
              <w:adjustRightInd w:val="0"/>
              <w:spacing w:line="360" w:lineRule="auto"/>
              <w:rPr>
                <w:sz w:val="24"/>
                <w:szCs w:val="24"/>
              </w:rPr>
            </w:pPr>
          </w:p>
        </w:tc>
        <w:tc>
          <w:tcPr>
            <w:tcW w:w="694" w:type="pct"/>
            <w:vAlign w:val="bottom"/>
          </w:tcPr>
          <w:p w14:paraId="36BD7E93" w14:textId="77777777" w:rsidR="00ED291F" w:rsidRPr="00503F6C" w:rsidRDefault="00ED291F" w:rsidP="00503F6C">
            <w:pPr>
              <w:autoSpaceDE w:val="0"/>
              <w:autoSpaceDN w:val="0"/>
              <w:adjustRightInd w:val="0"/>
              <w:spacing w:line="360" w:lineRule="auto"/>
              <w:rPr>
                <w:sz w:val="24"/>
                <w:szCs w:val="24"/>
              </w:rPr>
            </w:pPr>
          </w:p>
        </w:tc>
        <w:tc>
          <w:tcPr>
            <w:tcW w:w="725" w:type="pct"/>
            <w:vAlign w:val="bottom"/>
          </w:tcPr>
          <w:p w14:paraId="1EADABBD" w14:textId="77777777" w:rsidR="00ED291F" w:rsidRPr="00503F6C" w:rsidRDefault="00ED291F" w:rsidP="00503F6C">
            <w:pPr>
              <w:autoSpaceDE w:val="0"/>
              <w:autoSpaceDN w:val="0"/>
              <w:adjustRightInd w:val="0"/>
              <w:spacing w:line="360" w:lineRule="auto"/>
              <w:rPr>
                <w:sz w:val="24"/>
                <w:szCs w:val="24"/>
              </w:rPr>
            </w:pPr>
          </w:p>
        </w:tc>
        <w:tc>
          <w:tcPr>
            <w:tcW w:w="725" w:type="pct"/>
            <w:vAlign w:val="bottom"/>
          </w:tcPr>
          <w:p w14:paraId="07A23F71" w14:textId="77777777" w:rsidR="00ED291F" w:rsidRPr="00503F6C" w:rsidRDefault="00ED291F" w:rsidP="00503F6C">
            <w:pPr>
              <w:spacing w:line="360" w:lineRule="auto"/>
              <w:rPr>
                <w:sz w:val="24"/>
                <w:szCs w:val="24"/>
              </w:rPr>
            </w:pPr>
          </w:p>
        </w:tc>
        <w:tc>
          <w:tcPr>
            <w:tcW w:w="725" w:type="pct"/>
            <w:vAlign w:val="bottom"/>
          </w:tcPr>
          <w:p w14:paraId="766873FE" w14:textId="77777777" w:rsidR="00ED291F" w:rsidRPr="00503F6C" w:rsidRDefault="00ED291F" w:rsidP="00503F6C">
            <w:pPr>
              <w:spacing w:line="360" w:lineRule="auto"/>
              <w:rPr>
                <w:sz w:val="24"/>
                <w:szCs w:val="24"/>
              </w:rPr>
            </w:pPr>
          </w:p>
        </w:tc>
      </w:tr>
    </w:tbl>
    <w:p w14:paraId="6ED64474" w14:textId="77777777" w:rsidR="00ED291F" w:rsidRPr="00503F6C" w:rsidRDefault="009A71CA" w:rsidP="00503F6C">
      <w:pPr>
        <w:autoSpaceDE w:val="0"/>
        <w:autoSpaceDN w:val="0"/>
        <w:adjustRightInd w:val="0"/>
        <w:spacing w:after="0" w:line="360" w:lineRule="auto"/>
        <w:rPr>
          <w:rFonts w:ascii="Times New Roman" w:hAnsi="Times New Roman" w:cs="Times New Roman"/>
        </w:rPr>
      </w:pPr>
      <w:r w:rsidRPr="00503F6C">
        <w:rPr>
          <w:rFonts w:ascii="Times New Roman" w:hAnsi="Times New Roman" w:cs="Times New Roman"/>
        </w:rPr>
        <w:t>Sources: Authors' own computations, Eviews 10</w:t>
      </w:r>
    </w:p>
    <w:p w14:paraId="2D0CFFCA" w14:textId="77777777" w:rsidR="00AC6260" w:rsidRPr="00503F6C" w:rsidRDefault="00AC6260" w:rsidP="00503F6C">
      <w:pPr>
        <w:autoSpaceDE w:val="0"/>
        <w:autoSpaceDN w:val="0"/>
        <w:adjustRightInd w:val="0"/>
        <w:spacing w:after="0" w:line="360" w:lineRule="auto"/>
        <w:rPr>
          <w:rFonts w:ascii="Times New Roman" w:hAnsi="Times New Roman" w:cs="Times New Roman"/>
        </w:rPr>
      </w:pPr>
    </w:p>
    <w:p w14:paraId="66BDC6B7" w14:textId="6AAE6CBE" w:rsidR="00ED291F" w:rsidRPr="00503F6C" w:rsidRDefault="009A71CA" w:rsidP="00503F6C">
      <w:pPr>
        <w:spacing w:after="0" w:line="360" w:lineRule="auto"/>
        <w:jc w:val="both"/>
        <w:rPr>
          <w:rFonts w:ascii="Times New Roman" w:hAnsi="Times New Roman" w:cs="Times New Roman"/>
          <w:color w:val="000000" w:themeColor="text1"/>
        </w:rPr>
      </w:pPr>
      <w:r w:rsidRPr="00503F6C">
        <w:rPr>
          <w:rFonts w:ascii="Times New Roman" w:hAnsi="Times New Roman" w:cs="Times New Roman"/>
          <w:color w:val="000000" w:themeColor="text1"/>
        </w:rPr>
        <w:t>Based on the results of the VAR lag order</w:t>
      </w:r>
      <w:r w:rsidR="00263A76" w:rsidRPr="00503F6C">
        <w:rPr>
          <w:rFonts w:ascii="Times New Roman" w:hAnsi="Times New Roman" w:cs="Times New Roman"/>
          <w:color w:val="000000" w:themeColor="text1"/>
        </w:rPr>
        <w:t xml:space="preserve"> </w:t>
      </w:r>
      <w:r w:rsidRPr="00503F6C">
        <w:rPr>
          <w:rFonts w:ascii="Times New Roman" w:hAnsi="Times New Roman" w:cs="Times New Roman"/>
          <w:color w:val="000000" w:themeColor="text1"/>
        </w:rPr>
        <w:t xml:space="preserve"> selection criteria</w:t>
      </w:r>
      <w:r w:rsidR="00263A76" w:rsidRPr="00503F6C">
        <w:rPr>
          <w:rFonts w:ascii="Times New Roman" w:hAnsi="Times New Roman" w:cs="Times New Roman"/>
          <w:color w:val="000000" w:themeColor="text1"/>
        </w:rPr>
        <w:t xml:space="preserve">, as shown </w:t>
      </w:r>
      <w:r w:rsidRPr="00503F6C">
        <w:rPr>
          <w:rFonts w:ascii="Times New Roman" w:hAnsi="Times New Roman" w:cs="Times New Roman"/>
          <w:color w:val="000000" w:themeColor="text1"/>
        </w:rPr>
        <w:t xml:space="preserve">in Table </w:t>
      </w:r>
      <w:r w:rsidR="00EA162A">
        <w:rPr>
          <w:rFonts w:ascii="Times New Roman" w:hAnsi="Times New Roman" w:cs="Times New Roman"/>
          <w:color w:val="000000" w:themeColor="text1"/>
        </w:rPr>
        <w:t>5</w:t>
      </w:r>
      <w:r w:rsidRPr="00503F6C">
        <w:rPr>
          <w:rFonts w:ascii="Times New Roman" w:hAnsi="Times New Roman" w:cs="Times New Roman"/>
          <w:color w:val="000000" w:themeColor="text1"/>
        </w:rPr>
        <w:t>, the optimal lag length for the model is determined to be one (1) lag. This conclusion is supported by multiple selection criteria, including the Akaike Information Criterion (AIC), the Schwarz Criterion (SC), and the Final Prediction Error (FPE), all of which indicate that a lag length of one minimizes model complexity while maintaining the best predictive accuracy. Specifically, the AIC (114.39), SC (115.70), and FPE (3.36) are at their lowest values at Lag 1, suggesting that this lag structure provides the most efficient balance between model fit and parameter parsimony. Additionally, the sequential modified likelihood ratio (LR) test confirms a statistically significant improvement in model fit when moving from Lag 0 to Lag 1.</w:t>
      </w:r>
      <w:r w:rsidR="00263A76" w:rsidRPr="00503F6C">
        <w:rPr>
          <w:rFonts w:ascii="Times New Roman" w:hAnsi="Times New Roman" w:cs="Times New Roman"/>
          <w:color w:val="000000" w:themeColor="text1"/>
        </w:rPr>
        <w:t xml:space="preserve"> Therefore </w:t>
      </w:r>
      <w:r w:rsidRPr="00503F6C">
        <w:rPr>
          <w:rFonts w:ascii="Times New Roman" w:hAnsi="Times New Roman" w:cs="Times New Roman"/>
          <w:color w:val="000000" w:themeColor="text1"/>
        </w:rPr>
        <w:t xml:space="preserve">VAR(1) specification is the most appropriate for capturing the dynamic interrelationships among </w:t>
      </w:r>
      <w:r w:rsidR="00263A76" w:rsidRPr="00503F6C">
        <w:rPr>
          <w:rFonts w:ascii="Times New Roman" w:hAnsi="Times New Roman" w:cs="Times New Roman"/>
          <w:color w:val="000000" w:themeColor="text1"/>
        </w:rPr>
        <w:t xml:space="preserve">the variables </w:t>
      </w:r>
      <w:r w:rsidRPr="00503F6C">
        <w:rPr>
          <w:rFonts w:ascii="Times New Roman" w:hAnsi="Times New Roman" w:cs="Times New Roman"/>
          <w:color w:val="000000" w:themeColor="text1"/>
        </w:rPr>
        <w:t>within the given dataset</w:t>
      </w:r>
      <w:r w:rsidR="00263A76" w:rsidRPr="00503F6C">
        <w:rPr>
          <w:rFonts w:ascii="Times New Roman" w:hAnsi="Times New Roman" w:cs="Times New Roman"/>
          <w:color w:val="000000" w:themeColor="text1"/>
        </w:rPr>
        <w:t>.</w:t>
      </w:r>
    </w:p>
    <w:p w14:paraId="197D4E9F" w14:textId="77777777" w:rsidR="00ED291F" w:rsidRPr="00503F6C" w:rsidRDefault="00ED291F" w:rsidP="00503F6C">
      <w:pPr>
        <w:autoSpaceDE w:val="0"/>
        <w:autoSpaceDN w:val="0"/>
        <w:adjustRightInd w:val="0"/>
        <w:spacing w:after="0" w:line="360" w:lineRule="auto"/>
        <w:rPr>
          <w:rFonts w:ascii="Times New Roman" w:hAnsi="Times New Roman" w:cs="Times New Roman"/>
          <w:color w:val="000000" w:themeColor="text1"/>
        </w:rPr>
      </w:pPr>
    </w:p>
    <w:p w14:paraId="773DF211" w14:textId="77777777" w:rsidR="00D951E6" w:rsidRPr="006B428A" w:rsidRDefault="009A71CA" w:rsidP="00503F6C">
      <w:pPr>
        <w:autoSpaceDE w:val="0"/>
        <w:autoSpaceDN w:val="0"/>
        <w:adjustRightInd w:val="0"/>
        <w:spacing w:after="0" w:line="360" w:lineRule="auto"/>
        <w:rPr>
          <w:rFonts w:ascii="Times New Roman" w:hAnsi="Times New Roman" w:cs="Times New Roman"/>
          <w:b/>
          <w:bCs/>
        </w:rPr>
      </w:pPr>
      <w:r w:rsidRPr="006B428A">
        <w:rPr>
          <w:rFonts w:ascii="Times New Roman" w:hAnsi="Times New Roman" w:cs="Times New Roman"/>
          <w:b/>
          <w:bCs/>
        </w:rPr>
        <w:t xml:space="preserve">4.4 </w:t>
      </w:r>
      <w:r w:rsidR="00126B46" w:rsidRPr="006B428A">
        <w:rPr>
          <w:rFonts w:ascii="Times New Roman" w:hAnsi="Times New Roman" w:cs="Times New Roman"/>
          <w:b/>
          <w:bCs/>
        </w:rPr>
        <w:t>ARDL Bounds Cointegration Test</w:t>
      </w:r>
    </w:p>
    <w:p w14:paraId="1E7C5AE2" w14:textId="77777777" w:rsidR="00D951E6" w:rsidRPr="006B428A" w:rsidRDefault="00D951E6" w:rsidP="00503F6C">
      <w:pPr>
        <w:autoSpaceDE w:val="0"/>
        <w:autoSpaceDN w:val="0"/>
        <w:adjustRightInd w:val="0"/>
        <w:spacing w:after="0" w:line="360" w:lineRule="auto"/>
        <w:rPr>
          <w:rFonts w:ascii="Times New Roman" w:hAnsi="Times New Roman" w:cs="Times New Roman"/>
          <w:b/>
          <w:bCs/>
        </w:rPr>
      </w:pPr>
    </w:p>
    <w:p w14:paraId="23B74860" w14:textId="77777777" w:rsidR="00D951E6" w:rsidRPr="00503F6C" w:rsidRDefault="009A71CA" w:rsidP="00503F6C">
      <w:pPr>
        <w:autoSpaceDE w:val="0"/>
        <w:autoSpaceDN w:val="0"/>
        <w:adjustRightInd w:val="0"/>
        <w:spacing w:after="0" w:line="360" w:lineRule="auto"/>
        <w:rPr>
          <w:rFonts w:ascii="Times New Roman" w:hAnsi="Times New Roman" w:cs="Times New Roman"/>
        </w:rPr>
      </w:pPr>
      <w:r w:rsidRPr="00503F6C">
        <w:rPr>
          <w:rFonts w:ascii="Times New Roman" w:hAnsi="Times New Roman" w:cs="Times New Roman"/>
        </w:rPr>
        <w:t xml:space="preserve">The bounds cointegration test was done to determine the cointegrating properties of the variables. It estimates </w:t>
      </w:r>
      <w:r w:rsidR="00F04870" w:rsidRPr="00503F6C">
        <w:rPr>
          <w:rFonts w:ascii="Times New Roman" w:hAnsi="Times New Roman" w:cs="Times New Roman"/>
        </w:rPr>
        <w:t>the tendency</w:t>
      </w:r>
      <w:r w:rsidRPr="00503F6C">
        <w:rPr>
          <w:rFonts w:ascii="Times New Roman" w:hAnsi="Times New Roman" w:cs="Times New Roman"/>
        </w:rPr>
        <w:t xml:space="preserve"> of the variables to move together over the long-run</w:t>
      </w:r>
    </w:p>
    <w:p w14:paraId="49604E29" w14:textId="77777777" w:rsidR="00CE354D" w:rsidRPr="00F40D67" w:rsidRDefault="00CE354D" w:rsidP="00503F6C">
      <w:pPr>
        <w:autoSpaceDE w:val="0"/>
        <w:autoSpaceDN w:val="0"/>
        <w:adjustRightInd w:val="0"/>
        <w:spacing w:after="0" w:line="360" w:lineRule="auto"/>
        <w:rPr>
          <w:rFonts w:ascii="Times New Roman" w:hAnsi="Times New Roman" w:cs="Times New Roman"/>
          <w:b/>
          <w:bCs/>
        </w:rPr>
      </w:pPr>
    </w:p>
    <w:p w14:paraId="0EA35915" w14:textId="3AEB64DA" w:rsidR="00714B74" w:rsidRPr="00F40D67" w:rsidRDefault="009A71CA" w:rsidP="00503F6C">
      <w:pPr>
        <w:autoSpaceDE w:val="0"/>
        <w:autoSpaceDN w:val="0"/>
        <w:adjustRightInd w:val="0"/>
        <w:spacing w:after="0" w:line="360" w:lineRule="auto"/>
        <w:rPr>
          <w:rFonts w:ascii="Times New Roman" w:hAnsi="Times New Roman" w:cs="Times New Roman"/>
          <w:b/>
          <w:bCs/>
        </w:rPr>
      </w:pPr>
      <w:r w:rsidRPr="00F40D67">
        <w:rPr>
          <w:rFonts w:ascii="Times New Roman" w:hAnsi="Times New Roman" w:cs="Times New Roman"/>
          <w:b/>
          <w:bCs/>
        </w:rPr>
        <w:lastRenderedPageBreak/>
        <w:t xml:space="preserve">Table </w:t>
      </w:r>
      <w:r w:rsidR="00EA162A">
        <w:rPr>
          <w:rFonts w:ascii="Times New Roman" w:hAnsi="Times New Roman" w:cs="Times New Roman"/>
          <w:b/>
          <w:bCs/>
        </w:rPr>
        <w:t>6</w:t>
      </w:r>
      <w:r w:rsidRPr="00F40D67">
        <w:rPr>
          <w:rFonts w:ascii="Times New Roman" w:hAnsi="Times New Roman" w:cs="Times New Roman"/>
          <w:b/>
          <w:bCs/>
        </w:rPr>
        <w:t xml:space="preserve"> ARDL Bounds Cointegration Test</w:t>
      </w:r>
    </w:p>
    <w:tbl>
      <w:tblPr>
        <w:tblStyle w:val="TableGrid"/>
        <w:tblW w:w="0" w:type="auto"/>
        <w:tblLook w:val="04A0" w:firstRow="1" w:lastRow="0" w:firstColumn="1" w:lastColumn="0" w:noHBand="0" w:noVBand="1"/>
      </w:tblPr>
      <w:tblGrid>
        <w:gridCol w:w="1870"/>
        <w:gridCol w:w="1870"/>
        <w:gridCol w:w="1870"/>
        <w:gridCol w:w="1870"/>
        <w:gridCol w:w="1870"/>
      </w:tblGrid>
      <w:tr w:rsidR="00E24A6D" w14:paraId="30A9BEEF" w14:textId="77777777" w:rsidTr="00A15522">
        <w:tc>
          <w:tcPr>
            <w:tcW w:w="1870" w:type="dxa"/>
            <w:vAlign w:val="bottom"/>
          </w:tcPr>
          <w:p w14:paraId="1FCEEF09"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60B4EB95"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17BE9FA1"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06FE9791"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7009525D" w14:textId="77777777" w:rsidR="007C3226" w:rsidRPr="00503F6C" w:rsidRDefault="007C3226" w:rsidP="00503F6C">
            <w:pPr>
              <w:autoSpaceDE w:val="0"/>
              <w:autoSpaceDN w:val="0"/>
              <w:adjustRightInd w:val="0"/>
              <w:spacing w:line="360" w:lineRule="auto"/>
              <w:rPr>
                <w:sz w:val="24"/>
                <w:szCs w:val="24"/>
              </w:rPr>
            </w:pPr>
          </w:p>
        </w:tc>
      </w:tr>
      <w:tr w:rsidR="00E24A6D" w14:paraId="01FAF8F3" w14:textId="77777777" w:rsidTr="00A15522">
        <w:tc>
          <w:tcPr>
            <w:tcW w:w="1870" w:type="dxa"/>
            <w:vAlign w:val="bottom"/>
          </w:tcPr>
          <w:p w14:paraId="7B0EA81E"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Test Statistic</w:t>
            </w:r>
          </w:p>
        </w:tc>
        <w:tc>
          <w:tcPr>
            <w:tcW w:w="1870" w:type="dxa"/>
            <w:vAlign w:val="bottom"/>
          </w:tcPr>
          <w:p w14:paraId="7C548A2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Value</w:t>
            </w:r>
          </w:p>
        </w:tc>
        <w:tc>
          <w:tcPr>
            <w:tcW w:w="1870" w:type="dxa"/>
            <w:vAlign w:val="bottom"/>
          </w:tcPr>
          <w:p w14:paraId="52459CD0"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Signif.</w:t>
            </w:r>
          </w:p>
        </w:tc>
        <w:tc>
          <w:tcPr>
            <w:tcW w:w="1870" w:type="dxa"/>
            <w:vAlign w:val="bottom"/>
          </w:tcPr>
          <w:p w14:paraId="539DC7E1"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I(0)</w:t>
            </w:r>
          </w:p>
        </w:tc>
        <w:tc>
          <w:tcPr>
            <w:tcW w:w="1870" w:type="dxa"/>
            <w:vAlign w:val="bottom"/>
          </w:tcPr>
          <w:p w14:paraId="6709E74A"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I(1)</w:t>
            </w:r>
          </w:p>
        </w:tc>
      </w:tr>
      <w:tr w:rsidR="00E24A6D" w14:paraId="3916B7E0" w14:textId="77777777" w:rsidTr="00A15522">
        <w:tc>
          <w:tcPr>
            <w:tcW w:w="1870" w:type="dxa"/>
            <w:vAlign w:val="bottom"/>
          </w:tcPr>
          <w:p w14:paraId="142D2772"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34EF77E"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779544C"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74A3B1EF"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46EE2538" w14:textId="77777777" w:rsidR="007C3226" w:rsidRPr="00503F6C" w:rsidRDefault="007C3226" w:rsidP="00503F6C">
            <w:pPr>
              <w:autoSpaceDE w:val="0"/>
              <w:autoSpaceDN w:val="0"/>
              <w:adjustRightInd w:val="0"/>
              <w:spacing w:line="360" w:lineRule="auto"/>
              <w:rPr>
                <w:sz w:val="24"/>
                <w:szCs w:val="24"/>
              </w:rPr>
            </w:pPr>
          </w:p>
        </w:tc>
      </w:tr>
      <w:tr w:rsidR="00E24A6D" w14:paraId="6A3265C0" w14:textId="77777777" w:rsidTr="00A15522">
        <w:tc>
          <w:tcPr>
            <w:tcW w:w="1870" w:type="dxa"/>
            <w:vAlign w:val="bottom"/>
          </w:tcPr>
          <w:p w14:paraId="3798E0BF"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7EF2C717"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42CCB70A"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4296D3DF"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F4AF8AA" w14:textId="77777777" w:rsidR="007C3226" w:rsidRPr="00503F6C" w:rsidRDefault="007C3226" w:rsidP="00503F6C">
            <w:pPr>
              <w:autoSpaceDE w:val="0"/>
              <w:autoSpaceDN w:val="0"/>
              <w:adjustRightInd w:val="0"/>
              <w:spacing w:line="360" w:lineRule="auto"/>
              <w:rPr>
                <w:sz w:val="24"/>
                <w:szCs w:val="24"/>
              </w:rPr>
            </w:pPr>
          </w:p>
        </w:tc>
      </w:tr>
      <w:tr w:rsidR="00E24A6D" w14:paraId="54564E23" w14:textId="77777777" w:rsidTr="00A15522">
        <w:tc>
          <w:tcPr>
            <w:tcW w:w="1870" w:type="dxa"/>
            <w:vAlign w:val="bottom"/>
          </w:tcPr>
          <w:p w14:paraId="2A766858"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1B8DB989"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7136DC6"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F6716D4"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Asymptotic: n=1000</w:t>
            </w:r>
          </w:p>
        </w:tc>
        <w:tc>
          <w:tcPr>
            <w:tcW w:w="1870" w:type="dxa"/>
            <w:vAlign w:val="bottom"/>
          </w:tcPr>
          <w:p w14:paraId="20E38AF3" w14:textId="77777777" w:rsidR="007C3226" w:rsidRPr="00503F6C" w:rsidRDefault="007C3226" w:rsidP="00503F6C">
            <w:pPr>
              <w:autoSpaceDE w:val="0"/>
              <w:autoSpaceDN w:val="0"/>
              <w:adjustRightInd w:val="0"/>
              <w:spacing w:line="360" w:lineRule="auto"/>
              <w:rPr>
                <w:sz w:val="24"/>
                <w:szCs w:val="24"/>
              </w:rPr>
            </w:pPr>
          </w:p>
        </w:tc>
      </w:tr>
      <w:tr w:rsidR="00E24A6D" w14:paraId="36E40F9F" w14:textId="77777777" w:rsidTr="00A15522">
        <w:tc>
          <w:tcPr>
            <w:tcW w:w="1870" w:type="dxa"/>
            <w:vAlign w:val="bottom"/>
          </w:tcPr>
          <w:p w14:paraId="0E0087F5"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F-statistic</w:t>
            </w:r>
          </w:p>
        </w:tc>
        <w:tc>
          <w:tcPr>
            <w:tcW w:w="1870" w:type="dxa"/>
            <w:vAlign w:val="bottom"/>
          </w:tcPr>
          <w:p w14:paraId="456C836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 7.063829</w:t>
            </w:r>
          </w:p>
        </w:tc>
        <w:tc>
          <w:tcPr>
            <w:tcW w:w="1870" w:type="dxa"/>
            <w:vAlign w:val="bottom"/>
          </w:tcPr>
          <w:p w14:paraId="6EFA694C"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10%  </w:t>
            </w:r>
          </w:p>
        </w:tc>
        <w:tc>
          <w:tcPr>
            <w:tcW w:w="1870" w:type="dxa"/>
            <w:vAlign w:val="bottom"/>
          </w:tcPr>
          <w:p w14:paraId="17A6891D"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2.45</w:t>
            </w:r>
          </w:p>
        </w:tc>
        <w:tc>
          <w:tcPr>
            <w:tcW w:w="1870" w:type="dxa"/>
            <w:vAlign w:val="bottom"/>
          </w:tcPr>
          <w:p w14:paraId="6AE6E4CA"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3.52</w:t>
            </w:r>
          </w:p>
        </w:tc>
      </w:tr>
      <w:tr w:rsidR="00E24A6D" w14:paraId="4ED6192A" w14:textId="77777777" w:rsidTr="00A15522">
        <w:tc>
          <w:tcPr>
            <w:tcW w:w="1870" w:type="dxa"/>
            <w:vAlign w:val="bottom"/>
          </w:tcPr>
          <w:p w14:paraId="66381283"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k</w:t>
            </w:r>
          </w:p>
        </w:tc>
        <w:tc>
          <w:tcPr>
            <w:tcW w:w="1870" w:type="dxa"/>
            <w:vAlign w:val="bottom"/>
          </w:tcPr>
          <w:p w14:paraId="102B1DEF"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4</w:t>
            </w:r>
          </w:p>
        </w:tc>
        <w:tc>
          <w:tcPr>
            <w:tcW w:w="1870" w:type="dxa"/>
            <w:vAlign w:val="bottom"/>
          </w:tcPr>
          <w:p w14:paraId="61281457"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5%  </w:t>
            </w:r>
          </w:p>
        </w:tc>
        <w:tc>
          <w:tcPr>
            <w:tcW w:w="1870" w:type="dxa"/>
            <w:vAlign w:val="bottom"/>
          </w:tcPr>
          <w:p w14:paraId="59A1487D"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2.86</w:t>
            </w:r>
          </w:p>
        </w:tc>
        <w:tc>
          <w:tcPr>
            <w:tcW w:w="1870" w:type="dxa"/>
            <w:vAlign w:val="bottom"/>
          </w:tcPr>
          <w:p w14:paraId="1B66B90E"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4.01</w:t>
            </w:r>
          </w:p>
        </w:tc>
      </w:tr>
      <w:tr w:rsidR="00E24A6D" w14:paraId="42569FF6" w14:textId="77777777" w:rsidTr="00A15522">
        <w:tc>
          <w:tcPr>
            <w:tcW w:w="1870" w:type="dxa"/>
            <w:vAlign w:val="bottom"/>
          </w:tcPr>
          <w:p w14:paraId="06903A40"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6617627E"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A2A7349"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2.5%  </w:t>
            </w:r>
          </w:p>
        </w:tc>
        <w:tc>
          <w:tcPr>
            <w:tcW w:w="1870" w:type="dxa"/>
            <w:vAlign w:val="bottom"/>
          </w:tcPr>
          <w:p w14:paraId="3995867F"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3.25</w:t>
            </w:r>
          </w:p>
        </w:tc>
        <w:tc>
          <w:tcPr>
            <w:tcW w:w="1870" w:type="dxa"/>
            <w:vAlign w:val="bottom"/>
          </w:tcPr>
          <w:p w14:paraId="38557AD9"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4.49</w:t>
            </w:r>
          </w:p>
        </w:tc>
      </w:tr>
      <w:tr w:rsidR="00E24A6D" w14:paraId="381EA6AD" w14:textId="77777777" w:rsidTr="00A15522">
        <w:tc>
          <w:tcPr>
            <w:tcW w:w="1870" w:type="dxa"/>
            <w:vAlign w:val="bottom"/>
          </w:tcPr>
          <w:p w14:paraId="10438500"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0952024E"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A2F31BF"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  </w:t>
            </w:r>
          </w:p>
        </w:tc>
        <w:tc>
          <w:tcPr>
            <w:tcW w:w="1870" w:type="dxa"/>
            <w:vAlign w:val="bottom"/>
          </w:tcPr>
          <w:p w14:paraId="6F9423D5"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3.74</w:t>
            </w:r>
          </w:p>
        </w:tc>
        <w:tc>
          <w:tcPr>
            <w:tcW w:w="1870" w:type="dxa"/>
            <w:vAlign w:val="bottom"/>
          </w:tcPr>
          <w:p w14:paraId="212F8C1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5.06</w:t>
            </w:r>
          </w:p>
        </w:tc>
      </w:tr>
      <w:tr w:rsidR="00E24A6D" w14:paraId="723A99D9" w14:textId="77777777" w:rsidTr="00A15522">
        <w:tc>
          <w:tcPr>
            <w:tcW w:w="1870" w:type="dxa"/>
            <w:vAlign w:val="bottom"/>
          </w:tcPr>
          <w:p w14:paraId="0AECFD8A"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40C73D92"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3691EAD9"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16EB5463"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5D110D5D" w14:textId="77777777" w:rsidR="007C3226" w:rsidRPr="00503F6C" w:rsidRDefault="007C3226" w:rsidP="00503F6C">
            <w:pPr>
              <w:autoSpaceDE w:val="0"/>
              <w:autoSpaceDN w:val="0"/>
              <w:adjustRightInd w:val="0"/>
              <w:spacing w:line="360" w:lineRule="auto"/>
              <w:rPr>
                <w:sz w:val="24"/>
                <w:szCs w:val="24"/>
              </w:rPr>
            </w:pPr>
          </w:p>
        </w:tc>
      </w:tr>
      <w:tr w:rsidR="00E24A6D" w14:paraId="45EF599F" w14:textId="77777777" w:rsidTr="00A15522">
        <w:tc>
          <w:tcPr>
            <w:tcW w:w="1870" w:type="dxa"/>
            <w:vAlign w:val="bottom"/>
          </w:tcPr>
          <w:p w14:paraId="4D2D1DB5"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Actual Sample Size</w:t>
            </w:r>
          </w:p>
        </w:tc>
        <w:tc>
          <w:tcPr>
            <w:tcW w:w="1870" w:type="dxa"/>
            <w:vAlign w:val="bottom"/>
          </w:tcPr>
          <w:p w14:paraId="56D9769A"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39</w:t>
            </w:r>
          </w:p>
        </w:tc>
        <w:tc>
          <w:tcPr>
            <w:tcW w:w="1870" w:type="dxa"/>
            <w:vAlign w:val="bottom"/>
          </w:tcPr>
          <w:p w14:paraId="6FA7E795"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176C1FB7"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Finite Sample: n=40</w:t>
            </w:r>
          </w:p>
        </w:tc>
        <w:tc>
          <w:tcPr>
            <w:tcW w:w="1870" w:type="dxa"/>
            <w:vAlign w:val="bottom"/>
          </w:tcPr>
          <w:p w14:paraId="2A096834" w14:textId="77777777" w:rsidR="007C3226" w:rsidRPr="00503F6C" w:rsidRDefault="007C3226" w:rsidP="00503F6C">
            <w:pPr>
              <w:autoSpaceDE w:val="0"/>
              <w:autoSpaceDN w:val="0"/>
              <w:adjustRightInd w:val="0"/>
              <w:spacing w:line="360" w:lineRule="auto"/>
              <w:rPr>
                <w:sz w:val="24"/>
                <w:szCs w:val="24"/>
              </w:rPr>
            </w:pPr>
          </w:p>
        </w:tc>
      </w:tr>
      <w:tr w:rsidR="00E24A6D" w14:paraId="5E4E9903" w14:textId="77777777" w:rsidTr="00A15522">
        <w:tc>
          <w:tcPr>
            <w:tcW w:w="1870" w:type="dxa"/>
            <w:vAlign w:val="bottom"/>
          </w:tcPr>
          <w:p w14:paraId="0A4E1496"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70788094"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59E98F8C"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10%  </w:t>
            </w:r>
          </w:p>
        </w:tc>
        <w:tc>
          <w:tcPr>
            <w:tcW w:w="1870" w:type="dxa"/>
            <w:vAlign w:val="bottom"/>
          </w:tcPr>
          <w:p w14:paraId="7034C958"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2.66</w:t>
            </w:r>
          </w:p>
        </w:tc>
        <w:tc>
          <w:tcPr>
            <w:tcW w:w="1870" w:type="dxa"/>
            <w:vAlign w:val="bottom"/>
          </w:tcPr>
          <w:p w14:paraId="341D2CD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3.838</w:t>
            </w:r>
          </w:p>
        </w:tc>
      </w:tr>
      <w:tr w:rsidR="00E24A6D" w14:paraId="39F223B4" w14:textId="77777777" w:rsidTr="00A15522">
        <w:tc>
          <w:tcPr>
            <w:tcW w:w="1870" w:type="dxa"/>
            <w:vAlign w:val="bottom"/>
          </w:tcPr>
          <w:p w14:paraId="0850DE90"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176DEF4"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685409A9"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5%  </w:t>
            </w:r>
          </w:p>
        </w:tc>
        <w:tc>
          <w:tcPr>
            <w:tcW w:w="1870" w:type="dxa"/>
            <w:vAlign w:val="bottom"/>
          </w:tcPr>
          <w:p w14:paraId="7B037C1F"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3.202</w:t>
            </w:r>
          </w:p>
        </w:tc>
        <w:tc>
          <w:tcPr>
            <w:tcW w:w="1870" w:type="dxa"/>
            <w:vAlign w:val="bottom"/>
          </w:tcPr>
          <w:p w14:paraId="4FBDA866"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4.544</w:t>
            </w:r>
          </w:p>
        </w:tc>
      </w:tr>
      <w:tr w:rsidR="00E24A6D" w14:paraId="348439C8" w14:textId="77777777" w:rsidTr="00A15522">
        <w:tc>
          <w:tcPr>
            <w:tcW w:w="1870" w:type="dxa"/>
            <w:vAlign w:val="bottom"/>
          </w:tcPr>
          <w:p w14:paraId="19507148"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3E16962C"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038BE69C"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  </w:t>
            </w:r>
          </w:p>
        </w:tc>
        <w:tc>
          <w:tcPr>
            <w:tcW w:w="1870" w:type="dxa"/>
            <w:vAlign w:val="bottom"/>
          </w:tcPr>
          <w:p w14:paraId="291AB33C"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4.428</w:t>
            </w:r>
          </w:p>
        </w:tc>
        <w:tc>
          <w:tcPr>
            <w:tcW w:w="1870" w:type="dxa"/>
            <w:vAlign w:val="bottom"/>
          </w:tcPr>
          <w:p w14:paraId="005ABFFF"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6.25</w:t>
            </w:r>
          </w:p>
        </w:tc>
      </w:tr>
      <w:tr w:rsidR="00E24A6D" w14:paraId="652EFF13" w14:textId="77777777" w:rsidTr="00A15522">
        <w:tc>
          <w:tcPr>
            <w:tcW w:w="1870" w:type="dxa"/>
            <w:vAlign w:val="bottom"/>
          </w:tcPr>
          <w:p w14:paraId="4FA98493"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354FD83D"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53277805"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C344C2E"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6D5B5DEB" w14:textId="77777777" w:rsidR="007C3226" w:rsidRPr="00503F6C" w:rsidRDefault="007C3226" w:rsidP="00503F6C">
            <w:pPr>
              <w:autoSpaceDE w:val="0"/>
              <w:autoSpaceDN w:val="0"/>
              <w:adjustRightInd w:val="0"/>
              <w:spacing w:line="360" w:lineRule="auto"/>
              <w:rPr>
                <w:sz w:val="24"/>
                <w:szCs w:val="24"/>
              </w:rPr>
            </w:pPr>
          </w:p>
        </w:tc>
      </w:tr>
      <w:tr w:rsidR="00E24A6D" w14:paraId="5907C66B" w14:textId="77777777" w:rsidTr="00A15522">
        <w:tc>
          <w:tcPr>
            <w:tcW w:w="1870" w:type="dxa"/>
            <w:vAlign w:val="bottom"/>
          </w:tcPr>
          <w:p w14:paraId="56FC5BBC"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A58215A"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12043C4F"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478A6888"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Finite Sample: n=35</w:t>
            </w:r>
          </w:p>
        </w:tc>
        <w:tc>
          <w:tcPr>
            <w:tcW w:w="1870" w:type="dxa"/>
            <w:vAlign w:val="bottom"/>
          </w:tcPr>
          <w:p w14:paraId="23D90E56" w14:textId="77777777" w:rsidR="007C3226" w:rsidRPr="00503F6C" w:rsidRDefault="007C3226" w:rsidP="00503F6C">
            <w:pPr>
              <w:autoSpaceDE w:val="0"/>
              <w:autoSpaceDN w:val="0"/>
              <w:adjustRightInd w:val="0"/>
              <w:spacing w:line="360" w:lineRule="auto"/>
              <w:rPr>
                <w:sz w:val="24"/>
                <w:szCs w:val="24"/>
              </w:rPr>
            </w:pPr>
          </w:p>
        </w:tc>
      </w:tr>
      <w:tr w:rsidR="00E24A6D" w14:paraId="5E539B02" w14:textId="77777777" w:rsidTr="00A15522">
        <w:tc>
          <w:tcPr>
            <w:tcW w:w="1870" w:type="dxa"/>
            <w:vAlign w:val="bottom"/>
          </w:tcPr>
          <w:p w14:paraId="1A53D429"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1CFEE1D8"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792AD0BD"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10%  </w:t>
            </w:r>
          </w:p>
        </w:tc>
        <w:tc>
          <w:tcPr>
            <w:tcW w:w="1870" w:type="dxa"/>
            <w:vAlign w:val="bottom"/>
          </w:tcPr>
          <w:p w14:paraId="7A96E87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2.696</w:t>
            </w:r>
          </w:p>
        </w:tc>
        <w:tc>
          <w:tcPr>
            <w:tcW w:w="1870" w:type="dxa"/>
            <w:vAlign w:val="bottom"/>
          </w:tcPr>
          <w:p w14:paraId="0A61A069"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3.898</w:t>
            </w:r>
          </w:p>
        </w:tc>
      </w:tr>
      <w:tr w:rsidR="00E24A6D" w14:paraId="2C9A5640" w14:textId="77777777" w:rsidTr="00A15522">
        <w:tc>
          <w:tcPr>
            <w:tcW w:w="1870" w:type="dxa"/>
            <w:vAlign w:val="bottom"/>
          </w:tcPr>
          <w:p w14:paraId="486E84C7"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52E89318"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3F5FE087"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5%  </w:t>
            </w:r>
          </w:p>
        </w:tc>
        <w:tc>
          <w:tcPr>
            <w:tcW w:w="1870" w:type="dxa"/>
            <w:vAlign w:val="bottom"/>
          </w:tcPr>
          <w:p w14:paraId="5C356898"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3.276</w:t>
            </w:r>
          </w:p>
        </w:tc>
        <w:tc>
          <w:tcPr>
            <w:tcW w:w="1870" w:type="dxa"/>
            <w:vAlign w:val="bottom"/>
          </w:tcPr>
          <w:p w14:paraId="07FA68FD"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4.63</w:t>
            </w:r>
          </w:p>
        </w:tc>
      </w:tr>
      <w:tr w:rsidR="00E24A6D" w14:paraId="6B599F95" w14:textId="77777777" w:rsidTr="00A15522">
        <w:tc>
          <w:tcPr>
            <w:tcW w:w="1870" w:type="dxa"/>
            <w:vAlign w:val="bottom"/>
          </w:tcPr>
          <w:p w14:paraId="37EBB2C3"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6835B0B0"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6EC84593"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  </w:t>
            </w:r>
          </w:p>
        </w:tc>
        <w:tc>
          <w:tcPr>
            <w:tcW w:w="1870" w:type="dxa"/>
            <w:vAlign w:val="bottom"/>
          </w:tcPr>
          <w:p w14:paraId="1421F8FD"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4.59</w:t>
            </w:r>
          </w:p>
        </w:tc>
        <w:tc>
          <w:tcPr>
            <w:tcW w:w="1870" w:type="dxa"/>
            <w:vAlign w:val="bottom"/>
          </w:tcPr>
          <w:p w14:paraId="7659BAA1"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6.368</w:t>
            </w:r>
          </w:p>
        </w:tc>
      </w:tr>
      <w:tr w:rsidR="00E24A6D" w14:paraId="57AFBB83" w14:textId="77777777" w:rsidTr="00A15522">
        <w:tc>
          <w:tcPr>
            <w:tcW w:w="1870" w:type="dxa"/>
            <w:vAlign w:val="bottom"/>
          </w:tcPr>
          <w:p w14:paraId="684C02F3"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471A0CCD"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4D69FD39"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76244AFF"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695E09ED" w14:textId="77777777" w:rsidR="007C3226" w:rsidRPr="00503F6C" w:rsidRDefault="007C3226" w:rsidP="00503F6C">
            <w:pPr>
              <w:autoSpaceDE w:val="0"/>
              <w:autoSpaceDN w:val="0"/>
              <w:adjustRightInd w:val="0"/>
              <w:spacing w:line="360" w:lineRule="auto"/>
              <w:rPr>
                <w:sz w:val="24"/>
                <w:szCs w:val="24"/>
              </w:rPr>
            </w:pPr>
          </w:p>
        </w:tc>
      </w:tr>
      <w:tr w:rsidR="00E24A6D" w14:paraId="09A32459" w14:textId="77777777" w:rsidTr="00A15522">
        <w:tc>
          <w:tcPr>
            <w:tcW w:w="1870" w:type="dxa"/>
            <w:vAlign w:val="bottom"/>
          </w:tcPr>
          <w:p w14:paraId="0BB97872"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Test Statistic</w:t>
            </w:r>
          </w:p>
        </w:tc>
        <w:tc>
          <w:tcPr>
            <w:tcW w:w="1870" w:type="dxa"/>
            <w:vAlign w:val="bottom"/>
          </w:tcPr>
          <w:p w14:paraId="654E5772"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Value</w:t>
            </w:r>
          </w:p>
        </w:tc>
        <w:tc>
          <w:tcPr>
            <w:tcW w:w="1870" w:type="dxa"/>
            <w:vAlign w:val="bottom"/>
          </w:tcPr>
          <w:p w14:paraId="097DACCC"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Signif.</w:t>
            </w:r>
          </w:p>
        </w:tc>
        <w:tc>
          <w:tcPr>
            <w:tcW w:w="1870" w:type="dxa"/>
            <w:vAlign w:val="bottom"/>
          </w:tcPr>
          <w:p w14:paraId="355AD5A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I(0)</w:t>
            </w:r>
          </w:p>
        </w:tc>
        <w:tc>
          <w:tcPr>
            <w:tcW w:w="1870" w:type="dxa"/>
            <w:vAlign w:val="bottom"/>
          </w:tcPr>
          <w:p w14:paraId="78C3C680"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I(1)</w:t>
            </w:r>
          </w:p>
        </w:tc>
      </w:tr>
      <w:tr w:rsidR="00E24A6D" w14:paraId="5041E87C" w14:textId="77777777" w:rsidTr="00A15522">
        <w:tc>
          <w:tcPr>
            <w:tcW w:w="1870" w:type="dxa"/>
            <w:vAlign w:val="bottom"/>
          </w:tcPr>
          <w:p w14:paraId="52B629F2"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31740AEC"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4BD3C9B0"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16ED497E"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8293779" w14:textId="77777777" w:rsidR="007C3226" w:rsidRPr="00503F6C" w:rsidRDefault="007C3226" w:rsidP="00503F6C">
            <w:pPr>
              <w:autoSpaceDE w:val="0"/>
              <w:autoSpaceDN w:val="0"/>
              <w:adjustRightInd w:val="0"/>
              <w:spacing w:line="360" w:lineRule="auto"/>
              <w:rPr>
                <w:sz w:val="24"/>
                <w:szCs w:val="24"/>
              </w:rPr>
            </w:pPr>
          </w:p>
        </w:tc>
      </w:tr>
      <w:tr w:rsidR="00E24A6D" w14:paraId="0E4A84AB" w14:textId="77777777" w:rsidTr="00A15522">
        <w:tc>
          <w:tcPr>
            <w:tcW w:w="1870" w:type="dxa"/>
            <w:vAlign w:val="bottom"/>
          </w:tcPr>
          <w:p w14:paraId="0B80BA7C"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647EEDED"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747A96DA"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1DFA2FC5"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20754BC" w14:textId="77777777" w:rsidR="007C3226" w:rsidRPr="00503F6C" w:rsidRDefault="007C3226" w:rsidP="00503F6C">
            <w:pPr>
              <w:autoSpaceDE w:val="0"/>
              <w:autoSpaceDN w:val="0"/>
              <w:adjustRightInd w:val="0"/>
              <w:spacing w:line="360" w:lineRule="auto"/>
              <w:rPr>
                <w:sz w:val="24"/>
                <w:szCs w:val="24"/>
              </w:rPr>
            </w:pPr>
          </w:p>
        </w:tc>
      </w:tr>
      <w:tr w:rsidR="00E24A6D" w14:paraId="309B2A64" w14:textId="77777777" w:rsidTr="00A15522">
        <w:tc>
          <w:tcPr>
            <w:tcW w:w="1870" w:type="dxa"/>
            <w:vAlign w:val="bottom"/>
          </w:tcPr>
          <w:p w14:paraId="5BD05BD3"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t-statistic</w:t>
            </w:r>
          </w:p>
        </w:tc>
        <w:tc>
          <w:tcPr>
            <w:tcW w:w="1870" w:type="dxa"/>
            <w:vAlign w:val="bottom"/>
          </w:tcPr>
          <w:p w14:paraId="635FA756"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-5.801320</w:t>
            </w:r>
          </w:p>
        </w:tc>
        <w:tc>
          <w:tcPr>
            <w:tcW w:w="1870" w:type="dxa"/>
            <w:vAlign w:val="bottom"/>
          </w:tcPr>
          <w:p w14:paraId="67A3677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10%  </w:t>
            </w:r>
          </w:p>
        </w:tc>
        <w:tc>
          <w:tcPr>
            <w:tcW w:w="1870" w:type="dxa"/>
            <w:vAlign w:val="bottom"/>
          </w:tcPr>
          <w:p w14:paraId="02C5C057"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-2.57</w:t>
            </w:r>
          </w:p>
        </w:tc>
        <w:tc>
          <w:tcPr>
            <w:tcW w:w="1870" w:type="dxa"/>
            <w:vAlign w:val="bottom"/>
          </w:tcPr>
          <w:p w14:paraId="7770773C"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-3.66</w:t>
            </w:r>
          </w:p>
        </w:tc>
      </w:tr>
      <w:tr w:rsidR="00E24A6D" w14:paraId="0085BA50" w14:textId="77777777" w:rsidTr="00A15522">
        <w:tc>
          <w:tcPr>
            <w:tcW w:w="1870" w:type="dxa"/>
            <w:vAlign w:val="bottom"/>
          </w:tcPr>
          <w:p w14:paraId="4BB616F8"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39BFD5D"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3253A763"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5%  </w:t>
            </w:r>
          </w:p>
        </w:tc>
        <w:tc>
          <w:tcPr>
            <w:tcW w:w="1870" w:type="dxa"/>
            <w:vAlign w:val="bottom"/>
          </w:tcPr>
          <w:p w14:paraId="4E494932"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-2.86</w:t>
            </w:r>
          </w:p>
        </w:tc>
        <w:tc>
          <w:tcPr>
            <w:tcW w:w="1870" w:type="dxa"/>
            <w:vAlign w:val="bottom"/>
          </w:tcPr>
          <w:p w14:paraId="6C89E0E6"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-3.99</w:t>
            </w:r>
          </w:p>
        </w:tc>
      </w:tr>
      <w:tr w:rsidR="00E24A6D" w14:paraId="00305A78" w14:textId="77777777" w:rsidTr="00A15522">
        <w:tc>
          <w:tcPr>
            <w:tcW w:w="1870" w:type="dxa"/>
            <w:vAlign w:val="bottom"/>
          </w:tcPr>
          <w:p w14:paraId="25495220"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08E05EE9"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22A5C1FD"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2.5%  </w:t>
            </w:r>
          </w:p>
        </w:tc>
        <w:tc>
          <w:tcPr>
            <w:tcW w:w="1870" w:type="dxa"/>
            <w:vAlign w:val="bottom"/>
          </w:tcPr>
          <w:p w14:paraId="4C0FBE9E"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-3.13</w:t>
            </w:r>
          </w:p>
        </w:tc>
        <w:tc>
          <w:tcPr>
            <w:tcW w:w="1870" w:type="dxa"/>
            <w:vAlign w:val="bottom"/>
          </w:tcPr>
          <w:p w14:paraId="1310A255"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-4.26</w:t>
            </w:r>
          </w:p>
        </w:tc>
      </w:tr>
      <w:tr w:rsidR="00E24A6D" w14:paraId="6B9C8F7C" w14:textId="77777777" w:rsidTr="00A15522">
        <w:tc>
          <w:tcPr>
            <w:tcW w:w="1870" w:type="dxa"/>
            <w:vAlign w:val="bottom"/>
          </w:tcPr>
          <w:p w14:paraId="5A0B5AED"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00AC0BD2"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634E315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  </w:t>
            </w:r>
          </w:p>
        </w:tc>
        <w:tc>
          <w:tcPr>
            <w:tcW w:w="1870" w:type="dxa"/>
            <w:vAlign w:val="bottom"/>
          </w:tcPr>
          <w:p w14:paraId="49C8677F"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-3.43</w:t>
            </w:r>
          </w:p>
        </w:tc>
        <w:tc>
          <w:tcPr>
            <w:tcW w:w="1870" w:type="dxa"/>
            <w:vAlign w:val="bottom"/>
          </w:tcPr>
          <w:p w14:paraId="2837469C"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-4.6</w:t>
            </w:r>
          </w:p>
        </w:tc>
      </w:tr>
      <w:tr w:rsidR="00E24A6D" w14:paraId="555289BA" w14:textId="77777777" w:rsidTr="00A15522">
        <w:tc>
          <w:tcPr>
            <w:tcW w:w="1870" w:type="dxa"/>
            <w:vAlign w:val="bottom"/>
          </w:tcPr>
          <w:p w14:paraId="70396674"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651C6B3F"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0E4B3A83"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77107945"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4E09496C" w14:textId="77777777" w:rsidR="007C3226" w:rsidRPr="00503F6C" w:rsidRDefault="007C3226" w:rsidP="00503F6C">
            <w:pPr>
              <w:autoSpaceDE w:val="0"/>
              <w:autoSpaceDN w:val="0"/>
              <w:adjustRightInd w:val="0"/>
              <w:spacing w:line="360" w:lineRule="auto"/>
              <w:rPr>
                <w:sz w:val="24"/>
                <w:szCs w:val="24"/>
              </w:rPr>
            </w:pPr>
          </w:p>
        </w:tc>
      </w:tr>
    </w:tbl>
    <w:p w14:paraId="5A7A8813" w14:textId="77777777" w:rsidR="007C3226" w:rsidRPr="00503F6C" w:rsidRDefault="009A71CA" w:rsidP="00503F6C">
      <w:pPr>
        <w:autoSpaceDE w:val="0"/>
        <w:autoSpaceDN w:val="0"/>
        <w:adjustRightInd w:val="0"/>
        <w:spacing w:after="0" w:line="360" w:lineRule="auto"/>
        <w:rPr>
          <w:rFonts w:ascii="Times New Roman" w:hAnsi="Times New Roman" w:cs="Times New Roman"/>
        </w:rPr>
      </w:pPr>
      <w:r w:rsidRPr="00503F6C">
        <w:rPr>
          <w:rFonts w:ascii="Times New Roman" w:hAnsi="Times New Roman" w:cs="Times New Roman"/>
        </w:rPr>
        <w:t>Sources: Authors' computations, Eviews 10</w:t>
      </w:r>
    </w:p>
    <w:p w14:paraId="3E27AE36" w14:textId="6109E1D3" w:rsidR="007C3226" w:rsidRPr="00503F6C" w:rsidRDefault="009A71CA" w:rsidP="00503F6C">
      <w:pPr>
        <w:spacing w:after="0" w:line="360" w:lineRule="auto"/>
        <w:jc w:val="both"/>
        <w:rPr>
          <w:rFonts w:ascii="Times New Roman" w:hAnsi="Times New Roman" w:cs="Times New Roman"/>
        </w:rPr>
      </w:pPr>
      <w:r w:rsidRPr="00503F6C">
        <w:rPr>
          <w:rFonts w:ascii="Times New Roman" w:hAnsi="Times New Roman" w:cs="Times New Roman"/>
        </w:rPr>
        <w:t xml:space="preserve">The results </w:t>
      </w:r>
      <w:r w:rsidR="00F04870" w:rsidRPr="00503F6C">
        <w:rPr>
          <w:rFonts w:ascii="Times New Roman" w:hAnsi="Times New Roman" w:cs="Times New Roman"/>
        </w:rPr>
        <w:t>in Table</w:t>
      </w:r>
      <w:r w:rsidR="00F40D67">
        <w:rPr>
          <w:rFonts w:ascii="Times New Roman" w:hAnsi="Times New Roman" w:cs="Times New Roman"/>
        </w:rPr>
        <w:t xml:space="preserve"> </w:t>
      </w:r>
      <w:r w:rsidR="00EA162A">
        <w:rPr>
          <w:rFonts w:ascii="Times New Roman" w:hAnsi="Times New Roman" w:cs="Times New Roman"/>
        </w:rPr>
        <w:t>6</w:t>
      </w:r>
      <w:r w:rsidR="00CE354D" w:rsidRPr="00503F6C">
        <w:rPr>
          <w:rFonts w:ascii="Times New Roman" w:hAnsi="Times New Roman" w:cs="Times New Roman"/>
        </w:rPr>
        <w:t xml:space="preserve"> </w:t>
      </w:r>
      <w:r w:rsidR="00CC4DB5" w:rsidRPr="00503F6C">
        <w:rPr>
          <w:rFonts w:ascii="Times New Roman" w:hAnsi="Times New Roman" w:cs="Times New Roman"/>
        </w:rPr>
        <w:t>show</w:t>
      </w:r>
      <w:r w:rsidR="00F04870" w:rsidRPr="00503F6C">
        <w:rPr>
          <w:rFonts w:ascii="Times New Roman" w:hAnsi="Times New Roman" w:cs="Times New Roman"/>
        </w:rPr>
        <w:t xml:space="preserve"> </w:t>
      </w:r>
      <w:r w:rsidRPr="006B428A">
        <w:rPr>
          <w:rFonts w:ascii="Times New Roman" w:hAnsi="Times New Roman" w:cs="Times New Roman"/>
        </w:rPr>
        <w:t xml:space="preserve">F-Bounds Test </w:t>
      </w:r>
      <w:r w:rsidR="00786D2C" w:rsidRPr="006B428A">
        <w:rPr>
          <w:rFonts w:ascii="Times New Roman" w:hAnsi="Times New Roman" w:cs="Times New Roman"/>
        </w:rPr>
        <w:t>Results.</w:t>
      </w:r>
      <w:r w:rsidR="00786D2C" w:rsidRPr="00503F6C">
        <w:rPr>
          <w:rFonts w:ascii="Times New Roman" w:hAnsi="Times New Roman" w:cs="Times New Roman"/>
        </w:rPr>
        <w:t xml:space="preserve"> The test</w:t>
      </w:r>
      <w:r w:rsidRPr="00503F6C">
        <w:rPr>
          <w:rFonts w:ascii="Times New Roman" w:hAnsi="Times New Roman" w:cs="Times New Roman"/>
        </w:rPr>
        <w:t xml:space="preserve"> was conducted to examine the presence of a long-run relationship between GDP growth and the explanatory variables. The calculated F-statistic (7.0638) exceeds the upper bound critical values at the 1%, 5%, and 10% significance levels, confirming the existence of a long-run cointegrating relationship between GDP growth, remittances, foreign exchange reserves, inflation, and foreign direct investment.</w:t>
      </w:r>
      <w:r w:rsidR="00CC4DB5" w:rsidRPr="00503F6C">
        <w:rPr>
          <w:rFonts w:ascii="Times New Roman" w:hAnsi="Times New Roman" w:cs="Times New Roman"/>
        </w:rPr>
        <w:t xml:space="preserve"> T</w:t>
      </w:r>
      <w:r w:rsidRPr="00503F6C">
        <w:rPr>
          <w:rFonts w:ascii="Times New Roman" w:hAnsi="Times New Roman" w:cs="Times New Roman"/>
        </w:rPr>
        <w:t xml:space="preserve">he t-bounds test further supports this conclusion, with a highly significant negative t-statistic (-5.8013) that falls below the lower bound threshold at all significance levels. This reinforces the evidence of a stable long-term equilibrium relationship among the variables, justifying the application of an ARDL Error Correction </w:t>
      </w:r>
      <w:r w:rsidR="00786D2C" w:rsidRPr="00503F6C">
        <w:rPr>
          <w:rFonts w:ascii="Times New Roman" w:hAnsi="Times New Roman" w:cs="Times New Roman"/>
        </w:rPr>
        <w:t>Model.</w:t>
      </w:r>
      <w:r w:rsidR="00CC4DB5" w:rsidRPr="00503F6C">
        <w:rPr>
          <w:rFonts w:ascii="Times New Roman" w:hAnsi="Times New Roman" w:cs="Times New Roman"/>
        </w:rPr>
        <w:t xml:space="preserve"> </w:t>
      </w:r>
    </w:p>
    <w:p w14:paraId="77DE4805" w14:textId="77777777" w:rsidR="00ED291F" w:rsidRPr="00503F6C" w:rsidRDefault="00ED291F" w:rsidP="00503F6C">
      <w:pPr>
        <w:autoSpaceDE w:val="0"/>
        <w:autoSpaceDN w:val="0"/>
        <w:adjustRightInd w:val="0"/>
        <w:spacing w:after="0" w:line="360" w:lineRule="auto"/>
        <w:rPr>
          <w:rFonts w:ascii="Times New Roman" w:hAnsi="Times New Roman" w:cs="Times New Roman"/>
        </w:rPr>
      </w:pPr>
    </w:p>
    <w:p w14:paraId="257DCF25" w14:textId="7E992515" w:rsidR="00CE354D" w:rsidRPr="006B428A" w:rsidRDefault="009A71CA" w:rsidP="00503F6C">
      <w:pPr>
        <w:autoSpaceDE w:val="0"/>
        <w:autoSpaceDN w:val="0"/>
        <w:adjustRightInd w:val="0"/>
        <w:spacing w:after="0" w:line="360" w:lineRule="auto"/>
        <w:rPr>
          <w:rFonts w:ascii="Times New Roman" w:hAnsi="Times New Roman" w:cs="Times New Roman"/>
          <w:b/>
          <w:bCs/>
        </w:rPr>
      </w:pPr>
      <w:r w:rsidRPr="00503F6C">
        <w:rPr>
          <w:rFonts w:ascii="Times New Roman" w:hAnsi="Times New Roman" w:cs="Times New Roman"/>
        </w:rPr>
        <w:t xml:space="preserve"> </w:t>
      </w:r>
      <w:r w:rsidR="007C3226" w:rsidRPr="006B428A">
        <w:rPr>
          <w:rFonts w:ascii="Times New Roman" w:hAnsi="Times New Roman" w:cs="Times New Roman"/>
          <w:b/>
          <w:bCs/>
        </w:rPr>
        <w:t>4</w:t>
      </w:r>
      <w:r w:rsidR="00850C0D">
        <w:rPr>
          <w:rFonts w:ascii="Times New Roman" w:hAnsi="Times New Roman" w:cs="Times New Roman"/>
          <w:b/>
          <w:bCs/>
        </w:rPr>
        <w:t>.</w:t>
      </w:r>
      <w:r w:rsidR="007C3226" w:rsidRPr="006B428A">
        <w:rPr>
          <w:rFonts w:ascii="Times New Roman" w:hAnsi="Times New Roman" w:cs="Times New Roman"/>
          <w:b/>
          <w:bCs/>
        </w:rPr>
        <w:t xml:space="preserve">6 </w:t>
      </w:r>
      <w:r w:rsidR="00F04870" w:rsidRPr="006B428A">
        <w:rPr>
          <w:rFonts w:ascii="Times New Roman" w:hAnsi="Times New Roman" w:cs="Times New Roman"/>
          <w:b/>
          <w:bCs/>
        </w:rPr>
        <w:t>Long-run Regression Resu</w:t>
      </w:r>
      <w:r w:rsidR="001F3AC0" w:rsidRPr="006B428A">
        <w:rPr>
          <w:rFonts w:ascii="Times New Roman" w:hAnsi="Times New Roman" w:cs="Times New Roman"/>
          <w:b/>
          <w:bCs/>
        </w:rPr>
        <w:t xml:space="preserve">lts </w:t>
      </w:r>
    </w:p>
    <w:p w14:paraId="6680847F" w14:textId="6FB96BA6" w:rsidR="00A71480" w:rsidRPr="006B428A" w:rsidRDefault="009A71CA" w:rsidP="00503F6C">
      <w:pPr>
        <w:autoSpaceDE w:val="0"/>
        <w:autoSpaceDN w:val="0"/>
        <w:adjustRightInd w:val="0"/>
        <w:spacing w:after="0" w:line="360" w:lineRule="auto"/>
        <w:rPr>
          <w:rFonts w:ascii="Times New Roman" w:hAnsi="Times New Roman" w:cs="Times New Roman"/>
          <w:b/>
          <w:bCs/>
        </w:rPr>
      </w:pPr>
      <w:r w:rsidRPr="006B428A">
        <w:rPr>
          <w:rFonts w:ascii="Times New Roman" w:hAnsi="Times New Roman" w:cs="Times New Roman"/>
          <w:b/>
          <w:bCs/>
        </w:rPr>
        <w:t xml:space="preserve">Table </w:t>
      </w:r>
      <w:r w:rsidR="00EA162A">
        <w:rPr>
          <w:rFonts w:ascii="Times New Roman" w:hAnsi="Times New Roman" w:cs="Times New Roman"/>
          <w:b/>
          <w:bCs/>
        </w:rPr>
        <w:t>7</w:t>
      </w:r>
      <w:r w:rsidRPr="006B428A">
        <w:rPr>
          <w:rFonts w:ascii="Times New Roman" w:hAnsi="Times New Roman" w:cs="Times New Roman"/>
          <w:b/>
          <w:bCs/>
        </w:rPr>
        <w:t xml:space="preserve"> : Long-run Regression Results</w:t>
      </w:r>
    </w:p>
    <w:tbl>
      <w:tblPr>
        <w:tblStyle w:val="TableGrid"/>
        <w:tblW w:w="0" w:type="auto"/>
        <w:tblLook w:val="04A0" w:firstRow="1" w:lastRow="0" w:firstColumn="1" w:lastColumn="0" w:noHBand="0" w:noVBand="1"/>
      </w:tblPr>
      <w:tblGrid>
        <w:gridCol w:w="1870"/>
        <w:gridCol w:w="1870"/>
        <w:gridCol w:w="1870"/>
        <w:gridCol w:w="1870"/>
        <w:gridCol w:w="1870"/>
      </w:tblGrid>
      <w:tr w:rsidR="00E24A6D" w14:paraId="3BF166FB" w14:textId="77777777" w:rsidTr="007C3226">
        <w:tc>
          <w:tcPr>
            <w:tcW w:w="1870" w:type="dxa"/>
          </w:tcPr>
          <w:p w14:paraId="0E541246" w14:textId="77777777" w:rsidR="007C3226" w:rsidRPr="00503F6C" w:rsidRDefault="007C3226" w:rsidP="00503F6C">
            <w:pPr>
              <w:autoSpaceDE w:val="0"/>
              <w:autoSpaceDN w:val="0"/>
              <w:adjustRightInd w:val="0"/>
              <w:spacing w:line="360" w:lineRule="auto"/>
              <w:rPr>
                <w:sz w:val="24"/>
                <w:szCs w:val="24"/>
              </w:rPr>
            </w:pPr>
          </w:p>
        </w:tc>
        <w:tc>
          <w:tcPr>
            <w:tcW w:w="1870" w:type="dxa"/>
          </w:tcPr>
          <w:p w14:paraId="4A4DBF8D" w14:textId="77777777" w:rsidR="007C3226" w:rsidRPr="00503F6C" w:rsidRDefault="007C3226" w:rsidP="00503F6C">
            <w:pPr>
              <w:autoSpaceDE w:val="0"/>
              <w:autoSpaceDN w:val="0"/>
              <w:adjustRightInd w:val="0"/>
              <w:spacing w:line="360" w:lineRule="auto"/>
              <w:rPr>
                <w:sz w:val="24"/>
                <w:szCs w:val="24"/>
              </w:rPr>
            </w:pPr>
          </w:p>
        </w:tc>
        <w:tc>
          <w:tcPr>
            <w:tcW w:w="1870" w:type="dxa"/>
          </w:tcPr>
          <w:p w14:paraId="23BA5FF0" w14:textId="77777777" w:rsidR="007C3226" w:rsidRPr="00503F6C" w:rsidRDefault="007C3226" w:rsidP="00503F6C">
            <w:pPr>
              <w:autoSpaceDE w:val="0"/>
              <w:autoSpaceDN w:val="0"/>
              <w:adjustRightInd w:val="0"/>
              <w:spacing w:line="360" w:lineRule="auto"/>
              <w:rPr>
                <w:sz w:val="24"/>
                <w:szCs w:val="24"/>
              </w:rPr>
            </w:pPr>
          </w:p>
        </w:tc>
        <w:tc>
          <w:tcPr>
            <w:tcW w:w="1870" w:type="dxa"/>
          </w:tcPr>
          <w:p w14:paraId="3FFF3A40" w14:textId="77777777" w:rsidR="007C3226" w:rsidRPr="00503F6C" w:rsidRDefault="007C3226" w:rsidP="00503F6C">
            <w:pPr>
              <w:autoSpaceDE w:val="0"/>
              <w:autoSpaceDN w:val="0"/>
              <w:adjustRightInd w:val="0"/>
              <w:spacing w:line="360" w:lineRule="auto"/>
              <w:rPr>
                <w:sz w:val="24"/>
                <w:szCs w:val="24"/>
              </w:rPr>
            </w:pPr>
          </w:p>
        </w:tc>
        <w:tc>
          <w:tcPr>
            <w:tcW w:w="1870" w:type="dxa"/>
          </w:tcPr>
          <w:p w14:paraId="3D6A8EB4" w14:textId="77777777" w:rsidR="007C3226" w:rsidRPr="00503F6C" w:rsidRDefault="007C3226" w:rsidP="00503F6C">
            <w:pPr>
              <w:autoSpaceDE w:val="0"/>
              <w:autoSpaceDN w:val="0"/>
              <w:adjustRightInd w:val="0"/>
              <w:spacing w:line="360" w:lineRule="auto"/>
              <w:rPr>
                <w:sz w:val="24"/>
                <w:szCs w:val="24"/>
              </w:rPr>
            </w:pPr>
          </w:p>
        </w:tc>
      </w:tr>
      <w:tr w:rsidR="00E24A6D" w14:paraId="6F1EBA5F" w14:textId="77777777" w:rsidTr="00A15522">
        <w:tc>
          <w:tcPr>
            <w:tcW w:w="1870" w:type="dxa"/>
            <w:vAlign w:val="bottom"/>
          </w:tcPr>
          <w:p w14:paraId="370891FC"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Variable</w:t>
            </w:r>
          </w:p>
        </w:tc>
        <w:tc>
          <w:tcPr>
            <w:tcW w:w="1870" w:type="dxa"/>
            <w:vAlign w:val="bottom"/>
          </w:tcPr>
          <w:p w14:paraId="5ED5527A" w14:textId="77777777" w:rsidR="007C3226" w:rsidRPr="00503F6C" w:rsidRDefault="009A71CA" w:rsidP="00503F6C">
            <w:pPr>
              <w:autoSpaceDE w:val="0"/>
              <w:autoSpaceDN w:val="0"/>
              <w:adjustRightInd w:val="0"/>
              <w:spacing w:line="360" w:lineRule="auto"/>
              <w:rPr>
                <w:sz w:val="24"/>
                <w:szCs w:val="24"/>
              </w:rPr>
            </w:pPr>
            <w:commentRangeStart w:id="20"/>
            <w:r w:rsidRPr="00503F6C">
              <w:rPr>
                <w:sz w:val="24"/>
                <w:szCs w:val="24"/>
              </w:rPr>
              <w:t>Coefficient</w:t>
            </w:r>
            <w:commentRangeEnd w:id="20"/>
            <w:r w:rsidR="00196767">
              <w:rPr>
                <w:rStyle w:val="CommentReference"/>
                <w:rFonts w:asciiTheme="minorHAnsi" w:eastAsiaTheme="minorHAnsi" w:hAnsiTheme="minorHAnsi" w:cstheme="minorBidi"/>
                <w:kern w:val="2"/>
                <w14:ligatures w14:val="standardContextual"/>
              </w:rPr>
              <w:commentReference w:id="20"/>
            </w:r>
          </w:p>
        </w:tc>
        <w:tc>
          <w:tcPr>
            <w:tcW w:w="1870" w:type="dxa"/>
            <w:vAlign w:val="bottom"/>
          </w:tcPr>
          <w:p w14:paraId="38C9FBAC"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Std. Error</w:t>
            </w:r>
          </w:p>
        </w:tc>
        <w:tc>
          <w:tcPr>
            <w:tcW w:w="1870" w:type="dxa"/>
            <w:vAlign w:val="bottom"/>
          </w:tcPr>
          <w:p w14:paraId="37C8B7CC"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t-Statistic</w:t>
            </w:r>
          </w:p>
        </w:tc>
        <w:tc>
          <w:tcPr>
            <w:tcW w:w="1870" w:type="dxa"/>
            <w:vAlign w:val="bottom"/>
          </w:tcPr>
          <w:p w14:paraId="2A3FDD6F"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Prob.*  </w:t>
            </w:r>
          </w:p>
        </w:tc>
      </w:tr>
      <w:tr w:rsidR="00E24A6D" w14:paraId="41FFB46A" w14:textId="77777777" w:rsidTr="00A15522">
        <w:tc>
          <w:tcPr>
            <w:tcW w:w="1870" w:type="dxa"/>
            <w:vAlign w:val="bottom"/>
          </w:tcPr>
          <w:p w14:paraId="036C038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GDPG(-1)</w:t>
            </w:r>
          </w:p>
        </w:tc>
        <w:tc>
          <w:tcPr>
            <w:tcW w:w="1870" w:type="dxa"/>
            <w:vAlign w:val="bottom"/>
          </w:tcPr>
          <w:p w14:paraId="61D09993"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0.041</w:t>
            </w:r>
          </w:p>
        </w:tc>
        <w:tc>
          <w:tcPr>
            <w:tcW w:w="1870" w:type="dxa"/>
            <w:vAlign w:val="bottom"/>
          </w:tcPr>
          <w:p w14:paraId="1AA09171"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0.165144</w:t>
            </w:r>
          </w:p>
        </w:tc>
        <w:tc>
          <w:tcPr>
            <w:tcW w:w="1870" w:type="dxa"/>
            <w:vAlign w:val="bottom"/>
          </w:tcPr>
          <w:p w14:paraId="1CF86B41"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0.253996</w:t>
            </w:r>
          </w:p>
        </w:tc>
        <w:tc>
          <w:tcPr>
            <w:tcW w:w="1870" w:type="dxa"/>
            <w:vAlign w:val="bottom"/>
          </w:tcPr>
          <w:p w14:paraId="01374FDE"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0.8011</w:t>
            </w:r>
          </w:p>
        </w:tc>
      </w:tr>
      <w:tr w:rsidR="00E24A6D" w14:paraId="54A2890E" w14:textId="77777777" w:rsidTr="00A15522">
        <w:tc>
          <w:tcPr>
            <w:tcW w:w="1870" w:type="dxa"/>
            <w:vAlign w:val="bottom"/>
          </w:tcPr>
          <w:p w14:paraId="09B92C44"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REM</w:t>
            </w:r>
          </w:p>
        </w:tc>
        <w:tc>
          <w:tcPr>
            <w:tcW w:w="1870" w:type="dxa"/>
            <w:vAlign w:val="bottom"/>
          </w:tcPr>
          <w:p w14:paraId="1FE3DEE8"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-2.79</w:t>
            </w:r>
            <w:r w:rsidR="0034209B" w:rsidRPr="00503F6C">
              <w:rPr>
                <w:sz w:val="24"/>
                <w:szCs w:val="24"/>
              </w:rPr>
              <w:t>0</w:t>
            </w:r>
          </w:p>
        </w:tc>
        <w:tc>
          <w:tcPr>
            <w:tcW w:w="1870" w:type="dxa"/>
            <w:vAlign w:val="bottom"/>
          </w:tcPr>
          <w:p w14:paraId="03EB3896"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1.14E-10</w:t>
            </w:r>
          </w:p>
        </w:tc>
        <w:tc>
          <w:tcPr>
            <w:tcW w:w="1870" w:type="dxa"/>
            <w:vAlign w:val="bottom"/>
          </w:tcPr>
          <w:p w14:paraId="71E67ED9"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-2.450693</w:t>
            </w:r>
          </w:p>
        </w:tc>
        <w:tc>
          <w:tcPr>
            <w:tcW w:w="1870" w:type="dxa"/>
            <w:vAlign w:val="bottom"/>
          </w:tcPr>
          <w:p w14:paraId="329D390D"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0.0199</w:t>
            </w:r>
          </w:p>
        </w:tc>
      </w:tr>
      <w:tr w:rsidR="00E24A6D" w14:paraId="202E0EF5" w14:textId="77777777" w:rsidTr="00A15522">
        <w:tc>
          <w:tcPr>
            <w:tcW w:w="1870" w:type="dxa"/>
            <w:vAlign w:val="bottom"/>
          </w:tcPr>
          <w:p w14:paraId="7A70B60C"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LNFOREX</w:t>
            </w:r>
          </w:p>
        </w:tc>
        <w:tc>
          <w:tcPr>
            <w:tcW w:w="1870" w:type="dxa"/>
            <w:vAlign w:val="bottom"/>
          </w:tcPr>
          <w:p w14:paraId="5104F400"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-3.294</w:t>
            </w:r>
          </w:p>
        </w:tc>
        <w:tc>
          <w:tcPr>
            <w:tcW w:w="1870" w:type="dxa"/>
            <w:vAlign w:val="bottom"/>
          </w:tcPr>
          <w:p w14:paraId="461197C4"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2.169196</w:t>
            </w:r>
          </w:p>
        </w:tc>
        <w:tc>
          <w:tcPr>
            <w:tcW w:w="1870" w:type="dxa"/>
            <w:vAlign w:val="bottom"/>
          </w:tcPr>
          <w:p w14:paraId="2BF80608"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-1.518885</w:t>
            </w:r>
          </w:p>
        </w:tc>
        <w:tc>
          <w:tcPr>
            <w:tcW w:w="1870" w:type="dxa"/>
            <w:vAlign w:val="bottom"/>
          </w:tcPr>
          <w:p w14:paraId="650C33DA"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0.1386</w:t>
            </w:r>
          </w:p>
        </w:tc>
      </w:tr>
      <w:tr w:rsidR="00E24A6D" w14:paraId="66EFCB25" w14:textId="77777777" w:rsidTr="00A15522">
        <w:tc>
          <w:tcPr>
            <w:tcW w:w="1870" w:type="dxa"/>
            <w:vAlign w:val="bottom"/>
          </w:tcPr>
          <w:p w14:paraId="2200A1E6"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LNFOREX(-1)</w:t>
            </w:r>
          </w:p>
        </w:tc>
        <w:tc>
          <w:tcPr>
            <w:tcW w:w="1870" w:type="dxa"/>
            <w:vAlign w:val="bottom"/>
          </w:tcPr>
          <w:p w14:paraId="0D4FC6AE"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4.030</w:t>
            </w:r>
          </w:p>
        </w:tc>
        <w:tc>
          <w:tcPr>
            <w:tcW w:w="1870" w:type="dxa"/>
            <w:vAlign w:val="bottom"/>
          </w:tcPr>
          <w:p w14:paraId="4885B7AF"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2.166529</w:t>
            </w:r>
          </w:p>
        </w:tc>
        <w:tc>
          <w:tcPr>
            <w:tcW w:w="1870" w:type="dxa"/>
            <w:vAlign w:val="bottom"/>
          </w:tcPr>
          <w:p w14:paraId="4CE49070"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1.860402</w:t>
            </w:r>
          </w:p>
        </w:tc>
        <w:tc>
          <w:tcPr>
            <w:tcW w:w="1870" w:type="dxa"/>
            <w:vAlign w:val="bottom"/>
          </w:tcPr>
          <w:p w14:paraId="7785E6AF"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0.0720</w:t>
            </w:r>
          </w:p>
        </w:tc>
      </w:tr>
      <w:tr w:rsidR="00E24A6D" w14:paraId="0E4FCDD9" w14:textId="77777777" w:rsidTr="00A15522">
        <w:tc>
          <w:tcPr>
            <w:tcW w:w="1870" w:type="dxa"/>
            <w:vAlign w:val="bottom"/>
          </w:tcPr>
          <w:p w14:paraId="18514926"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DINFLATION</w:t>
            </w:r>
          </w:p>
        </w:tc>
        <w:tc>
          <w:tcPr>
            <w:tcW w:w="1870" w:type="dxa"/>
            <w:vAlign w:val="bottom"/>
          </w:tcPr>
          <w:p w14:paraId="016FF034"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-0.075</w:t>
            </w:r>
          </w:p>
        </w:tc>
        <w:tc>
          <w:tcPr>
            <w:tcW w:w="1870" w:type="dxa"/>
            <w:vAlign w:val="bottom"/>
          </w:tcPr>
          <w:p w14:paraId="3E5EB39D"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0.035258</w:t>
            </w:r>
          </w:p>
        </w:tc>
        <w:tc>
          <w:tcPr>
            <w:tcW w:w="1870" w:type="dxa"/>
            <w:vAlign w:val="bottom"/>
          </w:tcPr>
          <w:p w14:paraId="521D54C5"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-2.149047</w:t>
            </w:r>
          </w:p>
        </w:tc>
        <w:tc>
          <w:tcPr>
            <w:tcW w:w="1870" w:type="dxa"/>
            <w:vAlign w:val="bottom"/>
          </w:tcPr>
          <w:p w14:paraId="4A49DA7D"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0.0393</w:t>
            </w:r>
          </w:p>
        </w:tc>
      </w:tr>
      <w:tr w:rsidR="00E24A6D" w14:paraId="36E38B17" w14:textId="77777777" w:rsidTr="00A15522">
        <w:tc>
          <w:tcPr>
            <w:tcW w:w="1870" w:type="dxa"/>
            <w:vAlign w:val="bottom"/>
          </w:tcPr>
          <w:p w14:paraId="2698A88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FDI</w:t>
            </w:r>
          </w:p>
        </w:tc>
        <w:tc>
          <w:tcPr>
            <w:tcW w:w="1870" w:type="dxa"/>
            <w:vAlign w:val="bottom"/>
          </w:tcPr>
          <w:p w14:paraId="4986A480"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6.51</w:t>
            </w:r>
            <w:r w:rsidR="0034209B" w:rsidRPr="00503F6C">
              <w:rPr>
                <w:sz w:val="24"/>
                <w:szCs w:val="24"/>
              </w:rPr>
              <w:t>0</w:t>
            </w:r>
          </w:p>
        </w:tc>
        <w:tc>
          <w:tcPr>
            <w:tcW w:w="1870" w:type="dxa"/>
            <w:vAlign w:val="bottom"/>
          </w:tcPr>
          <w:p w14:paraId="4D61B1B1"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3.15E-10</w:t>
            </w:r>
          </w:p>
        </w:tc>
        <w:tc>
          <w:tcPr>
            <w:tcW w:w="1870" w:type="dxa"/>
            <w:vAlign w:val="bottom"/>
          </w:tcPr>
          <w:p w14:paraId="37EAC26C"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2.066979</w:t>
            </w:r>
          </w:p>
        </w:tc>
        <w:tc>
          <w:tcPr>
            <w:tcW w:w="1870" w:type="dxa"/>
            <w:vAlign w:val="bottom"/>
          </w:tcPr>
          <w:p w14:paraId="44316B06"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0.0469</w:t>
            </w:r>
          </w:p>
        </w:tc>
      </w:tr>
      <w:tr w:rsidR="00E24A6D" w14:paraId="2F4AF6A6" w14:textId="77777777" w:rsidTr="00A15522">
        <w:tc>
          <w:tcPr>
            <w:tcW w:w="1870" w:type="dxa"/>
            <w:vAlign w:val="bottom"/>
          </w:tcPr>
          <w:p w14:paraId="525BB6E3"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C</w:t>
            </w:r>
          </w:p>
        </w:tc>
        <w:tc>
          <w:tcPr>
            <w:tcW w:w="1870" w:type="dxa"/>
            <w:vAlign w:val="bottom"/>
          </w:tcPr>
          <w:p w14:paraId="238411E3"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3.997</w:t>
            </w:r>
          </w:p>
        </w:tc>
        <w:tc>
          <w:tcPr>
            <w:tcW w:w="1870" w:type="dxa"/>
            <w:vAlign w:val="bottom"/>
          </w:tcPr>
          <w:p w14:paraId="1CAEE8C4"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2.258071</w:t>
            </w:r>
          </w:p>
        </w:tc>
        <w:tc>
          <w:tcPr>
            <w:tcW w:w="1870" w:type="dxa"/>
            <w:vAlign w:val="bottom"/>
          </w:tcPr>
          <w:p w14:paraId="7D245CA0"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1.770100</w:t>
            </w:r>
          </w:p>
        </w:tc>
        <w:tc>
          <w:tcPr>
            <w:tcW w:w="1870" w:type="dxa"/>
            <w:vAlign w:val="bottom"/>
          </w:tcPr>
          <w:p w14:paraId="77025384"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0.0862</w:t>
            </w:r>
          </w:p>
        </w:tc>
      </w:tr>
      <w:tr w:rsidR="00E24A6D" w14:paraId="28BE3581" w14:textId="77777777" w:rsidTr="00A15522">
        <w:tc>
          <w:tcPr>
            <w:tcW w:w="1870" w:type="dxa"/>
            <w:vAlign w:val="bottom"/>
          </w:tcPr>
          <w:p w14:paraId="69E51658"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R-squared</w:t>
            </w:r>
          </w:p>
        </w:tc>
        <w:tc>
          <w:tcPr>
            <w:tcW w:w="1870" w:type="dxa"/>
            <w:vAlign w:val="bottom"/>
          </w:tcPr>
          <w:p w14:paraId="14971838"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0.357</w:t>
            </w:r>
          </w:p>
        </w:tc>
        <w:tc>
          <w:tcPr>
            <w:tcW w:w="1870" w:type="dxa"/>
            <w:vAlign w:val="bottom"/>
          </w:tcPr>
          <w:p w14:paraId="0388E58D"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    Mean dependent var</w:t>
            </w:r>
          </w:p>
        </w:tc>
        <w:tc>
          <w:tcPr>
            <w:tcW w:w="1870" w:type="dxa"/>
            <w:vAlign w:val="bottom"/>
          </w:tcPr>
          <w:p w14:paraId="35DB1775"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4.173925</w:t>
            </w:r>
          </w:p>
        </w:tc>
        <w:tc>
          <w:tcPr>
            <w:tcW w:w="1870" w:type="dxa"/>
            <w:vAlign w:val="bottom"/>
          </w:tcPr>
          <w:p w14:paraId="311FB70D" w14:textId="77777777" w:rsidR="007C3226" w:rsidRPr="00503F6C" w:rsidRDefault="007C3226" w:rsidP="00503F6C">
            <w:pPr>
              <w:autoSpaceDE w:val="0"/>
              <w:autoSpaceDN w:val="0"/>
              <w:adjustRightInd w:val="0"/>
              <w:spacing w:line="360" w:lineRule="auto"/>
              <w:rPr>
                <w:sz w:val="24"/>
                <w:szCs w:val="24"/>
              </w:rPr>
            </w:pPr>
          </w:p>
        </w:tc>
      </w:tr>
      <w:tr w:rsidR="00E24A6D" w14:paraId="4FD42028" w14:textId="77777777" w:rsidTr="00A15522">
        <w:tc>
          <w:tcPr>
            <w:tcW w:w="1870" w:type="dxa"/>
            <w:vAlign w:val="bottom"/>
          </w:tcPr>
          <w:p w14:paraId="24177027"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Adjusted R-squared</w:t>
            </w:r>
          </w:p>
        </w:tc>
        <w:tc>
          <w:tcPr>
            <w:tcW w:w="1870" w:type="dxa"/>
            <w:vAlign w:val="bottom"/>
          </w:tcPr>
          <w:p w14:paraId="32365D4A"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0.236</w:t>
            </w:r>
          </w:p>
        </w:tc>
        <w:tc>
          <w:tcPr>
            <w:tcW w:w="1870" w:type="dxa"/>
            <w:vAlign w:val="bottom"/>
          </w:tcPr>
          <w:p w14:paraId="6AA5A08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    S.D. dependent var</w:t>
            </w:r>
          </w:p>
        </w:tc>
        <w:tc>
          <w:tcPr>
            <w:tcW w:w="1870" w:type="dxa"/>
            <w:vAlign w:val="bottom"/>
          </w:tcPr>
          <w:p w14:paraId="6F0CEB54"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3.767914</w:t>
            </w:r>
          </w:p>
        </w:tc>
        <w:tc>
          <w:tcPr>
            <w:tcW w:w="1870" w:type="dxa"/>
            <w:vAlign w:val="bottom"/>
          </w:tcPr>
          <w:p w14:paraId="5DACF8DD" w14:textId="77777777" w:rsidR="007C3226" w:rsidRPr="00503F6C" w:rsidRDefault="007C3226" w:rsidP="00503F6C">
            <w:pPr>
              <w:autoSpaceDE w:val="0"/>
              <w:autoSpaceDN w:val="0"/>
              <w:adjustRightInd w:val="0"/>
              <w:spacing w:line="360" w:lineRule="auto"/>
              <w:rPr>
                <w:sz w:val="24"/>
                <w:szCs w:val="24"/>
              </w:rPr>
            </w:pPr>
          </w:p>
        </w:tc>
      </w:tr>
      <w:tr w:rsidR="00E24A6D" w14:paraId="089B3C6E" w14:textId="77777777" w:rsidTr="00A15522">
        <w:tc>
          <w:tcPr>
            <w:tcW w:w="1870" w:type="dxa"/>
            <w:vAlign w:val="bottom"/>
          </w:tcPr>
          <w:p w14:paraId="17E291A0"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S.E. of regression</w:t>
            </w:r>
          </w:p>
        </w:tc>
        <w:tc>
          <w:tcPr>
            <w:tcW w:w="1870" w:type="dxa"/>
            <w:vAlign w:val="bottom"/>
          </w:tcPr>
          <w:p w14:paraId="69F95A99"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3.291</w:t>
            </w:r>
          </w:p>
        </w:tc>
        <w:tc>
          <w:tcPr>
            <w:tcW w:w="1870" w:type="dxa"/>
            <w:vAlign w:val="bottom"/>
          </w:tcPr>
          <w:p w14:paraId="1E15979F"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    Akaike info criterion</w:t>
            </w:r>
          </w:p>
        </w:tc>
        <w:tc>
          <w:tcPr>
            <w:tcW w:w="1870" w:type="dxa"/>
            <w:vAlign w:val="bottom"/>
          </w:tcPr>
          <w:p w14:paraId="3D6661CA"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5.381616</w:t>
            </w:r>
          </w:p>
        </w:tc>
        <w:tc>
          <w:tcPr>
            <w:tcW w:w="1870" w:type="dxa"/>
            <w:vAlign w:val="bottom"/>
          </w:tcPr>
          <w:p w14:paraId="1BC2509C" w14:textId="77777777" w:rsidR="007C3226" w:rsidRPr="00503F6C" w:rsidRDefault="007C3226" w:rsidP="00503F6C">
            <w:pPr>
              <w:autoSpaceDE w:val="0"/>
              <w:autoSpaceDN w:val="0"/>
              <w:adjustRightInd w:val="0"/>
              <w:spacing w:line="360" w:lineRule="auto"/>
              <w:rPr>
                <w:sz w:val="24"/>
                <w:szCs w:val="24"/>
              </w:rPr>
            </w:pPr>
          </w:p>
        </w:tc>
      </w:tr>
      <w:tr w:rsidR="00E24A6D" w14:paraId="665C81DF" w14:textId="77777777" w:rsidTr="00A15522">
        <w:tc>
          <w:tcPr>
            <w:tcW w:w="1870" w:type="dxa"/>
            <w:vAlign w:val="bottom"/>
          </w:tcPr>
          <w:p w14:paraId="4669ED93" w14:textId="77777777" w:rsidR="007C3226" w:rsidRPr="00503F6C" w:rsidRDefault="009A71CA" w:rsidP="00503F6C">
            <w:pPr>
              <w:autoSpaceDE w:val="0"/>
              <w:autoSpaceDN w:val="0"/>
              <w:adjustRightInd w:val="0"/>
              <w:spacing w:line="360" w:lineRule="auto"/>
              <w:rPr>
                <w:sz w:val="24"/>
                <w:szCs w:val="24"/>
              </w:rPr>
            </w:pPr>
            <w:r w:rsidRPr="00503F6C">
              <w:rPr>
                <w:sz w:val="24"/>
                <w:szCs w:val="24"/>
              </w:rPr>
              <w:lastRenderedPageBreak/>
              <w:t>Sum squared resid</w:t>
            </w:r>
          </w:p>
        </w:tc>
        <w:tc>
          <w:tcPr>
            <w:tcW w:w="1870" w:type="dxa"/>
            <w:vAlign w:val="bottom"/>
          </w:tcPr>
          <w:p w14:paraId="68CC0148"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346.653</w:t>
            </w:r>
          </w:p>
        </w:tc>
        <w:tc>
          <w:tcPr>
            <w:tcW w:w="1870" w:type="dxa"/>
            <w:vAlign w:val="bottom"/>
          </w:tcPr>
          <w:p w14:paraId="755A2209"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    Schwarz criterion</w:t>
            </w:r>
          </w:p>
        </w:tc>
        <w:tc>
          <w:tcPr>
            <w:tcW w:w="1870" w:type="dxa"/>
            <w:vAlign w:val="bottom"/>
          </w:tcPr>
          <w:p w14:paraId="1DD8AF47"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5.680204</w:t>
            </w:r>
          </w:p>
        </w:tc>
        <w:tc>
          <w:tcPr>
            <w:tcW w:w="1870" w:type="dxa"/>
            <w:vAlign w:val="bottom"/>
          </w:tcPr>
          <w:p w14:paraId="1CC901F3" w14:textId="77777777" w:rsidR="007C3226" w:rsidRPr="00503F6C" w:rsidRDefault="007C3226" w:rsidP="00503F6C">
            <w:pPr>
              <w:autoSpaceDE w:val="0"/>
              <w:autoSpaceDN w:val="0"/>
              <w:adjustRightInd w:val="0"/>
              <w:spacing w:line="360" w:lineRule="auto"/>
              <w:rPr>
                <w:sz w:val="24"/>
                <w:szCs w:val="24"/>
              </w:rPr>
            </w:pPr>
          </w:p>
        </w:tc>
      </w:tr>
      <w:tr w:rsidR="00E24A6D" w14:paraId="0D9023C5" w14:textId="77777777" w:rsidTr="00A15522">
        <w:tc>
          <w:tcPr>
            <w:tcW w:w="1870" w:type="dxa"/>
            <w:vAlign w:val="bottom"/>
          </w:tcPr>
          <w:p w14:paraId="05EF2381"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Log-likelihood</w:t>
            </w:r>
          </w:p>
        </w:tc>
        <w:tc>
          <w:tcPr>
            <w:tcW w:w="1870" w:type="dxa"/>
            <w:vAlign w:val="bottom"/>
          </w:tcPr>
          <w:p w14:paraId="4231B706"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-97.941</w:t>
            </w:r>
          </w:p>
        </w:tc>
        <w:tc>
          <w:tcPr>
            <w:tcW w:w="1870" w:type="dxa"/>
            <w:vAlign w:val="bottom"/>
          </w:tcPr>
          <w:p w14:paraId="08472CA3"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    Hannan-Quinn criter.</w:t>
            </w:r>
          </w:p>
        </w:tc>
        <w:tc>
          <w:tcPr>
            <w:tcW w:w="1870" w:type="dxa"/>
            <w:vAlign w:val="bottom"/>
          </w:tcPr>
          <w:p w14:paraId="2D881952"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5.488747</w:t>
            </w:r>
          </w:p>
        </w:tc>
        <w:tc>
          <w:tcPr>
            <w:tcW w:w="1870" w:type="dxa"/>
            <w:vAlign w:val="bottom"/>
          </w:tcPr>
          <w:p w14:paraId="594029CB" w14:textId="77777777" w:rsidR="007C3226" w:rsidRPr="00503F6C" w:rsidRDefault="007C3226" w:rsidP="00503F6C">
            <w:pPr>
              <w:autoSpaceDE w:val="0"/>
              <w:autoSpaceDN w:val="0"/>
              <w:adjustRightInd w:val="0"/>
              <w:spacing w:line="360" w:lineRule="auto"/>
              <w:rPr>
                <w:sz w:val="24"/>
                <w:szCs w:val="24"/>
              </w:rPr>
            </w:pPr>
          </w:p>
        </w:tc>
      </w:tr>
      <w:tr w:rsidR="00E24A6D" w14:paraId="7DEDCD22" w14:textId="77777777" w:rsidTr="00A15522">
        <w:tc>
          <w:tcPr>
            <w:tcW w:w="1870" w:type="dxa"/>
            <w:vAlign w:val="bottom"/>
          </w:tcPr>
          <w:p w14:paraId="6DB8F9EE"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F-statistic</w:t>
            </w:r>
          </w:p>
        </w:tc>
        <w:tc>
          <w:tcPr>
            <w:tcW w:w="1870" w:type="dxa"/>
            <w:vAlign w:val="bottom"/>
          </w:tcPr>
          <w:p w14:paraId="6C591698"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2.966</w:t>
            </w:r>
          </w:p>
        </w:tc>
        <w:tc>
          <w:tcPr>
            <w:tcW w:w="1870" w:type="dxa"/>
            <w:vAlign w:val="bottom"/>
          </w:tcPr>
          <w:p w14:paraId="30C4BE3B"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    Durbin-Watson stat</w:t>
            </w:r>
          </w:p>
        </w:tc>
        <w:tc>
          <w:tcPr>
            <w:tcW w:w="1870" w:type="dxa"/>
            <w:vAlign w:val="bottom"/>
          </w:tcPr>
          <w:p w14:paraId="06C29E66"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2.156280</w:t>
            </w:r>
          </w:p>
        </w:tc>
        <w:tc>
          <w:tcPr>
            <w:tcW w:w="1870" w:type="dxa"/>
            <w:vAlign w:val="bottom"/>
          </w:tcPr>
          <w:p w14:paraId="73437509" w14:textId="77777777" w:rsidR="007C3226" w:rsidRPr="00503F6C" w:rsidRDefault="007C3226" w:rsidP="00503F6C">
            <w:pPr>
              <w:autoSpaceDE w:val="0"/>
              <w:autoSpaceDN w:val="0"/>
              <w:adjustRightInd w:val="0"/>
              <w:spacing w:line="360" w:lineRule="auto"/>
              <w:rPr>
                <w:sz w:val="24"/>
                <w:szCs w:val="24"/>
              </w:rPr>
            </w:pPr>
          </w:p>
        </w:tc>
      </w:tr>
      <w:tr w:rsidR="00E24A6D" w14:paraId="6330F3E2" w14:textId="77777777" w:rsidTr="00A15522">
        <w:tc>
          <w:tcPr>
            <w:tcW w:w="1870" w:type="dxa"/>
            <w:vAlign w:val="bottom"/>
          </w:tcPr>
          <w:p w14:paraId="26E37CBA"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Prob(F-statistic)</w:t>
            </w:r>
          </w:p>
        </w:tc>
        <w:tc>
          <w:tcPr>
            <w:tcW w:w="1870" w:type="dxa"/>
            <w:vAlign w:val="bottom"/>
          </w:tcPr>
          <w:p w14:paraId="0034AA4A" w14:textId="77777777" w:rsidR="007C3226" w:rsidRPr="00503F6C" w:rsidRDefault="009A71CA" w:rsidP="00503F6C">
            <w:pPr>
              <w:autoSpaceDE w:val="0"/>
              <w:autoSpaceDN w:val="0"/>
              <w:adjustRightInd w:val="0"/>
              <w:spacing w:line="360" w:lineRule="auto"/>
              <w:rPr>
                <w:sz w:val="24"/>
                <w:szCs w:val="24"/>
              </w:rPr>
            </w:pPr>
            <w:r w:rsidRPr="00503F6C">
              <w:rPr>
                <w:sz w:val="24"/>
                <w:szCs w:val="24"/>
              </w:rPr>
              <w:t>0.020</w:t>
            </w:r>
          </w:p>
        </w:tc>
        <w:tc>
          <w:tcPr>
            <w:tcW w:w="1870" w:type="dxa"/>
            <w:vAlign w:val="bottom"/>
          </w:tcPr>
          <w:p w14:paraId="7F758DA1"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5BC754E5" w14:textId="77777777" w:rsidR="007C3226" w:rsidRPr="00503F6C" w:rsidRDefault="007C3226" w:rsidP="00503F6C">
            <w:pPr>
              <w:autoSpaceDE w:val="0"/>
              <w:autoSpaceDN w:val="0"/>
              <w:adjustRightInd w:val="0"/>
              <w:spacing w:line="360" w:lineRule="auto"/>
              <w:rPr>
                <w:sz w:val="24"/>
                <w:szCs w:val="24"/>
              </w:rPr>
            </w:pPr>
          </w:p>
        </w:tc>
        <w:tc>
          <w:tcPr>
            <w:tcW w:w="1870" w:type="dxa"/>
            <w:vAlign w:val="bottom"/>
          </w:tcPr>
          <w:p w14:paraId="0910C3B7" w14:textId="77777777" w:rsidR="007C3226" w:rsidRPr="00503F6C" w:rsidRDefault="007C3226" w:rsidP="00503F6C">
            <w:pPr>
              <w:autoSpaceDE w:val="0"/>
              <w:autoSpaceDN w:val="0"/>
              <w:adjustRightInd w:val="0"/>
              <w:spacing w:line="360" w:lineRule="auto"/>
              <w:rPr>
                <w:sz w:val="24"/>
                <w:szCs w:val="24"/>
              </w:rPr>
            </w:pPr>
          </w:p>
        </w:tc>
      </w:tr>
    </w:tbl>
    <w:p w14:paraId="68090BFA" w14:textId="77777777" w:rsidR="007C3226" w:rsidRPr="00503F6C" w:rsidRDefault="009A71CA" w:rsidP="00503F6C">
      <w:pPr>
        <w:autoSpaceDE w:val="0"/>
        <w:autoSpaceDN w:val="0"/>
        <w:adjustRightInd w:val="0"/>
        <w:spacing w:after="0" w:line="360" w:lineRule="auto"/>
        <w:rPr>
          <w:rFonts w:ascii="Times New Roman" w:hAnsi="Times New Roman" w:cs="Times New Roman"/>
        </w:rPr>
      </w:pPr>
      <w:r w:rsidRPr="00503F6C">
        <w:rPr>
          <w:rFonts w:ascii="Times New Roman" w:hAnsi="Times New Roman" w:cs="Times New Roman"/>
        </w:rPr>
        <w:t>Sources: Authors' own computations, Eviews 10</w:t>
      </w:r>
    </w:p>
    <w:p w14:paraId="3E1D5EB8" w14:textId="77777777" w:rsidR="007C3226"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 xml:space="preserve">The ARDL model was estimated using GDP growth (GDPG) as the dependent variable, covering the period from 1986 to 2024. The Akaike Information Criterion (AIC) was employed to determine the optimal lag structure, resulting in an </w:t>
      </w:r>
      <w:r w:rsidR="009336F9" w:rsidRPr="00503F6C">
        <w:rPr>
          <w:rFonts w:ascii="Times New Roman" w:hAnsi="Times New Roman" w:cs="Times New Roman"/>
        </w:rPr>
        <w:t>ARDL (</w:t>
      </w:r>
      <w:r w:rsidRPr="00503F6C">
        <w:rPr>
          <w:rFonts w:ascii="Times New Roman" w:hAnsi="Times New Roman" w:cs="Times New Roman"/>
        </w:rPr>
        <w:t>1,0,1,0,0) model.</w:t>
      </w:r>
    </w:p>
    <w:p w14:paraId="0AEF8B99" w14:textId="77777777" w:rsidR="006B428A" w:rsidRDefault="009A71CA" w:rsidP="00503F6C">
      <w:pPr>
        <w:spacing w:line="360" w:lineRule="auto"/>
        <w:jc w:val="both"/>
        <w:rPr>
          <w:rFonts w:ascii="Times New Roman" w:hAnsi="Times New Roman" w:cs="Times New Roman"/>
        </w:rPr>
      </w:pPr>
      <w:r w:rsidRPr="006B428A">
        <w:rPr>
          <w:rFonts w:ascii="Times New Roman" w:hAnsi="Times New Roman" w:cs="Times New Roman"/>
        </w:rPr>
        <w:t xml:space="preserve">The coefficient on lagged GDP growth (GDPG (-1)) is </w:t>
      </w:r>
      <w:r w:rsidR="00BE3FFC" w:rsidRPr="006B428A">
        <w:rPr>
          <w:rFonts w:ascii="Times New Roman" w:hAnsi="Times New Roman" w:cs="Times New Roman"/>
        </w:rPr>
        <w:t>0.0419,</w:t>
      </w:r>
      <w:r w:rsidRPr="006B428A">
        <w:rPr>
          <w:rFonts w:ascii="Times New Roman" w:hAnsi="Times New Roman" w:cs="Times New Roman"/>
        </w:rPr>
        <w:t xml:space="preserve"> with a p-value of 0.8011</w:t>
      </w:r>
      <w:r w:rsidRPr="00503F6C">
        <w:rPr>
          <w:rFonts w:ascii="Times New Roman" w:hAnsi="Times New Roman" w:cs="Times New Roman"/>
        </w:rPr>
        <w:t xml:space="preserve">, indicating that past GDP growth does not exert a statistically significant influence on current GDP growth. This suggests that GDP growth is primarily driven by contemporaneous economic dynamics rather than its own historical values. </w:t>
      </w:r>
    </w:p>
    <w:p w14:paraId="07C79E13" w14:textId="5F3EE54C" w:rsidR="009336F9" w:rsidRPr="00503F6C" w:rsidRDefault="009A71CA" w:rsidP="00503F6C">
      <w:pPr>
        <w:spacing w:line="360" w:lineRule="auto"/>
        <w:jc w:val="both"/>
        <w:rPr>
          <w:rFonts w:ascii="Times New Roman" w:hAnsi="Times New Roman" w:cs="Times New Roman"/>
          <w:color w:val="000000" w:themeColor="text1"/>
        </w:rPr>
      </w:pPr>
      <w:r w:rsidRPr="00503F6C">
        <w:rPr>
          <w:rFonts w:ascii="Times New Roman" w:hAnsi="Times New Roman" w:cs="Times New Roman"/>
        </w:rPr>
        <w:t xml:space="preserve">The coefficient on remittances (REM), </w:t>
      </w:r>
      <w:r w:rsidRPr="00503F6C">
        <w:rPr>
          <w:rFonts w:ascii="Times New Roman" w:hAnsi="Times New Roman" w:cs="Times New Roman"/>
          <w:color w:val="000000" w:themeColor="text1"/>
        </w:rPr>
        <w:t>which is the variable of interest</w:t>
      </w:r>
      <w:r w:rsidRPr="00503F6C">
        <w:rPr>
          <w:rFonts w:ascii="Times New Roman" w:hAnsi="Times New Roman" w:cs="Times New Roman"/>
          <w:b/>
          <w:bCs/>
          <w:color w:val="000000" w:themeColor="text1"/>
        </w:rPr>
        <w:t xml:space="preserve">, </w:t>
      </w:r>
      <w:r w:rsidRPr="00503F6C">
        <w:rPr>
          <w:rFonts w:ascii="Times New Roman" w:hAnsi="Times New Roman" w:cs="Times New Roman"/>
        </w:rPr>
        <w:t xml:space="preserve">is </w:t>
      </w:r>
      <w:r w:rsidRPr="006B428A">
        <w:rPr>
          <w:rFonts w:ascii="Times New Roman" w:hAnsi="Times New Roman" w:cs="Times New Roman"/>
        </w:rPr>
        <w:t>-2.790, with a p-value of 0.0199</w:t>
      </w:r>
      <w:r w:rsidRPr="00503F6C">
        <w:rPr>
          <w:rFonts w:ascii="Times New Roman" w:hAnsi="Times New Roman" w:cs="Times New Roman"/>
        </w:rPr>
        <w:t>, indicating a statistically significant negative impact on GDP growth</w:t>
      </w:r>
      <w:r w:rsidR="00BE3FFC" w:rsidRPr="00503F6C">
        <w:rPr>
          <w:rFonts w:ascii="Times New Roman" w:hAnsi="Times New Roman" w:cs="Times New Roman"/>
        </w:rPr>
        <w:t xml:space="preserve"> in the long run.</w:t>
      </w:r>
      <w:r w:rsidRPr="00503F6C">
        <w:rPr>
          <w:rFonts w:ascii="Times New Roman" w:hAnsi="Times New Roman" w:cs="Times New Roman"/>
        </w:rPr>
        <w:t xml:space="preserve"> </w:t>
      </w:r>
      <w:r w:rsidRPr="00503F6C">
        <w:rPr>
          <w:rFonts w:ascii="Times New Roman" w:hAnsi="Times New Roman" w:cs="Times New Roman"/>
          <w:color w:val="000000" w:themeColor="text1"/>
        </w:rPr>
        <w:t>This implies in the long run, at the current period, for every unit of remittances, economic growth is retards by 2.790 units holding all other factors constant</w:t>
      </w:r>
      <w:r w:rsidR="00BE3FFC" w:rsidRPr="00503F6C">
        <w:rPr>
          <w:rFonts w:ascii="Times New Roman" w:hAnsi="Times New Roman" w:cs="Times New Roman"/>
          <w:color w:val="000000" w:themeColor="text1"/>
        </w:rPr>
        <w:t xml:space="preserve">; this shows </w:t>
      </w:r>
      <w:r w:rsidRPr="00503F6C">
        <w:rPr>
          <w:rFonts w:ascii="Times New Roman" w:hAnsi="Times New Roman" w:cs="Times New Roman"/>
        </w:rPr>
        <w:t xml:space="preserve"> that increased remittance inflows have a negative influence on economic expansion.</w:t>
      </w:r>
      <w:r w:rsidRPr="00503F6C">
        <w:rPr>
          <w:rFonts w:ascii="Times New Roman" w:hAnsi="Times New Roman" w:cs="Times New Roman"/>
          <w:color w:val="000000" w:themeColor="text1"/>
        </w:rPr>
        <w:t xml:space="preserve"> This finding is not in line with a priori expectations because of the increasing levels of immigrant remittances to Nigeria over the years. </w:t>
      </w:r>
      <w:r w:rsidR="00BE3FFC" w:rsidRPr="00503F6C">
        <w:rPr>
          <w:rFonts w:ascii="Times New Roman" w:hAnsi="Times New Roman" w:cs="Times New Roman"/>
          <w:color w:val="000000" w:themeColor="text1"/>
        </w:rPr>
        <w:t>The</w:t>
      </w:r>
      <w:r w:rsidRPr="00503F6C">
        <w:rPr>
          <w:rFonts w:ascii="Times New Roman" w:hAnsi="Times New Roman" w:cs="Times New Roman"/>
          <w:color w:val="000000" w:themeColor="text1"/>
        </w:rPr>
        <w:t xml:space="preserve"> findings </w:t>
      </w:r>
      <w:r w:rsidR="00BE3FFC" w:rsidRPr="00503F6C">
        <w:rPr>
          <w:rFonts w:ascii="Times New Roman" w:hAnsi="Times New Roman" w:cs="Times New Roman"/>
          <w:color w:val="000000" w:themeColor="text1"/>
        </w:rPr>
        <w:t>align</w:t>
      </w:r>
      <w:r w:rsidRPr="00503F6C">
        <w:rPr>
          <w:rFonts w:ascii="Times New Roman" w:hAnsi="Times New Roman" w:cs="Times New Roman"/>
          <w:color w:val="000000" w:themeColor="text1"/>
        </w:rPr>
        <w:t xml:space="preserve"> with previous studies' positions (Nyasha &amp; Odhiambo, 2022 ; Olayungbo et al, 2020 ; Qutb, 2022; Ukhtiyani and  Indartono, 2020).</w:t>
      </w:r>
      <w:r w:rsidR="00BE3FFC" w:rsidRPr="00503F6C">
        <w:rPr>
          <w:rFonts w:ascii="Times New Roman" w:hAnsi="Times New Roman" w:cs="Times New Roman"/>
          <w:color w:val="000000" w:themeColor="text1"/>
        </w:rPr>
        <w:t xml:space="preserve"> However, these  </w:t>
      </w:r>
      <w:r w:rsidRPr="00503F6C">
        <w:rPr>
          <w:rFonts w:ascii="Times New Roman" w:hAnsi="Times New Roman" w:cs="Times New Roman"/>
          <w:color w:val="000000" w:themeColor="text1"/>
        </w:rPr>
        <w:t xml:space="preserve">findings </w:t>
      </w:r>
      <w:r w:rsidR="00BE3FFC" w:rsidRPr="00503F6C">
        <w:rPr>
          <w:rFonts w:ascii="Times New Roman" w:hAnsi="Times New Roman" w:cs="Times New Roman"/>
          <w:color w:val="000000" w:themeColor="text1"/>
        </w:rPr>
        <w:t>contradict</w:t>
      </w:r>
      <w:r w:rsidRPr="00503F6C">
        <w:rPr>
          <w:rFonts w:ascii="Times New Roman" w:hAnsi="Times New Roman" w:cs="Times New Roman"/>
          <w:color w:val="000000" w:themeColor="text1"/>
        </w:rPr>
        <w:t xml:space="preserve"> the earlier studies ( Adow 2025; Adjei et al. 2020; Azam 2015 ; </w:t>
      </w:r>
      <w:r w:rsidR="003D4DA2" w:rsidRPr="00503F6C">
        <w:rPr>
          <w:rFonts w:ascii="Times New Roman" w:hAnsi="Times New Roman" w:cs="Times New Roman"/>
        </w:rPr>
        <w:t>Murindagomo  &amp; Chiwira</w:t>
      </w:r>
      <w:r w:rsidR="005565E7" w:rsidRPr="00503F6C">
        <w:rPr>
          <w:rFonts w:ascii="Times New Roman" w:hAnsi="Times New Roman" w:cs="Times New Roman"/>
        </w:rPr>
        <w:t xml:space="preserve"> </w:t>
      </w:r>
      <w:r w:rsidR="003D4DA2" w:rsidRPr="00503F6C">
        <w:rPr>
          <w:rFonts w:ascii="Times New Roman" w:hAnsi="Times New Roman" w:cs="Times New Roman"/>
        </w:rPr>
        <w:t>2025</w:t>
      </w:r>
      <w:r w:rsidR="00B005B5" w:rsidRPr="00503F6C">
        <w:rPr>
          <w:rFonts w:ascii="Times New Roman" w:hAnsi="Times New Roman" w:cs="Times New Roman"/>
        </w:rPr>
        <w:t>;</w:t>
      </w:r>
      <w:r w:rsidR="003D4DA2" w:rsidRPr="00503F6C">
        <w:rPr>
          <w:rFonts w:ascii="Times New Roman" w:hAnsi="Times New Roman" w:cs="Times New Roman"/>
        </w:rPr>
        <w:t xml:space="preserve"> </w:t>
      </w:r>
      <w:r w:rsidRPr="00503F6C">
        <w:rPr>
          <w:rFonts w:ascii="Times New Roman" w:hAnsi="Times New Roman" w:cs="Times New Roman"/>
          <w:color w:val="000000" w:themeColor="text1"/>
        </w:rPr>
        <w:t xml:space="preserve">Depken et .al 2021 ;Meyer &amp;Shera 2017; </w:t>
      </w:r>
      <w:r w:rsidR="003E3E63" w:rsidRPr="003E3E63">
        <w:rPr>
          <w:rFonts w:ascii="Times New Roman" w:hAnsi="Times New Roman" w:cs="Times New Roman"/>
        </w:rPr>
        <w:t>Ugbaka</w:t>
      </w:r>
      <w:r w:rsidR="003E3E63">
        <w:rPr>
          <w:rFonts w:ascii="Times New Roman" w:hAnsi="Times New Roman" w:cs="Times New Roman"/>
        </w:rPr>
        <w:t xml:space="preserve"> </w:t>
      </w:r>
      <w:r w:rsidR="003E3E63" w:rsidRPr="003E3E63">
        <w:rPr>
          <w:rFonts w:ascii="Times New Roman" w:hAnsi="Times New Roman" w:cs="Times New Roman"/>
        </w:rPr>
        <w:t>2025</w:t>
      </w:r>
      <w:r w:rsidR="003E3E63">
        <w:rPr>
          <w:rFonts w:ascii="Times New Roman" w:hAnsi="Times New Roman" w:cs="Times New Roman"/>
        </w:rPr>
        <w:t>;</w:t>
      </w:r>
      <w:r w:rsidRPr="00503F6C">
        <w:rPr>
          <w:rFonts w:ascii="Times New Roman" w:hAnsi="Times New Roman" w:cs="Times New Roman"/>
          <w:color w:val="000000" w:themeColor="text1"/>
        </w:rPr>
        <w:t xml:space="preserve"> Yadeta &amp; Hunegnaw 2022). Furthermore, this result negates the position of the Solow-Swan growth model that postulates that capital accumulation remittances drive economic growth as an external source of capital expected to drive growth in addition to domestic savings and investment.</w:t>
      </w:r>
      <w:r w:rsidR="00BE3FFC" w:rsidRPr="00503F6C">
        <w:rPr>
          <w:rFonts w:ascii="Times New Roman" w:hAnsi="Times New Roman" w:cs="Times New Roman"/>
          <w:color w:val="000000" w:themeColor="text1"/>
        </w:rPr>
        <w:t xml:space="preserve">Also  it is inconsistent  with the position of </w:t>
      </w:r>
      <w:r w:rsidR="00BE3FFC" w:rsidRPr="00503F6C">
        <w:rPr>
          <w:rFonts w:ascii="Times New Roman" w:hAnsi="Times New Roman" w:cs="Times New Roman"/>
        </w:rPr>
        <w:t xml:space="preserve">prospect theory </w:t>
      </w:r>
      <w:r w:rsidR="00DD3EB0" w:rsidRPr="00503F6C">
        <w:rPr>
          <w:rFonts w:ascii="Times New Roman" w:hAnsi="Times New Roman" w:cs="Times New Roman"/>
        </w:rPr>
        <w:t>and theory of tempered altruism</w:t>
      </w:r>
      <w:r w:rsidR="00DD3EB0" w:rsidRPr="00503F6C">
        <w:rPr>
          <w:rFonts w:ascii="Times New Roman" w:hAnsi="Times New Roman" w:cs="Times New Roman"/>
          <w:b/>
          <w:bCs/>
        </w:rPr>
        <w:t xml:space="preserve"> </w:t>
      </w:r>
      <w:r w:rsidR="00BE3FFC" w:rsidRPr="00503F6C">
        <w:rPr>
          <w:rFonts w:ascii="Times New Roman" w:hAnsi="Times New Roman" w:cs="Times New Roman"/>
        </w:rPr>
        <w:t>that suggest</w:t>
      </w:r>
      <w:r w:rsidR="00DD3EB0" w:rsidRPr="00503F6C">
        <w:rPr>
          <w:rFonts w:ascii="Times New Roman" w:hAnsi="Times New Roman" w:cs="Times New Roman"/>
        </w:rPr>
        <w:t xml:space="preserve">s </w:t>
      </w:r>
      <w:r w:rsidR="00BE3FFC" w:rsidRPr="00503F6C">
        <w:rPr>
          <w:rFonts w:ascii="Times New Roman" w:hAnsi="Times New Roman" w:cs="Times New Roman"/>
        </w:rPr>
        <w:lastRenderedPageBreak/>
        <w:t xml:space="preserve">that continuous and positive trend remittances to families by emigrants should improve their livelihood. </w:t>
      </w:r>
    </w:p>
    <w:p w14:paraId="10080197" w14:textId="06E504EE" w:rsidR="007C3226"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The exchange rate plays a major role in immigrant remittance, i.e.  if the local currency appreciates against other currencies, it can be detrimental to remittance and vice versa when the exchange rate depreciates.. Exchange rate volatility is also an important yardstick for remittances because highly volatile can dissuade remittances. Regarding the foreign exchange rate (LNFOREX)</w:t>
      </w:r>
      <w:r w:rsidR="00DD3EB0" w:rsidRPr="00503F6C">
        <w:rPr>
          <w:rFonts w:ascii="Times New Roman" w:hAnsi="Times New Roman" w:cs="Times New Roman"/>
        </w:rPr>
        <w:t xml:space="preserve"> from Table </w:t>
      </w:r>
      <w:r w:rsidR="00EA162A">
        <w:rPr>
          <w:rFonts w:ascii="Times New Roman" w:hAnsi="Times New Roman" w:cs="Times New Roman"/>
        </w:rPr>
        <w:t>6</w:t>
      </w:r>
      <w:r w:rsidR="00DD3EB0" w:rsidRPr="00503F6C">
        <w:rPr>
          <w:rFonts w:ascii="Times New Roman" w:hAnsi="Times New Roman" w:cs="Times New Roman"/>
        </w:rPr>
        <w:t>, it exhibits</w:t>
      </w:r>
      <w:r w:rsidRPr="00503F6C">
        <w:rPr>
          <w:rFonts w:ascii="Times New Roman" w:hAnsi="Times New Roman" w:cs="Times New Roman"/>
        </w:rPr>
        <w:t xml:space="preserve"> a negative but statistically insignificant effect in the current period, with a coefficient of -3.294 and a p-value of 0.1386</w:t>
      </w:r>
      <w:r w:rsidR="00DD3EB0" w:rsidRPr="00503F6C">
        <w:rPr>
          <w:rFonts w:ascii="Times New Roman" w:hAnsi="Times New Roman" w:cs="Times New Roman"/>
        </w:rPr>
        <w:t xml:space="preserve"> in the long run. </w:t>
      </w:r>
      <w:r w:rsidRPr="00503F6C">
        <w:rPr>
          <w:rFonts w:ascii="Times New Roman" w:hAnsi="Times New Roman" w:cs="Times New Roman"/>
        </w:rPr>
        <w:t>However, the lagged foreign exchange value (LNFOREX(-</w:t>
      </w:r>
      <w:r w:rsidR="00DD3EB0" w:rsidRPr="00503F6C">
        <w:rPr>
          <w:rFonts w:ascii="Times New Roman" w:hAnsi="Times New Roman" w:cs="Times New Roman"/>
        </w:rPr>
        <w:t>1) has</w:t>
      </w:r>
      <w:r w:rsidRPr="00503F6C">
        <w:rPr>
          <w:rFonts w:ascii="Times New Roman" w:hAnsi="Times New Roman" w:cs="Times New Roman"/>
        </w:rPr>
        <w:t xml:space="preserve"> a positive coefficient of 4.0306 and is statistically insignificant with a </w:t>
      </w:r>
      <w:r w:rsidR="00DD3EB0" w:rsidRPr="00503F6C">
        <w:rPr>
          <w:rFonts w:ascii="Times New Roman" w:hAnsi="Times New Roman" w:cs="Times New Roman"/>
        </w:rPr>
        <w:t xml:space="preserve">p </w:t>
      </w:r>
      <w:r w:rsidR="00DD3EB0" w:rsidRPr="00503F6C">
        <w:rPr>
          <w:rFonts w:ascii="Times New Roman" w:hAnsi="Times New Roman" w:cs="Times New Roman"/>
          <w:b/>
          <w:bCs/>
        </w:rPr>
        <w:t>-</w:t>
      </w:r>
      <w:r w:rsidR="00DD3EB0" w:rsidRPr="00503F6C">
        <w:rPr>
          <w:rFonts w:ascii="Times New Roman" w:hAnsi="Times New Roman" w:cs="Times New Roman"/>
        </w:rPr>
        <w:t>value</w:t>
      </w:r>
      <w:r w:rsidRPr="00503F6C">
        <w:rPr>
          <w:rFonts w:ascii="Times New Roman" w:hAnsi="Times New Roman" w:cs="Times New Roman"/>
        </w:rPr>
        <w:t xml:space="preserve"> of </w:t>
      </w:r>
      <w:r w:rsidR="00DD3EB0" w:rsidRPr="00503F6C">
        <w:rPr>
          <w:rFonts w:ascii="Times New Roman" w:hAnsi="Times New Roman" w:cs="Times New Roman"/>
        </w:rPr>
        <w:t>0.0720.</w:t>
      </w:r>
      <w:r w:rsidRPr="00503F6C">
        <w:rPr>
          <w:rFonts w:ascii="Times New Roman" w:hAnsi="Times New Roman" w:cs="Times New Roman"/>
          <w:b/>
          <w:bCs/>
        </w:rPr>
        <w:t xml:space="preserve"> </w:t>
      </w:r>
      <w:r w:rsidRPr="00503F6C">
        <w:rPr>
          <w:rFonts w:ascii="Times New Roman" w:hAnsi="Times New Roman" w:cs="Times New Roman"/>
        </w:rPr>
        <w:t xml:space="preserve">This </w:t>
      </w:r>
      <w:r w:rsidR="00DD3EB0" w:rsidRPr="00503F6C">
        <w:rPr>
          <w:rFonts w:ascii="Times New Roman" w:hAnsi="Times New Roman" w:cs="Times New Roman"/>
        </w:rPr>
        <w:t>indicates</w:t>
      </w:r>
      <w:r w:rsidRPr="00503F6C">
        <w:rPr>
          <w:rFonts w:ascii="Times New Roman" w:hAnsi="Times New Roman" w:cs="Times New Roman"/>
        </w:rPr>
        <w:t xml:space="preserve"> that foreign exchange may exert a delayed positive impact on GDP growth, likely through exchange rate stabilization and enhanced investor confidence.</w:t>
      </w:r>
    </w:p>
    <w:p w14:paraId="1E31CAA9" w14:textId="77777777" w:rsidR="00C702B6" w:rsidRPr="00503F6C" w:rsidRDefault="009A71CA" w:rsidP="00503F6C">
      <w:pPr>
        <w:spacing w:after="0" w:line="360" w:lineRule="auto"/>
        <w:jc w:val="both"/>
        <w:rPr>
          <w:rFonts w:ascii="Times New Roman" w:hAnsi="Times New Roman" w:cs="Times New Roman"/>
        </w:rPr>
      </w:pPr>
      <w:r w:rsidRPr="00503F6C">
        <w:rPr>
          <w:rFonts w:ascii="Times New Roman" w:hAnsi="Times New Roman" w:cs="Times New Roman"/>
        </w:rPr>
        <w:t>Inflation (DINFLATION) is found to have a statistically significant negative effect on GDP growth, with a coefficient of -0.0758 and a p-value of 0.0393</w:t>
      </w:r>
      <w:r w:rsidR="00DD3EB0" w:rsidRPr="00503F6C">
        <w:rPr>
          <w:rFonts w:ascii="Times New Roman" w:hAnsi="Times New Roman" w:cs="Times New Roman"/>
        </w:rPr>
        <w:t xml:space="preserve"> in the long run. </w:t>
      </w:r>
      <w:r w:rsidRPr="00503F6C">
        <w:rPr>
          <w:rFonts w:ascii="Times New Roman" w:hAnsi="Times New Roman" w:cs="Times New Roman"/>
        </w:rPr>
        <w:t xml:space="preserve">This confirms </w:t>
      </w:r>
      <w:r w:rsidR="00060BBC" w:rsidRPr="00503F6C">
        <w:rPr>
          <w:rFonts w:ascii="Times New Roman" w:hAnsi="Times New Roman" w:cs="Times New Roman"/>
        </w:rPr>
        <w:t xml:space="preserve">the impact of </w:t>
      </w:r>
      <w:r w:rsidRPr="00503F6C">
        <w:rPr>
          <w:rFonts w:ascii="Times New Roman" w:hAnsi="Times New Roman" w:cs="Times New Roman"/>
        </w:rPr>
        <w:t xml:space="preserve">rising inflation </w:t>
      </w:r>
      <w:r w:rsidR="00060BBC" w:rsidRPr="00503F6C">
        <w:rPr>
          <w:rFonts w:ascii="Times New Roman" w:hAnsi="Times New Roman" w:cs="Times New Roman"/>
        </w:rPr>
        <w:t xml:space="preserve">on growth, </w:t>
      </w:r>
      <w:r w:rsidRPr="00503F6C">
        <w:rPr>
          <w:rFonts w:ascii="Times New Roman" w:hAnsi="Times New Roman" w:cs="Times New Roman"/>
        </w:rPr>
        <w:t xml:space="preserve">possibly due to increased macroeconomic </w:t>
      </w:r>
      <w:r w:rsidR="00060BBC" w:rsidRPr="00503F6C">
        <w:rPr>
          <w:rFonts w:ascii="Times New Roman" w:hAnsi="Times New Roman" w:cs="Times New Roman"/>
        </w:rPr>
        <w:t>uncertainties. These</w:t>
      </w:r>
      <w:r w:rsidRPr="00503F6C">
        <w:rPr>
          <w:rFonts w:ascii="Times New Roman" w:hAnsi="Times New Roman" w:cs="Times New Roman"/>
        </w:rPr>
        <w:t xml:space="preserve"> results affirm the position of earlier studies </w:t>
      </w:r>
      <w:r w:rsidR="00DD3EB0" w:rsidRPr="00503F6C">
        <w:rPr>
          <w:rFonts w:ascii="Times New Roman" w:hAnsi="Times New Roman" w:cs="Times New Roman"/>
        </w:rPr>
        <w:t>like (</w:t>
      </w:r>
      <w:r w:rsidRPr="00503F6C">
        <w:rPr>
          <w:rFonts w:ascii="Times New Roman" w:hAnsi="Times New Roman" w:cs="Times New Roman"/>
        </w:rPr>
        <w:t>Khan et .al 2019</w:t>
      </w:r>
      <w:r w:rsidR="00DD3EB0" w:rsidRPr="00503F6C">
        <w:rPr>
          <w:rFonts w:ascii="Times New Roman" w:hAnsi="Times New Roman" w:cs="Times New Roman"/>
        </w:rPr>
        <w:t xml:space="preserve">). Also, important to note </w:t>
      </w:r>
      <w:r w:rsidRPr="00503F6C">
        <w:rPr>
          <w:rFonts w:ascii="Times New Roman" w:hAnsi="Times New Roman" w:cs="Times New Roman"/>
        </w:rPr>
        <w:t xml:space="preserve">domestic inflation often erodes the purchasing power of receivers of the remittances, which can retard growth over </w:t>
      </w:r>
      <w:r w:rsidR="00D771A5" w:rsidRPr="00503F6C">
        <w:rPr>
          <w:rFonts w:ascii="Times New Roman" w:hAnsi="Times New Roman" w:cs="Times New Roman"/>
        </w:rPr>
        <w:t>a period.</w:t>
      </w:r>
      <w:r w:rsidRPr="00503F6C">
        <w:rPr>
          <w:rFonts w:ascii="Times New Roman" w:hAnsi="Times New Roman" w:cs="Times New Roman"/>
        </w:rPr>
        <w:t xml:space="preserve"> </w:t>
      </w:r>
    </w:p>
    <w:p w14:paraId="77386FD6" w14:textId="20DF322F" w:rsidR="00D771A5" w:rsidRPr="00850C0D" w:rsidRDefault="009A71CA" w:rsidP="00503F6C">
      <w:pPr>
        <w:spacing w:line="360" w:lineRule="auto"/>
        <w:jc w:val="both"/>
        <w:rPr>
          <w:rFonts w:ascii="Times New Roman" w:hAnsi="Times New Roman" w:cs="Times New Roman"/>
          <w:color w:val="FF0000"/>
        </w:rPr>
      </w:pPr>
      <w:r w:rsidRPr="00503F6C">
        <w:rPr>
          <w:rFonts w:ascii="Times New Roman" w:hAnsi="Times New Roman" w:cs="Times New Roman"/>
        </w:rPr>
        <w:t xml:space="preserve">In the case </w:t>
      </w:r>
      <w:r w:rsidR="00DD3EB0" w:rsidRPr="00503F6C">
        <w:rPr>
          <w:rFonts w:ascii="Times New Roman" w:hAnsi="Times New Roman" w:cs="Times New Roman"/>
        </w:rPr>
        <w:t>of foreign</w:t>
      </w:r>
      <w:r w:rsidR="007C3226" w:rsidRPr="00503F6C">
        <w:rPr>
          <w:rFonts w:ascii="Times New Roman" w:hAnsi="Times New Roman" w:cs="Times New Roman"/>
        </w:rPr>
        <w:t xml:space="preserve"> direct investment (FDI)</w:t>
      </w:r>
      <w:r w:rsidR="00DD3EB0" w:rsidRPr="00503F6C">
        <w:rPr>
          <w:rFonts w:ascii="Times New Roman" w:hAnsi="Times New Roman" w:cs="Times New Roman"/>
        </w:rPr>
        <w:t xml:space="preserve"> from Table </w:t>
      </w:r>
      <w:r w:rsidR="00EA162A">
        <w:rPr>
          <w:rFonts w:ascii="Times New Roman" w:hAnsi="Times New Roman" w:cs="Times New Roman"/>
        </w:rPr>
        <w:t>7</w:t>
      </w:r>
      <w:r w:rsidR="00DD3EB0" w:rsidRPr="00503F6C">
        <w:rPr>
          <w:rFonts w:ascii="Times New Roman" w:hAnsi="Times New Roman" w:cs="Times New Roman"/>
        </w:rPr>
        <w:t xml:space="preserve"> exhibits</w:t>
      </w:r>
      <w:r w:rsidR="007C3226" w:rsidRPr="00503F6C">
        <w:rPr>
          <w:rFonts w:ascii="Times New Roman" w:hAnsi="Times New Roman" w:cs="Times New Roman"/>
        </w:rPr>
        <w:t xml:space="preserve"> a statistically significant positive impact on GDP growth, with a coefficient of 6.510 and a p-value of 0.0469. This underscores the role of foreign investment as a driver of economic growth, likely through capital accumulation, technology transfer, and productivity enhancements.</w:t>
      </w:r>
      <w:r w:rsidRPr="00503F6C">
        <w:rPr>
          <w:rFonts w:ascii="Times New Roman" w:hAnsi="Times New Roman" w:cs="Times New Roman"/>
        </w:rPr>
        <w:t xml:space="preserve"> </w:t>
      </w:r>
      <w:r w:rsidR="00556E03" w:rsidRPr="00503F6C">
        <w:rPr>
          <w:rFonts w:ascii="Times New Roman" w:hAnsi="Times New Roman" w:cs="Times New Roman"/>
        </w:rPr>
        <w:t>This finding</w:t>
      </w:r>
      <w:r w:rsidR="00DD3EB0" w:rsidRPr="00503F6C">
        <w:rPr>
          <w:rFonts w:ascii="Times New Roman" w:hAnsi="Times New Roman" w:cs="Times New Roman"/>
        </w:rPr>
        <w:t xml:space="preserve"> is</w:t>
      </w:r>
      <w:r w:rsidRPr="00503F6C">
        <w:rPr>
          <w:rFonts w:ascii="Times New Roman" w:hAnsi="Times New Roman" w:cs="Times New Roman"/>
        </w:rPr>
        <w:t xml:space="preserve"> consistent with the position of  (Azam 2015;Depken  et .al 2021 ;Khan et .al 2019</w:t>
      </w:r>
      <w:r w:rsidR="00850C0D" w:rsidRPr="00503F6C">
        <w:rPr>
          <w:rFonts w:ascii="Times New Roman" w:hAnsi="Times New Roman" w:cs="Times New Roman"/>
        </w:rPr>
        <w:t>). The</w:t>
      </w:r>
      <w:r w:rsidRPr="00503F6C">
        <w:rPr>
          <w:rFonts w:ascii="Times New Roman" w:hAnsi="Times New Roman" w:cs="Times New Roman"/>
        </w:rPr>
        <w:t xml:space="preserve"> positive influence of FDI on growth is in line with the position of Solow-Swan growth model that postulates that economic </w:t>
      </w:r>
      <w:r w:rsidRPr="00850C0D">
        <w:rPr>
          <w:rFonts w:ascii="Times New Roman" w:hAnsi="Times New Roman" w:cs="Times New Roman"/>
        </w:rPr>
        <w:t xml:space="preserve">growth is driven by capital accumulation which can be in form foreign capital inflow. </w:t>
      </w:r>
    </w:p>
    <w:p w14:paraId="4B2758A8" w14:textId="77777777" w:rsidR="00452938" w:rsidRPr="00503F6C" w:rsidRDefault="009A71CA" w:rsidP="00503F6C">
      <w:pPr>
        <w:spacing w:line="360" w:lineRule="auto"/>
        <w:jc w:val="both"/>
        <w:rPr>
          <w:rFonts w:ascii="Times New Roman" w:hAnsi="Times New Roman" w:cs="Times New Roman"/>
        </w:rPr>
      </w:pPr>
      <w:r w:rsidRPr="00503F6C">
        <w:rPr>
          <w:rFonts w:ascii="Times New Roman" w:hAnsi="Times New Roman" w:cs="Times New Roman"/>
        </w:rPr>
        <w:t>The overall model fit is moderate, with an R-squared value of 0.3574, indicating that approximately 35.7% of the variation in GDP growth is explained by the independent variables</w:t>
      </w:r>
      <w:r w:rsidR="00786D2C" w:rsidRPr="00503F6C">
        <w:rPr>
          <w:rFonts w:ascii="Times New Roman" w:hAnsi="Times New Roman" w:cs="Times New Roman"/>
        </w:rPr>
        <w:t xml:space="preserve">. </w:t>
      </w:r>
      <w:r w:rsidRPr="00503F6C">
        <w:rPr>
          <w:rFonts w:ascii="Times New Roman" w:hAnsi="Times New Roman" w:cs="Times New Roman"/>
        </w:rPr>
        <w:t>The Durbin-Watson statistic (2.1560) suggests that serial correlation is not a major concern in the model.</w:t>
      </w:r>
      <w:r w:rsidR="00786D2C" w:rsidRPr="00503F6C">
        <w:rPr>
          <w:rFonts w:ascii="Times New Roman" w:hAnsi="Times New Roman" w:cs="Times New Roman"/>
          <w:color w:val="FF0000"/>
        </w:rPr>
        <w:t xml:space="preserve"> </w:t>
      </w:r>
      <w:r w:rsidR="00786D2C" w:rsidRPr="00503F6C">
        <w:rPr>
          <w:rFonts w:ascii="Times New Roman" w:hAnsi="Times New Roman" w:cs="Times New Roman"/>
        </w:rPr>
        <w:t xml:space="preserve">The F-statistic (2.9669, p = 0.0203) confirms the overall significance of the model at the </w:t>
      </w:r>
      <w:r w:rsidR="00786D2C" w:rsidRPr="00503F6C">
        <w:rPr>
          <w:rFonts w:ascii="Times New Roman" w:hAnsi="Times New Roman" w:cs="Times New Roman"/>
        </w:rPr>
        <w:lastRenderedPageBreak/>
        <w:t>5% level and that the model is statistically significant, meaning that the included variables collectively explain a significant proportion of GDP growth variations.</w:t>
      </w:r>
    </w:p>
    <w:p w14:paraId="3F80FEDF" w14:textId="77777777" w:rsidR="00ED291F" w:rsidRPr="00850C0D" w:rsidRDefault="009A71CA" w:rsidP="00503F6C">
      <w:pPr>
        <w:autoSpaceDE w:val="0"/>
        <w:autoSpaceDN w:val="0"/>
        <w:adjustRightInd w:val="0"/>
        <w:spacing w:after="0" w:line="360" w:lineRule="auto"/>
        <w:rPr>
          <w:rFonts w:ascii="Times New Roman" w:hAnsi="Times New Roman" w:cs="Times New Roman"/>
          <w:b/>
          <w:bCs/>
        </w:rPr>
      </w:pPr>
      <w:r w:rsidRPr="00850C0D">
        <w:rPr>
          <w:rFonts w:ascii="Times New Roman" w:hAnsi="Times New Roman" w:cs="Times New Roman"/>
          <w:b/>
          <w:bCs/>
        </w:rPr>
        <w:t xml:space="preserve">4.7 </w:t>
      </w:r>
      <w:r w:rsidR="00E06B33" w:rsidRPr="00850C0D">
        <w:rPr>
          <w:rFonts w:ascii="Times New Roman" w:hAnsi="Times New Roman" w:cs="Times New Roman"/>
          <w:b/>
          <w:bCs/>
        </w:rPr>
        <w:t xml:space="preserve">Error Correction Model (ECM) </w:t>
      </w:r>
    </w:p>
    <w:p w14:paraId="52BE82AF" w14:textId="479E38E2" w:rsidR="00786D2C" w:rsidRPr="00850C0D" w:rsidRDefault="009A71CA" w:rsidP="00503F6C">
      <w:pPr>
        <w:autoSpaceDE w:val="0"/>
        <w:autoSpaceDN w:val="0"/>
        <w:adjustRightInd w:val="0"/>
        <w:spacing w:after="0" w:line="360" w:lineRule="auto"/>
        <w:rPr>
          <w:rFonts w:ascii="Times New Roman" w:hAnsi="Times New Roman" w:cs="Times New Roman"/>
          <w:b/>
          <w:bCs/>
        </w:rPr>
      </w:pPr>
      <w:r w:rsidRPr="00850C0D">
        <w:rPr>
          <w:rFonts w:ascii="Times New Roman" w:hAnsi="Times New Roman" w:cs="Times New Roman"/>
          <w:b/>
          <w:bCs/>
        </w:rPr>
        <w:t xml:space="preserve">Table </w:t>
      </w:r>
      <w:r w:rsidR="00EA162A">
        <w:rPr>
          <w:rFonts w:ascii="Times New Roman" w:hAnsi="Times New Roman" w:cs="Times New Roman"/>
          <w:b/>
          <w:bCs/>
        </w:rPr>
        <w:t>8</w:t>
      </w:r>
      <w:r w:rsidR="00F40D67" w:rsidRPr="00850C0D">
        <w:rPr>
          <w:rFonts w:ascii="Times New Roman" w:hAnsi="Times New Roman" w:cs="Times New Roman"/>
          <w:b/>
          <w:bCs/>
        </w:rPr>
        <w:t xml:space="preserve"> </w:t>
      </w:r>
      <w:r w:rsidRPr="00850C0D">
        <w:rPr>
          <w:rFonts w:ascii="Times New Roman" w:hAnsi="Times New Roman" w:cs="Times New Roman"/>
          <w:b/>
          <w:bCs/>
        </w:rPr>
        <w:t>Error Correction Model (ECM</w:t>
      </w:r>
      <w:r w:rsidR="00460A8A" w:rsidRPr="00850C0D">
        <w:rPr>
          <w:rFonts w:ascii="Times New Roman" w:hAnsi="Times New Roman" w:cs="Times New Roman"/>
          <w:b/>
          <w:bCs/>
        </w:rPr>
        <w:t>)</w:t>
      </w:r>
      <w:r w:rsidRPr="00850C0D">
        <w:rPr>
          <w:rFonts w:ascii="Times New Roman" w:hAnsi="Times New Roman" w:cs="Times New Roman"/>
          <w:b/>
          <w:bCs/>
        </w:rPr>
        <w:t>Results</w:t>
      </w:r>
    </w:p>
    <w:tbl>
      <w:tblPr>
        <w:tblStyle w:val="TableGrid"/>
        <w:tblW w:w="0" w:type="auto"/>
        <w:tblLook w:val="04A0" w:firstRow="1" w:lastRow="0" w:firstColumn="1" w:lastColumn="0" w:noHBand="0" w:noVBand="1"/>
      </w:tblPr>
      <w:tblGrid>
        <w:gridCol w:w="2003"/>
        <w:gridCol w:w="1870"/>
        <w:gridCol w:w="1870"/>
        <w:gridCol w:w="1870"/>
        <w:gridCol w:w="1870"/>
      </w:tblGrid>
      <w:tr w:rsidR="00E24A6D" w14:paraId="04ABE6B4" w14:textId="77777777" w:rsidTr="00A15522">
        <w:tc>
          <w:tcPr>
            <w:tcW w:w="1870" w:type="dxa"/>
            <w:vAlign w:val="bottom"/>
          </w:tcPr>
          <w:p w14:paraId="71A84CF6"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Variable</w:t>
            </w:r>
          </w:p>
        </w:tc>
        <w:tc>
          <w:tcPr>
            <w:tcW w:w="1870" w:type="dxa"/>
            <w:vAlign w:val="bottom"/>
          </w:tcPr>
          <w:p w14:paraId="609D6DF4"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Coefficient</w:t>
            </w:r>
          </w:p>
        </w:tc>
        <w:tc>
          <w:tcPr>
            <w:tcW w:w="1870" w:type="dxa"/>
            <w:vAlign w:val="bottom"/>
          </w:tcPr>
          <w:p w14:paraId="12901BC2"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Std. Error</w:t>
            </w:r>
          </w:p>
        </w:tc>
        <w:tc>
          <w:tcPr>
            <w:tcW w:w="1870" w:type="dxa"/>
            <w:vAlign w:val="bottom"/>
          </w:tcPr>
          <w:p w14:paraId="3D85AD74"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t-Statistic</w:t>
            </w:r>
          </w:p>
        </w:tc>
        <w:tc>
          <w:tcPr>
            <w:tcW w:w="1870" w:type="dxa"/>
            <w:vAlign w:val="bottom"/>
          </w:tcPr>
          <w:p w14:paraId="4C5C1C06"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Prob.  </w:t>
            </w:r>
          </w:p>
        </w:tc>
      </w:tr>
      <w:tr w:rsidR="00E24A6D" w14:paraId="4838D9C4" w14:textId="77777777" w:rsidTr="00A15522">
        <w:tc>
          <w:tcPr>
            <w:tcW w:w="1870" w:type="dxa"/>
            <w:vAlign w:val="bottom"/>
          </w:tcPr>
          <w:p w14:paraId="51BE36AB"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09442F91"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17E1814E"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412A4695"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0DE29348" w14:textId="77777777" w:rsidR="00786D2C" w:rsidRPr="00503F6C" w:rsidRDefault="00786D2C" w:rsidP="00503F6C">
            <w:pPr>
              <w:autoSpaceDE w:val="0"/>
              <w:autoSpaceDN w:val="0"/>
              <w:adjustRightInd w:val="0"/>
              <w:spacing w:line="360" w:lineRule="auto"/>
              <w:rPr>
                <w:sz w:val="24"/>
                <w:szCs w:val="24"/>
              </w:rPr>
            </w:pPr>
          </w:p>
        </w:tc>
      </w:tr>
      <w:tr w:rsidR="00E24A6D" w14:paraId="1C8E25AC" w14:textId="77777777" w:rsidTr="00A15522">
        <w:tc>
          <w:tcPr>
            <w:tcW w:w="1870" w:type="dxa"/>
            <w:vAlign w:val="bottom"/>
          </w:tcPr>
          <w:p w14:paraId="48071F47"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5447AFEC"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5D34D55D"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4EEA2873"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081EB18D" w14:textId="77777777" w:rsidR="00786D2C" w:rsidRPr="00503F6C" w:rsidRDefault="00786D2C" w:rsidP="00503F6C">
            <w:pPr>
              <w:autoSpaceDE w:val="0"/>
              <w:autoSpaceDN w:val="0"/>
              <w:adjustRightInd w:val="0"/>
              <w:spacing w:line="360" w:lineRule="auto"/>
              <w:rPr>
                <w:sz w:val="24"/>
                <w:szCs w:val="24"/>
              </w:rPr>
            </w:pPr>
          </w:p>
        </w:tc>
      </w:tr>
      <w:tr w:rsidR="00E24A6D" w14:paraId="12608AEA" w14:textId="77777777" w:rsidTr="00A15522">
        <w:tc>
          <w:tcPr>
            <w:tcW w:w="1870" w:type="dxa"/>
            <w:vAlign w:val="bottom"/>
          </w:tcPr>
          <w:p w14:paraId="1447FAD9"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C</w:t>
            </w:r>
          </w:p>
        </w:tc>
        <w:tc>
          <w:tcPr>
            <w:tcW w:w="1870" w:type="dxa"/>
            <w:vAlign w:val="bottom"/>
          </w:tcPr>
          <w:p w14:paraId="286F15A0"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0.368394</w:t>
            </w:r>
          </w:p>
        </w:tc>
        <w:tc>
          <w:tcPr>
            <w:tcW w:w="1870" w:type="dxa"/>
            <w:vAlign w:val="bottom"/>
          </w:tcPr>
          <w:p w14:paraId="489D56D8"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0.715891</w:t>
            </w:r>
          </w:p>
        </w:tc>
        <w:tc>
          <w:tcPr>
            <w:tcW w:w="1870" w:type="dxa"/>
            <w:vAlign w:val="bottom"/>
          </w:tcPr>
          <w:p w14:paraId="57196D64"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0.514596</w:t>
            </w:r>
          </w:p>
        </w:tc>
        <w:tc>
          <w:tcPr>
            <w:tcW w:w="1870" w:type="dxa"/>
            <w:vAlign w:val="bottom"/>
          </w:tcPr>
          <w:p w14:paraId="058675C4"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0.6109</w:t>
            </w:r>
          </w:p>
        </w:tc>
      </w:tr>
      <w:tr w:rsidR="00E24A6D" w14:paraId="1029022B" w14:textId="77777777" w:rsidTr="00A15522">
        <w:tc>
          <w:tcPr>
            <w:tcW w:w="1870" w:type="dxa"/>
            <w:vAlign w:val="bottom"/>
          </w:tcPr>
          <w:p w14:paraId="1CBDFB04"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D(GDPG(-1))</w:t>
            </w:r>
          </w:p>
        </w:tc>
        <w:tc>
          <w:tcPr>
            <w:tcW w:w="1870" w:type="dxa"/>
            <w:vAlign w:val="bottom"/>
          </w:tcPr>
          <w:p w14:paraId="3F539149"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-0.153640</w:t>
            </w:r>
          </w:p>
        </w:tc>
        <w:tc>
          <w:tcPr>
            <w:tcW w:w="1870" w:type="dxa"/>
            <w:vAlign w:val="bottom"/>
          </w:tcPr>
          <w:p w14:paraId="03F96647"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0.181670</w:t>
            </w:r>
          </w:p>
        </w:tc>
        <w:tc>
          <w:tcPr>
            <w:tcW w:w="1870" w:type="dxa"/>
            <w:vAlign w:val="bottom"/>
          </w:tcPr>
          <w:p w14:paraId="11D57395"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-0.845711</w:t>
            </w:r>
          </w:p>
        </w:tc>
        <w:tc>
          <w:tcPr>
            <w:tcW w:w="1870" w:type="dxa"/>
            <w:vAlign w:val="bottom"/>
          </w:tcPr>
          <w:p w14:paraId="44BFE109"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0.4049</w:t>
            </w:r>
          </w:p>
        </w:tc>
      </w:tr>
      <w:tr w:rsidR="00E24A6D" w14:paraId="6FFE2034" w14:textId="77777777" w:rsidTr="00A15522">
        <w:tc>
          <w:tcPr>
            <w:tcW w:w="1870" w:type="dxa"/>
            <w:vAlign w:val="bottom"/>
          </w:tcPr>
          <w:p w14:paraId="1044F4AE"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D(REM)</w:t>
            </w:r>
          </w:p>
        </w:tc>
        <w:tc>
          <w:tcPr>
            <w:tcW w:w="1870" w:type="dxa"/>
            <w:vAlign w:val="bottom"/>
          </w:tcPr>
          <w:p w14:paraId="406B6E82"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2.091</w:t>
            </w:r>
          </w:p>
        </w:tc>
        <w:tc>
          <w:tcPr>
            <w:tcW w:w="1870" w:type="dxa"/>
            <w:vAlign w:val="bottom"/>
          </w:tcPr>
          <w:p w14:paraId="747B4D03"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2.33E-10</w:t>
            </w:r>
          </w:p>
        </w:tc>
        <w:tc>
          <w:tcPr>
            <w:tcW w:w="1870" w:type="dxa"/>
            <w:vAlign w:val="bottom"/>
          </w:tcPr>
          <w:p w14:paraId="3946597C"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0.090002</w:t>
            </w:r>
          </w:p>
        </w:tc>
        <w:tc>
          <w:tcPr>
            <w:tcW w:w="1870" w:type="dxa"/>
            <w:vAlign w:val="bottom"/>
          </w:tcPr>
          <w:p w14:paraId="5AE3CB61"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0.9289</w:t>
            </w:r>
          </w:p>
        </w:tc>
      </w:tr>
      <w:tr w:rsidR="00E24A6D" w14:paraId="6A0A1607" w14:textId="77777777" w:rsidTr="00A15522">
        <w:tc>
          <w:tcPr>
            <w:tcW w:w="1870" w:type="dxa"/>
            <w:vAlign w:val="bottom"/>
          </w:tcPr>
          <w:p w14:paraId="03264E2D"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D(REM(-1))</w:t>
            </w:r>
          </w:p>
        </w:tc>
        <w:tc>
          <w:tcPr>
            <w:tcW w:w="1870" w:type="dxa"/>
            <w:vAlign w:val="bottom"/>
          </w:tcPr>
          <w:p w14:paraId="6F91BB62"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-2.96E-10</w:t>
            </w:r>
          </w:p>
        </w:tc>
        <w:tc>
          <w:tcPr>
            <w:tcW w:w="1870" w:type="dxa"/>
            <w:vAlign w:val="bottom"/>
          </w:tcPr>
          <w:p w14:paraId="44CE90CB"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2.36E-10</w:t>
            </w:r>
          </w:p>
        </w:tc>
        <w:tc>
          <w:tcPr>
            <w:tcW w:w="1870" w:type="dxa"/>
            <w:vAlign w:val="bottom"/>
          </w:tcPr>
          <w:p w14:paraId="4395A5C5"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-1.252776</w:t>
            </w:r>
          </w:p>
        </w:tc>
        <w:tc>
          <w:tcPr>
            <w:tcW w:w="1870" w:type="dxa"/>
            <w:vAlign w:val="bottom"/>
          </w:tcPr>
          <w:p w14:paraId="5F05513A"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0.2206</w:t>
            </w:r>
          </w:p>
        </w:tc>
      </w:tr>
      <w:tr w:rsidR="00E24A6D" w14:paraId="5EDC4C17" w14:textId="77777777" w:rsidTr="00A15522">
        <w:tc>
          <w:tcPr>
            <w:tcW w:w="1870" w:type="dxa"/>
            <w:vAlign w:val="bottom"/>
          </w:tcPr>
          <w:p w14:paraId="1FFC0354"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D(LNFOREX)</w:t>
            </w:r>
          </w:p>
        </w:tc>
        <w:tc>
          <w:tcPr>
            <w:tcW w:w="1870" w:type="dxa"/>
            <w:vAlign w:val="bottom"/>
          </w:tcPr>
          <w:p w14:paraId="22187FDD"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-2.452072</w:t>
            </w:r>
          </w:p>
        </w:tc>
        <w:tc>
          <w:tcPr>
            <w:tcW w:w="1870" w:type="dxa"/>
            <w:vAlign w:val="bottom"/>
          </w:tcPr>
          <w:p w14:paraId="20EE0CAA"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2.159291</w:t>
            </w:r>
          </w:p>
        </w:tc>
        <w:tc>
          <w:tcPr>
            <w:tcW w:w="1870" w:type="dxa"/>
            <w:vAlign w:val="bottom"/>
          </w:tcPr>
          <w:p w14:paraId="6768A541"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-1.135591</w:t>
            </w:r>
          </w:p>
        </w:tc>
        <w:tc>
          <w:tcPr>
            <w:tcW w:w="1870" w:type="dxa"/>
            <w:vAlign w:val="bottom"/>
          </w:tcPr>
          <w:p w14:paraId="3498A41A"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0.2658</w:t>
            </w:r>
          </w:p>
        </w:tc>
      </w:tr>
      <w:tr w:rsidR="00E24A6D" w14:paraId="3C276B8C" w14:textId="77777777" w:rsidTr="00A15522">
        <w:tc>
          <w:tcPr>
            <w:tcW w:w="1870" w:type="dxa"/>
            <w:vAlign w:val="bottom"/>
          </w:tcPr>
          <w:p w14:paraId="445FF59B"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D(LNFOREX(-1))</w:t>
            </w:r>
          </w:p>
        </w:tc>
        <w:tc>
          <w:tcPr>
            <w:tcW w:w="1870" w:type="dxa"/>
            <w:vAlign w:val="bottom"/>
          </w:tcPr>
          <w:p w14:paraId="305E20B0"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0.349597</w:t>
            </w:r>
          </w:p>
        </w:tc>
        <w:tc>
          <w:tcPr>
            <w:tcW w:w="1870" w:type="dxa"/>
            <w:vAlign w:val="bottom"/>
          </w:tcPr>
          <w:p w14:paraId="2618D090"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2.161950</w:t>
            </w:r>
          </w:p>
        </w:tc>
        <w:tc>
          <w:tcPr>
            <w:tcW w:w="1870" w:type="dxa"/>
            <w:vAlign w:val="bottom"/>
          </w:tcPr>
          <w:p w14:paraId="2105E8E0"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0.161705</w:t>
            </w:r>
          </w:p>
        </w:tc>
        <w:tc>
          <w:tcPr>
            <w:tcW w:w="1870" w:type="dxa"/>
            <w:vAlign w:val="bottom"/>
          </w:tcPr>
          <w:p w14:paraId="7AC39491"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0.8727</w:t>
            </w:r>
          </w:p>
        </w:tc>
      </w:tr>
      <w:tr w:rsidR="00E24A6D" w14:paraId="1726D747" w14:textId="77777777" w:rsidTr="00A15522">
        <w:tc>
          <w:tcPr>
            <w:tcW w:w="1870" w:type="dxa"/>
            <w:vAlign w:val="bottom"/>
          </w:tcPr>
          <w:p w14:paraId="4F55B0DA"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D(DINFLATION)</w:t>
            </w:r>
          </w:p>
        </w:tc>
        <w:tc>
          <w:tcPr>
            <w:tcW w:w="1870" w:type="dxa"/>
            <w:vAlign w:val="bottom"/>
          </w:tcPr>
          <w:p w14:paraId="256E709E"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-0.050096</w:t>
            </w:r>
          </w:p>
        </w:tc>
        <w:tc>
          <w:tcPr>
            <w:tcW w:w="1870" w:type="dxa"/>
            <w:vAlign w:val="bottom"/>
          </w:tcPr>
          <w:p w14:paraId="18E31393"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0.037341</w:t>
            </w:r>
          </w:p>
        </w:tc>
        <w:tc>
          <w:tcPr>
            <w:tcW w:w="1870" w:type="dxa"/>
            <w:vAlign w:val="bottom"/>
          </w:tcPr>
          <w:p w14:paraId="5A72AE64"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-1.341590</w:t>
            </w:r>
          </w:p>
        </w:tc>
        <w:tc>
          <w:tcPr>
            <w:tcW w:w="1870" w:type="dxa"/>
            <w:vAlign w:val="bottom"/>
          </w:tcPr>
          <w:p w14:paraId="7C9910CF"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0.1905</w:t>
            </w:r>
          </w:p>
        </w:tc>
      </w:tr>
      <w:tr w:rsidR="00E24A6D" w14:paraId="738B532A" w14:textId="77777777" w:rsidTr="00A15522">
        <w:tc>
          <w:tcPr>
            <w:tcW w:w="1870" w:type="dxa"/>
            <w:vAlign w:val="bottom"/>
          </w:tcPr>
          <w:p w14:paraId="481D7EDB"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D(FDI)</w:t>
            </w:r>
          </w:p>
        </w:tc>
        <w:tc>
          <w:tcPr>
            <w:tcW w:w="1870" w:type="dxa"/>
            <w:vAlign w:val="bottom"/>
          </w:tcPr>
          <w:p w14:paraId="2E987D03"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-3.46E-13</w:t>
            </w:r>
          </w:p>
        </w:tc>
        <w:tc>
          <w:tcPr>
            <w:tcW w:w="1870" w:type="dxa"/>
            <w:vAlign w:val="bottom"/>
          </w:tcPr>
          <w:p w14:paraId="2B00B3AF"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4.43E-10</w:t>
            </w:r>
          </w:p>
        </w:tc>
        <w:tc>
          <w:tcPr>
            <w:tcW w:w="1870" w:type="dxa"/>
            <w:vAlign w:val="bottom"/>
          </w:tcPr>
          <w:p w14:paraId="54FA0103"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-0.000781</w:t>
            </w:r>
          </w:p>
        </w:tc>
        <w:tc>
          <w:tcPr>
            <w:tcW w:w="1870" w:type="dxa"/>
            <w:vAlign w:val="bottom"/>
          </w:tcPr>
          <w:p w14:paraId="1605B206"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0.9994</w:t>
            </w:r>
          </w:p>
        </w:tc>
      </w:tr>
      <w:tr w:rsidR="00E24A6D" w14:paraId="2E155AFF" w14:textId="77777777" w:rsidTr="00A15522">
        <w:tc>
          <w:tcPr>
            <w:tcW w:w="1870" w:type="dxa"/>
            <w:vAlign w:val="bottom"/>
          </w:tcPr>
          <w:p w14:paraId="43025AEF"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D(FDI(-1))</w:t>
            </w:r>
          </w:p>
        </w:tc>
        <w:tc>
          <w:tcPr>
            <w:tcW w:w="1870" w:type="dxa"/>
            <w:vAlign w:val="bottom"/>
          </w:tcPr>
          <w:p w14:paraId="4C675339"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5.28E-10</w:t>
            </w:r>
          </w:p>
        </w:tc>
        <w:tc>
          <w:tcPr>
            <w:tcW w:w="1870" w:type="dxa"/>
            <w:vAlign w:val="bottom"/>
          </w:tcPr>
          <w:p w14:paraId="32F087BA"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4.60E-10</w:t>
            </w:r>
          </w:p>
        </w:tc>
        <w:tc>
          <w:tcPr>
            <w:tcW w:w="1870" w:type="dxa"/>
            <w:vAlign w:val="bottom"/>
          </w:tcPr>
          <w:p w14:paraId="5093B220"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1.148860</w:t>
            </w:r>
          </w:p>
        </w:tc>
        <w:tc>
          <w:tcPr>
            <w:tcW w:w="1870" w:type="dxa"/>
            <w:vAlign w:val="bottom"/>
          </w:tcPr>
          <w:p w14:paraId="4D25615F"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0.2603</w:t>
            </w:r>
          </w:p>
        </w:tc>
      </w:tr>
      <w:tr w:rsidR="00E24A6D" w14:paraId="0FA7DBCB" w14:textId="77777777" w:rsidTr="00A15522">
        <w:tc>
          <w:tcPr>
            <w:tcW w:w="1870" w:type="dxa"/>
            <w:vAlign w:val="bottom"/>
          </w:tcPr>
          <w:p w14:paraId="0450A82E"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ECM(-1)</w:t>
            </w:r>
          </w:p>
        </w:tc>
        <w:tc>
          <w:tcPr>
            <w:tcW w:w="1870" w:type="dxa"/>
            <w:vAlign w:val="bottom"/>
          </w:tcPr>
          <w:p w14:paraId="2550A163"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-0.787820</w:t>
            </w:r>
          </w:p>
        </w:tc>
        <w:tc>
          <w:tcPr>
            <w:tcW w:w="1870" w:type="dxa"/>
            <w:vAlign w:val="bottom"/>
          </w:tcPr>
          <w:p w14:paraId="214C210B"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0.264724</w:t>
            </w:r>
          </w:p>
        </w:tc>
        <w:tc>
          <w:tcPr>
            <w:tcW w:w="1870" w:type="dxa"/>
            <w:vAlign w:val="bottom"/>
          </w:tcPr>
          <w:p w14:paraId="009C60D1"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-2.976002</w:t>
            </w:r>
          </w:p>
        </w:tc>
        <w:tc>
          <w:tcPr>
            <w:tcW w:w="1870" w:type="dxa"/>
            <w:vAlign w:val="bottom"/>
          </w:tcPr>
          <w:p w14:paraId="0A3ADFC9"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0.0060</w:t>
            </w:r>
          </w:p>
        </w:tc>
      </w:tr>
      <w:tr w:rsidR="00E24A6D" w14:paraId="19FC38A5" w14:textId="77777777" w:rsidTr="00A15522">
        <w:tc>
          <w:tcPr>
            <w:tcW w:w="1870" w:type="dxa"/>
            <w:vAlign w:val="bottom"/>
          </w:tcPr>
          <w:p w14:paraId="35A7BB73"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7ECEEB8D"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632F6E5E"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2DA9E697"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69FFEB8C" w14:textId="77777777" w:rsidR="00786D2C" w:rsidRPr="00503F6C" w:rsidRDefault="00786D2C" w:rsidP="00503F6C">
            <w:pPr>
              <w:autoSpaceDE w:val="0"/>
              <w:autoSpaceDN w:val="0"/>
              <w:adjustRightInd w:val="0"/>
              <w:spacing w:line="360" w:lineRule="auto"/>
              <w:rPr>
                <w:sz w:val="24"/>
                <w:szCs w:val="24"/>
              </w:rPr>
            </w:pPr>
          </w:p>
        </w:tc>
      </w:tr>
      <w:tr w:rsidR="00E24A6D" w14:paraId="4C60C903" w14:textId="77777777" w:rsidTr="00A15522">
        <w:tc>
          <w:tcPr>
            <w:tcW w:w="1870" w:type="dxa"/>
            <w:vAlign w:val="bottom"/>
          </w:tcPr>
          <w:p w14:paraId="7C15E329"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6EB89833"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3AB3C38E"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1D61EF23"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511FCF4E" w14:textId="77777777" w:rsidR="00786D2C" w:rsidRPr="00503F6C" w:rsidRDefault="00786D2C" w:rsidP="00503F6C">
            <w:pPr>
              <w:autoSpaceDE w:val="0"/>
              <w:autoSpaceDN w:val="0"/>
              <w:adjustRightInd w:val="0"/>
              <w:spacing w:line="360" w:lineRule="auto"/>
              <w:rPr>
                <w:sz w:val="24"/>
                <w:szCs w:val="24"/>
              </w:rPr>
            </w:pPr>
          </w:p>
        </w:tc>
      </w:tr>
      <w:tr w:rsidR="00E24A6D" w14:paraId="562C89FD" w14:textId="77777777" w:rsidTr="00A15522">
        <w:tc>
          <w:tcPr>
            <w:tcW w:w="1870" w:type="dxa"/>
            <w:vAlign w:val="bottom"/>
          </w:tcPr>
          <w:p w14:paraId="380C6496"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R-squared</w:t>
            </w:r>
          </w:p>
        </w:tc>
        <w:tc>
          <w:tcPr>
            <w:tcW w:w="1870" w:type="dxa"/>
            <w:vAlign w:val="bottom"/>
          </w:tcPr>
          <w:p w14:paraId="4E7BA8EE"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0.579281</w:t>
            </w:r>
          </w:p>
        </w:tc>
        <w:tc>
          <w:tcPr>
            <w:tcW w:w="1870" w:type="dxa"/>
            <w:vAlign w:val="bottom"/>
          </w:tcPr>
          <w:p w14:paraId="790C9583"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    Mean dependent var</w:t>
            </w:r>
          </w:p>
        </w:tc>
        <w:tc>
          <w:tcPr>
            <w:tcW w:w="1870" w:type="dxa"/>
            <w:vAlign w:val="bottom"/>
          </w:tcPr>
          <w:p w14:paraId="72D0C7BC"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-0.080263</w:t>
            </w:r>
          </w:p>
        </w:tc>
        <w:tc>
          <w:tcPr>
            <w:tcW w:w="1870" w:type="dxa"/>
            <w:vAlign w:val="bottom"/>
          </w:tcPr>
          <w:p w14:paraId="4E8B6EF5" w14:textId="77777777" w:rsidR="00786D2C" w:rsidRPr="00503F6C" w:rsidRDefault="00786D2C" w:rsidP="00503F6C">
            <w:pPr>
              <w:autoSpaceDE w:val="0"/>
              <w:autoSpaceDN w:val="0"/>
              <w:adjustRightInd w:val="0"/>
              <w:spacing w:line="360" w:lineRule="auto"/>
              <w:rPr>
                <w:sz w:val="24"/>
                <w:szCs w:val="24"/>
              </w:rPr>
            </w:pPr>
          </w:p>
        </w:tc>
      </w:tr>
      <w:tr w:rsidR="00E24A6D" w14:paraId="235B39D5" w14:textId="77777777" w:rsidTr="00A15522">
        <w:tc>
          <w:tcPr>
            <w:tcW w:w="1870" w:type="dxa"/>
            <w:vAlign w:val="bottom"/>
          </w:tcPr>
          <w:p w14:paraId="05B698B6"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Adjusted R-squared</w:t>
            </w:r>
          </w:p>
        </w:tc>
        <w:tc>
          <w:tcPr>
            <w:tcW w:w="1870" w:type="dxa"/>
            <w:vAlign w:val="bottom"/>
          </w:tcPr>
          <w:p w14:paraId="490D43E0"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0.444049</w:t>
            </w:r>
          </w:p>
        </w:tc>
        <w:tc>
          <w:tcPr>
            <w:tcW w:w="1870" w:type="dxa"/>
            <w:vAlign w:val="bottom"/>
          </w:tcPr>
          <w:p w14:paraId="1CF1C656"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    S.D. dependent var</w:t>
            </w:r>
          </w:p>
        </w:tc>
        <w:tc>
          <w:tcPr>
            <w:tcW w:w="1870" w:type="dxa"/>
            <w:vAlign w:val="bottom"/>
          </w:tcPr>
          <w:p w14:paraId="0252A28B"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4.328402</w:t>
            </w:r>
          </w:p>
        </w:tc>
        <w:tc>
          <w:tcPr>
            <w:tcW w:w="1870" w:type="dxa"/>
            <w:vAlign w:val="bottom"/>
          </w:tcPr>
          <w:p w14:paraId="3732650B" w14:textId="77777777" w:rsidR="00786D2C" w:rsidRPr="00503F6C" w:rsidRDefault="00786D2C" w:rsidP="00503F6C">
            <w:pPr>
              <w:autoSpaceDE w:val="0"/>
              <w:autoSpaceDN w:val="0"/>
              <w:adjustRightInd w:val="0"/>
              <w:spacing w:line="360" w:lineRule="auto"/>
              <w:rPr>
                <w:sz w:val="24"/>
                <w:szCs w:val="24"/>
              </w:rPr>
            </w:pPr>
          </w:p>
        </w:tc>
      </w:tr>
      <w:tr w:rsidR="00E24A6D" w14:paraId="22F2FBF5" w14:textId="77777777" w:rsidTr="00A15522">
        <w:tc>
          <w:tcPr>
            <w:tcW w:w="1870" w:type="dxa"/>
            <w:vAlign w:val="bottom"/>
          </w:tcPr>
          <w:p w14:paraId="7DC65AE5"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S.E. of regression</w:t>
            </w:r>
          </w:p>
        </w:tc>
        <w:tc>
          <w:tcPr>
            <w:tcW w:w="1870" w:type="dxa"/>
            <w:vAlign w:val="bottom"/>
          </w:tcPr>
          <w:p w14:paraId="3D99FE13"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3.227347</w:t>
            </w:r>
          </w:p>
        </w:tc>
        <w:tc>
          <w:tcPr>
            <w:tcW w:w="1870" w:type="dxa"/>
            <w:vAlign w:val="bottom"/>
          </w:tcPr>
          <w:p w14:paraId="57B4F48B"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    Akaike info criterion</w:t>
            </w:r>
          </w:p>
        </w:tc>
        <w:tc>
          <w:tcPr>
            <w:tcW w:w="1870" w:type="dxa"/>
            <w:vAlign w:val="bottom"/>
          </w:tcPr>
          <w:p w14:paraId="541669F0"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5.402132</w:t>
            </w:r>
          </w:p>
        </w:tc>
        <w:tc>
          <w:tcPr>
            <w:tcW w:w="1870" w:type="dxa"/>
            <w:vAlign w:val="bottom"/>
          </w:tcPr>
          <w:p w14:paraId="7AEAF62C" w14:textId="77777777" w:rsidR="00786D2C" w:rsidRPr="00503F6C" w:rsidRDefault="00786D2C" w:rsidP="00503F6C">
            <w:pPr>
              <w:autoSpaceDE w:val="0"/>
              <w:autoSpaceDN w:val="0"/>
              <w:adjustRightInd w:val="0"/>
              <w:spacing w:line="360" w:lineRule="auto"/>
              <w:rPr>
                <w:sz w:val="24"/>
                <w:szCs w:val="24"/>
              </w:rPr>
            </w:pPr>
          </w:p>
        </w:tc>
      </w:tr>
      <w:tr w:rsidR="00E24A6D" w14:paraId="180B2897" w14:textId="77777777" w:rsidTr="00A15522">
        <w:tc>
          <w:tcPr>
            <w:tcW w:w="1870" w:type="dxa"/>
            <w:vAlign w:val="bottom"/>
          </w:tcPr>
          <w:p w14:paraId="5EB8B726"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Sum squared resid</w:t>
            </w:r>
          </w:p>
        </w:tc>
        <w:tc>
          <w:tcPr>
            <w:tcW w:w="1870" w:type="dxa"/>
            <w:vAlign w:val="bottom"/>
          </w:tcPr>
          <w:p w14:paraId="6F572224"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291.6415</w:t>
            </w:r>
          </w:p>
        </w:tc>
        <w:tc>
          <w:tcPr>
            <w:tcW w:w="1870" w:type="dxa"/>
            <w:vAlign w:val="bottom"/>
          </w:tcPr>
          <w:p w14:paraId="7CC5AA26"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    Schwarz criterion</w:t>
            </w:r>
          </w:p>
        </w:tc>
        <w:tc>
          <w:tcPr>
            <w:tcW w:w="1870" w:type="dxa"/>
            <w:vAlign w:val="bottom"/>
          </w:tcPr>
          <w:p w14:paraId="461D635F"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5.833076</w:t>
            </w:r>
          </w:p>
        </w:tc>
        <w:tc>
          <w:tcPr>
            <w:tcW w:w="1870" w:type="dxa"/>
            <w:vAlign w:val="bottom"/>
          </w:tcPr>
          <w:p w14:paraId="707A1F2E" w14:textId="77777777" w:rsidR="00786D2C" w:rsidRPr="00503F6C" w:rsidRDefault="00786D2C" w:rsidP="00503F6C">
            <w:pPr>
              <w:autoSpaceDE w:val="0"/>
              <w:autoSpaceDN w:val="0"/>
              <w:adjustRightInd w:val="0"/>
              <w:spacing w:line="360" w:lineRule="auto"/>
              <w:rPr>
                <w:sz w:val="24"/>
                <w:szCs w:val="24"/>
              </w:rPr>
            </w:pPr>
          </w:p>
        </w:tc>
      </w:tr>
      <w:tr w:rsidR="00E24A6D" w14:paraId="243D7B5C" w14:textId="77777777" w:rsidTr="00A15522">
        <w:tc>
          <w:tcPr>
            <w:tcW w:w="1870" w:type="dxa"/>
            <w:vAlign w:val="bottom"/>
          </w:tcPr>
          <w:p w14:paraId="7F20EC83"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Log-likelihood</w:t>
            </w:r>
          </w:p>
        </w:tc>
        <w:tc>
          <w:tcPr>
            <w:tcW w:w="1870" w:type="dxa"/>
            <w:vAlign w:val="bottom"/>
          </w:tcPr>
          <w:p w14:paraId="2D1E5E9E"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-92.64051</w:t>
            </w:r>
          </w:p>
        </w:tc>
        <w:tc>
          <w:tcPr>
            <w:tcW w:w="1870" w:type="dxa"/>
            <w:vAlign w:val="bottom"/>
          </w:tcPr>
          <w:p w14:paraId="0120A526"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    Hannan-Quinn criter.</w:t>
            </w:r>
          </w:p>
        </w:tc>
        <w:tc>
          <w:tcPr>
            <w:tcW w:w="1870" w:type="dxa"/>
            <w:vAlign w:val="bottom"/>
          </w:tcPr>
          <w:p w14:paraId="5C6C5CCC"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5.555458</w:t>
            </w:r>
          </w:p>
        </w:tc>
        <w:tc>
          <w:tcPr>
            <w:tcW w:w="1870" w:type="dxa"/>
            <w:vAlign w:val="bottom"/>
          </w:tcPr>
          <w:p w14:paraId="4430EE94" w14:textId="77777777" w:rsidR="00786D2C" w:rsidRPr="00503F6C" w:rsidRDefault="00786D2C" w:rsidP="00503F6C">
            <w:pPr>
              <w:autoSpaceDE w:val="0"/>
              <w:autoSpaceDN w:val="0"/>
              <w:adjustRightInd w:val="0"/>
              <w:spacing w:line="360" w:lineRule="auto"/>
              <w:rPr>
                <w:sz w:val="24"/>
                <w:szCs w:val="24"/>
              </w:rPr>
            </w:pPr>
          </w:p>
        </w:tc>
      </w:tr>
      <w:tr w:rsidR="00E24A6D" w14:paraId="06B843B5" w14:textId="77777777" w:rsidTr="00A15522">
        <w:tc>
          <w:tcPr>
            <w:tcW w:w="1870" w:type="dxa"/>
            <w:vAlign w:val="bottom"/>
          </w:tcPr>
          <w:p w14:paraId="65B238DC" w14:textId="77777777" w:rsidR="00786D2C" w:rsidRPr="00503F6C" w:rsidRDefault="009A71CA" w:rsidP="00503F6C">
            <w:pPr>
              <w:autoSpaceDE w:val="0"/>
              <w:autoSpaceDN w:val="0"/>
              <w:adjustRightInd w:val="0"/>
              <w:spacing w:line="360" w:lineRule="auto"/>
              <w:rPr>
                <w:sz w:val="24"/>
                <w:szCs w:val="24"/>
              </w:rPr>
            </w:pPr>
            <w:r w:rsidRPr="00503F6C">
              <w:rPr>
                <w:sz w:val="24"/>
                <w:szCs w:val="24"/>
              </w:rPr>
              <w:lastRenderedPageBreak/>
              <w:t>F-statistic</w:t>
            </w:r>
          </w:p>
        </w:tc>
        <w:tc>
          <w:tcPr>
            <w:tcW w:w="1870" w:type="dxa"/>
            <w:vAlign w:val="bottom"/>
          </w:tcPr>
          <w:p w14:paraId="013C31DB"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4.283632</w:t>
            </w:r>
          </w:p>
        </w:tc>
        <w:tc>
          <w:tcPr>
            <w:tcW w:w="1870" w:type="dxa"/>
            <w:vAlign w:val="bottom"/>
          </w:tcPr>
          <w:p w14:paraId="7D51618B"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    Durbin-Watson stat</w:t>
            </w:r>
          </w:p>
        </w:tc>
        <w:tc>
          <w:tcPr>
            <w:tcW w:w="1870" w:type="dxa"/>
            <w:vAlign w:val="bottom"/>
          </w:tcPr>
          <w:p w14:paraId="3617FA2C"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1.782817</w:t>
            </w:r>
          </w:p>
        </w:tc>
        <w:tc>
          <w:tcPr>
            <w:tcW w:w="1870" w:type="dxa"/>
            <w:vAlign w:val="bottom"/>
          </w:tcPr>
          <w:p w14:paraId="50E545EC" w14:textId="77777777" w:rsidR="00786D2C" w:rsidRPr="00503F6C" w:rsidRDefault="00786D2C" w:rsidP="00503F6C">
            <w:pPr>
              <w:autoSpaceDE w:val="0"/>
              <w:autoSpaceDN w:val="0"/>
              <w:adjustRightInd w:val="0"/>
              <w:spacing w:line="360" w:lineRule="auto"/>
              <w:rPr>
                <w:sz w:val="24"/>
                <w:szCs w:val="24"/>
              </w:rPr>
            </w:pPr>
          </w:p>
        </w:tc>
      </w:tr>
      <w:tr w:rsidR="00E24A6D" w14:paraId="26E3C490" w14:textId="77777777" w:rsidTr="00A15522">
        <w:tc>
          <w:tcPr>
            <w:tcW w:w="1870" w:type="dxa"/>
            <w:vAlign w:val="bottom"/>
          </w:tcPr>
          <w:p w14:paraId="660A297A"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Prob(F-statistic)</w:t>
            </w:r>
          </w:p>
        </w:tc>
        <w:tc>
          <w:tcPr>
            <w:tcW w:w="1870" w:type="dxa"/>
            <w:vAlign w:val="bottom"/>
          </w:tcPr>
          <w:p w14:paraId="2EE62C66" w14:textId="77777777" w:rsidR="00786D2C" w:rsidRPr="00503F6C" w:rsidRDefault="009A71CA" w:rsidP="00503F6C">
            <w:pPr>
              <w:autoSpaceDE w:val="0"/>
              <w:autoSpaceDN w:val="0"/>
              <w:adjustRightInd w:val="0"/>
              <w:spacing w:line="360" w:lineRule="auto"/>
              <w:rPr>
                <w:sz w:val="24"/>
                <w:szCs w:val="24"/>
              </w:rPr>
            </w:pPr>
            <w:r w:rsidRPr="00503F6C">
              <w:rPr>
                <w:sz w:val="24"/>
                <w:szCs w:val="24"/>
              </w:rPr>
              <w:t>0.001416</w:t>
            </w:r>
          </w:p>
        </w:tc>
        <w:tc>
          <w:tcPr>
            <w:tcW w:w="1870" w:type="dxa"/>
            <w:vAlign w:val="bottom"/>
          </w:tcPr>
          <w:p w14:paraId="4F42214A"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370404BA" w14:textId="77777777" w:rsidR="00786D2C" w:rsidRPr="00503F6C" w:rsidRDefault="00786D2C" w:rsidP="00503F6C">
            <w:pPr>
              <w:autoSpaceDE w:val="0"/>
              <w:autoSpaceDN w:val="0"/>
              <w:adjustRightInd w:val="0"/>
              <w:spacing w:line="360" w:lineRule="auto"/>
              <w:rPr>
                <w:sz w:val="24"/>
                <w:szCs w:val="24"/>
              </w:rPr>
            </w:pPr>
          </w:p>
        </w:tc>
        <w:tc>
          <w:tcPr>
            <w:tcW w:w="1870" w:type="dxa"/>
            <w:vAlign w:val="bottom"/>
          </w:tcPr>
          <w:p w14:paraId="30361C2D" w14:textId="77777777" w:rsidR="00786D2C" w:rsidRPr="00503F6C" w:rsidRDefault="00786D2C" w:rsidP="00503F6C">
            <w:pPr>
              <w:autoSpaceDE w:val="0"/>
              <w:autoSpaceDN w:val="0"/>
              <w:adjustRightInd w:val="0"/>
              <w:spacing w:line="360" w:lineRule="auto"/>
              <w:rPr>
                <w:sz w:val="24"/>
                <w:szCs w:val="24"/>
              </w:rPr>
            </w:pPr>
          </w:p>
        </w:tc>
      </w:tr>
    </w:tbl>
    <w:p w14:paraId="0AF89677" w14:textId="77777777" w:rsidR="00786D2C" w:rsidRPr="00503F6C" w:rsidRDefault="009A71CA" w:rsidP="00503F6C">
      <w:pPr>
        <w:autoSpaceDE w:val="0"/>
        <w:autoSpaceDN w:val="0"/>
        <w:adjustRightInd w:val="0"/>
        <w:spacing w:after="0" w:line="360" w:lineRule="auto"/>
        <w:rPr>
          <w:rFonts w:ascii="Times New Roman" w:hAnsi="Times New Roman" w:cs="Times New Roman"/>
        </w:rPr>
      </w:pPr>
      <w:r w:rsidRPr="00503F6C">
        <w:rPr>
          <w:rFonts w:ascii="Times New Roman" w:hAnsi="Times New Roman" w:cs="Times New Roman"/>
        </w:rPr>
        <w:t>Sources: Authors own computations, Eviews 10</w:t>
      </w:r>
    </w:p>
    <w:p w14:paraId="7DB11803" w14:textId="77777777" w:rsidR="00CA05CD" w:rsidRPr="00503F6C" w:rsidRDefault="00CA05CD" w:rsidP="00503F6C">
      <w:pPr>
        <w:autoSpaceDE w:val="0"/>
        <w:autoSpaceDN w:val="0"/>
        <w:adjustRightInd w:val="0"/>
        <w:spacing w:after="0" w:line="360" w:lineRule="auto"/>
        <w:rPr>
          <w:rFonts w:ascii="Times New Roman" w:hAnsi="Times New Roman" w:cs="Times New Roman"/>
        </w:rPr>
      </w:pPr>
    </w:p>
    <w:p w14:paraId="0DF3218E" w14:textId="3B6153AF" w:rsidR="00427A60" w:rsidRPr="00503F6C" w:rsidRDefault="009A71CA" w:rsidP="00503F6C">
      <w:pPr>
        <w:spacing w:after="0" w:line="360" w:lineRule="auto"/>
        <w:jc w:val="both"/>
        <w:rPr>
          <w:rFonts w:ascii="Times New Roman" w:hAnsi="Times New Roman" w:cs="Times New Roman"/>
        </w:rPr>
      </w:pPr>
      <w:r w:rsidRPr="00503F6C">
        <w:rPr>
          <w:rFonts w:ascii="Times New Roman" w:hAnsi="Times New Roman" w:cs="Times New Roman"/>
        </w:rPr>
        <w:t xml:space="preserve">Error Correction Model (ECM)  presented on Table </w:t>
      </w:r>
      <w:r w:rsidR="00EA162A">
        <w:rPr>
          <w:rFonts w:ascii="Times New Roman" w:hAnsi="Times New Roman" w:cs="Times New Roman"/>
        </w:rPr>
        <w:t>8</w:t>
      </w:r>
      <w:r w:rsidRPr="00503F6C">
        <w:rPr>
          <w:rFonts w:ascii="Times New Roman" w:hAnsi="Times New Roman" w:cs="Times New Roman"/>
        </w:rPr>
        <w:t xml:space="preserve"> was  to examine the short-run and long-run determinants of GDP growth in the period 1986 to 2023, using Least Squares Estimation. The model accounts for key macroeconomic variables, including remittances (REM), foreign exchange rate (LNFOREX), inflation differential (DINFLATION), and foreign direct investment (FDI), while also incorporating the lagged error correction term (ECM(-1)) to assess the speed of adjustment toward long-run equilibrium.</w:t>
      </w:r>
    </w:p>
    <w:p w14:paraId="435AFECE" w14:textId="28E387EF" w:rsidR="00427A60" w:rsidRPr="00503F6C" w:rsidRDefault="009A71CA" w:rsidP="00503F6C">
      <w:pPr>
        <w:spacing w:after="0" w:line="360" w:lineRule="auto"/>
        <w:jc w:val="both"/>
        <w:rPr>
          <w:rFonts w:ascii="Times New Roman" w:hAnsi="Times New Roman" w:cs="Times New Roman"/>
        </w:rPr>
      </w:pPr>
      <w:r w:rsidRPr="00503F6C">
        <w:rPr>
          <w:rFonts w:ascii="Times New Roman" w:hAnsi="Times New Roman" w:cs="Times New Roman"/>
        </w:rPr>
        <w:t xml:space="preserve">From Table </w:t>
      </w:r>
      <w:r w:rsidR="00EA162A">
        <w:rPr>
          <w:rFonts w:ascii="Times New Roman" w:hAnsi="Times New Roman" w:cs="Times New Roman"/>
        </w:rPr>
        <w:t>8</w:t>
      </w:r>
      <w:r w:rsidRPr="00503F6C">
        <w:rPr>
          <w:rFonts w:ascii="Times New Roman" w:hAnsi="Times New Roman" w:cs="Times New Roman"/>
        </w:rPr>
        <w:t xml:space="preserve"> The error correction term (ECM(-1)) is negative and statistically significant (p = 0.0060), with a coefficient of -0.7878. This suggests that approximately 79% of any deviation from the long-run equilibrium is corrected within a year, indicating a strong and rapid adjustment process in response to macroeconomic shocks. </w:t>
      </w:r>
    </w:p>
    <w:p w14:paraId="14EE03D9" w14:textId="03856AC1" w:rsidR="00CC7B5C" w:rsidRPr="00503F6C" w:rsidRDefault="009A71CA" w:rsidP="00503F6C">
      <w:pPr>
        <w:spacing w:after="0" w:line="360" w:lineRule="auto"/>
        <w:jc w:val="both"/>
        <w:rPr>
          <w:rFonts w:ascii="Times New Roman" w:hAnsi="Times New Roman" w:cs="Times New Roman"/>
        </w:rPr>
      </w:pPr>
      <w:r w:rsidRPr="00503F6C">
        <w:rPr>
          <w:rFonts w:ascii="Times New Roman" w:hAnsi="Times New Roman" w:cs="Times New Roman"/>
        </w:rPr>
        <w:t xml:space="preserve">The short-run results from </w:t>
      </w:r>
      <w:r w:rsidR="00F40D67">
        <w:rPr>
          <w:rFonts w:ascii="Times New Roman" w:hAnsi="Times New Roman" w:cs="Times New Roman"/>
        </w:rPr>
        <w:t>T</w:t>
      </w:r>
      <w:r w:rsidRPr="00503F6C">
        <w:rPr>
          <w:rFonts w:ascii="Times New Roman" w:hAnsi="Times New Roman" w:cs="Times New Roman"/>
        </w:rPr>
        <w:t xml:space="preserve">able </w:t>
      </w:r>
      <w:r w:rsidR="00EA162A">
        <w:rPr>
          <w:rFonts w:ascii="Times New Roman" w:hAnsi="Times New Roman" w:cs="Times New Roman"/>
        </w:rPr>
        <w:t>8</w:t>
      </w:r>
      <w:r w:rsidRPr="00503F6C">
        <w:rPr>
          <w:rFonts w:ascii="Times New Roman" w:hAnsi="Times New Roman" w:cs="Times New Roman"/>
        </w:rPr>
        <w:t xml:space="preserve"> indicate that none of the independent variables significantly influence GDP growth in the immediate term. In the short run, Remittances (REM) in the current period  with a coefficient 2.091 has a positive but  not  statistically significant effect on GDP growth. This results is similar to the findings of  Khan et .al 2019 ; </w:t>
      </w:r>
      <w:r w:rsidR="005565E7" w:rsidRPr="00503F6C">
        <w:rPr>
          <w:rFonts w:ascii="Times New Roman" w:hAnsi="Times New Roman" w:cs="Times New Roman"/>
        </w:rPr>
        <w:t>Murindagomo  &amp; Chiwira 2025;</w:t>
      </w:r>
      <w:r w:rsidRPr="00503F6C">
        <w:rPr>
          <w:rFonts w:ascii="Times New Roman" w:hAnsi="Times New Roman" w:cs="Times New Roman"/>
        </w:rPr>
        <w:t>Onyike et.al  2020). In the lag period Remittances (REM) with a with a coefficient -2.96 has a negative but not statistically significant effect on GDP growth in the short run. The foreign exchange rate (LNFOREX) has a negative but statistically insignificant effect on growth in the current period while in the lagged period foreign exchange rate (LNFOREX) has a positive but statistically insignificant effect of growth suggesting that short-term exchange rate fluctuations do not exert an immediate impact on GDP growth.Inflation  (DINFLATION)  have negative but  not significantly influence GDP growth in the short run.   Foreign direct investment (FDI) exhibits weak negative effects in the current period  while the lagged term showing positive insignificant</w:t>
      </w:r>
      <w:r w:rsidR="00C62151" w:rsidRPr="00503F6C">
        <w:rPr>
          <w:rFonts w:ascii="Times New Roman" w:hAnsi="Times New Roman" w:cs="Times New Roman"/>
        </w:rPr>
        <w:t xml:space="preserve"> </w:t>
      </w:r>
      <w:r w:rsidRPr="00503F6C">
        <w:rPr>
          <w:rFonts w:ascii="Times New Roman" w:hAnsi="Times New Roman" w:cs="Times New Roman"/>
        </w:rPr>
        <w:t xml:space="preserve">  impact.  </w:t>
      </w:r>
    </w:p>
    <w:p w14:paraId="0A165B9A" w14:textId="77777777" w:rsidR="00CC7B5C" w:rsidRPr="00503F6C" w:rsidRDefault="00CC7B5C" w:rsidP="00503F6C">
      <w:pPr>
        <w:spacing w:after="0" w:line="360" w:lineRule="auto"/>
        <w:jc w:val="both"/>
        <w:rPr>
          <w:rFonts w:ascii="Times New Roman" w:hAnsi="Times New Roman" w:cs="Times New Roman"/>
        </w:rPr>
      </w:pPr>
    </w:p>
    <w:p w14:paraId="16C4C62A" w14:textId="77777777" w:rsidR="00C62151" w:rsidRPr="00503F6C" w:rsidRDefault="009A71CA" w:rsidP="00503F6C">
      <w:pPr>
        <w:spacing w:after="0" w:line="360" w:lineRule="auto"/>
        <w:jc w:val="both"/>
        <w:rPr>
          <w:rFonts w:ascii="Times New Roman" w:hAnsi="Times New Roman" w:cs="Times New Roman"/>
        </w:rPr>
      </w:pPr>
      <w:r w:rsidRPr="00503F6C">
        <w:rPr>
          <w:rFonts w:ascii="Times New Roman" w:hAnsi="Times New Roman" w:cs="Times New Roman"/>
        </w:rPr>
        <w:t xml:space="preserve">The R-squared value of 0.5793 suggests that approximately 58% of the variations in GDP growth are explained by the included </w:t>
      </w:r>
      <w:r w:rsidR="00A426E9" w:rsidRPr="00503F6C">
        <w:rPr>
          <w:rFonts w:ascii="Times New Roman" w:hAnsi="Times New Roman" w:cs="Times New Roman"/>
        </w:rPr>
        <w:t xml:space="preserve">regressors. </w:t>
      </w:r>
      <w:r w:rsidR="00F51E52" w:rsidRPr="00503F6C">
        <w:rPr>
          <w:rFonts w:ascii="Times New Roman" w:hAnsi="Times New Roman" w:cs="Times New Roman"/>
        </w:rPr>
        <w:t>Also the</w:t>
      </w:r>
      <w:r w:rsidRPr="00503F6C">
        <w:rPr>
          <w:rFonts w:ascii="Times New Roman" w:hAnsi="Times New Roman" w:cs="Times New Roman"/>
        </w:rPr>
        <w:t xml:space="preserve"> adjusted R-squared of 0.444indicates moderate </w:t>
      </w:r>
      <w:r w:rsidRPr="00503F6C">
        <w:rPr>
          <w:rFonts w:ascii="Times New Roman" w:hAnsi="Times New Roman" w:cs="Times New Roman"/>
        </w:rPr>
        <w:lastRenderedPageBreak/>
        <w:t>explanatory power,</w:t>
      </w:r>
      <w:r w:rsidR="00A426E9" w:rsidRPr="00503F6C">
        <w:rPr>
          <w:rFonts w:ascii="Times New Roman" w:hAnsi="Times New Roman" w:cs="Times New Roman"/>
        </w:rPr>
        <w:t>. The</w:t>
      </w:r>
      <w:r w:rsidRPr="00503F6C">
        <w:rPr>
          <w:rFonts w:ascii="Times New Roman" w:hAnsi="Times New Roman" w:cs="Times New Roman"/>
        </w:rPr>
        <w:t xml:space="preserve"> overall model is statistically significant, as indicated by the F-statistic of 4.2836 (p = 0.0014). The Durbin-Watson </w:t>
      </w:r>
      <w:r w:rsidR="00A426E9" w:rsidRPr="00503F6C">
        <w:rPr>
          <w:rFonts w:ascii="Times New Roman" w:hAnsi="Times New Roman" w:cs="Times New Roman"/>
        </w:rPr>
        <w:t>statistics</w:t>
      </w:r>
      <w:r w:rsidRPr="00503F6C">
        <w:rPr>
          <w:rFonts w:ascii="Times New Roman" w:hAnsi="Times New Roman" w:cs="Times New Roman"/>
        </w:rPr>
        <w:t xml:space="preserve"> of 1.7828 </w:t>
      </w:r>
      <w:r w:rsidR="00460A8A" w:rsidRPr="00503F6C">
        <w:rPr>
          <w:rFonts w:ascii="Times New Roman" w:hAnsi="Times New Roman" w:cs="Times New Roman"/>
        </w:rPr>
        <w:t>suggest</w:t>
      </w:r>
      <w:r w:rsidRPr="00503F6C">
        <w:rPr>
          <w:rFonts w:ascii="Times New Roman" w:hAnsi="Times New Roman" w:cs="Times New Roman"/>
        </w:rPr>
        <w:t xml:space="preserve"> that autocorrelation is not a major concern.</w:t>
      </w:r>
    </w:p>
    <w:p w14:paraId="15F2FAF9" w14:textId="77777777" w:rsidR="00CA05CD" w:rsidRPr="00503F6C" w:rsidRDefault="00CA05CD" w:rsidP="00503F6C">
      <w:pPr>
        <w:spacing w:after="0" w:line="360" w:lineRule="auto"/>
        <w:jc w:val="both"/>
        <w:rPr>
          <w:rFonts w:ascii="Times New Roman" w:hAnsi="Times New Roman" w:cs="Times New Roman"/>
          <w:b/>
          <w:bCs/>
        </w:rPr>
      </w:pPr>
    </w:p>
    <w:p w14:paraId="2592E166" w14:textId="77777777" w:rsidR="005B6709" w:rsidRPr="00503F6C" w:rsidRDefault="009A71CA" w:rsidP="00503F6C">
      <w:pPr>
        <w:spacing w:after="0" w:line="360" w:lineRule="auto"/>
        <w:jc w:val="both"/>
        <w:rPr>
          <w:rFonts w:ascii="Times New Roman" w:hAnsi="Times New Roman" w:cs="Times New Roman"/>
          <w:b/>
          <w:bCs/>
        </w:rPr>
      </w:pPr>
      <w:r w:rsidRPr="00503F6C">
        <w:rPr>
          <w:rFonts w:ascii="Times New Roman" w:hAnsi="Times New Roman" w:cs="Times New Roman"/>
          <w:b/>
          <w:bCs/>
        </w:rPr>
        <w:t>4.8 Diagnostic Tests</w:t>
      </w:r>
    </w:p>
    <w:p w14:paraId="0EDDCFB6" w14:textId="7D85AA8E" w:rsidR="006E047F" w:rsidRPr="00556E03" w:rsidRDefault="009A71CA" w:rsidP="00503F6C">
      <w:pPr>
        <w:spacing w:after="0" w:line="360" w:lineRule="auto"/>
        <w:jc w:val="both"/>
        <w:rPr>
          <w:rFonts w:ascii="Times New Roman" w:hAnsi="Times New Roman" w:cs="Times New Roman"/>
        </w:rPr>
      </w:pPr>
      <w:r w:rsidRPr="00556E03">
        <w:rPr>
          <w:rFonts w:ascii="Times New Roman" w:hAnsi="Times New Roman" w:cs="Times New Roman"/>
        </w:rPr>
        <w:t xml:space="preserve">The presence of serial correlation or autocorrelation  in the model was checked with the Breusch–Godfrey test </w:t>
      </w:r>
      <w:r w:rsidR="00494D08" w:rsidRPr="00556E03">
        <w:rPr>
          <w:rFonts w:ascii="Times New Roman" w:hAnsi="Times New Roman" w:cs="Times New Roman"/>
        </w:rPr>
        <w:t xml:space="preserve">in Table </w:t>
      </w:r>
      <w:r w:rsidR="00EA162A">
        <w:rPr>
          <w:rFonts w:ascii="Times New Roman" w:hAnsi="Times New Roman" w:cs="Times New Roman"/>
        </w:rPr>
        <w:t>9</w:t>
      </w:r>
      <w:r w:rsidR="00F40D67" w:rsidRPr="00556E03">
        <w:rPr>
          <w:rFonts w:ascii="Times New Roman" w:hAnsi="Times New Roman" w:cs="Times New Roman"/>
        </w:rPr>
        <w:t xml:space="preserve">. </w:t>
      </w:r>
      <w:r w:rsidRPr="00556E03">
        <w:rPr>
          <w:rFonts w:ascii="Times New Roman" w:hAnsi="Times New Roman" w:cs="Times New Roman"/>
        </w:rPr>
        <w:t xml:space="preserve">generally, the Breusch–Godfrey test supersedes the Durbin-Watson test method of testing for serial correlation  </w:t>
      </w:r>
    </w:p>
    <w:p w14:paraId="6E7641CC" w14:textId="1C64612C" w:rsidR="006E047F" w:rsidRPr="00503F6C" w:rsidRDefault="009A71CA" w:rsidP="00503F6C">
      <w:pPr>
        <w:spacing w:after="0" w:line="360" w:lineRule="auto"/>
        <w:jc w:val="both"/>
        <w:rPr>
          <w:rFonts w:ascii="Times New Roman" w:hAnsi="Times New Roman" w:cs="Times New Roman"/>
          <w:b/>
          <w:bCs/>
        </w:rPr>
      </w:pPr>
      <w:r w:rsidRPr="00503F6C">
        <w:rPr>
          <w:rFonts w:ascii="Times New Roman" w:hAnsi="Times New Roman" w:cs="Times New Roman"/>
          <w:b/>
          <w:bCs/>
        </w:rPr>
        <w:t xml:space="preserve">Table </w:t>
      </w:r>
      <w:r w:rsidR="00EA162A">
        <w:rPr>
          <w:rFonts w:ascii="Times New Roman" w:hAnsi="Times New Roman" w:cs="Times New Roman"/>
          <w:b/>
          <w:bCs/>
        </w:rPr>
        <w:t>9</w:t>
      </w:r>
      <w:r w:rsidRPr="00503F6C">
        <w:rPr>
          <w:rFonts w:ascii="Times New Roman" w:hAnsi="Times New Roman" w:cs="Times New Roman"/>
          <w:b/>
          <w:bCs/>
        </w:rPr>
        <w:t xml:space="preserve"> Breusch–Godfrey test  </w:t>
      </w:r>
    </w:p>
    <w:tbl>
      <w:tblPr>
        <w:tblStyle w:val="TableGrid"/>
        <w:tblW w:w="0" w:type="auto"/>
        <w:tblLook w:val="04A0" w:firstRow="1" w:lastRow="0" w:firstColumn="1" w:lastColumn="0" w:noHBand="0" w:noVBand="1"/>
      </w:tblPr>
      <w:tblGrid>
        <w:gridCol w:w="1870"/>
        <w:gridCol w:w="1870"/>
        <w:gridCol w:w="1870"/>
        <w:gridCol w:w="1870"/>
      </w:tblGrid>
      <w:tr w:rsidR="00E24A6D" w14:paraId="5D2B2473" w14:textId="77777777" w:rsidTr="00A15522">
        <w:tc>
          <w:tcPr>
            <w:tcW w:w="1870" w:type="dxa"/>
          </w:tcPr>
          <w:p w14:paraId="49C7104B" w14:textId="77777777" w:rsidR="006E047F" w:rsidRPr="00503F6C" w:rsidRDefault="006E047F" w:rsidP="00503F6C">
            <w:pPr>
              <w:spacing w:line="360" w:lineRule="auto"/>
              <w:jc w:val="both"/>
              <w:rPr>
                <w:b/>
                <w:bCs/>
                <w:sz w:val="24"/>
                <w:szCs w:val="24"/>
              </w:rPr>
            </w:pPr>
          </w:p>
        </w:tc>
        <w:tc>
          <w:tcPr>
            <w:tcW w:w="1870" w:type="dxa"/>
          </w:tcPr>
          <w:p w14:paraId="74C8D759" w14:textId="77777777" w:rsidR="006E047F" w:rsidRPr="00503F6C" w:rsidRDefault="006E047F" w:rsidP="00503F6C">
            <w:pPr>
              <w:spacing w:line="360" w:lineRule="auto"/>
              <w:jc w:val="both"/>
              <w:rPr>
                <w:b/>
                <w:bCs/>
                <w:sz w:val="24"/>
                <w:szCs w:val="24"/>
              </w:rPr>
            </w:pPr>
          </w:p>
        </w:tc>
        <w:tc>
          <w:tcPr>
            <w:tcW w:w="1870" w:type="dxa"/>
          </w:tcPr>
          <w:p w14:paraId="57FA63D2" w14:textId="77777777" w:rsidR="006E047F" w:rsidRPr="00503F6C" w:rsidRDefault="006E047F" w:rsidP="00503F6C">
            <w:pPr>
              <w:spacing w:line="360" w:lineRule="auto"/>
              <w:jc w:val="both"/>
              <w:rPr>
                <w:b/>
                <w:bCs/>
                <w:sz w:val="24"/>
                <w:szCs w:val="24"/>
              </w:rPr>
            </w:pPr>
          </w:p>
        </w:tc>
        <w:tc>
          <w:tcPr>
            <w:tcW w:w="1870" w:type="dxa"/>
          </w:tcPr>
          <w:p w14:paraId="3BD45E1C" w14:textId="77777777" w:rsidR="006E047F" w:rsidRPr="00503F6C" w:rsidRDefault="006E047F" w:rsidP="00503F6C">
            <w:pPr>
              <w:spacing w:line="360" w:lineRule="auto"/>
              <w:jc w:val="both"/>
              <w:rPr>
                <w:b/>
                <w:bCs/>
                <w:sz w:val="24"/>
                <w:szCs w:val="24"/>
              </w:rPr>
            </w:pPr>
          </w:p>
        </w:tc>
      </w:tr>
      <w:tr w:rsidR="00E24A6D" w14:paraId="67D027DD" w14:textId="77777777" w:rsidTr="00A15522">
        <w:tc>
          <w:tcPr>
            <w:tcW w:w="1870" w:type="dxa"/>
            <w:vAlign w:val="bottom"/>
          </w:tcPr>
          <w:p w14:paraId="5B22262B" w14:textId="77777777" w:rsidR="006E047F" w:rsidRPr="00503F6C" w:rsidRDefault="009A71CA" w:rsidP="00503F6C">
            <w:pPr>
              <w:spacing w:line="360" w:lineRule="auto"/>
              <w:jc w:val="both"/>
              <w:rPr>
                <w:b/>
                <w:bCs/>
                <w:sz w:val="24"/>
                <w:szCs w:val="24"/>
              </w:rPr>
            </w:pPr>
            <w:r w:rsidRPr="00503F6C">
              <w:rPr>
                <w:sz w:val="24"/>
                <w:szCs w:val="24"/>
              </w:rPr>
              <w:t>F-statistic</w:t>
            </w:r>
          </w:p>
        </w:tc>
        <w:tc>
          <w:tcPr>
            <w:tcW w:w="1870" w:type="dxa"/>
            <w:vAlign w:val="bottom"/>
          </w:tcPr>
          <w:p w14:paraId="481F2A05" w14:textId="77777777" w:rsidR="006E047F" w:rsidRPr="00503F6C" w:rsidRDefault="009A71CA" w:rsidP="00503F6C">
            <w:pPr>
              <w:spacing w:line="360" w:lineRule="auto"/>
              <w:jc w:val="both"/>
              <w:rPr>
                <w:b/>
                <w:bCs/>
                <w:sz w:val="24"/>
                <w:szCs w:val="24"/>
              </w:rPr>
            </w:pPr>
            <w:r w:rsidRPr="00503F6C">
              <w:rPr>
                <w:sz w:val="24"/>
                <w:szCs w:val="24"/>
              </w:rPr>
              <w:t>0.477582</w:t>
            </w:r>
          </w:p>
        </w:tc>
        <w:tc>
          <w:tcPr>
            <w:tcW w:w="1870" w:type="dxa"/>
            <w:vAlign w:val="bottom"/>
          </w:tcPr>
          <w:p w14:paraId="6E9BD8F5" w14:textId="77777777" w:rsidR="006E047F" w:rsidRPr="00503F6C" w:rsidRDefault="009A71CA" w:rsidP="00503F6C">
            <w:pPr>
              <w:spacing w:line="360" w:lineRule="auto"/>
              <w:jc w:val="both"/>
              <w:rPr>
                <w:b/>
                <w:bCs/>
                <w:sz w:val="24"/>
                <w:szCs w:val="24"/>
              </w:rPr>
            </w:pPr>
            <w:r w:rsidRPr="00503F6C">
              <w:rPr>
                <w:sz w:val="24"/>
                <w:szCs w:val="24"/>
              </w:rPr>
              <w:t>    Prob. F(2,30)</w:t>
            </w:r>
          </w:p>
        </w:tc>
        <w:tc>
          <w:tcPr>
            <w:tcW w:w="1870" w:type="dxa"/>
            <w:vAlign w:val="bottom"/>
          </w:tcPr>
          <w:p w14:paraId="6BDF125B" w14:textId="77777777" w:rsidR="006E047F" w:rsidRPr="00503F6C" w:rsidRDefault="009A71CA" w:rsidP="00503F6C">
            <w:pPr>
              <w:spacing w:line="360" w:lineRule="auto"/>
              <w:jc w:val="both"/>
              <w:rPr>
                <w:b/>
                <w:bCs/>
                <w:sz w:val="24"/>
                <w:szCs w:val="24"/>
              </w:rPr>
            </w:pPr>
            <w:r w:rsidRPr="00503F6C">
              <w:rPr>
                <w:sz w:val="24"/>
                <w:szCs w:val="24"/>
              </w:rPr>
              <w:t>0.6249</w:t>
            </w:r>
          </w:p>
        </w:tc>
      </w:tr>
      <w:tr w:rsidR="00E24A6D" w14:paraId="4ABB1623" w14:textId="77777777" w:rsidTr="00A15522">
        <w:tc>
          <w:tcPr>
            <w:tcW w:w="1870" w:type="dxa"/>
            <w:vAlign w:val="bottom"/>
          </w:tcPr>
          <w:p w14:paraId="37963E66" w14:textId="77777777" w:rsidR="006E047F" w:rsidRPr="00503F6C" w:rsidRDefault="009A71CA" w:rsidP="00503F6C">
            <w:pPr>
              <w:spacing w:line="360" w:lineRule="auto"/>
              <w:jc w:val="both"/>
              <w:rPr>
                <w:sz w:val="24"/>
                <w:szCs w:val="24"/>
              </w:rPr>
            </w:pPr>
            <w:r w:rsidRPr="00503F6C">
              <w:rPr>
                <w:sz w:val="24"/>
                <w:szCs w:val="24"/>
              </w:rPr>
              <w:t>Obs*R-squared</w:t>
            </w:r>
          </w:p>
        </w:tc>
        <w:tc>
          <w:tcPr>
            <w:tcW w:w="1870" w:type="dxa"/>
            <w:vAlign w:val="bottom"/>
          </w:tcPr>
          <w:p w14:paraId="19E4A53A" w14:textId="77777777" w:rsidR="006E047F" w:rsidRPr="00503F6C" w:rsidRDefault="009A71CA" w:rsidP="00503F6C">
            <w:pPr>
              <w:spacing w:line="360" w:lineRule="auto"/>
              <w:jc w:val="both"/>
              <w:rPr>
                <w:sz w:val="24"/>
                <w:szCs w:val="24"/>
              </w:rPr>
            </w:pPr>
            <w:r w:rsidRPr="00503F6C">
              <w:rPr>
                <w:sz w:val="24"/>
                <w:szCs w:val="24"/>
              </w:rPr>
              <w:t>1.203399</w:t>
            </w:r>
          </w:p>
        </w:tc>
        <w:tc>
          <w:tcPr>
            <w:tcW w:w="1870" w:type="dxa"/>
            <w:vAlign w:val="bottom"/>
          </w:tcPr>
          <w:p w14:paraId="73A35133" w14:textId="77777777" w:rsidR="006E047F" w:rsidRPr="00503F6C" w:rsidRDefault="009A71CA" w:rsidP="00503F6C">
            <w:pPr>
              <w:spacing w:line="360" w:lineRule="auto"/>
              <w:jc w:val="both"/>
              <w:rPr>
                <w:sz w:val="24"/>
                <w:szCs w:val="24"/>
              </w:rPr>
            </w:pPr>
            <w:r w:rsidRPr="00503F6C">
              <w:rPr>
                <w:sz w:val="24"/>
                <w:szCs w:val="24"/>
              </w:rPr>
              <w:t>    Prob. Chi-Square(2)</w:t>
            </w:r>
          </w:p>
        </w:tc>
        <w:tc>
          <w:tcPr>
            <w:tcW w:w="1870" w:type="dxa"/>
            <w:vAlign w:val="bottom"/>
          </w:tcPr>
          <w:p w14:paraId="5B6EF508" w14:textId="77777777" w:rsidR="006E047F" w:rsidRPr="00503F6C" w:rsidRDefault="009A71CA" w:rsidP="00503F6C">
            <w:pPr>
              <w:spacing w:line="360" w:lineRule="auto"/>
              <w:jc w:val="both"/>
              <w:rPr>
                <w:sz w:val="24"/>
                <w:szCs w:val="24"/>
              </w:rPr>
            </w:pPr>
            <w:r w:rsidRPr="00503F6C">
              <w:rPr>
                <w:sz w:val="24"/>
                <w:szCs w:val="24"/>
              </w:rPr>
              <w:t>0.5479</w:t>
            </w:r>
          </w:p>
        </w:tc>
      </w:tr>
    </w:tbl>
    <w:p w14:paraId="064D1B94" w14:textId="77777777" w:rsidR="006E047F" w:rsidRPr="00503F6C" w:rsidRDefault="009A71CA" w:rsidP="00503F6C">
      <w:pPr>
        <w:spacing w:after="0" w:line="360" w:lineRule="auto"/>
        <w:jc w:val="both"/>
        <w:rPr>
          <w:rFonts w:ascii="Times New Roman" w:hAnsi="Times New Roman" w:cs="Times New Roman"/>
          <w:b/>
          <w:bCs/>
        </w:rPr>
      </w:pPr>
      <w:r w:rsidRPr="00503F6C">
        <w:rPr>
          <w:rFonts w:ascii="Times New Roman" w:hAnsi="Times New Roman" w:cs="Times New Roman"/>
          <w:b/>
          <w:bCs/>
        </w:rPr>
        <w:t>Sources: Authors own computations, Eviews 10</w:t>
      </w:r>
    </w:p>
    <w:p w14:paraId="5727AE98" w14:textId="77777777" w:rsidR="005565E7" w:rsidRPr="00556E03" w:rsidRDefault="009A71CA" w:rsidP="00503F6C">
      <w:pPr>
        <w:spacing w:after="0" w:line="360" w:lineRule="auto"/>
        <w:jc w:val="both"/>
        <w:rPr>
          <w:rFonts w:ascii="Times New Roman" w:hAnsi="Times New Roman" w:cs="Times New Roman"/>
        </w:rPr>
      </w:pPr>
      <w:r w:rsidRPr="00503F6C">
        <w:rPr>
          <w:rFonts w:ascii="Times New Roman" w:hAnsi="Times New Roman" w:cs="Times New Roman"/>
        </w:rPr>
        <w:t xml:space="preserve">The Breusch-Godfrey Serial Correlation LM Test produces an F-statistic of 0.4776 (p = 0.6249) and an Obs*R-squared value of 1.2034 (p = 0.5479), indicating that there is no evidence of serial </w:t>
      </w:r>
      <w:r w:rsidRPr="00556E03">
        <w:rPr>
          <w:rFonts w:ascii="Times New Roman" w:hAnsi="Times New Roman" w:cs="Times New Roman"/>
        </w:rPr>
        <w:t>correlation in the residuals</w:t>
      </w:r>
      <w:r w:rsidR="00494D08" w:rsidRPr="00556E03">
        <w:rPr>
          <w:rFonts w:ascii="Times New Roman" w:hAnsi="Times New Roman" w:cs="Times New Roman"/>
        </w:rPr>
        <w:t xml:space="preserve">. </w:t>
      </w:r>
    </w:p>
    <w:p w14:paraId="2861CF0B" w14:textId="7B74BC8F" w:rsidR="00494D08" w:rsidRPr="00556E03" w:rsidRDefault="009A71CA" w:rsidP="00503F6C">
      <w:pPr>
        <w:spacing w:after="0" w:line="360" w:lineRule="auto"/>
        <w:jc w:val="both"/>
        <w:rPr>
          <w:rFonts w:ascii="Times New Roman" w:hAnsi="Times New Roman" w:cs="Times New Roman"/>
        </w:rPr>
      </w:pPr>
      <w:r w:rsidRPr="00556E03">
        <w:rPr>
          <w:rFonts w:ascii="Times New Roman" w:hAnsi="Times New Roman" w:cs="Times New Roman"/>
        </w:rPr>
        <w:t xml:space="preserve">The Breusch-Pagan-Godfrey Heteroskedasticity Test was conducted  </w:t>
      </w:r>
      <w:r w:rsidR="00CA5DDC" w:rsidRPr="00556E03">
        <w:rPr>
          <w:rFonts w:ascii="Times New Roman" w:hAnsi="Times New Roman" w:cs="Times New Roman"/>
        </w:rPr>
        <w:t xml:space="preserve"> to test for heteroscedasticity (see Table </w:t>
      </w:r>
      <w:r w:rsidR="00EA162A">
        <w:rPr>
          <w:rFonts w:ascii="Times New Roman" w:hAnsi="Times New Roman" w:cs="Times New Roman"/>
        </w:rPr>
        <w:t>10</w:t>
      </w:r>
      <w:r w:rsidR="00CA5DDC" w:rsidRPr="00556E03">
        <w:rPr>
          <w:rFonts w:ascii="Times New Roman" w:hAnsi="Times New Roman" w:cs="Times New Roman"/>
        </w:rPr>
        <w:t xml:space="preserve">. From Table </w:t>
      </w:r>
      <w:r w:rsidR="00EA162A">
        <w:rPr>
          <w:rFonts w:ascii="Times New Roman" w:hAnsi="Times New Roman" w:cs="Times New Roman"/>
        </w:rPr>
        <w:t>10</w:t>
      </w:r>
      <w:r w:rsidR="00CA5DDC" w:rsidRPr="00556E03">
        <w:rPr>
          <w:rFonts w:ascii="Times New Roman" w:hAnsi="Times New Roman" w:cs="Times New Roman"/>
        </w:rPr>
        <w:t xml:space="preserve"> shows that the F</w:t>
      </w:r>
      <w:r w:rsidRPr="00556E03">
        <w:rPr>
          <w:rFonts w:ascii="Times New Roman" w:hAnsi="Times New Roman" w:cs="Times New Roman"/>
        </w:rPr>
        <w:t>-statistic of 0.8321 (p = 0.5541) and an Obs*R-squared value of 5.2633 (p = 0.5105), confirm</w:t>
      </w:r>
      <w:r w:rsidR="00CA5DDC" w:rsidRPr="00556E03">
        <w:rPr>
          <w:rFonts w:ascii="Times New Roman" w:hAnsi="Times New Roman" w:cs="Times New Roman"/>
        </w:rPr>
        <w:t xml:space="preserve">s </w:t>
      </w:r>
      <w:r w:rsidRPr="00556E03">
        <w:rPr>
          <w:rFonts w:ascii="Times New Roman" w:hAnsi="Times New Roman" w:cs="Times New Roman"/>
        </w:rPr>
        <w:t xml:space="preserve"> the absence of heteroskedasticity and validating the model’s homoscedasticity assumption.</w:t>
      </w:r>
    </w:p>
    <w:p w14:paraId="4B5099F5" w14:textId="77777777" w:rsidR="00CA5DDC" w:rsidRPr="00503F6C" w:rsidRDefault="00CA5DDC" w:rsidP="00503F6C">
      <w:pPr>
        <w:spacing w:after="0" w:line="360" w:lineRule="auto"/>
        <w:jc w:val="both"/>
        <w:rPr>
          <w:rFonts w:ascii="Times New Roman" w:hAnsi="Times New Roman" w:cs="Times New Roman"/>
        </w:rPr>
      </w:pPr>
    </w:p>
    <w:p w14:paraId="6E2F3859" w14:textId="77777777" w:rsidR="00CA5DDC" w:rsidRPr="00556E03" w:rsidRDefault="00CA5DDC" w:rsidP="00503F6C">
      <w:pPr>
        <w:spacing w:after="0" w:line="360" w:lineRule="auto"/>
        <w:jc w:val="both"/>
        <w:rPr>
          <w:rFonts w:ascii="Times New Roman" w:hAnsi="Times New Roman" w:cs="Times New Roman"/>
          <w:b/>
          <w:bCs/>
        </w:rPr>
      </w:pPr>
    </w:p>
    <w:p w14:paraId="2491A133" w14:textId="313501B2" w:rsidR="00CA5DDC" w:rsidRPr="00556E03" w:rsidRDefault="009A71CA" w:rsidP="00503F6C">
      <w:pPr>
        <w:spacing w:after="0" w:line="360" w:lineRule="auto"/>
        <w:jc w:val="both"/>
        <w:rPr>
          <w:rFonts w:ascii="Times New Roman" w:hAnsi="Times New Roman" w:cs="Times New Roman"/>
          <w:b/>
          <w:bCs/>
        </w:rPr>
      </w:pPr>
      <w:r w:rsidRPr="00556E03">
        <w:rPr>
          <w:rFonts w:ascii="Times New Roman" w:hAnsi="Times New Roman" w:cs="Times New Roman"/>
          <w:b/>
          <w:bCs/>
        </w:rPr>
        <w:t xml:space="preserve">Table </w:t>
      </w:r>
      <w:r w:rsidR="00EA162A">
        <w:rPr>
          <w:rFonts w:ascii="Times New Roman" w:hAnsi="Times New Roman" w:cs="Times New Roman"/>
          <w:b/>
          <w:bCs/>
        </w:rPr>
        <w:t>10</w:t>
      </w:r>
      <w:r w:rsidRPr="00556E03">
        <w:rPr>
          <w:rFonts w:ascii="Times New Roman" w:hAnsi="Times New Roman" w:cs="Times New Roman"/>
          <w:b/>
          <w:bCs/>
        </w:rPr>
        <w:t xml:space="preserve"> The Breusch-Pagan-Godfrey Heteroskedasticity Test  </w:t>
      </w:r>
    </w:p>
    <w:p w14:paraId="01E1E68A" w14:textId="77777777" w:rsidR="00494D08" w:rsidRPr="00503F6C" w:rsidRDefault="00494D08" w:rsidP="00503F6C">
      <w:pPr>
        <w:spacing w:after="0"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1870"/>
        <w:gridCol w:w="1870"/>
        <w:gridCol w:w="1870"/>
        <w:gridCol w:w="1870"/>
      </w:tblGrid>
      <w:tr w:rsidR="00E24A6D" w14:paraId="67730778" w14:textId="77777777" w:rsidTr="00A15522">
        <w:tc>
          <w:tcPr>
            <w:tcW w:w="1870" w:type="dxa"/>
            <w:vAlign w:val="bottom"/>
          </w:tcPr>
          <w:p w14:paraId="5255FAC6" w14:textId="77777777" w:rsidR="00494D08" w:rsidRPr="00503F6C" w:rsidRDefault="009A71CA" w:rsidP="00503F6C">
            <w:pPr>
              <w:spacing w:line="360" w:lineRule="auto"/>
              <w:jc w:val="both"/>
              <w:rPr>
                <w:sz w:val="24"/>
                <w:szCs w:val="24"/>
              </w:rPr>
            </w:pPr>
            <w:r w:rsidRPr="00503F6C">
              <w:rPr>
                <w:sz w:val="24"/>
                <w:szCs w:val="24"/>
              </w:rPr>
              <w:t>F-statistic</w:t>
            </w:r>
          </w:p>
        </w:tc>
        <w:tc>
          <w:tcPr>
            <w:tcW w:w="1870" w:type="dxa"/>
            <w:vAlign w:val="bottom"/>
          </w:tcPr>
          <w:p w14:paraId="47825214" w14:textId="77777777" w:rsidR="00494D08" w:rsidRPr="00503F6C" w:rsidRDefault="009A71CA" w:rsidP="00503F6C">
            <w:pPr>
              <w:spacing w:line="360" w:lineRule="auto"/>
              <w:jc w:val="both"/>
              <w:rPr>
                <w:sz w:val="24"/>
                <w:szCs w:val="24"/>
              </w:rPr>
            </w:pPr>
            <w:r w:rsidRPr="00503F6C">
              <w:rPr>
                <w:sz w:val="24"/>
                <w:szCs w:val="24"/>
              </w:rPr>
              <w:t>0.832060</w:t>
            </w:r>
          </w:p>
        </w:tc>
        <w:tc>
          <w:tcPr>
            <w:tcW w:w="1870" w:type="dxa"/>
            <w:vAlign w:val="bottom"/>
          </w:tcPr>
          <w:p w14:paraId="6D939311" w14:textId="77777777" w:rsidR="00494D08" w:rsidRPr="00503F6C" w:rsidRDefault="009A71CA" w:rsidP="00503F6C">
            <w:pPr>
              <w:spacing w:line="360" w:lineRule="auto"/>
              <w:jc w:val="both"/>
              <w:rPr>
                <w:sz w:val="24"/>
                <w:szCs w:val="24"/>
              </w:rPr>
            </w:pPr>
            <w:r w:rsidRPr="00503F6C">
              <w:rPr>
                <w:sz w:val="24"/>
                <w:szCs w:val="24"/>
              </w:rPr>
              <w:t>    Prob. F(6,32)</w:t>
            </w:r>
          </w:p>
        </w:tc>
        <w:tc>
          <w:tcPr>
            <w:tcW w:w="1870" w:type="dxa"/>
            <w:vAlign w:val="bottom"/>
          </w:tcPr>
          <w:p w14:paraId="517DF028" w14:textId="77777777" w:rsidR="00494D08" w:rsidRPr="00503F6C" w:rsidRDefault="009A71CA" w:rsidP="00503F6C">
            <w:pPr>
              <w:spacing w:line="360" w:lineRule="auto"/>
              <w:jc w:val="both"/>
              <w:rPr>
                <w:sz w:val="24"/>
                <w:szCs w:val="24"/>
              </w:rPr>
            </w:pPr>
            <w:r w:rsidRPr="00503F6C">
              <w:rPr>
                <w:sz w:val="24"/>
                <w:szCs w:val="24"/>
              </w:rPr>
              <w:t>0.5541</w:t>
            </w:r>
          </w:p>
        </w:tc>
      </w:tr>
      <w:tr w:rsidR="00E24A6D" w14:paraId="07C75628" w14:textId="77777777" w:rsidTr="00A15522">
        <w:tc>
          <w:tcPr>
            <w:tcW w:w="1870" w:type="dxa"/>
            <w:vAlign w:val="bottom"/>
          </w:tcPr>
          <w:p w14:paraId="42F277BC" w14:textId="77777777" w:rsidR="00494D08" w:rsidRPr="00503F6C" w:rsidRDefault="009A71CA" w:rsidP="00503F6C">
            <w:pPr>
              <w:spacing w:line="360" w:lineRule="auto"/>
              <w:jc w:val="both"/>
              <w:rPr>
                <w:sz w:val="24"/>
                <w:szCs w:val="24"/>
              </w:rPr>
            </w:pPr>
            <w:r w:rsidRPr="00503F6C">
              <w:rPr>
                <w:sz w:val="24"/>
                <w:szCs w:val="24"/>
              </w:rPr>
              <w:t>Obs*R-squared</w:t>
            </w:r>
          </w:p>
        </w:tc>
        <w:tc>
          <w:tcPr>
            <w:tcW w:w="1870" w:type="dxa"/>
            <w:vAlign w:val="bottom"/>
          </w:tcPr>
          <w:p w14:paraId="6AE84BC6" w14:textId="77777777" w:rsidR="00494D08" w:rsidRPr="00503F6C" w:rsidRDefault="009A71CA" w:rsidP="00503F6C">
            <w:pPr>
              <w:spacing w:line="360" w:lineRule="auto"/>
              <w:jc w:val="both"/>
              <w:rPr>
                <w:sz w:val="24"/>
                <w:szCs w:val="24"/>
              </w:rPr>
            </w:pPr>
            <w:r w:rsidRPr="00503F6C">
              <w:rPr>
                <w:sz w:val="24"/>
                <w:szCs w:val="24"/>
              </w:rPr>
              <w:t>5.263304</w:t>
            </w:r>
          </w:p>
        </w:tc>
        <w:tc>
          <w:tcPr>
            <w:tcW w:w="1870" w:type="dxa"/>
            <w:vAlign w:val="bottom"/>
          </w:tcPr>
          <w:p w14:paraId="6CAFDB05" w14:textId="77777777" w:rsidR="00494D08" w:rsidRPr="00503F6C" w:rsidRDefault="009A71CA" w:rsidP="00503F6C">
            <w:pPr>
              <w:spacing w:line="360" w:lineRule="auto"/>
              <w:jc w:val="both"/>
              <w:rPr>
                <w:sz w:val="24"/>
                <w:szCs w:val="24"/>
              </w:rPr>
            </w:pPr>
            <w:r w:rsidRPr="00503F6C">
              <w:rPr>
                <w:sz w:val="24"/>
                <w:szCs w:val="24"/>
              </w:rPr>
              <w:t>    Prob. Chi-Square(6)</w:t>
            </w:r>
          </w:p>
        </w:tc>
        <w:tc>
          <w:tcPr>
            <w:tcW w:w="1870" w:type="dxa"/>
            <w:vAlign w:val="bottom"/>
          </w:tcPr>
          <w:p w14:paraId="317244D4" w14:textId="77777777" w:rsidR="00494D08" w:rsidRPr="00503F6C" w:rsidRDefault="009A71CA" w:rsidP="00503F6C">
            <w:pPr>
              <w:spacing w:line="360" w:lineRule="auto"/>
              <w:jc w:val="both"/>
              <w:rPr>
                <w:sz w:val="24"/>
                <w:szCs w:val="24"/>
              </w:rPr>
            </w:pPr>
            <w:r w:rsidRPr="00503F6C">
              <w:rPr>
                <w:sz w:val="24"/>
                <w:szCs w:val="24"/>
              </w:rPr>
              <w:t>0.5105</w:t>
            </w:r>
          </w:p>
        </w:tc>
      </w:tr>
      <w:tr w:rsidR="00E24A6D" w14:paraId="4F29FDA2" w14:textId="77777777" w:rsidTr="00A15522">
        <w:tc>
          <w:tcPr>
            <w:tcW w:w="1870" w:type="dxa"/>
            <w:vAlign w:val="bottom"/>
          </w:tcPr>
          <w:p w14:paraId="0540E78B" w14:textId="77777777" w:rsidR="00494D08" w:rsidRPr="00503F6C" w:rsidRDefault="009A71CA" w:rsidP="00503F6C">
            <w:pPr>
              <w:spacing w:line="360" w:lineRule="auto"/>
              <w:jc w:val="both"/>
              <w:rPr>
                <w:sz w:val="24"/>
                <w:szCs w:val="24"/>
              </w:rPr>
            </w:pPr>
            <w:r w:rsidRPr="00503F6C">
              <w:rPr>
                <w:sz w:val="24"/>
                <w:szCs w:val="24"/>
              </w:rPr>
              <w:t>Scaled explained SS</w:t>
            </w:r>
          </w:p>
        </w:tc>
        <w:tc>
          <w:tcPr>
            <w:tcW w:w="1870" w:type="dxa"/>
            <w:vAlign w:val="bottom"/>
          </w:tcPr>
          <w:p w14:paraId="25FF7D04" w14:textId="77777777" w:rsidR="00494D08" w:rsidRPr="00503F6C" w:rsidRDefault="009A71CA" w:rsidP="00503F6C">
            <w:pPr>
              <w:spacing w:line="360" w:lineRule="auto"/>
              <w:jc w:val="both"/>
              <w:rPr>
                <w:sz w:val="24"/>
                <w:szCs w:val="24"/>
              </w:rPr>
            </w:pPr>
            <w:r w:rsidRPr="00503F6C">
              <w:rPr>
                <w:sz w:val="24"/>
                <w:szCs w:val="24"/>
              </w:rPr>
              <w:t>4.539309</w:t>
            </w:r>
          </w:p>
        </w:tc>
        <w:tc>
          <w:tcPr>
            <w:tcW w:w="1870" w:type="dxa"/>
            <w:vAlign w:val="bottom"/>
          </w:tcPr>
          <w:p w14:paraId="556BBACC" w14:textId="77777777" w:rsidR="00494D08" w:rsidRPr="00503F6C" w:rsidRDefault="009A71CA" w:rsidP="00503F6C">
            <w:pPr>
              <w:spacing w:line="360" w:lineRule="auto"/>
              <w:jc w:val="both"/>
              <w:rPr>
                <w:sz w:val="24"/>
                <w:szCs w:val="24"/>
              </w:rPr>
            </w:pPr>
            <w:r w:rsidRPr="00503F6C">
              <w:rPr>
                <w:sz w:val="24"/>
                <w:szCs w:val="24"/>
              </w:rPr>
              <w:t>    Prob. Chi-Square(6)</w:t>
            </w:r>
          </w:p>
        </w:tc>
        <w:tc>
          <w:tcPr>
            <w:tcW w:w="1870" w:type="dxa"/>
            <w:vAlign w:val="bottom"/>
          </w:tcPr>
          <w:p w14:paraId="20EA14BB" w14:textId="77777777" w:rsidR="00494D08" w:rsidRPr="00503F6C" w:rsidRDefault="009A71CA" w:rsidP="00503F6C">
            <w:pPr>
              <w:spacing w:line="360" w:lineRule="auto"/>
              <w:jc w:val="both"/>
              <w:rPr>
                <w:sz w:val="24"/>
                <w:szCs w:val="24"/>
              </w:rPr>
            </w:pPr>
            <w:r w:rsidRPr="00503F6C">
              <w:rPr>
                <w:sz w:val="24"/>
                <w:szCs w:val="24"/>
              </w:rPr>
              <w:t>0.6041</w:t>
            </w:r>
          </w:p>
        </w:tc>
      </w:tr>
      <w:tr w:rsidR="00E24A6D" w14:paraId="3CE573EE" w14:textId="77777777" w:rsidTr="00A15522">
        <w:tc>
          <w:tcPr>
            <w:tcW w:w="1870" w:type="dxa"/>
            <w:vAlign w:val="bottom"/>
          </w:tcPr>
          <w:p w14:paraId="18F4166E" w14:textId="77777777" w:rsidR="00494D08" w:rsidRPr="00503F6C" w:rsidRDefault="00494D08" w:rsidP="00503F6C">
            <w:pPr>
              <w:spacing w:line="360" w:lineRule="auto"/>
              <w:jc w:val="both"/>
              <w:rPr>
                <w:sz w:val="24"/>
                <w:szCs w:val="24"/>
              </w:rPr>
            </w:pPr>
          </w:p>
        </w:tc>
        <w:tc>
          <w:tcPr>
            <w:tcW w:w="1870" w:type="dxa"/>
            <w:vAlign w:val="bottom"/>
          </w:tcPr>
          <w:p w14:paraId="670D46FC" w14:textId="77777777" w:rsidR="00494D08" w:rsidRPr="00503F6C" w:rsidRDefault="00494D08" w:rsidP="00503F6C">
            <w:pPr>
              <w:spacing w:line="360" w:lineRule="auto"/>
              <w:jc w:val="both"/>
              <w:rPr>
                <w:sz w:val="24"/>
                <w:szCs w:val="24"/>
              </w:rPr>
            </w:pPr>
          </w:p>
        </w:tc>
        <w:tc>
          <w:tcPr>
            <w:tcW w:w="1870" w:type="dxa"/>
            <w:vAlign w:val="bottom"/>
          </w:tcPr>
          <w:p w14:paraId="03692743" w14:textId="77777777" w:rsidR="00494D08" w:rsidRPr="00503F6C" w:rsidRDefault="00494D08" w:rsidP="00503F6C">
            <w:pPr>
              <w:spacing w:line="360" w:lineRule="auto"/>
              <w:jc w:val="both"/>
              <w:rPr>
                <w:sz w:val="24"/>
                <w:szCs w:val="24"/>
              </w:rPr>
            </w:pPr>
          </w:p>
        </w:tc>
        <w:tc>
          <w:tcPr>
            <w:tcW w:w="1870" w:type="dxa"/>
            <w:vAlign w:val="bottom"/>
          </w:tcPr>
          <w:p w14:paraId="7413F686" w14:textId="77777777" w:rsidR="00494D08" w:rsidRPr="00503F6C" w:rsidRDefault="00494D08" w:rsidP="00503F6C">
            <w:pPr>
              <w:spacing w:line="360" w:lineRule="auto"/>
              <w:jc w:val="both"/>
              <w:rPr>
                <w:sz w:val="24"/>
                <w:szCs w:val="24"/>
              </w:rPr>
            </w:pPr>
          </w:p>
        </w:tc>
      </w:tr>
    </w:tbl>
    <w:p w14:paraId="499D580A" w14:textId="77777777" w:rsidR="00494D08" w:rsidRPr="00503F6C" w:rsidRDefault="009A71CA" w:rsidP="00503F6C">
      <w:pPr>
        <w:spacing w:after="0" w:line="360" w:lineRule="auto"/>
        <w:jc w:val="both"/>
        <w:rPr>
          <w:rFonts w:ascii="Times New Roman" w:hAnsi="Times New Roman" w:cs="Times New Roman"/>
        </w:rPr>
      </w:pPr>
      <w:r w:rsidRPr="00503F6C">
        <w:rPr>
          <w:rFonts w:ascii="Times New Roman" w:hAnsi="Times New Roman" w:cs="Times New Roman"/>
        </w:rPr>
        <w:lastRenderedPageBreak/>
        <w:t>Sources: Authors own computations, Eviews 10</w:t>
      </w:r>
    </w:p>
    <w:p w14:paraId="344744A9" w14:textId="77777777" w:rsidR="00CA5DDC" w:rsidRDefault="009A71CA" w:rsidP="00503F6C">
      <w:pPr>
        <w:spacing w:after="0" w:line="360" w:lineRule="auto"/>
        <w:jc w:val="both"/>
        <w:rPr>
          <w:rFonts w:ascii="Times New Roman" w:hAnsi="Times New Roman" w:cs="Times New Roman"/>
        </w:rPr>
      </w:pPr>
      <w:r w:rsidRPr="00503F6C">
        <w:rPr>
          <w:rFonts w:ascii="Times New Roman" w:hAnsi="Times New Roman" w:cs="Times New Roman"/>
        </w:rPr>
        <w:t>Stability Test</w:t>
      </w:r>
      <w:r w:rsidR="00AC6260" w:rsidRPr="00503F6C">
        <w:rPr>
          <w:rFonts w:ascii="Times New Roman" w:hAnsi="Times New Roman" w:cs="Times New Roman"/>
        </w:rPr>
        <w:t xml:space="preserve"> was conducted , as shown in figure1</w:t>
      </w:r>
      <w:r w:rsidRPr="00503F6C">
        <w:rPr>
          <w:rFonts w:ascii="Times New Roman" w:hAnsi="Times New Roman" w:cs="Times New Roman"/>
        </w:rPr>
        <w:t xml:space="preserve"> </w:t>
      </w:r>
      <w:r w:rsidR="00AC6260" w:rsidRPr="00503F6C">
        <w:rPr>
          <w:rFonts w:ascii="Times New Roman" w:hAnsi="Times New Roman" w:cs="Times New Roman"/>
        </w:rPr>
        <w:t>the blue line denotes</w:t>
      </w:r>
      <w:r w:rsidRPr="00503F6C">
        <w:rPr>
          <w:rFonts w:ascii="Times New Roman" w:hAnsi="Times New Roman" w:cs="Times New Roman"/>
        </w:rPr>
        <w:t xml:space="preserve">  the  cumulative sum of recursive residuals, and the red dashed lines </w:t>
      </w:r>
      <w:r w:rsidR="00AC6260" w:rsidRPr="00503F6C">
        <w:rPr>
          <w:rFonts w:ascii="Times New Roman" w:hAnsi="Times New Roman" w:cs="Times New Roman"/>
        </w:rPr>
        <w:t xml:space="preserve">shows </w:t>
      </w:r>
      <w:r w:rsidRPr="00503F6C">
        <w:rPr>
          <w:rFonts w:ascii="Times New Roman" w:hAnsi="Times New Roman" w:cs="Times New Roman"/>
        </w:rPr>
        <w:t xml:space="preserve"> the 5% significance level bounds. </w:t>
      </w:r>
      <w:r w:rsidR="00AC6260" w:rsidRPr="00503F6C">
        <w:rPr>
          <w:rFonts w:ascii="Times New Roman" w:hAnsi="Times New Roman" w:cs="Times New Roman"/>
        </w:rPr>
        <w:t>Since t</w:t>
      </w:r>
      <w:r w:rsidRPr="00503F6C">
        <w:rPr>
          <w:rFonts w:ascii="Times New Roman" w:hAnsi="Times New Roman" w:cs="Times New Roman"/>
        </w:rPr>
        <w:t xml:space="preserve">he blue CUSUM line </w:t>
      </w:r>
      <w:r w:rsidR="00AC6260" w:rsidRPr="00503F6C">
        <w:rPr>
          <w:rFonts w:ascii="Times New Roman" w:hAnsi="Times New Roman" w:cs="Times New Roman"/>
        </w:rPr>
        <w:t>stays</w:t>
      </w:r>
      <w:r w:rsidRPr="00503F6C">
        <w:rPr>
          <w:rFonts w:ascii="Times New Roman" w:hAnsi="Times New Roman" w:cs="Times New Roman"/>
        </w:rPr>
        <w:t xml:space="preserve"> within the red dashed lines throughout the sample </w:t>
      </w:r>
      <w:r w:rsidR="00AC6260" w:rsidRPr="00503F6C">
        <w:rPr>
          <w:rFonts w:ascii="Times New Roman" w:hAnsi="Times New Roman" w:cs="Times New Roman"/>
        </w:rPr>
        <w:t xml:space="preserve">period this demonstrate </w:t>
      </w:r>
      <w:r w:rsidRPr="00503F6C">
        <w:rPr>
          <w:rFonts w:ascii="Times New Roman" w:hAnsi="Times New Roman" w:cs="Times New Roman"/>
        </w:rPr>
        <w:t>there are no structural breaks over time</w:t>
      </w:r>
      <w:r w:rsidR="00AC6260" w:rsidRPr="00503F6C">
        <w:rPr>
          <w:rFonts w:ascii="Times New Roman" w:hAnsi="Times New Roman" w:cs="Times New Roman"/>
        </w:rPr>
        <w:t xml:space="preserve"> s</w:t>
      </w:r>
      <w:r w:rsidRPr="00503F6C">
        <w:rPr>
          <w:rFonts w:ascii="Times New Roman" w:hAnsi="Times New Roman" w:cs="Times New Roman"/>
        </w:rPr>
        <w:t>ince the CUSUM line does not cross the 5% significance level bounds</w:t>
      </w:r>
      <w:r w:rsidR="00AC6260" w:rsidRPr="00503F6C">
        <w:rPr>
          <w:rFonts w:ascii="Times New Roman" w:hAnsi="Times New Roman" w:cs="Times New Roman"/>
        </w:rPr>
        <w:t xml:space="preserve">. Therefore </w:t>
      </w:r>
      <w:r w:rsidRPr="00503F6C">
        <w:rPr>
          <w:rFonts w:ascii="Times New Roman" w:hAnsi="Times New Roman" w:cs="Times New Roman"/>
        </w:rPr>
        <w:t xml:space="preserve"> it </w:t>
      </w:r>
      <w:r w:rsidR="00AC6260" w:rsidRPr="00503F6C">
        <w:rPr>
          <w:rFonts w:ascii="Times New Roman" w:hAnsi="Times New Roman" w:cs="Times New Roman"/>
        </w:rPr>
        <w:t xml:space="preserve"> can be concluded</w:t>
      </w:r>
      <w:r w:rsidRPr="00503F6C">
        <w:rPr>
          <w:rFonts w:ascii="Times New Roman" w:hAnsi="Times New Roman" w:cs="Times New Roman"/>
        </w:rPr>
        <w:t xml:space="preserve"> that the model is stable over the period </w:t>
      </w:r>
      <w:r w:rsidR="00C86D42" w:rsidRPr="00503F6C">
        <w:rPr>
          <w:rFonts w:ascii="Times New Roman" w:hAnsi="Times New Roman" w:cs="Times New Roman"/>
        </w:rPr>
        <w:t xml:space="preserve">covered by the model. </w:t>
      </w:r>
    </w:p>
    <w:p w14:paraId="07827344" w14:textId="77777777" w:rsidR="00556E03" w:rsidRDefault="00556E03" w:rsidP="00503F6C">
      <w:pPr>
        <w:spacing w:after="0" w:line="360" w:lineRule="auto"/>
        <w:jc w:val="both"/>
        <w:rPr>
          <w:rFonts w:ascii="Times New Roman" w:hAnsi="Times New Roman" w:cs="Times New Roman"/>
        </w:rPr>
      </w:pPr>
    </w:p>
    <w:p w14:paraId="5933D985" w14:textId="77777777" w:rsidR="00556E03" w:rsidRDefault="00196767" w:rsidP="00503F6C">
      <w:pPr>
        <w:spacing w:after="0" w:line="360" w:lineRule="auto"/>
        <w:jc w:val="both"/>
        <w:rPr>
          <w:rFonts w:ascii="Times New Roman" w:hAnsi="Times New Roman" w:cs="Times New Roman"/>
        </w:rPr>
      </w:pPr>
      <w:r>
        <w:rPr>
          <w:rStyle w:val="CommentReference"/>
        </w:rPr>
        <w:commentReference w:id="21"/>
      </w:r>
    </w:p>
    <w:p w14:paraId="0E087D03" w14:textId="77777777" w:rsidR="00556E03" w:rsidRDefault="00196767" w:rsidP="00503F6C">
      <w:pPr>
        <w:spacing w:after="0" w:line="360" w:lineRule="auto"/>
        <w:jc w:val="both"/>
        <w:rPr>
          <w:rFonts w:ascii="Times New Roman" w:hAnsi="Times New Roman" w:cs="Times New Roman"/>
        </w:rPr>
      </w:pPr>
      <w:r>
        <w:rPr>
          <w:rStyle w:val="CommentReference"/>
        </w:rPr>
        <w:commentReference w:id="22"/>
      </w:r>
    </w:p>
    <w:p w14:paraId="71C7D995" w14:textId="77777777" w:rsidR="00556E03" w:rsidRDefault="00556E03" w:rsidP="00503F6C">
      <w:pPr>
        <w:spacing w:after="0" w:line="360" w:lineRule="auto"/>
        <w:jc w:val="both"/>
        <w:rPr>
          <w:rFonts w:ascii="Times New Roman" w:hAnsi="Times New Roman" w:cs="Times New Roman"/>
        </w:rPr>
      </w:pPr>
    </w:p>
    <w:p w14:paraId="7B5D8C74" w14:textId="77777777" w:rsidR="00556E03" w:rsidRDefault="00556E03" w:rsidP="00503F6C">
      <w:pPr>
        <w:spacing w:after="0" w:line="360" w:lineRule="auto"/>
        <w:jc w:val="both"/>
        <w:rPr>
          <w:rFonts w:ascii="Times New Roman" w:hAnsi="Times New Roman" w:cs="Times New Roman"/>
        </w:rPr>
      </w:pPr>
    </w:p>
    <w:p w14:paraId="5750B55E" w14:textId="77777777" w:rsidR="00556E03" w:rsidRDefault="00556E03" w:rsidP="00503F6C">
      <w:pPr>
        <w:spacing w:after="0" w:line="360" w:lineRule="auto"/>
        <w:jc w:val="both"/>
        <w:rPr>
          <w:rFonts w:ascii="Times New Roman" w:hAnsi="Times New Roman" w:cs="Times New Roman"/>
        </w:rPr>
      </w:pPr>
    </w:p>
    <w:p w14:paraId="261521D0" w14:textId="77777777" w:rsidR="00556E03" w:rsidRPr="00503F6C" w:rsidRDefault="00556E03" w:rsidP="00503F6C">
      <w:pPr>
        <w:spacing w:after="0" w:line="360" w:lineRule="auto"/>
        <w:jc w:val="both"/>
        <w:rPr>
          <w:rFonts w:ascii="Times New Roman" w:hAnsi="Times New Roman" w:cs="Times New Roman"/>
        </w:rPr>
      </w:pPr>
    </w:p>
    <w:p w14:paraId="2D21D6BF" w14:textId="1DB88A0A" w:rsidR="00CA5DDC" w:rsidRPr="00503F6C" w:rsidRDefault="009A71CA" w:rsidP="00503F6C">
      <w:pPr>
        <w:spacing w:after="0" w:line="360" w:lineRule="auto"/>
        <w:jc w:val="both"/>
        <w:rPr>
          <w:rFonts w:ascii="Times New Roman" w:hAnsi="Times New Roman" w:cs="Times New Roman"/>
        </w:rPr>
      </w:pPr>
      <w:r w:rsidRPr="00503F6C">
        <w:rPr>
          <w:rFonts w:ascii="Times New Roman" w:hAnsi="Times New Roman" w:cs="Times New Roman"/>
        </w:rPr>
        <w:t xml:space="preserve">        Figure </w:t>
      </w:r>
      <w:r w:rsidR="00556E03">
        <w:rPr>
          <w:rFonts w:ascii="Times New Roman" w:hAnsi="Times New Roman" w:cs="Times New Roman"/>
        </w:rPr>
        <w:t>3</w:t>
      </w:r>
      <w:r w:rsidRPr="00503F6C">
        <w:rPr>
          <w:rFonts w:ascii="Times New Roman" w:hAnsi="Times New Roman" w:cs="Times New Roman"/>
        </w:rPr>
        <w:t xml:space="preserve"> CUSUM</w:t>
      </w:r>
    </w:p>
    <w:p w14:paraId="06381E94" w14:textId="77777777" w:rsidR="00494D08" w:rsidRPr="00503F6C" w:rsidRDefault="009A71CA" w:rsidP="00503F6C">
      <w:pPr>
        <w:spacing w:after="0" w:line="360" w:lineRule="auto"/>
        <w:jc w:val="both"/>
        <w:rPr>
          <w:rFonts w:ascii="Times New Roman" w:hAnsi="Times New Roman" w:cs="Times New Roman"/>
        </w:rPr>
      </w:pPr>
      <w:r>
        <w:rPr>
          <w:rFonts w:ascii="Times New Roman" w:hAnsi="Times New Roman" w:cs="Times New Roman"/>
        </w:rPr>
        <w:object w:dxaOrig="7215" w:dyaOrig="5085" w14:anchorId="3F763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254.25pt" o:ole="">
            <v:imagedata r:id="rId12" o:title=""/>
          </v:shape>
          <o:OLEObject Type="Embed" ProgID="EViews.Workfile.2" ShapeID="_x0000_i1025" DrawAspect="Content" ObjectID="_1817047488" r:id="rId13"/>
        </w:object>
      </w:r>
    </w:p>
    <w:p w14:paraId="31F9C84B" w14:textId="77777777" w:rsidR="005565E7" w:rsidRPr="00503F6C" w:rsidRDefault="005565E7" w:rsidP="00503F6C">
      <w:pPr>
        <w:spacing w:after="0" w:line="360" w:lineRule="auto"/>
        <w:jc w:val="both"/>
        <w:rPr>
          <w:rFonts w:ascii="Times New Roman" w:hAnsi="Times New Roman" w:cs="Times New Roman"/>
          <w:b/>
          <w:bCs/>
        </w:rPr>
      </w:pPr>
    </w:p>
    <w:p w14:paraId="5685A562" w14:textId="77777777" w:rsidR="00A75454" w:rsidRPr="00503F6C" w:rsidRDefault="009A71CA" w:rsidP="00503F6C">
      <w:pPr>
        <w:spacing w:after="0" w:line="360" w:lineRule="auto"/>
        <w:jc w:val="both"/>
        <w:rPr>
          <w:rFonts w:ascii="Times New Roman" w:hAnsi="Times New Roman" w:cs="Times New Roman"/>
        </w:rPr>
      </w:pPr>
      <w:r w:rsidRPr="00503F6C">
        <w:rPr>
          <w:rFonts w:ascii="Times New Roman" w:hAnsi="Times New Roman" w:cs="Times New Roman"/>
          <w:b/>
          <w:bCs/>
        </w:rPr>
        <w:t>.</w:t>
      </w:r>
      <w:r w:rsidR="00C86D42" w:rsidRPr="00503F6C">
        <w:rPr>
          <w:rFonts w:ascii="Times New Roman" w:hAnsi="Times New Roman" w:cs="Times New Roman"/>
        </w:rPr>
        <w:t xml:space="preserve"> </w:t>
      </w:r>
    </w:p>
    <w:p w14:paraId="60268D05" w14:textId="77777777" w:rsidR="00A90DA9" w:rsidRPr="00503F6C" w:rsidRDefault="009A71CA" w:rsidP="00503F6C">
      <w:pPr>
        <w:autoSpaceDE w:val="0"/>
        <w:autoSpaceDN w:val="0"/>
        <w:adjustRightInd w:val="0"/>
        <w:spacing w:after="0" w:line="360" w:lineRule="auto"/>
        <w:rPr>
          <w:rFonts w:ascii="Times New Roman" w:hAnsi="Times New Roman" w:cs="Times New Roman"/>
          <w:b/>
          <w:bCs/>
        </w:rPr>
      </w:pPr>
      <w:r w:rsidRPr="00503F6C">
        <w:rPr>
          <w:rFonts w:ascii="Times New Roman" w:hAnsi="Times New Roman" w:cs="Times New Roman"/>
          <w:b/>
          <w:bCs/>
        </w:rPr>
        <w:t>5</w:t>
      </w:r>
      <w:r w:rsidR="00C86D42" w:rsidRPr="00503F6C">
        <w:rPr>
          <w:rFonts w:ascii="Times New Roman" w:hAnsi="Times New Roman" w:cs="Times New Roman"/>
          <w:b/>
          <w:bCs/>
        </w:rPr>
        <w:t>.</w:t>
      </w:r>
      <w:r w:rsidRPr="00503F6C">
        <w:rPr>
          <w:rFonts w:ascii="Times New Roman" w:hAnsi="Times New Roman" w:cs="Times New Roman"/>
          <w:b/>
          <w:bCs/>
        </w:rPr>
        <w:t xml:space="preserve">0 </w:t>
      </w:r>
      <w:r w:rsidR="00C86D42" w:rsidRPr="00503F6C">
        <w:rPr>
          <w:rFonts w:ascii="Times New Roman" w:hAnsi="Times New Roman" w:cs="Times New Roman"/>
          <w:b/>
          <w:bCs/>
        </w:rPr>
        <w:t>Conclusion and</w:t>
      </w:r>
      <w:r w:rsidRPr="00503F6C">
        <w:rPr>
          <w:rFonts w:ascii="Times New Roman" w:hAnsi="Times New Roman" w:cs="Times New Roman"/>
          <w:b/>
          <w:bCs/>
        </w:rPr>
        <w:t xml:space="preserve"> Recommendation  </w:t>
      </w:r>
    </w:p>
    <w:p w14:paraId="4DBB0E14" w14:textId="77777777" w:rsidR="001E2DCE" w:rsidRPr="001E2DCE" w:rsidRDefault="002962EB" w:rsidP="00000192">
      <w:pPr>
        <w:pStyle w:val="NoSpacing"/>
        <w:spacing w:line="360" w:lineRule="auto"/>
        <w:jc w:val="both"/>
        <w:rPr>
          <w:rFonts w:ascii="Times New Roman" w:hAnsi="Times New Roman" w:cs="Times New Roman"/>
        </w:rPr>
      </w:pPr>
      <w:r w:rsidRPr="00000192">
        <w:rPr>
          <w:rFonts w:ascii="Times New Roman" w:hAnsi="Times New Roman" w:cs="Times New Roman"/>
          <w:sz w:val="24"/>
          <w:szCs w:val="24"/>
        </w:rPr>
        <w:lastRenderedPageBreak/>
        <w:t xml:space="preserve">Migrants' remittances constitute a significant source of foreign exchange for numerous developing economies, including Nigeria, which ranks among the leading countries in remittance receipts globally. Thus, it is important to evaluate the influence of remittances on economic growth and their role as a source of international capital over an extended timeframe. Remittances are anticipated to play a significant role in the economic growth of recipient countries. This study examined the influence of remittances and various macroeconomic factors on Nigeria's economic growth over a span of forty years, from 1984 to 2023. The estimation method employed was ARDL. The ARDL estimation results indicate that, in the short run, none of the independent variables significantly affect GDP growth. In the short term, remittances exert an insignificant yet positive influence on Nigeria's economic growth. In the long run, remittances exert a negative and significant effect on economic growth. This finding </w:t>
      </w:r>
      <w:r w:rsidR="00000192" w:rsidRPr="00000192">
        <w:rPr>
          <w:rFonts w:ascii="Times New Roman" w:hAnsi="Times New Roman" w:cs="Times New Roman"/>
          <w:sz w:val="24"/>
          <w:szCs w:val="24"/>
        </w:rPr>
        <w:t xml:space="preserve">contradicts </w:t>
      </w:r>
      <w:r w:rsidR="00000192">
        <w:rPr>
          <w:rFonts w:ascii="Times New Roman" w:hAnsi="Times New Roman" w:cs="Times New Roman"/>
          <w:sz w:val="24"/>
          <w:szCs w:val="24"/>
        </w:rPr>
        <w:t>the</w:t>
      </w:r>
      <w:r w:rsidRPr="00000192">
        <w:rPr>
          <w:rFonts w:ascii="Times New Roman" w:hAnsi="Times New Roman" w:cs="Times New Roman"/>
          <w:sz w:val="24"/>
          <w:szCs w:val="24"/>
        </w:rPr>
        <w:t xml:space="preserve"> priori expectations </w:t>
      </w:r>
      <w:r w:rsidR="00000192">
        <w:rPr>
          <w:rFonts w:ascii="Times New Roman" w:hAnsi="Times New Roman" w:cs="Times New Roman"/>
          <w:sz w:val="24"/>
          <w:szCs w:val="24"/>
        </w:rPr>
        <w:t xml:space="preserve">because </w:t>
      </w:r>
      <w:r w:rsidRPr="00000192">
        <w:rPr>
          <w:rFonts w:ascii="Times New Roman" w:hAnsi="Times New Roman" w:cs="Times New Roman"/>
          <w:sz w:val="24"/>
          <w:szCs w:val="24"/>
        </w:rPr>
        <w:t xml:space="preserve"> </w:t>
      </w:r>
      <w:r w:rsidR="00000192">
        <w:rPr>
          <w:rFonts w:ascii="Times New Roman" w:hAnsi="Times New Roman" w:cs="Times New Roman"/>
          <w:sz w:val="24"/>
          <w:szCs w:val="24"/>
        </w:rPr>
        <w:t xml:space="preserve">of </w:t>
      </w:r>
      <w:r w:rsidRPr="00000192">
        <w:rPr>
          <w:rFonts w:ascii="Times New Roman" w:hAnsi="Times New Roman" w:cs="Times New Roman"/>
          <w:sz w:val="24"/>
          <w:szCs w:val="24"/>
        </w:rPr>
        <w:t xml:space="preserve"> the rising levels of immigrant remittances to Nigeria over the years. Furthermore, it </w:t>
      </w:r>
      <w:r w:rsidR="00000192" w:rsidRPr="00000192">
        <w:rPr>
          <w:rFonts w:ascii="Times New Roman" w:hAnsi="Times New Roman" w:cs="Times New Roman"/>
          <w:sz w:val="24"/>
          <w:szCs w:val="24"/>
        </w:rPr>
        <w:t>contradicts the position of the</w:t>
      </w:r>
      <w:r w:rsidRPr="00000192">
        <w:rPr>
          <w:rFonts w:ascii="Times New Roman" w:hAnsi="Times New Roman" w:cs="Times New Roman"/>
          <w:sz w:val="24"/>
          <w:szCs w:val="24"/>
        </w:rPr>
        <w:t xml:space="preserve"> Solow-Swan growth model, the theory of Tempered Altruism, and Prospect Theory, which are foundational theories in the study. The negative impact of remittances on GDP growth may stem from the fact that a significant proportion of these inflows </w:t>
      </w:r>
      <w:r w:rsidR="00000192" w:rsidRPr="00000192">
        <w:rPr>
          <w:rFonts w:ascii="Times New Roman" w:hAnsi="Times New Roman" w:cs="Times New Roman"/>
          <w:sz w:val="24"/>
          <w:szCs w:val="24"/>
        </w:rPr>
        <w:t>are</w:t>
      </w:r>
      <w:r w:rsidRPr="00000192">
        <w:rPr>
          <w:rFonts w:ascii="Times New Roman" w:hAnsi="Times New Roman" w:cs="Times New Roman"/>
          <w:sz w:val="24"/>
          <w:szCs w:val="24"/>
        </w:rPr>
        <w:t xml:space="preserve"> allocated to consumption rather than investment in the economy. Foreign direct investment exerts a significant and positive influence on Nigeria's long-term economic growth</w:t>
      </w:r>
      <w:r w:rsidR="00000192" w:rsidRPr="00000192">
        <w:rPr>
          <w:rFonts w:ascii="Times New Roman" w:hAnsi="Times New Roman" w:cs="Times New Roman"/>
          <w:sz w:val="24"/>
          <w:szCs w:val="24"/>
        </w:rPr>
        <w:t xml:space="preserve"> which is in line with </w:t>
      </w:r>
      <w:r w:rsidR="00000192">
        <w:rPr>
          <w:rFonts w:ascii="Times New Roman" w:hAnsi="Times New Roman" w:cs="Times New Roman"/>
          <w:sz w:val="24"/>
          <w:szCs w:val="24"/>
        </w:rPr>
        <w:t xml:space="preserve"> the position  of the </w:t>
      </w:r>
      <w:r w:rsidR="00000192" w:rsidRPr="00000192">
        <w:rPr>
          <w:rFonts w:ascii="Times New Roman" w:hAnsi="Times New Roman" w:cs="Times New Roman"/>
          <w:sz w:val="24"/>
          <w:szCs w:val="24"/>
        </w:rPr>
        <w:t>Solow</w:t>
      </w:r>
      <w:r w:rsidRPr="00000192">
        <w:rPr>
          <w:rFonts w:ascii="Times New Roman" w:hAnsi="Times New Roman" w:cs="Times New Roman"/>
          <w:sz w:val="24"/>
          <w:szCs w:val="24"/>
        </w:rPr>
        <w:t>-Swan growth model</w:t>
      </w:r>
      <w:r w:rsidR="00000192" w:rsidRPr="00000192">
        <w:rPr>
          <w:rFonts w:ascii="Times New Roman" w:hAnsi="Times New Roman" w:cs="Times New Roman"/>
          <w:sz w:val="24"/>
          <w:szCs w:val="24"/>
        </w:rPr>
        <w:t>.</w:t>
      </w:r>
      <w:r w:rsidRPr="00000192">
        <w:rPr>
          <w:rFonts w:ascii="Times New Roman" w:hAnsi="Times New Roman" w:cs="Times New Roman"/>
          <w:sz w:val="24"/>
          <w:szCs w:val="24"/>
        </w:rPr>
        <w:t xml:space="preserve"> Inflation adversely affects long-term growth significantly. The foreign exchange rate exhibits a negative</w:t>
      </w:r>
      <w:r w:rsidRPr="00000192">
        <w:t xml:space="preserve">, </w:t>
      </w:r>
      <w:r w:rsidRPr="001E2DCE">
        <w:rPr>
          <w:rFonts w:ascii="Times New Roman" w:hAnsi="Times New Roman" w:cs="Times New Roman"/>
        </w:rPr>
        <w:t>yet statistically insignificant, relationship with economic growth</w:t>
      </w:r>
    </w:p>
    <w:p w14:paraId="3933BE4A" w14:textId="63A37A23" w:rsidR="002962EB" w:rsidRDefault="001E2DCE" w:rsidP="00000192">
      <w:pPr>
        <w:pStyle w:val="NoSpacing"/>
        <w:spacing w:line="360" w:lineRule="auto"/>
        <w:jc w:val="both"/>
        <w:rPr>
          <w:rFonts w:ascii="Times New Roman" w:hAnsi="Times New Roman" w:cs="Times New Roman"/>
          <w:sz w:val="24"/>
          <w:szCs w:val="24"/>
        </w:rPr>
      </w:pPr>
      <w:r w:rsidRPr="001E2DCE">
        <w:rPr>
          <w:rFonts w:ascii="Times New Roman" w:hAnsi="Times New Roman" w:cs="Times New Roman"/>
        </w:rPr>
        <w:t>in both the short and long-term</w:t>
      </w:r>
      <w:r>
        <w:t>. This</w:t>
      </w:r>
      <w:r w:rsidR="002962EB" w:rsidRPr="00000192">
        <w:rPr>
          <w:rFonts w:ascii="Times New Roman" w:hAnsi="Times New Roman" w:cs="Times New Roman"/>
          <w:sz w:val="24"/>
          <w:szCs w:val="24"/>
        </w:rPr>
        <w:t xml:space="preserve"> study recommends that policymakers in Nigeria develop appropriate </w:t>
      </w:r>
      <w:r w:rsidR="00000192" w:rsidRPr="00000192">
        <w:rPr>
          <w:rFonts w:ascii="Times New Roman" w:hAnsi="Times New Roman" w:cs="Times New Roman"/>
          <w:sz w:val="24"/>
          <w:szCs w:val="24"/>
        </w:rPr>
        <w:t>strategies</w:t>
      </w:r>
      <w:r w:rsidR="002962EB" w:rsidRPr="00000192">
        <w:rPr>
          <w:rFonts w:ascii="Times New Roman" w:hAnsi="Times New Roman" w:cs="Times New Roman"/>
          <w:sz w:val="24"/>
          <w:szCs w:val="24"/>
        </w:rPr>
        <w:t xml:space="preserve"> and </w:t>
      </w:r>
      <w:r w:rsidR="00000192" w:rsidRPr="00000192">
        <w:rPr>
          <w:rFonts w:ascii="Times New Roman" w:hAnsi="Times New Roman" w:cs="Times New Roman"/>
          <w:sz w:val="24"/>
          <w:szCs w:val="24"/>
        </w:rPr>
        <w:t>guidelines to</w:t>
      </w:r>
      <w:r w:rsidR="002962EB" w:rsidRPr="00000192">
        <w:rPr>
          <w:rFonts w:ascii="Times New Roman" w:hAnsi="Times New Roman" w:cs="Times New Roman"/>
          <w:sz w:val="24"/>
          <w:szCs w:val="24"/>
        </w:rPr>
        <w:t xml:space="preserve"> promote the use of remittances for investment in the productive sector of the local economy, thereby enhancing growth rather than </w:t>
      </w:r>
      <w:r w:rsidR="00000192" w:rsidRPr="00000192">
        <w:rPr>
          <w:rFonts w:ascii="Times New Roman" w:hAnsi="Times New Roman" w:cs="Times New Roman"/>
          <w:sz w:val="24"/>
          <w:szCs w:val="24"/>
        </w:rPr>
        <w:t>focusing</w:t>
      </w:r>
      <w:r w:rsidR="002962EB" w:rsidRPr="00000192">
        <w:rPr>
          <w:rFonts w:ascii="Times New Roman" w:hAnsi="Times New Roman" w:cs="Times New Roman"/>
          <w:sz w:val="24"/>
          <w:szCs w:val="24"/>
        </w:rPr>
        <w:t xml:space="preserve"> solely on consumption purposes. These policies</w:t>
      </w:r>
      <w:r w:rsidR="00000192" w:rsidRPr="00000192">
        <w:rPr>
          <w:rFonts w:ascii="Times New Roman" w:hAnsi="Times New Roman" w:cs="Times New Roman"/>
          <w:sz w:val="24"/>
          <w:szCs w:val="24"/>
        </w:rPr>
        <w:t xml:space="preserve"> will require </w:t>
      </w:r>
      <w:r w:rsidR="002962EB" w:rsidRPr="00000192">
        <w:rPr>
          <w:rFonts w:ascii="Times New Roman" w:hAnsi="Times New Roman" w:cs="Times New Roman"/>
          <w:sz w:val="24"/>
          <w:szCs w:val="24"/>
        </w:rPr>
        <w:t xml:space="preserve">appropriate legal frameworks and support. There is a necessity to establish credible investment vehicles, either supported or guaranteed by the government at both federal and subnational levels, to ensure not only an increased inflow of remittances but also the allocation of these remittances to productive uses. Incentives, such as tax exemptions, may be implemented to attract migrant remittances, provided these funds are allocated to productive sectors of the local economy capable of generating employment and fostering economic growth. The study concludes that Nigeria can derive important insights from </w:t>
      </w:r>
      <w:r w:rsidR="002962EB" w:rsidRPr="00000192">
        <w:rPr>
          <w:rFonts w:ascii="Times New Roman" w:hAnsi="Times New Roman" w:cs="Times New Roman"/>
          <w:sz w:val="24"/>
          <w:szCs w:val="24"/>
        </w:rPr>
        <w:lastRenderedPageBreak/>
        <w:t>the experiences of other nations that have thrived by promoting remittances from migrants for investment in productive economic sectors.</w:t>
      </w:r>
    </w:p>
    <w:p w14:paraId="23DC2F87" w14:textId="77777777" w:rsidR="00C91C24" w:rsidRDefault="00C91C24" w:rsidP="00000192">
      <w:pPr>
        <w:pStyle w:val="NoSpacing"/>
        <w:spacing w:line="360" w:lineRule="auto"/>
        <w:jc w:val="both"/>
        <w:rPr>
          <w:rFonts w:ascii="Times New Roman" w:hAnsi="Times New Roman" w:cs="Times New Roman"/>
          <w:sz w:val="24"/>
          <w:szCs w:val="24"/>
        </w:rPr>
      </w:pPr>
    </w:p>
    <w:p w14:paraId="057FB0C2" w14:textId="77777777" w:rsidR="00C91C24" w:rsidRDefault="00C91C24" w:rsidP="00C91C24">
      <w:pPr>
        <w:spacing w:line="360" w:lineRule="auto"/>
        <w:jc w:val="both"/>
        <w:rPr>
          <w:rFonts w:ascii="Times New Roman" w:hAnsi="Times New Roman" w:cs="Times New Roman"/>
        </w:rPr>
      </w:pPr>
      <w:r w:rsidRPr="00566455">
        <w:rPr>
          <w:rFonts w:ascii="Times New Roman" w:hAnsi="Times New Roman" w:cs="Times New Roman"/>
        </w:rPr>
        <w:t>Data availability statement</w:t>
      </w:r>
      <w:r>
        <w:rPr>
          <w:rFonts w:ascii="Times New Roman" w:hAnsi="Times New Roman" w:cs="Times New Roman"/>
        </w:rPr>
        <w:t>:</w:t>
      </w:r>
      <w:r w:rsidRPr="00566455">
        <w:rPr>
          <w:rFonts w:ascii="Times New Roman" w:hAnsi="Times New Roman" w:cs="Times New Roman"/>
        </w:rPr>
        <w:t xml:space="preserve"> The data that support the findings of this study are available from the corresponding author upon reasonable request.</w:t>
      </w:r>
    </w:p>
    <w:p w14:paraId="253DAC1B" w14:textId="77777777" w:rsidR="00C91C24" w:rsidRPr="00000192" w:rsidRDefault="00C91C24" w:rsidP="00000192">
      <w:pPr>
        <w:pStyle w:val="NoSpacing"/>
        <w:spacing w:line="360" w:lineRule="auto"/>
        <w:jc w:val="both"/>
        <w:rPr>
          <w:rFonts w:ascii="Times New Roman" w:hAnsi="Times New Roman" w:cs="Times New Roman"/>
          <w:sz w:val="24"/>
          <w:szCs w:val="24"/>
        </w:rPr>
      </w:pPr>
    </w:p>
    <w:p w14:paraId="2FC51C6B" w14:textId="77777777" w:rsidR="002F28A3" w:rsidRPr="00000192" w:rsidRDefault="002F28A3" w:rsidP="00000192">
      <w:pPr>
        <w:pStyle w:val="NoSpacing"/>
        <w:spacing w:line="360" w:lineRule="auto"/>
        <w:jc w:val="both"/>
        <w:rPr>
          <w:rFonts w:ascii="Times New Roman" w:hAnsi="Times New Roman" w:cs="Times New Roman"/>
          <w:sz w:val="24"/>
          <w:szCs w:val="24"/>
        </w:rPr>
      </w:pPr>
    </w:p>
    <w:p w14:paraId="37DFF396" w14:textId="77777777" w:rsidR="00A97A63" w:rsidRPr="00000192" w:rsidRDefault="00A97A63" w:rsidP="00000192">
      <w:pPr>
        <w:pStyle w:val="NoSpacing"/>
        <w:spacing w:line="360" w:lineRule="auto"/>
        <w:jc w:val="both"/>
        <w:rPr>
          <w:rFonts w:ascii="Times New Roman" w:hAnsi="Times New Roman" w:cs="Times New Roman"/>
          <w:sz w:val="24"/>
          <w:szCs w:val="24"/>
        </w:rPr>
      </w:pPr>
    </w:p>
    <w:p w14:paraId="25909C9B" w14:textId="77777777" w:rsidR="00A90DA9" w:rsidRPr="00000192" w:rsidRDefault="009A71CA" w:rsidP="00000192">
      <w:pPr>
        <w:pStyle w:val="NoSpacing"/>
        <w:spacing w:line="360" w:lineRule="auto"/>
        <w:jc w:val="both"/>
        <w:rPr>
          <w:rFonts w:ascii="Times New Roman" w:hAnsi="Times New Roman" w:cs="Times New Roman"/>
          <w:sz w:val="24"/>
          <w:szCs w:val="24"/>
        </w:rPr>
      </w:pPr>
      <w:r w:rsidRPr="00000192">
        <w:rPr>
          <w:rFonts w:ascii="Times New Roman" w:hAnsi="Times New Roman" w:cs="Times New Roman"/>
          <w:sz w:val="24"/>
          <w:szCs w:val="24"/>
        </w:rPr>
        <w:t xml:space="preserve">. </w:t>
      </w:r>
    </w:p>
    <w:p w14:paraId="37D4BB5A" w14:textId="77777777" w:rsidR="00783A3F" w:rsidRPr="00000192" w:rsidRDefault="00783A3F" w:rsidP="00000192">
      <w:pPr>
        <w:pStyle w:val="NoSpacing"/>
        <w:spacing w:line="360" w:lineRule="auto"/>
        <w:jc w:val="both"/>
        <w:rPr>
          <w:rFonts w:ascii="Times New Roman" w:hAnsi="Times New Roman" w:cs="Times New Roman"/>
          <w:sz w:val="24"/>
          <w:szCs w:val="24"/>
        </w:rPr>
      </w:pPr>
    </w:p>
    <w:p w14:paraId="77244BC0" w14:textId="77777777" w:rsidR="00783A3F" w:rsidRPr="00000192" w:rsidRDefault="00783A3F" w:rsidP="00000192">
      <w:pPr>
        <w:pStyle w:val="NoSpacing"/>
        <w:spacing w:line="360" w:lineRule="auto"/>
        <w:jc w:val="both"/>
        <w:rPr>
          <w:rFonts w:ascii="Times New Roman" w:hAnsi="Times New Roman" w:cs="Times New Roman"/>
          <w:sz w:val="24"/>
          <w:szCs w:val="24"/>
        </w:rPr>
      </w:pPr>
    </w:p>
    <w:p w14:paraId="467AFFB5" w14:textId="77777777" w:rsidR="00783A3F" w:rsidRPr="00503F6C" w:rsidRDefault="00783A3F" w:rsidP="00503F6C">
      <w:pPr>
        <w:autoSpaceDE w:val="0"/>
        <w:autoSpaceDN w:val="0"/>
        <w:adjustRightInd w:val="0"/>
        <w:spacing w:after="0" w:line="360" w:lineRule="auto"/>
        <w:rPr>
          <w:rFonts w:ascii="Times New Roman" w:hAnsi="Times New Roman" w:cs="Times New Roman"/>
        </w:rPr>
      </w:pPr>
    </w:p>
    <w:p w14:paraId="77B09F70" w14:textId="77777777" w:rsidR="00783A3F" w:rsidRPr="00503F6C" w:rsidRDefault="00783A3F" w:rsidP="00503F6C">
      <w:pPr>
        <w:autoSpaceDE w:val="0"/>
        <w:autoSpaceDN w:val="0"/>
        <w:adjustRightInd w:val="0"/>
        <w:spacing w:after="0" w:line="360" w:lineRule="auto"/>
        <w:rPr>
          <w:rFonts w:ascii="Times New Roman" w:hAnsi="Times New Roman" w:cs="Times New Roman"/>
        </w:rPr>
      </w:pPr>
    </w:p>
    <w:p w14:paraId="4DE17FFA" w14:textId="77777777" w:rsidR="00783A3F" w:rsidRPr="00503F6C" w:rsidRDefault="00783A3F" w:rsidP="00503F6C">
      <w:pPr>
        <w:autoSpaceDE w:val="0"/>
        <w:autoSpaceDN w:val="0"/>
        <w:adjustRightInd w:val="0"/>
        <w:spacing w:after="0" w:line="360" w:lineRule="auto"/>
        <w:rPr>
          <w:rFonts w:ascii="Times New Roman" w:hAnsi="Times New Roman" w:cs="Times New Roman"/>
        </w:rPr>
      </w:pPr>
    </w:p>
    <w:p w14:paraId="1B5A58F6" w14:textId="77777777" w:rsidR="00783A3F" w:rsidRPr="00A620E3" w:rsidRDefault="009A71CA" w:rsidP="00503F6C">
      <w:pPr>
        <w:autoSpaceDE w:val="0"/>
        <w:autoSpaceDN w:val="0"/>
        <w:adjustRightInd w:val="0"/>
        <w:spacing w:after="0" w:line="360" w:lineRule="auto"/>
        <w:rPr>
          <w:rFonts w:ascii="Times New Roman" w:hAnsi="Times New Roman" w:cs="Times New Roman"/>
          <w:b/>
          <w:bCs/>
        </w:rPr>
      </w:pPr>
      <w:r w:rsidRPr="00A620E3">
        <w:rPr>
          <w:rFonts w:ascii="Times New Roman" w:hAnsi="Times New Roman" w:cs="Times New Roman"/>
          <w:b/>
          <w:bCs/>
        </w:rPr>
        <w:t xml:space="preserve">REFERENCES </w:t>
      </w:r>
    </w:p>
    <w:p w14:paraId="7413A473" w14:textId="77777777" w:rsidR="00A620E3" w:rsidRPr="002F1B4A" w:rsidRDefault="009A71CA" w:rsidP="002F1B4A">
      <w:pPr>
        <w:spacing w:line="360" w:lineRule="auto"/>
        <w:ind w:left="720" w:hanging="720"/>
        <w:rPr>
          <w:rFonts w:ascii="Times New Roman" w:hAnsi="Times New Roman" w:cs="Times New Roman"/>
        </w:rPr>
      </w:pPr>
      <w:r w:rsidRPr="002F1B4A">
        <w:rPr>
          <w:rFonts w:ascii="Times New Roman" w:hAnsi="Times New Roman" w:cs="Times New Roman"/>
        </w:rPr>
        <w:t>Adeseye, A. (2021). The effect of migrants remittance on economy growth in Nigeria: An empirical study. </w:t>
      </w:r>
      <w:r w:rsidRPr="002F1B4A">
        <w:rPr>
          <w:rFonts w:ascii="Times New Roman" w:hAnsi="Times New Roman" w:cs="Times New Roman"/>
          <w:i/>
          <w:iCs/>
        </w:rPr>
        <w:t>Open Journal of Political Science</w:t>
      </w:r>
      <w:r w:rsidRPr="002F1B4A">
        <w:rPr>
          <w:rFonts w:ascii="Times New Roman" w:hAnsi="Times New Roman" w:cs="Times New Roman"/>
        </w:rPr>
        <w:t>, </w:t>
      </w:r>
      <w:r w:rsidRPr="002F1B4A">
        <w:rPr>
          <w:rFonts w:ascii="Times New Roman" w:hAnsi="Times New Roman" w:cs="Times New Roman"/>
          <w:i/>
          <w:iCs/>
        </w:rPr>
        <w:t>11</w:t>
      </w:r>
      <w:r w:rsidRPr="002F1B4A">
        <w:rPr>
          <w:rFonts w:ascii="Times New Roman" w:hAnsi="Times New Roman" w:cs="Times New Roman"/>
        </w:rPr>
        <w:t>(01), 99</w:t>
      </w:r>
      <w:r>
        <w:rPr>
          <w:rFonts w:ascii="Times New Roman" w:hAnsi="Times New Roman" w:cs="Times New Roman"/>
        </w:rPr>
        <w:t>-110</w:t>
      </w:r>
    </w:p>
    <w:p w14:paraId="3098D87C" w14:textId="77777777" w:rsidR="00A620E3" w:rsidRPr="002F1B4A" w:rsidRDefault="009A71CA" w:rsidP="002F1B4A">
      <w:pPr>
        <w:spacing w:line="360" w:lineRule="auto"/>
        <w:ind w:left="720" w:hanging="720"/>
        <w:rPr>
          <w:rFonts w:ascii="Times New Roman" w:hAnsi="Times New Roman" w:cs="Times New Roman"/>
        </w:rPr>
      </w:pPr>
      <w:r w:rsidRPr="002F1B4A">
        <w:rPr>
          <w:rFonts w:ascii="Times New Roman" w:hAnsi="Times New Roman" w:cs="Times New Roman"/>
        </w:rPr>
        <w:t>Adjei, M., Bo, Y., Nketiah, E., Adu-Gyamfi, G., &amp; Obuobi, B. (2020). The effects of remittances on economic growth in West Africa. </w:t>
      </w:r>
      <w:r w:rsidRPr="002F1B4A">
        <w:rPr>
          <w:rFonts w:ascii="Times New Roman" w:hAnsi="Times New Roman" w:cs="Times New Roman"/>
          <w:i/>
          <w:iCs/>
        </w:rPr>
        <w:t>Journal of Human Resource and Sustainability Studies</w:t>
      </w:r>
      <w:r w:rsidRPr="002F1B4A">
        <w:rPr>
          <w:rFonts w:ascii="Times New Roman" w:hAnsi="Times New Roman" w:cs="Times New Roman"/>
        </w:rPr>
        <w:t>, </w:t>
      </w:r>
      <w:r w:rsidRPr="002F1B4A">
        <w:rPr>
          <w:rFonts w:ascii="Times New Roman" w:hAnsi="Times New Roman" w:cs="Times New Roman"/>
          <w:i/>
          <w:iCs/>
        </w:rPr>
        <w:t>8</w:t>
      </w:r>
      <w:r w:rsidRPr="002F1B4A">
        <w:rPr>
          <w:rFonts w:ascii="Times New Roman" w:hAnsi="Times New Roman" w:cs="Times New Roman"/>
        </w:rPr>
        <w:t>(3), 312-329.</w:t>
      </w:r>
    </w:p>
    <w:p w14:paraId="72B5E349" w14:textId="77777777" w:rsidR="00A620E3" w:rsidRDefault="009A71CA" w:rsidP="0068605B">
      <w:pPr>
        <w:spacing w:line="360" w:lineRule="auto"/>
        <w:ind w:left="720" w:hanging="720"/>
        <w:rPr>
          <w:rFonts w:ascii="Times New Roman" w:hAnsi="Times New Roman" w:cs="Times New Roman"/>
        </w:rPr>
      </w:pPr>
      <w:r w:rsidRPr="00503F6C">
        <w:rPr>
          <w:rFonts w:ascii="Times New Roman" w:hAnsi="Times New Roman" w:cs="Times New Roman"/>
        </w:rPr>
        <w:t>Adow, A. A. (2025). Remittances and economic growth in East Africa. </w:t>
      </w:r>
      <w:r w:rsidRPr="00503F6C">
        <w:rPr>
          <w:rFonts w:ascii="Times New Roman" w:hAnsi="Times New Roman" w:cs="Times New Roman"/>
          <w:i/>
          <w:iCs/>
        </w:rPr>
        <w:t>Cogent Economics &amp; Finance</w:t>
      </w:r>
      <w:r w:rsidRPr="00503F6C">
        <w:rPr>
          <w:rFonts w:ascii="Times New Roman" w:hAnsi="Times New Roman" w:cs="Times New Roman"/>
        </w:rPr>
        <w:t>, </w:t>
      </w:r>
      <w:r w:rsidRPr="00503F6C">
        <w:rPr>
          <w:rFonts w:ascii="Times New Roman" w:hAnsi="Times New Roman" w:cs="Times New Roman"/>
          <w:i/>
          <w:iCs/>
        </w:rPr>
        <w:t>13</w:t>
      </w:r>
      <w:r w:rsidRPr="00503F6C">
        <w:rPr>
          <w:rFonts w:ascii="Times New Roman" w:hAnsi="Times New Roman" w:cs="Times New Roman"/>
        </w:rPr>
        <w:t>(1), 2461604.</w:t>
      </w:r>
    </w:p>
    <w:p w14:paraId="46DD6A58" w14:textId="77777777" w:rsidR="00A620E3" w:rsidRDefault="009A71CA" w:rsidP="0068605B">
      <w:pPr>
        <w:spacing w:line="360" w:lineRule="auto"/>
        <w:ind w:left="720" w:hanging="720"/>
        <w:rPr>
          <w:rFonts w:ascii="Times New Roman" w:hAnsi="Times New Roman" w:cs="Times New Roman"/>
        </w:rPr>
      </w:pPr>
      <w:r w:rsidRPr="00503F6C">
        <w:rPr>
          <w:rFonts w:ascii="Times New Roman" w:hAnsi="Times New Roman" w:cs="Times New Roman"/>
        </w:rPr>
        <w:t>Alamoudi, A. (2024). Do governance indicators have a role in remittances-growth nexus in Egypt?. </w:t>
      </w:r>
      <w:r w:rsidRPr="00503F6C">
        <w:rPr>
          <w:rFonts w:ascii="Times New Roman" w:hAnsi="Times New Roman" w:cs="Times New Roman"/>
          <w:i/>
          <w:iCs/>
        </w:rPr>
        <w:t>Economic Journal of Emerging Markets</w:t>
      </w:r>
      <w:r w:rsidRPr="00503F6C">
        <w:rPr>
          <w:rFonts w:ascii="Times New Roman" w:hAnsi="Times New Roman" w:cs="Times New Roman"/>
        </w:rPr>
        <w:t>, 164-177.</w:t>
      </w:r>
    </w:p>
    <w:p w14:paraId="37459181" w14:textId="77777777" w:rsidR="00A620E3" w:rsidRPr="002F1B4A" w:rsidRDefault="009A71CA" w:rsidP="002F1B4A">
      <w:pPr>
        <w:spacing w:line="360" w:lineRule="auto"/>
        <w:ind w:left="720" w:hanging="720"/>
        <w:rPr>
          <w:rFonts w:ascii="Times New Roman" w:hAnsi="Times New Roman" w:cs="Times New Roman"/>
        </w:rPr>
      </w:pPr>
      <w:r w:rsidRPr="002F1B4A">
        <w:rPr>
          <w:rFonts w:ascii="Times New Roman" w:hAnsi="Times New Roman" w:cs="Times New Roman"/>
        </w:rPr>
        <w:t>Alpaslan, B., Kayaoglu, A., Meckl, J., Naval, J., Vanore, M., &amp; Ziesemer, T. H. (2021). Economic effects of remittances on migrants’ country of origin. </w:t>
      </w:r>
      <w:r w:rsidRPr="002F1B4A">
        <w:rPr>
          <w:rFonts w:ascii="Times New Roman" w:hAnsi="Times New Roman" w:cs="Times New Roman"/>
          <w:i/>
          <w:iCs/>
        </w:rPr>
        <w:t>The Economic Geography of Cross-Border Migration</w:t>
      </w:r>
      <w:r w:rsidRPr="002F1B4A">
        <w:rPr>
          <w:rFonts w:ascii="Times New Roman" w:hAnsi="Times New Roman" w:cs="Times New Roman"/>
        </w:rPr>
        <w:t>, 449-483.</w:t>
      </w:r>
    </w:p>
    <w:p w14:paraId="02EBCC0C" w14:textId="77777777" w:rsidR="00A620E3" w:rsidRPr="002F1B4A" w:rsidRDefault="009A71CA" w:rsidP="002F1B4A">
      <w:pPr>
        <w:spacing w:line="360" w:lineRule="auto"/>
        <w:rPr>
          <w:rFonts w:ascii="Times New Roman" w:hAnsi="Times New Roman" w:cs="Times New Roman"/>
        </w:rPr>
      </w:pPr>
      <w:r w:rsidRPr="002F1B4A">
        <w:rPr>
          <w:rFonts w:ascii="Times New Roman" w:hAnsi="Times New Roman" w:cs="Times New Roman"/>
        </w:rPr>
        <w:t>Aneja, R., &amp; Praveen, A. (2022). International migration remittances and economic growth in Kerala: An econometric analysis. </w:t>
      </w:r>
      <w:r w:rsidRPr="002F1B4A">
        <w:rPr>
          <w:rFonts w:ascii="Times New Roman" w:hAnsi="Times New Roman" w:cs="Times New Roman"/>
          <w:i/>
          <w:iCs/>
        </w:rPr>
        <w:t>Journal of Public Affairs</w:t>
      </w:r>
      <w:r w:rsidRPr="002F1B4A">
        <w:rPr>
          <w:rFonts w:ascii="Times New Roman" w:hAnsi="Times New Roman" w:cs="Times New Roman"/>
        </w:rPr>
        <w:t>, </w:t>
      </w:r>
      <w:r w:rsidRPr="002F1B4A">
        <w:rPr>
          <w:rFonts w:ascii="Times New Roman" w:hAnsi="Times New Roman" w:cs="Times New Roman"/>
          <w:i/>
          <w:iCs/>
        </w:rPr>
        <w:t>22</w:t>
      </w:r>
      <w:r w:rsidRPr="002F1B4A">
        <w:rPr>
          <w:rFonts w:ascii="Times New Roman" w:hAnsi="Times New Roman" w:cs="Times New Roman"/>
        </w:rPr>
        <w:t xml:space="preserve">(1), </w:t>
      </w:r>
      <w:r>
        <w:rPr>
          <w:rFonts w:ascii="Times New Roman" w:hAnsi="Times New Roman" w:cs="Times New Roman"/>
        </w:rPr>
        <w:t>1-31</w:t>
      </w:r>
    </w:p>
    <w:p w14:paraId="2AFF9518" w14:textId="77777777" w:rsidR="00A620E3" w:rsidRPr="002650D2" w:rsidRDefault="009A71CA" w:rsidP="002650D2">
      <w:pPr>
        <w:spacing w:line="360" w:lineRule="auto"/>
        <w:ind w:left="720" w:hanging="720"/>
        <w:rPr>
          <w:rFonts w:ascii="Times New Roman" w:hAnsi="Times New Roman" w:cs="Times New Roman"/>
        </w:rPr>
      </w:pPr>
      <w:r w:rsidRPr="002650D2">
        <w:rPr>
          <w:rFonts w:ascii="Times New Roman" w:hAnsi="Times New Roman" w:cs="Times New Roman"/>
        </w:rPr>
        <w:lastRenderedPageBreak/>
        <w:t>Azam, M. (2015). The role of migrant workers remittances in fostering economic growth: The four Asian developing countries’ experiences. </w:t>
      </w:r>
      <w:r w:rsidRPr="002650D2">
        <w:rPr>
          <w:rFonts w:ascii="Times New Roman" w:hAnsi="Times New Roman" w:cs="Times New Roman"/>
          <w:i/>
          <w:iCs/>
        </w:rPr>
        <w:t>International Journal of Social Economics</w:t>
      </w:r>
      <w:r w:rsidRPr="002650D2">
        <w:rPr>
          <w:rFonts w:ascii="Times New Roman" w:hAnsi="Times New Roman" w:cs="Times New Roman"/>
        </w:rPr>
        <w:t>, </w:t>
      </w:r>
      <w:r w:rsidRPr="002650D2">
        <w:rPr>
          <w:rFonts w:ascii="Times New Roman" w:hAnsi="Times New Roman" w:cs="Times New Roman"/>
          <w:i/>
          <w:iCs/>
        </w:rPr>
        <w:t>42</w:t>
      </w:r>
      <w:r w:rsidRPr="002650D2">
        <w:rPr>
          <w:rFonts w:ascii="Times New Roman" w:hAnsi="Times New Roman" w:cs="Times New Roman"/>
        </w:rPr>
        <w:t>(8), 690-705.</w:t>
      </w:r>
    </w:p>
    <w:p w14:paraId="2A077E0F" w14:textId="77777777" w:rsidR="00A620E3" w:rsidRPr="0068605B" w:rsidRDefault="009A71CA" w:rsidP="0068605B">
      <w:pPr>
        <w:spacing w:line="360" w:lineRule="auto"/>
        <w:ind w:left="720" w:hanging="720"/>
        <w:rPr>
          <w:rFonts w:ascii="Times New Roman" w:hAnsi="Times New Roman" w:cs="Times New Roman"/>
        </w:rPr>
      </w:pPr>
      <w:r w:rsidRPr="001361D1">
        <w:rPr>
          <w:rFonts w:ascii="Times New Roman" w:hAnsi="Times New Roman" w:cs="Times New Roman"/>
        </w:rPr>
        <w:t xml:space="preserve">Begum, T. (2018). </w:t>
      </w:r>
      <w:r w:rsidRPr="0068605B">
        <w:rPr>
          <w:rFonts w:ascii="Times New Roman" w:hAnsi="Times New Roman" w:cs="Times New Roman"/>
          <w:i/>
          <w:iCs/>
        </w:rPr>
        <w:t>The impact of remittances on education attainment: Evidence from Dominican Republic</w:t>
      </w:r>
      <w:r w:rsidRPr="0068605B">
        <w:rPr>
          <w:rFonts w:ascii="Times New Roman" w:hAnsi="Times New Roman" w:cs="Times New Roman"/>
        </w:rPr>
        <w:t>(Thesis Honors College, Pace University</w:t>
      </w:r>
      <w:r>
        <w:rPr>
          <w:rFonts w:ascii="Times New Roman" w:hAnsi="Times New Roman" w:cs="Times New Roman"/>
        </w:rPr>
        <w:t xml:space="preserve">). </w:t>
      </w:r>
    </w:p>
    <w:p w14:paraId="7C7BC2BD" w14:textId="77777777" w:rsidR="00A620E3" w:rsidRPr="001361D1" w:rsidRDefault="009A71CA" w:rsidP="001361D1">
      <w:pPr>
        <w:spacing w:line="360" w:lineRule="auto"/>
        <w:ind w:left="720" w:hanging="720"/>
        <w:rPr>
          <w:rFonts w:ascii="Times New Roman" w:hAnsi="Times New Roman" w:cs="Times New Roman"/>
        </w:rPr>
      </w:pPr>
      <w:r w:rsidRPr="001361D1">
        <w:rPr>
          <w:rFonts w:ascii="Times New Roman" w:hAnsi="Times New Roman" w:cs="Times New Roman"/>
        </w:rPr>
        <w:t>Cazachevici, A., Havranek, T., &amp; Horvath, R. (2020). Remittances and economic growth: A meta-analysis. </w:t>
      </w:r>
      <w:r w:rsidRPr="001361D1">
        <w:rPr>
          <w:rFonts w:ascii="Times New Roman" w:hAnsi="Times New Roman" w:cs="Times New Roman"/>
          <w:i/>
          <w:iCs/>
        </w:rPr>
        <w:t>World Development</w:t>
      </w:r>
      <w:r w:rsidRPr="001361D1">
        <w:rPr>
          <w:rFonts w:ascii="Times New Roman" w:hAnsi="Times New Roman" w:cs="Times New Roman"/>
        </w:rPr>
        <w:t>, </w:t>
      </w:r>
      <w:r w:rsidRPr="001361D1">
        <w:rPr>
          <w:rFonts w:ascii="Times New Roman" w:hAnsi="Times New Roman" w:cs="Times New Roman"/>
          <w:i/>
          <w:iCs/>
        </w:rPr>
        <w:t>134</w:t>
      </w:r>
      <w:r w:rsidRPr="001361D1">
        <w:rPr>
          <w:rFonts w:ascii="Times New Roman" w:hAnsi="Times New Roman" w:cs="Times New Roman"/>
        </w:rPr>
        <w:t>, 105021</w:t>
      </w:r>
    </w:p>
    <w:p w14:paraId="32EABCD4" w14:textId="77777777" w:rsidR="00A620E3" w:rsidRPr="001361D1" w:rsidRDefault="009A71CA" w:rsidP="001361D1">
      <w:pPr>
        <w:spacing w:line="360" w:lineRule="auto"/>
        <w:ind w:left="720" w:hanging="720"/>
        <w:rPr>
          <w:rFonts w:ascii="Times New Roman" w:hAnsi="Times New Roman" w:cs="Times New Roman"/>
        </w:rPr>
      </w:pPr>
      <w:r w:rsidRPr="001361D1">
        <w:rPr>
          <w:rFonts w:ascii="Times New Roman" w:hAnsi="Times New Roman" w:cs="Times New Roman"/>
        </w:rPr>
        <w:t>Chiwuzulum Odozi, J., Taiwo Awoyemi, T., &amp; Omonona, B. T. (2010). Household poverty and inequality: The implication of migrants’ remittances in Nigeria. </w:t>
      </w:r>
      <w:r w:rsidRPr="001361D1">
        <w:rPr>
          <w:rFonts w:ascii="Times New Roman" w:hAnsi="Times New Roman" w:cs="Times New Roman"/>
          <w:i/>
          <w:iCs/>
        </w:rPr>
        <w:t>Journal of Economic Policy Reform</w:t>
      </w:r>
      <w:r w:rsidRPr="001361D1">
        <w:rPr>
          <w:rFonts w:ascii="Times New Roman" w:hAnsi="Times New Roman" w:cs="Times New Roman"/>
        </w:rPr>
        <w:t>, </w:t>
      </w:r>
      <w:r w:rsidRPr="001361D1">
        <w:rPr>
          <w:rFonts w:ascii="Times New Roman" w:hAnsi="Times New Roman" w:cs="Times New Roman"/>
          <w:i/>
          <w:iCs/>
        </w:rPr>
        <w:t>13</w:t>
      </w:r>
      <w:r w:rsidRPr="001361D1">
        <w:rPr>
          <w:rFonts w:ascii="Times New Roman" w:hAnsi="Times New Roman" w:cs="Times New Roman"/>
        </w:rPr>
        <w:t>(2), 191-199.</w:t>
      </w:r>
    </w:p>
    <w:p w14:paraId="725AE7B4" w14:textId="77777777" w:rsidR="00A620E3" w:rsidRPr="001361D1" w:rsidRDefault="009A71CA" w:rsidP="001361D1">
      <w:pPr>
        <w:spacing w:line="360" w:lineRule="auto"/>
        <w:ind w:left="720" w:hanging="720"/>
        <w:rPr>
          <w:rFonts w:ascii="Times New Roman" w:hAnsi="Times New Roman" w:cs="Times New Roman"/>
        </w:rPr>
      </w:pPr>
      <w:r w:rsidRPr="001361D1">
        <w:rPr>
          <w:rFonts w:ascii="Times New Roman" w:hAnsi="Times New Roman" w:cs="Times New Roman"/>
        </w:rPr>
        <w:t>Depken, C. A., Nikšić Radić, M., &amp; Paleka, H. (2021). Causality between foreign remittance and economic growth: empirical evidence from Croatia. </w:t>
      </w:r>
      <w:r w:rsidRPr="001361D1">
        <w:rPr>
          <w:rFonts w:ascii="Times New Roman" w:hAnsi="Times New Roman" w:cs="Times New Roman"/>
          <w:i/>
          <w:iCs/>
        </w:rPr>
        <w:t>Sustainability</w:t>
      </w:r>
      <w:r w:rsidRPr="001361D1">
        <w:rPr>
          <w:rFonts w:ascii="Times New Roman" w:hAnsi="Times New Roman" w:cs="Times New Roman"/>
        </w:rPr>
        <w:t>, </w:t>
      </w:r>
      <w:r w:rsidRPr="001361D1">
        <w:rPr>
          <w:rFonts w:ascii="Times New Roman" w:hAnsi="Times New Roman" w:cs="Times New Roman"/>
          <w:i/>
          <w:iCs/>
        </w:rPr>
        <w:t>13</w:t>
      </w:r>
      <w:r w:rsidRPr="001361D1">
        <w:rPr>
          <w:rFonts w:ascii="Times New Roman" w:hAnsi="Times New Roman" w:cs="Times New Roman"/>
        </w:rPr>
        <w:t>(21), 12201.</w:t>
      </w:r>
    </w:p>
    <w:p w14:paraId="2477EAAA" w14:textId="77777777" w:rsidR="00A620E3" w:rsidRPr="002F1B4A" w:rsidRDefault="009A71CA" w:rsidP="002F1B4A">
      <w:pPr>
        <w:spacing w:line="360" w:lineRule="auto"/>
        <w:ind w:left="720" w:hanging="720"/>
        <w:rPr>
          <w:rFonts w:ascii="Times New Roman" w:hAnsi="Times New Roman" w:cs="Times New Roman"/>
        </w:rPr>
      </w:pPr>
      <w:r w:rsidRPr="002F1B4A">
        <w:rPr>
          <w:rFonts w:ascii="Times New Roman" w:hAnsi="Times New Roman" w:cs="Times New Roman"/>
        </w:rPr>
        <w:t>Ekanayake, E. M., &amp; Moslares, C. (2020). Do remittances promote economic growth and reduce poverty? Evidence from Latin American countries. </w:t>
      </w:r>
      <w:r w:rsidRPr="002F1B4A">
        <w:rPr>
          <w:rFonts w:ascii="Times New Roman" w:hAnsi="Times New Roman" w:cs="Times New Roman"/>
          <w:i/>
          <w:iCs/>
        </w:rPr>
        <w:t>Economies</w:t>
      </w:r>
      <w:r w:rsidRPr="002F1B4A">
        <w:rPr>
          <w:rFonts w:ascii="Times New Roman" w:hAnsi="Times New Roman" w:cs="Times New Roman"/>
        </w:rPr>
        <w:t>, </w:t>
      </w:r>
      <w:r w:rsidRPr="002F1B4A">
        <w:rPr>
          <w:rFonts w:ascii="Times New Roman" w:hAnsi="Times New Roman" w:cs="Times New Roman"/>
          <w:i/>
          <w:iCs/>
        </w:rPr>
        <w:t>8</w:t>
      </w:r>
      <w:r w:rsidRPr="002F1B4A">
        <w:rPr>
          <w:rFonts w:ascii="Times New Roman" w:hAnsi="Times New Roman" w:cs="Times New Roman"/>
        </w:rPr>
        <w:t>(2), 35</w:t>
      </w:r>
      <w:r>
        <w:rPr>
          <w:rFonts w:ascii="Times New Roman" w:hAnsi="Times New Roman" w:cs="Times New Roman"/>
        </w:rPr>
        <w:t>-46</w:t>
      </w:r>
    </w:p>
    <w:p w14:paraId="2772426B" w14:textId="77777777" w:rsidR="00A620E3" w:rsidRPr="002F1B4A" w:rsidRDefault="009A71CA" w:rsidP="002F1B4A">
      <w:pPr>
        <w:spacing w:line="360" w:lineRule="auto"/>
        <w:ind w:left="720" w:hanging="720"/>
        <w:rPr>
          <w:rFonts w:ascii="Times New Roman" w:hAnsi="Times New Roman" w:cs="Times New Roman"/>
        </w:rPr>
      </w:pPr>
      <w:r w:rsidRPr="002F1B4A">
        <w:rPr>
          <w:rFonts w:ascii="Times New Roman" w:hAnsi="Times New Roman" w:cs="Times New Roman"/>
        </w:rPr>
        <w:t>Georgiana, N. I. Ț. Ă. (2018). Remittances from migrant workers and their importance in economic growth. </w:t>
      </w:r>
      <w:r w:rsidRPr="002F1B4A">
        <w:rPr>
          <w:rFonts w:ascii="Times New Roman" w:hAnsi="Times New Roman" w:cs="Times New Roman"/>
          <w:i/>
          <w:iCs/>
        </w:rPr>
        <w:t>Romania</w:t>
      </w:r>
      <w:r w:rsidRPr="002F1B4A">
        <w:rPr>
          <w:rFonts w:ascii="Times New Roman" w:hAnsi="Times New Roman" w:cs="Times New Roman"/>
        </w:rPr>
        <w:t>, </w:t>
      </w:r>
      <w:r w:rsidRPr="002F1B4A">
        <w:rPr>
          <w:rFonts w:ascii="Times New Roman" w:hAnsi="Times New Roman" w:cs="Times New Roman"/>
          <w:i/>
          <w:iCs/>
        </w:rPr>
        <w:t>8</w:t>
      </w:r>
      <w:r w:rsidRPr="002F1B4A">
        <w:rPr>
          <w:rFonts w:ascii="Times New Roman" w:hAnsi="Times New Roman" w:cs="Times New Roman"/>
        </w:rPr>
        <w:t>(1), 161-166.</w:t>
      </w:r>
    </w:p>
    <w:p w14:paraId="656AC15C" w14:textId="77777777" w:rsidR="00A620E3" w:rsidRPr="001361D1" w:rsidRDefault="009A71CA" w:rsidP="001361D1">
      <w:pPr>
        <w:spacing w:line="360" w:lineRule="auto"/>
        <w:ind w:left="720" w:hanging="720"/>
        <w:rPr>
          <w:rFonts w:ascii="Times New Roman" w:hAnsi="Times New Roman" w:cs="Times New Roman"/>
        </w:rPr>
      </w:pPr>
      <w:r w:rsidRPr="001361D1">
        <w:rPr>
          <w:rFonts w:ascii="Times New Roman" w:hAnsi="Times New Roman" w:cs="Times New Roman"/>
        </w:rPr>
        <w:t>Islam, M. S. (2022). Do personal remittances influence economic growth in South Asia? A panel analysis. </w:t>
      </w:r>
      <w:r w:rsidRPr="001361D1">
        <w:rPr>
          <w:rFonts w:ascii="Times New Roman" w:hAnsi="Times New Roman" w:cs="Times New Roman"/>
          <w:i/>
          <w:iCs/>
        </w:rPr>
        <w:t>Review of Development Economics</w:t>
      </w:r>
      <w:r w:rsidRPr="001361D1">
        <w:rPr>
          <w:rFonts w:ascii="Times New Roman" w:hAnsi="Times New Roman" w:cs="Times New Roman"/>
        </w:rPr>
        <w:t>, </w:t>
      </w:r>
      <w:r w:rsidRPr="001361D1">
        <w:rPr>
          <w:rFonts w:ascii="Times New Roman" w:hAnsi="Times New Roman" w:cs="Times New Roman"/>
          <w:i/>
          <w:iCs/>
        </w:rPr>
        <w:t>26</w:t>
      </w:r>
      <w:r w:rsidRPr="001361D1">
        <w:rPr>
          <w:rFonts w:ascii="Times New Roman" w:hAnsi="Times New Roman" w:cs="Times New Roman"/>
        </w:rPr>
        <w:t>(1), 242-258.</w:t>
      </w:r>
    </w:p>
    <w:p w14:paraId="4B88D2FE" w14:textId="77777777" w:rsidR="00A620E3" w:rsidRPr="00503F6C" w:rsidRDefault="009A71CA" w:rsidP="0068605B">
      <w:pPr>
        <w:spacing w:line="360" w:lineRule="auto"/>
        <w:ind w:left="720" w:hanging="720"/>
        <w:rPr>
          <w:rFonts w:ascii="Times New Roman" w:hAnsi="Times New Roman" w:cs="Times New Roman"/>
        </w:rPr>
      </w:pPr>
      <w:r w:rsidRPr="00503F6C">
        <w:rPr>
          <w:rFonts w:ascii="Times New Roman" w:hAnsi="Times New Roman" w:cs="Times New Roman"/>
        </w:rPr>
        <w:t>Juchem Neto, J. P., Claeyssen, J. C. R., Ritelli, D., &amp; Mingari Scarpello, G. (2009). Migration in a solow growth model. </w:t>
      </w:r>
      <w:r w:rsidRPr="00503F6C">
        <w:rPr>
          <w:rFonts w:ascii="Times New Roman" w:hAnsi="Times New Roman" w:cs="Times New Roman"/>
          <w:i/>
          <w:iCs/>
        </w:rPr>
        <w:t>Available at SSRN 1578565</w:t>
      </w:r>
      <w:r w:rsidRPr="00503F6C">
        <w:rPr>
          <w:rFonts w:ascii="Times New Roman" w:hAnsi="Times New Roman" w:cs="Times New Roman"/>
        </w:rPr>
        <w:t>.</w:t>
      </w:r>
    </w:p>
    <w:p w14:paraId="5B133BAE" w14:textId="77777777" w:rsidR="00A620E3" w:rsidRPr="002650D2" w:rsidRDefault="009A71CA" w:rsidP="002650D2">
      <w:pPr>
        <w:spacing w:line="360" w:lineRule="auto"/>
        <w:ind w:left="720" w:hanging="720"/>
        <w:rPr>
          <w:rFonts w:ascii="Times New Roman" w:hAnsi="Times New Roman" w:cs="Times New Roman"/>
        </w:rPr>
      </w:pPr>
      <w:r w:rsidRPr="002650D2">
        <w:rPr>
          <w:rFonts w:ascii="Times New Roman" w:hAnsi="Times New Roman" w:cs="Times New Roman"/>
        </w:rPr>
        <w:t>Khan, M. K., Teng, J. Z., &amp; Khan, M. I. (2019). The effect of migrant remittances on economic growth: An ARDL approach. </w:t>
      </w:r>
      <w:r w:rsidRPr="002650D2">
        <w:rPr>
          <w:rFonts w:ascii="Times New Roman" w:hAnsi="Times New Roman" w:cs="Times New Roman"/>
          <w:i/>
          <w:iCs/>
        </w:rPr>
        <w:t>Engineering Economics</w:t>
      </w:r>
      <w:r w:rsidRPr="002650D2">
        <w:rPr>
          <w:rFonts w:ascii="Times New Roman" w:hAnsi="Times New Roman" w:cs="Times New Roman"/>
        </w:rPr>
        <w:t>, </w:t>
      </w:r>
      <w:r w:rsidRPr="002650D2">
        <w:rPr>
          <w:rFonts w:ascii="Times New Roman" w:hAnsi="Times New Roman" w:cs="Times New Roman"/>
          <w:i/>
          <w:iCs/>
        </w:rPr>
        <w:t>30</w:t>
      </w:r>
      <w:r w:rsidRPr="002650D2">
        <w:rPr>
          <w:rFonts w:ascii="Times New Roman" w:hAnsi="Times New Roman" w:cs="Times New Roman"/>
        </w:rPr>
        <w:t>(4), 434-441.</w:t>
      </w:r>
    </w:p>
    <w:p w14:paraId="0BE56126" w14:textId="77777777" w:rsidR="00A620E3" w:rsidRDefault="009A71CA" w:rsidP="001361D1">
      <w:pPr>
        <w:spacing w:line="360" w:lineRule="auto"/>
        <w:ind w:left="720" w:hanging="720"/>
        <w:rPr>
          <w:rFonts w:ascii="Times New Roman" w:hAnsi="Times New Roman" w:cs="Times New Roman"/>
        </w:rPr>
      </w:pPr>
      <w:r w:rsidRPr="001361D1">
        <w:rPr>
          <w:rFonts w:ascii="Times New Roman" w:hAnsi="Times New Roman" w:cs="Times New Roman"/>
        </w:rPr>
        <w:t>Laniran, T. J., &amp; Adeniyi, D. A. (2015). An evaluation of the determinants of remittances: Evidence from Nigeria. </w:t>
      </w:r>
      <w:r w:rsidRPr="001361D1">
        <w:rPr>
          <w:rFonts w:ascii="Times New Roman" w:hAnsi="Times New Roman" w:cs="Times New Roman"/>
          <w:i/>
          <w:iCs/>
        </w:rPr>
        <w:t>African Human Mobility Review</w:t>
      </w:r>
      <w:r w:rsidRPr="001361D1">
        <w:rPr>
          <w:rFonts w:ascii="Times New Roman" w:hAnsi="Times New Roman" w:cs="Times New Roman"/>
        </w:rPr>
        <w:t>, </w:t>
      </w:r>
      <w:r w:rsidRPr="001361D1">
        <w:rPr>
          <w:rFonts w:ascii="Times New Roman" w:hAnsi="Times New Roman" w:cs="Times New Roman"/>
          <w:i/>
          <w:iCs/>
        </w:rPr>
        <w:t>1</w:t>
      </w:r>
      <w:r w:rsidRPr="001361D1">
        <w:rPr>
          <w:rFonts w:ascii="Times New Roman" w:hAnsi="Times New Roman" w:cs="Times New Roman"/>
        </w:rPr>
        <w:t>(2), 129-152.</w:t>
      </w:r>
    </w:p>
    <w:p w14:paraId="79CCA799" w14:textId="77777777" w:rsidR="00A620E3" w:rsidRDefault="009A71CA" w:rsidP="001361D1">
      <w:pPr>
        <w:spacing w:line="360" w:lineRule="auto"/>
        <w:ind w:left="720" w:hanging="720"/>
        <w:rPr>
          <w:rFonts w:ascii="Times New Roman" w:hAnsi="Times New Roman" w:cs="Times New Roman"/>
        </w:rPr>
      </w:pPr>
      <w:r w:rsidRPr="001361D1">
        <w:rPr>
          <w:rFonts w:ascii="Times New Roman" w:hAnsi="Times New Roman" w:cs="Times New Roman"/>
        </w:rPr>
        <w:t>Mahmud, H. (2020). From individual motivations to social determinants: Towards a sociology of migrants’ remittances. </w:t>
      </w:r>
      <w:r w:rsidRPr="001361D1">
        <w:rPr>
          <w:rFonts w:ascii="Times New Roman" w:hAnsi="Times New Roman" w:cs="Times New Roman"/>
          <w:i/>
          <w:iCs/>
        </w:rPr>
        <w:t>International social science journal</w:t>
      </w:r>
      <w:r w:rsidRPr="001361D1">
        <w:rPr>
          <w:rFonts w:ascii="Times New Roman" w:hAnsi="Times New Roman" w:cs="Times New Roman"/>
        </w:rPr>
        <w:t>, </w:t>
      </w:r>
      <w:r w:rsidRPr="001361D1">
        <w:rPr>
          <w:rFonts w:ascii="Times New Roman" w:hAnsi="Times New Roman" w:cs="Times New Roman"/>
          <w:i/>
          <w:iCs/>
        </w:rPr>
        <w:t>70</w:t>
      </w:r>
      <w:r w:rsidRPr="001361D1">
        <w:rPr>
          <w:rFonts w:ascii="Times New Roman" w:hAnsi="Times New Roman" w:cs="Times New Roman"/>
        </w:rPr>
        <w:t>(237-238), 175-188.</w:t>
      </w:r>
    </w:p>
    <w:p w14:paraId="3B468CA6" w14:textId="77777777" w:rsidR="00A620E3" w:rsidRPr="002F1B4A" w:rsidRDefault="009A71CA" w:rsidP="002F1B4A">
      <w:pPr>
        <w:spacing w:line="360" w:lineRule="auto"/>
        <w:ind w:left="720" w:hanging="720"/>
        <w:rPr>
          <w:rFonts w:ascii="Times New Roman" w:hAnsi="Times New Roman" w:cs="Times New Roman"/>
        </w:rPr>
      </w:pPr>
      <w:r w:rsidRPr="002F1B4A">
        <w:rPr>
          <w:rFonts w:ascii="Times New Roman" w:hAnsi="Times New Roman" w:cs="Times New Roman"/>
        </w:rPr>
        <w:lastRenderedPageBreak/>
        <w:t>Meyer, D., &amp; Shera, A. (2017). The impact of remittances on economic growth: An econometric model. </w:t>
      </w:r>
      <w:r w:rsidRPr="002F1B4A">
        <w:rPr>
          <w:rFonts w:ascii="Times New Roman" w:hAnsi="Times New Roman" w:cs="Times New Roman"/>
          <w:i/>
          <w:iCs/>
        </w:rPr>
        <w:t>EconomiA</w:t>
      </w:r>
      <w:r w:rsidRPr="002F1B4A">
        <w:rPr>
          <w:rFonts w:ascii="Times New Roman" w:hAnsi="Times New Roman" w:cs="Times New Roman"/>
        </w:rPr>
        <w:t>, </w:t>
      </w:r>
      <w:r w:rsidRPr="002F1B4A">
        <w:rPr>
          <w:rFonts w:ascii="Times New Roman" w:hAnsi="Times New Roman" w:cs="Times New Roman"/>
          <w:i/>
          <w:iCs/>
        </w:rPr>
        <w:t>18</w:t>
      </w:r>
      <w:r w:rsidRPr="002F1B4A">
        <w:rPr>
          <w:rFonts w:ascii="Times New Roman" w:hAnsi="Times New Roman" w:cs="Times New Roman"/>
        </w:rPr>
        <w:t>(2), 147-155.</w:t>
      </w:r>
    </w:p>
    <w:p w14:paraId="1C8E7DB8" w14:textId="77777777" w:rsidR="00A620E3" w:rsidRDefault="009A71CA" w:rsidP="0068605B">
      <w:pPr>
        <w:spacing w:line="360" w:lineRule="auto"/>
        <w:ind w:left="720" w:hanging="720"/>
        <w:rPr>
          <w:rFonts w:ascii="Times New Roman" w:hAnsi="Times New Roman" w:cs="Times New Roman"/>
        </w:rPr>
      </w:pPr>
      <w:r w:rsidRPr="00503F6C">
        <w:rPr>
          <w:rFonts w:ascii="Times New Roman" w:hAnsi="Times New Roman" w:cs="Times New Roman"/>
        </w:rPr>
        <w:t>Murindagomo, T. M., &amp; Chiwira, O. (2025). Cointegrating Relationship between Remittances and Economic Growth in Zimbabwe. </w:t>
      </w:r>
      <w:r w:rsidRPr="00503F6C">
        <w:rPr>
          <w:rFonts w:ascii="Times New Roman" w:hAnsi="Times New Roman" w:cs="Times New Roman"/>
          <w:i/>
          <w:iCs/>
        </w:rPr>
        <w:t>International Journal of Economics and Financial Issues</w:t>
      </w:r>
      <w:r w:rsidRPr="00503F6C">
        <w:rPr>
          <w:rFonts w:ascii="Times New Roman" w:hAnsi="Times New Roman" w:cs="Times New Roman"/>
        </w:rPr>
        <w:t>, </w:t>
      </w:r>
      <w:r w:rsidRPr="00503F6C">
        <w:rPr>
          <w:rFonts w:ascii="Times New Roman" w:hAnsi="Times New Roman" w:cs="Times New Roman"/>
          <w:i/>
          <w:iCs/>
        </w:rPr>
        <w:t>15</w:t>
      </w:r>
      <w:r w:rsidRPr="00503F6C">
        <w:rPr>
          <w:rFonts w:ascii="Times New Roman" w:hAnsi="Times New Roman" w:cs="Times New Roman"/>
        </w:rPr>
        <w:t>(3), 214-221.</w:t>
      </w:r>
    </w:p>
    <w:p w14:paraId="2179C547" w14:textId="77777777" w:rsidR="00A620E3" w:rsidRPr="001361D1" w:rsidRDefault="009A71CA" w:rsidP="00E27972">
      <w:pPr>
        <w:spacing w:line="360" w:lineRule="auto"/>
        <w:ind w:left="720" w:hanging="720"/>
        <w:rPr>
          <w:rFonts w:ascii="Times New Roman" w:hAnsi="Times New Roman" w:cs="Times New Roman"/>
        </w:rPr>
      </w:pPr>
      <w:r w:rsidRPr="001361D1">
        <w:rPr>
          <w:rFonts w:ascii="Times New Roman" w:hAnsi="Times New Roman" w:cs="Times New Roman"/>
        </w:rPr>
        <w:t>Nawaz, F., Kayani, U., &amp; Aysan, A. F. (2023). Nexus between foreign remittances and poverty alleviation: Empirical investigation of Tajikistan from Central Asia. </w:t>
      </w:r>
      <w:r w:rsidRPr="001361D1">
        <w:rPr>
          <w:rFonts w:ascii="Times New Roman" w:hAnsi="Times New Roman" w:cs="Times New Roman"/>
          <w:i/>
          <w:iCs/>
        </w:rPr>
        <w:t>Cogent Social Sciences</w:t>
      </w:r>
      <w:r w:rsidRPr="001361D1">
        <w:rPr>
          <w:rFonts w:ascii="Times New Roman" w:hAnsi="Times New Roman" w:cs="Times New Roman"/>
        </w:rPr>
        <w:t>, </w:t>
      </w:r>
      <w:r w:rsidRPr="001361D1">
        <w:rPr>
          <w:rFonts w:ascii="Times New Roman" w:hAnsi="Times New Roman" w:cs="Times New Roman"/>
          <w:i/>
          <w:iCs/>
        </w:rPr>
        <w:t>9</w:t>
      </w:r>
      <w:r w:rsidRPr="001361D1">
        <w:rPr>
          <w:rFonts w:ascii="Times New Roman" w:hAnsi="Times New Roman" w:cs="Times New Roman"/>
        </w:rPr>
        <w:t>(2), 227</w:t>
      </w:r>
      <w:r>
        <w:rPr>
          <w:rFonts w:ascii="Times New Roman" w:hAnsi="Times New Roman" w:cs="Times New Roman"/>
        </w:rPr>
        <w:t>-2</w:t>
      </w:r>
      <w:r w:rsidRPr="001361D1">
        <w:rPr>
          <w:rFonts w:ascii="Times New Roman" w:hAnsi="Times New Roman" w:cs="Times New Roman"/>
        </w:rPr>
        <w:t>54.</w:t>
      </w:r>
    </w:p>
    <w:p w14:paraId="5791E891" w14:textId="77777777" w:rsidR="00A620E3" w:rsidRPr="001361D1" w:rsidRDefault="009A71CA" w:rsidP="001361D1">
      <w:pPr>
        <w:spacing w:line="360" w:lineRule="auto"/>
        <w:ind w:left="720" w:hanging="720"/>
        <w:rPr>
          <w:rFonts w:ascii="Times New Roman" w:hAnsi="Times New Roman" w:cs="Times New Roman"/>
        </w:rPr>
      </w:pPr>
      <w:r w:rsidRPr="001361D1">
        <w:rPr>
          <w:rFonts w:ascii="Times New Roman" w:hAnsi="Times New Roman" w:cs="Times New Roman"/>
        </w:rPr>
        <w:t>Nyasha, S., &amp; Odhiambo, N. M. (2022). The impact of remittances on economic growth: empirical evidence from South Africa. </w:t>
      </w:r>
      <w:r w:rsidRPr="001361D1">
        <w:rPr>
          <w:rFonts w:ascii="Times New Roman" w:hAnsi="Times New Roman" w:cs="Times New Roman"/>
          <w:i/>
          <w:iCs/>
        </w:rPr>
        <w:t>International Journal of Trade and Global Markets</w:t>
      </w:r>
      <w:r w:rsidRPr="001361D1">
        <w:rPr>
          <w:rFonts w:ascii="Times New Roman" w:hAnsi="Times New Roman" w:cs="Times New Roman"/>
        </w:rPr>
        <w:t>, </w:t>
      </w:r>
      <w:r w:rsidRPr="001361D1">
        <w:rPr>
          <w:rFonts w:ascii="Times New Roman" w:hAnsi="Times New Roman" w:cs="Times New Roman"/>
          <w:i/>
          <w:iCs/>
        </w:rPr>
        <w:t>15</w:t>
      </w:r>
      <w:r w:rsidRPr="001361D1">
        <w:rPr>
          <w:rFonts w:ascii="Times New Roman" w:hAnsi="Times New Roman" w:cs="Times New Roman"/>
        </w:rPr>
        <w:t>(2), 254-272.</w:t>
      </w:r>
    </w:p>
    <w:p w14:paraId="1393F039" w14:textId="77777777" w:rsidR="00A620E3" w:rsidRPr="002650D2" w:rsidRDefault="009A71CA" w:rsidP="002F1B4A">
      <w:pPr>
        <w:spacing w:line="360" w:lineRule="auto"/>
        <w:ind w:left="720" w:hanging="720"/>
        <w:rPr>
          <w:rFonts w:ascii="Times New Roman" w:hAnsi="Times New Roman" w:cs="Times New Roman"/>
        </w:rPr>
      </w:pPr>
      <w:r w:rsidRPr="002650D2">
        <w:rPr>
          <w:rFonts w:ascii="Times New Roman" w:hAnsi="Times New Roman" w:cs="Times New Roman"/>
        </w:rPr>
        <w:t>Oladipo, O. S. (2020). Migrant workers' remittances and economic growth: A time series analysis. </w:t>
      </w:r>
      <w:r w:rsidRPr="002650D2">
        <w:rPr>
          <w:rFonts w:ascii="Times New Roman" w:hAnsi="Times New Roman" w:cs="Times New Roman"/>
          <w:i/>
          <w:iCs/>
        </w:rPr>
        <w:t xml:space="preserve">The Journal of </w:t>
      </w:r>
      <w:r>
        <w:rPr>
          <w:rFonts w:ascii="Times New Roman" w:hAnsi="Times New Roman" w:cs="Times New Roman"/>
          <w:i/>
          <w:iCs/>
        </w:rPr>
        <w:t>D</w:t>
      </w:r>
      <w:r w:rsidRPr="002650D2">
        <w:rPr>
          <w:rFonts w:ascii="Times New Roman" w:hAnsi="Times New Roman" w:cs="Times New Roman"/>
          <w:i/>
          <w:iCs/>
        </w:rPr>
        <w:t xml:space="preserve">eveloping </w:t>
      </w:r>
      <w:r>
        <w:rPr>
          <w:rFonts w:ascii="Times New Roman" w:hAnsi="Times New Roman" w:cs="Times New Roman"/>
          <w:i/>
          <w:iCs/>
        </w:rPr>
        <w:t>A</w:t>
      </w:r>
      <w:r w:rsidRPr="002650D2">
        <w:rPr>
          <w:rFonts w:ascii="Times New Roman" w:hAnsi="Times New Roman" w:cs="Times New Roman"/>
          <w:i/>
          <w:iCs/>
        </w:rPr>
        <w:t>reas</w:t>
      </w:r>
      <w:r w:rsidRPr="002650D2">
        <w:rPr>
          <w:rFonts w:ascii="Times New Roman" w:hAnsi="Times New Roman" w:cs="Times New Roman"/>
        </w:rPr>
        <w:t>, </w:t>
      </w:r>
      <w:r w:rsidRPr="002650D2">
        <w:rPr>
          <w:rFonts w:ascii="Times New Roman" w:hAnsi="Times New Roman" w:cs="Times New Roman"/>
          <w:i/>
          <w:iCs/>
        </w:rPr>
        <w:t>54</w:t>
      </w:r>
      <w:r w:rsidRPr="002650D2">
        <w:rPr>
          <w:rFonts w:ascii="Times New Roman" w:hAnsi="Times New Roman" w:cs="Times New Roman"/>
        </w:rPr>
        <w:t>(4)</w:t>
      </w:r>
      <w:r>
        <w:rPr>
          <w:rFonts w:ascii="Times New Roman" w:hAnsi="Times New Roman" w:cs="Times New Roman"/>
        </w:rPr>
        <w:t>,75-88</w:t>
      </w:r>
    </w:p>
    <w:p w14:paraId="2D73839D" w14:textId="77777777" w:rsidR="00A620E3" w:rsidRPr="001361D1" w:rsidRDefault="009A71CA" w:rsidP="001361D1">
      <w:pPr>
        <w:spacing w:line="360" w:lineRule="auto"/>
        <w:ind w:left="720" w:hanging="720"/>
        <w:rPr>
          <w:rFonts w:ascii="Times New Roman" w:hAnsi="Times New Roman" w:cs="Times New Roman"/>
        </w:rPr>
      </w:pPr>
      <w:r w:rsidRPr="001361D1">
        <w:rPr>
          <w:rFonts w:ascii="Times New Roman" w:hAnsi="Times New Roman" w:cs="Times New Roman"/>
        </w:rPr>
        <w:t>Oluwafemi, A., &amp; Ayandibu, A. O. (2014). Impact of remittances on development in Nigeria: Challenges and prospects. </w:t>
      </w:r>
      <w:r w:rsidRPr="001361D1">
        <w:rPr>
          <w:rFonts w:ascii="Times New Roman" w:hAnsi="Times New Roman" w:cs="Times New Roman"/>
          <w:i/>
          <w:iCs/>
        </w:rPr>
        <w:t>Journal of Sociology and Social Anthropology</w:t>
      </w:r>
      <w:r w:rsidRPr="001361D1">
        <w:rPr>
          <w:rFonts w:ascii="Times New Roman" w:hAnsi="Times New Roman" w:cs="Times New Roman"/>
        </w:rPr>
        <w:t>, </w:t>
      </w:r>
      <w:r w:rsidRPr="001361D1">
        <w:rPr>
          <w:rFonts w:ascii="Times New Roman" w:hAnsi="Times New Roman" w:cs="Times New Roman"/>
          <w:i/>
          <w:iCs/>
        </w:rPr>
        <w:t>5</w:t>
      </w:r>
      <w:r w:rsidRPr="001361D1">
        <w:rPr>
          <w:rFonts w:ascii="Times New Roman" w:hAnsi="Times New Roman" w:cs="Times New Roman"/>
        </w:rPr>
        <w:t>(3), 311-318.</w:t>
      </w:r>
    </w:p>
    <w:p w14:paraId="438CEDC2" w14:textId="77777777" w:rsidR="00A620E3" w:rsidRDefault="009A71CA" w:rsidP="001361D1">
      <w:pPr>
        <w:spacing w:line="360" w:lineRule="auto"/>
        <w:ind w:left="720" w:hanging="720"/>
        <w:rPr>
          <w:rFonts w:ascii="Times New Roman" w:hAnsi="Times New Roman" w:cs="Times New Roman"/>
          <w:color w:val="222222"/>
          <w:shd w:val="clear" w:color="auto" w:fill="FFFFFF"/>
        </w:rPr>
      </w:pPr>
      <w:r w:rsidRPr="001361D1">
        <w:rPr>
          <w:rFonts w:ascii="Times New Roman" w:hAnsi="Times New Roman" w:cs="Times New Roman"/>
        </w:rPr>
        <w:t>Onyike, S. C., Ekeagwu, I. C., &amp; Alamba, C. S. (2020). International remittances and economic growth of Nigeria. </w:t>
      </w:r>
      <w:r w:rsidRPr="001361D1">
        <w:rPr>
          <w:rFonts w:ascii="Times New Roman" w:hAnsi="Times New Roman" w:cs="Times New Roman"/>
          <w:i/>
          <w:iCs/>
        </w:rPr>
        <w:t>AE-FUNAI J Acc Bus Fin (FJBAF)</w:t>
      </w:r>
      <w:r w:rsidRPr="001361D1">
        <w:rPr>
          <w:rFonts w:ascii="Times New Roman" w:hAnsi="Times New Roman" w:cs="Times New Roman"/>
        </w:rPr>
        <w:t>, </w:t>
      </w:r>
      <w:r w:rsidRPr="001361D1">
        <w:rPr>
          <w:rFonts w:ascii="Times New Roman" w:hAnsi="Times New Roman" w:cs="Times New Roman"/>
          <w:i/>
          <w:iCs/>
        </w:rPr>
        <w:t>6</w:t>
      </w:r>
      <w:r w:rsidRPr="001361D1">
        <w:rPr>
          <w:rFonts w:ascii="Times New Roman" w:hAnsi="Times New Roman" w:cs="Times New Roman"/>
        </w:rPr>
        <w:t>(1), 152-66.</w:t>
      </w:r>
      <w:r w:rsidRPr="001361D1">
        <w:rPr>
          <w:rFonts w:ascii="Times New Roman" w:hAnsi="Times New Roman" w:cs="Times New Roman"/>
          <w:color w:val="222222"/>
          <w:shd w:val="clear" w:color="auto" w:fill="FFFFFF"/>
        </w:rPr>
        <w:t xml:space="preserve"> </w:t>
      </w:r>
    </w:p>
    <w:p w14:paraId="108A0F82" w14:textId="77777777" w:rsidR="00A620E3" w:rsidRPr="001361D1" w:rsidRDefault="009A71CA" w:rsidP="001361D1">
      <w:pPr>
        <w:spacing w:line="360" w:lineRule="auto"/>
        <w:ind w:left="720" w:hanging="720"/>
        <w:contextualSpacing/>
        <w:rPr>
          <w:rFonts w:ascii="Times New Roman" w:hAnsi="Times New Roman" w:cs="Times New Roman"/>
        </w:rPr>
      </w:pPr>
      <w:r w:rsidRPr="001361D1">
        <w:rPr>
          <w:rFonts w:ascii="Times New Roman" w:hAnsi="Times New Roman" w:cs="Times New Roman"/>
        </w:rPr>
        <w:t>Otame, L. (2023). </w:t>
      </w:r>
      <w:r w:rsidRPr="001361D1">
        <w:rPr>
          <w:rFonts w:ascii="Times New Roman" w:hAnsi="Times New Roman" w:cs="Times New Roman"/>
          <w:i/>
          <w:iCs/>
        </w:rPr>
        <w:t>International Remittances Flow to Nigeria: A Household Perspective</w:t>
      </w:r>
      <w:r w:rsidRPr="001361D1">
        <w:rPr>
          <w:rFonts w:ascii="Times New Roman" w:hAnsi="Times New Roman" w:cs="Times New Roman"/>
        </w:rPr>
        <w:t> (Doctoral dissertation, Bournemouth University).</w:t>
      </w:r>
    </w:p>
    <w:p w14:paraId="1B81B483" w14:textId="77777777" w:rsidR="00A620E3" w:rsidRPr="001361D1" w:rsidRDefault="009A71CA" w:rsidP="001361D1">
      <w:pPr>
        <w:spacing w:line="360" w:lineRule="auto"/>
        <w:ind w:left="720" w:hanging="720"/>
        <w:rPr>
          <w:rFonts w:ascii="Times New Roman" w:hAnsi="Times New Roman" w:cs="Times New Roman"/>
        </w:rPr>
      </w:pPr>
      <w:r w:rsidRPr="001361D1">
        <w:rPr>
          <w:rFonts w:ascii="Times New Roman" w:hAnsi="Times New Roman" w:cs="Times New Roman"/>
        </w:rPr>
        <w:t>Pan, X., &amp; Sun, C. (2024). Internal migration, remittances and economic development. </w:t>
      </w:r>
      <w:r w:rsidRPr="001361D1">
        <w:rPr>
          <w:rFonts w:ascii="Times New Roman" w:hAnsi="Times New Roman" w:cs="Times New Roman"/>
          <w:i/>
          <w:iCs/>
        </w:rPr>
        <w:t>Journal of International Economics</w:t>
      </w:r>
      <w:r w:rsidRPr="001361D1">
        <w:rPr>
          <w:rFonts w:ascii="Times New Roman" w:hAnsi="Times New Roman" w:cs="Times New Roman"/>
        </w:rPr>
        <w:t>, </w:t>
      </w:r>
      <w:r w:rsidRPr="001361D1">
        <w:rPr>
          <w:rFonts w:ascii="Times New Roman" w:hAnsi="Times New Roman" w:cs="Times New Roman"/>
          <w:i/>
          <w:iCs/>
        </w:rPr>
        <w:t>147</w:t>
      </w:r>
      <w:r w:rsidRPr="001361D1">
        <w:rPr>
          <w:rFonts w:ascii="Times New Roman" w:hAnsi="Times New Roman" w:cs="Times New Roman"/>
        </w:rPr>
        <w:t xml:space="preserve">, </w:t>
      </w:r>
      <w:r>
        <w:rPr>
          <w:rFonts w:ascii="Times New Roman" w:hAnsi="Times New Roman" w:cs="Times New Roman"/>
        </w:rPr>
        <w:t>1-40</w:t>
      </w:r>
      <w:r w:rsidRPr="001361D1">
        <w:rPr>
          <w:rFonts w:ascii="Times New Roman" w:hAnsi="Times New Roman" w:cs="Times New Roman"/>
        </w:rPr>
        <w:t>.</w:t>
      </w:r>
    </w:p>
    <w:p w14:paraId="59F6C79A" w14:textId="77777777" w:rsidR="00A620E3" w:rsidRDefault="009A71CA" w:rsidP="0068605B">
      <w:pPr>
        <w:spacing w:after="100" w:afterAutospacing="1" w:line="360" w:lineRule="auto"/>
        <w:ind w:left="720" w:hanging="720"/>
        <w:jc w:val="both"/>
        <w:rPr>
          <w:rFonts w:ascii="Times New Roman" w:hAnsi="Times New Roman" w:cs="Times New Roman"/>
          <w:shd w:val="clear" w:color="auto" w:fill="FFFFFF"/>
        </w:rPr>
      </w:pPr>
      <w:r w:rsidRPr="001361D1">
        <w:rPr>
          <w:rFonts w:ascii="Times New Roman" w:hAnsi="Times New Roman" w:cs="Times New Roman"/>
          <w:shd w:val="clear" w:color="auto" w:fill="FFFFFF"/>
        </w:rPr>
        <w:t xml:space="preserve">Pesaran, M. H., Shin, Y., &amp; Smith, R. J. (2001). Bounds testing approaches to the analysis of level relationships. </w:t>
      </w:r>
      <w:r w:rsidRPr="001361D1">
        <w:rPr>
          <w:rFonts w:ascii="Times New Roman" w:hAnsi="Times New Roman" w:cs="Times New Roman"/>
          <w:i/>
          <w:iCs/>
        </w:rPr>
        <w:t>Journal of Applied Econometrics</w:t>
      </w:r>
      <w:r w:rsidRPr="001361D1">
        <w:rPr>
          <w:rFonts w:ascii="Times New Roman" w:hAnsi="Times New Roman" w:cs="Times New Roman"/>
          <w:shd w:val="clear" w:color="auto" w:fill="FFFFFF"/>
        </w:rPr>
        <w:t xml:space="preserve">, </w:t>
      </w:r>
      <w:r w:rsidRPr="001361D1">
        <w:rPr>
          <w:rFonts w:ascii="Times New Roman" w:hAnsi="Times New Roman" w:cs="Times New Roman"/>
          <w:i/>
          <w:iCs/>
        </w:rPr>
        <w:t>16</w:t>
      </w:r>
      <w:r w:rsidRPr="001361D1">
        <w:rPr>
          <w:rFonts w:ascii="Times New Roman" w:hAnsi="Times New Roman" w:cs="Times New Roman"/>
          <w:shd w:val="clear" w:color="auto" w:fill="FFFFFF"/>
        </w:rPr>
        <w:t>(3), 289-326.</w:t>
      </w:r>
    </w:p>
    <w:p w14:paraId="6B5439C2" w14:textId="77777777" w:rsidR="00A620E3" w:rsidRPr="002F1B4A" w:rsidRDefault="009A71CA" w:rsidP="002F1B4A">
      <w:pPr>
        <w:spacing w:line="360" w:lineRule="auto"/>
        <w:ind w:left="720" w:hanging="720"/>
        <w:rPr>
          <w:rFonts w:ascii="Times New Roman" w:hAnsi="Times New Roman" w:cs="Times New Roman"/>
        </w:rPr>
      </w:pPr>
      <w:r w:rsidRPr="002F1B4A">
        <w:rPr>
          <w:rFonts w:ascii="Times New Roman" w:hAnsi="Times New Roman" w:cs="Times New Roman"/>
        </w:rPr>
        <w:t>Qutb, R. (2022). Migrants’ remittances and economic growth in Egypt: an empirical analysis from 1980 to 2017. </w:t>
      </w:r>
      <w:r w:rsidRPr="002F1B4A">
        <w:rPr>
          <w:rFonts w:ascii="Times New Roman" w:hAnsi="Times New Roman" w:cs="Times New Roman"/>
          <w:i/>
          <w:iCs/>
        </w:rPr>
        <w:t>Review of Economics and Political Science</w:t>
      </w:r>
      <w:r w:rsidRPr="002F1B4A">
        <w:rPr>
          <w:rFonts w:ascii="Times New Roman" w:hAnsi="Times New Roman" w:cs="Times New Roman"/>
        </w:rPr>
        <w:t>, </w:t>
      </w:r>
      <w:r w:rsidRPr="002F1B4A">
        <w:rPr>
          <w:rFonts w:ascii="Times New Roman" w:hAnsi="Times New Roman" w:cs="Times New Roman"/>
          <w:i/>
          <w:iCs/>
        </w:rPr>
        <w:t>7</w:t>
      </w:r>
      <w:r w:rsidRPr="002F1B4A">
        <w:rPr>
          <w:rFonts w:ascii="Times New Roman" w:hAnsi="Times New Roman" w:cs="Times New Roman"/>
        </w:rPr>
        <w:t>(3), 154-176.</w:t>
      </w:r>
    </w:p>
    <w:p w14:paraId="1938A703" w14:textId="77777777" w:rsidR="00A620E3" w:rsidRPr="002F1B4A" w:rsidRDefault="009A71CA" w:rsidP="002F1B4A">
      <w:pPr>
        <w:spacing w:line="360" w:lineRule="auto"/>
        <w:ind w:left="720" w:hanging="720"/>
        <w:rPr>
          <w:rFonts w:ascii="Times New Roman" w:hAnsi="Times New Roman" w:cs="Times New Roman"/>
        </w:rPr>
      </w:pPr>
      <w:r w:rsidRPr="002F1B4A">
        <w:rPr>
          <w:rFonts w:ascii="Times New Roman" w:hAnsi="Times New Roman" w:cs="Times New Roman"/>
        </w:rPr>
        <w:t>Rapoport, H., &amp; Docquier, F. (2006). The economics of migrants' remittances. </w:t>
      </w:r>
      <w:r w:rsidRPr="002F1B4A">
        <w:rPr>
          <w:rFonts w:ascii="Times New Roman" w:hAnsi="Times New Roman" w:cs="Times New Roman"/>
          <w:i/>
          <w:iCs/>
        </w:rPr>
        <w:t>Handbook of the economics of giving, altruism and reciprocity</w:t>
      </w:r>
      <w:r w:rsidRPr="002F1B4A">
        <w:rPr>
          <w:rFonts w:ascii="Times New Roman" w:hAnsi="Times New Roman" w:cs="Times New Roman"/>
        </w:rPr>
        <w:t>, </w:t>
      </w:r>
      <w:r w:rsidRPr="002F1B4A">
        <w:rPr>
          <w:rFonts w:ascii="Times New Roman" w:hAnsi="Times New Roman" w:cs="Times New Roman"/>
          <w:i/>
          <w:iCs/>
        </w:rPr>
        <w:t>2</w:t>
      </w:r>
      <w:r w:rsidRPr="002F1B4A">
        <w:rPr>
          <w:rFonts w:ascii="Times New Roman" w:hAnsi="Times New Roman" w:cs="Times New Roman"/>
        </w:rPr>
        <w:t>, 1135-1198.</w:t>
      </w:r>
    </w:p>
    <w:p w14:paraId="2D6BE858" w14:textId="77777777" w:rsidR="00A620E3" w:rsidRPr="001361D1" w:rsidRDefault="009A71CA" w:rsidP="00E27972">
      <w:pPr>
        <w:spacing w:line="360" w:lineRule="auto"/>
        <w:ind w:left="720" w:hanging="720"/>
        <w:rPr>
          <w:rFonts w:ascii="Times New Roman" w:hAnsi="Times New Roman" w:cs="Times New Roman"/>
        </w:rPr>
      </w:pPr>
      <w:r w:rsidRPr="001361D1">
        <w:rPr>
          <w:rFonts w:ascii="Times New Roman" w:hAnsi="Times New Roman" w:cs="Times New Roman"/>
        </w:rPr>
        <w:lastRenderedPageBreak/>
        <w:t>Ruggeri, K., Alí, S., Berge, M. L., Bertoldo, G., Bjørndal, L. D., Cortijos-Bernabeu, A.,&amp; Folke, T. (2020). Replicating patterns of prospect theory for decision under risk. </w:t>
      </w:r>
      <w:r w:rsidRPr="001361D1">
        <w:rPr>
          <w:rFonts w:ascii="Times New Roman" w:hAnsi="Times New Roman" w:cs="Times New Roman"/>
          <w:i/>
          <w:iCs/>
        </w:rPr>
        <w:t>Nature human behaviour</w:t>
      </w:r>
      <w:r w:rsidRPr="001361D1">
        <w:rPr>
          <w:rFonts w:ascii="Times New Roman" w:hAnsi="Times New Roman" w:cs="Times New Roman"/>
        </w:rPr>
        <w:t>, </w:t>
      </w:r>
      <w:r w:rsidRPr="001361D1">
        <w:rPr>
          <w:rFonts w:ascii="Times New Roman" w:hAnsi="Times New Roman" w:cs="Times New Roman"/>
          <w:i/>
          <w:iCs/>
        </w:rPr>
        <w:t>4</w:t>
      </w:r>
      <w:r w:rsidRPr="001361D1">
        <w:rPr>
          <w:rFonts w:ascii="Times New Roman" w:hAnsi="Times New Roman" w:cs="Times New Roman"/>
        </w:rPr>
        <w:t>(6), 622-633.</w:t>
      </w:r>
    </w:p>
    <w:p w14:paraId="1FBD5209" w14:textId="77777777" w:rsidR="00A620E3" w:rsidRDefault="009A71CA" w:rsidP="00A620E3">
      <w:pPr>
        <w:spacing w:line="360" w:lineRule="auto"/>
        <w:ind w:left="720" w:hanging="720"/>
        <w:rPr>
          <w:rFonts w:ascii="Times New Roman" w:hAnsi="Times New Roman" w:cs="Times New Roman"/>
        </w:rPr>
      </w:pPr>
      <w:r w:rsidRPr="00275383">
        <w:rPr>
          <w:rFonts w:ascii="Times New Roman" w:hAnsi="Times New Roman" w:cs="Times New Roman"/>
        </w:rPr>
        <w:t>Ugbaka</w:t>
      </w:r>
      <w:r>
        <w:rPr>
          <w:rFonts w:ascii="Times New Roman" w:hAnsi="Times New Roman" w:cs="Times New Roman"/>
        </w:rPr>
        <w:t xml:space="preserve">,M.A  </w:t>
      </w:r>
      <w:r w:rsidRPr="00503F6C">
        <w:rPr>
          <w:rFonts w:ascii="Times New Roman" w:hAnsi="Times New Roman" w:cs="Times New Roman"/>
        </w:rPr>
        <w:t>(2025).</w:t>
      </w:r>
      <w:r w:rsidRPr="00275383">
        <w:rPr>
          <w:rFonts w:ascii="Times New Roman" w:hAnsi="Times New Roman" w:cs="Times New Roman"/>
          <w:i/>
          <w:iCs/>
        </w:rPr>
        <w:t xml:space="preserve"> Advanced Research in Environment, Agriculture and Physical Sciences</w:t>
      </w:r>
      <w:r>
        <w:rPr>
          <w:rFonts w:ascii="Times New Roman" w:hAnsi="Times New Roman" w:cs="Times New Roman"/>
          <w:i/>
          <w:iCs/>
        </w:rPr>
        <w:t>,3(1)</w:t>
      </w:r>
      <w:r w:rsidRPr="00275383">
        <w:rPr>
          <w:rFonts w:ascii="Times New Roman" w:hAnsi="Times New Roman" w:cs="Times New Roman"/>
        </w:rPr>
        <w:t>45-57</w:t>
      </w:r>
    </w:p>
    <w:p w14:paraId="3D00E37C" w14:textId="77777777" w:rsidR="00A620E3" w:rsidRPr="001361D1" w:rsidRDefault="009A71CA" w:rsidP="001361D1">
      <w:pPr>
        <w:spacing w:line="360" w:lineRule="auto"/>
        <w:ind w:left="720" w:hanging="720"/>
        <w:rPr>
          <w:rFonts w:ascii="Times New Roman" w:hAnsi="Times New Roman" w:cs="Times New Roman"/>
        </w:rPr>
      </w:pPr>
      <w:r w:rsidRPr="001361D1">
        <w:rPr>
          <w:rFonts w:ascii="Times New Roman" w:hAnsi="Times New Roman" w:cs="Times New Roman"/>
        </w:rPr>
        <w:t>Ukhtiyani, K., &amp; Indartono, S. (2020). Impacts of Indonesian economic growth: Remittances migrant workers and FDI. </w:t>
      </w:r>
      <w:r w:rsidRPr="001361D1">
        <w:rPr>
          <w:rFonts w:ascii="Times New Roman" w:hAnsi="Times New Roman" w:cs="Times New Roman"/>
          <w:i/>
          <w:iCs/>
        </w:rPr>
        <w:t>JEJAK: Jurnal Ekonomi dan Kebijakan</w:t>
      </w:r>
      <w:r w:rsidRPr="001361D1">
        <w:rPr>
          <w:rFonts w:ascii="Times New Roman" w:hAnsi="Times New Roman" w:cs="Times New Roman"/>
        </w:rPr>
        <w:t>, </w:t>
      </w:r>
      <w:r w:rsidRPr="001361D1">
        <w:rPr>
          <w:rFonts w:ascii="Times New Roman" w:hAnsi="Times New Roman" w:cs="Times New Roman"/>
          <w:i/>
          <w:iCs/>
        </w:rPr>
        <w:t>13</w:t>
      </w:r>
      <w:r w:rsidRPr="001361D1">
        <w:rPr>
          <w:rFonts w:ascii="Times New Roman" w:hAnsi="Times New Roman" w:cs="Times New Roman"/>
        </w:rPr>
        <w:t>(2), 280-291.</w:t>
      </w:r>
    </w:p>
    <w:p w14:paraId="6623D912" w14:textId="77777777" w:rsidR="00A620E3" w:rsidRDefault="009A71CA" w:rsidP="001361D1">
      <w:pPr>
        <w:spacing w:line="360" w:lineRule="auto"/>
        <w:ind w:left="720" w:hanging="720"/>
        <w:rPr>
          <w:rFonts w:ascii="Times New Roman" w:hAnsi="Times New Roman" w:cs="Times New Roman"/>
        </w:rPr>
      </w:pPr>
      <w:r w:rsidRPr="001361D1">
        <w:rPr>
          <w:rFonts w:ascii="Times New Roman" w:hAnsi="Times New Roman" w:cs="Times New Roman"/>
        </w:rPr>
        <w:t>Woodford, M. (2012). Prospect theory as efficient perceptual distortion. </w:t>
      </w:r>
      <w:r w:rsidRPr="001361D1">
        <w:rPr>
          <w:rFonts w:ascii="Times New Roman" w:hAnsi="Times New Roman" w:cs="Times New Roman"/>
          <w:i/>
          <w:iCs/>
        </w:rPr>
        <w:t>American Economic Review</w:t>
      </w:r>
      <w:r w:rsidRPr="001361D1">
        <w:rPr>
          <w:rFonts w:ascii="Times New Roman" w:hAnsi="Times New Roman" w:cs="Times New Roman"/>
        </w:rPr>
        <w:t>, </w:t>
      </w:r>
      <w:r w:rsidRPr="001361D1">
        <w:rPr>
          <w:rFonts w:ascii="Times New Roman" w:hAnsi="Times New Roman" w:cs="Times New Roman"/>
          <w:i/>
          <w:iCs/>
        </w:rPr>
        <w:t>102</w:t>
      </w:r>
      <w:r w:rsidRPr="001361D1">
        <w:rPr>
          <w:rFonts w:ascii="Times New Roman" w:hAnsi="Times New Roman" w:cs="Times New Roman"/>
        </w:rPr>
        <w:t>(3), 41-46.</w:t>
      </w:r>
    </w:p>
    <w:sdt>
      <w:sdtPr>
        <w:id w:val="-572189358"/>
        <w:bibliography/>
      </w:sdtPr>
      <w:sdtEndPr>
        <w:rPr>
          <w:rFonts w:ascii="Times New Roman" w:hAnsi="Times New Roman" w:cs="Times New Roman"/>
        </w:rPr>
      </w:sdtEndPr>
      <w:sdtContent>
        <w:p w14:paraId="084B7D41" w14:textId="77777777" w:rsidR="00A620E3" w:rsidRPr="00A620E3" w:rsidRDefault="009A71CA" w:rsidP="00A620E3">
          <w:pPr>
            <w:pStyle w:val="Bibliography"/>
            <w:spacing w:line="360" w:lineRule="auto"/>
            <w:ind w:left="720" w:hanging="720"/>
            <w:rPr>
              <w:rFonts w:ascii="Times New Roman" w:hAnsi="Times New Roman" w:cs="Times New Roman"/>
              <w:noProof/>
              <w:kern w:val="0"/>
              <w14:ligatures w14:val="none"/>
            </w:rPr>
          </w:pPr>
          <w:r w:rsidRPr="00A620E3">
            <w:rPr>
              <w:rFonts w:ascii="Times New Roman" w:hAnsi="Times New Roman" w:cs="Times New Roman"/>
            </w:rPr>
            <w:fldChar w:fldCharType="begin"/>
          </w:r>
          <w:r w:rsidRPr="00A620E3">
            <w:rPr>
              <w:rFonts w:ascii="Times New Roman" w:hAnsi="Times New Roman" w:cs="Times New Roman"/>
            </w:rPr>
            <w:instrText xml:space="preserve"> BIBLIOGRAPHY </w:instrText>
          </w:r>
          <w:r w:rsidRPr="00A620E3">
            <w:rPr>
              <w:rFonts w:ascii="Times New Roman" w:hAnsi="Times New Roman" w:cs="Times New Roman"/>
            </w:rPr>
            <w:fldChar w:fldCharType="separate"/>
          </w:r>
          <w:r w:rsidRPr="00A620E3">
            <w:rPr>
              <w:rFonts w:ascii="Times New Roman" w:hAnsi="Times New Roman" w:cs="Times New Roman"/>
              <w:noProof/>
            </w:rPr>
            <w:t xml:space="preserve">World Bank. (2024). </w:t>
          </w:r>
          <w:r w:rsidRPr="00A620E3">
            <w:rPr>
              <w:rFonts w:ascii="Times New Roman" w:hAnsi="Times New Roman" w:cs="Times New Roman"/>
              <w:i/>
              <w:iCs/>
              <w:noProof/>
            </w:rPr>
            <w:t>Migration and Development Brief 40.</w:t>
          </w:r>
          <w:r w:rsidRPr="00A620E3">
            <w:rPr>
              <w:rFonts w:ascii="Times New Roman" w:hAnsi="Times New Roman" w:cs="Times New Roman"/>
              <w:noProof/>
            </w:rPr>
            <w:t xml:space="preserve"> Washington DC: World Bank.</w:t>
          </w:r>
        </w:p>
        <w:p w14:paraId="5310E7CD" w14:textId="77777777" w:rsidR="00A620E3" w:rsidRDefault="009A71CA" w:rsidP="00A620E3">
          <w:pPr>
            <w:spacing w:line="360" w:lineRule="auto"/>
            <w:ind w:left="720" w:hanging="720"/>
            <w:rPr>
              <w:rFonts w:ascii="Times New Roman" w:hAnsi="Times New Roman" w:cs="Times New Roman"/>
            </w:rPr>
          </w:pPr>
          <w:r w:rsidRPr="00A620E3">
            <w:rPr>
              <w:rFonts w:ascii="Times New Roman" w:hAnsi="Times New Roman" w:cs="Times New Roman"/>
              <w:b/>
              <w:bCs/>
              <w:noProof/>
            </w:rPr>
            <w:fldChar w:fldCharType="end"/>
          </w:r>
        </w:p>
      </w:sdtContent>
    </w:sdt>
    <w:p w14:paraId="4A997E5C" w14:textId="77777777" w:rsidR="00A620E3" w:rsidRPr="002F1B4A" w:rsidRDefault="009A71CA" w:rsidP="002F1B4A">
      <w:pPr>
        <w:spacing w:line="360" w:lineRule="auto"/>
        <w:ind w:left="720" w:hanging="720"/>
        <w:rPr>
          <w:rFonts w:ascii="Times New Roman" w:hAnsi="Times New Roman" w:cs="Times New Roman"/>
        </w:rPr>
      </w:pPr>
      <w:r w:rsidRPr="002F1B4A">
        <w:rPr>
          <w:rFonts w:ascii="Times New Roman" w:hAnsi="Times New Roman" w:cs="Times New Roman"/>
        </w:rPr>
        <w:t>Yadeta, D. B., &amp; Hunegnaw, F. B. (2022). Effect of international remittance on economic growth: Empirical evidence from Ethiopia. </w:t>
      </w:r>
      <w:r w:rsidRPr="002F1B4A">
        <w:rPr>
          <w:rFonts w:ascii="Times New Roman" w:hAnsi="Times New Roman" w:cs="Times New Roman"/>
          <w:i/>
          <w:iCs/>
        </w:rPr>
        <w:t>Journal of International Migration and Integration</w:t>
      </w:r>
      <w:r w:rsidRPr="002F1B4A">
        <w:rPr>
          <w:rFonts w:ascii="Times New Roman" w:hAnsi="Times New Roman" w:cs="Times New Roman"/>
        </w:rPr>
        <w:t>, </w:t>
      </w:r>
      <w:r w:rsidRPr="002F1B4A">
        <w:rPr>
          <w:rFonts w:ascii="Times New Roman" w:hAnsi="Times New Roman" w:cs="Times New Roman"/>
          <w:i/>
          <w:iCs/>
        </w:rPr>
        <w:t>23</w:t>
      </w:r>
      <w:r w:rsidRPr="002F1B4A">
        <w:rPr>
          <w:rFonts w:ascii="Times New Roman" w:hAnsi="Times New Roman" w:cs="Times New Roman"/>
        </w:rPr>
        <w:t>(2), 383-402.</w:t>
      </w:r>
    </w:p>
    <w:sdt>
      <w:sdtPr>
        <w:id w:val="111145805"/>
        <w:bibliography/>
      </w:sdtPr>
      <w:sdtEndPr>
        <w:rPr>
          <w:rFonts w:ascii="Times New Roman" w:hAnsi="Times New Roman" w:cs="Times New Roman"/>
        </w:rPr>
      </w:sdtEndPr>
      <w:sdtContent>
        <w:p w14:paraId="7D9175EC" w14:textId="77777777" w:rsidR="00A620E3" w:rsidRDefault="00A620E3" w:rsidP="00A620E3">
          <w:pPr>
            <w:pStyle w:val="Bibliography"/>
            <w:spacing w:line="360" w:lineRule="auto"/>
            <w:ind w:left="720" w:hanging="720"/>
          </w:pPr>
        </w:p>
        <w:p w14:paraId="5065CB28" w14:textId="77777777" w:rsidR="00A620E3" w:rsidRPr="00A620E3" w:rsidRDefault="004253E3" w:rsidP="00A620E3">
          <w:pPr>
            <w:spacing w:line="360" w:lineRule="auto"/>
            <w:rPr>
              <w:rFonts w:ascii="Times New Roman" w:hAnsi="Times New Roman" w:cs="Times New Roman"/>
            </w:rPr>
          </w:pPr>
        </w:p>
      </w:sdtContent>
    </w:sdt>
    <w:p w14:paraId="6C2F9113" w14:textId="77777777" w:rsidR="00A620E3" w:rsidRDefault="00A620E3" w:rsidP="0068605B">
      <w:pPr>
        <w:spacing w:line="360" w:lineRule="auto"/>
        <w:ind w:left="720" w:hanging="720"/>
        <w:rPr>
          <w:rFonts w:ascii="Times New Roman" w:hAnsi="Times New Roman" w:cs="Times New Roman"/>
        </w:rPr>
      </w:pPr>
    </w:p>
    <w:p w14:paraId="77DD740B" w14:textId="77777777" w:rsidR="0068605B" w:rsidRPr="00503F6C" w:rsidRDefault="0068605B" w:rsidP="0068605B">
      <w:pPr>
        <w:spacing w:line="360" w:lineRule="auto"/>
        <w:ind w:left="720" w:hanging="720"/>
        <w:rPr>
          <w:rFonts w:ascii="Times New Roman" w:hAnsi="Times New Roman" w:cs="Times New Roman"/>
        </w:rPr>
      </w:pPr>
    </w:p>
    <w:p w14:paraId="05B9CACD" w14:textId="77777777" w:rsidR="0068605B" w:rsidRPr="00503F6C" w:rsidRDefault="0068605B" w:rsidP="0068605B">
      <w:pPr>
        <w:spacing w:line="360" w:lineRule="auto"/>
        <w:ind w:left="720" w:hanging="720"/>
        <w:rPr>
          <w:rFonts w:ascii="Times New Roman" w:hAnsi="Times New Roman" w:cs="Times New Roman"/>
        </w:rPr>
      </w:pPr>
    </w:p>
    <w:p w14:paraId="43A5D73D" w14:textId="77777777" w:rsidR="0068605B" w:rsidRPr="00503F6C" w:rsidRDefault="0068605B" w:rsidP="0068605B">
      <w:pPr>
        <w:spacing w:line="360" w:lineRule="auto"/>
        <w:rPr>
          <w:rFonts w:ascii="Times New Roman" w:hAnsi="Times New Roman" w:cs="Times New Roman"/>
        </w:rPr>
      </w:pPr>
    </w:p>
    <w:p w14:paraId="4C3F24EA" w14:textId="77777777" w:rsidR="0068605B" w:rsidRPr="001361D1" w:rsidRDefault="0068605B" w:rsidP="0068605B">
      <w:pPr>
        <w:spacing w:after="100" w:afterAutospacing="1" w:line="360" w:lineRule="auto"/>
        <w:ind w:left="720" w:hanging="720"/>
        <w:jc w:val="both"/>
        <w:rPr>
          <w:rFonts w:ascii="Times New Roman" w:hAnsi="Times New Roman" w:cs="Times New Roman"/>
          <w:shd w:val="clear" w:color="auto" w:fill="FFFFFF"/>
        </w:rPr>
      </w:pPr>
    </w:p>
    <w:p w14:paraId="2D77F21C" w14:textId="77777777" w:rsidR="001361D1" w:rsidRPr="001361D1" w:rsidRDefault="001361D1" w:rsidP="001361D1">
      <w:pPr>
        <w:spacing w:line="360" w:lineRule="auto"/>
        <w:ind w:left="720" w:hanging="720"/>
        <w:rPr>
          <w:rFonts w:ascii="Times New Roman" w:hAnsi="Times New Roman" w:cs="Times New Roman"/>
        </w:rPr>
      </w:pPr>
    </w:p>
    <w:sectPr w:rsidR="001361D1" w:rsidRPr="001361D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5-08-16T13:42:00Z" w:initials="h">
    <w:p w14:paraId="1D4405CA" w14:textId="24F3633A" w:rsidR="00D52ECF" w:rsidRDefault="00D52ECF">
      <w:pPr>
        <w:pStyle w:val="CommentText"/>
      </w:pPr>
      <w:r>
        <w:rPr>
          <w:rStyle w:val="CommentReference"/>
        </w:rPr>
        <w:annotationRef/>
      </w:r>
      <w:r>
        <w:t>Minimize these to only the importance of remittance as background and statement of the problem</w:t>
      </w:r>
    </w:p>
  </w:comment>
  <w:comment w:id="1" w:author="hp" w:date="2025-08-16T13:42:00Z" w:initials="h">
    <w:p w14:paraId="28326703" w14:textId="4DA499BB" w:rsidR="00D52ECF" w:rsidRDefault="00D52ECF">
      <w:pPr>
        <w:pStyle w:val="CommentText"/>
      </w:pPr>
      <w:r>
        <w:rPr>
          <w:rStyle w:val="CommentReference"/>
        </w:rPr>
        <w:annotationRef/>
      </w:r>
      <w:r>
        <w:t>Write the dates</w:t>
      </w:r>
    </w:p>
  </w:comment>
  <w:comment w:id="2" w:author="hp" w:date="2025-08-16T13:43:00Z" w:initials="h">
    <w:p w14:paraId="3EAA6723" w14:textId="4ADF5100" w:rsidR="00D52ECF" w:rsidRDefault="00D52ECF">
      <w:pPr>
        <w:pStyle w:val="CommentText"/>
      </w:pPr>
      <w:r>
        <w:rPr>
          <w:rStyle w:val="CommentReference"/>
        </w:rPr>
        <w:annotationRef/>
      </w:r>
      <w:r>
        <w:t>Less important here!</w:t>
      </w:r>
    </w:p>
  </w:comment>
  <w:comment w:id="3" w:author="hp" w:date="2025-08-16T13:44:00Z" w:initials="h">
    <w:p w14:paraId="52B48548" w14:textId="2B867BA7" w:rsidR="00D52ECF" w:rsidRDefault="00D52ECF">
      <w:pPr>
        <w:pStyle w:val="CommentText"/>
      </w:pPr>
      <w:r>
        <w:rPr>
          <w:rStyle w:val="CommentReference"/>
        </w:rPr>
        <w:annotationRef/>
      </w:r>
      <w:r>
        <w:t xml:space="preserve">Minimize these in result </w:t>
      </w:r>
      <w:r w:rsidR="009939EE">
        <w:t>discussions</w:t>
      </w:r>
      <w:bookmarkStart w:id="4" w:name="_GoBack"/>
      <w:bookmarkEnd w:id="4"/>
    </w:p>
  </w:comment>
  <w:comment w:id="5" w:author="hp" w:date="2025-08-16T13:46:00Z" w:initials="h">
    <w:p w14:paraId="1A967231" w14:textId="1D1E7337" w:rsidR="00D52ECF" w:rsidRDefault="00D52ECF">
      <w:pPr>
        <w:pStyle w:val="CommentText"/>
      </w:pPr>
      <w:r>
        <w:rPr>
          <w:rStyle w:val="CommentReference"/>
        </w:rPr>
        <w:annotationRef/>
      </w:r>
      <w:r>
        <w:t>Add error correction result (ECM)</w:t>
      </w:r>
    </w:p>
  </w:comment>
  <w:comment w:id="6" w:author="hp" w:date="2025-08-16T13:51:00Z" w:initials="h">
    <w:p w14:paraId="3436BEFA" w14:textId="256A0D10" w:rsidR="00D52ECF" w:rsidRDefault="00D52ECF">
      <w:pPr>
        <w:pStyle w:val="CommentText"/>
      </w:pPr>
      <w:r>
        <w:rPr>
          <w:rStyle w:val="CommentReference"/>
        </w:rPr>
        <w:annotationRef/>
      </w:r>
      <w:r>
        <w:t>Think of beginning with capital inflow</w:t>
      </w:r>
    </w:p>
  </w:comment>
  <w:comment w:id="7" w:author="hp" w:date="2025-08-16T13:53:00Z" w:initials="h">
    <w:p w14:paraId="2102F71D" w14:textId="4291A05D" w:rsidR="00830FD5" w:rsidRDefault="00830FD5">
      <w:pPr>
        <w:pStyle w:val="CommentText"/>
      </w:pPr>
      <w:r>
        <w:rPr>
          <w:rStyle w:val="CommentReference"/>
        </w:rPr>
        <w:annotationRef/>
      </w:r>
      <w:r>
        <w:t>Read and Cite directly Solow Model</w:t>
      </w:r>
    </w:p>
  </w:comment>
  <w:comment w:id="8" w:author="hp" w:date="2025-08-16T13:55:00Z" w:initials="h">
    <w:p w14:paraId="67C1F8D5" w14:textId="04EB84EC" w:rsidR="00830FD5" w:rsidRDefault="00830FD5">
      <w:pPr>
        <w:pStyle w:val="CommentText"/>
      </w:pPr>
      <w:r>
        <w:rPr>
          <w:rStyle w:val="CommentReference"/>
        </w:rPr>
        <w:annotationRef/>
      </w:r>
      <w:r>
        <w:t>Give chance to other authors</w:t>
      </w:r>
    </w:p>
  </w:comment>
  <w:comment w:id="10" w:author="hp" w:date="2025-08-16T13:57:00Z" w:initials="h">
    <w:p w14:paraId="5A5709EE" w14:textId="39015935" w:rsidR="00830FD5" w:rsidRDefault="00830FD5">
      <w:pPr>
        <w:pStyle w:val="CommentText"/>
      </w:pPr>
      <w:r>
        <w:rPr>
          <w:rStyle w:val="CommentReference"/>
        </w:rPr>
        <w:annotationRef/>
      </w:r>
      <w:r>
        <w:t>Such things are less important here.</w:t>
      </w:r>
    </w:p>
  </w:comment>
  <w:comment w:id="11" w:author="hp" w:date="2025-08-16T14:06:00Z" w:initials="h">
    <w:p w14:paraId="37E85CD7" w14:textId="42ACEBBC" w:rsidR="0045352D" w:rsidRDefault="0045352D">
      <w:pPr>
        <w:pStyle w:val="CommentText"/>
      </w:pPr>
      <w:r>
        <w:rPr>
          <w:rStyle w:val="CommentReference"/>
        </w:rPr>
        <w:annotationRef/>
      </w:r>
      <w:r>
        <w:t>Approach</w:t>
      </w:r>
    </w:p>
  </w:comment>
  <w:comment w:id="12" w:author="hp" w:date="2025-08-16T14:09:00Z" w:initials="h">
    <w:p w14:paraId="66F8AEB5" w14:textId="12FDB0E1" w:rsidR="0045352D" w:rsidRDefault="0045352D">
      <w:pPr>
        <w:pStyle w:val="CommentText"/>
      </w:pPr>
      <w:r>
        <w:rPr>
          <w:rStyle w:val="CommentReference"/>
        </w:rPr>
        <w:annotationRef/>
      </w:r>
      <w:r>
        <w:t>The model should begin with the derivation of Solow-Swan model based on your manuscript</w:t>
      </w:r>
    </w:p>
  </w:comment>
  <w:comment w:id="13" w:author="hp" w:date="2025-08-16T14:10:00Z" w:initials="h">
    <w:p w14:paraId="29776628" w14:textId="45D0EAE3" w:rsidR="0045352D" w:rsidRDefault="0045352D">
      <w:pPr>
        <w:pStyle w:val="CommentText"/>
      </w:pPr>
      <w:r>
        <w:rPr>
          <w:rStyle w:val="CommentReference"/>
        </w:rPr>
        <w:annotationRef/>
      </w:r>
      <w:r>
        <w:t>Should be taken and incorporated to the model as TFP and linerized</w:t>
      </w:r>
    </w:p>
  </w:comment>
  <w:comment w:id="14" w:author="hp" w:date="2025-08-16T14:11:00Z" w:initials="h">
    <w:p w14:paraId="7ACFE70B" w14:textId="7E0D9995" w:rsidR="0045352D" w:rsidRDefault="0045352D">
      <w:pPr>
        <w:pStyle w:val="CommentText"/>
      </w:pPr>
      <w:r>
        <w:rPr>
          <w:rStyle w:val="CommentReference"/>
        </w:rPr>
        <w:annotationRef/>
      </w:r>
      <w:r>
        <w:t xml:space="preserve">Must be logarithmic form </w:t>
      </w:r>
    </w:p>
  </w:comment>
  <w:comment w:id="15" w:author="hp" w:date="2025-08-16T14:12:00Z" w:initials="h">
    <w:p w14:paraId="6AC9D95F" w14:textId="3AA5D804" w:rsidR="0045352D" w:rsidRDefault="0045352D">
      <w:pPr>
        <w:pStyle w:val="CommentText"/>
      </w:pPr>
      <w:r>
        <w:rPr>
          <w:rStyle w:val="CommentReference"/>
        </w:rPr>
        <w:annotationRef/>
      </w:r>
      <w:r>
        <w:t>Proxy</w:t>
      </w:r>
    </w:p>
  </w:comment>
  <w:comment w:id="16" w:author="hp" w:date="2025-08-16T14:28:00Z" w:initials="h">
    <w:p w14:paraId="25B1A70D" w14:textId="7A55B2FB" w:rsidR="00196767" w:rsidRDefault="00196767">
      <w:pPr>
        <w:pStyle w:val="CommentText"/>
      </w:pPr>
      <w:r>
        <w:rPr>
          <w:rStyle w:val="CommentReference"/>
        </w:rPr>
        <w:annotationRef/>
      </w:r>
      <w:r>
        <w:t>Add year</w:t>
      </w:r>
    </w:p>
  </w:comment>
  <w:comment w:id="17" w:author="hp" w:date="2025-08-16T14:29:00Z" w:initials="h">
    <w:p w14:paraId="1D6E8A83" w14:textId="44522792" w:rsidR="00196767" w:rsidRDefault="00196767">
      <w:pPr>
        <w:pStyle w:val="CommentText"/>
      </w:pPr>
      <w:r>
        <w:rPr>
          <w:rStyle w:val="CommentReference"/>
        </w:rPr>
        <w:annotationRef/>
      </w:r>
      <w:r>
        <w:t>Add correlation analysis</w:t>
      </w:r>
    </w:p>
  </w:comment>
  <w:comment w:id="18" w:author="hp" w:date="2025-08-16T14:29:00Z" w:initials="h">
    <w:p w14:paraId="1EC4D625" w14:textId="6E44CA0B" w:rsidR="00196767" w:rsidRDefault="00196767">
      <w:pPr>
        <w:pStyle w:val="CommentText"/>
      </w:pPr>
      <w:r>
        <w:rPr>
          <w:rStyle w:val="CommentReference"/>
        </w:rPr>
        <w:annotationRef/>
      </w:r>
      <w:r>
        <w:t>Which types of Unit Root test and why?</w:t>
      </w:r>
    </w:p>
  </w:comment>
  <w:comment w:id="19" w:author="hp" w:date="2025-08-16T14:31:00Z" w:initials="h">
    <w:p w14:paraId="6007ECFF" w14:textId="2896D5C9" w:rsidR="00196767" w:rsidRDefault="00196767">
      <w:pPr>
        <w:pStyle w:val="CommentText"/>
      </w:pPr>
      <w:r>
        <w:rPr>
          <w:rStyle w:val="CommentReference"/>
        </w:rPr>
        <w:annotationRef/>
      </w:r>
      <w:r>
        <w:t>At least categorize as Unit Root test with constant, constant + trend</w:t>
      </w:r>
    </w:p>
  </w:comment>
  <w:comment w:id="20" w:author="hp" w:date="2025-08-16T14:34:00Z" w:initials="h">
    <w:p w14:paraId="3D94519E" w14:textId="2B7E811B" w:rsidR="00196767" w:rsidRDefault="00196767">
      <w:pPr>
        <w:pStyle w:val="CommentText"/>
      </w:pPr>
      <w:r>
        <w:rPr>
          <w:rStyle w:val="CommentReference"/>
        </w:rPr>
        <w:annotationRef/>
      </w:r>
      <w:r>
        <w:t>Use asterisk (*) on the magnitude of coefficient to show significances</w:t>
      </w:r>
    </w:p>
  </w:comment>
  <w:comment w:id="21" w:author="hp" w:date="2025-08-16T14:37:00Z" w:initials="h">
    <w:p w14:paraId="2F2BBAA2" w14:textId="513485E1" w:rsidR="00196767" w:rsidRDefault="00196767">
      <w:pPr>
        <w:pStyle w:val="CommentText"/>
      </w:pPr>
      <w:r>
        <w:rPr>
          <w:rStyle w:val="CommentReference"/>
        </w:rPr>
        <w:annotationRef/>
      </w:r>
      <w:r>
        <w:t>What about model specification test(Ramsey)</w:t>
      </w:r>
    </w:p>
  </w:comment>
  <w:comment w:id="22" w:author="hp" w:date="2025-08-16T14:37:00Z" w:initials="h">
    <w:p w14:paraId="6700EF50" w14:textId="3D09A62D" w:rsidR="00196767" w:rsidRDefault="00196767">
      <w:pPr>
        <w:pStyle w:val="CommentText"/>
      </w:pPr>
      <w:r>
        <w:rPr>
          <w:rStyle w:val="CommentReference"/>
        </w:rPr>
        <w:annotationRef/>
      </w:r>
      <w:r>
        <w:t>Normality test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4405CA" w15:done="0"/>
  <w15:commentEx w15:paraId="28326703" w15:done="0"/>
  <w15:commentEx w15:paraId="3EAA6723" w15:done="0"/>
  <w15:commentEx w15:paraId="52B48548" w15:done="0"/>
  <w15:commentEx w15:paraId="1A967231" w15:done="0"/>
  <w15:commentEx w15:paraId="3436BEFA" w15:done="0"/>
  <w15:commentEx w15:paraId="2102F71D" w15:done="0"/>
  <w15:commentEx w15:paraId="67C1F8D5" w15:done="0"/>
  <w15:commentEx w15:paraId="5A5709EE" w15:done="0"/>
  <w15:commentEx w15:paraId="37E85CD7" w15:done="0"/>
  <w15:commentEx w15:paraId="66F8AEB5" w15:done="0"/>
  <w15:commentEx w15:paraId="29776628" w15:done="0"/>
  <w15:commentEx w15:paraId="7ACFE70B" w15:done="0"/>
  <w15:commentEx w15:paraId="6AC9D95F" w15:done="0"/>
  <w15:commentEx w15:paraId="25B1A70D" w15:done="0"/>
  <w15:commentEx w15:paraId="1D6E8A83" w15:done="0"/>
  <w15:commentEx w15:paraId="1EC4D625" w15:done="0"/>
  <w15:commentEx w15:paraId="6007ECFF" w15:done="0"/>
  <w15:commentEx w15:paraId="3D94519E" w15:done="0"/>
  <w15:commentEx w15:paraId="2F2BBAA2" w15:done="0"/>
  <w15:commentEx w15:paraId="6700EF5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8472C" w14:textId="77777777" w:rsidR="004253E3" w:rsidRDefault="004253E3" w:rsidP="00CC017C">
      <w:pPr>
        <w:spacing w:after="0" w:line="240" w:lineRule="auto"/>
      </w:pPr>
      <w:r>
        <w:separator/>
      </w:r>
    </w:p>
  </w:endnote>
  <w:endnote w:type="continuationSeparator" w:id="0">
    <w:p w14:paraId="47E8B167" w14:textId="77777777" w:rsidR="004253E3" w:rsidRDefault="004253E3" w:rsidP="00CC0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QGJUZ R+ Helvetica Neue LT St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EE89A" w14:textId="77777777" w:rsidR="00D52ECF" w:rsidRDefault="00D52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743833"/>
      <w:docPartObj>
        <w:docPartGallery w:val="Page Numbers (Bottom of Page)"/>
        <w:docPartUnique/>
      </w:docPartObj>
    </w:sdtPr>
    <w:sdtEndPr>
      <w:rPr>
        <w:noProof/>
      </w:rPr>
    </w:sdtEndPr>
    <w:sdtContent>
      <w:p w14:paraId="44DA7AAC" w14:textId="7B46EFCD" w:rsidR="00D52ECF" w:rsidRDefault="00D52ECF">
        <w:pPr>
          <w:pStyle w:val="Footer"/>
          <w:jc w:val="center"/>
        </w:pPr>
        <w:r>
          <w:fldChar w:fldCharType="begin"/>
        </w:r>
        <w:r>
          <w:instrText xml:space="preserve"> PAGE   \* MERGEFORMAT </w:instrText>
        </w:r>
        <w:r>
          <w:fldChar w:fldCharType="separate"/>
        </w:r>
        <w:r w:rsidR="009939EE">
          <w:rPr>
            <w:noProof/>
          </w:rPr>
          <w:t>32</w:t>
        </w:r>
        <w:r>
          <w:rPr>
            <w:noProof/>
          </w:rPr>
          <w:fldChar w:fldCharType="end"/>
        </w:r>
      </w:p>
    </w:sdtContent>
  </w:sdt>
  <w:p w14:paraId="0E8DC734" w14:textId="77777777" w:rsidR="00D52ECF" w:rsidRDefault="00D52E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04069" w14:textId="77777777" w:rsidR="00D52ECF" w:rsidRDefault="00D52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D0BB6" w14:textId="77777777" w:rsidR="004253E3" w:rsidRDefault="004253E3" w:rsidP="00CC017C">
      <w:pPr>
        <w:spacing w:after="0" w:line="240" w:lineRule="auto"/>
      </w:pPr>
      <w:r>
        <w:separator/>
      </w:r>
    </w:p>
  </w:footnote>
  <w:footnote w:type="continuationSeparator" w:id="0">
    <w:p w14:paraId="5F9CB239" w14:textId="77777777" w:rsidR="004253E3" w:rsidRDefault="004253E3" w:rsidP="00CC0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03C81" w14:textId="0BAF5CD3" w:rsidR="00D52ECF" w:rsidRDefault="004253E3">
    <w:pPr>
      <w:pStyle w:val="Header"/>
    </w:pPr>
    <w:r>
      <w:rPr>
        <w:noProof/>
      </w:rPr>
      <w:pict w14:anchorId="59757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81573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B03B7" w14:textId="58D1A831" w:rsidR="00D52ECF" w:rsidRDefault="004253E3">
    <w:pPr>
      <w:pStyle w:val="Header"/>
    </w:pPr>
    <w:r>
      <w:rPr>
        <w:noProof/>
      </w:rPr>
      <w:pict w14:anchorId="655DC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81573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517B7" w14:textId="7AC9FB52" w:rsidR="00D52ECF" w:rsidRDefault="004253E3">
    <w:pPr>
      <w:pStyle w:val="Header"/>
    </w:pPr>
    <w:r>
      <w:rPr>
        <w:noProof/>
      </w:rPr>
      <w:pict w14:anchorId="10648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81573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75B61"/>
    <w:multiLevelType w:val="hybridMultilevel"/>
    <w:tmpl w:val="89B6734A"/>
    <w:lvl w:ilvl="0" w:tplc="5F14E15C">
      <w:start w:val="1"/>
      <w:numFmt w:val="decimal"/>
      <w:lvlText w:val="%1."/>
      <w:lvlJc w:val="left"/>
      <w:pPr>
        <w:ind w:left="720" w:hanging="360"/>
      </w:pPr>
    </w:lvl>
    <w:lvl w:ilvl="1" w:tplc="3C6C82E6" w:tentative="1">
      <w:start w:val="1"/>
      <w:numFmt w:val="lowerLetter"/>
      <w:lvlText w:val="%2."/>
      <w:lvlJc w:val="left"/>
      <w:pPr>
        <w:ind w:left="1440" w:hanging="360"/>
      </w:pPr>
    </w:lvl>
    <w:lvl w:ilvl="2" w:tplc="483EBF8E" w:tentative="1">
      <w:start w:val="1"/>
      <w:numFmt w:val="lowerRoman"/>
      <w:lvlText w:val="%3."/>
      <w:lvlJc w:val="right"/>
      <w:pPr>
        <w:ind w:left="2160" w:hanging="180"/>
      </w:pPr>
    </w:lvl>
    <w:lvl w:ilvl="3" w:tplc="5322D4BC" w:tentative="1">
      <w:start w:val="1"/>
      <w:numFmt w:val="decimal"/>
      <w:lvlText w:val="%4."/>
      <w:lvlJc w:val="left"/>
      <w:pPr>
        <w:ind w:left="2880" w:hanging="360"/>
      </w:pPr>
    </w:lvl>
    <w:lvl w:ilvl="4" w:tplc="B2447D86" w:tentative="1">
      <w:start w:val="1"/>
      <w:numFmt w:val="lowerLetter"/>
      <w:lvlText w:val="%5."/>
      <w:lvlJc w:val="left"/>
      <w:pPr>
        <w:ind w:left="3600" w:hanging="360"/>
      </w:pPr>
    </w:lvl>
    <w:lvl w:ilvl="5" w:tplc="1F4E6274" w:tentative="1">
      <w:start w:val="1"/>
      <w:numFmt w:val="lowerRoman"/>
      <w:lvlText w:val="%6."/>
      <w:lvlJc w:val="right"/>
      <w:pPr>
        <w:ind w:left="4320" w:hanging="180"/>
      </w:pPr>
    </w:lvl>
    <w:lvl w:ilvl="6" w:tplc="5EDECA90" w:tentative="1">
      <w:start w:val="1"/>
      <w:numFmt w:val="decimal"/>
      <w:lvlText w:val="%7."/>
      <w:lvlJc w:val="left"/>
      <w:pPr>
        <w:ind w:left="5040" w:hanging="360"/>
      </w:pPr>
    </w:lvl>
    <w:lvl w:ilvl="7" w:tplc="ABE876D0" w:tentative="1">
      <w:start w:val="1"/>
      <w:numFmt w:val="lowerLetter"/>
      <w:lvlText w:val="%8."/>
      <w:lvlJc w:val="left"/>
      <w:pPr>
        <w:ind w:left="5760" w:hanging="360"/>
      </w:pPr>
    </w:lvl>
    <w:lvl w:ilvl="8" w:tplc="6F1C1102" w:tentative="1">
      <w:start w:val="1"/>
      <w:numFmt w:val="lowerRoman"/>
      <w:lvlText w:val="%9."/>
      <w:lvlJc w:val="right"/>
      <w:pPr>
        <w:ind w:left="6480" w:hanging="180"/>
      </w:pPr>
    </w:lvl>
  </w:abstractNum>
  <w:abstractNum w:abstractNumId="1" w15:restartNumberingAfterBreak="0">
    <w:nsid w:val="2C894811"/>
    <w:multiLevelType w:val="multilevel"/>
    <w:tmpl w:val="D318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92989"/>
    <w:multiLevelType w:val="multilevel"/>
    <w:tmpl w:val="30A4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83B7F"/>
    <w:multiLevelType w:val="multilevel"/>
    <w:tmpl w:val="5FD6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C0786"/>
    <w:multiLevelType w:val="hybridMultilevel"/>
    <w:tmpl w:val="C47A1EB2"/>
    <w:lvl w:ilvl="0" w:tplc="4C34CE2C">
      <w:start w:val="1"/>
      <w:numFmt w:val="decimal"/>
      <w:lvlText w:val="%1."/>
      <w:lvlJc w:val="left"/>
      <w:pPr>
        <w:ind w:left="720" w:hanging="360"/>
      </w:pPr>
    </w:lvl>
    <w:lvl w:ilvl="1" w:tplc="F738D9F0" w:tentative="1">
      <w:start w:val="1"/>
      <w:numFmt w:val="lowerLetter"/>
      <w:lvlText w:val="%2."/>
      <w:lvlJc w:val="left"/>
      <w:pPr>
        <w:ind w:left="1440" w:hanging="360"/>
      </w:pPr>
    </w:lvl>
    <w:lvl w:ilvl="2" w:tplc="7A708126" w:tentative="1">
      <w:start w:val="1"/>
      <w:numFmt w:val="lowerRoman"/>
      <w:lvlText w:val="%3."/>
      <w:lvlJc w:val="right"/>
      <w:pPr>
        <w:ind w:left="2160" w:hanging="180"/>
      </w:pPr>
    </w:lvl>
    <w:lvl w:ilvl="3" w:tplc="33A0EDC6" w:tentative="1">
      <w:start w:val="1"/>
      <w:numFmt w:val="decimal"/>
      <w:lvlText w:val="%4."/>
      <w:lvlJc w:val="left"/>
      <w:pPr>
        <w:ind w:left="2880" w:hanging="360"/>
      </w:pPr>
    </w:lvl>
    <w:lvl w:ilvl="4" w:tplc="7DD6FF2A" w:tentative="1">
      <w:start w:val="1"/>
      <w:numFmt w:val="lowerLetter"/>
      <w:lvlText w:val="%5."/>
      <w:lvlJc w:val="left"/>
      <w:pPr>
        <w:ind w:left="3600" w:hanging="360"/>
      </w:pPr>
    </w:lvl>
    <w:lvl w:ilvl="5" w:tplc="8EB667EE" w:tentative="1">
      <w:start w:val="1"/>
      <w:numFmt w:val="lowerRoman"/>
      <w:lvlText w:val="%6."/>
      <w:lvlJc w:val="right"/>
      <w:pPr>
        <w:ind w:left="4320" w:hanging="180"/>
      </w:pPr>
    </w:lvl>
    <w:lvl w:ilvl="6" w:tplc="B20E3F32" w:tentative="1">
      <w:start w:val="1"/>
      <w:numFmt w:val="decimal"/>
      <w:lvlText w:val="%7."/>
      <w:lvlJc w:val="left"/>
      <w:pPr>
        <w:ind w:left="5040" w:hanging="360"/>
      </w:pPr>
    </w:lvl>
    <w:lvl w:ilvl="7" w:tplc="D6F65A7A" w:tentative="1">
      <w:start w:val="1"/>
      <w:numFmt w:val="lowerLetter"/>
      <w:lvlText w:val="%8."/>
      <w:lvlJc w:val="left"/>
      <w:pPr>
        <w:ind w:left="5760" w:hanging="360"/>
      </w:pPr>
    </w:lvl>
    <w:lvl w:ilvl="8" w:tplc="4C7E1012" w:tentative="1">
      <w:start w:val="1"/>
      <w:numFmt w:val="lowerRoman"/>
      <w:lvlText w:val="%9."/>
      <w:lvlJc w:val="right"/>
      <w:pPr>
        <w:ind w:left="6480" w:hanging="180"/>
      </w:pPr>
    </w:lvl>
  </w:abstractNum>
  <w:abstractNum w:abstractNumId="5" w15:restartNumberingAfterBreak="0">
    <w:nsid w:val="409B4605"/>
    <w:multiLevelType w:val="hybridMultilevel"/>
    <w:tmpl w:val="CDAA957C"/>
    <w:lvl w:ilvl="0" w:tplc="D12058EE">
      <w:start w:val="1"/>
      <w:numFmt w:val="decimal"/>
      <w:lvlText w:val="%1."/>
      <w:lvlJc w:val="left"/>
      <w:pPr>
        <w:ind w:left="1080" w:hanging="360"/>
      </w:pPr>
    </w:lvl>
    <w:lvl w:ilvl="1" w:tplc="36D8673E" w:tentative="1">
      <w:start w:val="1"/>
      <w:numFmt w:val="lowerLetter"/>
      <w:lvlText w:val="%2."/>
      <w:lvlJc w:val="left"/>
      <w:pPr>
        <w:ind w:left="1800" w:hanging="360"/>
      </w:pPr>
    </w:lvl>
    <w:lvl w:ilvl="2" w:tplc="1AEA06DE" w:tentative="1">
      <w:start w:val="1"/>
      <w:numFmt w:val="lowerRoman"/>
      <w:lvlText w:val="%3."/>
      <w:lvlJc w:val="right"/>
      <w:pPr>
        <w:ind w:left="2520" w:hanging="180"/>
      </w:pPr>
    </w:lvl>
    <w:lvl w:ilvl="3" w:tplc="DBAE4C34" w:tentative="1">
      <w:start w:val="1"/>
      <w:numFmt w:val="decimal"/>
      <w:lvlText w:val="%4."/>
      <w:lvlJc w:val="left"/>
      <w:pPr>
        <w:ind w:left="3240" w:hanging="360"/>
      </w:pPr>
    </w:lvl>
    <w:lvl w:ilvl="4" w:tplc="FC4A59E0" w:tentative="1">
      <w:start w:val="1"/>
      <w:numFmt w:val="lowerLetter"/>
      <w:lvlText w:val="%5."/>
      <w:lvlJc w:val="left"/>
      <w:pPr>
        <w:ind w:left="3960" w:hanging="360"/>
      </w:pPr>
    </w:lvl>
    <w:lvl w:ilvl="5" w:tplc="44909A7C" w:tentative="1">
      <w:start w:val="1"/>
      <w:numFmt w:val="lowerRoman"/>
      <w:lvlText w:val="%6."/>
      <w:lvlJc w:val="right"/>
      <w:pPr>
        <w:ind w:left="4680" w:hanging="180"/>
      </w:pPr>
    </w:lvl>
    <w:lvl w:ilvl="6" w:tplc="0226B00E" w:tentative="1">
      <w:start w:val="1"/>
      <w:numFmt w:val="decimal"/>
      <w:lvlText w:val="%7."/>
      <w:lvlJc w:val="left"/>
      <w:pPr>
        <w:ind w:left="5400" w:hanging="360"/>
      </w:pPr>
    </w:lvl>
    <w:lvl w:ilvl="7" w:tplc="900823C6" w:tentative="1">
      <w:start w:val="1"/>
      <w:numFmt w:val="lowerLetter"/>
      <w:lvlText w:val="%8."/>
      <w:lvlJc w:val="left"/>
      <w:pPr>
        <w:ind w:left="6120" w:hanging="360"/>
      </w:pPr>
    </w:lvl>
    <w:lvl w:ilvl="8" w:tplc="A50651A2" w:tentative="1">
      <w:start w:val="1"/>
      <w:numFmt w:val="lowerRoman"/>
      <w:lvlText w:val="%9."/>
      <w:lvlJc w:val="right"/>
      <w:pPr>
        <w:ind w:left="6840" w:hanging="180"/>
      </w:pPr>
    </w:lvl>
  </w:abstractNum>
  <w:abstractNum w:abstractNumId="6" w15:restartNumberingAfterBreak="0">
    <w:nsid w:val="64112729"/>
    <w:multiLevelType w:val="multilevel"/>
    <w:tmpl w:val="16F0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EDF"/>
    <w:rsid w:val="00000192"/>
    <w:rsid w:val="00012FE0"/>
    <w:rsid w:val="000252A5"/>
    <w:rsid w:val="000266E5"/>
    <w:rsid w:val="00026B59"/>
    <w:rsid w:val="000355A3"/>
    <w:rsid w:val="00047ABF"/>
    <w:rsid w:val="000574A6"/>
    <w:rsid w:val="00060BBC"/>
    <w:rsid w:val="00071B33"/>
    <w:rsid w:val="0008625B"/>
    <w:rsid w:val="000909A5"/>
    <w:rsid w:val="00096875"/>
    <w:rsid w:val="000B10CB"/>
    <w:rsid w:val="000C3EF1"/>
    <w:rsid w:val="000C3FD0"/>
    <w:rsid w:val="000E34AC"/>
    <w:rsid w:val="000E4802"/>
    <w:rsid w:val="000F13CE"/>
    <w:rsid w:val="00111A9F"/>
    <w:rsid w:val="0011374E"/>
    <w:rsid w:val="00115021"/>
    <w:rsid w:val="0012563C"/>
    <w:rsid w:val="00126B46"/>
    <w:rsid w:val="0012749F"/>
    <w:rsid w:val="00127EDA"/>
    <w:rsid w:val="001361D1"/>
    <w:rsid w:val="00143F2C"/>
    <w:rsid w:val="0014799C"/>
    <w:rsid w:val="0019390C"/>
    <w:rsid w:val="00196767"/>
    <w:rsid w:val="00196EF7"/>
    <w:rsid w:val="001A4769"/>
    <w:rsid w:val="001A4C4E"/>
    <w:rsid w:val="001A7AA8"/>
    <w:rsid w:val="001B17CD"/>
    <w:rsid w:val="001C2C3A"/>
    <w:rsid w:val="001C558D"/>
    <w:rsid w:val="001D5C8E"/>
    <w:rsid w:val="001E08D3"/>
    <w:rsid w:val="001E0EA3"/>
    <w:rsid w:val="001E2DCE"/>
    <w:rsid w:val="001F3AC0"/>
    <w:rsid w:val="002042A1"/>
    <w:rsid w:val="00246676"/>
    <w:rsid w:val="0025634F"/>
    <w:rsid w:val="002574B8"/>
    <w:rsid w:val="00257BA8"/>
    <w:rsid w:val="00263A76"/>
    <w:rsid w:val="002650D2"/>
    <w:rsid w:val="00267D97"/>
    <w:rsid w:val="00270A23"/>
    <w:rsid w:val="00275383"/>
    <w:rsid w:val="002808BF"/>
    <w:rsid w:val="002878A3"/>
    <w:rsid w:val="002962EB"/>
    <w:rsid w:val="002A1C74"/>
    <w:rsid w:val="002A6932"/>
    <w:rsid w:val="002C0CB8"/>
    <w:rsid w:val="002E2CDF"/>
    <w:rsid w:val="002E6C6F"/>
    <w:rsid w:val="002F1B4A"/>
    <w:rsid w:val="002F28A3"/>
    <w:rsid w:val="00312D18"/>
    <w:rsid w:val="00321F63"/>
    <w:rsid w:val="0034209B"/>
    <w:rsid w:val="003546E9"/>
    <w:rsid w:val="0035775E"/>
    <w:rsid w:val="00363F13"/>
    <w:rsid w:val="00367EFC"/>
    <w:rsid w:val="003706D2"/>
    <w:rsid w:val="00371538"/>
    <w:rsid w:val="003838E3"/>
    <w:rsid w:val="00397AB1"/>
    <w:rsid w:val="003A1EFE"/>
    <w:rsid w:val="003C2702"/>
    <w:rsid w:val="003D170E"/>
    <w:rsid w:val="003D4DA2"/>
    <w:rsid w:val="003E3E63"/>
    <w:rsid w:val="003F4B1F"/>
    <w:rsid w:val="003F4D60"/>
    <w:rsid w:val="003F640F"/>
    <w:rsid w:val="003F744F"/>
    <w:rsid w:val="003F7B0C"/>
    <w:rsid w:val="00404299"/>
    <w:rsid w:val="00420F87"/>
    <w:rsid w:val="004253E3"/>
    <w:rsid w:val="00427A60"/>
    <w:rsid w:val="00435173"/>
    <w:rsid w:val="004366A2"/>
    <w:rsid w:val="0044515C"/>
    <w:rsid w:val="004512CE"/>
    <w:rsid w:val="00452938"/>
    <w:rsid w:val="0045352D"/>
    <w:rsid w:val="00454636"/>
    <w:rsid w:val="00460A8A"/>
    <w:rsid w:val="00481754"/>
    <w:rsid w:val="00490566"/>
    <w:rsid w:val="00494D08"/>
    <w:rsid w:val="00495144"/>
    <w:rsid w:val="004B1BBA"/>
    <w:rsid w:val="004D3443"/>
    <w:rsid w:val="004F29CE"/>
    <w:rsid w:val="004F71A7"/>
    <w:rsid w:val="00503F6C"/>
    <w:rsid w:val="00504845"/>
    <w:rsid w:val="00510285"/>
    <w:rsid w:val="005158F3"/>
    <w:rsid w:val="00521FD1"/>
    <w:rsid w:val="00533120"/>
    <w:rsid w:val="005565E7"/>
    <w:rsid w:val="00556E03"/>
    <w:rsid w:val="00561146"/>
    <w:rsid w:val="00566455"/>
    <w:rsid w:val="005705B5"/>
    <w:rsid w:val="0057244D"/>
    <w:rsid w:val="00574AA2"/>
    <w:rsid w:val="0059205A"/>
    <w:rsid w:val="00596DBC"/>
    <w:rsid w:val="005A3A73"/>
    <w:rsid w:val="005B6709"/>
    <w:rsid w:val="005C5EE1"/>
    <w:rsid w:val="005D2B7A"/>
    <w:rsid w:val="005E2702"/>
    <w:rsid w:val="005E36A8"/>
    <w:rsid w:val="006012E0"/>
    <w:rsid w:val="00602ABA"/>
    <w:rsid w:val="006174D6"/>
    <w:rsid w:val="00622E72"/>
    <w:rsid w:val="0063419B"/>
    <w:rsid w:val="00637870"/>
    <w:rsid w:val="00640A75"/>
    <w:rsid w:val="00656AFB"/>
    <w:rsid w:val="0066269D"/>
    <w:rsid w:val="0067654D"/>
    <w:rsid w:val="0068111D"/>
    <w:rsid w:val="006817F5"/>
    <w:rsid w:val="00682B0D"/>
    <w:rsid w:val="00683676"/>
    <w:rsid w:val="00684031"/>
    <w:rsid w:val="00684F7F"/>
    <w:rsid w:val="0068605B"/>
    <w:rsid w:val="006A140C"/>
    <w:rsid w:val="006A185D"/>
    <w:rsid w:val="006A2337"/>
    <w:rsid w:val="006A435B"/>
    <w:rsid w:val="006B428A"/>
    <w:rsid w:val="006B51F9"/>
    <w:rsid w:val="006C5C77"/>
    <w:rsid w:val="006D3996"/>
    <w:rsid w:val="006E047F"/>
    <w:rsid w:val="006F1A43"/>
    <w:rsid w:val="006F6976"/>
    <w:rsid w:val="00706B8E"/>
    <w:rsid w:val="00714B74"/>
    <w:rsid w:val="007159F9"/>
    <w:rsid w:val="00715A52"/>
    <w:rsid w:val="0072668D"/>
    <w:rsid w:val="00732EB5"/>
    <w:rsid w:val="007404E6"/>
    <w:rsid w:val="007517BB"/>
    <w:rsid w:val="007577FF"/>
    <w:rsid w:val="00776849"/>
    <w:rsid w:val="00783A3F"/>
    <w:rsid w:val="00784703"/>
    <w:rsid w:val="00784727"/>
    <w:rsid w:val="00786D2C"/>
    <w:rsid w:val="00792B82"/>
    <w:rsid w:val="007A36C3"/>
    <w:rsid w:val="007C3226"/>
    <w:rsid w:val="007D7E3F"/>
    <w:rsid w:val="007E1FA7"/>
    <w:rsid w:val="007E57A3"/>
    <w:rsid w:val="007F111D"/>
    <w:rsid w:val="00805AA7"/>
    <w:rsid w:val="00812100"/>
    <w:rsid w:val="00815E11"/>
    <w:rsid w:val="00830FD5"/>
    <w:rsid w:val="00840DD5"/>
    <w:rsid w:val="00850C0D"/>
    <w:rsid w:val="008510F1"/>
    <w:rsid w:val="008516B0"/>
    <w:rsid w:val="0086092D"/>
    <w:rsid w:val="0086539D"/>
    <w:rsid w:val="008718FE"/>
    <w:rsid w:val="0087778B"/>
    <w:rsid w:val="00885047"/>
    <w:rsid w:val="008863A3"/>
    <w:rsid w:val="008A464C"/>
    <w:rsid w:val="008A46F7"/>
    <w:rsid w:val="008A5310"/>
    <w:rsid w:val="008A6FD7"/>
    <w:rsid w:val="008B3AA2"/>
    <w:rsid w:val="008C05A7"/>
    <w:rsid w:val="008D5ABF"/>
    <w:rsid w:val="008D7DBB"/>
    <w:rsid w:val="008E18CA"/>
    <w:rsid w:val="008E7A6B"/>
    <w:rsid w:val="008F2EB6"/>
    <w:rsid w:val="0090627D"/>
    <w:rsid w:val="00907866"/>
    <w:rsid w:val="009078F2"/>
    <w:rsid w:val="00910AEC"/>
    <w:rsid w:val="00911AA0"/>
    <w:rsid w:val="00915029"/>
    <w:rsid w:val="0092689D"/>
    <w:rsid w:val="009336F9"/>
    <w:rsid w:val="00933C2A"/>
    <w:rsid w:val="00936E04"/>
    <w:rsid w:val="00964E14"/>
    <w:rsid w:val="00982493"/>
    <w:rsid w:val="009939EE"/>
    <w:rsid w:val="00997CC4"/>
    <w:rsid w:val="009A03A7"/>
    <w:rsid w:val="009A2D09"/>
    <w:rsid w:val="009A71CA"/>
    <w:rsid w:val="009B2887"/>
    <w:rsid w:val="009B2B37"/>
    <w:rsid w:val="009B447D"/>
    <w:rsid w:val="009B5828"/>
    <w:rsid w:val="009B5B07"/>
    <w:rsid w:val="009C0E11"/>
    <w:rsid w:val="009C7F2D"/>
    <w:rsid w:val="009D5CDA"/>
    <w:rsid w:val="009E646C"/>
    <w:rsid w:val="009F374A"/>
    <w:rsid w:val="009F394D"/>
    <w:rsid w:val="00A03F02"/>
    <w:rsid w:val="00A079DC"/>
    <w:rsid w:val="00A13145"/>
    <w:rsid w:val="00A13F07"/>
    <w:rsid w:val="00A14661"/>
    <w:rsid w:val="00A15522"/>
    <w:rsid w:val="00A161A6"/>
    <w:rsid w:val="00A172F0"/>
    <w:rsid w:val="00A1778A"/>
    <w:rsid w:val="00A3247B"/>
    <w:rsid w:val="00A37CDD"/>
    <w:rsid w:val="00A426E9"/>
    <w:rsid w:val="00A518F4"/>
    <w:rsid w:val="00A54B5D"/>
    <w:rsid w:val="00A620E3"/>
    <w:rsid w:val="00A63E1F"/>
    <w:rsid w:val="00A67EF6"/>
    <w:rsid w:val="00A711D5"/>
    <w:rsid w:val="00A71480"/>
    <w:rsid w:val="00A75454"/>
    <w:rsid w:val="00A75F11"/>
    <w:rsid w:val="00A854BA"/>
    <w:rsid w:val="00A90DA9"/>
    <w:rsid w:val="00A9209D"/>
    <w:rsid w:val="00A97A63"/>
    <w:rsid w:val="00AA036A"/>
    <w:rsid w:val="00AB06D1"/>
    <w:rsid w:val="00AB494C"/>
    <w:rsid w:val="00AC1E42"/>
    <w:rsid w:val="00AC29C6"/>
    <w:rsid w:val="00AC41F7"/>
    <w:rsid w:val="00AC6260"/>
    <w:rsid w:val="00AD0FA1"/>
    <w:rsid w:val="00AD58E1"/>
    <w:rsid w:val="00AE49B6"/>
    <w:rsid w:val="00AF3440"/>
    <w:rsid w:val="00AF76EA"/>
    <w:rsid w:val="00B005B5"/>
    <w:rsid w:val="00B04E75"/>
    <w:rsid w:val="00B06EA9"/>
    <w:rsid w:val="00B122D5"/>
    <w:rsid w:val="00B227F9"/>
    <w:rsid w:val="00B37EBF"/>
    <w:rsid w:val="00B6412D"/>
    <w:rsid w:val="00B7077B"/>
    <w:rsid w:val="00B852C6"/>
    <w:rsid w:val="00B93364"/>
    <w:rsid w:val="00BB54F4"/>
    <w:rsid w:val="00BB5A2C"/>
    <w:rsid w:val="00BB6628"/>
    <w:rsid w:val="00BC3360"/>
    <w:rsid w:val="00BD5E48"/>
    <w:rsid w:val="00BE31ED"/>
    <w:rsid w:val="00BE3FFC"/>
    <w:rsid w:val="00BE4D01"/>
    <w:rsid w:val="00BF0416"/>
    <w:rsid w:val="00C0470D"/>
    <w:rsid w:val="00C10FD9"/>
    <w:rsid w:val="00C221B5"/>
    <w:rsid w:val="00C31716"/>
    <w:rsid w:val="00C31D0B"/>
    <w:rsid w:val="00C34A98"/>
    <w:rsid w:val="00C37433"/>
    <w:rsid w:val="00C572C2"/>
    <w:rsid w:val="00C62151"/>
    <w:rsid w:val="00C62C6C"/>
    <w:rsid w:val="00C702B6"/>
    <w:rsid w:val="00C779A4"/>
    <w:rsid w:val="00C86D42"/>
    <w:rsid w:val="00C87039"/>
    <w:rsid w:val="00C87E93"/>
    <w:rsid w:val="00C91C24"/>
    <w:rsid w:val="00C958EC"/>
    <w:rsid w:val="00C979BC"/>
    <w:rsid w:val="00CA05CD"/>
    <w:rsid w:val="00CA5DDC"/>
    <w:rsid w:val="00CB00C1"/>
    <w:rsid w:val="00CC017C"/>
    <w:rsid w:val="00CC4DB5"/>
    <w:rsid w:val="00CC523C"/>
    <w:rsid w:val="00CC54F3"/>
    <w:rsid w:val="00CC60D1"/>
    <w:rsid w:val="00CC7B5C"/>
    <w:rsid w:val="00CD410F"/>
    <w:rsid w:val="00CE07B2"/>
    <w:rsid w:val="00CE354D"/>
    <w:rsid w:val="00CE3692"/>
    <w:rsid w:val="00CF0BED"/>
    <w:rsid w:val="00CF6A5D"/>
    <w:rsid w:val="00D0342C"/>
    <w:rsid w:val="00D06B90"/>
    <w:rsid w:val="00D10321"/>
    <w:rsid w:val="00D13032"/>
    <w:rsid w:val="00D232AC"/>
    <w:rsid w:val="00D23AE8"/>
    <w:rsid w:val="00D36BCC"/>
    <w:rsid w:val="00D41F9A"/>
    <w:rsid w:val="00D52ECF"/>
    <w:rsid w:val="00D5304C"/>
    <w:rsid w:val="00D621A4"/>
    <w:rsid w:val="00D75F28"/>
    <w:rsid w:val="00D771A5"/>
    <w:rsid w:val="00D83F9F"/>
    <w:rsid w:val="00D857CE"/>
    <w:rsid w:val="00D951E6"/>
    <w:rsid w:val="00DA236E"/>
    <w:rsid w:val="00DA4C5D"/>
    <w:rsid w:val="00DB423E"/>
    <w:rsid w:val="00DC13CA"/>
    <w:rsid w:val="00DD1F97"/>
    <w:rsid w:val="00DD3EB0"/>
    <w:rsid w:val="00DE15D1"/>
    <w:rsid w:val="00DE7105"/>
    <w:rsid w:val="00DF3313"/>
    <w:rsid w:val="00DF4BAF"/>
    <w:rsid w:val="00E06B33"/>
    <w:rsid w:val="00E21EDF"/>
    <w:rsid w:val="00E22C59"/>
    <w:rsid w:val="00E24A6D"/>
    <w:rsid w:val="00E27972"/>
    <w:rsid w:val="00E34AE5"/>
    <w:rsid w:val="00E50EB6"/>
    <w:rsid w:val="00E61862"/>
    <w:rsid w:val="00E64D44"/>
    <w:rsid w:val="00E71B55"/>
    <w:rsid w:val="00E74054"/>
    <w:rsid w:val="00E754C5"/>
    <w:rsid w:val="00E75790"/>
    <w:rsid w:val="00E77FEA"/>
    <w:rsid w:val="00E87BEE"/>
    <w:rsid w:val="00E94768"/>
    <w:rsid w:val="00E97803"/>
    <w:rsid w:val="00EA03F8"/>
    <w:rsid w:val="00EA162A"/>
    <w:rsid w:val="00EC1762"/>
    <w:rsid w:val="00ED291F"/>
    <w:rsid w:val="00ED2E4B"/>
    <w:rsid w:val="00ED34AC"/>
    <w:rsid w:val="00ED4BBE"/>
    <w:rsid w:val="00ED7314"/>
    <w:rsid w:val="00EE03B8"/>
    <w:rsid w:val="00EF0271"/>
    <w:rsid w:val="00EF352D"/>
    <w:rsid w:val="00EF501D"/>
    <w:rsid w:val="00F04870"/>
    <w:rsid w:val="00F078D3"/>
    <w:rsid w:val="00F12193"/>
    <w:rsid w:val="00F371BF"/>
    <w:rsid w:val="00F40D67"/>
    <w:rsid w:val="00F47A96"/>
    <w:rsid w:val="00F50A05"/>
    <w:rsid w:val="00F51E52"/>
    <w:rsid w:val="00F61588"/>
    <w:rsid w:val="00F65465"/>
    <w:rsid w:val="00F65E2C"/>
    <w:rsid w:val="00F66490"/>
    <w:rsid w:val="00F74E45"/>
    <w:rsid w:val="00F82027"/>
    <w:rsid w:val="00FA1FBA"/>
    <w:rsid w:val="00FB4800"/>
    <w:rsid w:val="00FC0A4B"/>
    <w:rsid w:val="00FC71C9"/>
    <w:rsid w:val="00FD43C5"/>
    <w:rsid w:val="00FE5CF2"/>
    <w:rsid w:val="00FE75D6"/>
    <w:rsid w:val="00FF455F"/>
    <w:rsid w:val="00FF4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22B12E"/>
  <w15:docId w15:val="{D1D782F3-F6FD-42DB-BD9F-D61A126B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1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EDF"/>
    <w:rPr>
      <w:rFonts w:eastAsiaTheme="majorEastAsia" w:cstheme="majorBidi"/>
      <w:color w:val="272727" w:themeColor="text1" w:themeTint="D8"/>
    </w:rPr>
  </w:style>
  <w:style w:type="paragraph" w:styleId="Title">
    <w:name w:val="Title"/>
    <w:basedOn w:val="Normal"/>
    <w:next w:val="Normal"/>
    <w:link w:val="TitleChar"/>
    <w:uiPriority w:val="10"/>
    <w:qFormat/>
    <w:rsid w:val="00E21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EDF"/>
    <w:pPr>
      <w:spacing w:before="160"/>
      <w:jc w:val="center"/>
    </w:pPr>
    <w:rPr>
      <w:i/>
      <w:iCs/>
      <w:color w:val="404040" w:themeColor="text1" w:themeTint="BF"/>
    </w:rPr>
  </w:style>
  <w:style w:type="character" w:customStyle="1" w:styleId="QuoteChar">
    <w:name w:val="Quote Char"/>
    <w:basedOn w:val="DefaultParagraphFont"/>
    <w:link w:val="Quote"/>
    <w:uiPriority w:val="29"/>
    <w:rsid w:val="00E21EDF"/>
    <w:rPr>
      <w:i/>
      <w:iCs/>
      <w:color w:val="404040" w:themeColor="text1" w:themeTint="BF"/>
    </w:rPr>
  </w:style>
  <w:style w:type="paragraph" w:styleId="ListParagraph">
    <w:name w:val="List Paragraph"/>
    <w:basedOn w:val="Normal"/>
    <w:uiPriority w:val="34"/>
    <w:qFormat/>
    <w:rsid w:val="00E21EDF"/>
    <w:pPr>
      <w:ind w:left="720"/>
      <w:contextualSpacing/>
    </w:pPr>
  </w:style>
  <w:style w:type="character" w:styleId="IntenseEmphasis">
    <w:name w:val="Intense Emphasis"/>
    <w:basedOn w:val="DefaultParagraphFont"/>
    <w:uiPriority w:val="21"/>
    <w:qFormat/>
    <w:rsid w:val="00E21EDF"/>
    <w:rPr>
      <w:i/>
      <w:iCs/>
      <w:color w:val="0F4761" w:themeColor="accent1" w:themeShade="BF"/>
    </w:rPr>
  </w:style>
  <w:style w:type="paragraph" w:styleId="IntenseQuote">
    <w:name w:val="Intense Quote"/>
    <w:basedOn w:val="Normal"/>
    <w:next w:val="Normal"/>
    <w:link w:val="IntenseQuoteChar"/>
    <w:uiPriority w:val="30"/>
    <w:qFormat/>
    <w:rsid w:val="00E21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EDF"/>
    <w:rPr>
      <w:i/>
      <w:iCs/>
      <w:color w:val="0F4761" w:themeColor="accent1" w:themeShade="BF"/>
    </w:rPr>
  </w:style>
  <w:style w:type="character" w:styleId="IntenseReference">
    <w:name w:val="Intense Reference"/>
    <w:basedOn w:val="DefaultParagraphFont"/>
    <w:uiPriority w:val="32"/>
    <w:qFormat/>
    <w:rsid w:val="00E21EDF"/>
    <w:rPr>
      <w:b/>
      <w:bCs/>
      <w:smallCaps/>
      <w:color w:val="0F4761" w:themeColor="accent1" w:themeShade="BF"/>
      <w:spacing w:val="5"/>
    </w:rPr>
  </w:style>
  <w:style w:type="character" w:styleId="Hyperlink">
    <w:name w:val="Hyperlink"/>
    <w:basedOn w:val="DefaultParagraphFont"/>
    <w:uiPriority w:val="99"/>
    <w:unhideWhenUsed/>
    <w:rsid w:val="006A140C"/>
    <w:rPr>
      <w:color w:val="467886" w:themeColor="hyperlink"/>
      <w:u w:val="single"/>
    </w:rPr>
  </w:style>
  <w:style w:type="character" w:customStyle="1" w:styleId="UnresolvedMention">
    <w:name w:val="Unresolved Mention"/>
    <w:basedOn w:val="DefaultParagraphFont"/>
    <w:uiPriority w:val="99"/>
    <w:semiHidden/>
    <w:unhideWhenUsed/>
    <w:rsid w:val="006A140C"/>
    <w:rPr>
      <w:color w:val="605E5C"/>
      <w:shd w:val="clear" w:color="auto" w:fill="E1DFDD"/>
    </w:rPr>
  </w:style>
  <w:style w:type="paragraph" w:styleId="NormalWeb">
    <w:name w:val="Normal (Web)"/>
    <w:basedOn w:val="Normal"/>
    <w:uiPriority w:val="99"/>
    <w:unhideWhenUsed/>
    <w:rsid w:val="0014799C"/>
    <w:rPr>
      <w:rFonts w:ascii="Times New Roman" w:hAnsi="Times New Roman" w:cs="Times New Roman"/>
    </w:rPr>
  </w:style>
  <w:style w:type="character" w:styleId="Strong">
    <w:name w:val="Strong"/>
    <w:basedOn w:val="DefaultParagraphFont"/>
    <w:uiPriority w:val="22"/>
    <w:qFormat/>
    <w:rsid w:val="00A90DA9"/>
    <w:rPr>
      <w:b/>
      <w:bCs/>
    </w:rPr>
  </w:style>
  <w:style w:type="table" w:styleId="TableGrid">
    <w:name w:val="Table Grid"/>
    <w:basedOn w:val="TableNormal"/>
    <w:uiPriority w:val="59"/>
    <w:rsid w:val="00A90DA9"/>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muted">
    <w:name w:val="text-muted"/>
    <w:basedOn w:val="Normal"/>
    <w:rsid w:val="0078470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lfuvd">
    <w:name w:val="ilfuvd"/>
    <w:basedOn w:val="DefaultParagraphFont"/>
    <w:rsid w:val="009B2B37"/>
  </w:style>
  <w:style w:type="paragraph" w:customStyle="1" w:styleId="Default">
    <w:name w:val="Default"/>
    <w:rsid w:val="009B2B37"/>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PlaceholderText">
    <w:name w:val="Placeholder Text"/>
    <w:basedOn w:val="DefaultParagraphFont"/>
    <w:uiPriority w:val="99"/>
    <w:semiHidden/>
    <w:rsid w:val="00A75F11"/>
    <w:rPr>
      <w:color w:val="666666"/>
    </w:rPr>
  </w:style>
  <w:style w:type="paragraph" w:customStyle="1" w:styleId="Pa29">
    <w:name w:val="Pa29"/>
    <w:basedOn w:val="Default"/>
    <w:next w:val="Default"/>
    <w:uiPriority w:val="99"/>
    <w:rsid w:val="00AC41F7"/>
    <w:pPr>
      <w:spacing w:line="161" w:lineRule="atLeast"/>
    </w:pPr>
    <w:rPr>
      <w:rFonts w:ascii="QGJUZ R+ Helvetica Neue LT Std" w:hAnsi="QGJUZ R+ Helvetica Neue LT Std" w:cstheme="minorBidi"/>
      <w:color w:val="auto"/>
    </w:rPr>
  </w:style>
  <w:style w:type="paragraph" w:styleId="NoSpacing">
    <w:name w:val="No Spacing"/>
    <w:link w:val="NoSpacingChar"/>
    <w:uiPriority w:val="1"/>
    <w:qFormat/>
    <w:rsid w:val="00AC41F7"/>
    <w:pPr>
      <w:spacing w:after="0" w:line="240" w:lineRule="auto"/>
    </w:pPr>
    <w:rPr>
      <w:kern w:val="0"/>
      <w:sz w:val="22"/>
      <w:szCs w:val="22"/>
      <w14:ligatures w14:val="none"/>
    </w:rPr>
  </w:style>
  <w:style w:type="character" w:customStyle="1" w:styleId="NoSpacingChar">
    <w:name w:val="No Spacing Char"/>
    <w:link w:val="NoSpacing"/>
    <w:uiPriority w:val="1"/>
    <w:rsid w:val="00AC41F7"/>
    <w:rPr>
      <w:kern w:val="0"/>
      <w:sz w:val="22"/>
      <w:szCs w:val="22"/>
      <w14:ligatures w14:val="none"/>
    </w:rPr>
  </w:style>
  <w:style w:type="paragraph" w:styleId="Bibliography">
    <w:name w:val="Bibliography"/>
    <w:basedOn w:val="Normal"/>
    <w:next w:val="Normal"/>
    <w:uiPriority w:val="37"/>
    <w:unhideWhenUsed/>
    <w:rsid w:val="00A620E3"/>
  </w:style>
  <w:style w:type="paragraph" w:styleId="Header">
    <w:name w:val="header"/>
    <w:basedOn w:val="Normal"/>
    <w:link w:val="HeaderChar"/>
    <w:uiPriority w:val="99"/>
    <w:unhideWhenUsed/>
    <w:rsid w:val="00CC0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17C"/>
  </w:style>
  <w:style w:type="paragraph" w:styleId="Footer">
    <w:name w:val="footer"/>
    <w:basedOn w:val="Normal"/>
    <w:link w:val="FooterChar"/>
    <w:uiPriority w:val="99"/>
    <w:unhideWhenUsed/>
    <w:rsid w:val="00CC0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17C"/>
  </w:style>
  <w:style w:type="paragraph" w:styleId="BalloonText">
    <w:name w:val="Balloon Text"/>
    <w:basedOn w:val="Normal"/>
    <w:link w:val="BalloonTextChar"/>
    <w:uiPriority w:val="99"/>
    <w:semiHidden/>
    <w:unhideWhenUsed/>
    <w:rsid w:val="00D52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ECF"/>
    <w:rPr>
      <w:rFonts w:ascii="Tahoma" w:hAnsi="Tahoma" w:cs="Tahoma"/>
      <w:sz w:val="16"/>
      <w:szCs w:val="16"/>
    </w:rPr>
  </w:style>
  <w:style w:type="character" w:styleId="CommentReference">
    <w:name w:val="annotation reference"/>
    <w:basedOn w:val="DefaultParagraphFont"/>
    <w:uiPriority w:val="99"/>
    <w:semiHidden/>
    <w:unhideWhenUsed/>
    <w:rsid w:val="00D52ECF"/>
    <w:rPr>
      <w:sz w:val="16"/>
      <w:szCs w:val="16"/>
    </w:rPr>
  </w:style>
  <w:style w:type="paragraph" w:styleId="CommentText">
    <w:name w:val="annotation text"/>
    <w:basedOn w:val="Normal"/>
    <w:link w:val="CommentTextChar"/>
    <w:uiPriority w:val="99"/>
    <w:semiHidden/>
    <w:unhideWhenUsed/>
    <w:rsid w:val="00D52ECF"/>
    <w:pPr>
      <w:spacing w:line="240" w:lineRule="auto"/>
    </w:pPr>
    <w:rPr>
      <w:sz w:val="20"/>
      <w:szCs w:val="20"/>
    </w:rPr>
  </w:style>
  <w:style w:type="character" w:customStyle="1" w:styleId="CommentTextChar">
    <w:name w:val="Comment Text Char"/>
    <w:basedOn w:val="DefaultParagraphFont"/>
    <w:link w:val="CommentText"/>
    <w:uiPriority w:val="99"/>
    <w:semiHidden/>
    <w:rsid w:val="00D52ECF"/>
    <w:rPr>
      <w:sz w:val="20"/>
      <w:szCs w:val="20"/>
    </w:rPr>
  </w:style>
  <w:style w:type="paragraph" w:styleId="CommentSubject">
    <w:name w:val="annotation subject"/>
    <w:basedOn w:val="CommentText"/>
    <w:next w:val="CommentText"/>
    <w:link w:val="CommentSubjectChar"/>
    <w:uiPriority w:val="99"/>
    <w:semiHidden/>
    <w:unhideWhenUsed/>
    <w:rsid w:val="00D52ECF"/>
    <w:rPr>
      <w:b/>
      <w:bCs/>
    </w:rPr>
  </w:style>
  <w:style w:type="character" w:customStyle="1" w:styleId="CommentSubjectChar">
    <w:name w:val="Comment Subject Char"/>
    <w:basedOn w:val="CommentTextChar"/>
    <w:link w:val="CommentSubject"/>
    <w:uiPriority w:val="99"/>
    <w:semiHidden/>
    <w:rsid w:val="00D52E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909919">
      <w:bodyDiv w:val="1"/>
      <w:marLeft w:val="0"/>
      <w:marRight w:val="0"/>
      <w:marTop w:val="0"/>
      <w:marBottom w:val="0"/>
      <w:divBdr>
        <w:top w:val="none" w:sz="0" w:space="0" w:color="auto"/>
        <w:left w:val="none" w:sz="0" w:space="0" w:color="auto"/>
        <w:bottom w:val="none" w:sz="0" w:space="0" w:color="auto"/>
        <w:right w:val="none" w:sz="0" w:space="0" w:color="auto"/>
      </w:divBdr>
    </w:div>
    <w:div w:id="500782489">
      <w:bodyDiv w:val="1"/>
      <w:marLeft w:val="0"/>
      <w:marRight w:val="0"/>
      <w:marTop w:val="0"/>
      <w:marBottom w:val="0"/>
      <w:divBdr>
        <w:top w:val="none" w:sz="0" w:space="0" w:color="auto"/>
        <w:left w:val="none" w:sz="0" w:space="0" w:color="auto"/>
        <w:bottom w:val="none" w:sz="0" w:space="0" w:color="auto"/>
        <w:right w:val="none" w:sz="0" w:space="0" w:color="auto"/>
      </w:divBdr>
    </w:div>
    <w:div w:id="521819390">
      <w:bodyDiv w:val="1"/>
      <w:marLeft w:val="0"/>
      <w:marRight w:val="0"/>
      <w:marTop w:val="0"/>
      <w:marBottom w:val="0"/>
      <w:divBdr>
        <w:top w:val="none" w:sz="0" w:space="0" w:color="auto"/>
        <w:left w:val="none" w:sz="0" w:space="0" w:color="auto"/>
        <w:bottom w:val="none" w:sz="0" w:space="0" w:color="auto"/>
        <w:right w:val="none" w:sz="0" w:space="0" w:color="auto"/>
      </w:divBdr>
    </w:div>
    <w:div w:id="694159255">
      <w:bodyDiv w:val="1"/>
      <w:marLeft w:val="0"/>
      <w:marRight w:val="0"/>
      <w:marTop w:val="0"/>
      <w:marBottom w:val="0"/>
      <w:divBdr>
        <w:top w:val="none" w:sz="0" w:space="0" w:color="auto"/>
        <w:left w:val="none" w:sz="0" w:space="0" w:color="auto"/>
        <w:bottom w:val="none" w:sz="0" w:space="0" w:color="auto"/>
        <w:right w:val="none" w:sz="0" w:space="0" w:color="auto"/>
      </w:divBdr>
    </w:div>
    <w:div w:id="808403623">
      <w:bodyDiv w:val="1"/>
      <w:marLeft w:val="0"/>
      <w:marRight w:val="0"/>
      <w:marTop w:val="0"/>
      <w:marBottom w:val="0"/>
      <w:divBdr>
        <w:top w:val="none" w:sz="0" w:space="0" w:color="auto"/>
        <w:left w:val="none" w:sz="0" w:space="0" w:color="auto"/>
        <w:bottom w:val="none" w:sz="0" w:space="0" w:color="auto"/>
        <w:right w:val="none" w:sz="0" w:space="0" w:color="auto"/>
      </w:divBdr>
    </w:div>
    <w:div w:id="906499898">
      <w:bodyDiv w:val="1"/>
      <w:marLeft w:val="0"/>
      <w:marRight w:val="0"/>
      <w:marTop w:val="0"/>
      <w:marBottom w:val="0"/>
      <w:divBdr>
        <w:top w:val="none" w:sz="0" w:space="0" w:color="auto"/>
        <w:left w:val="none" w:sz="0" w:space="0" w:color="auto"/>
        <w:bottom w:val="none" w:sz="0" w:space="0" w:color="auto"/>
        <w:right w:val="none" w:sz="0" w:space="0" w:color="auto"/>
      </w:divBdr>
    </w:div>
    <w:div w:id="1045526624">
      <w:bodyDiv w:val="1"/>
      <w:marLeft w:val="0"/>
      <w:marRight w:val="0"/>
      <w:marTop w:val="0"/>
      <w:marBottom w:val="0"/>
      <w:divBdr>
        <w:top w:val="none" w:sz="0" w:space="0" w:color="auto"/>
        <w:left w:val="none" w:sz="0" w:space="0" w:color="auto"/>
        <w:bottom w:val="none" w:sz="0" w:space="0" w:color="auto"/>
        <w:right w:val="none" w:sz="0" w:space="0" w:color="auto"/>
      </w:divBdr>
    </w:div>
    <w:div w:id="1406301769">
      <w:bodyDiv w:val="1"/>
      <w:marLeft w:val="0"/>
      <w:marRight w:val="0"/>
      <w:marTop w:val="0"/>
      <w:marBottom w:val="0"/>
      <w:divBdr>
        <w:top w:val="none" w:sz="0" w:space="0" w:color="auto"/>
        <w:left w:val="none" w:sz="0" w:space="0" w:color="auto"/>
        <w:bottom w:val="none" w:sz="0" w:space="0" w:color="auto"/>
        <w:right w:val="none" w:sz="0" w:space="0" w:color="auto"/>
      </w:divBdr>
    </w:div>
    <w:div w:id="1530527952">
      <w:bodyDiv w:val="1"/>
      <w:marLeft w:val="0"/>
      <w:marRight w:val="0"/>
      <w:marTop w:val="0"/>
      <w:marBottom w:val="0"/>
      <w:divBdr>
        <w:top w:val="none" w:sz="0" w:space="0" w:color="auto"/>
        <w:left w:val="none" w:sz="0" w:space="0" w:color="auto"/>
        <w:bottom w:val="none" w:sz="0" w:space="0" w:color="auto"/>
        <w:right w:val="none" w:sz="0" w:space="0" w:color="auto"/>
      </w:divBdr>
    </w:div>
    <w:div w:id="169149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Akanbi.ABUJAINVESTMENT.000\Desktop\investment%20aicl\macro%20economic\Dispora%20data-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Akanbi.ABUJAINVESTMENT.000\Desktop\investment%20aicl\macro%20economic\Dispora%20data-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Remmitance 2014-2023</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numRef>
              <c:f>Sheet3!$E$10:$N$10</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Sheet3!$E$11:$N$11</c:f>
              <c:numCache>
                <c:formatCode>_(* #,##0_);_(* \(#,##0\);_(* "-"??_);_(@_)</c:formatCode>
                <c:ptCount val="10"/>
                <c:pt idx="0">
                  <c:v>20999084800</c:v>
                </c:pt>
                <c:pt idx="1">
                  <c:v>20626046924.0079</c:v>
                </c:pt>
                <c:pt idx="2">
                  <c:v>19697938003.891201</c:v>
                </c:pt>
                <c:pt idx="3">
                  <c:v>22037016831.837799</c:v>
                </c:pt>
                <c:pt idx="4">
                  <c:v>24311022415.606899</c:v>
                </c:pt>
                <c:pt idx="5">
                  <c:v>23809281401.0144</c:v>
                </c:pt>
                <c:pt idx="6">
                  <c:v>17207547305.995499</c:v>
                </c:pt>
                <c:pt idx="7">
                  <c:v>19483402058.910599</c:v>
                </c:pt>
                <c:pt idx="8">
                  <c:v>20127614150.513401</c:v>
                </c:pt>
                <c:pt idx="9">
                  <c:v>19549549365.0159</c:v>
                </c:pt>
              </c:numCache>
            </c:numRef>
          </c:val>
          <c:extLst>
            <c:ext xmlns:c16="http://schemas.microsoft.com/office/drawing/2014/chart" uri="{C3380CC4-5D6E-409C-BE32-E72D297353CC}">
              <c16:uniqueId val="{00000000-00D3-4CEB-BB8A-E98A13E92EB7}"/>
            </c:ext>
          </c:extLst>
        </c:ser>
        <c:dLbls>
          <c:showLegendKey val="0"/>
          <c:showVal val="0"/>
          <c:showCatName val="0"/>
          <c:showSerName val="0"/>
          <c:showPercent val="0"/>
          <c:showBubbleSize val="0"/>
        </c:dLbls>
        <c:gapWidth val="219"/>
        <c:overlap val="-27"/>
        <c:axId val="242397568"/>
        <c:axId val="242399104"/>
      </c:barChart>
      <c:catAx>
        <c:axId val="24239756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399104"/>
        <c:crosses val="autoZero"/>
        <c:auto val="1"/>
        <c:lblAlgn val="ctr"/>
        <c:lblOffset val="100"/>
        <c:noMultiLvlLbl val="0"/>
      </c:catAx>
      <c:valAx>
        <c:axId val="242399104"/>
        <c:scaling>
          <c:orientation val="minMax"/>
        </c:scaling>
        <c:delete val="0"/>
        <c:axPos val="l"/>
        <c:majorGridlines>
          <c:spPr>
            <a:ln w="9525">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397568"/>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Remmitances</a:t>
            </a:r>
            <a:r>
              <a:rPr lang="en-US" baseline="0"/>
              <a:t> vs FDI 2014-2023</a:t>
            </a:r>
            <a:endParaRPr lang="en-US"/>
          </a:p>
        </c:rich>
      </c:tx>
      <c:overlay val="0"/>
      <c:spPr>
        <a:noFill/>
        <a:ln>
          <a:noFill/>
        </a:ln>
        <a:effectLst/>
      </c:spPr>
    </c:title>
    <c:autoTitleDeleted val="0"/>
    <c:plotArea>
      <c:layout/>
      <c:barChart>
        <c:barDir val="col"/>
        <c:grouping val="clustered"/>
        <c:varyColors val="0"/>
        <c:ser>
          <c:idx val="0"/>
          <c:order val="0"/>
          <c:tx>
            <c:strRef>
              <c:f>Sheet4!$C$8</c:f>
              <c:strCache>
                <c:ptCount val="1"/>
                <c:pt idx="0">
                  <c:v>IMM</c:v>
                </c:pt>
              </c:strCache>
            </c:strRef>
          </c:tx>
          <c:spPr>
            <a:solidFill>
              <a:schemeClr val="accent1"/>
            </a:solidFill>
            <a:ln>
              <a:noFill/>
            </a:ln>
            <a:effectLst/>
          </c:spPr>
          <c:invertIfNegative val="0"/>
          <c:cat>
            <c:numRef>
              <c:f>Sheet4!$D$7:$M$7</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Sheet4!$D$8:$M$8</c:f>
              <c:numCache>
                <c:formatCode>_(* #,##0_);_(* \(#,##0\);_(* "-"??_);_(@_)</c:formatCode>
                <c:ptCount val="10"/>
                <c:pt idx="0">
                  <c:v>20999084800</c:v>
                </c:pt>
                <c:pt idx="1">
                  <c:v>20626046924.0079</c:v>
                </c:pt>
                <c:pt idx="2">
                  <c:v>19697938003.891201</c:v>
                </c:pt>
                <c:pt idx="3">
                  <c:v>22037016831.837799</c:v>
                </c:pt>
                <c:pt idx="4">
                  <c:v>24311022415.606899</c:v>
                </c:pt>
                <c:pt idx="5">
                  <c:v>23809281401.0144</c:v>
                </c:pt>
                <c:pt idx="6">
                  <c:v>17207547305.995499</c:v>
                </c:pt>
                <c:pt idx="7">
                  <c:v>19483402058.910599</c:v>
                </c:pt>
                <c:pt idx="8">
                  <c:v>20127614150.513401</c:v>
                </c:pt>
                <c:pt idx="9">
                  <c:v>19549549365.0159</c:v>
                </c:pt>
              </c:numCache>
            </c:numRef>
          </c:val>
          <c:extLst>
            <c:ext xmlns:c16="http://schemas.microsoft.com/office/drawing/2014/chart" uri="{C3380CC4-5D6E-409C-BE32-E72D297353CC}">
              <c16:uniqueId val="{00000000-270F-44AF-BE0A-36503B1ECE12}"/>
            </c:ext>
          </c:extLst>
        </c:ser>
        <c:ser>
          <c:idx val="1"/>
          <c:order val="1"/>
          <c:tx>
            <c:strRef>
              <c:f>Sheet4!$C$9</c:f>
              <c:strCache>
                <c:ptCount val="1"/>
                <c:pt idx="0">
                  <c:v>FDI</c:v>
                </c:pt>
              </c:strCache>
            </c:strRef>
          </c:tx>
          <c:spPr>
            <a:solidFill>
              <a:schemeClr val="accent2"/>
            </a:solidFill>
            <a:ln>
              <a:noFill/>
            </a:ln>
            <a:effectLst/>
          </c:spPr>
          <c:invertIfNegative val="0"/>
          <c:cat>
            <c:numRef>
              <c:f>Sheet4!$D$7:$M$7</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Sheet4!$D$9:$M$9</c:f>
              <c:numCache>
                <c:formatCode>_(* #,##0_);_(* \(#,##0\);_(* "-"??_);_(@_)</c:formatCode>
                <c:ptCount val="10"/>
                <c:pt idx="0">
                  <c:v>4693828631.8958302</c:v>
                </c:pt>
                <c:pt idx="1">
                  <c:v>3064168904.45333</c:v>
                </c:pt>
                <c:pt idx="2">
                  <c:v>3453258407.9847999</c:v>
                </c:pt>
                <c:pt idx="3">
                  <c:v>2412974916.2326398</c:v>
                </c:pt>
                <c:pt idx="4">
                  <c:v>775247400.00302899</c:v>
                </c:pt>
                <c:pt idx="5">
                  <c:v>2305099811.7035799</c:v>
                </c:pt>
                <c:pt idx="6">
                  <c:v>2385277665.91608</c:v>
                </c:pt>
                <c:pt idx="7">
                  <c:v>3313210000</c:v>
                </c:pt>
                <c:pt idx="8">
                  <c:v>-186792428.93092799</c:v>
                </c:pt>
                <c:pt idx="9">
                  <c:v>1872520530.0469501</c:v>
                </c:pt>
              </c:numCache>
            </c:numRef>
          </c:val>
          <c:extLst>
            <c:ext xmlns:c16="http://schemas.microsoft.com/office/drawing/2014/chart" uri="{C3380CC4-5D6E-409C-BE32-E72D297353CC}">
              <c16:uniqueId val="{00000001-270F-44AF-BE0A-36503B1ECE12}"/>
            </c:ext>
          </c:extLst>
        </c:ser>
        <c:dLbls>
          <c:showLegendKey val="0"/>
          <c:showVal val="0"/>
          <c:showCatName val="0"/>
          <c:showSerName val="0"/>
          <c:showPercent val="0"/>
          <c:showBubbleSize val="0"/>
        </c:dLbls>
        <c:gapWidth val="219"/>
        <c:overlap val="-27"/>
        <c:axId val="243318144"/>
        <c:axId val="243324032"/>
      </c:barChart>
      <c:catAx>
        <c:axId val="24331814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3324032"/>
        <c:crosses val="autoZero"/>
        <c:auto val="1"/>
        <c:lblAlgn val="ctr"/>
        <c:lblOffset val="100"/>
        <c:noMultiLvlLbl val="0"/>
      </c:catAx>
      <c:valAx>
        <c:axId val="243324032"/>
        <c:scaling>
          <c:orientation val="minMax"/>
        </c:scaling>
        <c:delete val="0"/>
        <c:axPos val="l"/>
        <c:majorGridlines>
          <c:spPr>
            <a:ln w="9525">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3318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Wor24</b:Tag>
    <b:SourceType>Report</b:SourceType>
    <b:Guid>{EDD3A957-EB88-4A4F-9D84-5DC50869F8C5}</b:Guid>
    <b:Title>Migration and Development Brief 40</b:Title>
    <b:Year>2024</b:Year>
    <b:City>Washington DC</b:City>
    <b:Publisher>World Bank</b:Publisher>
    <b:Author>
      <b:Author>
        <b:Corporate>World Bank</b:Corporate>
      </b:Author>
    </b:Author>
    <b:RefOrder>1</b:RefOrder>
  </b:Source>
</b:Sources>
</file>

<file path=customXml/itemProps1.xml><?xml version="1.0" encoding="utf-8"?>
<ds:datastoreItem xmlns:ds="http://schemas.openxmlformats.org/officeDocument/2006/customXml" ds:itemID="{93899E9B-7EDB-4B81-A4F5-6FDDFC4D7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9234</Words>
  <Characters>52637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Abiodun Akanbi</dc:creator>
  <cp:lastModifiedBy>SDI CPU 1130</cp:lastModifiedBy>
  <cp:revision>3</cp:revision>
  <cp:lastPrinted>2025-05-20T11:48:00Z</cp:lastPrinted>
  <dcterms:created xsi:type="dcterms:W3CDTF">2025-08-16T11:38:00Z</dcterms:created>
  <dcterms:modified xsi:type="dcterms:W3CDTF">2025-08-18T13:02:00Z</dcterms:modified>
</cp:coreProperties>
</file>