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07C2" w14:textId="77777777" w:rsidR="002425A2" w:rsidRPr="002425A2" w:rsidRDefault="002425A2" w:rsidP="002425A2">
      <w:pPr>
        <w:pStyle w:val="Author"/>
        <w:rPr>
          <w:rFonts w:ascii="Arial" w:hAnsi="Arial" w:cs="Arial"/>
          <w:bCs/>
          <w:i/>
          <w:iCs/>
          <w:color w:val="000000" w:themeColor="text1"/>
          <w:kern w:val="28"/>
          <w:sz w:val="32"/>
          <w:szCs w:val="18"/>
          <w:u w:val="single"/>
          <w:lang w:val="en-US"/>
        </w:rPr>
      </w:pPr>
      <w:r w:rsidRPr="002425A2">
        <w:rPr>
          <w:rFonts w:ascii="Arial" w:hAnsi="Arial" w:cs="Arial"/>
          <w:bCs/>
          <w:i/>
          <w:iCs/>
          <w:color w:val="000000" w:themeColor="text1"/>
          <w:kern w:val="28"/>
          <w:sz w:val="32"/>
          <w:szCs w:val="18"/>
          <w:u w:val="single"/>
          <w:lang w:val="en-US"/>
        </w:rPr>
        <w:t>Original Research Article</w:t>
      </w:r>
    </w:p>
    <w:p w14:paraId="6EE7990F" w14:textId="77777777" w:rsidR="002425A2" w:rsidRDefault="002425A2" w:rsidP="001C380F">
      <w:pPr>
        <w:pStyle w:val="Author"/>
        <w:spacing w:line="240" w:lineRule="auto"/>
        <w:rPr>
          <w:rFonts w:ascii="Arial" w:hAnsi="Arial" w:cs="Arial"/>
          <w:bCs/>
          <w:iCs/>
          <w:color w:val="000000" w:themeColor="text1"/>
          <w:kern w:val="28"/>
          <w:sz w:val="36"/>
        </w:rPr>
      </w:pPr>
    </w:p>
    <w:p w14:paraId="614AF0B4" w14:textId="18FC4429" w:rsidR="00163BC4" w:rsidRPr="008F18E9" w:rsidRDefault="00E2289C" w:rsidP="001C380F">
      <w:pPr>
        <w:pStyle w:val="Author"/>
        <w:spacing w:line="240" w:lineRule="auto"/>
        <w:rPr>
          <w:rFonts w:ascii="Arial" w:hAnsi="Arial" w:cs="Arial"/>
          <w:bCs/>
          <w:iCs/>
          <w:color w:val="000000" w:themeColor="text1"/>
          <w:kern w:val="28"/>
          <w:sz w:val="36"/>
        </w:rPr>
      </w:pPr>
      <w:r w:rsidRPr="008F18E9">
        <w:rPr>
          <w:rFonts w:ascii="Arial" w:hAnsi="Arial" w:cs="Arial"/>
          <w:bCs/>
          <w:iCs/>
          <w:color w:val="000000" w:themeColor="text1"/>
          <w:kern w:val="28"/>
          <w:sz w:val="36"/>
        </w:rPr>
        <w:t xml:space="preserve">Quantifying Inter-Annual Seasonal Drift in Tomato </w:t>
      </w:r>
      <w:r w:rsidR="00A15FB3" w:rsidRPr="00A15FB3">
        <w:rPr>
          <w:rFonts w:ascii="Arial" w:hAnsi="Arial" w:cs="Arial"/>
          <w:bCs/>
          <w:iCs/>
          <w:color w:val="FF0000"/>
          <w:kern w:val="28"/>
          <w:sz w:val="36"/>
        </w:rPr>
        <w:t>Price Forecasting</w:t>
      </w:r>
      <w:r w:rsidR="00A15FB3" w:rsidRPr="00A15FB3">
        <w:rPr>
          <w:rFonts w:ascii="Arial" w:hAnsi="Arial" w:cs="Arial"/>
          <w:bCs/>
          <w:iCs/>
          <w:color w:val="FF0000"/>
          <w:kern w:val="28"/>
          <w:sz w:val="36"/>
        </w:rPr>
        <w:t xml:space="preserve"> </w:t>
      </w:r>
      <w:r w:rsidRPr="008F18E9">
        <w:rPr>
          <w:rFonts w:ascii="Arial" w:hAnsi="Arial" w:cs="Arial"/>
          <w:bCs/>
          <w:iCs/>
          <w:color w:val="000000" w:themeColor="text1"/>
          <w:kern w:val="28"/>
          <w:sz w:val="36"/>
        </w:rPr>
        <w:t>Time Warping: Evidence from Kolar Market</w:t>
      </w:r>
    </w:p>
    <w:p w14:paraId="13011C69" w14:textId="77777777" w:rsidR="00A258C3" w:rsidRPr="008F18E9" w:rsidRDefault="00A258C3" w:rsidP="00441B6F">
      <w:pPr>
        <w:pStyle w:val="Author"/>
        <w:spacing w:line="240" w:lineRule="auto"/>
        <w:jc w:val="both"/>
        <w:rPr>
          <w:rFonts w:ascii="Arial" w:hAnsi="Arial" w:cs="Arial"/>
          <w:color w:val="000000" w:themeColor="text1"/>
          <w:sz w:val="36"/>
        </w:rPr>
      </w:pPr>
    </w:p>
    <w:p w14:paraId="4E179C68" w14:textId="77777777" w:rsidR="002C57D2" w:rsidRPr="008F18E9" w:rsidRDefault="002C57D2" w:rsidP="00441B6F">
      <w:pPr>
        <w:pStyle w:val="Affiliation"/>
        <w:spacing w:after="0" w:line="240" w:lineRule="auto"/>
        <w:jc w:val="both"/>
        <w:rPr>
          <w:rFonts w:ascii="Arial" w:hAnsi="Arial" w:cs="Arial"/>
          <w:color w:val="000000" w:themeColor="text1"/>
        </w:rPr>
      </w:pPr>
    </w:p>
    <w:p w14:paraId="7AD83099" w14:textId="5966915A" w:rsidR="00B01FCD" w:rsidRPr="008F18E9" w:rsidRDefault="0087263C" w:rsidP="00441B6F">
      <w:pPr>
        <w:pStyle w:val="Copyright"/>
        <w:spacing w:after="0" w:line="240" w:lineRule="auto"/>
        <w:jc w:val="both"/>
        <w:rPr>
          <w:rFonts w:ascii="Arial" w:hAnsi="Arial" w:cs="Arial"/>
          <w:color w:val="000000" w:themeColor="text1"/>
        </w:rPr>
        <w:sectPr w:rsidR="00B01FCD" w:rsidRPr="008F18E9" w:rsidSect="00E57E95">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sidRPr="008F18E9">
        <w:rPr>
          <w:rFonts w:ascii="Arial" w:hAnsi="Arial" w:cs="Arial"/>
          <w:noProof/>
          <w:color w:val="000000" w:themeColor="text1"/>
        </w:rPr>
        <mc:AlternateContent>
          <mc:Choice Requires="wps">
            <w:drawing>
              <wp:inline distT="0" distB="0" distL="0" distR="0" wp14:anchorId="4D5DA9F6" wp14:editId="3397961C">
                <wp:extent cx="5303520" cy="635"/>
                <wp:effectExtent l="17145" t="13335" r="13335" b="15240"/>
                <wp:docPr id="1969388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w:pict>
              <v:shapetype w14:anchorId="5C6E45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F18E9">
        <w:rPr>
          <w:rFonts w:ascii="Arial" w:hAnsi="Arial" w:cs="Arial"/>
          <w:color w:val="000000" w:themeColor="text1"/>
        </w:rPr>
        <w:t>.</w:t>
      </w:r>
    </w:p>
    <w:p w14:paraId="52CD5039" w14:textId="393FD177" w:rsidR="00B01FCD" w:rsidRPr="008F18E9" w:rsidRDefault="00B01FCD" w:rsidP="00441B6F">
      <w:pPr>
        <w:pStyle w:val="AbstHead"/>
        <w:spacing w:after="0"/>
        <w:jc w:val="both"/>
        <w:rPr>
          <w:rFonts w:ascii="Arial" w:hAnsi="Arial" w:cs="Arial"/>
          <w:color w:val="000000" w:themeColor="text1"/>
        </w:rPr>
      </w:pPr>
      <w:r w:rsidRPr="008F18E9">
        <w:rPr>
          <w:rFonts w:ascii="Arial" w:hAnsi="Arial" w:cs="Arial"/>
          <w:color w:val="000000" w:themeColor="text1"/>
        </w:rPr>
        <w:t>ABSTRACT</w:t>
      </w:r>
    </w:p>
    <w:p w14:paraId="298B7140" w14:textId="77777777" w:rsidR="00790ADA" w:rsidRPr="008F18E9"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F18E9" w14:paraId="59CB14EC" w14:textId="77777777" w:rsidTr="001E44FE">
        <w:tc>
          <w:tcPr>
            <w:tcW w:w="9576" w:type="dxa"/>
            <w:shd w:val="clear" w:color="auto" w:fill="F2F2F2"/>
          </w:tcPr>
          <w:p w14:paraId="7BA3E668" w14:textId="73C3604A" w:rsidR="00505F06" w:rsidRPr="008F18E9" w:rsidRDefault="00411DE8" w:rsidP="00441B6F">
            <w:pPr>
              <w:pStyle w:val="Body"/>
              <w:spacing w:after="0"/>
              <w:rPr>
                <w:rFonts w:ascii="Arial" w:eastAsia="Calibri" w:hAnsi="Arial" w:cs="Arial"/>
                <w:color w:val="000000" w:themeColor="text1"/>
                <w:szCs w:val="22"/>
              </w:rPr>
            </w:pPr>
            <w:r w:rsidRPr="008F18E9">
              <w:rPr>
                <w:rFonts w:ascii="Arial" w:eastAsia="Calibri" w:hAnsi="Arial" w:cs="Arial"/>
                <w:color w:val="000000" w:themeColor="text1"/>
                <w:szCs w:val="22"/>
              </w:rPr>
              <w:t xml:space="preserve">Tomato prices in Kolar market exhibit high volatility alongside recurring seasonal patterns, but the consistency of these patterns across years remains unclear. This study </w:t>
            </w:r>
            <w:r w:rsidR="004B580A" w:rsidRPr="008F18E9">
              <w:rPr>
                <w:rFonts w:ascii="Arial" w:eastAsia="Calibri" w:hAnsi="Arial" w:cs="Arial"/>
                <w:color w:val="000000" w:themeColor="text1"/>
                <w:szCs w:val="22"/>
              </w:rPr>
              <w:t>analysed</w:t>
            </w:r>
            <w:r w:rsidRPr="008F18E9">
              <w:rPr>
                <w:rFonts w:ascii="Arial" w:eastAsia="Calibri" w:hAnsi="Arial" w:cs="Arial"/>
                <w:color w:val="000000" w:themeColor="text1"/>
                <w:szCs w:val="22"/>
              </w:rPr>
              <w:t xml:space="preserve"> weekly tomato prices and arrivals from 2010–2024 to quantify inter-annual variability using descriptive statistics, seasonal indices, and Dynamic Time Warping (DTW). Descriptive analysis confirmed extreme fluctuations (CV = 77% for prices, 102% for arrivals) with positive skewness and heavy tails, indicating frequent extreme events. Seasonal indices revealed recurring intra-year cycles, but year-to-year alignment varied substantially. DTW analysis for 2021–2024 quantified pattern similarity, showing that 2022–2023 had the highest alignment (DTW distance: 23,258) despite extreme price spikes (max: ₹7,429), whereas 2021–2022 exhibited the weakest alignment (distance: 39,049), reflecting structural shifts in market dynamics. Path length metrics indicated minimal temporal warping in 2022–2023 (71 points) versus extensive alignment in 2021–2022 (83 points). These results demonstrate that while seasonal patterns recur, their temporal consistency is not fixed, highlighting the need for forecasting models that adapt to both magnitude volatility and temporal shifts. The study also illustrates the utility of DTW for agricultural price analysis and the limitations of relying solely on fixed seasonal patterns in volatile commodity markets.</w:t>
            </w:r>
          </w:p>
        </w:tc>
      </w:tr>
    </w:tbl>
    <w:p w14:paraId="5EEE865D" w14:textId="77777777" w:rsidR="00636EB2" w:rsidRPr="008F18E9" w:rsidRDefault="00636EB2" w:rsidP="00441B6F">
      <w:pPr>
        <w:pStyle w:val="Body"/>
        <w:spacing w:after="0"/>
        <w:rPr>
          <w:rFonts w:ascii="Arial" w:hAnsi="Arial" w:cs="Arial"/>
          <w:i/>
          <w:color w:val="000000" w:themeColor="text1"/>
        </w:rPr>
      </w:pPr>
    </w:p>
    <w:p w14:paraId="4BDBF00C" w14:textId="18791F2B" w:rsidR="0024282C" w:rsidRPr="008F18E9" w:rsidRDefault="00A24E7E" w:rsidP="00C37684">
      <w:pPr>
        <w:pStyle w:val="Body"/>
        <w:spacing w:after="0"/>
        <w:rPr>
          <w:rFonts w:ascii="Arial" w:hAnsi="Arial" w:cs="Arial"/>
          <w:i/>
          <w:color w:val="000000" w:themeColor="text1"/>
        </w:rPr>
      </w:pPr>
      <w:r w:rsidRPr="008F18E9">
        <w:rPr>
          <w:rFonts w:ascii="Arial" w:hAnsi="Arial" w:cs="Arial"/>
          <w:i/>
          <w:color w:val="000000" w:themeColor="text1"/>
        </w:rPr>
        <w:t xml:space="preserve">Keywords: </w:t>
      </w:r>
      <w:r w:rsidR="00EC72F6" w:rsidRPr="00EC72F6">
        <w:rPr>
          <w:rFonts w:ascii="Arial" w:hAnsi="Arial" w:cs="Arial"/>
          <w:i/>
          <w:color w:val="000000" w:themeColor="text1"/>
        </w:rPr>
        <w:t xml:space="preserve">Tomato prices, </w:t>
      </w:r>
      <w:r w:rsidR="00F82187">
        <w:rPr>
          <w:rFonts w:ascii="Arial" w:hAnsi="Arial" w:cs="Arial"/>
          <w:i/>
          <w:color w:val="000000" w:themeColor="text1"/>
        </w:rPr>
        <w:t>P</w:t>
      </w:r>
      <w:r w:rsidR="00EC72F6" w:rsidRPr="00EC72F6">
        <w:rPr>
          <w:rFonts w:ascii="Arial" w:hAnsi="Arial" w:cs="Arial"/>
          <w:i/>
          <w:color w:val="000000" w:themeColor="text1"/>
        </w:rPr>
        <w:t>rice volatility, Inter-annual variability, Seasonal index, Dynamic Time Warping</w:t>
      </w:r>
      <w:r w:rsidR="00F82187">
        <w:rPr>
          <w:rFonts w:ascii="Arial" w:hAnsi="Arial" w:cs="Arial"/>
          <w:i/>
          <w:color w:val="000000" w:themeColor="text1"/>
        </w:rPr>
        <w:t xml:space="preserve"> (DTW)</w:t>
      </w:r>
      <w:r w:rsidR="00EC72F6" w:rsidRPr="00EC72F6">
        <w:rPr>
          <w:rFonts w:ascii="Arial" w:hAnsi="Arial" w:cs="Arial"/>
          <w:i/>
          <w:color w:val="000000" w:themeColor="text1"/>
        </w:rPr>
        <w:t>, Pattern similarity, Forecasting accuracy</w:t>
      </w:r>
    </w:p>
    <w:p w14:paraId="4F94C9C2" w14:textId="77777777" w:rsidR="00505F06" w:rsidRPr="008F18E9" w:rsidRDefault="00505F06" w:rsidP="00441B6F">
      <w:pPr>
        <w:pStyle w:val="Body"/>
        <w:spacing w:after="0"/>
        <w:rPr>
          <w:rFonts w:ascii="Arial" w:hAnsi="Arial" w:cs="Arial"/>
          <w:i/>
          <w:color w:val="000000" w:themeColor="text1"/>
        </w:rPr>
      </w:pPr>
    </w:p>
    <w:p w14:paraId="1A0D09AB" w14:textId="20EC4D5E" w:rsidR="007F7B32" w:rsidRPr="008F18E9" w:rsidRDefault="00902823" w:rsidP="00441B6F">
      <w:pPr>
        <w:pStyle w:val="AbstHead"/>
        <w:spacing w:after="0"/>
        <w:jc w:val="both"/>
        <w:rPr>
          <w:rFonts w:ascii="Arial" w:hAnsi="Arial" w:cs="Arial"/>
          <w:color w:val="000000" w:themeColor="text1"/>
        </w:rPr>
      </w:pPr>
      <w:r w:rsidRPr="008F18E9">
        <w:rPr>
          <w:rFonts w:ascii="Arial" w:hAnsi="Arial" w:cs="Arial"/>
          <w:color w:val="000000" w:themeColor="text1"/>
        </w:rPr>
        <w:t xml:space="preserve">1. </w:t>
      </w:r>
      <w:r w:rsidR="00B01FCD" w:rsidRPr="008F18E9">
        <w:rPr>
          <w:rFonts w:ascii="Arial" w:hAnsi="Arial" w:cs="Arial"/>
          <w:color w:val="000000" w:themeColor="text1"/>
        </w:rPr>
        <w:t>INTRODUCTION</w:t>
      </w:r>
    </w:p>
    <w:p w14:paraId="0138B812" w14:textId="77777777" w:rsidR="00790ADA" w:rsidRPr="008F18E9" w:rsidRDefault="00790ADA" w:rsidP="00441B6F">
      <w:pPr>
        <w:pStyle w:val="AbstHead"/>
        <w:spacing w:after="0"/>
        <w:jc w:val="both"/>
        <w:rPr>
          <w:rFonts w:ascii="Arial" w:hAnsi="Arial" w:cs="Arial"/>
          <w:color w:val="000000" w:themeColor="text1"/>
        </w:rPr>
      </w:pPr>
    </w:p>
    <w:p w14:paraId="63626FA5" w14:textId="633588B7" w:rsidR="0087614F" w:rsidRPr="008F18E9" w:rsidRDefault="0087614F" w:rsidP="0087614F">
      <w:pPr>
        <w:pStyle w:val="AbstHead"/>
        <w:jc w:val="both"/>
        <w:rPr>
          <w:rFonts w:ascii="Arial" w:hAnsi="Arial" w:cs="Arial"/>
          <w:b w:val="0"/>
          <w:caps w:val="0"/>
          <w:color w:val="000000" w:themeColor="text1"/>
          <w:sz w:val="20"/>
        </w:rPr>
      </w:pPr>
      <w:r w:rsidRPr="008F18E9">
        <w:rPr>
          <w:rFonts w:ascii="Arial" w:hAnsi="Arial" w:cs="Arial"/>
          <w:b w:val="0"/>
          <w:caps w:val="0"/>
          <w:color w:val="000000" w:themeColor="text1"/>
          <w:sz w:val="20"/>
        </w:rPr>
        <w:t xml:space="preserve">Tomato is India’s most important vegetable crop, yet its market is notorious for intra-year price swings that often exceed 200 </w:t>
      </w:r>
      <w:r w:rsidR="00363E16" w:rsidRPr="008F18E9">
        <w:rPr>
          <w:rFonts w:ascii="Arial" w:hAnsi="Arial" w:cs="Arial"/>
          <w:b w:val="0"/>
          <w:caps w:val="0"/>
          <w:color w:val="000000" w:themeColor="text1"/>
          <w:sz w:val="20"/>
        </w:rPr>
        <w:t>per cent</w:t>
      </w:r>
      <w:r w:rsidRPr="008F18E9">
        <w:rPr>
          <w:rFonts w:ascii="Arial" w:hAnsi="Arial" w:cs="Arial"/>
          <w:b w:val="0"/>
          <w:caps w:val="0"/>
          <w:color w:val="000000" w:themeColor="text1"/>
          <w:sz w:val="20"/>
        </w:rPr>
        <w:t xml:space="preserve"> </w:t>
      </w:r>
      <w:r w:rsidR="008E0596" w:rsidRPr="008E0596">
        <w:rPr>
          <w:rFonts w:ascii="Arial" w:hAnsi="Arial" w:cs="Arial"/>
          <w:b w:val="0"/>
          <w:caps w:val="0"/>
          <w:color w:val="000000" w:themeColor="text1"/>
          <w:sz w:val="20"/>
        </w:rPr>
        <w:t>(Rediff Money 2024; PIB 2024; The Hindu 2024</w:t>
      </w:r>
      <w:r w:rsidR="008E0596">
        <w:rPr>
          <w:rFonts w:ascii="Arial" w:hAnsi="Arial" w:cs="Arial"/>
          <w:b w:val="0"/>
          <w:caps w:val="0"/>
          <w:color w:val="000000" w:themeColor="text1"/>
          <w:sz w:val="20"/>
        </w:rPr>
        <w:t>; NITI Ayog 2024</w:t>
      </w:r>
      <w:r w:rsidR="008E0596" w:rsidRPr="008E0596">
        <w:rPr>
          <w:rFonts w:ascii="Arial" w:hAnsi="Arial" w:cs="Arial"/>
          <w:b w:val="0"/>
          <w:caps w:val="0"/>
          <w:color w:val="000000" w:themeColor="text1"/>
          <w:sz w:val="20"/>
        </w:rPr>
        <w:t>)</w:t>
      </w:r>
      <w:r w:rsidRPr="008F18E9">
        <w:rPr>
          <w:rFonts w:ascii="Arial" w:hAnsi="Arial" w:cs="Arial"/>
          <w:b w:val="0"/>
          <w:caps w:val="0"/>
          <w:color w:val="000000" w:themeColor="text1"/>
          <w:sz w:val="20"/>
        </w:rPr>
        <w:t>. Perishability, concentrated harvest windows and thin cold-chain capacity expose smallholders to large income risk (</w:t>
      </w:r>
      <w:r w:rsidR="008E0596">
        <w:rPr>
          <w:rFonts w:ascii="Arial" w:hAnsi="Arial" w:cs="Arial"/>
          <w:b w:val="0"/>
          <w:caps w:val="0"/>
          <w:color w:val="000000" w:themeColor="text1"/>
          <w:sz w:val="20"/>
        </w:rPr>
        <w:t>Roy et al. 2024</w:t>
      </w:r>
      <w:r w:rsidRPr="008F18E9">
        <w:rPr>
          <w:rFonts w:ascii="Arial" w:hAnsi="Arial" w:cs="Arial"/>
          <w:b w:val="0"/>
          <w:caps w:val="0"/>
          <w:color w:val="000000" w:themeColor="text1"/>
          <w:sz w:val="20"/>
        </w:rPr>
        <w:t xml:space="preserve">; </w:t>
      </w:r>
      <w:r w:rsidR="008E0596" w:rsidRPr="008E0596">
        <w:rPr>
          <w:rFonts w:ascii="Arial" w:hAnsi="Arial" w:cs="Arial"/>
          <w:b w:val="0"/>
          <w:caps w:val="0"/>
          <w:color w:val="000000" w:themeColor="text1"/>
          <w:sz w:val="20"/>
        </w:rPr>
        <w:t>Mittal</w:t>
      </w:r>
      <w:r w:rsidRPr="008F18E9">
        <w:rPr>
          <w:rFonts w:ascii="Arial" w:hAnsi="Arial" w:cs="Arial"/>
          <w:b w:val="0"/>
          <w:caps w:val="0"/>
          <w:color w:val="000000" w:themeColor="text1"/>
          <w:sz w:val="20"/>
        </w:rPr>
        <w:t xml:space="preserve">, </w:t>
      </w:r>
      <w:r w:rsidR="008E0596">
        <w:rPr>
          <w:rFonts w:ascii="Arial" w:hAnsi="Arial" w:cs="Arial"/>
          <w:b w:val="0"/>
          <w:caps w:val="0"/>
          <w:color w:val="000000" w:themeColor="text1"/>
          <w:sz w:val="20"/>
        </w:rPr>
        <w:t>2007</w:t>
      </w:r>
      <w:r w:rsidRPr="008F18E9">
        <w:rPr>
          <w:rFonts w:ascii="Arial" w:hAnsi="Arial" w:cs="Arial"/>
          <w:b w:val="0"/>
          <w:caps w:val="0"/>
          <w:color w:val="000000" w:themeColor="text1"/>
          <w:sz w:val="20"/>
        </w:rPr>
        <w:t>). Forecasting models</w:t>
      </w:r>
      <w:r w:rsidR="00363E16" w:rsidRPr="008F18E9">
        <w:rPr>
          <w:rFonts w:ascii="Arial" w:hAnsi="Arial" w:cs="Arial"/>
          <w:b w:val="0"/>
          <w:caps w:val="0"/>
          <w:color w:val="000000" w:themeColor="text1"/>
          <w:sz w:val="20"/>
        </w:rPr>
        <w:t xml:space="preserve"> </w:t>
      </w:r>
      <w:r w:rsidRPr="008F18E9">
        <w:rPr>
          <w:rFonts w:ascii="Arial" w:hAnsi="Arial" w:cs="Arial"/>
          <w:b w:val="0"/>
          <w:caps w:val="0"/>
          <w:color w:val="000000" w:themeColor="text1"/>
          <w:sz w:val="20"/>
        </w:rPr>
        <w:t>from SARIMA to LSTM</w:t>
      </w:r>
      <w:r w:rsidR="00363E16" w:rsidRPr="008F18E9">
        <w:rPr>
          <w:rFonts w:ascii="Arial" w:hAnsi="Arial" w:cs="Arial"/>
          <w:b w:val="0"/>
          <w:caps w:val="0"/>
          <w:color w:val="000000" w:themeColor="text1"/>
          <w:sz w:val="20"/>
        </w:rPr>
        <w:t xml:space="preserve"> </w:t>
      </w:r>
      <w:r w:rsidRPr="008F18E9">
        <w:rPr>
          <w:rFonts w:ascii="Arial" w:hAnsi="Arial" w:cs="Arial"/>
          <w:b w:val="0"/>
          <w:caps w:val="0"/>
          <w:color w:val="000000" w:themeColor="text1"/>
          <w:sz w:val="20"/>
        </w:rPr>
        <w:t xml:space="preserve">capture mean seasonality but lose accuracy during volatile spells, with errors above 20 </w:t>
      </w:r>
      <w:r w:rsidR="00363E16" w:rsidRPr="008F18E9">
        <w:rPr>
          <w:rFonts w:ascii="Arial" w:hAnsi="Arial" w:cs="Arial"/>
          <w:b w:val="0"/>
          <w:caps w:val="0"/>
          <w:color w:val="000000" w:themeColor="text1"/>
          <w:sz w:val="20"/>
        </w:rPr>
        <w:t>per cent</w:t>
      </w:r>
      <w:r w:rsidRPr="008F18E9">
        <w:rPr>
          <w:rFonts w:ascii="Arial" w:hAnsi="Arial" w:cs="Arial"/>
          <w:b w:val="0"/>
          <w:caps w:val="0"/>
          <w:color w:val="000000" w:themeColor="text1"/>
          <w:sz w:val="20"/>
        </w:rPr>
        <w:t xml:space="preserve"> (</w:t>
      </w:r>
      <w:r w:rsidR="008E0596" w:rsidRPr="008E0596">
        <w:rPr>
          <w:rFonts w:ascii="Arial" w:hAnsi="Arial" w:cs="Arial"/>
          <w:b w:val="0"/>
          <w:caps w:val="0"/>
          <w:color w:val="000000" w:themeColor="text1"/>
          <w:sz w:val="20"/>
        </w:rPr>
        <w:t xml:space="preserve">Manogna </w:t>
      </w:r>
      <w:r w:rsidRPr="008F18E9">
        <w:rPr>
          <w:rFonts w:ascii="Arial" w:hAnsi="Arial" w:cs="Arial"/>
          <w:b w:val="0"/>
          <w:caps w:val="0"/>
          <w:color w:val="000000" w:themeColor="text1"/>
          <w:sz w:val="20"/>
        </w:rPr>
        <w:t>et al., 202</w:t>
      </w:r>
      <w:r w:rsidR="008E0596">
        <w:rPr>
          <w:rFonts w:ascii="Arial" w:hAnsi="Arial" w:cs="Arial"/>
          <w:b w:val="0"/>
          <w:caps w:val="0"/>
          <w:color w:val="000000" w:themeColor="text1"/>
          <w:sz w:val="20"/>
        </w:rPr>
        <w:t>5</w:t>
      </w:r>
      <w:r w:rsidRPr="008F18E9">
        <w:rPr>
          <w:rFonts w:ascii="Arial" w:hAnsi="Arial" w:cs="Arial"/>
          <w:b w:val="0"/>
          <w:caps w:val="0"/>
          <w:color w:val="000000" w:themeColor="text1"/>
          <w:sz w:val="20"/>
        </w:rPr>
        <w:t xml:space="preserve">). </w:t>
      </w:r>
      <w:r w:rsidR="00EB4FDA" w:rsidRPr="00EB4FDA">
        <w:rPr>
          <w:rFonts w:ascii="Arial" w:hAnsi="Arial" w:cs="Arial"/>
          <w:b w:val="0"/>
          <w:caps w:val="0"/>
          <w:color w:val="FF0000"/>
          <w:sz w:val="20"/>
        </w:rPr>
        <w:t>with drastic fluctuations occurring over short periods</w:t>
      </w:r>
      <w:r w:rsidR="00EB4FDA" w:rsidRPr="00EB4FDA">
        <w:rPr>
          <w:rFonts w:ascii="Arial" w:hAnsi="Arial" w:cs="Arial"/>
          <w:b w:val="0"/>
          <w:caps w:val="0"/>
          <w:color w:val="000000" w:themeColor="text1"/>
          <w:sz w:val="20"/>
        </w:rPr>
        <w:t xml:space="preserve"> </w:t>
      </w:r>
      <w:r w:rsidRPr="008F18E9">
        <w:rPr>
          <w:rFonts w:ascii="Arial" w:hAnsi="Arial" w:cs="Arial"/>
          <w:b w:val="0"/>
          <w:caps w:val="0"/>
          <w:color w:val="000000" w:themeColor="text1"/>
          <w:sz w:val="20"/>
        </w:rPr>
        <w:t xml:space="preserve">A neglected issue is whether the calendar of seasonality itself changes. </w:t>
      </w:r>
      <w:r w:rsidRPr="008E0596">
        <w:rPr>
          <w:rFonts w:ascii="Arial" w:hAnsi="Arial" w:cs="Arial"/>
          <w:b w:val="0"/>
          <w:caps w:val="0"/>
          <w:sz w:val="20"/>
        </w:rPr>
        <w:t>Classical</w:t>
      </w:r>
      <w:r w:rsidRPr="008F18E9">
        <w:rPr>
          <w:rFonts w:ascii="Arial" w:hAnsi="Arial" w:cs="Arial"/>
          <w:b w:val="0"/>
          <w:caps w:val="0"/>
          <w:color w:val="000000" w:themeColor="text1"/>
          <w:sz w:val="20"/>
        </w:rPr>
        <w:t xml:space="preserve"> seasonal indices assume identical timing each year; if peaks slide by several weeks, fixed-dummy forecasts fail. Dynamic Time Warping (DTW) allows elastic alignment of two series and has been used in energy and equity research; </w:t>
      </w:r>
      <w:r w:rsidR="00EB4FDA" w:rsidRPr="00EB4FDA">
        <w:rPr>
          <w:rFonts w:ascii="Arial" w:hAnsi="Arial" w:cs="Arial"/>
          <w:b w:val="0"/>
          <w:caps w:val="0"/>
          <w:color w:val="FF0000"/>
          <w:sz w:val="20"/>
        </w:rPr>
        <w:t xml:space="preserve">The global tomato market, valued at approximately $204–208 billion in 2024, is a large and dynamic market driven by consumer demand for both fresh and processed tomato products. Its complexity is influenced by global </w:t>
      </w:r>
      <w:r w:rsidR="00EB4FDA" w:rsidRPr="00EB4FDA">
        <w:rPr>
          <w:rFonts w:ascii="Arial" w:hAnsi="Arial" w:cs="Arial"/>
          <w:b w:val="0"/>
          <w:caps w:val="0"/>
          <w:color w:val="FF0000"/>
          <w:sz w:val="20"/>
        </w:rPr>
        <w:lastRenderedPageBreak/>
        <w:t>trends, technological advancements, and a wide array of regional and industry-specific factor</w:t>
      </w:r>
      <w:r w:rsidR="00EB4FDA" w:rsidRPr="00EB4FDA">
        <w:rPr>
          <w:rFonts w:ascii="Arial" w:hAnsi="Arial" w:cs="Arial"/>
          <w:b w:val="0"/>
          <w:caps w:val="0"/>
          <w:color w:val="FF0000"/>
          <w:sz w:val="20"/>
        </w:rPr>
        <w:t>s</w:t>
      </w:r>
      <w:r w:rsidR="00EB4FDA" w:rsidRPr="00EB4FDA">
        <w:rPr>
          <w:rFonts w:ascii="Arial" w:hAnsi="Arial" w:cs="Arial"/>
          <w:b w:val="0"/>
          <w:caps w:val="0"/>
          <w:color w:val="000000" w:themeColor="text1"/>
          <w:sz w:val="20"/>
        </w:rPr>
        <w:t xml:space="preserve"> </w:t>
      </w:r>
      <w:r w:rsidRPr="008F18E9">
        <w:rPr>
          <w:rFonts w:ascii="Arial" w:hAnsi="Arial" w:cs="Arial"/>
          <w:b w:val="0"/>
          <w:caps w:val="0"/>
          <w:color w:val="000000" w:themeColor="text1"/>
          <w:sz w:val="20"/>
        </w:rPr>
        <w:t>applications to perishable food prices remain rare.</w:t>
      </w:r>
    </w:p>
    <w:p w14:paraId="048A7D43" w14:textId="05236475" w:rsidR="0087614F" w:rsidRPr="008F18E9" w:rsidRDefault="00041A72" w:rsidP="0087614F">
      <w:pPr>
        <w:pStyle w:val="AbstHead"/>
        <w:jc w:val="both"/>
        <w:rPr>
          <w:rFonts w:ascii="Arial" w:hAnsi="Arial" w:cs="Arial"/>
          <w:b w:val="0"/>
          <w:caps w:val="0"/>
          <w:color w:val="000000" w:themeColor="text1"/>
          <w:sz w:val="20"/>
        </w:rPr>
      </w:pPr>
      <w:r>
        <w:rPr>
          <w:rFonts w:ascii="Arial" w:hAnsi="Arial" w:cs="Arial"/>
          <w:b w:val="0"/>
          <w:caps w:val="0"/>
          <w:color w:val="000000" w:themeColor="text1"/>
          <w:sz w:val="20"/>
        </w:rPr>
        <w:t>This study</w:t>
      </w:r>
      <w:r w:rsidR="0087614F" w:rsidRPr="008F18E9">
        <w:rPr>
          <w:rFonts w:ascii="Arial" w:hAnsi="Arial" w:cs="Arial"/>
          <w:b w:val="0"/>
          <w:caps w:val="0"/>
          <w:color w:val="000000" w:themeColor="text1"/>
          <w:sz w:val="20"/>
        </w:rPr>
        <w:t xml:space="preserve"> </w:t>
      </w:r>
      <w:r w:rsidR="00336247" w:rsidRPr="008F18E9">
        <w:rPr>
          <w:rFonts w:ascii="Arial" w:hAnsi="Arial" w:cs="Arial"/>
          <w:b w:val="0"/>
          <w:caps w:val="0"/>
          <w:color w:val="000000" w:themeColor="text1"/>
          <w:sz w:val="20"/>
        </w:rPr>
        <w:t>examines</w:t>
      </w:r>
      <w:r w:rsidR="0087614F" w:rsidRPr="008F18E9">
        <w:rPr>
          <w:rFonts w:ascii="Arial" w:hAnsi="Arial" w:cs="Arial"/>
          <w:b w:val="0"/>
          <w:caps w:val="0"/>
          <w:color w:val="000000" w:themeColor="text1"/>
          <w:sz w:val="20"/>
        </w:rPr>
        <w:t xml:space="preserve"> weekly tomato prices and arrivals at Kolar APMC (2010-2024) to (</w:t>
      </w:r>
      <w:proofErr w:type="spellStart"/>
      <w:r w:rsidR="0087614F" w:rsidRPr="008F18E9">
        <w:rPr>
          <w:rFonts w:ascii="Arial" w:hAnsi="Arial" w:cs="Arial"/>
          <w:b w:val="0"/>
          <w:caps w:val="0"/>
          <w:color w:val="000000" w:themeColor="text1"/>
          <w:sz w:val="20"/>
        </w:rPr>
        <w:t>i</w:t>
      </w:r>
      <w:proofErr w:type="spellEnd"/>
      <w:r w:rsidR="0087614F" w:rsidRPr="008F18E9">
        <w:rPr>
          <w:rFonts w:ascii="Arial" w:hAnsi="Arial" w:cs="Arial"/>
          <w:b w:val="0"/>
          <w:caps w:val="0"/>
          <w:color w:val="000000" w:themeColor="text1"/>
          <w:sz w:val="20"/>
        </w:rPr>
        <w:t>) profile volatility, (ii) extract seasonal indices, and (iii) quantify year-to-year calendar drift with DTW over 2021-2024. Kolar is South India’s dominant tomato supply hub, so its price discovery influences neighbouring states.</w:t>
      </w:r>
    </w:p>
    <w:p w14:paraId="1D0300C8" w14:textId="77777777" w:rsidR="0087614F" w:rsidRPr="008F18E9" w:rsidRDefault="0087614F" w:rsidP="0087614F">
      <w:pPr>
        <w:pStyle w:val="AbstHead"/>
        <w:jc w:val="both"/>
        <w:rPr>
          <w:rFonts w:ascii="Arial" w:hAnsi="Arial" w:cs="Arial"/>
          <w:b w:val="0"/>
          <w:caps w:val="0"/>
          <w:color w:val="000000" w:themeColor="text1"/>
          <w:sz w:val="20"/>
        </w:rPr>
      </w:pPr>
      <w:r w:rsidRPr="008F18E9">
        <w:rPr>
          <w:rFonts w:ascii="Arial" w:hAnsi="Arial" w:cs="Arial"/>
          <w:b w:val="0"/>
          <w:caps w:val="0"/>
          <w:color w:val="000000" w:themeColor="text1"/>
          <w:sz w:val="20"/>
        </w:rPr>
        <w:t>The study contributes: (a) a DTW-based diagnostic for inter-annual pattern consistency, (b) empirical evidence that tomato seasonal timing is recurrent but temporally unstable, and (c) guidance for adaptive forecasting that tolerates both magnitude and calendar shocks.</w:t>
      </w:r>
    </w:p>
    <w:p w14:paraId="2C37788F" w14:textId="252524D7" w:rsidR="007F7B32" w:rsidRPr="008F18E9" w:rsidRDefault="00902823" w:rsidP="0087614F">
      <w:pPr>
        <w:pStyle w:val="AbstHead"/>
        <w:jc w:val="both"/>
        <w:rPr>
          <w:rFonts w:ascii="Arial" w:hAnsi="Arial" w:cs="Arial"/>
          <w:b w:val="0"/>
          <w:caps w:val="0"/>
          <w:color w:val="000000" w:themeColor="text1"/>
          <w:sz w:val="20"/>
        </w:rPr>
      </w:pPr>
      <w:r w:rsidRPr="008F18E9">
        <w:rPr>
          <w:rFonts w:ascii="Arial" w:hAnsi="Arial" w:cs="Arial"/>
          <w:color w:val="000000" w:themeColor="text1"/>
        </w:rPr>
        <w:t>2.</w:t>
      </w:r>
      <w:r w:rsidR="0087614F" w:rsidRPr="008F18E9">
        <w:rPr>
          <w:rFonts w:ascii="Arial" w:hAnsi="Arial" w:cs="Arial"/>
          <w:color w:val="000000" w:themeColor="text1"/>
        </w:rPr>
        <w:t xml:space="preserve"> </w:t>
      </w:r>
      <w:r w:rsidR="006B57D0" w:rsidRPr="008F18E9">
        <w:rPr>
          <w:rFonts w:ascii="Arial" w:hAnsi="Arial" w:cs="Arial"/>
          <w:color w:val="000000" w:themeColor="text1"/>
        </w:rPr>
        <w:t>methodology</w:t>
      </w:r>
    </w:p>
    <w:p w14:paraId="594B7AC1" w14:textId="77777777" w:rsidR="00FF0757" w:rsidRPr="008F18E9" w:rsidRDefault="00FF0757" w:rsidP="00FF0757">
      <w:pPr>
        <w:pStyle w:val="Body"/>
        <w:rPr>
          <w:rFonts w:ascii="Arial" w:hAnsi="Arial" w:cs="Arial"/>
          <w:b/>
          <w:bCs/>
          <w:color w:val="000000" w:themeColor="text1"/>
        </w:rPr>
      </w:pPr>
      <w:r w:rsidRPr="00FF0757">
        <w:rPr>
          <w:rFonts w:ascii="Arial" w:hAnsi="Arial" w:cs="Arial"/>
          <w:b/>
          <w:bCs/>
          <w:color w:val="000000" w:themeColor="text1"/>
        </w:rPr>
        <w:t>2.1 Study area and data</w:t>
      </w:r>
    </w:p>
    <w:p w14:paraId="7E0183E0" w14:textId="3E50E897" w:rsidR="00FF1B01" w:rsidRPr="008F18E9" w:rsidRDefault="00FF1B01" w:rsidP="005A2073">
      <w:pPr>
        <w:pStyle w:val="Body"/>
        <w:rPr>
          <w:rFonts w:ascii="Arial" w:hAnsi="Arial" w:cs="Arial"/>
          <w:color w:val="000000" w:themeColor="text1"/>
        </w:rPr>
      </w:pPr>
      <w:r w:rsidRPr="008F18E9">
        <w:rPr>
          <w:rFonts w:ascii="Arial" w:hAnsi="Arial" w:cs="Arial"/>
          <w:color w:val="000000" w:themeColor="text1"/>
        </w:rPr>
        <w:t>This study used secondary time-series data on tomato arrivals and modal prices from the Kolar Agricultural Produce Market Committee (APMC), Karnataka, India. Weekly tomato arrivals (quintals) and modal prices (₹/quintal) for January 2010</w:t>
      </w:r>
      <w:r w:rsidR="00DA7016">
        <w:rPr>
          <w:rFonts w:ascii="Arial" w:hAnsi="Arial" w:cs="Arial"/>
          <w:color w:val="000000" w:themeColor="text1"/>
        </w:rPr>
        <w:t xml:space="preserve"> to </w:t>
      </w:r>
      <w:r w:rsidRPr="008F18E9">
        <w:rPr>
          <w:rFonts w:ascii="Arial" w:hAnsi="Arial" w:cs="Arial"/>
          <w:color w:val="000000" w:themeColor="text1"/>
        </w:rPr>
        <w:t xml:space="preserve">December 2024 (792 observations) were obtained from </w:t>
      </w:r>
      <w:proofErr w:type="spellStart"/>
      <w:r w:rsidRPr="008F18E9">
        <w:rPr>
          <w:rFonts w:ascii="Arial" w:hAnsi="Arial" w:cs="Arial"/>
          <w:color w:val="000000" w:themeColor="text1"/>
        </w:rPr>
        <w:t>Krishimaratavahini</w:t>
      </w:r>
      <w:proofErr w:type="spellEnd"/>
      <w:r w:rsidRPr="008F18E9">
        <w:rPr>
          <w:rFonts w:ascii="Arial" w:hAnsi="Arial" w:cs="Arial"/>
          <w:color w:val="000000" w:themeColor="text1"/>
        </w:rPr>
        <w:t xml:space="preserve"> and </w:t>
      </w:r>
      <w:proofErr w:type="spellStart"/>
      <w:r w:rsidRPr="008F18E9">
        <w:rPr>
          <w:rFonts w:ascii="Arial" w:hAnsi="Arial" w:cs="Arial"/>
          <w:color w:val="000000" w:themeColor="text1"/>
        </w:rPr>
        <w:t>Agmarknet</w:t>
      </w:r>
      <w:proofErr w:type="spellEnd"/>
      <w:r w:rsidRPr="008F18E9">
        <w:rPr>
          <w:rFonts w:ascii="Arial" w:hAnsi="Arial" w:cs="Arial"/>
          <w:color w:val="000000" w:themeColor="text1"/>
        </w:rPr>
        <w:t>. Modal price represents the value at which the largest quantity is traded on a given day, aggregated to the week-ending date. This measure is commonly used in agricultural market analysis, as it more accurately reflects typical transaction prices than minimum or maximum values.</w:t>
      </w:r>
    </w:p>
    <w:p w14:paraId="624291DA" w14:textId="17644D98" w:rsidR="005A2073" w:rsidRPr="008F18E9" w:rsidRDefault="00FF0757" w:rsidP="005A2073">
      <w:pPr>
        <w:pStyle w:val="Body"/>
        <w:rPr>
          <w:rFonts w:ascii="Arial" w:hAnsi="Arial" w:cs="Arial"/>
          <w:b/>
          <w:bCs/>
          <w:color w:val="000000" w:themeColor="text1"/>
        </w:rPr>
      </w:pPr>
      <w:r w:rsidRPr="00FF0757">
        <w:rPr>
          <w:rFonts w:ascii="Arial" w:hAnsi="Arial" w:cs="Arial"/>
          <w:b/>
          <w:bCs/>
          <w:color w:val="000000" w:themeColor="text1"/>
        </w:rPr>
        <w:t>2.2 Data cleaning</w:t>
      </w:r>
    </w:p>
    <w:p w14:paraId="2B843582" w14:textId="33978CD9" w:rsidR="00F27D70" w:rsidRPr="008F18E9" w:rsidRDefault="00F27D70" w:rsidP="005A2073">
      <w:pPr>
        <w:pStyle w:val="Body"/>
        <w:rPr>
          <w:rFonts w:ascii="Arial" w:hAnsi="Arial" w:cs="Arial"/>
          <w:color w:val="000000" w:themeColor="text1"/>
        </w:rPr>
      </w:pPr>
      <w:r w:rsidRPr="008F18E9">
        <w:rPr>
          <w:rFonts w:ascii="Arial" w:hAnsi="Arial" w:cs="Arial"/>
          <w:color w:val="000000" w:themeColor="text1"/>
        </w:rPr>
        <w:t xml:space="preserve">Missing weekly observations (&lt;2%) were interpolated using cubic splines. Outliers, defined as values beyond </w:t>
      </w:r>
      <m:oMath>
        <m:sSub>
          <m:sSubPr>
            <m:ctrlPr>
              <w:rPr>
                <w:rFonts w:ascii="Cambria Math" w:hAnsi="Cambria Math" w:cs="Arial"/>
                <w:color w:val="000000" w:themeColor="text1"/>
              </w:rPr>
            </m:ctrlPr>
          </m:sSubPr>
          <m:e>
            <m:r>
              <m:rPr>
                <m:sty m:val="bi"/>
              </m:rPr>
              <w:rPr>
                <w:rFonts w:ascii="Cambria Math" w:hAnsi="Cambria Math" w:cs="Arial"/>
                <w:color w:val="000000" w:themeColor="text1"/>
              </w:rPr>
              <m:t>Q</m:t>
            </m:r>
          </m:e>
          <m:sub>
            <m:r>
              <m:rPr>
                <m:sty m:val="b"/>
              </m:rPr>
              <w:rPr>
                <w:rFonts w:ascii="Cambria Math" w:hAnsi="Cambria Math" w:cs="Arial"/>
                <w:color w:val="000000" w:themeColor="text1"/>
              </w:rPr>
              <m:t>1</m:t>
            </m:r>
          </m:sub>
        </m:sSub>
        <m:r>
          <m:rPr>
            <m:sty m:val="p"/>
          </m:rPr>
          <w:rPr>
            <w:rFonts w:ascii="Cambria Math" w:hAnsi="Cambria Math" w:cs="Arial"/>
            <w:color w:val="000000" w:themeColor="text1"/>
          </w:rPr>
          <m:t>-</m:t>
        </m:r>
        <m:r>
          <m:rPr>
            <m:sty m:val="b"/>
          </m:rPr>
          <w:rPr>
            <w:rFonts w:ascii="Cambria Math" w:hAnsi="Cambria Math" w:cs="Arial"/>
            <w:color w:val="000000" w:themeColor="text1"/>
          </w:rPr>
          <m:t>3</m:t>
        </m:r>
        <m:r>
          <m:rPr>
            <m:sty m:val="p"/>
          </m:rPr>
          <w:rPr>
            <w:rFonts w:ascii="Cambria Math" w:hAnsi="Cambria Math" w:cs="Arial"/>
            <w:color w:val="000000" w:themeColor="text1"/>
          </w:rPr>
          <m:t>×</m:t>
        </m:r>
        <m:r>
          <m:rPr>
            <m:nor/>
          </m:rPr>
          <w:rPr>
            <w:rFonts w:ascii="Arial" w:hAnsi="Arial" w:cs="Arial"/>
            <w:color w:val="000000" w:themeColor="text1"/>
          </w:rPr>
          <m:t>IQR</m:t>
        </m:r>
      </m:oMath>
      <w:r w:rsidRPr="008F18E9">
        <w:rPr>
          <w:rFonts w:ascii="Arial" w:hAnsi="Arial" w:cs="Arial"/>
          <w:color w:val="000000" w:themeColor="text1"/>
        </w:rPr>
        <w:t xml:space="preserve">or </w:t>
      </w:r>
      <m:oMath>
        <m:sSub>
          <m:sSubPr>
            <m:ctrlPr>
              <w:rPr>
                <w:rFonts w:ascii="Cambria Math" w:hAnsi="Cambria Math" w:cs="Arial"/>
                <w:color w:val="000000" w:themeColor="text1"/>
              </w:rPr>
            </m:ctrlPr>
          </m:sSubPr>
          <m:e>
            <m:r>
              <m:rPr>
                <m:sty m:val="bi"/>
              </m:rPr>
              <w:rPr>
                <w:rFonts w:ascii="Cambria Math" w:hAnsi="Cambria Math" w:cs="Arial"/>
                <w:color w:val="000000" w:themeColor="text1"/>
              </w:rPr>
              <m:t>Q</m:t>
            </m:r>
          </m:e>
          <m:sub>
            <m:r>
              <m:rPr>
                <m:sty m:val="b"/>
              </m:rPr>
              <w:rPr>
                <w:rFonts w:ascii="Cambria Math" w:hAnsi="Cambria Math" w:cs="Arial"/>
                <w:color w:val="000000" w:themeColor="text1"/>
              </w:rPr>
              <m:t>3</m:t>
            </m:r>
          </m:sub>
        </m:sSub>
        <m:r>
          <m:rPr>
            <m:sty m:val="p"/>
          </m:rPr>
          <w:rPr>
            <w:rFonts w:ascii="Cambria Math" w:hAnsi="Cambria Math" w:cs="Arial"/>
            <w:color w:val="000000" w:themeColor="text1"/>
          </w:rPr>
          <m:t>+</m:t>
        </m:r>
        <m:r>
          <m:rPr>
            <m:sty m:val="b"/>
          </m:rPr>
          <w:rPr>
            <w:rFonts w:ascii="Cambria Math" w:hAnsi="Cambria Math" w:cs="Arial"/>
            <w:color w:val="000000" w:themeColor="text1"/>
          </w:rPr>
          <m:t>3</m:t>
        </m:r>
        <m:r>
          <m:rPr>
            <m:sty m:val="p"/>
          </m:rPr>
          <w:rPr>
            <w:rFonts w:ascii="Cambria Math" w:hAnsi="Cambria Math" w:cs="Arial"/>
            <w:color w:val="000000" w:themeColor="text1"/>
          </w:rPr>
          <m:t>×</m:t>
        </m:r>
        <m:r>
          <m:rPr>
            <m:nor/>
          </m:rPr>
          <w:rPr>
            <w:rFonts w:ascii="Arial" w:hAnsi="Arial" w:cs="Arial"/>
            <w:color w:val="000000" w:themeColor="text1"/>
          </w:rPr>
          <m:t>IQR</m:t>
        </m:r>
      </m:oMath>
      <w:r w:rsidRPr="008F18E9">
        <w:rPr>
          <w:rFonts w:ascii="Arial" w:hAnsi="Arial" w:cs="Arial"/>
          <w:color w:val="000000" w:themeColor="text1"/>
        </w:rPr>
        <w:t>, were cross-checked against market bulletins and retained if verified as genuine price or arrival spikes. Stationarity of the series was assessed using the Augmented Dickey-Fuller (ADF) test, which rejected the unit-root hypothesis for log-price differences (</w:t>
      </w:r>
      <m:oMath>
        <m:r>
          <m:rPr>
            <m:sty m:val="bi"/>
          </m:rPr>
          <w:rPr>
            <w:rFonts w:ascii="Cambria Math" w:hAnsi="Cambria Math" w:cs="Arial"/>
            <w:color w:val="000000" w:themeColor="text1"/>
          </w:rPr>
          <m:t>p</m:t>
        </m:r>
        <m:r>
          <m:rPr>
            <m:sty m:val="p"/>
          </m:rPr>
          <w:rPr>
            <w:rFonts w:ascii="Cambria Math" w:hAnsi="Cambria Math" w:cs="Arial"/>
            <w:color w:val="000000" w:themeColor="text1"/>
          </w:rPr>
          <m:t>&lt;</m:t>
        </m:r>
        <m:r>
          <m:rPr>
            <m:sty m:val="b"/>
          </m:rPr>
          <w:rPr>
            <w:rFonts w:ascii="Cambria Math" w:hAnsi="Cambria Math" w:cs="Arial"/>
            <w:color w:val="000000" w:themeColor="text1"/>
          </w:rPr>
          <m:t>0</m:t>
        </m:r>
        <m:r>
          <m:rPr>
            <m:sty m:val="p"/>
          </m:rPr>
          <w:rPr>
            <w:rFonts w:ascii="Cambria Math" w:hAnsi="Cambria Math" w:cs="Arial"/>
            <w:color w:val="000000" w:themeColor="text1"/>
          </w:rPr>
          <m:t>.</m:t>
        </m:r>
        <m:r>
          <m:rPr>
            <m:sty m:val="b"/>
          </m:rPr>
          <w:rPr>
            <w:rFonts w:ascii="Cambria Math" w:hAnsi="Cambria Math" w:cs="Arial"/>
            <w:color w:val="000000" w:themeColor="text1"/>
          </w:rPr>
          <m:t>01</m:t>
        </m:r>
      </m:oMath>
      <w:r w:rsidRPr="008F18E9">
        <w:rPr>
          <w:rFonts w:ascii="Arial" w:hAnsi="Arial" w:cs="Arial"/>
          <w:color w:val="000000" w:themeColor="text1"/>
        </w:rPr>
        <w:t>).</w:t>
      </w:r>
    </w:p>
    <w:p w14:paraId="59BDBD80" w14:textId="6A72A89F" w:rsidR="0076419B" w:rsidRPr="008F18E9" w:rsidRDefault="0076419B" w:rsidP="00B2206C">
      <w:pPr>
        <w:pStyle w:val="Body"/>
        <w:rPr>
          <w:rFonts w:ascii="Arial" w:hAnsi="Arial" w:cs="Arial"/>
          <w:b/>
          <w:bCs/>
          <w:color w:val="000000" w:themeColor="text1"/>
        </w:rPr>
      </w:pPr>
      <w:r w:rsidRPr="008F18E9">
        <w:rPr>
          <w:rFonts w:ascii="Arial" w:hAnsi="Arial" w:cs="Arial"/>
          <w:b/>
          <w:bCs/>
          <w:color w:val="000000" w:themeColor="text1"/>
        </w:rPr>
        <w:t>2.</w:t>
      </w:r>
      <w:r w:rsidR="00B2206C" w:rsidRPr="008F18E9">
        <w:rPr>
          <w:rFonts w:ascii="Arial" w:hAnsi="Arial" w:cs="Arial"/>
          <w:b/>
          <w:bCs/>
          <w:color w:val="000000" w:themeColor="text1"/>
        </w:rPr>
        <w:t>3</w:t>
      </w:r>
      <w:r w:rsidRPr="008F18E9">
        <w:rPr>
          <w:rFonts w:ascii="Arial" w:hAnsi="Arial" w:cs="Arial"/>
          <w:b/>
          <w:bCs/>
          <w:color w:val="000000" w:themeColor="text1"/>
        </w:rPr>
        <w:t xml:space="preserve"> </w:t>
      </w:r>
      <w:r w:rsidR="00B2206C" w:rsidRPr="008F18E9">
        <w:rPr>
          <w:rFonts w:ascii="Arial" w:hAnsi="Arial" w:cs="Arial"/>
          <w:b/>
          <w:bCs/>
          <w:color w:val="000000" w:themeColor="text1"/>
        </w:rPr>
        <w:t>Descriptive Statistical</w:t>
      </w:r>
    </w:p>
    <w:p w14:paraId="3CC6CEC0" w14:textId="3955A01B" w:rsidR="00A742FD" w:rsidRPr="008F18E9" w:rsidRDefault="00A742FD" w:rsidP="00B2206C">
      <w:pPr>
        <w:pStyle w:val="Body"/>
        <w:rPr>
          <w:rFonts w:ascii="Arial" w:hAnsi="Arial" w:cs="Arial"/>
          <w:color w:val="000000" w:themeColor="text1"/>
        </w:rPr>
      </w:pPr>
      <w:r w:rsidRPr="008F18E9">
        <w:rPr>
          <w:rFonts w:ascii="Arial" w:hAnsi="Arial" w:cs="Arial"/>
          <w:color w:val="000000" w:themeColor="text1"/>
        </w:rPr>
        <w:t>Comprehensive descriptive statistics were computed to characterize the central tendency, dispersion, and distributional properties of weekly tomato arrivals and modal prices. The metrics calculated included the mean, median, standard deviation, coefficient of variation (CV), skewness, kurtosis, and the Jarque-Bera test for normality. These measures provided insights into the typical values, variability, asymmetry, and tail behaviour of the series, helping to assess volatility and the prevalence of extreme events in the market.</w:t>
      </w:r>
    </w:p>
    <w:p w14:paraId="112900B1" w14:textId="2468C69B" w:rsidR="0076419B" w:rsidRPr="00360FB2" w:rsidRDefault="0076419B" w:rsidP="00B2206C">
      <w:pPr>
        <w:pStyle w:val="Body"/>
        <w:rPr>
          <w:rFonts w:ascii="Arial" w:hAnsi="Arial" w:cs="Arial"/>
          <w:b/>
          <w:bCs/>
          <w:color w:val="000000" w:themeColor="text1"/>
        </w:rPr>
      </w:pPr>
      <w:r w:rsidRPr="00360FB2">
        <w:rPr>
          <w:rFonts w:ascii="Arial" w:hAnsi="Arial" w:cs="Arial"/>
          <w:b/>
          <w:bCs/>
          <w:color w:val="000000" w:themeColor="text1"/>
        </w:rPr>
        <w:t>2.</w:t>
      </w:r>
      <w:r w:rsidR="00F521C6" w:rsidRPr="00360FB2">
        <w:rPr>
          <w:rFonts w:ascii="Arial" w:hAnsi="Arial" w:cs="Arial"/>
          <w:b/>
          <w:bCs/>
          <w:color w:val="000000" w:themeColor="text1"/>
        </w:rPr>
        <w:t>4</w:t>
      </w:r>
      <w:r w:rsidRPr="00360FB2">
        <w:rPr>
          <w:rFonts w:ascii="Arial" w:hAnsi="Arial" w:cs="Arial"/>
          <w:b/>
          <w:bCs/>
          <w:color w:val="000000" w:themeColor="text1"/>
        </w:rPr>
        <w:t xml:space="preserve"> </w:t>
      </w:r>
      <w:r w:rsidR="00F521C6" w:rsidRPr="00360FB2">
        <w:rPr>
          <w:rFonts w:ascii="Arial" w:hAnsi="Arial" w:cs="Arial"/>
          <w:b/>
          <w:bCs/>
          <w:color w:val="000000" w:themeColor="text1"/>
        </w:rPr>
        <w:t>Seasonal Ind</w:t>
      </w:r>
      <w:r w:rsidR="00DB06A1" w:rsidRPr="00360FB2">
        <w:rPr>
          <w:rFonts w:ascii="Arial" w:hAnsi="Arial" w:cs="Arial"/>
          <w:b/>
          <w:bCs/>
          <w:color w:val="000000" w:themeColor="text1"/>
        </w:rPr>
        <w:t>ices</w:t>
      </w:r>
    </w:p>
    <w:p w14:paraId="635B2D9C" w14:textId="77777777" w:rsidR="003D5F79" w:rsidRPr="008F18E9" w:rsidRDefault="00F521C6" w:rsidP="003D5F79">
      <w:pPr>
        <w:pStyle w:val="Body"/>
        <w:rPr>
          <w:rFonts w:ascii="Arial" w:hAnsi="Arial" w:cs="Arial"/>
          <w:color w:val="000000" w:themeColor="text1"/>
        </w:rPr>
      </w:pPr>
      <w:r w:rsidRPr="008F18E9">
        <w:rPr>
          <w:rFonts w:ascii="Arial" w:hAnsi="Arial" w:cs="Arial"/>
          <w:color w:val="000000" w:themeColor="text1"/>
        </w:rPr>
        <w:t>Seasonal indices were calculated to identify recurring intra-year price and arrival patterns. The analysis used ISO week numbering (weeks 1-52/53) to align observations across different years</w:t>
      </w:r>
      <w:r w:rsidR="00AC5DDE" w:rsidRPr="008F18E9">
        <w:rPr>
          <w:rFonts w:ascii="Arial" w:hAnsi="Arial" w:cs="Arial"/>
          <w:color w:val="000000" w:themeColor="text1"/>
        </w:rPr>
        <w:t xml:space="preserve"> (</w:t>
      </w:r>
      <w:r w:rsidR="00AC5DDE" w:rsidRPr="008F18E9">
        <w:rPr>
          <w:color w:val="000000" w:themeColor="text1"/>
        </w:rPr>
        <w:t>Kendall and Stuart, 1983)</w:t>
      </w:r>
      <w:r w:rsidRPr="008F18E9">
        <w:rPr>
          <w:rFonts w:ascii="Arial" w:hAnsi="Arial" w:cs="Arial"/>
          <w:color w:val="000000" w:themeColor="text1"/>
        </w:rPr>
        <w:t xml:space="preserve">. This approach assumes that a time series can be decomposed into trend, seasonal, cyclical, and irregular </w:t>
      </w:r>
      <w:r w:rsidR="00AC5DDE" w:rsidRPr="008F18E9">
        <w:rPr>
          <w:rFonts w:ascii="Arial" w:hAnsi="Arial" w:cs="Arial"/>
          <w:color w:val="000000" w:themeColor="text1"/>
        </w:rPr>
        <w:t>components (</w:t>
      </w:r>
      <w:proofErr w:type="spellStart"/>
      <w:r w:rsidR="00AC5DDE" w:rsidRPr="008F18E9">
        <w:rPr>
          <w:color w:val="000000" w:themeColor="text1"/>
        </w:rPr>
        <w:t>Makridakis</w:t>
      </w:r>
      <w:proofErr w:type="spellEnd"/>
      <w:r w:rsidR="00AC5DDE" w:rsidRPr="008F18E9">
        <w:rPr>
          <w:color w:val="000000" w:themeColor="text1"/>
        </w:rPr>
        <w:t xml:space="preserve"> et. al, 1998)</w:t>
      </w:r>
      <w:r w:rsidRPr="008F18E9">
        <w:rPr>
          <w:rFonts w:ascii="Arial" w:hAnsi="Arial" w:cs="Arial"/>
          <w:color w:val="000000" w:themeColor="text1"/>
        </w:rPr>
        <w:t xml:space="preserve"> The seasonal indices were computed separately for tomato arrivals and modal prices to examine whether supply and price seasonality patterns align or diverge. </w:t>
      </w:r>
    </w:p>
    <w:p w14:paraId="098B4976" w14:textId="68FF166E" w:rsidR="00360FB2" w:rsidRDefault="00360FB2">
      <w:pPr>
        <w:rPr>
          <w:rFonts w:ascii="Arial" w:hAnsi="Arial" w:cs="Arial"/>
          <w:b/>
          <w:bCs/>
          <w:color w:val="000000" w:themeColor="text1"/>
        </w:rPr>
      </w:pPr>
    </w:p>
    <w:p w14:paraId="305ED86A" w14:textId="0ED481FC" w:rsidR="0076419B" w:rsidRPr="00360FB2" w:rsidRDefault="0076419B" w:rsidP="003D5F79">
      <w:pPr>
        <w:pStyle w:val="Body"/>
        <w:rPr>
          <w:rFonts w:ascii="Arial" w:hAnsi="Arial" w:cs="Arial"/>
          <w:b/>
          <w:bCs/>
          <w:color w:val="000000" w:themeColor="text1"/>
        </w:rPr>
      </w:pPr>
      <w:r w:rsidRPr="00360FB2">
        <w:rPr>
          <w:rFonts w:ascii="Arial" w:hAnsi="Arial" w:cs="Arial"/>
          <w:b/>
          <w:bCs/>
          <w:color w:val="000000" w:themeColor="text1"/>
        </w:rPr>
        <w:t>2.</w:t>
      </w:r>
      <w:r w:rsidR="00F521C6" w:rsidRPr="00360FB2">
        <w:rPr>
          <w:rFonts w:ascii="Arial" w:hAnsi="Arial" w:cs="Arial"/>
          <w:b/>
          <w:bCs/>
          <w:color w:val="000000" w:themeColor="text1"/>
        </w:rPr>
        <w:t>5</w:t>
      </w:r>
      <w:r w:rsidRPr="00360FB2">
        <w:rPr>
          <w:rFonts w:ascii="Arial" w:hAnsi="Arial" w:cs="Arial"/>
          <w:b/>
          <w:bCs/>
          <w:color w:val="000000" w:themeColor="text1"/>
        </w:rPr>
        <w:t xml:space="preserve"> </w:t>
      </w:r>
      <w:r w:rsidR="00F521C6" w:rsidRPr="00360FB2">
        <w:rPr>
          <w:rFonts w:ascii="Arial" w:hAnsi="Arial" w:cs="Arial"/>
          <w:b/>
          <w:bCs/>
          <w:color w:val="000000" w:themeColor="text1"/>
        </w:rPr>
        <w:t>Dynamic Time Warping (DTW)</w:t>
      </w:r>
    </w:p>
    <w:p w14:paraId="4271258E" w14:textId="2383E4E9" w:rsidR="0076419B" w:rsidRPr="008F18E9" w:rsidRDefault="00F521C6" w:rsidP="00F521C6">
      <w:pPr>
        <w:pStyle w:val="Body"/>
        <w:rPr>
          <w:rFonts w:ascii="Arial" w:hAnsi="Arial" w:cs="Arial"/>
          <w:color w:val="000000" w:themeColor="text1"/>
        </w:rPr>
      </w:pPr>
      <w:r w:rsidRPr="008F18E9">
        <w:rPr>
          <w:rFonts w:ascii="Arial" w:hAnsi="Arial" w:cs="Arial"/>
          <w:color w:val="000000" w:themeColor="text1"/>
        </w:rPr>
        <w:lastRenderedPageBreak/>
        <w:t>Dynamic Time Warping (DTW) was applied to align tomato price trajectories across different years. DTW measures the similarity between two temporal sequences that may vary in timing, allowing detection of interannual irregularities and structural shifts in price patterns. Price data from each year were aligned against a reference year for analysis. Unlike correlation-based measures that require point-to-point temporal alignment,</w:t>
      </w:r>
      <w:r w:rsidR="008B13DD" w:rsidRPr="008B13DD">
        <w:t xml:space="preserve"> </w:t>
      </w:r>
      <w:r w:rsidR="008B13DD" w:rsidRPr="008B13DD">
        <w:rPr>
          <w:rFonts w:ascii="Arial" w:hAnsi="Arial" w:cs="Arial"/>
          <w:color w:val="FF0000"/>
        </w:rPr>
        <w:t xml:space="preserve">Global Tomatoes Market, By Type (Cherry Tomatoes, Grape Tomatoes, Roma Tomatoes, Beefsteak Tomatoes, Heirloom Tomatoes, Tomatoes </w:t>
      </w:r>
      <w:proofErr w:type="gramStart"/>
      <w:r w:rsidR="008B13DD" w:rsidRPr="008B13DD">
        <w:rPr>
          <w:rFonts w:ascii="Arial" w:hAnsi="Arial" w:cs="Arial"/>
          <w:color w:val="FF0000"/>
        </w:rPr>
        <w:t>On</w:t>
      </w:r>
      <w:proofErr w:type="gramEnd"/>
      <w:r w:rsidR="008B13DD" w:rsidRPr="008B13DD">
        <w:rPr>
          <w:rFonts w:ascii="Arial" w:hAnsi="Arial" w:cs="Arial"/>
          <w:color w:val="FF0000"/>
        </w:rPr>
        <w:t xml:space="preserve"> The Vine, Green Tomatoes, and Others), Product Type (Fresh, Frozen, and Dried), Category (Conventional and Organic), End User (Food Service Industry and Household/Retail Industry), Distribution Channel (Direct and Indirect) Industry Trends and Forecast to 2030.</w:t>
      </w:r>
      <w:r w:rsidRPr="008B13DD">
        <w:rPr>
          <w:rFonts w:ascii="Arial" w:hAnsi="Arial" w:cs="Arial"/>
          <w:color w:val="FF0000"/>
        </w:rPr>
        <w:t xml:space="preserve"> DT</w:t>
      </w:r>
      <w:r w:rsidRPr="008F18E9">
        <w:rPr>
          <w:rFonts w:ascii="Arial" w:hAnsi="Arial" w:cs="Arial"/>
          <w:color w:val="000000" w:themeColor="text1"/>
        </w:rPr>
        <w:t>W allows flexible matching of time series with temporal shifts, compressions, or expansions</w:t>
      </w:r>
      <w:r w:rsidR="00AC5DDE" w:rsidRPr="008F18E9">
        <w:rPr>
          <w:rFonts w:ascii="Arial" w:hAnsi="Arial" w:cs="Arial"/>
          <w:color w:val="000000" w:themeColor="text1"/>
        </w:rPr>
        <w:t xml:space="preserve"> (</w:t>
      </w:r>
      <w:proofErr w:type="spellStart"/>
      <w:r w:rsidR="00AC5DDE" w:rsidRPr="008F18E9">
        <w:rPr>
          <w:color w:val="000000" w:themeColor="text1"/>
        </w:rPr>
        <w:t>Sakoe</w:t>
      </w:r>
      <w:proofErr w:type="spellEnd"/>
      <w:r w:rsidR="00AC5DDE" w:rsidRPr="008F18E9">
        <w:rPr>
          <w:color w:val="000000" w:themeColor="text1"/>
        </w:rPr>
        <w:t xml:space="preserve"> and Chiba, </w:t>
      </w:r>
      <w:r w:rsidR="008E0596">
        <w:rPr>
          <w:color w:val="000000" w:themeColor="text1"/>
        </w:rPr>
        <w:t>2003</w:t>
      </w:r>
      <w:r w:rsidR="00AC5DDE" w:rsidRPr="008F18E9">
        <w:rPr>
          <w:color w:val="000000" w:themeColor="text1"/>
        </w:rPr>
        <w:t>; Berndt and Clifford, 1994).</w:t>
      </w:r>
      <w:r w:rsidR="00185319" w:rsidRPr="008F18E9">
        <w:rPr>
          <w:rFonts w:ascii="Arial" w:hAnsi="Arial" w:cs="Arial"/>
          <w:color w:val="000000" w:themeColor="text1"/>
        </w:rPr>
        <w:t xml:space="preserve"> This</w:t>
      </w:r>
      <w:r w:rsidRPr="008F18E9">
        <w:rPr>
          <w:rFonts w:ascii="Arial" w:hAnsi="Arial" w:cs="Arial"/>
          <w:color w:val="000000" w:themeColor="text1"/>
        </w:rPr>
        <w:t xml:space="preserve"> makes DTW particularly suitable for capturing seasonal deviations and timing differences in market price dynamics.</w:t>
      </w:r>
    </w:p>
    <w:p w14:paraId="55B6F3EC"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2.5.1 DTW Algorithm</w:t>
      </w:r>
    </w:p>
    <w:p w14:paraId="541D2921" w14:textId="77777777"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Let two time series be defined as</w:t>
      </w:r>
    </w:p>
    <w:p w14:paraId="3FFF3539" w14:textId="6FA2D047" w:rsidR="00185319" w:rsidRPr="008F18E9" w:rsidRDefault="00185319" w:rsidP="00185319">
      <w:pPr>
        <w:pStyle w:val="Body"/>
        <w:rPr>
          <w:rFonts w:ascii="Arial" w:hAnsi="Arial" w:cs="Arial"/>
          <w:color w:val="000000" w:themeColor="text1"/>
        </w:rPr>
      </w:pPr>
      <m:oMath>
        <m:r>
          <w:rPr>
            <w:rFonts w:ascii="Cambria Math" w:hAnsi="Cambria Math" w:cs="Arial"/>
            <w:color w:val="000000" w:themeColor="text1"/>
          </w:rPr>
          <m:t>X</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x</m:t>
                </m:r>
              </m:e>
              <m:sub>
                <m:r>
                  <m:rPr>
                    <m:sty m:val="p"/>
                  </m:rPr>
                  <w:rPr>
                    <w:rFonts w:ascii="Cambria Math" w:hAnsi="Cambria Math" w:cs="Arial"/>
                    <w:color w:val="000000" w:themeColor="text1"/>
                  </w:rPr>
                  <m:t>1</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x</m:t>
                </m:r>
              </m:e>
              <m:sub>
                <m:r>
                  <m:rPr>
                    <m:sty m:val="p"/>
                  </m:rPr>
                  <w:rPr>
                    <w:rFonts w:ascii="Cambria Math" w:hAnsi="Cambria Math" w:cs="Arial"/>
                    <w:color w:val="000000" w:themeColor="text1"/>
                  </w:rPr>
                  <m:t>2</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n</m:t>
                </m:r>
              </m:sub>
            </m:sSub>
          </m:e>
        </m:d>
      </m:oMath>
      <w:r w:rsidRPr="008F18E9">
        <w:rPr>
          <w:rFonts w:ascii="Arial" w:hAnsi="Arial" w:cs="Arial"/>
          <w:color w:val="000000" w:themeColor="text1"/>
        </w:rPr>
        <w:t xml:space="preserve"> and </w:t>
      </w:r>
      <m:oMath>
        <m:r>
          <w:rPr>
            <w:rFonts w:ascii="Cambria Math" w:hAnsi="Cambria Math" w:cs="Arial"/>
            <w:color w:val="000000" w:themeColor="text1"/>
          </w:rPr>
          <m:t>Y</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y</m:t>
                </m:r>
              </m:e>
              <m:sub>
                <m:r>
                  <m:rPr>
                    <m:sty m:val="p"/>
                  </m:rPr>
                  <w:rPr>
                    <w:rFonts w:ascii="Cambria Math" w:hAnsi="Cambria Math" w:cs="Arial"/>
                    <w:color w:val="000000" w:themeColor="text1"/>
                  </w:rPr>
                  <m:t>1</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y</m:t>
                </m:r>
              </m:e>
              <m:sub>
                <m:r>
                  <m:rPr>
                    <m:sty m:val="p"/>
                  </m:rPr>
                  <w:rPr>
                    <w:rFonts w:ascii="Cambria Math" w:hAnsi="Cambria Math" w:cs="Arial"/>
                    <w:color w:val="000000" w:themeColor="text1"/>
                  </w:rPr>
                  <m:t>2</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m</m:t>
                </m:r>
              </m:sub>
            </m:sSub>
          </m:e>
        </m:d>
      </m:oMath>
      <w:r w:rsidRPr="008F18E9">
        <w:rPr>
          <w:rFonts w:ascii="Arial" w:hAnsi="Arial" w:cs="Arial"/>
          <w:color w:val="000000" w:themeColor="text1"/>
        </w:rPr>
        <w:t>.</w:t>
      </w:r>
    </w:p>
    <w:p w14:paraId="40493B97" w14:textId="08870CB5" w:rsidR="00185319" w:rsidRPr="008F18E9" w:rsidRDefault="00185319" w:rsidP="00185319">
      <w:pPr>
        <w:pStyle w:val="Body"/>
        <w:rPr>
          <w:rFonts w:ascii="Arial" w:hAnsi="Arial" w:cs="Arial"/>
          <w:b/>
          <w:bCs/>
          <w:color w:val="000000" w:themeColor="text1"/>
        </w:rPr>
      </w:pPr>
      <w:r w:rsidRPr="008F18E9">
        <w:rPr>
          <w:rFonts w:ascii="Arial" w:hAnsi="Arial" w:cs="Arial"/>
          <w:color w:val="000000" w:themeColor="text1"/>
        </w:rPr>
        <w:t xml:space="preserve">The DTW algorithm finds an optimal warping path between </w:t>
      </w:r>
      <m:oMath>
        <m:r>
          <w:rPr>
            <w:rFonts w:ascii="Cambria Math" w:hAnsi="Cambria Math" w:cs="Arial"/>
            <w:color w:val="000000" w:themeColor="text1"/>
          </w:rPr>
          <m:t>X</m:t>
        </m:r>
      </m:oMath>
      <w:r w:rsidRPr="008F18E9">
        <w:rPr>
          <w:rFonts w:ascii="Arial" w:hAnsi="Arial" w:cs="Arial"/>
          <w:color w:val="000000" w:themeColor="text1"/>
        </w:rPr>
        <w:t xml:space="preserve"> and </w:t>
      </w:r>
      <m:oMath>
        <m:r>
          <w:rPr>
            <w:rFonts w:ascii="Cambria Math" w:hAnsi="Cambria Math" w:cs="Arial"/>
            <w:color w:val="000000" w:themeColor="text1"/>
          </w:rPr>
          <m:t>Y</m:t>
        </m:r>
      </m:oMath>
      <w:r w:rsidRPr="008F18E9">
        <w:rPr>
          <w:rFonts w:ascii="Arial" w:hAnsi="Arial" w:cs="Arial"/>
          <w:color w:val="000000" w:themeColor="text1"/>
        </w:rPr>
        <w:t xml:space="preserve"> that minimizes the cumulative distance between aligned elements.</w:t>
      </w:r>
    </w:p>
    <w:p w14:paraId="46B0F294"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Step 1: Distance Matrix</w:t>
      </w:r>
    </w:p>
    <w:p w14:paraId="547FF515" w14:textId="673711C0"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 xml:space="preserve">A local distance matrix </w:t>
      </w:r>
      <m:oMath>
        <m:r>
          <w:rPr>
            <w:rFonts w:ascii="Cambria Math" w:hAnsi="Cambria Math" w:cs="Arial"/>
            <w:color w:val="000000" w:themeColor="text1"/>
          </w:rPr>
          <m:t>D</m:t>
        </m:r>
      </m:oMath>
      <w:r w:rsidRPr="008F18E9">
        <w:rPr>
          <w:rFonts w:ascii="Arial" w:hAnsi="Arial" w:cs="Arial"/>
          <w:color w:val="000000" w:themeColor="text1"/>
        </w:rPr>
        <w:t xml:space="preserve"> of size </w:t>
      </w:r>
      <m:oMath>
        <m:r>
          <w:rPr>
            <w:rFonts w:ascii="Cambria Math" w:hAnsi="Cambria Math" w:cs="Arial"/>
            <w:color w:val="000000" w:themeColor="text1"/>
          </w:rPr>
          <m:t>n</m:t>
        </m:r>
        <m:r>
          <m:rPr>
            <m:sty m:val="p"/>
          </m:rPr>
          <w:rPr>
            <w:rFonts w:ascii="Cambria Math" w:hAnsi="Cambria Math" w:cs="Arial"/>
            <w:color w:val="000000" w:themeColor="text1"/>
          </w:rPr>
          <m:t>×</m:t>
        </m:r>
        <m:r>
          <w:rPr>
            <w:rFonts w:ascii="Cambria Math" w:hAnsi="Cambria Math" w:cs="Arial"/>
            <w:color w:val="000000" w:themeColor="text1"/>
          </w:rPr>
          <m:t>m</m:t>
        </m:r>
      </m:oMath>
      <w:r w:rsidRPr="008F18E9">
        <w:rPr>
          <w:rFonts w:ascii="Arial" w:hAnsi="Arial" w:cs="Arial"/>
          <w:color w:val="000000" w:themeColor="text1"/>
        </w:rPr>
        <w:t xml:space="preserve"> is computed as:</w:t>
      </w:r>
    </w:p>
    <w:p w14:paraId="4BEA0FAE" w14:textId="6A740FF9" w:rsidR="00185319" w:rsidRPr="008F18E9" w:rsidRDefault="00185319" w:rsidP="00185319">
      <w:pPr>
        <w:pStyle w:val="Body"/>
        <w:rPr>
          <w:rFonts w:ascii="Arial" w:hAnsi="Arial" w:cs="Arial"/>
          <w:color w:val="000000" w:themeColor="text1"/>
        </w:rPr>
      </w:pPr>
      <m:oMathPara>
        <m:oMath>
          <m:r>
            <w:rPr>
              <w:rFonts w:ascii="Cambria Math" w:hAnsi="Cambria Math" w:cs="Arial"/>
              <w:color w:val="000000" w:themeColor="text1"/>
            </w:rPr>
            <m:t>d</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j</m:t>
                  </m:r>
                </m:sub>
              </m:sSub>
            </m:e>
          </m:d>
          <m:r>
            <m:rPr>
              <m:sty m:val="p"/>
            </m:rPr>
            <w:rPr>
              <w:rFonts w:ascii="Cambria Math" w:hAnsi="Cambria Math" w:cs="Arial"/>
              <w:color w:val="000000" w:themeColor="text1"/>
            </w:rPr>
            <m:t>.</m:t>
          </m:r>
        </m:oMath>
      </m:oMathPara>
    </w:p>
    <w:p w14:paraId="6D685303" w14:textId="77777777"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For multivariate series, the Euclidean distance is used:</w:t>
      </w:r>
    </w:p>
    <w:p w14:paraId="56457AE5" w14:textId="6EF1EEB4" w:rsidR="00185319" w:rsidRPr="008F18E9" w:rsidRDefault="00185319" w:rsidP="00185319">
      <w:pPr>
        <w:pStyle w:val="Body"/>
        <w:rPr>
          <w:rFonts w:ascii="Arial" w:hAnsi="Arial" w:cs="Arial"/>
          <w:color w:val="000000" w:themeColor="text1"/>
        </w:rPr>
      </w:pPr>
      <m:oMathPara>
        <m:oMath>
          <m:r>
            <w:rPr>
              <w:rFonts w:ascii="Cambria Math" w:hAnsi="Cambria Math" w:cs="Arial"/>
              <w:color w:val="000000" w:themeColor="text1"/>
            </w:rPr>
            <m:t>d</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m:t>
          </m:r>
          <m:rad>
            <m:radPr>
              <m:degHide m:val="1"/>
              <m:ctrlPr>
                <w:rPr>
                  <w:rFonts w:ascii="Cambria Math" w:hAnsi="Cambria Math" w:cs="Arial"/>
                  <w:color w:val="000000" w:themeColor="text1"/>
                </w:rPr>
              </m:ctrlPr>
            </m:radPr>
            <m:deg/>
            <m:e>
              <m:nary>
                <m:naryPr>
                  <m:chr m:val="∑"/>
                  <m:limLoc m:val="undOvr"/>
                  <m:grow m:val="1"/>
                  <m:ctrlPr>
                    <w:rPr>
                      <w:rFonts w:ascii="Cambria Math" w:hAnsi="Cambria Math" w:cs="Arial"/>
                      <w:color w:val="000000" w:themeColor="text1"/>
                    </w:rPr>
                  </m:ctrlPr>
                </m:naryPr>
                <m:sub>
                  <m:r>
                    <w:rPr>
                      <w:rFonts w:ascii="Cambria Math" w:hAnsi="Cambria Math" w:cs="Arial"/>
                      <w:color w:val="000000" w:themeColor="text1"/>
                    </w:rPr>
                    <m:t>k</m:t>
                  </m:r>
                  <m:r>
                    <m:rPr>
                      <m:sty m:val="p"/>
                    </m:rPr>
                    <w:rPr>
                      <w:rFonts w:ascii="Cambria Math" w:hAnsi="Cambria Math" w:cs="Arial"/>
                      <w:color w:val="000000" w:themeColor="text1"/>
                    </w:rPr>
                    <m:t>=1</m:t>
                  </m:r>
                </m:sub>
                <m:sup>
                  <m:r>
                    <w:rPr>
                      <w:rFonts w:ascii="Cambria Math" w:hAnsi="Cambria Math" w:cs="Arial"/>
                      <w:color w:val="000000" w:themeColor="text1"/>
                    </w:rPr>
                    <m:t>p</m:t>
                  </m:r>
                </m:sup>
                <m:e>
                  <m:r>
                    <m:rPr>
                      <m:sty m:val="p"/>
                    </m:rPr>
                    <w:rPr>
                      <w:rFonts w:ascii="Cambria Math" w:hAnsi="Cambria Math" w:cs="Arial"/>
                      <w:color w:val="000000" w:themeColor="text1"/>
                    </w:rPr>
                    <m:t> </m:t>
                  </m:r>
                </m:e>
              </m:nary>
              <m:r>
                <m:rPr>
                  <m:sty m:val="p"/>
                </m:rPr>
                <w:rPr>
                  <w:rFonts w:ascii="Cambria Math" w:hAnsi="Cambria Math" w:cs="Arial"/>
                  <w:color w:val="000000" w:themeColor="text1"/>
                </w:rPr>
                <m:t> </m:t>
              </m:r>
              <m:sSup>
                <m:sSupPr>
                  <m:ctrlPr>
                    <w:rPr>
                      <w:rFonts w:ascii="Cambria Math" w:hAnsi="Cambria Math" w:cs="Arial"/>
                      <w:color w:val="000000" w:themeColor="text1"/>
                    </w:rPr>
                  </m:ctrlPr>
                </m:sSupPr>
                <m:e>
                  <m:d>
                    <m:dPr>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k</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j</m:t>
                          </m:r>
                          <m:r>
                            <m:rPr>
                              <m:sty m:val="p"/>
                            </m:rPr>
                            <w:rPr>
                              <w:rFonts w:ascii="Cambria Math" w:hAnsi="Cambria Math" w:cs="Arial"/>
                              <w:color w:val="000000" w:themeColor="text1"/>
                            </w:rPr>
                            <m:t>,</m:t>
                          </m:r>
                          <m:r>
                            <w:rPr>
                              <w:rFonts w:ascii="Cambria Math" w:hAnsi="Cambria Math" w:cs="Arial"/>
                              <w:color w:val="000000" w:themeColor="text1"/>
                            </w:rPr>
                            <m:t>k</m:t>
                          </m:r>
                        </m:sub>
                      </m:sSub>
                    </m:e>
                  </m:d>
                </m:e>
                <m:sup>
                  <m:r>
                    <m:rPr>
                      <m:sty m:val="p"/>
                    </m:rPr>
                    <w:rPr>
                      <w:rFonts w:ascii="Cambria Math" w:hAnsi="Cambria Math" w:cs="Arial"/>
                      <w:color w:val="000000" w:themeColor="text1"/>
                    </w:rPr>
                    <m:t>2</m:t>
                  </m:r>
                </m:sup>
              </m:sSup>
            </m:e>
          </m:rad>
          <m:r>
            <m:rPr>
              <m:sty m:val="p"/>
            </m:rPr>
            <w:rPr>
              <w:rFonts w:ascii="Cambria Math" w:hAnsi="Cambria Math" w:cs="Arial"/>
              <w:color w:val="000000" w:themeColor="text1"/>
            </w:rPr>
            <m:t>.</m:t>
          </m:r>
        </m:oMath>
      </m:oMathPara>
    </w:p>
    <w:p w14:paraId="20680890"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Step 2: Cumulative Cost Matrix</w:t>
      </w:r>
    </w:p>
    <w:p w14:paraId="4288971B" w14:textId="3D813200"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 xml:space="preserve">A cumulative cost matrix </w:t>
      </w:r>
      <m:oMath>
        <m:r>
          <w:rPr>
            <w:rFonts w:ascii="Cambria Math" w:hAnsi="Cambria Math" w:cs="Arial"/>
            <w:color w:val="000000" w:themeColor="text1"/>
          </w:rPr>
          <m:t>γ</m:t>
        </m:r>
      </m:oMath>
      <w:r w:rsidRPr="008F18E9">
        <w:rPr>
          <w:rFonts w:ascii="Arial" w:hAnsi="Arial" w:cs="Arial"/>
          <w:color w:val="000000" w:themeColor="text1"/>
        </w:rPr>
        <w:t xml:space="preserve"> is computed recursively:</w:t>
      </w:r>
    </w:p>
    <w:p w14:paraId="0D19C093" w14:textId="79521AC2" w:rsidR="00185319" w:rsidRPr="008F18E9" w:rsidRDefault="00185319" w:rsidP="00185319">
      <w:pPr>
        <w:pStyle w:val="Body"/>
        <w:rPr>
          <w:rFonts w:ascii="Arial" w:hAnsi="Arial" w:cs="Arial"/>
          <w:color w:val="000000" w:themeColor="text1"/>
        </w:rPr>
      </w:pPr>
      <m:oMathPara>
        <m:oMath>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m:t>
          </m:r>
          <m:r>
            <w:rPr>
              <w:rFonts w:ascii="Cambria Math" w:hAnsi="Cambria Math" w:cs="Arial"/>
              <w:color w:val="000000" w:themeColor="text1"/>
            </w:rPr>
            <m:t>d</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)+min</m:t>
          </m:r>
          <m:d>
            <m:dPr>
              <m:begChr m:val="{"/>
              <m:endChr m:val=""/>
              <m:ctrlPr>
                <w:rPr>
                  <w:rFonts w:ascii="Cambria Math" w:hAnsi="Cambria Math" w:cs="Arial"/>
                  <w:color w:val="000000" w:themeColor="text1"/>
                </w:rPr>
              </m:ctrlPr>
            </m:dPr>
            <m:e>
              <m:m>
                <m:mPr>
                  <m:plcHide m:val="1"/>
                  <m:mcs>
                    <m:mc>
                      <m:mcPr>
                        <m:count m:val="2"/>
                        <m:mcJc m:val="left"/>
                      </m:mcPr>
                    </m:mc>
                  </m:mcs>
                  <m:ctrlPr>
                    <w:rPr>
                      <w:rFonts w:ascii="Cambria Math" w:hAnsi="Cambria Math" w:cs="Arial"/>
                      <w:i/>
                      <w:color w:val="000000" w:themeColor="text1"/>
                    </w:rPr>
                  </m:ctrlPr>
                </m:mPr>
                <m:mr>
                  <m:e>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-1,</m:t>
                    </m:r>
                    <m:r>
                      <w:rPr>
                        <w:rFonts w:ascii="Cambria Math" w:hAnsi="Cambria Math" w:cs="Arial"/>
                        <w:color w:val="000000" w:themeColor="text1"/>
                      </w:rPr>
                      <m:t>j</m:t>
                    </m:r>
                    <m:r>
                      <m:rPr>
                        <m:sty m:val="p"/>
                      </m:rPr>
                      <w:rPr>
                        <w:rFonts w:ascii="Cambria Math" w:hAnsi="Cambria Math" w:cs="Arial"/>
                        <w:color w:val="000000" w:themeColor="text1"/>
                      </w:rPr>
                      <m:t>-1)</m:t>
                    </m:r>
                  </m:e>
                  <m:e>
                    <m:r>
                      <m:rPr>
                        <m:nor/>
                      </m:rPr>
                      <w:rPr>
                        <w:rFonts w:ascii="Arial" w:hAnsi="Arial" w:cs="Arial"/>
                        <w:color w:val="000000" w:themeColor="text1"/>
                      </w:rPr>
                      <m:t> (diagonal) </m:t>
                    </m:r>
                  </m:e>
                </m:mr>
                <m:mr>
                  <m:e>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-1,</m:t>
                    </m:r>
                    <m:r>
                      <w:rPr>
                        <w:rFonts w:ascii="Cambria Math" w:hAnsi="Cambria Math" w:cs="Arial"/>
                        <w:color w:val="000000" w:themeColor="text1"/>
                      </w:rPr>
                      <m:t>j</m:t>
                    </m:r>
                    <m:r>
                      <m:rPr>
                        <m:sty m:val="p"/>
                      </m:rPr>
                      <w:rPr>
                        <w:rFonts w:ascii="Cambria Math" w:hAnsi="Cambria Math" w:cs="Arial"/>
                        <w:color w:val="000000" w:themeColor="text1"/>
                      </w:rPr>
                      <m:t>)</m:t>
                    </m:r>
                  </m:e>
                  <m:e>
                    <m:r>
                      <m:rPr>
                        <m:nor/>
                      </m:rPr>
                      <w:rPr>
                        <w:rFonts w:ascii="Arial" w:hAnsi="Arial" w:cs="Arial"/>
                        <w:color w:val="000000" w:themeColor="text1"/>
                      </w:rPr>
                      <m:t> (vertical) </m:t>
                    </m:r>
                  </m:e>
                </m:mr>
                <m:mr>
                  <m:e>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-1)</m:t>
                    </m:r>
                  </m:e>
                  <m:e>
                    <m:r>
                      <m:rPr>
                        <m:nor/>
                      </m:rPr>
                      <w:rPr>
                        <w:rFonts w:ascii="Arial" w:hAnsi="Arial" w:cs="Arial"/>
                        <w:color w:val="000000" w:themeColor="text1"/>
                      </w:rPr>
                      <m:t> (horizontal) </m:t>
                    </m:r>
                  </m:e>
                </m:mr>
              </m:m>
            </m:e>
          </m:d>
        </m:oMath>
      </m:oMathPara>
    </w:p>
    <w:p w14:paraId="44D1B5D5" w14:textId="30F9FAE5"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with boundary conditions</w:t>
      </w:r>
      <m:oMath>
        <m:m>
          <m:mPr>
            <m:plcHide m:val="1"/>
            <m:cGpRule m:val="4"/>
            <m:mcs>
              <m:mc>
                <m:mcPr>
                  <m:count m:val="1"/>
                  <m:mcJc m:val="right"/>
                </m:mcPr>
              </m:mc>
              <m:mc>
                <m:mcPr>
                  <m:count m:val="1"/>
                  <m:mcJc m:val="left"/>
                </m:mcPr>
              </m:mc>
            </m:mcs>
            <m:ctrlPr>
              <w:rPr>
                <w:rFonts w:ascii="Cambria Math" w:hAnsi="Cambria Math" w:cs="Arial"/>
                <w:i/>
                <w:color w:val="000000" w:themeColor="text1"/>
              </w:rPr>
            </m:ctrlPr>
          </m:mPr>
          <m:mr>
            <m:e/>
            <m:e>
              <m:r>
                <w:rPr>
                  <w:rFonts w:ascii="Cambria Math" w:hAnsi="Cambria Math" w:cs="Arial"/>
                  <w:color w:val="000000" w:themeColor="text1"/>
                </w:rPr>
                <m:t>γ</m:t>
              </m:r>
              <m:r>
                <m:rPr>
                  <m:sty m:val="p"/>
                </m:rPr>
                <w:rPr>
                  <w:rFonts w:ascii="Cambria Math" w:hAnsi="Cambria Math" w:cs="Arial"/>
                  <w:color w:val="000000" w:themeColor="text1"/>
                </w:rPr>
                <m:t>(1,1)=</m:t>
              </m:r>
              <m:r>
                <w:rPr>
                  <w:rFonts w:ascii="Cambria Math" w:hAnsi="Cambria Math" w:cs="Arial"/>
                  <w:color w:val="000000" w:themeColor="text1"/>
                </w:rPr>
                <m:t>d</m:t>
              </m:r>
              <m:r>
                <m:rPr>
                  <m:sty m:val="p"/>
                </m:rPr>
                <w:rPr>
                  <w:rFonts w:ascii="Cambria Math" w:hAnsi="Cambria Math" w:cs="Arial"/>
                  <w:color w:val="000000" w:themeColor="text1"/>
                </w:rPr>
                <m:t>(1,1),</m:t>
              </m:r>
            </m:e>
          </m:mr>
          <m:mr>
            <m:e/>
            <m:e>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,1)=</m:t>
              </m:r>
              <m:nary>
                <m:naryPr>
                  <m:chr m:val="∑"/>
                  <m:limLoc m:val="undOvr"/>
                  <m:grow m:val="1"/>
                  <m:ctrlPr>
                    <w:rPr>
                      <w:rFonts w:ascii="Cambria Math" w:hAnsi="Cambria Math" w:cs="Arial"/>
                      <w:color w:val="000000" w:themeColor="text1"/>
                    </w:rPr>
                  </m:ctrlPr>
                </m:naryPr>
                <m:sub>
                  <m:r>
                    <w:rPr>
                      <w:rFonts w:ascii="Cambria Math" w:hAnsi="Cambria Math" w:cs="Arial"/>
                      <w:color w:val="000000" w:themeColor="text1"/>
                    </w:rPr>
                    <m:t>k</m:t>
                  </m:r>
                  <m:r>
                    <m:rPr>
                      <m:sty m:val="p"/>
                    </m:rPr>
                    <w:rPr>
                      <w:rFonts w:ascii="Cambria Math" w:hAnsi="Cambria Math" w:cs="Arial"/>
                      <w:color w:val="000000" w:themeColor="text1"/>
                    </w:rPr>
                    <m:t>=1</m:t>
                  </m:r>
                </m:sub>
                <m:sup>
                  <m:r>
                    <w:rPr>
                      <w:rFonts w:ascii="Cambria Math" w:hAnsi="Cambria Math" w:cs="Arial"/>
                      <w:color w:val="000000" w:themeColor="text1"/>
                    </w:rPr>
                    <m:t>i</m:t>
                  </m:r>
                </m:sup>
                <m:e>
                  <m:r>
                    <m:rPr>
                      <m:sty m:val="p"/>
                    </m:rPr>
                    <w:rPr>
                      <w:rFonts w:ascii="Cambria Math" w:hAnsi="Cambria Math" w:cs="Arial"/>
                      <w:color w:val="000000" w:themeColor="text1"/>
                    </w:rPr>
                    <m:t> </m:t>
                  </m:r>
                </m:e>
              </m:nary>
              <m:r>
                <m:rPr>
                  <m:sty m:val="p"/>
                </m:rPr>
                <w:rPr>
                  <w:rFonts w:ascii="Cambria Math" w:hAnsi="Cambria Math" w:cs="Arial"/>
                  <w:color w:val="000000" w:themeColor="text1"/>
                </w:rPr>
                <m:t> </m:t>
              </m:r>
              <m:r>
                <w:rPr>
                  <w:rFonts w:ascii="Cambria Math" w:hAnsi="Cambria Math" w:cs="Arial"/>
                  <w:color w:val="000000" w:themeColor="text1"/>
                </w:rPr>
                <m:t>d</m:t>
              </m:r>
              <m:r>
                <m:rPr>
                  <m:sty m:val="p"/>
                </m:rPr>
                <w:rPr>
                  <w:rFonts w:ascii="Cambria Math" w:hAnsi="Cambria Math" w:cs="Arial"/>
                  <w:color w:val="000000" w:themeColor="text1"/>
                </w:rPr>
                <m:t>(</m:t>
              </m:r>
              <m:r>
                <w:rPr>
                  <w:rFonts w:ascii="Cambria Math" w:hAnsi="Cambria Math" w:cs="Arial"/>
                  <w:color w:val="000000" w:themeColor="text1"/>
                </w:rPr>
                <m:t>k</m:t>
              </m:r>
              <m:r>
                <m:rPr>
                  <m:sty m:val="p"/>
                </m:rPr>
                <w:rPr>
                  <w:rFonts w:ascii="Cambria Math" w:hAnsi="Cambria Math" w:cs="Arial"/>
                  <w:color w:val="000000" w:themeColor="text1"/>
                </w:rPr>
                <m:t>,1),</m:t>
              </m:r>
              <m:r>
                <m:rPr>
                  <m:nor/>
                </m:rPr>
                <w:rPr>
                  <w:rFonts w:ascii="Arial" w:hAnsi="Arial" w:cs="Arial"/>
                  <w:color w:val="000000" w:themeColor="text1"/>
                </w:rPr>
                <m:t> and </m:t>
              </m:r>
            </m:e>
          </m:mr>
          <m:mr>
            <m:e/>
            <m:e>
              <m:r>
                <w:rPr>
                  <w:rFonts w:ascii="Cambria Math" w:hAnsi="Cambria Math" w:cs="Arial"/>
                  <w:color w:val="000000" w:themeColor="text1"/>
                </w:rPr>
                <m:t>γ</m:t>
              </m:r>
              <m:r>
                <m:rPr>
                  <m:sty m:val="p"/>
                </m:rPr>
                <w:rPr>
                  <w:rFonts w:ascii="Cambria Math" w:hAnsi="Cambria Math" w:cs="Arial"/>
                  <w:color w:val="000000" w:themeColor="text1"/>
                </w:rPr>
                <m:t>(1,</m:t>
              </m:r>
              <m:r>
                <w:rPr>
                  <w:rFonts w:ascii="Cambria Math" w:hAnsi="Cambria Math" w:cs="Arial"/>
                  <w:color w:val="000000" w:themeColor="text1"/>
                </w:rPr>
                <m:t>j</m:t>
              </m:r>
              <m:r>
                <m:rPr>
                  <m:sty m:val="p"/>
                </m:rPr>
                <w:rPr>
                  <w:rFonts w:ascii="Cambria Math" w:hAnsi="Cambria Math" w:cs="Arial"/>
                  <w:color w:val="000000" w:themeColor="text1"/>
                </w:rPr>
                <m:t>)=</m:t>
              </m:r>
              <m:nary>
                <m:naryPr>
                  <m:chr m:val="∑"/>
                  <m:limLoc m:val="undOvr"/>
                  <m:grow m:val="1"/>
                  <m:ctrlPr>
                    <w:rPr>
                      <w:rFonts w:ascii="Cambria Math" w:hAnsi="Cambria Math" w:cs="Arial"/>
                      <w:color w:val="000000" w:themeColor="text1"/>
                    </w:rPr>
                  </m:ctrlPr>
                </m:naryPr>
                <m:sub>
                  <m:r>
                    <w:rPr>
                      <w:rFonts w:ascii="Cambria Math" w:hAnsi="Cambria Math" w:cs="Arial"/>
                      <w:color w:val="000000" w:themeColor="text1"/>
                    </w:rPr>
                    <m:t>k</m:t>
                  </m:r>
                  <m:r>
                    <m:rPr>
                      <m:sty m:val="p"/>
                    </m:rPr>
                    <w:rPr>
                      <w:rFonts w:ascii="Cambria Math" w:hAnsi="Cambria Math" w:cs="Arial"/>
                      <w:color w:val="000000" w:themeColor="text1"/>
                    </w:rPr>
                    <m:t>=1</m:t>
                  </m:r>
                </m:sub>
                <m:sup>
                  <m:r>
                    <w:rPr>
                      <w:rFonts w:ascii="Cambria Math" w:hAnsi="Cambria Math" w:cs="Arial"/>
                      <w:color w:val="000000" w:themeColor="text1"/>
                    </w:rPr>
                    <m:t>j</m:t>
                  </m:r>
                </m:sup>
                <m:e>
                  <m:r>
                    <m:rPr>
                      <m:sty m:val="p"/>
                    </m:rPr>
                    <w:rPr>
                      <w:rFonts w:ascii="Cambria Math" w:hAnsi="Cambria Math" w:cs="Arial"/>
                      <w:color w:val="000000" w:themeColor="text1"/>
                    </w:rPr>
                    <m:t> </m:t>
                  </m:r>
                </m:e>
              </m:nary>
              <m:r>
                <m:rPr>
                  <m:sty m:val="p"/>
                </m:rPr>
                <w:rPr>
                  <w:rFonts w:ascii="Cambria Math" w:hAnsi="Cambria Math" w:cs="Arial"/>
                  <w:color w:val="000000" w:themeColor="text1"/>
                </w:rPr>
                <m:t> </m:t>
              </m:r>
              <m:r>
                <w:rPr>
                  <w:rFonts w:ascii="Cambria Math" w:hAnsi="Cambria Math" w:cs="Arial"/>
                  <w:color w:val="000000" w:themeColor="text1"/>
                </w:rPr>
                <m:t>d</m:t>
              </m:r>
              <m:r>
                <m:rPr>
                  <m:sty m:val="p"/>
                </m:rPr>
                <w:rPr>
                  <w:rFonts w:ascii="Cambria Math" w:hAnsi="Cambria Math" w:cs="Arial"/>
                  <w:color w:val="000000" w:themeColor="text1"/>
                </w:rPr>
                <m:t>(1,</m:t>
              </m:r>
              <m:r>
                <w:rPr>
                  <w:rFonts w:ascii="Cambria Math" w:hAnsi="Cambria Math" w:cs="Arial"/>
                  <w:color w:val="000000" w:themeColor="text1"/>
                </w:rPr>
                <m:t>k</m:t>
              </m:r>
              <m:r>
                <m:rPr>
                  <m:sty m:val="p"/>
                </m:rPr>
                <w:rPr>
                  <w:rFonts w:ascii="Cambria Math" w:hAnsi="Cambria Math" w:cs="Arial"/>
                  <w:color w:val="000000" w:themeColor="text1"/>
                </w:rPr>
                <m:t>).</m:t>
              </m:r>
            </m:e>
          </m:mr>
        </m:m>
      </m:oMath>
    </w:p>
    <w:p w14:paraId="7468E1D1"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Step 3: Optimal Warping Path</w:t>
      </w:r>
    </w:p>
    <w:p w14:paraId="3C3994AE" w14:textId="1A66CA3A"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lastRenderedPageBreak/>
        <w:t xml:space="preserve">The optimal warping path </w:t>
      </w:r>
      <m:oMath>
        <m:r>
          <w:rPr>
            <w:rFonts w:ascii="Cambria Math" w:hAnsi="Cambria Math" w:cs="Arial"/>
            <w:color w:val="000000" w:themeColor="text1"/>
          </w:rPr>
          <m:t>W</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w</m:t>
                </m:r>
              </m:e>
              <m:sub>
                <m:r>
                  <m:rPr>
                    <m:sty m:val="p"/>
                  </m:rPr>
                  <w:rPr>
                    <w:rFonts w:ascii="Cambria Math" w:hAnsi="Cambria Math" w:cs="Arial"/>
                    <w:color w:val="000000" w:themeColor="text1"/>
                  </w:rPr>
                  <m:t>1</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w</m:t>
                </m:r>
              </m:e>
              <m:sub>
                <m:r>
                  <m:rPr>
                    <m:sty m:val="p"/>
                  </m:rPr>
                  <w:rPr>
                    <w:rFonts w:ascii="Cambria Math" w:hAnsi="Cambria Math" w:cs="Arial"/>
                    <w:color w:val="000000" w:themeColor="text1"/>
                  </w:rPr>
                  <m:t>2</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K</m:t>
                </m:r>
              </m:sub>
            </m:sSub>
          </m:e>
        </m:d>
      </m:oMath>
      <w:r w:rsidRPr="008F18E9">
        <w:rPr>
          <w:rFonts w:ascii="Arial" w:hAnsi="Arial" w:cs="Arial"/>
          <w:color w:val="000000" w:themeColor="text1"/>
        </w:rPr>
        <w:t xml:space="preserve"> with </w:t>
      </w:r>
      <m:oMath>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k</m:t>
            </m:r>
          </m:sub>
        </m:sSub>
        <m:r>
          <m:rPr>
            <m:sty m:val="p"/>
          </m:rPr>
          <w:rPr>
            <w:rFonts w:ascii="Cambria Math" w:hAnsi="Cambria Math" w:cs="Arial"/>
            <w:color w:val="000000" w:themeColor="text1"/>
          </w:rPr>
          <m:t>=</m:t>
        </m:r>
        <m:d>
          <m:dPr>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k</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j</m:t>
                </m:r>
              </m:e>
              <m:sub>
                <m:r>
                  <w:rPr>
                    <w:rFonts w:ascii="Cambria Math" w:hAnsi="Cambria Math" w:cs="Arial"/>
                    <w:color w:val="000000" w:themeColor="text1"/>
                  </w:rPr>
                  <m:t>k</m:t>
                </m:r>
              </m:sub>
            </m:sSub>
          </m:e>
        </m:d>
      </m:oMath>
      <w:r w:rsidRPr="008F18E9">
        <w:rPr>
          <w:rFonts w:ascii="Arial" w:hAnsi="Arial" w:cs="Arial"/>
          <w:color w:val="000000" w:themeColor="text1"/>
        </w:rPr>
        <w:t xml:space="preserve"> is obtained by backtracking from </w:t>
      </w:r>
      <m:oMath>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n</m:t>
        </m:r>
        <m:r>
          <m:rPr>
            <m:sty m:val="p"/>
          </m:rPr>
          <w:rPr>
            <w:rFonts w:ascii="Cambria Math" w:hAnsi="Cambria Math" w:cs="Arial"/>
            <w:color w:val="000000" w:themeColor="text1"/>
          </w:rPr>
          <m:t>,</m:t>
        </m:r>
        <m:r>
          <w:rPr>
            <w:rFonts w:ascii="Cambria Math" w:hAnsi="Cambria Math" w:cs="Arial"/>
            <w:color w:val="000000" w:themeColor="text1"/>
          </w:rPr>
          <m:t>m</m:t>
        </m:r>
        <m:r>
          <m:rPr>
            <m:sty m:val="p"/>
          </m:rPr>
          <w:rPr>
            <w:rFonts w:ascii="Cambria Math" w:hAnsi="Cambria Math" w:cs="Arial"/>
            <w:color w:val="000000" w:themeColor="text1"/>
          </w:rPr>
          <m:t>)</m:t>
        </m:r>
      </m:oMath>
      <w:r w:rsidRPr="008F18E9">
        <w:rPr>
          <w:rFonts w:ascii="Arial" w:hAnsi="Arial" w:cs="Arial"/>
          <w:color w:val="000000" w:themeColor="text1"/>
        </w:rPr>
        <w:t xml:space="preserve"> to </w:t>
      </w:r>
      <m:oMath>
        <m:r>
          <w:rPr>
            <w:rFonts w:ascii="Cambria Math" w:hAnsi="Cambria Math" w:cs="Arial"/>
            <w:color w:val="000000" w:themeColor="text1"/>
          </w:rPr>
          <m:t>γ</m:t>
        </m:r>
        <m:r>
          <m:rPr>
            <m:sty m:val="p"/>
          </m:rPr>
          <w:rPr>
            <w:rFonts w:ascii="Cambria Math" w:hAnsi="Cambria Math" w:cs="Arial"/>
            <w:color w:val="000000" w:themeColor="text1"/>
          </w:rPr>
          <m:t>(1,1)</m:t>
        </m:r>
      </m:oMath>
      <w:r w:rsidRPr="008F18E9">
        <w:rPr>
          <w:rFonts w:ascii="Arial" w:hAnsi="Arial" w:cs="Arial"/>
          <w:color w:val="000000" w:themeColor="text1"/>
        </w:rPr>
        <w:t>, always following the predecessor with the minimum cost.</w:t>
      </w:r>
    </w:p>
    <w:p w14:paraId="70F9F404"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Step 4: DTW Distance</w:t>
      </w:r>
    </w:p>
    <w:p w14:paraId="0809AB0F" w14:textId="22CB6BF9"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 xml:space="preserve">The DTW distance between </w:t>
      </w:r>
      <m:oMath>
        <m:r>
          <w:rPr>
            <w:rFonts w:ascii="Cambria Math" w:hAnsi="Cambria Math" w:cs="Arial"/>
            <w:color w:val="000000" w:themeColor="text1"/>
          </w:rPr>
          <m:t>X</m:t>
        </m:r>
      </m:oMath>
      <w:r w:rsidRPr="008F18E9">
        <w:rPr>
          <w:rFonts w:ascii="Arial" w:hAnsi="Arial" w:cs="Arial"/>
          <w:color w:val="000000" w:themeColor="text1"/>
        </w:rPr>
        <w:t xml:space="preserve"> and </w:t>
      </w:r>
      <m:oMath>
        <m:r>
          <w:rPr>
            <w:rFonts w:ascii="Cambria Math" w:hAnsi="Cambria Math" w:cs="Arial"/>
            <w:color w:val="000000" w:themeColor="text1"/>
          </w:rPr>
          <m:t>Y</m:t>
        </m:r>
      </m:oMath>
      <w:r w:rsidRPr="008F18E9">
        <w:rPr>
          <w:rFonts w:ascii="Arial" w:hAnsi="Arial" w:cs="Arial"/>
          <w:color w:val="000000" w:themeColor="text1"/>
        </w:rPr>
        <w:t xml:space="preserve"> is defined as:</w:t>
      </w:r>
    </w:p>
    <w:p w14:paraId="75F41BBD" w14:textId="2850EAAD" w:rsidR="00185319" w:rsidRPr="008F18E9" w:rsidRDefault="00185319" w:rsidP="00185319">
      <w:pPr>
        <w:pStyle w:val="Body"/>
        <w:rPr>
          <w:rFonts w:ascii="Arial" w:hAnsi="Arial" w:cs="Arial"/>
          <w:color w:val="000000" w:themeColor="text1"/>
        </w:rPr>
      </w:pPr>
      <m:oMathPara>
        <m:oMath>
          <m:r>
            <w:rPr>
              <w:rFonts w:ascii="Cambria Math" w:hAnsi="Cambria Math" w:cs="Arial"/>
              <w:color w:val="000000" w:themeColor="text1"/>
            </w:rPr>
            <m:t>DTW</m:t>
          </m:r>
          <m:r>
            <m:rPr>
              <m:sty m:val="p"/>
            </m:rPr>
            <w:rPr>
              <w:rFonts w:ascii="Cambria Math" w:hAnsi="Cambria Math" w:cs="Arial"/>
              <w:color w:val="000000" w:themeColor="text1"/>
            </w:rPr>
            <m:t>(</m:t>
          </m:r>
          <m:r>
            <w:rPr>
              <w:rFonts w:ascii="Cambria Math" w:hAnsi="Cambria Math" w:cs="Arial"/>
              <w:color w:val="000000" w:themeColor="text1"/>
            </w:rPr>
            <m:t>X</m:t>
          </m:r>
          <m:r>
            <m:rPr>
              <m:sty m:val="p"/>
            </m:rPr>
            <w:rPr>
              <w:rFonts w:ascii="Cambria Math" w:hAnsi="Cambria Math" w:cs="Arial"/>
              <w:color w:val="000000" w:themeColor="text1"/>
            </w:rPr>
            <m:t>,</m:t>
          </m:r>
          <m:r>
            <w:rPr>
              <w:rFonts w:ascii="Cambria Math" w:hAnsi="Cambria Math" w:cs="Arial"/>
              <w:color w:val="000000" w:themeColor="text1"/>
            </w:rPr>
            <m:t>Y</m:t>
          </m:r>
          <m:r>
            <m:rPr>
              <m:sty m:val="p"/>
            </m:rPr>
            <w:rPr>
              <w:rFonts w:ascii="Cambria Math" w:hAnsi="Cambria Math" w:cs="Arial"/>
              <w:color w:val="000000" w:themeColor="text1"/>
            </w:rPr>
            <m:t>)=</m:t>
          </m:r>
          <m:f>
            <m:fPr>
              <m:ctrlPr>
                <w:rPr>
                  <w:rFonts w:ascii="Cambria Math" w:hAnsi="Cambria Math" w:cs="Arial"/>
                  <w:color w:val="000000" w:themeColor="text1"/>
                </w:rPr>
              </m:ctrlPr>
            </m:fPr>
            <m:num>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n</m:t>
              </m:r>
              <m:r>
                <m:rPr>
                  <m:sty m:val="p"/>
                </m:rPr>
                <w:rPr>
                  <w:rFonts w:ascii="Cambria Math" w:hAnsi="Cambria Math" w:cs="Arial"/>
                  <w:color w:val="000000" w:themeColor="text1"/>
                </w:rPr>
                <m:t>,</m:t>
              </m:r>
              <m:r>
                <w:rPr>
                  <w:rFonts w:ascii="Cambria Math" w:hAnsi="Cambria Math" w:cs="Arial"/>
                  <w:color w:val="000000" w:themeColor="text1"/>
                </w:rPr>
                <m:t>m</m:t>
              </m:r>
              <m:r>
                <m:rPr>
                  <m:sty m:val="p"/>
                </m:rPr>
                <w:rPr>
                  <w:rFonts w:ascii="Cambria Math" w:hAnsi="Cambria Math" w:cs="Arial"/>
                  <w:color w:val="000000" w:themeColor="text1"/>
                </w:rPr>
                <m:t>)</m:t>
              </m:r>
            </m:num>
            <m:den>
              <m:r>
                <w:rPr>
                  <w:rFonts w:ascii="Cambria Math" w:hAnsi="Cambria Math" w:cs="Arial"/>
                  <w:color w:val="000000" w:themeColor="text1"/>
                </w:rPr>
                <m:t>K</m:t>
              </m:r>
            </m:den>
          </m:f>
        </m:oMath>
      </m:oMathPara>
    </w:p>
    <w:p w14:paraId="30D911D4" w14:textId="31475801"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 xml:space="preserve">where </w:t>
      </w:r>
      <m:oMath>
        <m:r>
          <w:rPr>
            <w:rFonts w:ascii="Cambria Math" w:hAnsi="Cambria Math" w:cs="Arial"/>
            <w:color w:val="000000" w:themeColor="text1"/>
          </w:rPr>
          <m:t>K</m:t>
        </m:r>
      </m:oMath>
      <w:r w:rsidRPr="008F18E9">
        <w:rPr>
          <w:rFonts w:ascii="Arial" w:hAnsi="Arial" w:cs="Arial"/>
          <w:color w:val="000000" w:themeColor="text1"/>
        </w:rPr>
        <w:t xml:space="preserve"> is the length of the warping </w:t>
      </w:r>
      <w:proofErr w:type="gramStart"/>
      <w:r w:rsidRPr="008F18E9">
        <w:rPr>
          <w:rFonts w:ascii="Arial" w:hAnsi="Arial" w:cs="Arial"/>
          <w:color w:val="000000" w:themeColor="text1"/>
        </w:rPr>
        <w:t>path.</w:t>
      </w:r>
      <w:proofErr w:type="gramEnd"/>
      <w:r w:rsidRPr="008F18E9">
        <w:rPr>
          <w:rFonts w:ascii="Arial" w:hAnsi="Arial" w:cs="Arial"/>
          <w:color w:val="000000" w:themeColor="text1"/>
        </w:rPr>
        <w:t xml:space="preserve"> A lower DTW distance indicates higher similarity between the temporal patterns of the two series.</w:t>
      </w:r>
    </w:p>
    <w:p w14:paraId="1C0F821B" w14:textId="3866AABC" w:rsidR="00185319" w:rsidRPr="008F18E9" w:rsidRDefault="00185319" w:rsidP="00F521C6">
      <w:pPr>
        <w:pStyle w:val="Body"/>
        <w:rPr>
          <w:rFonts w:ascii="Arial" w:hAnsi="Arial" w:cs="Arial"/>
          <w:b/>
          <w:bCs/>
          <w:color w:val="000000" w:themeColor="text1"/>
        </w:rPr>
      </w:pPr>
      <w:r w:rsidRPr="008F18E9">
        <w:rPr>
          <w:rFonts w:ascii="Arial" w:hAnsi="Arial" w:cs="Arial"/>
          <w:b/>
          <w:bCs/>
          <w:color w:val="000000" w:themeColor="text1"/>
        </w:rPr>
        <w:t>2.5.2 Implementation Details</w:t>
      </w:r>
    </w:p>
    <w:p w14:paraId="505FADE0" w14:textId="6DBDF7FD" w:rsidR="005B0D5E" w:rsidRPr="008F18E9" w:rsidRDefault="005B0D5E" w:rsidP="00185319">
      <w:pPr>
        <w:pStyle w:val="Body"/>
        <w:rPr>
          <w:rFonts w:ascii="Arial" w:hAnsi="Arial" w:cs="Arial"/>
          <w:color w:val="000000" w:themeColor="text1"/>
        </w:rPr>
      </w:pPr>
      <w:r w:rsidRPr="008F18E9">
        <w:rPr>
          <w:rFonts w:ascii="Arial" w:hAnsi="Arial" w:cs="Arial"/>
          <w:color w:val="000000" w:themeColor="text1"/>
        </w:rPr>
        <w:t xml:space="preserve">Pair-wise alignments of weekly modal prices were run for consecutive years 2021-2024 with the Python </w:t>
      </w:r>
      <w:r w:rsidRPr="00971EC8">
        <w:rPr>
          <w:rFonts w:ascii="Arial" w:hAnsi="Arial" w:cs="Arial"/>
          <w:i/>
          <w:iCs/>
          <w:color w:val="000000" w:themeColor="text1"/>
        </w:rPr>
        <w:t>darts</w:t>
      </w:r>
      <w:r w:rsidRPr="008F18E9">
        <w:rPr>
          <w:rFonts w:ascii="Arial" w:hAnsi="Arial" w:cs="Arial"/>
          <w:color w:val="000000" w:themeColor="text1"/>
        </w:rPr>
        <w:t xml:space="preserve"> library. A full warping window (no </w:t>
      </w:r>
      <w:proofErr w:type="spellStart"/>
      <w:r w:rsidRPr="008F18E9">
        <w:rPr>
          <w:rFonts w:ascii="Arial" w:hAnsi="Arial" w:cs="Arial"/>
          <w:color w:val="000000" w:themeColor="text1"/>
        </w:rPr>
        <w:t>Sakoe</w:t>
      </w:r>
      <w:proofErr w:type="spellEnd"/>
      <w:r w:rsidRPr="008F18E9">
        <w:rPr>
          <w:rFonts w:ascii="Arial" w:hAnsi="Arial" w:cs="Arial"/>
          <w:color w:val="000000" w:themeColor="text1"/>
        </w:rPr>
        <w:t>-Chiba band) and Euclidean local cost were used first; robustness was checked with ±4-week bands</w:t>
      </w:r>
      <w:r w:rsidR="00A464A6">
        <w:rPr>
          <w:rFonts w:ascii="Arial" w:hAnsi="Arial" w:cs="Arial"/>
          <w:color w:val="000000" w:themeColor="text1"/>
        </w:rPr>
        <w:t xml:space="preserve"> </w:t>
      </w:r>
      <w:r w:rsidRPr="008F18E9">
        <w:rPr>
          <w:rFonts w:ascii="Arial" w:hAnsi="Arial" w:cs="Arial"/>
          <w:color w:val="000000" w:themeColor="text1"/>
        </w:rPr>
        <w:t>year-pair rankings did not change, so unrestricted results are reported. Metrics extracted: DTW distance, mean point-wise distance, path length, and warped series.</w:t>
      </w:r>
    </w:p>
    <w:p w14:paraId="05C8ADB2" w14:textId="2F9709CC"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2.6 Software and Statistical Tools</w:t>
      </w:r>
    </w:p>
    <w:p w14:paraId="579609F2" w14:textId="5CAE8AD7" w:rsidR="00185319" w:rsidRPr="008F18E9" w:rsidRDefault="005B0D5E" w:rsidP="00F521C6">
      <w:pPr>
        <w:pStyle w:val="Body"/>
        <w:rPr>
          <w:rFonts w:ascii="Arial" w:hAnsi="Arial" w:cs="Arial"/>
          <w:color w:val="000000" w:themeColor="text1"/>
        </w:rPr>
      </w:pPr>
      <w:r w:rsidRPr="008F18E9">
        <w:rPr>
          <w:rFonts w:ascii="Arial" w:hAnsi="Arial" w:cs="Arial"/>
          <w:color w:val="000000" w:themeColor="text1"/>
        </w:rPr>
        <w:t xml:space="preserve">All analyses were performed in Python 3.10 using </w:t>
      </w:r>
      <w:r w:rsidRPr="008F18E9">
        <w:rPr>
          <w:rFonts w:ascii="Arial" w:hAnsi="Arial" w:cs="Arial"/>
          <w:i/>
          <w:iCs/>
          <w:color w:val="000000" w:themeColor="text1"/>
        </w:rPr>
        <w:t xml:space="preserve">pandas, NumPy, SciPy, </w:t>
      </w:r>
      <w:r w:rsidR="007E1EF8" w:rsidRPr="008F18E9">
        <w:rPr>
          <w:rFonts w:ascii="Arial" w:hAnsi="Arial" w:cs="Arial"/>
          <w:i/>
          <w:iCs/>
          <w:color w:val="000000" w:themeColor="text1"/>
        </w:rPr>
        <w:t>stats models</w:t>
      </w:r>
      <w:r w:rsidRPr="008F18E9">
        <w:rPr>
          <w:rFonts w:ascii="Arial" w:hAnsi="Arial" w:cs="Arial"/>
          <w:i/>
          <w:iCs/>
          <w:color w:val="000000" w:themeColor="text1"/>
        </w:rPr>
        <w:t xml:space="preserve">, darts, </w:t>
      </w:r>
      <w:proofErr w:type="spellStart"/>
      <w:r w:rsidRPr="008F18E9">
        <w:rPr>
          <w:rFonts w:ascii="Arial" w:hAnsi="Arial" w:cs="Arial"/>
          <w:i/>
          <w:iCs/>
          <w:color w:val="000000" w:themeColor="text1"/>
        </w:rPr>
        <w:t>Plotly</w:t>
      </w:r>
      <w:proofErr w:type="spellEnd"/>
      <w:r w:rsidRPr="008F18E9">
        <w:rPr>
          <w:rFonts w:ascii="Arial" w:hAnsi="Arial" w:cs="Arial"/>
          <w:i/>
          <w:iCs/>
          <w:color w:val="000000" w:themeColor="text1"/>
        </w:rPr>
        <w:t xml:space="preserve">, matplotlib </w:t>
      </w:r>
      <w:r w:rsidRPr="008F18E9">
        <w:rPr>
          <w:rFonts w:ascii="Arial" w:hAnsi="Arial" w:cs="Arial"/>
          <w:color w:val="000000" w:themeColor="text1"/>
        </w:rPr>
        <w:t>and</w:t>
      </w:r>
      <w:r w:rsidRPr="008F18E9">
        <w:rPr>
          <w:rFonts w:ascii="Arial" w:hAnsi="Arial" w:cs="Arial"/>
          <w:i/>
          <w:iCs/>
          <w:color w:val="000000" w:themeColor="text1"/>
        </w:rPr>
        <w:t xml:space="preserve"> seaborn</w:t>
      </w:r>
      <w:r w:rsidRPr="008F18E9">
        <w:rPr>
          <w:rFonts w:ascii="Arial" w:hAnsi="Arial" w:cs="Arial"/>
          <w:color w:val="000000" w:themeColor="text1"/>
        </w:rPr>
        <w:t>; significance level α = 0.05.</w:t>
      </w:r>
    </w:p>
    <w:p w14:paraId="22025904" w14:textId="77777777" w:rsidR="00902823" w:rsidRPr="008F18E9" w:rsidRDefault="00000F8F" w:rsidP="00441B6F">
      <w:pPr>
        <w:pStyle w:val="Head1"/>
        <w:spacing w:after="0"/>
        <w:jc w:val="both"/>
        <w:rPr>
          <w:rFonts w:ascii="Arial" w:hAnsi="Arial" w:cs="Arial"/>
          <w:color w:val="000000" w:themeColor="text1"/>
        </w:rPr>
      </w:pPr>
      <w:r w:rsidRPr="008F18E9">
        <w:rPr>
          <w:rFonts w:ascii="Arial" w:hAnsi="Arial" w:cs="Arial"/>
          <w:color w:val="000000" w:themeColor="text1"/>
        </w:rPr>
        <w:t>3</w:t>
      </w:r>
      <w:r w:rsidR="00902823" w:rsidRPr="008F18E9">
        <w:rPr>
          <w:rFonts w:ascii="Arial" w:hAnsi="Arial" w:cs="Arial"/>
          <w:color w:val="000000" w:themeColor="text1"/>
        </w:rPr>
        <w:t xml:space="preserve">. </w:t>
      </w:r>
      <w:r w:rsidRPr="008F18E9">
        <w:rPr>
          <w:rFonts w:ascii="Arial" w:hAnsi="Arial" w:cs="Arial"/>
          <w:color w:val="000000" w:themeColor="text1"/>
        </w:rPr>
        <w:t>results and discussion</w:t>
      </w:r>
    </w:p>
    <w:p w14:paraId="46739F87" w14:textId="41A9B34B" w:rsidR="00A12EC0" w:rsidRPr="008F18E9" w:rsidRDefault="00A12EC0" w:rsidP="00A12EC0">
      <w:pPr>
        <w:pStyle w:val="Body"/>
        <w:spacing w:before="240"/>
        <w:rPr>
          <w:rFonts w:ascii="Arial" w:hAnsi="Arial" w:cs="Arial"/>
          <w:b/>
          <w:bCs/>
          <w:color w:val="000000" w:themeColor="text1"/>
        </w:rPr>
      </w:pPr>
      <w:r w:rsidRPr="008F18E9">
        <w:rPr>
          <w:rFonts w:ascii="Arial" w:hAnsi="Arial" w:cs="Arial"/>
          <w:b/>
          <w:bCs/>
          <w:color w:val="000000" w:themeColor="text1"/>
        </w:rPr>
        <w:t>3.1 Descriptive Statistics and Distributional Analysis</w:t>
      </w:r>
    </w:p>
    <w:p w14:paraId="4F1DA18E" w14:textId="73ADE6E3" w:rsidR="00790ADA" w:rsidRPr="008F18E9" w:rsidRDefault="0080294F" w:rsidP="00153CA4">
      <w:pPr>
        <w:tabs>
          <w:tab w:val="left" w:pos="1080"/>
        </w:tabs>
        <w:spacing w:before="240"/>
        <w:jc w:val="both"/>
        <w:rPr>
          <w:rFonts w:ascii="Arial" w:hAnsi="Arial"/>
          <w:b/>
          <w:color w:val="000000" w:themeColor="text1"/>
        </w:rPr>
      </w:pPr>
      <w:r w:rsidRPr="008F18E9">
        <w:rPr>
          <w:rFonts w:ascii="Arial" w:hAnsi="Arial"/>
          <w:b/>
          <w:color w:val="000000" w:themeColor="text1"/>
        </w:rPr>
        <w:t>Table 1.</w:t>
      </w:r>
      <w:r w:rsidR="00B5164F" w:rsidRPr="008F18E9">
        <w:rPr>
          <w:rFonts w:ascii="Arial" w:hAnsi="Arial"/>
          <w:b/>
          <w:color w:val="000000" w:themeColor="text1"/>
        </w:rPr>
        <w:tab/>
      </w:r>
      <w:r w:rsidRPr="008F18E9">
        <w:rPr>
          <w:rFonts w:ascii="Arial" w:hAnsi="Arial"/>
          <w:b/>
          <w:color w:val="000000" w:themeColor="text1"/>
        </w:rPr>
        <w:t xml:space="preserve">Descriptive </w:t>
      </w:r>
      <w:r w:rsidR="0039125E" w:rsidRPr="008F18E9">
        <w:rPr>
          <w:rFonts w:ascii="Arial" w:hAnsi="Arial"/>
          <w:b/>
          <w:color w:val="000000" w:themeColor="text1"/>
        </w:rPr>
        <w:t>s</w:t>
      </w:r>
      <w:r w:rsidRPr="008F18E9">
        <w:rPr>
          <w:rFonts w:ascii="Arial" w:hAnsi="Arial"/>
          <w:b/>
          <w:color w:val="000000" w:themeColor="text1"/>
        </w:rPr>
        <w:t xml:space="preserve">tatistics of Tomato </w:t>
      </w:r>
      <w:r w:rsidR="0039125E" w:rsidRPr="008F18E9">
        <w:rPr>
          <w:rFonts w:ascii="Arial" w:hAnsi="Arial"/>
          <w:b/>
          <w:color w:val="000000" w:themeColor="text1"/>
        </w:rPr>
        <w:t>a</w:t>
      </w:r>
      <w:r w:rsidRPr="008F18E9">
        <w:rPr>
          <w:rFonts w:ascii="Arial" w:hAnsi="Arial"/>
          <w:b/>
          <w:color w:val="000000" w:themeColor="text1"/>
        </w:rPr>
        <w:t xml:space="preserve">rrivals and </w:t>
      </w:r>
      <w:r w:rsidR="0039125E" w:rsidRPr="008F18E9">
        <w:rPr>
          <w:rFonts w:ascii="Arial" w:hAnsi="Arial"/>
          <w:b/>
          <w:color w:val="000000" w:themeColor="text1"/>
        </w:rPr>
        <w:t>p</w:t>
      </w:r>
      <w:r w:rsidRPr="008F18E9">
        <w:rPr>
          <w:rFonts w:ascii="Arial" w:hAnsi="Arial"/>
          <w:b/>
          <w:color w:val="000000" w:themeColor="text1"/>
        </w:rPr>
        <w:t>rices in Kolar</w:t>
      </w:r>
      <w:r w:rsidR="0039125E" w:rsidRPr="008F18E9">
        <w:rPr>
          <w:rFonts w:ascii="Arial" w:hAnsi="Arial"/>
          <w:b/>
          <w:color w:val="000000" w:themeColor="text1"/>
        </w:rPr>
        <w:t xml:space="preserve"> Market</w:t>
      </w:r>
      <w:r w:rsidRPr="008F18E9">
        <w:rPr>
          <w:rFonts w:ascii="Arial" w:hAnsi="Arial"/>
          <w:b/>
          <w:color w:val="000000" w:themeColor="text1"/>
        </w:rPr>
        <w:t xml:space="preserve"> (2010</w:t>
      </w:r>
      <w:r w:rsidR="00963F6B" w:rsidRPr="008F18E9">
        <w:rPr>
          <w:rFonts w:ascii="Arial" w:hAnsi="Arial"/>
          <w:b/>
          <w:color w:val="000000" w:themeColor="text1"/>
        </w:rPr>
        <w:t>-</w:t>
      </w:r>
      <w:r w:rsidRPr="008F18E9">
        <w:rPr>
          <w:rFonts w:ascii="Arial" w:hAnsi="Arial"/>
          <w:b/>
          <w:color w:val="000000" w:themeColor="text1"/>
        </w:rPr>
        <w:t>2025)</w:t>
      </w:r>
    </w:p>
    <w:p w14:paraId="400A0F7C" w14:textId="77777777" w:rsidR="00B5164F" w:rsidRPr="008F18E9" w:rsidRDefault="00B5164F" w:rsidP="0080294F">
      <w:pPr>
        <w:tabs>
          <w:tab w:val="left" w:pos="1080"/>
        </w:tabs>
        <w:jc w:val="both"/>
        <w:rPr>
          <w:rFonts w:ascii="Arial" w:hAnsi="Arial"/>
          <w:b/>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78"/>
        <w:gridCol w:w="2338"/>
        <w:gridCol w:w="3392"/>
      </w:tblGrid>
      <w:tr w:rsidR="008F18E9" w:rsidRPr="008F18E9" w14:paraId="5628A812" w14:textId="77777777" w:rsidTr="0002423B">
        <w:trPr>
          <w:tblHeader/>
          <w:tblCellSpacing w:w="15" w:type="dxa"/>
        </w:trPr>
        <w:tc>
          <w:tcPr>
            <w:tcW w:w="1483" w:type="pct"/>
            <w:tcBorders>
              <w:top w:val="single" w:sz="4" w:space="0" w:color="auto"/>
              <w:bottom w:val="single" w:sz="4" w:space="0" w:color="auto"/>
            </w:tcBorders>
            <w:vAlign w:val="center"/>
            <w:hideMark/>
          </w:tcPr>
          <w:p w14:paraId="6D1A778F" w14:textId="77777777" w:rsidR="00474B5B" w:rsidRPr="008F18E9" w:rsidRDefault="00474B5B" w:rsidP="00657DC0">
            <w:pPr>
              <w:tabs>
                <w:tab w:val="left" w:pos="1080"/>
              </w:tabs>
              <w:jc w:val="center"/>
              <w:rPr>
                <w:rFonts w:ascii="Arial" w:hAnsi="Arial" w:cs="Arial"/>
                <w:b/>
                <w:bCs/>
                <w:color w:val="000000" w:themeColor="text1"/>
              </w:rPr>
            </w:pPr>
            <w:r w:rsidRPr="008F18E9">
              <w:rPr>
                <w:rFonts w:ascii="Arial" w:hAnsi="Arial" w:cs="Arial"/>
                <w:b/>
                <w:bCs/>
                <w:color w:val="000000" w:themeColor="text1"/>
              </w:rPr>
              <w:t>Metric</w:t>
            </w:r>
          </w:p>
        </w:tc>
        <w:tc>
          <w:tcPr>
            <w:tcW w:w="1406" w:type="pct"/>
            <w:tcBorders>
              <w:top w:val="single" w:sz="4" w:space="0" w:color="auto"/>
              <w:bottom w:val="single" w:sz="4" w:space="0" w:color="auto"/>
            </w:tcBorders>
            <w:vAlign w:val="center"/>
            <w:hideMark/>
          </w:tcPr>
          <w:p w14:paraId="2B6988EF" w14:textId="1F4A7A6D" w:rsidR="00474B5B" w:rsidRPr="008F18E9" w:rsidRDefault="00474B5B" w:rsidP="00474B5B">
            <w:pPr>
              <w:tabs>
                <w:tab w:val="left" w:pos="1080"/>
              </w:tabs>
              <w:jc w:val="center"/>
              <w:rPr>
                <w:rFonts w:ascii="Arial" w:hAnsi="Arial" w:cs="Arial"/>
                <w:b/>
                <w:bCs/>
                <w:color w:val="000000" w:themeColor="text1"/>
              </w:rPr>
            </w:pPr>
            <w:r w:rsidRPr="008F18E9">
              <w:rPr>
                <w:rFonts w:ascii="Arial" w:hAnsi="Arial" w:cs="Arial"/>
                <w:b/>
                <w:bCs/>
                <w:color w:val="000000" w:themeColor="text1"/>
              </w:rPr>
              <w:t>Arrivals (</w:t>
            </w:r>
            <w:proofErr w:type="spellStart"/>
            <w:r w:rsidRPr="008F18E9">
              <w:rPr>
                <w:rFonts w:ascii="Arial" w:hAnsi="Arial" w:cs="Arial"/>
                <w:b/>
                <w:bCs/>
                <w:color w:val="000000" w:themeColor="text1"/>
              </w:rPr>
              <w:t>qtl</w:t>
            </w:r>
            <w:proofErr w:type="spellEnd"/>
            <w:r w:rsidRPr="008F18E9">
              <w:rPr>
                <w:rFonts w:ascii="Arial" w:hAnsi="Arial" w:cs="Arial"/>
                <w:b/>
                <w:bCs/>
                <w:color w:val="000000" w:themeColor="text1"/>
              </w:rPr>
              <w:t>)</w:t>
            </w:r>
          </w:p>
        </w:tc>
        <w:tc>
          <w:tcPr>
            <w:tcW w:w="2039" w:type="pct"/>
            <w:tcBorders>
              <w:top w:val="single" w:sz="4" w:space="0" w:color="auto"/>
              <w:bottom w:val="single" w:sz="4" w:space="0" w:color="auto"/>
            </w:tcBorders>
            <w:vAlign w:val="center"/>
            <w:hideMark/>
          </w:tcPr>
          <w:p w14:paraId="5EA0B410" w14:textId="1297E5AF" w:rsidR="00474B5B" w:rsidRPr="008F18E9" w:rsidRDefault="00474B5B" w:rsidP="00474B5B">
            <w:pPr>
              <w:tabs>
                <w:tab w:val="left" w:pos="1080"/>
              </w:tabs>
              <w:jc w:val="center"/>
              <w:rPr>
                <w:rFonts w:ascii="Arial" w:hAnsi="Arial" w:cs="Arial"/>
                <w:b/>
                <w:bCs/>
                <w:color w:val="000000" w:themeColor="text1"/>
              </w:rPr>
            </w:pPr>
            <w:r w:rsidRPr="008F18E9">
              <w:rPr>
                <w:rFonts w:ascii="Arial" w:hAnsi="Arial" w:cs="Arial"/>
                <w:b/>
                <w:bCs/>
                <w:color w:val="000000" w:themeColor="text1"/>
              </w:rPr>
              <w:t>Modal Price (₹/</w:t>
            </w:r>
            <w:proofErr w:type="spellStart"/>
            <w:r w:rsidRPr="008F18E9">
              <w:rPr>
                <w:rFonts w:ascii="Arial" w:hAnsi="Arial" w:cs="Arial"/>
                <w:b/>
                <w:bCs/>
                <w:color w:val="000000" w:themeColor="text1"/>
              </w:rPr>
              <w:t>qtl</w:t>
            </w:r>
            <w:proofErr w:type="spellEnd"/>
            <w:r w:rsidRPr="008F18E9">
              <w:rPr>
                <w:rFonts w:ascii="Arial" w:hAnsi="Arial" w:cs="Arial"/>
                <w:b/>
                <w:bCs/>
                <w:color w:val="000000" w:themeColor="text1"/>
              </w:rPr>
              <w:t>)</w:t>
            </w:r>
          </w:p>
        </w:tc>
      </w:tr>
      <w:tr w:rsidR="008F18E9" w:rsidRPr="008F18E9" w14:paraId="124DFCAC" w14:textId="77777777" w:rsidTr="0002423B">
        <w:trPr>
          <w:tblCellSpacing w:w="15" w:type="dxa"/>
        </w:trPr>
        <w:tc>
          <w:tcPr>
            <w:tcW w:w="1483" w:type="pct"/>
            <w:vAlign w:val="center"/>
            <w:hideMark/>
          </w:tcPr>
          <w:p w14:paraId="70C4A7B5"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Count</w:t>
            </w:r>
          </w:p>
        </w:tc>
        <w:tc>
          <w:tcPr>
            <w:tcW w:w="1406" w:type="pct"/>
            <w:vAlign w:val="center"/>
            <w:hideMark/>
          </w:tcPr>
          <w:p w14:paraId="4362BD8B" w14:textId="24B39046"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792</w:t>
            </w:r>
          </w:p>
        </w:tc>
        <w:tc>
          <w:tcPr>
            <w:tcW w:w="2039" w:type="pct"/>
            <w:vAlign w:val="center"/>
            <w:hideMark/>
          </w:tcPr>
          <w:p w14:paraId="4B3D8617" w14:textId="77777777"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792</w:t>
            </w:r>
          </w:p>
        </w:tc>
      </w:tr>
      <w:tr w:rsidR="008F18E9" w:rsidRPr="008F18E9" w14:paraId="025FDC3B" w14:textId="77777777" w:rsidTr="0002423B">
        <w:trPr>
          <w:tblCellSpacing w:w="15" w:type="dxa"/>
        </w:trPr>
        <w:tc>
          <w:tcPr>
            <w:tcW w:w="1483" w:type="pct"/>
            <w:vAlign w:val="center"/>
            <w:hideMark/>
          </w:tcPr>
          <w:p w14:paraId="54E2FD91"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Mean</w:t>
            </w:r>
          </w:p>
        </w:tc>
        <w:tc>
          <w:tcPr>
            <w:tcW w:w="1406" w:type="pct"/>
            <w:vAlign w:val="center"/>
            <w:hideMark/>
          </w:tcPr>
          <w:p w14:paraId="23268E87" w14:textId="68CFB032"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6772</w:t>
            </w:r>
          </w:p>
        </w:tc>
        <w:tc>
          <w:tcPr>
            <w:tcW w:w="2039" w:type="pct"/>
            <w:vAlign w:val="center"/>
            <w:hideMark/>
          </w:tcPr>
          <w:p w14:paraId="2873ED35" w14:textId="4E0A0E7C"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1140</w:t>
            </w:r>
          </w:p>
        </w:tc>
      </w:tr>
      <w:tr w:rsidR="008F18E9" w:rsidRPr="008F18E9" w14:paraId="69FD2C9E" w14:textId="77777777" w:rsidTr="0002423B">
        <w:trPr>
          <w:tblCellSpacing w:w="15" w:type="dxa"/>
        </w:trPr>
        <w:tc>
          <w:tcPr>
            <w:tcW w:w="1483" w:type="pct"/>
            <w:vAlign w:val="center"/>
            <w:hideMark/>
          </w:tcPr>
          <w:p w14:paraId="32906BF9"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Std</w:t>
            </w:r>
          </w:p>
        </w:tc>
        <w:tc>
          <w:tcPr>
            <w:tcW w:w="1406" w:type="pct"/>
            <w:vAlign w:val="center"/>
            <w:hideMark/>
          </w:tcPr>
          <w:p w14:paraId="698AED33" w14:textId="2A9D5F68"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6899</w:t>
            </w:r>
          </w:p>
        </w:tc>
        <w:tc>
          <w:tcPr>
            <w:tcW w:w="2039" w:type="pct"/>
            <w:vAlign w:val="center"/>
            <w:hideMark/>
          </w:tcPr>
          <w:p w14:paraId="28734A7C" w14:textId="4CEB2618"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8</w:t>
            </w:r>
            <w:r w:rsidR="001C60FF" w:rsidRPr="008F18E9">
              <w:rPr>
                <w:rFonts w:ascii="Arial" w:hAnsi="Arial" w:cs="Arial"/>
                <w:color w:val="000000" w:themeColor="text1"/>
              </w:rPr>
              <w:t>80</w:t>
            </w:r>
          </w:p>
        </w:tc>
      </w:tr>
      <w:tr w:rsidR="008F18E9" w:rsidRPr="008F18E9" w14:paraId="26CDE8DA" w14:textId="77777777" w:rsidTr="0002423B">
        <w:trPr>
          <w:tblCellSpacing w:w="15" w:type="dxa"/>
        </w:trPr>
        <w:tc>
          <w:tcPr>
            <w:tcW w:w="1483" w:type="pct"/>
            <w:vAlign w:val="center"/>
          </w:tcPr>
          <w:p w14:paraId="589B5503" w14:textId="26DBF8DB" w:rsidR="0002423B" w:rsidRPr="008F18E9" w:rsidRDefault="0002423B" w:rsidP="003A7B9A">
            <w:pPr>
              <w:tabs>
                <w:tab w:val="left" w:pos="1080"/>
              </w:tabs>
              <w:jc w:val="both"/>
              <w:rPr>
                <w:rFonts w:ascii="Arial" w:hAnsi="Arial" w:cs="Arial"/>
                <w:color w:val="000000" w:themeColor="text1"/>
              </w:rPr>
            </w:pPr>
            <w:r w:rsidRPr="008F18E9">
              <w:rPr>
                <w:rFonts w:ascii="Arial" w:hAnsi="Arial" w:cs="Arial"/>
                <w:color w:val="000000" w:themeColor="text1"/>
              </w:rPr>
              <w:t>CV (%)</w:t>
            </w:r>
          </w:p>
        </w:tc>
        <w:tc>
          <w:tcPr>
            <w:tcW w:w="1406" w:type="pct"/>
            <w:vAlign w:val="center"/>
          </w:tcPr>
          <w:p w14:paraId="5A192DDA" w14:textId="026EE9BA"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101.89</w:t>
            </w:r>
          </w:p>
        </w:tc>
        <w:tc>
          <w:tcPr>
            <w:tcW w:w="2039" w:type="pct"/>
            <w:vAlign w:val="center"/>
          </w:tcPr>
          <w:p w14:paraId="1300F544" w14:textId="281B9EE3"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77.13</w:t>
            </w:r>
          </w:p>
        </w:tc>
      </w:tr>
      <w:tr w:rsidR="008F18E9" w:rsidRPr="008F18E9" w14:paraId="669B5069" w14:textId="77777777" w:rsidTr="0002423B">
        <w:trPr>
          <w:tblCellSpacing w:w="15" w:type="dxa"/>
        </w:trPr>
        <w:tc>
          <w:tcPr>
            <w:tcW w:w="1483" w:type="pct"/>
            <w:vAlign w:val="center"/>
          </w:tcPr>
          <w:p w14:paraId="16F5E1CB" w14:textId="245736ED" w:rsidR="0002423B" w:rsidRPr="008F18E9" w:rsidRDefault="0002423B" w:rsidP="003A7B9A">
            <w:pPr>
              <w:tabs>
                <w:tab w:val="left" w:pos="1080"/>
              </w:tabs>
              <w:jc w:val="both"/>
              <w:rPr>
                <w:rFonts w:ascii="Arial" w:hAnsi="Arial" w:cs="Arial"/>
                <w:color w:val="000000" w:themeColor="text1"/>
              </w:rPr>
            </w:pPr>
            <w:r w:rsidRPr="008F18E9">
              <w:rPr>
                <w:rFonts w:ascii="Arial" w:hAnsi="Arial" w:cs="Arial"/>
                <w:color w:val="000000" w:themeColor="text1"/>
              </w:rPr>
              <w:t>Skewness</w:t>
            </w:r>
          </w:p>
        </w:tc>
        <w:tc>
          <w:tcPr>
            <w:tcW w:w="1406" w:type="pct"/>
            <w:vAlign w:val="center"/>
          </w:tcPr>
          <w:p w14:paraId="71E3E5F6" w14:textId="2643ACD0"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2.02</w:t>
            </w:r>
          </w:p>
        </w:tc>
        <w:tc>
          <w:tcPr>
            <w:tcW w:w="2039" w:type="pct"/>
            <w:vAlign w:val="center"/>
          </w:tcPr>
          <w:p w14:paraId="4EF9F791" w14:textId="7F4493A4"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2.70</w:t>
            </w:r>
          </w:p>
        </w:tc>
      </w:tr>
      <w:tr w:rsidR="008F18E9" w:rsidRPr="008F18E9" w14:paraId="347CD58E" w14:textId="77777777" w:rsidTr="0002423B">
        <w:trPr>
          <w:tblCellSpacing w:w="15" w:type="dxa"/>
        </w:trPr>
        <w:tc>
          <w:tcPr>
            <w:tcW w:w="1483" w:type="pct"/>
            <w:vAlign w:val="center"/>
          </w:tcPr>
          <w:p w14:paraId="3DE9060E" w14:textId="183A8584" w:rsidR="0002423B" w:rsidRPr="008F18E9" w:rsidRDefault="0002423B" w:rsidP="003A7B9A">
            <w:pPr>
              <w:tabs>
                <w:tab w:val="left" w:pos="1080"/>
              </w:tabs>
              <w:jc w:val="both"/>
              <w:rPr>
                <w:rFonts w:ascii="Arial" w:hAnsi="Arial" w:cs="Arial"/>
                <w:color w:val="000000" w:themeColor="text1"/>
              </w:rPr>
            </w:pPr>
            <w:r w:rsidRPr="008F18E9">
              <w:rPr>
                <w:rFonts w:ascii="Arial" w:hAnsi="Arial" w:cs="Arial"/>
                <w:color w:val="000000" w:themeColor="text1"/>
              </w:rPr>
              <w:t>Kurtosis</w:t>
            </w:r>
          </w:p>
        </w:tc>
        <w:tc>
          <w:tcPr>
            <w:tcW w:w="1406" w:type="pct"/>
            <w:vAlign w:val="center"/>
          </w:tcPr>
          <w:p w14:paraId="2F9A0B46" w14:textId="213E92A9"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4.38</w:t>
            </w:r>
          </w:p>
        </w:tc>
        <w:tc>
          <w:tcPr>
            <w:tcW w:w="2039" w:type="pct"/>
            <w:vAlign w:val="center"/>
          </w:tcPr>
          <w:p w14:paraId="43AF3B25" w14:textId="57B9CFAF"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11.33</w:t>
            </w:r>
          </w:p>
        </w:tc>
      </w:tr>
      <w:tr w:rsidR="008F18E9" w:rsidRPr="008F18E9" w14:paraId="0DFC13A9" w14:textId="77777777" w:rsidTr="0002423B">
        <w:trPr>
          <w:tblCellSpacing w:w="15" w:type="dxa"/>
        </w:trPr>
        <w:tc>
          <w:tcPr>
            <w:tcW w:w="1483" w:type="pct"/>
            <w:vAlign w:val="center"/>
            <w:hideMark/>
          </w:tcPr>
          <w:p w14:paraId="30A5A4BB"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Min</w:t>
            </w:r>
          </w:p>
        </w:tc>
        <w:tc>
          <w:tcPr>
            <w:tcW w:w="1406" w:type="pct"/>
            <w:vAlign w:val="center"/>
            <w:hideMark/>
          </w:tcPr>
          <w:p w14:paraId="5DAD7306" w14:textId="6F7FB5D3"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361</w:t>
            </w:r>
          </w:p>
        </w:tc>
        <w:tc>
          <w:tcPr>
            <w:tcW w:w="2039" w:type="pct"/>
            <w:vAlign w:val="center"/>
            <w:hideMark/>
          </w:tcPr>
          <w:p w14:paraId="403A0C71" w14:textId="30832DBD"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153</w:t>
            </w:r>
          </w:p>
        </w:tc>
      </w:tr>
      <w:tr w:rsidR="008F18E9" w:rsidRPr="008F18E9" w14:paraId="2D3B3EFD" w14:textId="77777777" w:rsidTr="0002423B">
        <w:trPr>
          <w:tblCellSpacing w:w="15" w:type="dxa"/>
        </w:trPr>
        <w:tc>
          <w:tcPr>
            <w:tcW w:w="1483" w:type="pct"/>
            <w:vAlign w:val="center"/>
            <w:hideMark/>
          </w:tcPr>
          <w:p w14:paraId="1A8AEE3F"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25%</w:t>
            </w:r>
          </w:p>
        </w:tc>
        <w:tc>
          <w:tcPr>
            <w:tcW w:w="1406" w:type="pct"/>
            <w:vAlign w:val="center"/>
            <w:hideMark/>
          </w:tcPr>
          <w:p w14:paraId="5EE2B509" w14:textId="371ACCD5"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2016</w:t>
            </w:r>
          </w:p>
        </w:tc>
        <w:tc>
          <w:tcPr>
            <w:tcW w:w="2039" w:type="pct"/>
            <w:vAlign w:val="center"/>
            <w:hideMark/>
          </w:tcPr>
          <w:p w14:paraId="65F96F99" w14:textId="5224DE27"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58</w:t>
            </w:r>
            <w:r w:rsidR="001C60FF" w:rsidRPr="008F18E9">
              <w:rPr>
                <w:rFonts w:ascii="Arial" w:hAnsi="Arial" w:cs="Arial"/>
                <w:color w:val="000000" w:themeColor="text1"/>
              </w:rPr>
              <w:t>8</w:t>
            </w:r>
          </w:p>
        </w:tc>
      </w:tr>
      <w:tr w:rsidR="008F18E9" w:rsidRPr="008F18E9" w14:paraId="05BAA82C" w14:textId="77777777" w:rsidTr="0002423B">
        <w:trPr>
          <w:tblCellSpacing w:w="15" w:type="dxa"/>
        </w:trPr>
        <w:tc>
          <w:tcPr>
            <w:tcW w:w="1483" w:type="pct"/>
            <w:vAlign w:val="center"/>
            <w:hideMark/>
          </w:tcPr>
          <w:p w14:paraId="54EC33CB"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50% (Median)</w:t>
            </w:r>
          </w:p>
        </w:tc>
        <w:tc>
          <w:tcPr>
            <w:tcW w:w="1406" w:type="pct"/>
            <w:vAlign w:val="center"/>
            <w:hideMark/>
          </w:tcPr>
          <w:p w14:paraId="048BE251" w14:textId="292986A8"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4634</w:t>
            </w:r>
          </w:p>
        </w:tc>
        <w:tc>
          <w:tcPr>
            <w:tcW w:w="2039" w:type="pct"/>
            <w:vAlign w:val="center"/>
            <w:hideMark/>
          </w:tcPr>
          <w:p w14:paraId="08D24556" w14:textId="0E9C5033"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864</w:t>
            </w:r>
          </w:p>
        </w:tc>
      </w:tr>
      <w:tr w:rsidR="008F18E9" w:rsidRPr="008F18E9" w14:paraId="64F43DEC" w14:textId="77777777" w:rsidTr="0002423B">
        <w:trPr>
          <w:tblCellSpacing w:w="15" w:type="dxa"/>
        </w:trPr>
        <w:tc>
          <w:tcPr>
            <w:tcW w:w="1483" w:type="pct"/>
            <w:vAlign w:val="center"/>
            <w:hideMark/>
          </w:tcPr>
          <w:p w14:paraId="64D24EBD"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75%</w:t>
            </w:r>
          </w:p>
        </w:tc>
        <w:tc>
          <w:tcPr>
            <w:tcW w:w="1406" w:type="pct"/>
            <w:vAlign w:val="center"/>
            <w:hideMark/>
          </w:tcPr>
          <w:p w14:paraId="73238FAF" w14:textId="5C7E15F7"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8569</w:t>
            </w:r>
          </w:p>
        </w:tc>
        <w:tc>
          <w:tcPr>
            <w:tcW w:w="2039" w:type="pct"/>
            <w:vAlign w:val="center"/>
            <w:hideMark/>
          </w:tcPr>
          <w:p w14:paraId="27CFAB88" w14:textId="075A73CE"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1424</w:t>
            </w:r>
          </w:p>
        </w:tc>
      </w:tr>
      <w:tr w:rsidR="008F18E9" w:rsidRPr="008F18E9" w14:paraId="6B1A4E03" w14:textId="77777777" w:rsidTr="004C10E5">
        <w:trPr>
          <w:tblCellSpacing w:w="15" w:type="dxa"/>
        </w:trPr>
        <w:tc>
          <w:tcPr>
            <w:tcW w:w="1483" w:type="pct"/>
            <w:vAlign w:val="center"/>
            <w:hideMark/>
          </w:tcPr>
          <w:p w14:paraId="08F86573"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Max</w:t>
            </w:r>
          </w:p>
        </w:tc>
        <w:tc>
          <w:tcPr>
            <w:tcW w:w="1406" w:type="pct"/>
            <w:vAlign w:val="center"/>
            <w:hideMark/>
          </w:tcPr>
          <w:p w14:paraId="3C5890AB" w14:textId="0950298B"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38277</w:t>
            </w:r>
          </w:p>
        </w:tc>
        <w:tc>
          <w:tcPr>
            <w:tcW w:w="2039" w:type="pct"/>
            <w:vAlign w:val="center"/>
            <w:hideMark/>
          </w:tcPr>
          <w:p w14:paraId="34ACFAB2" w14:textId="2707BB43"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742</w:t>
            </w:r>
            <w:r w:rsidR="001C60FF" w:rsidRPr="008F18E9">
              <w:rPr>
                <w:rFonts w:ascii="Arial" w:hAnsi="Arial" w:cs="Arial"/>
                <w:color w:val="000000" w:themeColor="text1"/>
              </w:rPr>
              <w:t>9</w:t>
            </w:r>
          </w:p>
        </w:tc>
      </w:tr>
      <w:tr w:rsidR="004C10E5" w:rsidRPr="008F18E9" w14:paraId="2641EE49" w14:textId="77777777" w:rsidTr="0002423B">
        <w:trPr>
          <w:tblCellSpacing w:w="15" w:type="dxa"/>
        </w:trPr>
        <w:tc>
          <w:tcPr>
            <w:tcW w:w="1483" w:type="pct"/>
            <w:tcBorders>
              <w:bottom w:val="single" w:sz="4" w:space="0" w:color="auto"/>
            </w:tcBorders>
            <w:vAlign w:val="center"/>
          </w:tcPr>
          <w:p w14:paraId="0B1F42DF" w14:textId="08C5BCA5" w:rsidR="004C10E5" w:rsidRPr="008F18E9" w:rsidRDefault="004C10E5" w:rsidP="003A7B9A">
            <w:pPr>
              <w:tabs>
                <w:tab w:val="left" w:pos="1080"/>
              </w:tabs>
              <w:jc w:val="both"/>
              <w:rPr>
                <w:rFonts w:ascii="Arial" w:hAnsi="Arial" w:cs="Arial"/>
                <w:color w:val="000000" w:themeColor="text1"/>
              </w:rPr>
            </w:pPr>
            <w:r w:rsidRPr="008F18E9">
              <w:rPr>
                <w:rFonts w:ascii="Arial" w:hAnsi="Arial" w:cs="Arial"/>
                <w:color w:val="000000" w:themeColor="text1"/>
              </w:rPr>
              <w:t>JB p-value</w:t>
            </w:r>
          </w:p>
        </w:tc>
        <w:tc>
          <w:tcPr>
            <w:tcW w:w="1406" w:type="pct"/>
            <w:tcBorders>
              <w:bottom w:val="single" w:sz="4" w:space="0" w:color="auto"/>
            </w:tcBorders>
            <w:vAlign w:val="center"/>
          </w:tcPr>
          <w:p w14:paraId="49551591" w14:textId="4FF2E046" w:rsidR="004C10E5" w:rsidRPr="008F18E9" w:rsidRDefault="004C10E5" w:rsidP="001C60FF">
            <w:pPr>
              <w:tabs>
                <w:tab w:val="left" w:pos="1080"/>
              </w:tabs>
              <w:jc w:val="right"/>
              <w:rPr>
                <w:rFonts w:ascii="Arial" w:hAnsi="Arial" w:cs="Arial"/>
                <w:color w:val="000000" w:themeColor="text1"/>
              </w:rPr>
            </w:pPr>
            <w:r w:rsidRPr="008F18E9">
              <w:rPr>
                <w:rFonts w:ascii="Arial" w:hAnsi="Arial" w:cs="Arial"/>
                <w:color w:val="000000" w:themeColor="text1"/>
              </w:rPr>
              <w:t>&lt;0.001</w:t>
            </w:r>
          </w:p>
        </w:tc>
        <w:tc>
          <w:tcPr>
            <w:tcW w:w="2039" w:type="pct"/>
            <w:tcBorders>
              <w:bottom w:val="single" w:sz="4" w:space="0" w:color="auto"/>
            </w:tcBorders>
            <w:vAlign w:val="center"/>
          </w:tcPr>
          <w:p w14:paraId="60292A20" w14:textId="477F0EE8" w:rsidR="004C10E5" w:rsidRPr="008F18E9" w:rsidRDefault="004C10E5" w:rsidP="001C60FF">
            <w:pPr>
              <w:tabs>
                <w:tab w:val="left" w:pos="1080"/>
              </w:tabs>
              <w:jc w:val="right"/>
              <w:rPr>
                <w:rFonts w:ascii="Arial" w:hAnsi="Arial" w:cs="Arial"/>
                <w:color w:val="000000" w:themeColor="text1"/>
              </w:rPr>
            </w:pPr>
            <w:r w:rsidRPr="008F18E9">
              <w:rPr>
                <w:rFonts w:ascii="Arial" w:hAnsi="Arial" w:cs="Arial"/>
                <w:color w:val="000000" w:themeColor="text1"/>
              </w:rPr>
              <w:t>&lt;0.001</w:t>
            </w:r>
          </w:p>
        </w:tc>
      </w:tr>
    </w:tbl>
    <w:p w14:paraId="469BD3C8" w14:textId="77777777" w:rsidR="00E14CBE" w:rsidRPr="008F18E9" w:rsidRDefault="00E14CBE" w:rsidP="00441B6F">
      <w:pPr>
        <w:tabs>
          <w:tab w:val="left" w:pos="1080"/>
        </w:tabs>
        <w:jc w:val="both"/>
        <w:rPr>
          <w:rFonts w:ascii="Arial" w:hAnsi="Arial"/>
          <w:bCs/>
          <w:i/>
          <w:iCs/>
          <w:color w:val="000000" w:themeColor="text1"/>
          <w:sz w:val="18"/>
          <w:szCs w:val="18"/>
        </w:rPr>
      </w:pPr>
    </w:p>
    <w:p w14:paraId="5707DC8C" w14:textId="35C6F7EC" w:rsidR="00DC32D4" w:rsidRPr="008F18E9" w:rsidRDefault="00822A0B" w:rsidP="00DC32D4">
      <w:pPr>
        <w:pStyle w:val="Body"/>
        <w:spacing w:before="240"/>
        <w:rPr>
          <w:rFonts w:ascii="Arial" w:hAnsi="Arial" w:cs="Arial"/>
          <w:color w:val="000000" w:themeColor="text1"/>
        </w:rPr>
      </w:pPr>
      <w:r w:rsidRPr="000A7D3E">
        <w:rPr>
          <w:rFonts w:ascii="Arial" w:hAnsi="Arial" w:cs="Arial"/>
        </w:rPr>
        <w:lastRenderedPageBreak/>
        <w:t xml:space="preserve">Table 1 summarizes the weekly tomato arrivals and modal prices in Kolar Market from 2010 to 2025. </w:t>
      </w:r>
      <w:r w:rsidR="00DC32D4" w:rsidRPr="008F18E9">
        <w:rPr>
          <w:rFonts w:ascii="Arial" w:hAnsi="Arial" w:cs="Arial"/>
          <w:color w:val="000000" w:themeColor="text1"/>
        </w:rPr>
        <w:t>Weekly tomato arrivals and modal prices in Kolar Market (2010–2025) exhibited substantial variability, with coefficients of variation of 101.9 per cent for arrivals and 77.1 per cent for prices, far exceeding levels typically observed in stable commodity markets (Reddy and Reddy, 2018; Chand and Tewari, 2017) (Table 1). Positive skewness (2.02 for arrivals, 2.70 for prices) and high kurtosis (4.38 for arrivals, 11.33 for prices), along with Jarque</w:t>
      </w:r>
      <w:r w:rsidR="007B236B">
        <w:rPr>
          <w:rFonts w:ascii="Arial" w:hAnsi="Arial" w:cs="Arial"/>
          <w:color w:val="000000" w:themeColor="text1"/>
        </w:rPr>
        <w:t>-</w:t>
      </w:r>
      <w:r w:rsidR="00DC32D4" w:rsidRPr="008F18E9">
        <w:rPr>
          <w:rFonts w:ascii="Arial" w:hAnsi="Arial" w:cs="Arial"/>
          <w:color w:val="000000" w:themeColor="text1"/>
        </w:rPr>
        <w:t>Bera p-values &lt; 0.001, indicate frequent extreme values and heavy-tailed distributions, consistent with findings from other perishable commodity markets (</w:t>
      </w:r>
      <w:r w:rsidR="008E0596">
        <w:rPr>
          <w:rFonts w:ascii="Arial" w:hAnsi="Arial" w:cs="Arial"/>
          <w:color w:val="000000" w:themeColor="text1"/>
        </w:rPr>
        <w:t>Ali</w:t>
      </w:r>
      <w:r w:rsidR="00DC32D4" w:rsidRPr="008F18E9">
        <w:rPr>
          <w:rFonts w:ascii="Arial" w:hAnsi="Arial" w:cs="Arial"/>
          <w:color w:val="000000" w:themeColor="text1"/>
        </w:rPr>
        <w:t xml:space="preserve"> et al., 202</w:t>
      </w:r>
      <w:r w:rsidR="00A05E7F">
        <w:rPr>
          <w:rFonts w:ascii="Arial" w:hAnsi="Arial" w:cs="Arial"/>
          <w:color w:val="000000" w:themeColor="text1"/>
        </w:rPr>
        <w:t>3</w:t>
      </w:r>
      <w:r w:rsidR="00DC32D4" w:rsidRPr="008F18E9">
        <w:rPr>
          <w:rFonts w:ascii="Arial" w:hAnsi="Arial" w:cs="Arial"/>
          <w:color w:val="000000" w:themeColor="text1"/>
        </w:rPr>
        <w:t>;</w:t>
      </w:r>
      <w:r w:rsidR="003C264B">
        <w:rPr>
          <w:rFonts w:ascii="Arial" w:hAnsi="Arial" w:cs="Arial"/>
          <w:color w:val="000000" w:themeColor="text1"/>
        </w:rPr>
        <w:t xml:space="preserve"> </w:t>
      </w:r>
      <w:r w:rsidR="003C264B" w:rsidRPr="003C264B">
        <w:rPr>
          <w:rFonts w:ascii="Arial" w:hAnsi="Arial" w:cs="Arial"/>
          <w:color w:val="000000" w:themeColor="text1"/>
        </w:rPr>
        <w:t>Miljkovic</w:t>
      </w:r>
      <w:r w:rsidR="003C264B">
        <w:rPr>
          <w:rFonts w:ascii="Arial" w:hAnsi="Arial" w:cs="Arial"/>
          <w:color w:val="000000" w:themeColor="text1"/>
        </w:rPr>
        <w:t xml:space="preserve"> </w:t>
      </w:r>
      <w:r w:rsidR="00DC32D4" w:rsidRPr="008F18E9">
        <w:rPr>
          <w:rFonts w:ascii="Arial" w:hAnsi="Arial" w:cs="Arial"/>
          <w:color w:val="000000" w:themeColor="text1"/>
        </w:rPr>
        <w:t xml:space="preserve">et al., 2023; </w:t>
      </w:r>
      <w:proofErr w:type="spellStart"/>
      <w:r w:rsidR="00DC32D4" w:rsidRPr="008F18E9">
        <w:rPr>
          <w:rFonts w:ascii="Arial" w:hAnsi="Arial" w:cs="Arial"/>
          <w:color w:val="000000" w:themeColor="text1"/>
        </w:rPr>
        <w:t>Cont</w:t>
      </w:r>
      <w:proofErr w:type="spellEnd"/>
      <w:r w:rsidR="00DC32D4" w:rsidRPr="008F18E9">
        <w:rPr>
          <w:rFonts w:ascii="Arial" w:hAnsi="Arial" w:cs="Arial"/>
          <w:color w:val="000000" w:themeColor="text1"/>
        </w:rPr>
        <w:t>, 2001).</w:t>
      </w:r>
    </w:p>
    <w:p w14:paraId="42F73F66" w14:textId="5844CD09" w:rsidR="00DC32D4" w:rsidRPr="008F18E9" w:rsidRDefault="00DC32D4" w:rsidP="00DC32D4">
      <w:pPr>
        <w:pStyle w:val="Body"/>
        <w:spacing w:before="240"/>
        <w:rPr>
          <w:rFonts w:ascii="Arial" w:hAnsi="Arial" w:cs="Arial"/>
          <w:color w:val="000000" w:themeColor="text1"/>
        </w:rPr>
      </w:pPr>
      <w:r w:rsidRPr="008F18E9">
        <w:rPr>
          <w:rFonts w:ascii="Arial" w:hAnsi="Arial" w:cs="Arial"/>
          <w:color w:val="000000" w:themeColor="text1"/>
        </w:rPr>
        <w:t xml:space="preserve">These characteristics suggest that extreme price movements occur more frequently than would be expected under normal assumptions, making classical models such as standard ARIMA inadequate for capturing full market dynamics (Box et al., 2015; </w:t>
      </w:r>
      <w:proofErr w:type="spellStart"/>
      <w:r w:rsidRPr="008F18E9">
        <w:rPr>
          <w:rFonts w:ascii="Arial" w:hAnsi="Arial" w:cs="Arial"/>
          <w:color w:val="000000" w:themeColor="text1"/>
        </w:rPr>
        <w:t>Makridakis</w:t>
      </w:r>
      <w:proofErr w:type="spellEnd"/>
      <w:r w:rsidRPr="008F18E9">
        <w:rPr>
          <w:rFonts w:ascii="Arial" w:hAnsi="Arial" w:cs="Arial"/>
          <w:color w:val="000000" w:themeColor="text1"/>
        </w:rPr>
        <w:t xml:space="preserve"> et al., 1998). Robust modelling approaches or appropriate transformations, including logarithmic or Box–Cox, are recommended (Box and Cox, 1964; Taylor and Letham, 2018). Modern forecasting frameworks</w:t>
      </w:r>
      <w:r w:rsidR="007D4BD4">
        <w:rPr>
          <w:rFonts w:ascii="Arial" w:hAnsi="Arial" w:cs="Arial"/>
          <w:color w:val="000000" w:themeColor="text1"/>
        </w:rPr>
        <w:t xml:space="preserve"> - </w:t>
      </w:r>
      <w:r w:rsidRPr="008F18E9">
        <w:rPr>
          <w:rFonts w:ascii="Arial" w:hAnsi="Arial" w:cs="Arial"/>
          <w:color w:val="000000" w:themeColor="text1"/>
        </w:rPr>
        <w:t xml:space="preserve">SARIMA, Prophet, </w:t>
      </w:r>
      <w:proofErr w:type="spellStart"/>
      <w:r w:rsidRPr="008F18E9">
        <w:rPr>
          <w:rFonts w:ascii="Arial" w:hAnsi="Arial" w:cs="Arial"/>
          <w:color w:val="000000" w:themeColor="text1"/>
        </w:rPr>
        <w:t>XGBoost</w:t>
      </w:r>
      <w:proofErr w:type="spellEnd"/>
      <w:r w:rsidRPr="008F18E9">
        <w:rPr>
          <w:rFonts w:ascii="Arial" w:hAnsi="Arial" w:cs="Arial"/>
          <w:color w:val="000000" w:themeColor="text1"/>
        </w:rPr>
        <w:t>, and LSTM</w:t>
      </w:r>
      <w:r w:rsidR="007D4BD4">
        <w:rPr>
          <w:rFonts w:ascii="Arial" w:hAnsi="Arial" w:cs="Arial"/>
          <w:color w:val="000000" w:themeColor="text1"/>
        </w:rPr>
        <w:t xml:space="preserve"> </w:t>
      </w:r>
      <w:r w:rsidRPr="008F18E9">
        <w:rPr>
          <w:rFonts w:ascii="Arial" w:hAnsi="Arial" w:cs="Arial"/>
          <w:color w:val="000000" w:themeColor="text1"/>
        </w:rPr>
        <w:t xml:space="preserve">demonstrated superior performance in capturing non-linear and volatile patterns in agricultural markets (Chen and </w:t>
      </w:r>
      <w:proofErr w:type="spellStart"/>
      <w:r w:rsidRPr="008F18E9">
        <w:rPr>
          <w:rFonts w:ascii="Arial" w:hAnsi="Arial" w:cs="Arial"/>
          <w:color w:val="000000" w:themeColor="text1"/>
        </w:rPr>
        <w:t>Guestrin</w:t>
      </w:r>
      <w:proofErr w:type="spellEnd"/>
      <w:r w:rsidRPr="008F18E9">
        <w:rPr>
          <w:rFonts w:ascii="Arial" w:hAnsi="Arial" w:cs="Arial"/>
          <w:color w:val="000000" w:themeColor="text1"/>
        </w:rPr>
        <w:t xml:space="preserve">, 2016; Hochreiter and </w:t>
      </w:r>
      <w:proofErr w:type="spellStart"/>
      <w:r w:rsidRPr="008F18E9">
        <w:rPr>
          <w:rFonts w:ascii="Arial" w:hAnsi="Arial" w:cs="Arial"/>
          <w:color w:val="000000" w:themeColor="text1"/>
        </w:rPr>
        <w:t>Schmidhuber</w:t>
      </w:r>
      <w:proofErr w:type="spellEnd"/>
      <w:r w:rsidRPr="008F18E9">
        <w:rPr>
          <w:rFonts w:ascii="Arial" w:hAnsi="Arial" w:cs="Arial"/>
          <w:color w:val="000000" w:themeColor="text1"/>
        </w:rPr>
        <w:t xml:space="preserve">, 1997; </w:t>
      </w:r>
      <w:r w:rsidR="003C264B" w:rsidRPr="003C264B">
        <w:rPr>
          <w:rFonts w:ascii="Arial" w:hAnsi="Arial" w:cs="Arial"/>
          <w:color w:val="000000" w:themeColor="text1"/>
        </w:rPr>
        <w:t xml:space="preserve">RL </w:t>
      </w:r>
      <w:r w:rsidRPr="008F18E9">
        <w:rPr>
          <w:rFonts w:ascii="Arial" w:hAnsi="Arial" w:cs="Arial"/>
          <w:color w:val="000000" w:themeColor="text1"/>
        </w:rPr>
        <w:t xml:space="preserve">and </w:t>
      </w:r>
      <w:r w:rsidR="003C264B">
        <w:rPr>
          <w:rFonts w:ascii="Arial" w:hAnsi="Arial" w:cs="Arial"/>
          <w:color w:val="000000" w:themeColor="text1"/>
        </w:rPr>
        <w:t>Mishra</w:t>
      </w:r>
      <w:r w:rsidRPr="008F18E9">
        <w:rPr>
          <w:rFonts w:ascii="Arial" w:hAnsi="Arial" w:cs="Arial"/>
          <w:color w:val="000000" w:themeColor="text1"/>
        </w:rPr>
        <w:t>, 2021; Yadav et al., 2025).</w:t>
      </w:r>
    </w:p>
    <w:p w14:paraId="059D76A7" w14:textId="06372EFB" w:rsidR="00683BDA" w:rsidRPr="008F18E9" w:rsidRDefault="00DC32D4" w:rsidP="00DC32D4">
      <w:pPr>
        <w:pStyle w:val="Body"/>
        <w:spacing w:before="240"/>
        <w:rPr>
          <w:rFonts w:ascii="Arial" w:hAnsi="Arial" w:cs="Arial"/>
          <w:color w:val="000000" w:themeColor="text1"/>
        </w:rPr>
      </w:pPr>
      <w:r w:rsidRPr="008F18E9">
        <w:rPr>
          <w:rFonts w:ascii="Arial" w:hAnsi="Arial" w:cs="Arial"/>
          <w:color w:val="000000" w:themeColor="text1"/>
        </w:rPr>
        <w:t xml:space="preserve">The heavy-tailed distributions also imply that prediction intervals should be wider than those based on normality, which is crucial for forecasting and risk management in volatile markets (Gilbert and Morgan, 2010; </w:t>
      </w:r>
      <w:r w:rsidR="003C264B" w:rsidRPr="003C264B">
        <w:rPr>
          <w:rFonts w:ascii="Arial" w:hAnsi="Arial" w:cs="Arial"/>
          <w:color w:val="000000" w:themeColor="text1"/>
        </w:rPr>
        <w:t>Miljkovic</w:t>
      </w:r>
      <w:r w:rsidR="00126B3D">
        <w:rPr>
          <w:rFonts w:ascii="Arial" w:hAnsi="Arial" w:cs="Arial"/>
          <w:color w:val="000000" w:themeColor="text1"/>
        </w:rPr>
        <w:t xml:space="preserve"> </w:t>
      </w:r>
      <w:r w:rsidRPr="008F18E9">
        <w:rPr>
          <w:rFonts w:ascii="Arial" w:hAnsi="Arial" w:cs="Arial"/>
          <w:color w:val="000000" w:themeColor="text1"/>
        </w:rPr>
        <w:t>et al., 2023).</w:t>
      </w:r>
      <w:r w:rsidR="007E1EF8" w:rsidRPr="007E1EF8">
        <w:t xml:space="preserve"> </w:t>
      </w:r>
      <w:r w:rsidR="007E1EF8" w:rsidRPr="007E1EF8">
        <w:rPr>
          <w:rFonts w:ascii="Arial" w:hAnsi="Arial" w:cs="Arial"/>
          <w:color w:val="FF0000"/>
        </w:rPr>
        <w:t>Market players are more focused on new product development, partnership, and other strategies to increase their market share. Therefore, the rising standards and regulations laid by governmental bodies have to be followed by the manufacturer to sell their products into the market and to ensure the demand for consumers will boost the market growth. Whereas, the lack of technical expertise in small enterprises is likely to restrict market growth in the region</w:t>
      </w:r>
      <w:r w:rsidRPr="008F18E9">
        <w:rPr>
          <w:rFonts w:ascii="Arial" w:hAnsi="Arial" w:cs="Arial"/>
          <w:color w:val="000000" w:themeColor="text1"/>
        </w:rPr>
        <w:t xml:space="preserve"> These insights provide</w:t>
      </w:r>
      <w:r w:rsidR="007D4BD4">
        <w:rPr>
          <w:rFonts w:ascii="Arial" w:hAnsi="Arial" w:cs="Arial"/>
          <w:color w:val="000000" w:themeColor="text1"/>
        </w:rPr>
        <w:t>d</w:t>
      </w:r>
      <w:r w:rsidRPr="008F18E9">
        <w:rPr>
          <w:rFonts w:ascii="Arial" w:hAnsi="Arial" w:cs="Arial"/>
          <w:color w:val="000000" w:themeColor="text1"/>
        </w:rPr>
        <w:t xml:space="preserve"> guidance for storage planning, market interventions, and price stabilization strategies, helping to mitigate income risks for farmers and traders.</w:t>
      </w:r>
    </w:p>
    <w:p w14:paraId="1D780188" w14:textId="58D8861A" w:rsidR="00A12EC0" w:rsidRPr="008F18E9" w:rsidRDefault="001B491A" w:rsidP="00DC32D4">
      <w:pPr>
        <w:pStyle w:val="Body"/>
        <w:spacing w:before="240"/>
        <w:rPr>
          <w:rFonts w:ascii="Arial" w:hAnsi="Arial" w:cs="Arial"/>
          <w:b/>
          <w:bCs/>
          <w:color w:val="000000" w:themeColor="text1"/>
        </w:rPr>
      </w:pPr>
      <w:r w:rsidRPr="008F18E9">
        <w:rPr>
          <w:rFonts w:ascii="Arial" w:hAnsi="Arial" w:cs="Arial"/>
          <w:b/>
          <w:bCs/>
          <w:color w:val="000000" w:themeColor="text1"/>
        </w:rPr>
        <w:t>3.2 Seasonal Pattern Analysis</w:t>
      </w:r>
    </w:p>
    <w:p w14:paraId="10137C5A" w14:textId="77777777" w:rsidR="00927834" w:rsidRPr="008F18E9" w:rsidRDefault="001D3A51" w:rsidP="001B491A">
      <w:pPr>
        <w:autoSpaceDE w:val="0"/>
        <w:autoSpaceDN w:val="0"/>
        <w:adjustRightInd w:val="0"/>
        <w:spacing w:before="240"/>
        <w:rPr>
          <w:rFonts w:ascii="Arial" w:hAnsi="Arial" w:cs="Arial"/>
          <w:b/>
          <w:bCs/>
          <w:color w:val="000000" w:themeColor="text1"/>
          <w:sz w:val="22"/>
          <w:szCs w:val="22"/>
        </w:rPr>
      </w:pPr>
      <w:r w:rsidRPr="008F18E9">
        <w:rPr>
          <w:rFonts w:ascii="Arial" w:hAnsi="Arial" w:cs="Arial"/>
          <w:b/>
          <w:bCs/>
          <w:noProof/>
          <w:color w:val="000000" w:themeColor="text1"/>
          <w:sz w:val="22"/>
          <w:szCs w:val="22"/>
        </w:rPr>
        <w:lastRenderedPageBreak/>
        <w:drawing>
          <wp:inline distT="0" distB="0" distL="0" distR="0" wp14:anchorId="1D4E1ED5" wp14:editId="223C0C85">
            <wp:extent cx="5347359"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8799"/>
                    <a:stretch>
                      <a:fillRect/>
                    </a:stretch>
                  </pic:blipFill>
                  <pic:spPr bwMode="auto">
                    <a:xfrm>
                      <a:off x="0" y="0"/>
                      <a:ext cx="5347359" cy="3657600"/>
                    </a:xfrm>
                    <a:prstGeom prst="rect">
                      <a:avLst/>
                    </a:prstGeom>
                    <a:noFill/>
                    <a:ln>
                      <a:noFill/>
                    </a:ln>
                    <a:extLst>
                      <a:ext uri="{53640926-AAD7-44D8-BBD7-CCE9431645EC}">
                        <a14:shadowObscured xmlns:a14="http://schemas.microsoft.com/office/drawing/2010/main"/>
                      </a:ext>
                    </a:extLst>
                  </pic:spPr>
                </pic:pic>
              </a:graphicData>
            </a:graphic>
          </wp:inline>
        </w:drawing>
      </w:r>
    </w:p>
    <w:p w14:paraId="56963115" w14:textId="77777777" w:rsidR="00927834" w:rsidRPr="008F18E9" w:rsidRDefault="00927834" w:rsidP="00441B6F">
      <w:pPr>
        <w:autoSpaceDE w:val="0"/>
        <w:autoSpaceDN w:val="0"/>
        <w:adjustRightInd w:val="0"/>
        <w:jc w:val="both"/>
        <w:rPr>
          <w:rFonts w:ascii="Arial" w:hAnsi="Arial" w:cs="Arial"/>
          <w:b/>
          <w:bCs/>
          <w:color w:val="000000" w:themeColor="text1"/>
          <w:szCs w:val="22"/>
        </w:rPr>
      </w:pPr>
    </w:p>
    <w:p w14:paraId="5AE5C8CC" w14:textId="0E3EFA3E" w:rsidR="00927834" w:rsidRPr="008F18E9" w:rsidRDefault="009E048A" w:rsidP="00304936">
      <w:pPr>
        <w:autoSpaceDE w:val="0"/>
        <w:autoSpaceDN w:val="0"/>
        <w:adjustRightInd w:val="0"/>
        <w:jc w:val="center"/>
        <w:rPr>
          <w:rFonts w:ascii="Arial" w:hAnsi="Arial" w:cs="Arial"/>
          <w:b/>
          <w:bCs/>
          <w:color w:val="000000" w:themeColor="text1"/>
          <w:szCs w:val="22"/>
        </w:rPr>
      </w:pPr>
      <w:r w:rsidRPr="008F18E9">
        <w:rPr>
          <w:rFonts w:ascii="Arial" w:hAnsi="Arial" w:cs="Arial"/>
          <w:b/>
          <w:bCs/>
          <w:color w:val="000000" w:themeColor="text1"/>
          <w:szCs w:val="22"/>
        </w:rPr>
        <w:t>Fig.</w:t>
      </w:r>
      <w:r w:rsidR="00927834" w:rsidRPr="008F18E9">
        <w:rPr>
          <w:rFonts w:ascii="Arial" w:hAnsi="Arial" w:cs="Arial"/>
          <w:b/>
          <w:bCs/>
          <w:color w:val="000000" w:themeColor="text1"/>
          <w:szCs w:val="22"/>
        </w:rPr>
        <w:t xml:space="preserve"> 1</w:t>
      </w:r>
      <w:r w:rsidRPr="008F18E9">
        <w:rPr>
          <w:rFonts w:ascii="Arial" w:hAnsi="Arial" w:cs="Arial"/>
          <w:b/>
          <w:bCs/>
          <w:color w:val="000000" w:themeColor="text1"/>
          <w:szCs w:val="22"/>
        </w:rPr>
        <w:t>.</w:t>
      </w:r>
      <w:r w:rsidR="00927834" w:rsidRPr="008F18E9">
        <w:rPr>
          <w:rFonts w:ascii="Arial" w:hAnsi="Arial" w:cs="Arial"/>
          <w:b/>
          <w:bCs/>
          <w:color w:val="000000" w:themeColor="text1"/>
          <w:szCs w:val="22"/>
        </w:rPr>
        <w:t xml:space="preserve"> </w:t>
      </w:r>
      <w:r w:rsidR="00304936" w:rsidRPr="008F18E9">
        <w:rPr>
          <w:rFonts w:ascii="Arial" w:hAnsi="Arial" w:cs="Arial"/>
          <w:b/>
          <w:bCs/>
          <w:color w:val="000000" w:themeColor="text1"/>
          <w:szCs w:val="22"/>
        </w:rPr>
        <w:t>Weekly trends of Tomato arrivals and prices in Kolar market (2010</w:t>
      </w:r>
      <w:r w:rsidR="001D4664" w:rsidRPr="008F18E9">
        <w:rPr>
          <w:rFonts w:ascii="Arial" w:hAnsi="Arial" w:cs="Arial"/>
          <w:b/>
          <w:bCs/>
          <w:color w:val="000000" w:themeColor="text1"/>
          <w:szCs w:val="22"/>
        </w:rPr>
        <w:t>-</w:t>
      </w:r>
      <w:r w:rsidR="00304936" w:rsidRPr="008F18E9">
        <w:rPr>
          <w:rFonts w:ascii="Arial" w:hAnsi="Arial" w:cs="Arial"/>
          <w:b/>
          <w:bCs/>
          <w:color w:val="000000" w:themeColor="text1"/>
          <w:szCs w:val="22"/>
        </w:rPr>
        <w:t>2025)</w:t>
      </w:r>
    </w:p>
    <w:p w14:paraId="5FB69769" w14:textId="77777777" w:rsidR="00B069B2" w:rsidRPr="008F18E9" w:rsidRDefault="00B069B2" w:rsidP="00B069B2">
      <w:pPr>
        <w:pStyle w:val="ConcHead"/>
        <w:spacing w:after="0"/>
        <w:rPr>
          <w:rFonts w:ascii="Arial" w:hAnsi="Arial" w:cs="Arial"/>
          <w:b w:val="0"/>
          <w:caps w:val="0"/>
          <w:color w:val="000000" w:themeColor="text1"/>
          <w:sz w:val="20"/>
        </w:rPr>
      </w:pPr>
    </w:p>
    <w:p w14:paraId="47CF9FEA" w14:textId="3ED5FEAA" w:rsidR="00F70184" w:rsidRPr="008F18E9" w:rsidRDefault="00F70184" w:rsidP="00B069B2">
      <w:pPr>
        <w:pStyle w:val="ConcHead"/>
        <w:spacing w:after="0"/>
        <w:jc w:val="both"/>
        <w:rPr>
          <w:rFonts w:ascii="Arial" w:hAnsi="Arial" w:cs="Arial"/>
          <w:b w:val="0"/>
          <w:caps w:val="0"/>
          <w:color w:val="000000" w:themeColor="text1"/>
          <w:sz w:val="20"/>
        </w:rPr>
      </w:pPr>
      <w:r w:rsidRPr="00F70184">
        <w:rPr>
          <w:rFonts w:ascii="Arial" w:hAnsi="Arial" w:cs="Arial"/>
          <w:b w:val="0"/>
          <w:caps w:val="0"/>
          <w:color w:val="000000" w:themeColor="text1"/>
          <w:sz w:val="20"/>
        </w:rPr>
        <w:t xml:space="preserve">Fig. 1 </w:t>
      </w:r>
      <w:r w:rsidRPr="00F70184">
        <w:rPr>
          <w:rFonts w:ascii="Arial" w:hAnsi="Arial" w:cs="Arial"/>
          <w:b w:val="0"/>
          <w:bCs/>
          <w:caps w:val="0"/>
          <w:color w:val="000000" w:themeColor="text1"/>
          <w:sz w:val="20"/>
        </w:rPr>
        <w:t>showed</w:t>
      </w:r>
      <w:r w:rsidRPr="00F70184">
        <w:rPr>
          <w:rFonts w:ascii="Arial" w:hAnsi="Arial" w:cs="Arial"/>
          <w:b w:val="0"/>
          <w:caps w:val="0"/>
          <w:color w:val="000000" w:themeColor="text1"/>
          <w:sz w:val="20"/>
        </w:rPr>
        <w:t xml:space="preserve"> weekly arrivals and modal prices (2010–2025), </w:t>
      </w:r>
      <w:r w:rsidRPr="00F70184">
        <w:rPr>
          <w:rFonts w:ascii="Arial" w:hAnsi="Arial" w:cs="Arial"/>
          <w:b w:val="0"/>
          <w:bCs/>
          <w:caps w:val="0"/>
          <w:color w:val="000000" w:themeColor="text1"/>
          <w:sz w:val="20"/>
        </w:rPr>
        <w:t>revealing</w:t>
      </w:r>
      <w:r w:rsidRPr="00F70184">
        <w:rPr>
          <w:rFonts w:ascii="Arial" w:hAnsi="Arial" w:cs="Arial"/>
          <w:b w:val="0"/>
          <w:caps w:val="0"/>
          <w:color w:val="000000" w:themeColor="text1"/>
          <w:sz w:val="20"/>
        </w:rPr>
        <w:t xml:space="preserve"> the expected inverse relationship: large influxes were usually </w:t>
      </w:r>
      <w:r w:rsidRPr="00F70184">
        <w:rPr>
          <w:rFonts w:ascii="Arial" w:hAnsi="Arial" w:cs="Arial"/>
          <w:b w:val="0"/>
          <w:bCs/>
          <w:caps w:val="0"/>
          <w:color w:val="000000" w:themeColor="text1"/>
          <w:sz w:val="20"/>
        </w:rPr>
        <w:t>followed by</w:t>
      </w:r>
      <w:r w:rsidRPr="00F70184">
        <w:rPr>
          <w:rFonts w:ascii="Arial" w:hAnsi="Arial" w:cs="Arial"/>
          <w:b w:val="0"/>
          <w:caps w:val="0"/>
          <w:color w:val="000000" w:themeColor="text1"/>
          <w:sz w:val="20"/>
        </w:rPr>
        <w:t xml:space="preserve"> price troughs (weeks 18</w:t>
      </w:r>
      <w:r>
        <w:rPr>
          <w:rFonts w:ascii="Arial" w:hAnsi="Arial" w:cs="Arial"/>
          <w:b w:val="0"/>
          <w:caps w:val="0"/>
          <w:color w:val="000000" w:themeColor="text1"/>
          <w:sz w:val="20"/>
        </w:rPr>
        <w:t>-</w:t>
      </w:r>
      <w:r w:rsidRPr="00F70184">
        <w:rPr>
          <w:rFonts w:ascii="Arial" w:hAnsi="Arial" w:cs="Arial"/>
          <w:b w:val="0"/>
          <w:caps w:val="0"/>
          <w:color w:val="000000" w:themeColor="text1"/>
          <w:sz w:val="20"/>
        </w:rPr>
        <w:t>22 and 40</w:t>
      </w:r>
      <w:r>
        <w:rPr>
          <w:rFonts w:ascii="Arial" w:hAnsi="Arial" w:cs="Arial"/>
          <w:b w:val="0"/>
          <w:caps w:val="0"/>
          <w:color w:val="000000" w:themeColor="text1"/>
          <w:sz w:val="20"/>
        </w:rPr>
        <w:t>-</w:t>
      </w:r>
      <w:r w:rsidRPr="00F70184">
        <w:rPr>
          <w:rFonts w:ascii="Arial" w:hAnsi="Arial" w:cs="Arial"/>
          <w:b w:val="0"/>
          <w:caps w:val="0"/>
          <w:color w:val="000000" w:themeColor="text1"/>
          <w:sz w:val="20"/>
        </w:rPr>
        <w:t xml:space="preserve">48). </w:t>
      </w:r>
      <w:r w:rsidRPr="00F70184">
        <w:rPr>
          <w:rFonts w:ascii="Arial" w:hAnsi="Arial" w:cs="Arial"/>
          <w:b w:val="0"/>
          <w:bCs/>
          <w:caps w:val="0"/>
          <w:color w:val="000000" w:themeColor="text1"/>
          <w:sz w:val="20"/>
        </w:rPr>
        <w:t>Deviations from this pattern</w:t>
      </w:r>
      <w:r>
        <w:rPr>
          <w:rFonts w:ascii="Arial" w:hAnsi="Arial" w:cs="Arial"/>
          <w:b w:val="0"/>
          <w:bCs/>
          <w:caps w:val="0"/>
          <w:color w:val="000000" w:themeColor="text1"/>
          <w:sz w:val="20"/>
        </w:rPr>
        <w:t xml:space="preserve">, </w:t>
      </w:r>
      <w:r w:rsidRPr="00F70184">
        <w:rPr>
          <w:rFonts w:ascii="Arial" w:hAnsi="Arial" w:cs="Arial"/>
          <w:b w:val="0"/>
          <w:bCs/>
          <w:caps w:val="0"/>
          <w:color w:val="000000" w:themeColor="text1"/>
          <w:sz w:val="20"/>
        </w:rPr>
        <w:t>high arrivals coupled with high prices or low arrivals with low prices</w:t>
      </w:r>
      <w:r>
        <w:rPr>
          <w:rFonts w:ascii="Arial" w:hAnsi="Arial" w:cs="Arial"/>
          <w:b w:val="0"/>
          <w:bCs/>
          <w:caps w:val="0"/>
          <w:color w:val="000000" w:themeColor="text1"/>
          <w:sz w:val="20"/>
        </w:rPr>
        <w:t xml:space="preserve"> </w:t>
      </w:r>
      <w:r w:rsidRPr="00F70184">
        <w:rPr>
          <w:rFonts w:ascii="Arial" w:hAnsi="Arial" w:cs="Arial"/>
          <w:b w:val="0"/>
          <w:bCs/>
          <w:caps w:val="0"/>
          <w:color w:val="000000" w:themeColor="text1"/>
          <w:sz w:val="20"/>
        </w:rPr>
        <w:t>were common</w:t>
      </w:r>
      <w:r w:rsidRPr="00F70184">
        <w:rPr>
          <w:rFonts w:ascii="Arial" w:hAnsi="Arial" w:cs="Arial"/>
          <w:b w:val="0"/>
          <w:caps w:val="0"/>
          <w:color w:val="000000" w:themeColor="text1"/>
          <w:sz w:val="20"/>
        </w:rPr>
        <w:t xml:space="preserve">, underscoring that factors such as quality heterogeneity, festival demand, weather shocks, or inter-market arbitrage also </w:t>
      </w:r>
      <w:r w:rsidRPr="00F70184">
        <w:rPr>
          <w:rFonts w:ascii="Arial" w:hAnsi="Arial" w:cs="Arial"/>
          <w:b w:val="0"/>
          <w:bCs/>
          <w:caps w:val="0"/>
          <w:color w:val="000000" w:themeColor="text1"/>
          <w:sz w:val="20"/>
        </w:rPr>
        <w:t>influenced</w:t>
      </w:r>
      <w:r w:rsidRPr="00F70184">
        <w:rPr>
          <w:rFonts w:ascii="Arial" w:hAnsi="Arial" w:cs="Arial"/>
          <w:b w:val="0"/>
          <w:caps w:val="0"/>
          <w:color w:val="000000" w:themeColor="text1"/>
          <w:sz w:val="20"/>
        </w:rPr>
        <w:t xml:space="preserve"> prices (Acharya et al., 2012; </w:t>
      </w:r>
      <w:proofErr w:type="spellStart"/>
      <w:r w:rsidRPr="00F70184">
        <w:rPr>
          <w:rFonts w:ascii="Arial" w:hAnsi="Arial" w:cs="Arial"/>
          <w:b w:val="0"/>
          <w:caps w:val="0"/>
          <w:color w:val="000000" w:themeColor="text1"/>
          <w:sz w:val="20"/>
        </w:rPr>
        <w:t>Miljković</w:t>
      </w:r>
      <w:proofErr w:type="spellEnd"/>
      <w:r w:rsidRPr="00F70184">
        <w:rPr>
          <w:rFonts w:ascii="Arial" w:hAnsi="Arial" w:cs="Arial"/>
          <w:b w:val="0"/>
          <w:caps w:val="0"/>
          <w:color w:val="000000" w:themeColor="text1"/>
          <w:sz w:val="20"/>
        </w:rPr>
        <w:t xml:space="preserve"> et al., 2024). The coexistence of multiple arrival</w:t>
      </w:r>
      <w:r>
        <w:rPr>
          <w:rFonts w:ascii="Arial" w:hAnsi="Arial" w:cs="Arial"/>
          <w:b w:val="0"/>
          <w:caps w:val="0"/>
          <w:color w:val="000000" w:themeColor="text1"/>
          <w:sz w:val="20"/>
        </w:rPr>
        <w:t>-</w:t>
      </w:r>
      <w:r w:rsidRPr="00F70184">
        <w:rPr>
          <w:rFonts w:ascii="Arial" w:hAnsi="Arial" w:cs="Arial"/>
          <w:b w:val="0"/>
          <w:caps w:val="0"/>
          <w:color w:val="000000" w:themeColor="text1"/>
          <w:sz w:val="20"/>
        </w:rPr>
        <w:t xml:space="preserve">price combinations </w:t>
      </w:r>
      <w:r w:rsidRPr="00F70184">
        <w:rPr>
          <w:rFonts w:ascii="Arial" w:hAnsi="Arial" w:cs="Arial"/>
          <w:b w:val="0"/>
          <w:bCs/>
          <w:caps w:val="0"/>
          <w:color w:val="000000" w:themeColor="text1"/>
          <w:sz w:val="20"/>
        </w:rPr>
        <w:t>confirmed</w:t>
      </w:r>
      <w:r w:rsidRPr="00F70184">
        <w:rPr>
          <w:rFonts w:ascii="Arial" w:hAnsi="Arial" w:cs="Arial"/>
          <w:b w:val="0"/>
          <w:caps w:val="0"/>
          <w:color w:val="000000" w:themeColor="text1"/>
          <w:sz w:val="20"/>
        </w:rPr>
        <w:t xml:space="preserve"> </w:t>
      </w:r>
      <w:r w:rsidRPr="00F70184">
        <w:rPr>
          <w:rFonts w:ascii="Arial" w:hAnsi="Arial" w:cs="Arial"/>
          <w:b w:val="0"/>
          <w:caps w:val="0"/>
          <w:color w:val="000000" w:themeColor="text1"/>
          <w:sz w:val="20"/>
        </w:rPr>
        <w:lastRenderedPageBreak/>
        <w:t xml:space="preserve">the non-linear nature of price formation in perishable produce markets, as </w:t>
      </w:r>
      <w:r w:rsidRPr="00F70184">
        <w:rPr>
          <w:rFonts w:ascii="Arial" w:hAnsi="Arial" w:cs="Arial"/>
          <w:b w:val="0"/>
          <w:bCs/>
          <w:caps w:val="0"/>
          <w:color w:val="000000" w:themeColor="text1"/>
          <w:sz w:val="20"/>
        </w:rPr>
        <w:t>documented</w:t>
      </w:r>
      <w:r w:rsidRPr="00F70184">
        <w:rPr>
          <w:rFonts w:ascii="Arial" w:hAnsi="Arial" w:cs="Arial"/>
          <w:b w:val="0"/>
          <w:caps w:val="0"/>
          <w:color w:val="000000" w:themeColor="text1"/>
          <w:sz w:val="20"/>
        </w:rPr>
        <w:t xml:space="preserve"> earlier for Indian tomatoes by Ali et al. (2023).</w:t>
      </w:r>
    </w:p>
    <w:p w14:paraId="36291224" w14:textId="3BE9AFE4" w:rsidR="007E174A" w:rsidRPr="008F18E9" w:rsidRDefault="007E174A" w:rsidP="00B069B2">
      <w:pPr>
        <w:pStyle w:val="ConcHead"/>
        <w:spacing w:after="0"/>
        <w:jc w:val="both"/>
        <w:rPr>
          <w:rFonts w:ascii="Arial" w:hAnsi="Arial" w:cs="Arial"/>
          <w:color w:val="000000" w:themeColor="text1"/>
        </w:rPr>
      </w:pPr>
      <w:r w:rsidRPr="008F18E9">
        <w:rPr>
          <w:rFonts w:ascii="Arial" w:hAnsi="Arial" w:cs="Arial"/>
          <w:noProof/>
          <w:color w:val="000000" w:themeColor="text1"/>
        </w:rPr>
        <w:drawing>
          <wp:inline distT="0" distB="0" distL="0" distR="0" wp14:anchorId="2658C277" wp14:editId="6B2C6C1A">
            <wp:extent cx="4876799" cy="3657600"/>
            <wp:effectExtent l="0" t="0" r="0" b="0"/>
            <wp:docPr id="115736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6618"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876799" cy="3657600"/>
                    </a:xfrm>
                    <a:prstGeom prst="rect">
                      <a:avLst/>
                    </a:prstGeom>
                    <a:noFill/>
                    <a:ln>
                      <a:noFill/>
                    </a:ln>
                  </pic:spPr>
                </pic:pic>
              </a:graphicData>
            </a:graphic>
          </wp:inline>
        </w:drawing>
      </w:r>
    </w:p>
    <w:p w14:paraId="34F8FD87" w14:textId="6C481DD5" w:rsidR="009C1A38" w:rsidRPr="008F18E9" w:rsidRDefault="00E44AE3" w:rsidP="00E44AE3">
      <w:pPr>
        <w:autoSpaceDE w:val="0"/>
        <w:autoSpaceDN w:val="0"/>
        <w:adjustRightInd w:val="0"/>
        <w:rPr>
          <w:rFonts w:ascii="Arial" w:hAnsi="Arial" w:cs="Arial"/>
          <w:b/>
          <w:bCs/>
          <w:color w:val="000000" w:themeColor="text1"/>
          <w:szCs w:val="22"/>
        </w:rPr>
      </w:pPr>
      <w:r w:rsidRPr="008F18E9">
        <w:rPr>
          <w:rFonts w:ascii="Arial" w:hAnsi="Arial" w:cs="Arial"/>
          <w:b/>
          <w:bCs/>
          <w:color w:val="000000" w:themeColor="text1"/>
          <w:szCs w:val="22"/>
        </w:rPr>
        <w:t>Fig. 2. Weekly Seasonal Index of Tomato arrivals and Modal prices in Kolar market (2010</w:t>
      </w:r>
      <w:r w:rsidR="0087462A" w:rsidRPr="008F18E9">
        <w:rPr>
          <w:rFonts w:ascii="Arial" w:hAnsi="Arial" w:cs="Arial"/>
          <w:b/>
          <w:bCs/>
          <w:color w:val="000000" w:themeColor="text1"/>
          <w:szCs w:val="22"/>
        </w:rPr>
        <w:t>-</w:t>
      </w:r>
      <w:r w:rsidRPr="008F18E9">
        <w:rPr>
          <w:rFonts w:ascii="Arial" w:hAnsi="Arial" w:cs="Arial"/>
          <w:b/>
          <w:bCs/>
          <w:color w:val="000000" w:themeColor="text1"/>
          <w:szCs w:val="22"/>
        </w:rPr>
        <w:t>2025)</w:t>
      </w:r>
    </w:p>
    <w:p w14:paraId="285DBB60" w14:textId="77777777" w:rsidR="00070194" w:rsidRPr="008F18E9" w:rsidRDefault="00070194">
      <w:pPr>
        <w:rPr>
          <w:rFonts w:ascii="Arial" w:hAnsi="Arial" w:cs="Arial"/>
          <w:b/>
          <w:bCs/>
          <w:color w:val="000000" w:themeColor="text1"/>
        </w:rPr>
      </w:pPr>
    </w:p>
    <w:p w14:paraId="7705EB30" w14:textId="77777777" w:rsidR="00927E92" w:rsidRDefault="00E85945" w:rsidP="00927E92">
      <w:pPr>
        <w:pStyle w:val="ConcHead"/>
        <w:jc w:val="both"/>
        <w:rPr>
          <w:rFonts w:ascii="Arial" w:hAnsi="Arial" w:cs="Arial"/>
          <w:b w:val="0"/>
          <w:caps w:val="0"/>
          <w:color w:val="000000" w:themeColor="text1"/>
          <w:sz w:val="20"/>
        </w:rPr>
      </w:pPr>
      <w:r w:rsidRPr="00E85945">
        <w:rPr>
          <w:rFonts w:ascii="Arial" w:hAnsi="Arial" w:cs="Arial"/>
          <w:b w:val="0"/>
          <w:caps w:val="0"/>
          <w:color w:val="000000" w:themeColor="text1"/>
          <w:sz w:val="20"/>
        </w:rPr>
        <w:t>Fig. 2 showed weekly seasonal indices (2010</w:t>
      </w:r>
      <w:r w:rsidR="00927E92">
        <w:rPr>
          <w:rFonts w:ascii="Arial" w:hAnsi="Arial" w:cs="Arial"/>
          <w:b w:val="0"/>
          <w:caps w:val="0"/>
          <w:color w:val="000000" w:themeColor="text1"/>
          <w:sz w:val="20"/>
        </w:rPr>
        <w:t>-</w:t>
      </w:r>
      <w:r w:rsidRPr="00E85945">
        <w:rPr>
          <w:rFonts w:ascii="Arial" w:hAnsi="Arial" w:cs="Arial"/>
          <w:b w:val="0"/>
          <w:caps w:val="0"/>
          <w:color w:val="000000" w:themeColor="text1"/>
          <w:sz w:val="20"/>
        </w:rPr>
        <w:t>2025), indicating a bi-modal arrival cycle with an early peak in weeks 5</w:t>
      </w:r>
      <w:r w:rsidR="00927E92">
        <w:rPr>
          <w:rFonts w:ascii="Arial" w:hAnsi="Arial" w:cs="Arial"/>
          <w:b w:val="0"/>
          <w:caps w:val="0"/>
          <w:color w:val="000000" w:themeColor="text1"/>
          <w:sz w:val="20"/>
        </w:rPr>
        <w:t>-</w:t>
      </w:r>
      <w:r w:rsidRPr="00E85945">
        <w:rPr>
          <w:rFonts w:ascii="Arial" w:hAnsi="Arial" w:cs="Arial"/>
          <w:b w:val="0"/>
          <w:caps w:val="0"/>
          <w:color w:val="000000" w:themeColor="text1"/>
          <w:sz w:val="20"/>
        </w:rPr>
        <w:t>15 and a larger one in weeks 40</w:t>
      </w:r>
      <w:r w:rsidR="00927E92">
        <w:rPr>
          <w:rFonts w:ascii="Arial" w:hAnsi="Arial" w:cs="Arial"/>
          <w:b w:val="0"/>
          <w:caps w:val="0"/>
          <w:color w:val="000000" w:themeColor="text1"/>
          <w:sz w:val="20"/>
        </w:rPr>
        <w:t>-</w:t>
      </w:r>
      <w:r w:rsidRPr="00E85945">
        <w:rPr>
          <w:rFonts w:ascii="Arial" w:hAnsi="Arial" w:cs="Arial"/>
          <w:b w:val="0"/>
          <w:caps w:val="0"/>
          <w:color w:val="000000" w:themeColor="text1"/>
          <w:sz w:val="20"/>
        </w:rPr>
        <w:t>48, reflecting Kolar’s two main harvest windows. Prices moved inversely, troughing during supply surges and rebounding once arrivals tapered off, consistent with standard supply</w:t>
      </w:r>
      <w:r w:rsidR="00927E92">
        <w:rPr>
          <w:rFonts w:ascii="Arial" w:hAnsi="Arial" w:cs="Arial"/>
          <w:b w:val="0"/>
          <w:caps w:val="0"/>
          <w:color w:val="000000" w:themeColor="text1"/>
          <w:sz w:val="20"/>
        </w:rPr>
        <w:t>-</w:t>
      </w:r>
      <w:r w:rsidRPr="00E85945">
        <w:rPr>
          <w:rFonts w:ascii="Arial" w:hAnsi="Arial" w:cs="Arial"/>
          <w:b w:val="0"/>
          <w:caps w:val="0"/>
          <w:color w:val="000000" w:themeColor="text1"/>
          <w:sz w:val="20"/>
        </w:rPr>
        <w:t>price dynamics (Murthy et al., 2009). A secondary price spike appeared in the post-peak weeks when residual supply met festival demand.</w:t>
      </w:r>
    </w:p>
    <w:p w14:paraId="4FCE3B62" w14:textId="7E47153E" w:rsidR="00585ABF" w:rsidRPr="00927E92" w:rsidRDefault="00E85945" w:rsidP="00927E92">
      <w:pPr>
        <w:pStyle w:val="ConcHead"/>
        <w:jc w:val="both"/>
        <w:rPr>
          <w:rFonts w:ascii="Arial" w:hAnsi="Arial" w:cs="Arial"/>
          <w:b w:val="0"/>
          <w:caps w:val="0"/>
          <w:color w:val="000000" w:themeColor="text1"/>
          <w:sz w:val="20"/>
        </w:rPr>
      </w:pPr>
      <w:r w:rsidRPr="00E85945">
        <w:rPr>
          <w:rFonts w:ascii="Arial" w:hAnsi="Arial" w:cs="Arial"/>
          <w:b w:val="0"/>
          <w:caps w:val="0"/>
          <w:color w:val="000000" w:themeColor="text1"/>
          <w:sz w:val="20"/>
        </w:rPr>
        <w:t>However, identical index values across years masked calendar drift: weather shocks, seedling advancement, or policy bans shifted peaks by several weeks (Chand, 2010). Static seasonal dummies therefore risked mis-timing forecasts; the next section used Dynamic Time Warping to quantify how much the seasonal calendar slid from year to year.</w:t>
      </w:r>
    </w:p>
    <w:p w14:paraId="39B74007" w14:textId="439485AA" w:rsidR="001B491A" w:rsidRPr="008F18E9" w:rsidRDefault="001B491A" w:rsidP="00A55675">
      <w:pPr>
        <w:spacing w:after="240"/>
        <w:jc w:val="both"/>
        <w:rPr>
          <w:rFonts w:ascii="Arial" w:hAnsi="Arial" w:cs="Arial"/>
          <w:b/>
          <w:bCs/>
          <w:color w:val="000000" w:themeColor="text1"/>
        </w:rPr>
      </w:pPr>
      <w:r w:rsidRPr="008F18E9">
        <w:rPr>
          <w:rFonts w:ascii="Arial" w:hAnsi="Arial" w:cs="Arial"/>
          <w:b/>
          <w:bCs/>
          <w:color w:val="000000" w:themeColor="text1"/>
        </w:rPr>
        <w:t xml:space="preserve">3.3 </w:t>
      </w:r>
      <w:r w:rsidR="00BC63D7" w:rsidRPr="008F18E9">
        <w:rPr>
          <w:rFonts w:ascii="Arial" w:hAnsi="Arial" w:cs="Arial"/>
          <w:b/>
          <w:bCs/>
          <w:color w:val="000000" w:themeColor="text1"/>
        </w:rPr>
        <w:t>Inter-annual pattern stability: Dynamic</w:t>
      </w:r>
      <w:r w:rsidR="00BC63D7" w:rsidRPr="008537D6">
        <w:rPr>
          <w:rFonts w:ascii="Arial" w:hAnsi="Arial" w:cs="Arial"/>
          <w:b/>
          <w:bCs/>
          <w:color w:val="FF0000"/>
        </w:rPr>
        <w:t xml:space="preserve"> </w:t>
      </w:r>
      <w:r w:rsidR="008537D6" w:rsidRPr="008537D6">
        <w:rPr>
          <w:rFonts w:ascii="Arial" w:hAnsi="Arial" w:cs="Arial"/>
          <w:b/>
          <w:bCs/>
          <w:color w:val="FF0000"/>
        </w:rPr>
        <w:t xml:space="preserve">Forecasting </w:t>
      </w:r>
      <w:r w:rsidR="00BC63D7" w:rsidRPr="008F18E9">
        <w:rPr>
          <w:rFonts w:ascii="Arial" w:hAnsi="Arial" w:cs="Arial"/>
          <w:b/>
          <w:bCs/>
          <w:color w:val="000000" w:themeColor="text1"/>
        </w:rPr>
        <w:t>Time Warping (2021-2024)</w:t>
      </w:r>
    </w:p>
    <w:p w14:paraId="3B4492BE" w14:textId="17E93C8B" w:rsidR="00BC63D7" w:rsidRPr="008F18E9" w:rsidRDefault="00FE5555" w:rsidP="00A55675">
      <w:pPr>
        <w:spacing w:after="240"/>
        <w:jc w:val="both"/>
        <w:rPr>
          <w:rFonts w:ascii="Arial" w:hAnsi="Arial" w:cs="Arial"/>
          <w:b/>
          <w:bCs/>
          <w:color w:val="000000" w:themeColor="text1"/>
        </w:rPr>
      </w:pPr>
      <w:r w:rsidRPr="008F18E9">
        <w:rPr>
          <w:rFonts w:ascii="Arial" w:hAnsi="Arial" w:cs="Arial"/>
          <w:b/>
          <w:bCs/>
          <w:color w:val="000000" w:themeColor="text1"/>
        </w:rPr>
        <w:t>3.3.1 Modal prices</w:t>
      </w:r>
    </w:p>
    <w:p w14:paraId="6D682420" w14:textId="4FB9A4C3" w:rsidR="00E22397" w:rsidRPr="008F18E9" w:rsidRDefault="00E22397" w:rsidP="00E22397">
      <w:pPr>
        <w:spacing w:after="240"/>
        <w:jc w:val="both"/>
        <w:rPr>
          <w:rFonts w:ascii="Arial" w:hAnsi="Arial" w:cs="Arial"/>
          <w:color w:val="000000" w:themeColor="text1"/>
        </w:rPr>
      </w:pPr>
      <w:r w:rsidRPr="008F18E9">
        <w:rPr>
          <w:rFonts w:ascii="Arial" w:hAnsi="Arial" w:cs="Arial"/>
          <w:color w:val="000000" w:themeColor="text1"/>
        </w:rPr>
        <w:t xml:space="preserve">Dynamic Time Warping (DTW) analysis of weekly tomato prices from 2021 to 2024 revealed notable inter-annual differences in pattern similarity. This method was chosen to capture post-pandemic shifts in market behaviour while maintaining statistical robustness. Consistent with prior studies demonstrating DTW’s ability to detect structural similarity despite temporal misalignment (Berndt and Clifford, 1994; </w:t>
      </w:r>
      <w:proofErr w:type="spellStart"/>
      <w:r w:rsidRPr="008F18E9">
        <w:rPr>
          <w:rFonts w:ascii="Arial" w:hAnsi="Arial" w:cs="Arial"/>
          <w:color w:val="000000" w:themeColor="text1"/>
        </w:rPr>
        <w:t>Sakoe</w:t>
      </w:r>
      <w:proofErr w:type="spellEnd"/>
      <w:r w:rsidRPr="008F18E9">
        <w:rPr>
          <w:rFonts w:ascii="Arial" w:hAnsi="Arial" w:cs="Arial"/>
          <w:color w:val="000000" w:themeColor="text1"/>
        </w:rPr>
        <w:t xml:space="preserve"> and Chiba, 1978), the analysis successfully aligned seasonal peaks and troughs even when their timing varied across years (Table 2; Fig. 3).</w:t>
      </w:r>
    </w:p>
    <w:p w14:paraId="3546B16E" w14:textId="4DD8E722" w:rsidR="00E22397" w:rsidRPr="008F18E9" w:rsidRDefault="00E22397" w:rsidP="00E22397">
      <w:pPr>
        <w:spacing w:after="240"/>
        <w:jc w:val="both"/>
        <w:rPr>
          <w:rFonts w:ascii="Arial" w:hAnsi="Arial" w:cs="Arial"/>
          <w:color w:val="000000" w:themeColor="text1"/>
        </w:rPr>
      </w:pPr>
      <w:r w:rsidRPr="008F18E9">
        <w:rPr>
          <w:rFonts w:ascii="Arial" w:hAnsi="Arial" w:cs="Arial"/>
          <w:color w:val="000000" w:themeColor="text1"/>
        </w:rPr>
        <w:lastRenderedPageBreak/>
        <w:t xml:space="preserve">The comparison showed the strongest alignment </w:t>
      </w:r>
      <w:r w:rsidR="00927E92">
        <w:rPr>
          <w:rFonts w:ascii="Arial" w:hAnsi="Arial" w:cs="Arial"/>
          <w:color w:val="000000" w:themeColor="text1"/>
        </w:rPr>
        <w:t xml:space="preserve">during </w:t>
      </w:r>
      <w:r w:rsidR="00927E92" w:rsidRPr="008F18E9">
        <w:rPr>
          <w:rFonts w:ascii="Arial" w:hAnsi="Arial" w:cs="Arial"/>
          <w:color w:val="000000" w:themeColor="text1"/>
        </w:rPr>
        <w:t>2022</w:t>
      </w:r>
      <w:r w:rsidR="00927E92">
        <w:rPr>
          <w:rFonts w:ascii="Arial" w:hAnsi="Arial" w:cs="Arial"/>
          <w:color w:val="000000" w:themeColor="text1"/>
        </w:rPr>
        <w:t>-</w:t>
      </w:r>
      <w:r w:rsidR="00927E92" w:rsidRPr="008F18E9">
        <w:rPr>
          <w:rFonts w:ascii="Arial" w:hAnsi="Arial" w:cs="Arial"/>
          <w:color w:val="000000" w:themeColor="text1"/>
        </w:rPr>
        <w:t xml:space="preserve">2023 </w:t>
      </w:r>
      <w:r w:rsidRPr="008F18E9">
        <w:rPr>
          <w:rFonts w:ascii="Arial" w:hAnsi="Arial" w:cs="Arial"/>
          <w:color w:val="000000" w:themeColor="text1"/>
        </w:rPr>
        <w:t xml:space="preserve">(DTW distance: 23,258; mean distance: 327.58), indicating that despite sharply higher prices in 2023 (maximum ₹7,429 vs. ₹4,447 in 2022), seasonal patterns remained consistent. This decoupling of magnitude and timing </w:t>
      </w:r>
      <w:r w:rsidR="00927E92">
        <w:rPr>
          <w:rFonts w:ascii="Arial" w:hAnsi="Arial" w:cs="Arial"/>
          <w:color w:val="000000" w:themeColor="text1"/>
        </w:rPr>
        <w:t>was</w:t>
      </w:r>
      <w:r w:rsidRPr="008F18E9">
        <w:rPr>
          <w:rFonts w:ascii="Arial" w:hAnsi="Arial" w:cs="Arial"/>
          <w:color w:val="000000" w:themeColor="text1"/>
        </w:rPr>
        <w:t xml:space="preserve"> observed in other volatile agricultural markets, where seasonal timing persists despite extreme price shocks (</w:t>
      </w:r>
      <w:r w:rsidR="003C264B" w:rsidRPr="003C264B">
        <w:rPr>
          <w:rFonts w:ascii="Arial" w:hAnsi="Arial" w:cs="Arial"/>
          <w:color w:val="000000" w:themeColor="text1"/>
        </w:rPr>
        <w:t>Miljkovic</w:t>
      </w:r>
      <w:r w:rsidRPr="008F18E9">
        <w:rPr>
          <w:rFonts w:ascii="Arial" w:hAnsi="Arial" w:cs="Arial"/>
          <w:color w:val="000000" w:themeColor="text1"/>
        </w:rPr>
        <w:t xml:space="preserve"> et al., 2023). In contrast, 2021</w:t>
      </w:r>
      <w:r w:rsidR="00215C6C">
        <w:rPr>
          <w:rFonts w:ascii="Arial" w:hAnsi="Arial" w:cs="Arial"/>
          <w:color w:val="000000" w:themeColor="text1"/>
        </w:rPr>
        <w:t>-</w:t>
      </w:r>
      <w:r w:rsidRPr="008F18E9">
        <w:rPr>
          <w:rFonts w:ascii="Arial" w:hAnsi="Arial" w:cs="Arial"/>
          <w:color w:val="000000" w:themeColor="text1"/>
        </w:rPr>
        <w:t>2022 exhibited the weakest similarity (DTW distance: 39,049; mean distance: 470.47), reflecting a structural break in price behaviour during post-pandemic recovery, characterized by supply chain disruptions and altered production cycles.</w:t>
      </w:r>
    </w:p>
    <w:p w14:paraId="5F863359" w14:textId="67C74D40" w:rsidR="00E22397" w:rsidRPr="008F18E9" w:rsidRDefault="00E22397" w:rsidP="00E22397">
      <w:pPr>
        <w:spacing w:after="240"/>
        <w:jc w:val="both"/>
        <w:rPr>
          <w:rFonts w:ascii="Arial" w:hAnsi="Arial" w:cs="Arial"/>
          <w:color w:val="000000" w:themeColor="text1"/>
        </w:rPr>
      </w:pPr>
      <w:r w:rsidRPr="008F18E9">
        <w:rPr>
          <w:rFonts w:ascii="Arial" w:hAnsi="Arial" w:cs="Arial"/>
          <w:color w:val="000000" w:themeColor="text1"/>
        </w:rPr>
        <w:t>Path length analysis support</w:t>
      </w:r>
      <w:r w:rsidR="00E263C4">
        <w:rPr>
          <w:rFonts w:ascii="Arial" w:hAnsi="Arial" w:cs="Arial"/>
          <w:color w:val="000000" w:themeColor="text1"/>
        </w:rPr>
        <w:t>ed</w:t>
      </w:r>
      <w:r w:rsidRPr="008F18E9">
        <w:rPr>
          <w:rFonts w:ascii="Arial" w:hAnsi="Arial" w:cs="Arial"/>
          <w:color w:val="000000" w:themeColor="text1"/>
        </w:rPr>
        <w:t xml:space="preserve"> these observations: 2022</w:t>
      </w:r>
      <w:r w:rsidR="00BC2624">
        <w:rPr>
          <w:rFonts w:ascii="Arial" w:hAnsi="Arial" w:cs="Arial"/>
          <w:color w:val="000000" w:themeColor="text1"/>
        </w:rPr>
        <w:t>-</w:t>
      </w:r>
      <w:r w:rsidRPr="008F18E9">
        <w:rPr>
          <w:rFonts w:ascii="Arial" w:hAnsi="Arial" w:cs="Arial"/>
          <w:color w:val="000000" w:themeColor="text1"/>
        </w:rPr>
        <w:t>2023 required only 71 alignment points versus 83 for 2021</w:t>
      </w:r>
      <w:r w:rsidR="00DC0A6B">
        <w:rPr>
          <w:rFonts w:ascii="Arial" w:hAnsi="Arial" w:cs="Arial"/>
          <w:color w:val="000000" w:themeColor="text1"/>
        </w:rPr>
        <w:t>-</w:t>
      </w:r>
      <w:r w:rsidRPr="008F18E9">
        <w:rPr>
          <w:rFonts w:ascii="Arial" w:hAnsi="Arial" w:cs="Arial"/>
          <w:color w:val="000000" w:themeColor="text1"/>
        </w:rPr>
        <w:t>2022, indicating tighter temporal correspondence (Wang et al., 2020). Moderate similarity in 2023</w:t>
      </w:r>
      <w:r w:rsidR="00DC0A6B">
        <w:rPr>
          <w:rFonts w:ascii="Arial" w:hAnsi="Arial" w:cs="Arial"/>
          <w:color w:val="000000" w:themeColor="text1"/>
        </w:rPr>
        <w:t>-</w:t>
      </w:r>
      <w:r w:rsidRPr="008F18E9">
        <w:rPr>
          <w:rFonts w:ascii="Arial" w:hAnsi="Arial" w:cs="Arial"/>
          <w:color w:val="000000" w:themeColor="text1"/>
        </w:rPr>
        <w:t>2024 (DTW distance: 29,092; path length: 80) suggest</w:t>
      </w:r>
      <w:r w:rsidR="007A0FBE">
        <w:rPr>
          <w:rFonts w:ascii="Arial" w:hAnsi="Arial" w:cs="Arial"/>
          <w:color w:val="000000" w:themeColor="text1"/>
        </w:rPr>
        <w:t>ed</w:t>
      </w:r>
      <w:r w:rsidRPr="008F18E9">
        <w:rPr>
          <w:rFonts w:ascii="Arial" w:hAnsi="Arial" w:cs="Arial"/>
          <w:color w:val="000000" w:themeColor="text1"/>
        </w:rPr>
        <w:t xml:space="preserve"> post-shock stabilization, with a higher price floor (₹734 vs. ₹429) and reduced volatility consistent with typical market adjustments (Gilbert and Morgan, 2010).</w:t>
      </w:r>
    </w:p>
    <w:p w14:paraId="62BD2DE8" w14:textId="25DC8899" w:rsidR="005C5549" w:rsidRPr="008F18E9" w:rsidRDefault="00E22397" w:rsidP="00E22397">
      <w:pPr>
        <w:spacing w:after="240"/>
        <w:jc w:val="both"/>
        <w:rPr>
          <w:rFonts w:ascii="Arial" w:hAnsi="Arial" w:cs="Arial"/>
          <w:color w:val="000000" w:themeColor="text1"/>
        </w:rPr>
      </w:pPr>
      <w:r w:rsidRPr="008F18E9">
        <w:rPr>
          <w:rFonts w:ascii="Arial" w:hAnsi="Arial" w:cs="Arial"/>
          <w:color w:val="000000" w:themeColor="text1"/>
        </w:rPr>
        <w:t>Overall, these results confirm</w:t>
      </w:r>
      <w:r w:rsidR="0039670D">
        <w:rPr>
          <w:rFonts w:ascii="Arial" w:hAnsi="Arial" w:cs="Arial"/>
          <w:color w:val="000000" w:themeColor="text1"/>
        </w:rPr>
        <w:t>ed</w:t>
      </w:r>
      <w:r w:rsidRPr="008F18E9">
        <w:rPr>
          <w:rFonts w:ascii="Arial" w:hAnsi="Arial" w:cs="Arial"/>
          <w:color w:val="000000" w:themeColor="text1"/>
        </w:rPr>
        <w:t xml:space="preserve"> that seasonal timing in tomato prices </w:t>
      </w:r>
      <w:r w:rsidR="00CD239E">
        <w:rPr>
          <w:rFonts w:ascii="Arial" w:hAnsi="Arial" w:cs="Arial"/>
          <w:color w:val="000000" w:themeColor="text1"/>
        </w:rPr>
        <w:t>was</w:t>
      </w:r>
      <w:r w:rsidRPr="008F18E9">
        <w:rPr>
          <w:rFonts w:ascii="Arial" w:hAnsi="Arial" w:cs="Arial"/>
          <w:color w:val="000000" w:themeColor="text1"/>
        </w:rPr>
        <w:t xml:space="preserve"> recurrent but not fixed. Variation in DTW distances (23,258</w:t>
      </w:r>
      <w:r w:rsidR="00755E19">
        <w:rPr>
          <w:rFonts w:ascii="Arial" w:hAnsi="Arial" w:cs="Arial"/>
          <w:color w:val="000000" w:themeColor="text1"/>
        </w:rPr>
        <w:t>-</w:t>
      </w:r>
      <w:r w:rsidRPr="008F18E9">
        <w:rPr>
          <w:rFonts w:ascii="Arial" w:hAnsi="Arial" w:cs="Arial"/>
          <w:color w:val="000000" w:themeColor="text1"/>
        </w:rPr>
        <w:t>39,049) highlight</w:t>
      </w:r>
      <w:r w:rsidR="00D70BBE">
        <w:rPr>
          <w:rFonts w:ascii="Arial" w:hAnsi="Arial" w:cs="Arial"/>
          <w:color w:val="000000" w:themeColor="text1"/>
        </w:rPr>
        <w:t>ed</w:t>
      </w:r>
      <w:r w:rsidRPr="008F18E9">
        <w:rPr>
          <w:rFonts w:ascii="Arial" w:hAnsi="Arial" w:cs="Arial"/>
          <w:color w:val="000000" w:themeColor="text1"/>
        </w:rPr>
        <w:t xml:space="preserve"> the need for forecasting models that are robust to both magnitude shocks, as in 2023, and structural breaks, as in 2021</w:t>
      </w:r>
      <w:r w:rsidR="00A621A2">
        <w:rPr>
          <w:rFonts w:ascii="Arial" w:hAnsi="Arial" w:cs="Arial"/>
          <w:color w:val="000000" w:themeColor="text1"/>
        </w:rPr>
        <w:t>-</w:t>
      </w:r>
      <w:r w:rsidRPr="008F18E9">
        <w:rPr>
          <w:rFonts w:ascii="Arial" w:hAnsi="Arial" w:cs="Arial"/>
          <w:color w:val="000000" w:themeColor="text1"/>
        </w:rPr>
        <w:t>2022 (</w:t>
      </w:r>
      <w:proofErr w:type="spellStart"/>
      <w:r w:rsidRPr="008F18E9">
        <w:rPr>
          <w:rFonts w:ascii="Arial" w:hAnsi="Arial" w:cs="Arial"/>
          <w:color w:val="000000" w:themeColor="text1"/>
        </w:rPr>
        <w:t>Makridakis</w:t>
      </w:r>
      <w:proofErr w:type="spellEnd"/>
      <w:r w:rsidRPr="008F18E9">
        <w:rPr>
          <w:rFonts w:ascii="Arial" w:hAnsi="Arial" w:cs="Arial"/>
          <w:color w:val="000000" w:themeColor="text1"/>
        </w:rPr>
        <w:t xml:space="preserve"> et al., 1998; Hamilton, 1989). Practically, DTW can inform training data selection, allowing greater weight to years with higher temporal similarity (e.g., using 2023 data to forecast 2024), and can be operationalized through DTW-weighted ensemble learning or adaptive neural network training (Yadav et al., 2025).</w:t>
      </w:r>
    </w:p>
    <w:p w14:paraId="42C2252E" w14:textId="3BF39790" w:rsidR="005F7E6C" w:rsidRPr="008F18E9" w:rsidRDefault="005F7E6C" w:rsidP="005F7E6C">
      <w:pPr>
        <w:tabs>
          <w:tab w:val="left" w:pos="1080"/>
        </w:tabs>
        <w:jc w:val="both"/>
        <w:rPr>
          <w:rFonts w:ascii="Arial" w:hAnsi="Arial" w:cs="Arial"/>
          <w:b/>
          <w:bCs/>
          <w:color w:val="000000" w:themeColor="text1"/>
        </w:rPr>
      </w:pPr>
      <w:r w:rsidRPr="008F18E9">
        <w:rPr>
          <w:rFonts w:ascii="Arial" w:hAnsi="Arial" w:cs="Arial"/>
          <w:b/>
          <w:bCs/>
          <w:color w:val="000000" w:themeColor="text1"/>
        </w:rPr>
        <w:t>Table 2</w:t>
      </w:r>
      <w:r w:rsidR="003D206C" w:rsidRPr="008F18E9">
        <w:rPr>
          <w:rFonts w:ascii="Arial" w:hAnsi="Arial" w:cs="Arial"/>
          <w:b/>
          <w:bCs/>
          <w:color w:val="000000" w:themeColor="text1"/>
        </w:rPr>
        <w:t>. Dynamic Time Warping Analysis summary for Modal prices</w:t>
      </w:r>
      <w:r w:rsidR="00677EF0" w:rsidRPr="008F18E9">
        <w:rPr>
          <w:rFonts w:ascii="Arial" w:hAnsi="Arial" w:cs="Arial"/>
          <w:b/>
          <w:bCs/>
          <w:color w:val="000000" w:themeColor="text1"/>
        </w:rPr>
        <w:t xml:space="preserve"> (2021-2024)</w:t>
      </w:r>
    </w:p>
    <w:tbl>
      <w:tblPr>
        <w:tblW w:w="0" w:type="auto"/>
        <w:tblLayout w:type="fixed"/>
        <w:tblLook w:val="04A0" w:firstRow="1" w:lastRow="0" w:firstColumn="1" w:lastColumn="0" w:noHBand="0" w:noVBand="1"/>
      </w:tblPr>
      <w:tblGrid>
        <w:gridCol w:w="947"/>
        <w:gridCol w:w="871"/>
        <w:gridCol w:w="1350"/>
        <w:gridCol w:w="1209"/>
        <w:gridCol w:w="1017"/>
        <w:gridCol w:w="1064"/>
        <w:gridCol w:w="889"/>
        <w:gridCol w:w="1077"/>
      </w:tblGrid>
      <w:tr w:rsidR="008F18E9" w:rsidRPr="008F18E9" w14:paraId="216CC8F3" w14:textId="77777777" w:rsidTr="005B5142">
        <w:trPr>
          <w:trHeight w:val="288"/>
        </w:trPr>
        <w:tc>
          <w:tcPr>
            <w:tcW w:w="947" w:type="dxa"/>
            <w:tcBorders>
              <w:top w:val="single" w:sz="4" w:space="0" w:color="auto"/>
              <w:left w:val="nil"/>
              <w:bottom w:val="single" w:sz="4" w:space="0" w:color="auto"/>
              <w:right w:val="nil"/>
            </w:tcBorders>
            <w:noWrap/>
            <w:vAlign w:val="bottom"/>
            <w:hideMark/>
          </w:tcPr>
          <w:p w14:paraId="4F851668" w14:textId="0CDBFCA2"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Years</w:t>
            </w:r>
          </w:p>
        </w:tc>
        <w:tc>
          <w:tcPr>
            <w:tcW w:w="871" w:type="dxa"/>
            <w:tcBorders>
              <w:top w:val="single" w:sz="4" w:space="0" w:color="auto"/>
              <w:left w:val="nil"/>
              <w:bottom w:val="single" w:sz="4" w:space="0" w:color="auto"/>
              <w:right w:val="nil"/>
            </w:tcBorders>
            <w:noWrap/>
            <w:vAlign w:val="bottom"/>
            <w:hideMark/>
          </w:tcPr>
          <w:p w14:paraId="3FB9636E"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Data Points (Y1/Y2)</w:t>
            </w:r>
          </w:p>
        </w:tc>
        <w:tc>
          <w:tcPr>
            <w:tcW w:w="1350" w:type="dxa"/>
            <w:tcBorders>
              <w:top w:val="single" w:sz="4" w:space="0" w:color="auto"/>
              <w:left w:val="nil"/>
              <w:bottom w:val="single" w:sz="4" w:space="0" w:color="auto"/>
              <w:right w:val="nil"/>
            </w:tcBorders>
            <w:noWrap/>
            <w:vAlign w:val="bottom"/>
            <w:hideMark/>
          </w:tcPr>
          <w:p w14:paraId="46285006"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Price Range Y1</w:t>
            </w:r>
          </w:p>
        </w:tc>
        <w:tc>
          <w:tcPr>
            <w:tcW w:w="1209" w:type="dxa"/>
            <w:tcBorders>
              <w:top w:val="single" w:sz="4" w:space="0" w:color="auto"/>
              <w:left w:val="nil"/>
              <w:bottom w:val="single" w:sz="4" w:space="0" w:color="auto"/>
              <w:right w:val="nil"/>
            </w:tcBorders>
            <w:noWrap/>
            <w:vAlign w:val="bottom"/>
            <w:hideMark/>
          </w:tcPr>
          <w:p w14:paraId="1392C096"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Price Range Y2</w:t>
            </w:r>
          </w:p>
        </w:tc>
        <w:tc>
          <w:tcPr>
            <w:tcW w:w="1017" w:type="dxa"/>
            <w:tcBorders>
              <w:top w:val="single" w:sz="4" w:space="0" w:color="auto"/>
              <w:left w:val="nil"/>
              <w:bottom w:val="single" w:sz="4" w:space="0" w:color="auto"/>
              <w:right w:val="nil"/>
            </w:tcBorders>
            <w:noWrap/>
            <w:vAlign w:val="bottom"/>
            <w:hideMark/>
          </w:tcPr>
          <w:p w14:paraId="7FF2FC20"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DTW Distance</w:t>
            </w:r>
          </w:p>
        </w:tc>
        <w:tc>
          <w:tcPr>
            <w:tcW w:w="1064" w:type="dxa"/>
            <w:tcBorders>
              <w:top w:val="single" w:sz="4" w:space="0" w:color="auto"/>
              <w:left w:val="nil"/>
              <w:bottom w:val="single" w:sz="4" w:space="0" w:color="auto"/>
              <w:right w:val="nil"/>
            </w:tcBorders>
            <w:noWrap/>
            <w:vAlign w:val="bottom"/>
            <w:hideMark/>
          </w:tcPr>
          <w:p w14:paraId="27BF5C53"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Mean Distance</w:t>
            </w:r>
          </w:p>
        </w:tc>
        <w:tc>
          <w:tcPr>
            <w:tcW w:w="889" w:type="dxa"/>
            <w:tcBorders>
              <w:top w:val="single" w:sz="4" w:space="0" w:color="auto"/>
              <w:left w:val="nil"/>
              <w:bottom w:val="single" w:sz="4" w:space="0" w:color="auto"/>
              <w:right w:val="nil"/>
            </w:tcBorders>
            <w:noWrap/>
            <w:vAlign w:val="bottom"/>
            <w:hideMark/>
          </w:tcPr>
          <w:p w14:paraId="7345AA00"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Path Length</w:t>
            </w:r>
          </w:p>
        </w:tc>
        <w:tc>
          <w:tcPr>
            <w:tcW w:w="1077" w:type="dxa"/>
            <w:tcBorders>
              <w:top w:val="single" w:sz="4" w:space="0" w:color="auto"/>
              <w:left w:val="nil"/>
              <w:bottom w:val="single" w:sz="4" w:space="0" w:color="auto"/>
              <w:right w:val="nil"/>
            </w:tcBorders>
            <w:noWrap/>
            <w:vAlign w:val="bottom"/>
            <w:hideMark/>
          </w:tcPr>
          <w:p w14:paraId="5297B7A3"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Similarity Rank</w:t>
            </w:r>
          </w:p>
        </w:tc>
      </w:tr>
      <w:tr w:rsidR="008F18E9" w:rsidRPr="008F18E9" w14:paraId="7588F840" w14:textId="77777777" w:rsidTr="005B5142">
        <w:trPr>
          <w:trHeight w:val="288"/>
        </w:trPr>
        <w:tc>
          <w:tcPr>
            <w:tcW w:w="947" w:type="dxa"/>
            <w:tcBorders>
              <w:top w:val="single" w:sz="4" w:space="0" w:color="auto"/>
              <w:left w:val="nil"/>
              <w:bottom w:val="nil"/>
              <w:right w:val="nil"/>
            </w:tcBorders>
            <w:noWrap/>
            <w:vAlign w:val="bottom"/>
            <w:hideMark/>
          </w:tcPr>
          <w:p w14:paraId="6565D8DC"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2021 vs 2022</w:t>
            </w:r>
          </w:p>
        </w:tc>
        <w:tc>
          <w:tcPr>
            <w:tcW w:w="871" w:type="dxa"/>
            <w:tcBorders>
              <w:top w:val="single" w:sz="4" w:space="0" w:color="auto"/>
              <w:left w:val="nil"/>
              <w:bottom w:val="nil"/>
              <w:right w:val="nil"/>
            </w:tcBorders>
            <w:noWrap/>
            <w:vAlign w:val="bottom"/>
            <w:hideMark/>
          </w:tcPr>
          <w:p w14:paraId="0F3D4DCF"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52 / 52</w:t>
            </w:r>
          </w:p>
        </w:tc>
        <w:tc>
          <w:tcPr>
            <w:tcW w:w="1350" w:type="dxa"/>
            <w:tcBorders>
              <w:top w:val="single" w:sz="4" w:space="0" w:color="auto"/>
              <w:left w:val="nil"/>
              <w:bottom w:val="nil"/>
              <w:right w:val="nil"/>
            </w:tcBorders>
            <w:noWrap/>
            <w:vAlign w:val="bottom"/>
            <w:hideMark/>
          </w:tcPr>
          <w:p w14:paraId="3DDEC887"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401 - 3,377</w:t>
            </w:r>
          </w:p>
        </w:tc>
        <w:tc>
          <w:tcPr>
            <w:tcW w:w="1209" w:type="dxa"/>
            <w:tcBorders>
              <w:top w:val="single" w:sz="4" w:space="0" w:color="auto"/>
              <w:left w:val="nil"/>
              <w:bottom w:val="nil"/>
              <w:right w:val="nil"/>
            </w:tcBorders>
            <w:noWrap/>
            <w:vAlign w:val="bottom"/>
            <w:hideMark/>
          </w:tcPr>
          <w:p w14:paraId="26BFC414"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371 - 4,447</w:t>
            </w:r>
          </w:p>
        </w:tc>
        <w:tc>
          <w:tcPr>
            <w:tcW w:w="1017" w:type="dxa"/>
            <w:tcBorders>
              <w:top w:val="single" w:sz="4" w:space="0" w:color="auto"/>
              <w:left w:val="nil"/>
              <w:bottom w:val="nil"/>
              <w:right w:val="nil"/>
            </w:tcBorders>
            <w:noWrap/>
            <w:vAlign w:val="bottom"/>
            <w:hideMark/>
          </w:tcPr>
          <w:p w14:paraId="25D1EF5C" w14:textId="38219F8D"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39,049</w:t>
            </w:r>
          </w:p>
        </w:tc>
        <w:tc>
          <w:tcPr>
            <w:tcW w:w="1064" w:type="dxa"/>
            <w:tcBorders>
              <w:top w:val="single" w:sz="4" w:space="0" w:color="auto"/>
              <w:left w:val="nil"/>
              <w:bottom w:val="nil"/>
              <w:right w:val="nil"/>
            </w:tcBorders>
            <w:noWrap/>
            <w:vAlign w:val="bottom"/>
            <w:hideMark/>
          </w:tcPr>
          <w:p w14:paraId="01D869D4" w14:textId="77777777"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470.47</w:t>
            </w:r>
          </w:p>
        </w:tc>
        <w:tc>
          <w:tcPr>
            <w:tcW w:w="889" w:type="dxa"/>
            <w:tcBorders>
              <w:top w:val="single" w:sz="4" w:space="0" w:color="auto"/>
              <w:left w:val="nil"/>
              <w:bottom w:val="nil"/>
              <w:right w:val="nil"/>
            </w:tcBorders>
            <w:noWrap/>
            <w:vAlign w:val="bottom"/>
            <w:hideMark/>
          </w:tcPr>
          <w:p w14:paraId="66608F7A" w14:textId="77777777"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83</w:t>
            </w:r>
          </w:p>
        </w:tc>
        <w:tc>
          <w:tcPr>
            <w:tcW w:w="1077" w:type="dxa"/>
            <w:tcBorders>
              <w:top w:val="single" w:sz="4" w:space="0" w:color="auto"/>
              <w:left w:val="nil"/>
              <w:bottom w:val="nil"/>
              <w:right w:val="nil"/>
            </w:tcBorders>
            <w:noWrap/>
            <w:vAlign w:val="bottom"/>
            <w:hideMark/>
          </w:tcPr>
          <w:p w14:paraId="216D34A2" w14:textId="57CCB3B3"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 xml:space="preserve">3 </w:t>
            </w:r>
          </w:p>
        </w:tc>
      </w:tr>
      <w:tr w:rsidR="008F18E9" w:rsidRPr="008F18E9" w14:paraId="3BE98A13" w14:textId="77777777" w:rsidTr="005B5142">
        <w:trPr>
          <w:trHeight w:val="288"/>
        </w:trPr>
        <w:tc>
          <w:tcPr>
            <w:tcW w:w="947" w:type="dxa"/>
            <w:tcBorders>
              <w:top w:val="nil"/>
              <w:left w:val="nil"/>
              <w:right w:val="nil"/>
            </w:tcBorders>
            <w:noWrap/>
            <w:vAlign w:val="bottom"/>
            <w:hideMark/>
          </w:tcPr>
          <w:p w14:paraId="22A8A171"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2022 vs 2023</w:t>
            </w:r>
          </w:p>
        </w:tc>
        <w:tc>
          <w:tcPr>
            <w:tcW w:w="871" w:type="dxa"/>
            <w:tcBorders>
              <w:top w:val="nil"/>
              <w:left w:val="nil"/>
              <w:right w:val="nil"/>
            </w:tcBorders>
            <w:noWrap/>
            <w:vAlign w:val="bottom"/>
            <w:hideMark/>
          </w:tcPr>
          <w:p w14:paraId="3A463EFF"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52 / 53</w:t>
            </w:r>
          </w:p>
        </w:tc>
        <w:tc>
          <w:tcPr>
            <w:tcW w:w="1350" w:type="dxa"/>
            <w:tcBorders>
              <w:top w:val="nil"/>
              <w:left w:val="nil"/>
              <w:right w:val="nil"/>
            </w:tcBorders>
            <w:noWrap/>
            <w:vAlign w:val="bottom"/>
            <w:hideMark/>
          </w:tcPr>
          <w:p w14:paraId="33EB9966"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371 - 4,447</w:t>
            </w:r>
          </w:p>
        </w:tc>
        <w:tc>
          <w:tcPr>
            <w:tcW w:w="1209" w:type="dxa"/>
            <w:tcBorders>
              <w:top w:val="nil"/>
              <w:left w:val="nil"/>
              <w:right w:val="nil"/>
            </w:tcBorders>
            <w:noWrap/>
            <w:vAlign w:val="bottom"/>
            <w:hideMark/>
          </w:tcPr>
          <w:p w14:paraId="7068B2F2"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429 - 7,429</w:t>
            </w:r>
          </w:p>
        </w:tc>
        <w:tc>
          <w:tcPr>
            <w:tcW w:w="1017" w:type="dxa"/>
            <w:tcBorders>
              <w:top w:val="nil"/>
              <w:left w:val="nil"/>
              <w:right w:val="nil"/>
            </w:tcBorders>
            <w:noWrap/>
            <w:vAlign w:val="bottom"/>
            <w:hideMark/>
          </w:tcPr>
          <w:p w14:paraId="7BA5E665" w14:textId="4D47FDE8"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23,258</w:t>
            </w:r>
          </w:p>
        </w:tc>
        <w:tc>
          <w:tcPr>
            <w:tcW w:w="1064" w:type="dxa"/>
            <w:tcBorders>
              <w:top w:val="nil"/>
              <w:left w:val="nil"/>
              <w:right w:val="nil"/>
            </w:tcBorders>
            <w:noWrap/>
            <w:vAlign w:val="bottom"/>
            <w:hideMark/>
          </w:tcPr>
          <w:p w14:paraId="2684B3E5" w14:textId="77777777"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327.58</w:t>
            </w:r>
          </w:p>
        </w:tc>
        <w:tc>
          <w:tcPr>
            <w:tcW w:w="889" w:type="dxa"/>
            <w:tcBorders>
              <w:top w:val="nil"/>
              <w:left w:val="nil"/>
              <w:right w:val="nil"/>
            </w:tcBorders>
            <w:noWrap/>
            <w:vAlign w:val="bottom"/>
            <w:hideMark/>
          </w:tcPr>
          <w:p w14:paraId="4BF60DC4" w14:textId="77777777"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71</w:t>
            </w:r>
          </w:p>
        </w:tc>
        <w:tc>
          <w:tcPr>
            <w:tcW w:w="1077" w:type="dxa"/>
            <w:tcBorders>
              <w:top w:val="nil"/>
              <w:left w:val="nil"/>
              <w:right w:val="nil"/>
            </w:tcBorders>
            <w:noWrap/>
            <w:vAlign w:val="bottom"/>
            <w:hideMark/>
          </w:tcPr>
          <w:p w14:paraId="397AED2C" w14:textId="6EC4C3FA"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1</w:t>
            </w:r>
          </w:p>
        </w:tc>
      </w:tr>
      <w:tr w:rsidR="008F18E9" w:rsidRPr="008F18E9" w14:paraId="3195D2D7" w14:textId="77777777" w:rsidTr="005B5142">
        <w:trPr>
          <w:trHeight w:val="288"/>
        </w:trPr>
        <w:tc>
          <w:tcPr>
            <w:tcW w:w="947" w:type="dxa"/>
            <w:tcBorders>
              <w:top w:val="nil"/>
              <w:left w:val="nil"/>
              <w:bottom w:val="single" w:sz="4" w:space="0" w:color="auto"/>
              <w:right w:val="nil"/>
            </w:tcBorders>
            <w:noWrap/>
            <w:vAlign w:val="bottom"/>
            <w:hideMark/>
          </w:tcPr>
          <w:p w14:paraId="0962D39F"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2023 vs 2024</w:t>
            </w:r>
          </w:p>
        </w:tc>
        <w:tc>
          <w:tcPr>
            <w:tcW w:w="871" w:type="dxa"/>
            <w:tcBorders>
              <w:top w:val="nil"/>
              <w:left w:val="nil"/>
              <w:bottom w:val="single" w:sz="4" w:space="0" w:color="auto"/>
              <w:right w:val="nil"/>
            </w:tcBorders>
            <w:noWrap/>
            <w:vAlign w:val="bottom"/>
            <w:hideMark/>
          </w:tcPr>
          <w:p w14:paraId="2F5D30A3"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53 / 52</w:t>
            </w:r>
          </w:p>
        </w:tc>
        <w:tc>
          <w:tcPr>
            <w:tcW w:w="1350" w:type="dxa"/>
            <w:tcBorders>
              <w:top w:val="nil"/>
              <w:left w:val="nil"/>
              <w:bottom w:val="single" w:sz="4" w:space="0" w:color="auto"/>
              <w:right w:val="nil"/>
            </w:tcBorders>
            <w:noWrap/>
            <w:vAlign w:val="bottom"/>
            <w:hideMark/>
          </w:tcPr>
          <w:p w14:paraId="251FA7B2"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429 - 7,429</w:t>
            </w:r>
          </w:p>
        </w:tc>
        <w:tc>
          <w:tcPr>
            <w:tcW w:w="1209" w:type="dxa"/>
            <w:tcBorders>
              <w:top w:val="nil"/>
              <w:left w:val="nil"/>
              <w:bottom w:val="single" w:sz="4" w:space="0" w:color="auto"/>
              <w:right w:val="nil"/>
            </w:tcBorders>
            <w:noWrap/>
            <w:vAlign w:val="bottom"/>
            <w:hideMark/>
          </w:tcPr>
          <w:p w14:paraId="4A712045"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734 - 4,434</w:t>
            </w:r>
          </w:p>
        </w:tc>
        <w:tc>
          <w:tcPr>
            <w:tcW w:w="1017" w:type="dxa"/>
            <w:tcBorders>
              <w:top w:val="nil"/>
              <w:left w:val="nil"/>
              <w:bottom w:val="single" w:sz="4" w:space="0" w:color="auto"/>
              <w:right w:val="nil"/>
            </w:tcBorders>
            <w:noWrap/>
            <w:vAlign w:val="bottom"/>
            <w:hideMark/>
          </w:tcPr>
          <w:p w14:paraId="70EFD147" w14:textId="1CD01676"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29,092</w:t>
            </w:r>
          </w:p>
        </w:tc>
        <w:tc>
          <w:tcPr>
            <w:tcW w:w="1064" w:type="dxa"/>
            <w:tcBorders>
              <w:top w:val="nil"/>
              <w:left w:val="nil"/>
              <w:bottom w:val="single" w:sz="4" w:space="0" w:color="auto"/>
              <w:right w:val="nil"/>
            </w:tcBorders>
            <w:noWrap/>
            <w:vAlign w:val="bottom"/>
            <w:hideMark/>
          </w:tcPr>
          <w:p w14:paraId="3B3C854F" w14:textId="77777777"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363.65</w:t>
            </w:r>
          </w:p>
        </w:tc>
        <w:tc>
          <w:tcPr>
            <w:tcW w:w="889" w:type="dxa"/>
            <w:tcBorders>
              <w:top w:val="nil"/>
              <w:left w:val="nil"/>
              <w:bottom w:val="single" w:sz="4" w:space="0" w:color="auto"/>
              <w:right w:val="nil"/>
            </w:tcBorders>
            <w:noWrap/>
            <w:vAlign w:val="bottom"/>
            <w:hideMark/>
          </w:tcPr>
          <w:p w14:paraId="1BD2EC90" w14:textId="77777777"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80</w:t>
            </w:r>
          </w:p>
        </w:tc>
        <w:tc>
          <w:tcPr>
            <w:tcW w:w="1077" w:type="dxa"/>
            <w:tcBorders>
              <w:top w:val="nil"/>
              <w:left w:val="nil"/>
              <w:bottom w:val="single" w:sz="4" w:space="0" w:color="auto"/>
              <w:right w:val="nil"/>
            </w:tcBorders>
            <w:noWrap/>
            <w:vAlign w:val="bottom"/>
            <w:hideMark/>
          </w:tcPr>
          <w:p w14:paraId="05CA0105" w14:textId="0D9F531F"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 xml:space="preserve">2 </w:t>
            </w:r>
          </w:p>
        </w:tc>
      </w:tr>
    </w:tbl>
    <w:p w14:paraId="63C0C527" w14:textId="1FD9F184" w:rsidR="00F373C9" w:rsidRPr="008F18E9" w:rsidRDefault="00BB1390" w:rsidP="00BB1390">
      <w:pPr>
        <w:tabs>
          <w:tab w:val="left" w:pos="1080"/>
        </w:tabs>
        <w:jc w:val="both"/>
        <w:rPr>
          <w:rFonts w:ascii="Arial" w:hAnsi="Arial" w:cs="Arial"/>
          <w:i/>
          <w:iCs/>
          <w:color w:val="000000" w:themeColor="text1"/>
          <w:sz w:val="18"/>
          <w:szCs w:val="18"/>
        </w:rPr>
      </w:pPr>
      <w:r w:rsidRPr="008F18E9">
        <w:rPr>
          <w:rFonts w:ascii="Arial" w:hAnsi="Arial" w:cs="Arial"/>
          <w:i/>
          <w:iCs/>
          <w:color w:val="000000" w:themeColor="text1"/>
          <w:sz w:val="18"/>
          <w:szCs w:val="18"/>
        </w:rPr>
        <w:t>Note: DTW Distance- Total cumulative distance between aligned patterns (lower = more similar);</w:t>
      </w:r>
      <w:r w:rsidRPr="008F18E9">
        <w:rPr>
          <w:rFonts w:ascii="Arial" w:hAnsi="Arial" w:cs="Arial"/>
          <w:b/>
          <w:bCs/>
          <w:i/>
          <w:iCs/>
          <w:color w:val="000000" w:themeColor="text1"/>
          <w:sz w:val="18"/>
          <w:szCs w:val="18"/>
        </w:rPr>
        <w:t xml:space="preserve"> </w:t>
      </w:r>
      <w:r w:rsidRPr="008F18E9">
        <w:rPr>
          <w:rFonts w:ascii="Arial" w:hAnsi="Arial" w:cs="Arial"/>
          <w:i/>
          <w:iCs/>
          <w:color w:val="000000" w:themeColor="text1"/>
          <w:sz w:val="18"/>
          <w:szCs w:val="18"/>
        </w:rPr>
        <w:t>Mean Distance- Average per-point distance after alignment;</w:t>
      </w:r>
      <w:r w:rsidRPr="008F18E9">
        <w:rPr>
          <w:rFonts w:ascii="Arial" w:hAnsi="Arial" w:cs="Arial"/>
          <w:b/>
          <w:bCs/>
          <w:i/>
          <w:iCs/>
          <w:color w:val="000000" w:themeColor="text1"/>
          <w:sz w:val="18"/>
          <w:szCs w:val="18"/>
        </w:rPr>
        <w:t xml:space="preserve"> </w:t>
      </w:r>
      <w:r w:rsidRPr="008F18E9">
        <w:rPr>
          <w:rFonts w:ascii="Arial" w:hAnsi="Arial" w:cs="Arial"/>
          <w:i/>
          <w:iCs/>
          <w:color w:val="000000" w:themeColor="text1"/>
          <w:sz w:val="18"/>
          <w:szCs w:val="18"/>
        </w:rPr>
        <w:t>Path Length-Number of alignment points needed (indicates degree of time warping)</w:t>
      </w:r>
    </w:p>
    <w:p w14:paraId="12C118EC" w14:textId="77777777" w:rsidR="00BB1390" w:rsidRPr="008F18E9" w:rsidRDefault="00BB1390" w:rsidP="00BB1390">
      <w:pPr>
        <w:tabs>
          <w:tab w:val="left" w:pos="1080"/>
        </w:tabs>
        <w:jc w:val="both"/>
        <w:rPr>
          <w:rFonts w:ascii="Arial" w:hAnsi="Arial" w:cs="Arial"/>
          <w:color w:val="000000" w:themeColor="text1"/>
        </w:rPr>
      </w:pPr>
    </w:p>
    <w:p w14:paraId="06C9F903" w14:textId="21769B9C" w:rsidR="00210DB0" w:rsidRPr="008F18E9" w:rsidRDefault="0066200C" w:rsidP="00BB1390">
      <w:pPr>
        <w:tabs>
          <w:tab w:val="left" w:pos="1080"/>
        </w:tabs>
        <w:jc w:val="both"/>
        <w:rPr>
          <w:rFonts w:ascii="Arial" w:hAnsi="Arial" w:cs="Arial"/>
          <w:b/>
          <w:bCs/>
          <w:color w:val="000000" w:themeColor="text1"/>
        </w:rPr>
      </w:pPr>
      <w:r w:rsidRPr="008F18E9">
        <w:rPr>
          <w:noProof/>
          <w:color w:val="000000" w:themeColor="text1"/>
        </w:rPr>
        <w:lastRenderedPageBreak/>
        <w:drawing>
          <wp:inline distT="0" distB="0" distL="0" distR="0" wp14:anchorId="285CDC89" wp14:editId="5A22D7F2">
            <wp:extent cx="5212080" cy="4047490"/>
            <wp:effectExtent l="0" t="0" r="7620" b="0"/>
            <wp:docPr id="679195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4047490"/>
                    </a:xfrm>
                    <a:prstGeom prst="rect">
                      <a:avLst/>
                    </a:prstGeom>
                    <a:noFill/>
                    <a:ln>
                      <a:noFill/>
                    </a:ln>
                  </pic:spPr>
                </pic:pic>
              </a:graphicData>
            </a:graphic>
          </wp:inline>
        </w:drawing>
      </w:r>
    </w:p>
    <w:p w14:paraId="25C9FA76" w14:textId="77777777" w:rsidR="0066200C" w:rsidRPr="008F18E9" w:rsidRDefault="0066200C" w:rsidP="00BB1390">
      <w:pPr>
        <w:tabs>
          <w:tab w:val="left" w:pos="1080"/>
        </w:tabs>
        <w:jc w:val="both"/>
        <w:rPr>
          <w:rFonts w:ascii="Arial" w:hAnsi="Arial" w:cs="Arial"/>
          <w:b/>
          <w:bCs/>
          <w:color w:val="000000" w:themeColor="text1"/>
        </w:rPr>
      </w:pPr>
    </w:p>
    <w:p w14:paraId="5068ED25" w14:textId="72F991C5" w:rsidR="0066200C" w:rsidRPr="008F18E9" w:rsidRDefault="00BB3D9E" w:rsidP="0066200C">
      <w:pPr>
        <w:tabs>
          <w:tab w:val="left" w:pos="1080"/>
        </w:tabs>
        <w:jc w:val="center"/>
        <w:rPr>
          <w:rFonts w:ascii="Arial" w:hAnsi="Arial" w:cs="Arial"/>
          <w:b/>
          <w:bCs/>
          <w:color w:val="000000" w:themeColor="text1"/>
        </w:rPr>
      </w:pPr>
      <w:r w:rsidRPr="008F18E9">
        <w:rPr>
          <w:rFonts w:ascii="Arial" w:hAnsi="Arial" w:cs="Arial"/>
          <w:b/>
          <w:bCs/>
          <w:color w:val="000000" w:themeColor="text1"/>
        </w:rPr>
        <w:t>Fig.</w:t>
      </w:r>
      <w:r w:rsidR="00F07BE5" w:rsidRPr="008F18E9">
        <w:rPr>
          <w:rFonts w:ascii="Arial" w:hAnsi="Arial" w:cs="Arial"/>
          <w:b/>
          <w:bCs/>
          <w:color w:val="000000" w:themeColor="text1"/>
        </w:rPr>
        <w:t xml:space="preserve"> </w:t>
      </w:r>
      <w:r w:rsidRPr="008F18E9">
        <w:rPr>
          <w:rFonts w:ascii="Arial" w:hAnsi="Arial" w:cs="Arial"/>
          <w:b/>
          <w:bCs/>
          <w:color w:val="000000" w:themeColor="text1"/>
        </w:rPr>
        <w:t xml:space="preserve">3. </w:t>
      </w:r>
      <w:r w:rsidR="005528CA" w:rsidRPr="008F18E9">
        <w:rPr>
          <w:rFonts w:ascii="Arial" w:hAnsi="Arial" w:cs="Arial"/>
          <w:b/>
          <w:bCs/>
          <w:color w:val="000000" w:themeColor="text1"/>
        </w:rPr>
        <w:t>DTW</w:t>
      </w:r>
      <w:r w:rsidR="00677EF0" w:rsidRPr="008F18E9">
        <w:rPr>
          <w:rFonts w:ascii="Arial" w:hAnsi="Arial" w:cs="Arial"/>
          <w:b/>
          <w:bCs/>
          <w:color w:val="000000" w:themeColor="text1"/>
        </w:rPr>
        <w:t xml:space="preserve"> Analysis of Modal Price Patterns (2021-2024)</w:t>
      </w:r>
      <w:r w:rsidR="00210DB0" w:rsidRPr="008F18E9">
        <w:rPr>
          <w:rFonts w:ascii="Arial" w:hAnsi="Arial" w:cs="Arial"/>
          <w:b/>
          <w:bCs/>
          <w:color w:val="000000" w:themeColor="text1"/>
        </w:rPr>
        <w:t>.</w:t>
      </w:r>
    </w:p>
    <w:p w14:paraId="49950372" w14:textId="06D93D84" w:rsidR="004564FE" w:rsidRDefault="00433E8A" w:rsidP="000C76A8">
      <w:pPr>
        <w:pStyle w:val="Body"/>
        <w:spacing w:after="0"/>
        <w:rPr>
          <w:rFonts w:ascii="Arial" w:hAnsi="Arial" w:cs="Arial"/>
          <w:color w:val="000000" w:themeColor="text1"/>
        </w:rPr>
      </w:pPr>
      <w:r>
        <w:rPr>
          <w:rFonts w:ascii="Arial" w:hAnsi="Arial" w:cs="Arial"/>
          <w:color w:val="000000" w:themeColor="text1"/>
        </w:rPr>
        <w:t xml:space="preserve">Note: </w:t>
      </w:r>
      <w:r w:rsidR="001D6BA2" w:rsidRPr="008F18E9">
        <w:rPr>
          <w:rFonts w:ascii="Arial" w:hAnsi="Arial" w:cs="Arial"/>
          <w:color w:val="000000" w:themeColor="text1"/>
        </w:rPr>
        <w:t>Left panels: DTW alignment paths; Right panels: warped (time-aligned) price series. Lower DTW distances indicate higher inter-annual pattern similarity.</w:t>
      </w:r>
    </w:p>
    <w:p w14:paraId="5719A5ED" w14:textId="77777777" w:rsidR="008537D6" w:rsidRPr="008F18E9" w:rsidRDefault="008537D6" w:rsidP="000C76A8">
      <w:pPr>
        <w:pStyle w:val="Body"/>
        <w:spacing w:after="0"/>
        <w:rPr>
          <w:rFonts w:ascii="Arial" w:hAnsi="Arial" w:cs="Arial"/>
          <w:color w:val="000000" w:themeColor="text1"/>
        </w:rPr>
      </w:pPr>
    </w:p>
    <w:p w14:paraId="4C2301B1" w14:textId="0DFF5F0D" w:rsidR="00295F7C" w:rsidRPr="008F18E9" w:rsidRDefault="00295F7C" w:rsidP="008537D6">
      <w:pPr>
        <w:rPr>
          <w:rFonts w:ascii="Arial" w:hAnsi="Arial" w:cs="Arial"/>
          <w:b/>
          <w:bCs/>
          <w:color w:val="000000" w:themeColor="text1"/>
        </w:rPr>
      </w:pPr>
      <w:r w:rsidRPr="008F18E9">
        <w:rPr>
          <w:rFonts w:ascii="Arial" w:hAnsi="Arial" w:cs="Arial"/>
          <w:b/>
          <w:bCs/>
          <w:color w:val="000000" w:themeColor="text1"/>
        </w:rPr>
        <w:t>3.3.2</w:t>
      </w:r>
      <w:r w:rsidR="0085142E" w:rsidRPr="008F18E9">
        <w:rPr>
          <w:rFonts w:ascii="Arial" w:hAnsi="Arial" w:cs="Arial"/>
          <w:b/>
          <w:bCs/>
          <w:color w:val="000000" w:themeColor="text1"/>
        </w:rPr>
        <w:t xml:space="preserve"> </w:t>
      </w:r>
      <w:r w:rsidR="008537D6" w:rsidRPr="008537D6">
        <w:rPr>
          <w:rFonts w:ascii="Arial" w:hAnsi="Arial" w:cs="Arial"/>
          <w:b/>
          <w:bCs/>
          <w:color w:val="FF0000"/>
        </w:rPr>
        <w:t>Drivers</w:t>
      </w:r>
    </w:p>
    <w:p w14:paraId="50C9BF76" w14:textId="7DFE8249" w:rsidR="0085142E" w:rsidRPr="008F18E9" w:rsidRDefault="0085142E" w:rsidP="0085142E">
      <w:pPr>
        <w:pStyle w:val="ConcHead"/>
        <w:jc w:val="both"/>
        <w:rPr>
          <w:rFonts w:ascii="Arial" w:hAnsi="Arial" w:cs="Arial"/>
          <w:b w:val="0"/>
          <w:caps w:val="0"/>
          <w:color w:val="000000" w:themeColor="text1"/>
          <w:sz w:val="20"/>
        </w:rPr>
      </w:pPr>
      <w:r w:rsidRPr="008F18E9">
        <w:rPr>
          <w:rFonts w:ascii="Arial" w:hAnsi="Arial" w:cs="Arial"/>
          <w:b w:val="0"/>
          <w:caps w:val="0"/>
          <w:color w:val="000000" w:themeColor="text1"/>
          <w:sz w:val="20"/>
        </w:rPr>
        <w:t>Dynamic Time Warping (DTW) analysis of weekly tomato arrivals (Table 3, Fig. 4) reveal</w:t>
      </w:r>
      <w:r w:rsidR="002874F7">
        <w:rPr>
          <w:rFonts w:ascii="Arial" w:hAnsi="Arial" w:cs="Arial"/>
          <w:b w:val="0"/>
          <w:caps w:val="0"/>
          <w:color w:val="000000" w:themeColor="text1"/>
          <w:sz w:val="20"/>
        </w:rPr>
        <w:t>ed that the</w:t>
      </w:r>
      <w:r w:rsidRPr="008F18E9">
        <w:rPr>
          <w:rFonts w:ascii="Arial" w:hAnsi="Arial" w:cs="Arial"/>
          <w:b w:val="0"/>
          <w:caps w:val="0"/>
          <w:color w:val="000000" w:themeColor="text1"/>
          <w:sz w:val="20"/>
        </w:rPr>
        <w:t xml:space="preserve"> patterns contrasting with price dynamics. The 2021</w:t>
      </w:r>
      <w:r w:rsidR="002874F7">
        <w:rPr>
          <w:rFonts w:ascii="Arial" w:hAnsi="Arial" w:cs="Arial"/>
          <w:b w:val="0"/>
          <w:caps w:val="0"/>
          <w:color w:val="000000" w:themeColor="text1"/>
          <w:sz w:val="20"/>
        </w:rPr>
        <w:t>-</w:t>
      </w:r>
      <w:r w:rsidRPr="008F18E9">
        <w:rPr>
          <w:rFonts w:ascii="Arial" w:hAnsi="Arial" w:cs="Arial"/>
          <w:b w:val="0"/>
          <w:caps w:val="0"/>
          <w:color w:val="000000" w:themeColor="text1"/>
          <w:sz w:val="20"/>
        </w:rPr>
        <w:t>2022 comparison showed the highest similarity (DTW distance: 102,597; mean distance: 1,386.45), indicating that weekly supply timing and magnitude were highly consistent. This suggests stable production and harvesting trajectories despite the structural break observed in prices during the same period. Similar stability in arrivals during post-pandemic recovery has been reported for other perishable commodities (</w:t>
      </w:r>
      <w:r w:rsidR="00A05E7F">
        <w:rPr>
          <w:rFonts w:ascii="Arial" w:hAnsi="Arial" w:cs="Arial"/>
          <w:b w:val="0"/>
          <w:caps w:val="0"/>
          <w:color w:val="000000" w:themeColor="text1"/>
          <w:sz w:val="20"/>
        </w:rPr>
        <w:t>Ali</w:t>
      </w:r>
      <w:r w:rsidRPr="008F18E9">
        <w:rPr>
          <w:rFonts w:ascii="Arial" w:hAnsi="Arial" w:cs="Arial"/>
          <w:b w:val="0"/>
          <w:caps w:val="0"/>
          <w:color w:val="000000" w:themeColor="text1"/>
          <w:sz w:val="20"/>
        </w:rPr>
        <w:t xml:space="preserve"> et al., 202</w:t>
      </w:r>
      <w:r w:rsidR="00A05E7F">
        <w:rPr>
          <w:rFonts w:ascii="Arial" w:hAnsi="Arial" w:cs="Arial"/>
          <w:b w:val="0"/>
          <w:caps w:val="0"/>
          <w:color w:val="000000" w:themeColor="text1"/>
          <w:sz w:val="20"/>
        </w:rPr>
        <w:t>3</w:t>
      </w:r>
      <w:r w:rsidRPr="008F18E9">
        <w:rPr>
          <w:rFonts w:ascii="Arial" w:hAnsi="Arial" w:cs="Arial"/>
          <w:b w:val="0"/>
          <w:caps w:val="0"/>
          <w:color w:val="000000" w:themeColor="text1"/>
          <w:sz w:val="20"/>
        </w:rPr>
        <w:t>).</w:t>
      </w:r>
    </w:p>
    <w:p w14:paraId="36536EA2" w14:textId="0CC79F97" w:rsidR="0085142E" w:rsidRPr="008F18E9" w:rsidRDefault="0085142E" w:rsidP="0085142E">
      <w:pPr>
        <w:pStyle w:val="ConcHead"/>
        <w:jc w:val="both"/>
        <w:rPr>
          <w:rFonts w:ascii="Arial" w:hAnsi="Arial" w:cs="Arial"/>
          <w:b w:val="0"/>
          <w:caps w:val="0"/>
          <w:color w:val="000000" w:themeColor="text1"/>
          <w:sz w:val="20"/>
        </w:rPr>
      </w:pPr>
      <w:r w:rsidRPr="008F18E9">
        <w:rPr>
          <w:rFonts w:ascii="Arial" w:hAnsi="Arial" w:cs="Arial"/>
          <w:b w:val="0"/>
          <w:caps w:val="0"/>
          <w:color w:val="000000" w:themeColor="text1"/>
          <w:sz w:val="20"/>
        </w:rPr>
        <w:t>In contrast, 2022</w:t>
      </w:r>
      <w:r w:rsidR="00240AFB">
        <w:rPr>
          <w:rFonts w:ascii="Arial" w:hAnsi="Arial" w:cs="Arial"/>
          <w:b w:val="0"/>
          <w:caps w:val="0"/>
          <w:color w:val="000000" w:themeColor="text1"/>
          <w:sz w:val="20"/>
        </w:rPr>
        <w:t>-</w:t>
      </w:r>
      <w:r w:rsidRPr="008F18E9">
        <w:rPr>
          <w:rFonts w:ascii="Arial" w:hAnsi="Arial" w:cs="Arial"/>
          <w:b w:val="0"/>
          <w:caps w:val="0"/>
          <w:color w:val="000000" w:themeColor="text1"/>
          <w:sz w:val="20"/>
        </w:rPr>
        <w:t>2023 exhibited the weakest alignment (DTW distance: 188,074; mean distance: 2,507.66), reflecting substantial shifts in arrival patterns, likely due to supply shocks, production decisions influenced by prior year prices, or climatic variability. Interestingly, while prices remained temporally aligned in this period, arrivals diverged, a phenomenon previously attributed to storage and inventory management strategies, where traders adjust release patterns to stabilize prices (Acharya et al., 2012). Inter-regional imports or market channel substitutions may also have contributed to maintaining price stability.</w:t>
      </w:r>
    </w:p>
    <w:p w14:paraId="66609551" w14:textId="6B1D2500" w:rsidR="0085142E" w:rsidRPr="008F18E9" w:rsidRDefault="00537259" w:rsidP="0085142E">
      <w:pPr>
        <w:pStyle w:val="ConcHead"/>
        <w:jc w:val="both"/>
        <w:rPr>
          <w:rFonts w:ascii="Arial" w:hAnsi="Arial" w:cs="Arial"/>
          <w:b w:val="0"/>
          <w:caps w:val="0"/>
          <w:color w:val="000000" w:themeColor="text1"/>
          <w:sz w:val="20"/>
        </w:rPr>
      </w:pPr>
      <w:r>
        <w:rPr>
          <w:rFonts w:ascii="Arial" w:hAnsi="Arial" w:cs="Arial"/>
          <w:b w:val="0"/>
          <w:caps w:val="0"/>
          <w:color w:val="000000" w:themeColor="text1"/>
          <w:sz w:val="20"/>
        </w:rPr>
        <w:t>During</w:t>
      </w:r>
      <w:r w:rsidR="0085142E" w:rsidRPr="008F18E9">
        <w:rPr>
          <w:rFonts w:ascii="Arial" w:hAnsi="Arial" w:cs="Arial"/>
          <w:b w:val="0"/>
          <w:caps w:val="0"/>
          <w:color w:val="000000" w:themeColor="text1"/>
          <w:sz w:val="20"/>
        </w:rPr>
        <w:t xml:space="preserve"> 2023</w:t>
      </w:r>
      <w:r w:rsidR="00B530C2">
        <w:rPr>
          <w:rFonts w:ascii="Arial" w:hAnsi="Arial" w:cs="Arial"/>
          <w:b w:val="0"/>
          <w:caps w:val="0"/>
          <w:color w:val="000000" w:themeColor="text1"/>
          <w:sz w:val="20"/>
        </w:rPr>
        <w:t>-</w:t>
      </w:r>
      <w:r w:rsidR="0085142E" w:rsidRPr="008F18E9">
        <w:rPr>
          <w:rFonts w:ascii="Arial" w:hAnsi="Arial" w:cs="Arial"/>
          <w:b w:val="0"/>
          <w:caps w:val="0"/>
          <w:color w:val="000000" w:themeColor="text1"/>
          <w:sz w:val="20"/>
        </w:rPr>
        <w:t xml:space="preserve">2024 comparison showed intermediate similarity (DTW distance: 143,025; path length: 80), suggesting partial recovery of typical supply patterns. Path length variability (74–80 alignment points) was less pronounced than for prices, indicating that weekly arrivals are </w:t>
      </w:r>
      <w:r w:rsidR="0085142E" w:rsidRPr="008F18E9">
        <w:rPr>
          <w:rFonts w:ascii="Arial" w:hAnsi="Arial" w:cs="Arial"/>
          <w:b w:val="0"/>
          <w:caps w:val="0"/>
          <w:color w:val="000000" w:themeColor="text1"/>
          <w:sz w:val="20"/>
        </w:rPr>
        <w:lastRenderedPageBreak/>
        <w:t>generally more stable than price trajectories, though both exhibit meaningful inter-annual variability.</w:t>
      </w:r>
    </w:p>
    <w:p w14:paraId="5EDEBE06" w14:textId="6F4E12D1" w:rsidR="00232565" w:rsidRPr="008F18E9" w:rsidRDefault="00232565" w:rsidP="005528CA">
      <w:pPr>
        <w:rPr>
          <w:rFonts w:ascii="Arial" w:hAnsi="Arial" w:cs="Arial"/>
          <w:b/>
          <w:bCs/>
          <w:color w:val="000000" w:themeColor="text1"/>
        </w:rPr>
      </w:pPr>
      <w:r w:rsidRPr="008F18E9">
        <w:rPr>
          <w:rFonts w:ascii="Arial" w:hAnsi="Arial" w:cs="Arial"/>
          <w:b/>
          <w:bCs/>
          <w:color w:val="000000" w:themeColor="text1"/>
        </w:rPr>
        <w:t>Table 3. Dynamic Time Warping Analysis summary for weekly Arrivals (2021-2024)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7"/>
        <w:gridCol w:w="1073"/>
        <w:gridCol w:w="1095"/>
        <w:gridCol w:w="1095"/>
        <w:gridCol w:w="1048"/>
        <w:gridCol w:w="1065"/>
        <w:gridCol w:w="875"/>
        <w:gridCol w:w="1140"/>
      </w:tblGrid>
      <w:tr w:rsidR="008F18E9" w:rsidRPr="008F18E9" w14:paraId="380241D5" w14:textId="77777777" w:rsidTr="00F373C9">
        <w:trPr>
          <w:tblHeader/>
          <w:tblCellSpacing w:w="15" w:type="dxa"/>
        </w:trPr>
        <w:tc>
          <w:tcPr>
            <w:tcW w:w="470" w:type="pct"/>
            <w:tcBorders>
              <w:top w:val="single" w:sz="4" w:space="0" w:color="auto"/>
              <w:bottom w:val="single" w:sz="4" w:space="0" w:color="auto"/>
            </w:tcBorders>
            <w:vAlign w:val="center"/>
            <w:hideMark/>
          </w:tcPr>
          <w:p w14:paraId="44A164D0"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Years</w:t>
            </w:r>
          </w:p>
        </w:tc>
        <w:tc>
          <w:tcPr>
            <w:tcW w:w="635" w:type="pct"/>
            <w:tcBorders>
              <w:top w:val="single" w:sz="4" w:space="0" w:color="auto"/>
              <w:bottom w:val="single" w:sz="4" w:space="0" w:color="auto"/>
            </w:tcBorders>
            <w:vAlign w:val="center"/>
            <w:hideMark/>
          </w:tcPr>
          <w:p w14:paraId="7EA545D7"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Data Points (Y1 / Y2)</w:t>
            </w:r>
          </w:p>
        </w:tc>
        <w:tc>
          <w:tcPr>
            <w:tcW w:w="649" w:type="pct"/>
            <w:tcBorders>
              <w:top w:val="single" w:sz="4" w:space="0" w:color="auto"/>
              <w:bottom w:val="single" w:sz="4" w:space="0" w:color="auto"/>
            </w:tcBorders>
            <w:vAlign w:val="center"/>
            <w:hideMark/>
          </w:tcPr>
          <w:p w14:paraId="257557D9" w14:textId="22E4E143"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Arrivals Range Y1</w:t>
            </w:r>
          </w:p>
        </w:tc>
        <w:tc>
          <w:tcPr>
            <w:tcW w:w="649" w:type="pct"/>
            <w:tcBorders>
              <w:top w:val="single" w:sz="4" w:space="0" w:color="auto"/>
              <w:bottom w:val="single" w:sz="4" w:space="0" w:color="auto"/>
            </w:tcBorders>
            <w:vAlign w:val="center"/>
            <w:hideMark/>
          </w:tcPr>
          <w:p w14:paraId="21B7D45C" w14:textId="1490E2C9"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Arrivals Range Y2</w:t>
            </w:r>
          </w:p>
        </w:tc>
        <w:tc>
          <w:tcPr>
            <w:tcW w:w="620" w:type="pct"/>
            <w:tcBorders>
              <w:top w:val="single" w:sz="4" w:space="0" w:color="auto"/>
              <w:bottom w:val="single" w:sz="4" w:space="0" w:color="auto"/>
            </w:tcBorders>
            <w:vAlign w:val="center"/>
            <w:hideMark/>
          </w:tcPr>
          <w:p w14:paraId="245A8D90"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DTW Distance</w:t>
            </w:r>
          </w:p>
        </w:tc>
        <w:tc>
          <w:tcPr>
            <w:tcW w:w="630" w:type="pct"/>
            <w:tcBorders>
              <w:top w:val="single" w:sz="4" w:space="0" w:color="auto"/>
              <w:bottom w:val="single" w:sz="4" w:space="0" w:color="auto"/>
            </w:tcBorders>
            <w:vAlign w:val="center"/>
            <w:hideMark/>
          </w:tcPr>
          <w:p w14:paraId="40F5935F"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Mean Distance</w:t>
            </w:r>
          </w:p>
        </w:tc>
        <w:tc>
          <w:tcPr>
            <w:tcW w:w="514" w:type="pct"/>
            <w:tcBorders>
              <w:top w:val="single" w:sz="4" w:space="0" w:color="auto"/>
              <w:bottom w:val="single" w:sz="4" w:space="0" w:color="auto"/>
            </w:tcBorders>
            <w:vAlign w:val="center"/>
            <w:hideMark/>
          </w:tcPr>
          <w:p w14:paraId="282376FC"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Path Length</w:t>
            </w:r>
          </w:p>
        </w:tc>
        <w:tc>
          <w:tcPr>
            <w:tcW w:w="667" w:type="pct"/>
            <w:tcBorders>
              <w:top w:val="single" w:sz="4" w:space="0" w:color="auto"/>
              <w:bottom w:val="single" w:sz="4" w:space="0" w:color="auto"/>
            </w:tcBorders>
            <w:vAlign w:val="center"/>
            <w:hideMark/>
          </w:tcPr>
          <w:p w14:paraId="7398625B"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Similarity Rank</w:t>
            </w:r>
          </w:p>
        </w:tc>
      </w:tr>
      <w:tr w:rsidR="008F18E9" w:rsidRPr="008F18E9" w14:paraId="6616CADA" w14:textId="77777777" w:rsidTr="00F373C9">
        <w:trPr>
          <w:tblCellSpacing w:w="15" w:type="dxa"/>
        </w:trPr>
        <w:tc>
          <w:tcPr>
            <w:tcW w:w="470" w:type="pct"/>
            <w:vAlign w:val="center"/>
            <w:hideMark/>
          </w:tcPr>
          <w:p w14:paraId="49A45D1F"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2021 vs 2022</w:t>
            </w:r>
          </w:p>
        </w:tc>
        <w:tc>
          <w:tcPr>
            <w:tcW w:w="635" w:type="pct"/>
            <w:vAlign w:val="center"/>
            <w:hideMark/>
          </w:tcPr>
          <w:p w14:paraId="419558CF"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52 / 52</w:t>
            </w:r>
          </w:p>
        </w:tc>
        <w:tc>
          <w:tcPr>
            <w:tcW w:w="649" w:type="pct"/>
            <w:vAlign w:val="center"/>
            <w:hideMark/>
          </w:tcPr>
          <w:p w14:paraId="197CE248" w14:textId="3E703C18"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4,171–38,277</w:t>
            </w:r>
          </w:p>
        </w:tc>
        <w:tc>
          <w:tcPr>
            <w:tcW w:w="649" w:type="pct"/>
            <w:vAlign w:val="center"/>
            <w:hideMark/>
          </w:tcPr>
          <w:p w14:paraId="670198E7" w14:textId="0F7C9FE4"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4,634–6,572</w:t>
            </w:r>
          </w:p>
        </w:tc>
        <w:tc>
          <w:tcPr>
            <w:tcW w:w="620" w:type="pct"/>
            <w:vAlign w:val="center"/>
            <w:hideMark/>
          </w:tcPr>
          <w:p w14:paraId="4353D153" w14:textId="7FE66410"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102,597</w:t>
            </w:r>
          </w:p>
        </w:tc>
        <w:tc>
          <w:tcPr>
            <w:tcW w:w="630" w:type="pct"/>
            <w:vAlign w:val="center"/>
            <w:hideMark/>
          </w:tcPr>
          <w:p w14:paraId="01923D37"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1,386.45</w:t>
            </w:r>
          </w:p>
        </w:tc>
        <w:tc>
          <w:tcPr>
            <w:tcW w:w="514" w:type="pct"/>
            <w:vAlign w:val="center"/>
            <w:hideMark/>
          </w:tcPr>
          <w:p w14:paraId="62431536"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74</w:t>
            </w:r>
          </w:p>
        </w:tc>
        <w:tc>
          <w:tcPr>
            <w:tcW w:w="667" w:type="pct"/>
            <w:vAlign w:val="center"/>
            <w:hideMark/>
          </w:tcPr>
          <w:p w14:paraId="4291953B"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w:t>
            </w:r>
          </w:p>
        </w:tc>
      </w:tr>
      <w:tr w:rsidR="008F18E9" w:rsidRPr="008F18E9" w14:paraId="58A59810" w14:textId="77777777" w:rsidTr="00F373C9">
        <w:trPr>
          <w:tblCellSpacing w:w="15" w:type="dxa"/>
        </w:trPr>
        <w:tc>
          <w:tcPr>
            <w:tcW w:w="470" w:type="pct"/>
            <w:vAlign w:val="center"/>
            <w:hideMark/>
          </w:tcPr>
          <w:p w14:paraId="137105E8"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2022 vs 2023</w:t>
            </w:r>
          </w:p>
        </w:tc>
        <w:tc>
          <w:tcPr>
            <w:tcW w:w="635" w:type="pct"/>
            <w:vAlign w:val="center"/>
            <w:hideMark/>
          </w:tcPr>
          <w:p w14:paraId="71FC60A8"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52 / 53</w:t>
            </w:r>
          </w:p>
        </w:tc>
        <w:tc>
          <w:tcPr>
            <w:tcW w:w="649" w:type="pct"/>
            <w:vAlign w:val="center"/>
            <w:hideMark/>
          </w:tcPr>
          <w:p w14:paraId="7A1502E4" w14:textId="2ED305DE"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4,634–36,572</w:t>
            </w:r>
          </w:p>
        </w:tc>
        <w:tc>
          <w:tcPr>
            <w:tcW w:w="649" w:type="pct"/>
            <w:vAlign w:val="center"/>
            <w:hideMark/>
          </w:tcPr>
          <w:p w14:paraId="131CDA65" w14:textId="6C223E9B"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3,437–19,249</w:t>
            </w:r>
          </w:p>
        </w:tc>
        <w:tc>
          <w:tcPr>
            <w:tcW w:w="620" w:type="pct"/>
            <w:vAlign w:val="center"/>
            <w:hideMark/>
          </w:tcPr>
          <w:p w14:paraId="54F30804" w14:textId="07E8877C"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188,074</w:t>
            </w:r>
          </w:p>
        </w:tc>
        <w:tc>
          <w:tcPr>
            <w:tcW w:w="630" w:type="pct"/>
            <w:vAlign w:val="center"/>
            <w:hideMark/>
          </w:tcPr>
          <w:p w14:paraId="0A876B8E"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2,507.66</w:t>
            </w:r>
          </w:p>
        </w:tc>
        <w:tc>
          <w:tcPr>
            <w:tcW w:w="514" w:type="pct"/>
            <w:vAlign w:val="center"/>
            <w:hideMark/>
          </w:tcPr>
          <w:p w14:paraId="0835E1DC"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75</w:t>
            </w:r>
          </w:p>
        </w:tc>
        <w:tc>
          <w:tcPr>
            <w:tcW w:w="667" w:type="pct"/>
            <w:vAlign w:val="center"/>
            <w:hideMark/>
          </w:tcPr>
          <w:p w14:paraId="16265C0A"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3</w:t>
            </w:r>
          </w:p>
        </w:tc>
      </w:tr>
      <w:tr w:rsidR="008F18E9" w:rsidRPr="008F18E9" w14:paraId="1AC11679" w14:textId="77777777" w:rsidTr="00F373C9">
        <w:trPr>
          <w:tblCellSpacing w:w="15" w:type="dxa"/>
        </w:trPr>
        <w:tc>
          <w:tcPr>
            <w:tcW w:w="470" w:type="pct"/>
            <w:tcBorders>
              <w:bottom w:val="single" w:sz="4" w:space="0" w:color="auto"/>
            </w:tcBorders>
            <w:vAlign w:val="center"/>
            <w:hideMark/>
          </w:tcPr>
          <w:p w14:paraId="63C79300"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2023 vs 2024</w:t>
            </w:r>
          </w:p>
        </w:tc>
        <w:tc>
          <w:tcPr>
            <w:tcW w:w="635" w:type="pct"/>
            <w:tcBorders>
              <w:bottom w:val="single" w:sz="4" w:space="0" w:color="auto"/>
            </w:tcBorders>
            <w:vAlign w:val="center"/>
            <w:hideMark/>
          </w:tcPr>
          <w:p w14:paraId="7A5F4422"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53 / 52</w:t>
            </w:r>
          </w:p>
        </w:tc>
        <w:tc>
          <w:tcPr>
            <w:tcW w:w="649" w:type="pct"/>
            <w:tcBorders>
              <w:bottom w:val="single" w:sz="4" w:space="0" w:color="auto"/>
            </w:tcBorders>
            <w:vAlign w:val="center"/>
            <w:hideMark/>
          </w:tcPr>
          <w:p w14:paraId="33C5C417" w14:textId="409846B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3,437–19,249</w:t>
            </w:r>
          </w:p>
        </w:tc>
        <w:tc>
          <w:tcPr>
            <w:tcW w:w="649" w:type="pct"/>
            <w:tcBorders>
              <w:bottom w:val="single" w:sz="4" w:space="0" w:color="auto"/>
            </w:tcBorders>
            <w:vAlign w:val="center"/>
            <w:hideMark/>
          </w:tcPr>
          <w:p w14:paraId="45006405" w14:textId="1F496530"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4,619–32,653</w:t>
            </w:r>
          </w:p>
        </w:tc>
        <w:tc>
          <w:tcPr>
            <w:tcW w:w="620" w:type="pct"/>
            <w:tcBorders>
              <w:bottom w:val="single" w:sz="4" w:space="0" w:color="auto"/>
            </w:tcBorders>
            <w:vAlign w:val="center"/>
            <w:hideMark/>
          </w:tcPr>
          <w:p w14:paraId="3B0A0077" w14:textId="766AB22A"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143,025</w:t>
            </w:r>
          </w:p>
        </w:tc>
        <w:tc>
          <w:tcPr>
            <w:tcW w:w="630" w:type="pct"/>
            <w:tcBorders>
              <w:bottom w:val="single" w:sz="4" w:space="0" w:color="auto"/>
            </w:tcBorders>
            <w:vAlign w:val="center"/>
            <w:hideMark/>
          </w:tcPr>
          <w:p w14:paraId="09C0973F"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1,787.82</w:t>
            </w:r>
          </w:p>
        </w:tc>
        <w:tc>
          <w:tcPr>
            <w:tcW w:w="514" w:type="pct"/>
            <w:tcBorders>
              <w:bottom w:val="single" w:sz="4" w:space="0" w:color="auto"/>
            </w:tcBorders>
            <w:vAlign w:val="center"/>
            <w:hideMark/>
          </w:tcPr>
          <w:p w14:paraId="3C770056"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80</w:t>
            </w:r>
          </w:p>
        </w:tc>
        <w:tc>
          <w:tcPr>
            <w:tcW w:w="667" w:type="pct"/>
            <w:tcBorders>
              <w:bottom w:val="single" w:sz="4" w:space="0" w:color="auto"/>
            </w:tcBorders>
            <w:vAlign w:val="center"/>
            <w:hideMark/>
          </w:tcPr>
          <w:p w14:paraId="3C54C2C7"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w:t>
            </w:r>
          </w:p>
        </w:tc>
      </w:tr>
    </w:tbl>
    <w:p w14:paraId="04555EB2" w14:textId="77777777" w:rsidR="00163FE1" w:rsidRPr="008F18E9" w:rsidRDefault="00163FE1" w:rsidP="000C76A8">
      <w:pPr>
        <w:pStyle w:val="Body"/>
        <w:spacing w:after="0"/>
        <w:rPr>
          <w:rFonts w:ascii="Arial" w:hAnsi="Arial" w:cs="Arial"/>
          <w:color w:val="000000" w:themeColor="text1"/>
        </w:rPr>
      </w:pPr>
    </w:p>
    <w:p w14:paraId="62309395" w14:textId="77777777" w:rsidR="00001AE5" w:rsidRPr="008F18E9" w:rsidRDefault="00001AE5" w:rsidP="00001AE5">
      <w:pPr>
        <w:pStyle w:val="ConcHead"/>
        <w:spacing w:after="0"/>
        <w:jc w:val="both"/>
        <w:rPr>
          <w:rFonts w:ascii="Arial" w:hAnsi="Arial" w:cs="Arial"/>
          <w:color w:val="000000" w:themeColor="text1"/>
        </w:rPr>
      </w:pPr>
      <w:r w:rsidRPr="008F18E9">
        <w:rPr>
          <w:noProof/>
          <w:color w:val="000000" w:themeColor="text1"/>
        </w:rPr>
        <w:drawing>
          <wp:inline distT="0" distB="0" distL="0" distR="0" wp14:anchorId="51715E58" wp14:editId="053D2878">
            <wp:extent cx="5212080" cy="4047490"/>
            <wp:effectExtent l="0" t="0" r="7620" b="0"/>
            <wp:docPr id="1336474571" name="Picture 2"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74571" name="Picture 2" descr="A graph of a graph&#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12080" cy="4047490"/>
                    </a:xfrm>
                    <a:prstGeom prst="rect">
                      <a:avLst/>
                    </a:prstGeom>
                    <a:noFill/>
                    <a:ln>
                      <a:noFill/>
                    </a:ln>
                  </pic:spPr>
                </pic:pic>
              </a:graphicData>
            </a:graphic>
          </wp:inline>
        </w:drawing>
      </w:r>
    </w:p>
    <w:p w14:paraId="7C9A95CA" w14:textId="3AB59060" w:rsidR="00001AE5" w:rsidRPr="008F18E9" w:rsidRDefault="00001AE5" w:rsidP="00001AE5">
      <w:pPr>
        <w:tabs>
          <w:tab w:val="left" w:pos="1080"/>
        </w:tabs>
        <w:jc w:val="center"/>
        <w:rPr>
          <w:rFonts w:ascii="Arial" w:hAnsi="Arial" w:cs="Arial"/>
          <w:b/>
          <w:bCs/>
          <w:color w:val="000000" w:themeColor="text1"/>
        </w:rPr>
      </w:pPr>
      <w:r w:rsidRPr="008F18E9">
        <w:rPr>
          <w:rFonts w:ascii="Arial" w:hAnsi="Arial" w:cs="Arial"/>
          <w:b/>
          <w:bCs/>
          <w:color w:val="000000" w:themeColor="text1"/>
        </w:rPr>
        <w:t>Fig .</w:t>
      </w:r>
      <w:r w:rsidR="00526C17">
        <w:rPr>
          <w:rFonts w:ascii="Arial" w:hAnsi="Arial" w:cs="Arial"/>
          <w:b/>
          <w:bCs/>
          <w:color w:val="000000" w:themeColor="text1"/>
        </w:rPr>
        <w:t>4</w:t>
      </w:r>
      <w:r w:rsidRPr="008F18E9">
        <w:rPr>
          <w:rFonts w:ascii="Arial" w:hAnsi="Arial" w:cs="Arial"/>
          <w:b/>
          <w:bCs/>
          <w:color w:val="000000" w:themeColor="text1"/>
        </w:rPr>
        <w:t>. Dynamic Time Warping Analysis of Arrivals Patterns (2021-2024).</w:t>
      </w:r>
    </w:p>
    <w:p w14:paraId="6496CA75" w14:textId="668CAF98" w:rsidR="00001AE5" w:rsidRPr="008F18E9" w:rsidRDefault="00295F7C" w:rsidP="00001AE5">
      <w:pPr>
        <w:pStyle w:val="ConcHead"/>
        <w:spacing w:before="240" w:after="0"/>
        <w:jc w:val="both"/>
        <w:rPr>
          <w:rFonts w:ascii="Arial" w:hAnsi="Arial" w:cs="Arial"/>
          <w:b w:val="0"/>
          <w:caps w:val="0"/>
          <w:color w:val="000000" w:themeColor="text1"/>
          <w:sz w:val="20"/>
        </w:rPr>
      </w:pPr>
      <w:r w:rsidRPr="008F18E9">
        <w:rPr>
          <w:rFonts w:ascii="Arial" w:hAnsi="Arial" w:cs="Arial"/>
          <w:b w:val="0"/>
          <w:caps w:val="0"/>
          <w:color w:val="000000" w:themeColor="text1"/>
          <w:sz w:val="20"/>
        </w:rPr>
        <w:t>Overall, these results highlight</w:t>
      </w:r>
      <w:r w:rsidR="00FF0F86">
        <w:rPr>
          <w:rFonts w:ascii="Arial" w:hAnsi="Arial" w:cs="Arial"/>
          <w:b w:val="0"/>
          <w:caps w:val="0"/>
          <w:color w:val="000000" w:themeColor="text1"/>
          <w:sz w:val="20"/>
        </w:rPr>
        <w:t>ed</w:t>
      </w:r>
      <w:r w:rsidRPr="008F18E9">
        <w:rPr>
          <w:rFonts w:ascii="Arial" w:hAnsi="Arial" w:cs="Arial"/>
          <w:b w:val="0"/>
          <w:caps w:val="0"/>
          <w:color w:val="000000" w:themeColor="text1"/>
          <w:sz w:val="20"/>
        </w:rPr>
        <w:t xml:space="preserve"> the complex, non-linear relationship between supply arrivals and price formation. Divergent DTW patterns indicate</w:t>
      </w:r>
      <w:r w:rsidR="00A167BD">
        <w:rPr>
          <w:rFonts w:ascii="Arial" w:hAnsi="Arial" w:cs="Arial"/>
          <w:b w:val="0"/>
          <w:caps w:val="0"/>
          <w:color w:val="000000" w:themeColor="text1"/>
          <w:sz w:val="20"/>
        </w:rPr>
        <w:t>d</w:t>
      </w:r>
      <w:r w:rsidRPr="008F18E9">
        <w:rPr>
          <w:rFonts w:ascii="Arial" w:hAnsi="Arial" w:cs="Arial"/>
          <w:b w:val="0"/>
          <w:caps w:val="0"/>
          <w:color w:val="000000" w:themeColor="text1"/>
          <w:sz w:val="20"/>
        </w:rPr>
        <w:t xml:space="preserve"> that price dynamics </w:t>
      </w:r>
      <w:r w:rsidR="00A167BD">
        <w:rPr>
          <w:rFonts w:ascii="Arial" w:hAnsi="Arial" w:cs="Arial"/>
          <w:b w:val="0"/>
          <w:caps w:val="0"/>
          <w:color w:val="000000" w:themeColor="text1"/>
          <w:sz w:val="20"/>
        </w:rPr>
        <w:t>we</w:t>
      </w:r>
      <w:r w:rsidRPr="008F18E9">
        <w:rPr>
          <w:rFonts w:ascii="Arial" w:hAnsi="Arial" w:cs="Arial"/>
          <w:b w:val="0"/>
          <w:caps w:val="0"/>
          <w:color w:val="000000" w:themeColor="text1"/>
          <w:sz w:val="20"/>
        </w:rPr>
        <w:t xml:space="preserve">re influenced not only by immediate supply but also by storage </w:t>
      </w:r>
      <w:r w:rsidR="00001AE5" w:rsidRPr="008F18E9">
        <w:rPr>
          <w:rFonts w:ascii="Arial" w:hAnsi="Arial" w:cs="Arial"/>
          <w:b w:val="0"/>
          <w:caps w:val="0"/>
          <w:color w:val="000000" w:themeColor="text1"/>
          <w:sz w:val="20"/>
        </w:rPr>
        <w:t>behaviour</w:t>
      </w:r>
      <w:r w:rsidRPr="008F18E9">
        <w:rPr>
          <w:rFonts w:ascii="Arial" w:hAnsi="Arial" w:cs="Arial"/>
          <w:b w:val="0"/>
          <w:caps w:val="0"/>
          <w:color w:val="000000" w:themeColor="text1"/>
          <w:sz w:val="20"/>
        </w:rPr>
        <w:t xml:space="preserve">, demand fluctuations, and market expectations (Miljkovic et al., 2024). Forecasting models should therefore incorporate both </w:t>
      </w:r>
      <w:r w:rsidRPr="008F18E9">
        <w:rPr>
          <w:rFonts w:ascii="Arial" w:hAnsi="Arial" w:cs="Arial"/>
          <w:b w:val="0"/>
          <w:caps w:val="0"/>
          <w:color w:val="000000" w:themeColor="text1"/>
          <w:sz w:val="20"/>
        </w:rPr>
        <w:lastRenderedPageBreak/>
        <w:t xml:space="preserve">supply-side indicators and market </w:t>
      </w:r>
      <w:r w:rsidR="00001AE5" w:rsidRPr="008F18E9">
        <w:rPr>
          <w:rFonts w:ascii="Arial" w:hAnsi="Arial" w:cs="Arial"/>
          <w:b w:val="0"/>
          <w:caps w:val="0"/>
          <w:color w:val="000000" w:themeColor="text1"/>
          <w:sz w:val="20"/>
        </w:rPr>
        <w:t>behaviour</w:t>
      </w:r>
      <w:r w:rsidRPr="008F18E9">
        <w:rPr>
          <w:rFonts w:ascii="Arial" w:hAnsi="Arial" w:cs="Arial"/>
          <w:b w:val="0"/>
          <w:caps w:val="0"/>
          <w:color w:val="000000" w:themeColor="text1"/>
          <w:sz w:val="20"/>
        </w:rPr>
        <w:t xml:space="preserve"> variables to capture the full range of factors shaping price movements.</w:t>
      </w:r>
    </w:p>
    <w:p w14:paraId="447EE024" w14:textId="77777777" w:rsidR="0066200C" w:rsidRPr="008F18E9" w:rsidRDefault="0066200C" w:rsidP="00441B6F">
      <w:pPr>
        <w:pStyle w:val="ConcHead"/>
        <w:spacing w:after="0"/>
        <w:jc w:val="both"/>
        <w:rPr>
          <w:rFonts w:ascii="Arial" w:hAnsi="Arial" w:cs="Arial"/>
          <w:color w:val="000000" w:themeColor="text1"/>
        </w:rPr>
      </w:pPr>
    </w:p>
    <w:p w14:paraId="0920D819" w14:textId="5D955230" w:rsidR="00B01FCD" w:rsidRPr="008F18E9" w:rsidRDefault="00000F8F" w:rsidP="00441B6F">
      <w:pPr>
        <w:pStyle w:val="ConcHead"/>
        <w:spacing w:after="0"/>
        <w:jc w:val="both"/>
        <w:rPr>
          <w:rFonts w:ascii="Arial" w:hAnsi="Arial" w:cs="Arial"/>
          <w:color w:val="000000" w:themeColor="text1"/>
        </w:rPr>
      </w:pPr>
      <w:r w:rsidRPr="008F18E9">
        <w:rPr>
          <w:rFonts w:ascii="Arial" w:hAnsi="Arial" w:cs="Arial"/>
          <w:color w:val="000000" w:themeColor="text1"/>
        </w:rPr>
        <w:t xml:space="preserve">4. </w:t>
      </w:r>
      <w:r w:rsidR="00B01FCD" w:rsidRPr="008F18E9">
        <w:rPr>
          <w:rFonts w:ascii="Arial" w:hAnsi="Arial" w:cs="Arial"/>
          <w:color w:val="000000" w:themeColor="text1"/>
        </w:rPr>
        <w:t>Conclusion</w:t>
      </w:r>
    </w:p>
    <w:p w14:paraId="69AE9E6E" w14:textId="7F9714C8" w:rsidR="002A7F91" w:rsidRPr="008F18E9" w:rsidRDefault="001E31D2" w:rsidP="001E31D2">
      <w:pPr>
        <w:pStyle w:val="AcknHead"/>
        <w:spacing w:before="240"/>
        <w:jc w:val="both"/>
        <w:rPr>
          <w:rFonts w:ascii="Arial" w:hAnsi="Arial" w:cs="Arial"/>
          <w:b w:val="0"/>
          <w:caps w:val="0"/>
          <w:color w:val="000000" w:themeColor="text1"/>
          <w:sz w:val="20"/>
        </w:rPr>
      </w:pPr>
      <w:r w:rsidRPr="008F18E9">
        <w:rPr>
          <w:rFonts w:ascii="Arial" w:hAnsi="Arial" w:cs="Arial"/>
          <w:b w:val="0"/>
          <w:caps w:val="0"/>
          <w:color w:val="000000" w:themeColor="text1"/>
          <w:sz w:val="20"/>
        </w:rPr>
        <w:t xml:space="preserve">Dynamic Time Warping showed that seasonal patterns in Kolar tomato prices and arrivals recur but rarely line up on the calendar. Price trajectories aligned best in 2022-23 even while recording the highest absolute volatility, whereas arrival timings were most stable in 2021-22. This mismatch confirms that price formation </w:t>
      </w:r>
      <w:r w:rsidR="00A167BD">
        <w:rPr>
          <w:rFonts w:ascii="Arial" w:hAnsi="Arial" w:cs="Arial"/>
          <w:b w:val="0"/>
          <w:caps w:val="0"/>
          <w:color w:val="000000" w:themeColor="text1"/>
          <w:sz w:val="20"/>
        </w:rPr>
        <w:t>was</w:t>
      </w:r>
      <w:r w:rsidRPr="008F18E9">
        <w:rPr>
          <w:rFonts w:ascii="Arial" w:hAnsi="Arial" w:cs="Arial"/>
          <w:b w:val="0"/>
          <w:caps w:val="0"/>
          <w:color w:val="000000" w:themeColor="text1"/>
          <w:sz w:val="20"/>
        </w:rPr>
        <w:t xml:space="preserve"> driven by more than immediate supply; storage behaviour, inter-regional flows and market expectations regularly shift the calendar. The study demonstrate</w:t>
      </w:r>
      <w:r w:rsidR="00A167BD">
        <w:rPr>
          <w:rFonts w:ascii="Arial" w:hAnsi="Arial" w:cs="Arial"/>
          <w:b w:val="0"/>
          <w:caps w:val="0"/>
          <w:color w:val="000000" w:themeColor="text1"/>
          <w:sz w:val="20"/>
        </w:rPr>
        <w:t>d</w:t>
      </w:r>
      <w:r w:rsidRPr="008F18E9">
        <w:rPr>
          <w:rFonts w:ascii="Arial" w:hAnsi="Arial" w:cs="Arial"/>
          <w:b w:val="0"/>
          <w:caps w:val="0"/>
          <w:color w:val="000000" w:themeColor="text1"/>
          <w:sz w:val="20"/>
        </w:rPr>
        <w:t xml:space="preserve"> that DTW can quantify inter-annual pattern drift and separate calendar shocks from pure magnitude spikes </w:t>
      </w:r>
      <w:r w:rsidR="002A7F91" w:rsidRPr="008F18E9">
        <w:rPr>
          <w:rFonts w:ascii="Arial" w:hAnsi="Arial" w:cs="Arial"/>
          <w:b w:val="0"/>
          <w:caps w:val="0"/>
          <w:color w:val="000000" w:themeColor="text1"/>
          <w:sz w:val="20"/>
        </w:rPr>
        <w:t xml:space="preserve">an </w:t>
      </w:r>
      <w:r w:rsidRPr="008F18E9">
        <w:rPr>
          <w:rFonts w:ascii="Arial" w:hAnsi="Arial" w:cs="Arial"/>
          <w:b w:val="0"/>
          <w:caps w:val="0"/>
          <w:color w:val="000000" w:themeColor="text1"/>
          <w:sz w:val="20"/>
        </w:rPr>
        <w:t>information that seasonal indices alone cannot provide.</w:t>
      </w:r>
      <w:r w:rsidR="008537D6" w:rsidRPr="008537D6">
        <w:t xml:space="preserve"> </w:t>
      </w:r>
      <w:r w:rsidR="008537D6" w:rsidRPr="008537D6">
        <w:rPr>
          <w:rFonts w:ascii="Arial" w:hAnsi="Arial" w:cs="Arial"/>
          <w:b w:val="0"/>
          <w:caps w:val="0"/>
          <w:color w:val="FF0000"/>
          <w:sz w:val="20"/>
        </w:rPr>
        <w:t>AI is a wide-ranging branch of computer science engaged in building smart machines capable of performing tasks that typically require human intelligence. It is a growing part of everyday life and is also used in the agricultural sector. AI technology is focused on solving various problems to increase and optimize production and operation processes.</w:t>
      </w:r>
      <w:r w:rsidRPr="008537D6">
        <w:rPr>
          <w:rFonts w:ascii="Arial" w:hAnsi="Arial" w:cs="Arial"/>
          <w:b w:val="0"/>
          <w:caps w:val="0"/>
          <w:color w:val="FF0000"/>
          <w:sz w:val="20"/>
        </w:rPr>
        <w:t xml:space="preserve"> </w:t>
      </w:r>
      <w:r w:rsidRPr="008F18E9">
        <w:rPr>
          <w:rFonts w:ascii="Arial" w:hAnsi="Arial" w:cs="Arial"/>
          <w:b w:val="0"/>
          <w:caps w:val="0"/>
          <w:color w:val="000000" w:themeColor="text1"/>
          <w:sz w:val="20"/>
        </w:rPr>
        <w:t xml:space="preserve">Farmers can use early-season DTW alerts to adjust planting or staggered harvesting; traders and cold-store managers can time inventory release; policymakers can replace rigid calendar-based interventions with adaptive triggers that activate when the current year diverges beyond a DTW-distance threshold. </w:t>
      </w:r>
    </w:p>
    <w:p w14:paraId="78B9353D" w14:textId="69C29A84" w:rsidR="001E31D2" w:rsidRPr="008F18E9" w:rsidRDefault="001E31D2" w:rsidP="002A7F91">
      <w:pPr>
        <w:pStyle w:val="AcknHead"/>
        <w:spacing w:before="240"/>
        <w:jc w:val="both"/>
        <w:rPr>
          <w:rFonts w:ascii="Arial" w:hAnsi="Arial" w:cs="Arial"/>
          <w:b w:val="0"/>
          <w:caps w:val="0"/>
          <w:color w:val="000000" w:themeColor="text1"/>
          <w:sz w:val="20"/>
        </w:rPr>
      </w:pPr>
      <w:r w:rsidRPr="008F18E9">
        <w:rPr>
          <w:rFonts w:ascii="Arial" w:hAnsi="Arial" w:cs="Arial"/>
          <w:b w:val="0"/>
          <w:caps w:val="0"/>
          <w:color w:val="000000" w:themeColor="text1"/>
          <w:sz w:val="20"/>
        </w:rPr>
        <w:t>Limitations are the short four-year window, single-market focus and absence of a formal bootstrap significance test or an out-of-sample forecast horse-race using DTW-weighted training sets. Extending the series and embedding DTW distances into transformer architectures (</w:t>
      </w:r>
      <w:proofErr w:type="spellStart"/>
      <w:r w:rsidRPr="008F18E9">
        <w:rPr>
          <w:rFonts w:ascii="Arial" w:hAnsi="Arial" w:cs="Arial"/>
          <w:b w:val="0"/>
          <w:caps w:val="0"/>
          <w:color w:val="000000" w:themeColor="text1"/>
          <w:sz w:val="20"/>
        </w:rPr>
        <w:t>PatchTST</w:t>
      </w:r>
      <w:proofErr w:type="spellEnd"/>
      <w:r w:rsidRPr="008F18E9">
        <w:rPr>
          <w:rFonts w:ascii="Arial" w:hAnsi="Arial" w:cs="Arial"/>
          <w:b w:val="0"/>
          <w:caps w:val="0"/>
          <w:color w:val="000000" w:themeColor="text1"/>
          <w:sz w:val="20"/>
        </w:rPr>
        <w:t>, Informer, etc.) as patch-weighting or adaptive-window features is an obvious next step. Combining DTW diagnostics with modern deep-learning forecasts offers a practical route to more resilient decision-support in volatile perishable value chains.</w:t>
      </w:r>
    </w:p>
    <w:p w14:paraId="3514D7B3" w14:textId="77777777" w:rsidR="002B685A" w:rsidRPr="008F18E9" w:rsidRDefault="002B685A" w:rsidP="00441B6F">
      <w:pPr>
        <w:pStyle w:val="ReferHead"/>
        <w:spacing w:after="0"/>
        <w:jc w:val="both"/>
        <w:rPr>
          <w:rFonts w:ascii="Arial" w:hAnsi="Arial" w:cs="Arial"/>
          <w:b w:val="0"/>
          <w:caps w:val="0"/>
          <w:color w:val="000000" w:themeColor="text1"/>
          <w:sz w:val="20"/>
        </w:rPr>
      </w:pPr>
    </w:p>
    <w:p w14:paraId="5F42878F" w14:textId="77777777" w:rsidR="00B01FCD" w:rsidRPr="008F18E9" w:rsidRDefault="00B01FCD" w:rsidP="00441B6F">
      <w:pPr>
        <w:pStyle w:val="ReferHead"/>
        <w:spacing w:after="0"/>
        <w:jc w:val="both"/>
        <w:rPr>
          <w:rFonts w:ascii="Arial" w:hAnsi="Arial" w:cs="Arial"/>
          <w:color w:val="000000" w:themeColor="text1"/>
        </w:rPr>
      </w:pPr>
      <w:r w:rsidRPr="008F18E9">
        <w:rPr>
          <w:rFonts w:ascii="Arial" w:hAnsi="Arial" w:cs="Arial"/>
          <w:color w:val="000000" w:themeColor="text1"/>
        </w:rPr>
        <w:t>References</w:t>
      </w:r>
    </w:p>
    <w:p w14:paraId="16575BA2" w14:textId="77777777" w:rsidR="00790ADA" w:rsidRPr="008F18E9" w:rsidRDefault="00790ADA" w:rsidP="00441B6F">
      <w:pPr>
        <w:pStyle w:val="ReferHead"/>
        <w:spacing w:after="0"/>
        <w:jc w:val="both"/>
        <w:rPr>
          <w:rFonts w:ascii="Arial" w:hAnsi="Arial" w:cs="Arial"/>
          <w:color w:val="000000" w:themeColor="text1"/>
        </w:rPr>
      </w:pPr>
    </w:p>
    <w:p w14:paraId="133A2B33" w14:textId="52B0E4B5" w:rsidR="00C6329D" w:rsidRPr="00C6329D" w:rsidRDefault="00C6329D" w:rsidP="00C6329D">
      <w:pPr>
        <w:pStyle w:val="Body"/>
        <w:numPr>
          <w:ilvl w:val="0"/>
          <w:numId w:val="31"/>
        </w:numPr>
        <w:rPr>
          <w:color w:val="000000" w:themeColor="text1"/>
        </w:rPr>
      </w:pPr>
      <w:r w:rsidRPr="00C6329D">
        <w:rPr>
          <w:color w:val="000000" w:themeColor="text1"/>
        </w:rPr>
        <w:t xml:space="preserve">Rediff Money. (2024). Tomato price volatility exposes gaps in India’s agriculture supply chain. Rediff.com. </w:t>
      </w:r>
      <w:hyperlink r:id="rId21" w:history="1">
        <w:r w:rsidRPr="000646C2">
          <w:rPr>
            <w:rStyle w:val="Hyperlink"/>
          </w:rPr>
          <w:t>https://www.rediff.com/money/report/tomato-price-volatility-exposes-gaps-in-indias-agriculture-supply-chain/20241026.htm</w:t>
        </w:r>
      </w:hyperlink>
      <w:r>
        <w:rPr>
          <w:color w:val="000000" w:themeColor="text1"/>
        </w:rPr>
        <w:t xml:space="preserve"> </w:t>
      </w:r>
    </w:p>
    <w:p w14:paraId="3998095C" w14:textId="535765EF" w:rsidR="00C6329D" w:rsidRPr="00C6329D" w:rsidRDefault="00C6329D" w:rsidP="00C6329D">
      <w:pPr>
        <w:pStyle w:val="Body"/>
        <w:numPr>
          <w:ilvl w:val="0"/>
          <w:numId w:val="31"/>
        </w:numPr>
        <w:rPr>
          <w:color w:val="000000" w:themeColor="text1"/>
        </w:rPr>
      </w:pPr>
      <w:r w:rsidRPr="00C6329D">
        <w:rPr>
          <w:color w:val="000000" w:themeColor="text1"/>
        </w:rPr>
        <w:t xml:space="preserve">Press Information Bureau. (2024). Price of tomato falls over 22 percent in a month due to better supply. PIB Release 2074016. </w:t>
      </w:r>
      <w:hyperlink r:id="rId22" w:history="1">
        <w:r w:rsidRPr="000646C2">
          <w:rPr>
            <w:rStyle w:val="Hyperlink"/>
          </w:rPr>
          <w:t>https://www.pib.gov.in/PressReleasePage.aspx?PRID=2074016</w:t>
        </w:r>
      </w:hyperlink>
      <w:r>
        <w:rPr>
          <w:color w:val="000000" w:themeColor="text1"/>
        </w:rPr>
        <w:t xml:space="preserve"> </w:t>
      </w:r>
    </w:p>
    <w:p w14:paraId="18ABF35A" w14:textId="768317D6" w:rsidR="00C6329D" w:rsidRPr="00C6329D" w:rsidRDefault="00C6329D" w:rsidP="00C6329D">
      <w:pPr>
        <w:pStyle w:val="Body"/>
        <w:numPr>
          <w:ilvl w:val="0"/>
          <w:numId w:val="31"/>
        </w:numPr>
        <w:rPr>
          <w:color w:val="000000" w:themeColor="text1"/>
        </w:rPr>
      </w:pPr>
      <w:r w:rsidRPr="00C6329D">
        <w:rPr>
          <w:color w:val="000000" w:themeColor="text1"/>
        </w:rPr>
        <w:t xml:space="preserve">The Hindu. (2024). Retail tomato prices drop 22.4 % on improved supplies: Govt. The Hindu. </w:t>
      </w:r>
      <w:hyperlink r:id="rId23" w:history="1">
        <w:r w:rsidRPr="000646C2">
          <w:rPr>
            <w:rStyle w:val="Hyperlink"/>
          </w:rPr>
          <w:t>https://www.thehindu.com/business/retail-tomato-prices-drop-224-on-improved-supplies-govt/article68878920.ece</w:t>
        </w:r>
      </w:hyperlink>
      <w:r>
        <w:rPr>
          <w:color w:val="000000" w:themeColor="text1"/>
        </w:rPr>
        <w:t xml:space="preserve"> </w:t>
      </w:r>
    </w:p>
    <w:p w14:paraId="18DF8AC0" w14:textId="2F00B61F" w:rsidR="008E0596" w:rsidRPr="008E0596" w:rsidRDefault="00C6329D" w:rsidP="00C6329D">
      <w:pPr>
        <w:pStyle w:val="Body"/>
        <w:numPr>
          <w:ilvl w:val="0"/>
          <w:numId w:val="31"/>
        </w:numPr>
        <w:rPr>
          <w:color w:val="000000" w:themeColor="text1"/>
        </w:rPr>
      </w:pPr>
      <w:r w:rsidRPr="00C6329D">
        <w:rPr>
          <w:color w:val="000000" w:themeColor="text1"/>
        </w:rPr>
        <w:t xml:space="preserve">NITI Aayog. (2024). Year-end review 2024. PIB Release 2088051. </w:t>
      </w:r>
      <w:hyperlink r:id="rId24" w:history="1">
        <w:r w:rsidRPr="000646C2">
          <w:rPr>
            <w:rStyle w:val="Hyperlink"/>
          </w:rPr>
          <w:t>https://www.pib.gov.in/PressReleasePage.aspx?PRID=2088051</w:t>
        </w:r>
      </w:hyperlink>
      <w:r>
        <w:rPr>
          <w:color w:val="000000" w:themeColor="text1"/>
        </w:rPr>
        <w:t xml:space="preserve"> </w:t>
      </w:r>
    </w:p>
    <w:p w14:paraId="6A1DE417" w14:textId="77472FBB" w:rsidR="008E0596" w:rsidRPr="008E0596" w:rsidRDefault="008E0596" w:rsidP="00BF62B8">
      <w:pPr>
        <w:pStyle w:val="Body"/>
        <w:numPr>
          <w:ilvl w:val="0"/>
          <w:numId w:val="31"/>
        </w:numPr>
        <w:rPr>
          <w:color w:val="000000" w:themeColor="text1"/>
        </w:rPr>
      </w:pPr>
      <w:r w:rsidRPr="008E0596">
        <w:rPr>
          <w:color w:val="000000" w:themeColor="text1"/>
        </w:rPr>
        <w:t xml:space="preserve">Roy, R., Gupta, S., </w:t>
      </w:r>
      <w:proofErr w:type="spellStart"/>
      <w:r w:rsidRPr="008E0596">
        <w:rPr>
          <w:color w:val="000000" w:themeColor="text1"/>
        </w:rPr>
        <w:t>Wardhan</w:t>
      </w:r>
      <w:proofErr w:type="spellEnd"/>
      <w:r w:rsidRPr="008E0596">
        <w:rPr>
          <w:color w:val="000000" w:themeColor="text1"/>
        </w:rPr>
        <w:t xml:space="preserve">, H., Sarkar, S., Tewari, S., Bansal, R., Bhatia, S., &amp; Gulati, A. (2024). Vegetables inflation in India: A study of tomato, onion and potato (TOP). Reserve Bank of India Working Paper Series. </w:t>
      </w:r>
    </w:p>
    <w:p w14:paraId="1209F3F8" w14:textId="3BB97E12" w:rsidR="00724512" w:rsidRPr="008E0596" w:rsidRDefault="00724512" w:rsidP="00BF62B8">
      <w:pPr>
        <w:pStyle w:val="Body"/>
        <w:numPr>
          <w:ilvl w:val="0"/>
          <w:numId w:val="31"/>
        </w:numPr>
        <w:rPr>
          <w:color w:val="000000" w:themeColor="text1"/>
        </w:rPr>
      </w:pPr>
      <w:r w:rsidRPr="008E0596">
        <w:rPr>
          <w:color w:val="000000" w:themeColor="text1"/>
        </w:rPr>
        <w:t>Mittal, S. (2007). Strengthening backward and forward linkages in horticulture: some successful initiatives. Agricultural Economics Research Review, 20, 457-469.</w:t>
      </w:r>
    </w:p>
    <w:p w14:paraId="3F678EEF" w14:textId="05B65440" w:rsidR="003253BC" w:rsidRPr="008E0596" w:rsidRDefault="003253BC" w:rsidP="00BF62B8">
      <w:pPr>
        <w:pStyle w:val="Body"/>
        <w:numPr>
          <w:ilvl w:val="0"/>
          <w:numId w:val="31"/>
        </w:numPr>
        <w:rPr>
          <w:color w:val="000000" w:themeColor="text1"/>
        </w:rPr>
      </w:pPr>
      <w:r w:rsidRPr="008E0596">
        <w:rPr>
          <w:color w:val="000000" w:themeColor="text1"/>
        </w:rPr>
        <w:lastRenderedPageBreak/>
        <w:t xml:space="preserve">Manogna, R. L., </w:t>
      </w:r>
      <w:proofErr w:type="spellStart"/>
      <w:r w:rsidRPr="008E0596">
        <w:rPr>
          <w:color w:val="000000" w:themeColor="text1"/>
        </w:rPr>
        <w:t>Dharmaji</w:t>
      </w:r>
      <w:proofErr w:type="spellEnd"/>
      <w:r w:rsidRPr="008E0596">
        <w:rPr>
          <w:color w:val="000000" w:themeColor="text1"/>
        </w:rPr>
        <w:t>, V., &amp; Sarang, S. (2025). A novel hybrid neural network-based volatility forecasting of agricultural commodity prices: empirical evidence from India. Journal of Big Data, 12(1), 85.</w:t>
      </w:r>
    </w:p>
    <w:p w14:paraId="1CE40830" w14:textId="77777777" w:rsidR="00BF62B8" w:rsidRPr="008F18E9" w:rsidRDefault="00BF62B8" w:rsidP="00BF62B8">
      <w:pPr>
        <w:pStyle w:val="Body"/>
        <w:numPr>
          <w:ilvl w:val="0"/>
          <w:numId w:val="31"/>
        </w:numPr>
        <w:rPr>
          <w:color w:val="000000" w:themeColor="text1"/>
        </w:rPr>
      </w:pPr>
      <w:r w:rsidRPr="008F18E9">
        <w:rPr>
          <w:color w:val="000000" w:themeColor="text1"/>
        </w:rPr>
        <w:t>Kendall, M. G., &amp; Stuart, A. (1983). The Advanced Theory of Statistics, Vol. 3: Design and Analysis, and Time-Series (4th ed.). Griffin, London.</w:t>
      </w:r>
    </w:p>
    <w:p w14:paraId="731AD168" w14:textId="77777777" w:rsidR="00BF62B8" w:rsidRPr="008F18E9" w:rsidRDefault="00BF62B8" w:rsidP="00BF62B8">
      <w:pPr>
        <w:pStyle w:val="Body"/>
        <w:numPr>
          <w:ilvl w:val="0"/>
          <w:numId w:val="31"/>
        </w:numPr>
        <w:rPr>
          <w:color w:val="000000" w:themeColor="text1"/>
        </w:rPr>
      </w:pPr>
      <w:proofErr w:type="spellStart"/>
      <w:r w:rsidRPr="008F18E9">
        <w:rPr>
          <w:color w:val="000000" w:themeColor="text1"/>
        </w:rPr>
        <w:t>Makridakis</w:t>
      </w:r>
      <w:proofErr w:type="spellEnd"/>
      <w:r w:rsidRPr="008F18E9">
        <w:rPr>
          <w:color w:val="000000" w:themeColor="text1"/>
        </w:rPr>
        <w:t>, S., Wheelwright, S. C., &amp; Hyndman, R. J. (1998). Forecasting: Methods and Applications (3rd ed.). John Wiley &amp; Sons, New York.</w:t>
      </w:r>
    </w:p>
    <w:p w14:paraId="66E076EB" w14:textId="6794AC72" w:rsidR="00BF62B8" w:rsidRPr="008F18E9" w:rsidRDefault="00BF62B8" w:rsidP="00BF62B8">
      <w:pPr>
        <w:pStyle w:val="Body"/>
        <w:numPr>
          <w:ilvl w:val="0"/>
          <w:numId w:val="31"/>
        </w:numPr>
        <w:rPr>
          <w:color w:val="000000" w:themeColor="text1"/>
        </w:rPr>
      </w:pPr>
      <w:proofErr w:type="spellStart"/>
      <w:r w:rsidRPr="008F18E9">
        <w:rPr>
          <w:color w:val="000000" w:themeColor="text1"/>
        </w:rPr>
        <w:t>Sakoe</w:t>
      </w:r>
      <w:proofErr w:type="spellEnd"/>
      <w:r w:rsidRPr="008F18E9">
        <w:rPr>
          <w:color w:val="000000" w:themeColor="text1"/>
        </w:rPr>
        <w:t xml:space="preserve">, H., &amp; Chiba, S. </w:t>
      </w:r>
      <w:r w:rsidRPr="008E0596">
        <w:rPr>
          <w:color w:val="000000" w:themeColor="text1"/>
        </w:rPr>
        <w:t>(</w:t>
      </w:r>
      <w:r w:rsidR="003253BC" w:rsidRPr="008E0596">
        <w:rPr>
          <w:color w:val="000000" w:themeColor="text1"/>
        </w:rPr>
        <w:t>2003</w:t>
      </w:r>
      <w:r w:rsidRPr="008F18E9">
        <w:rPr>
          <w:color w:val="000000" w:themeColor="text1"/>
        </w:rPr>
        <w:t>). Dynamic programming algorithm optimization for spoken word recognition. IEEE Transactions on Acoustics, Speech, and Signal Processing, 26(1), 43-49.</w:t>
      </w:r>
    </w:p>
    <w:p w14:paraId="4C3F0431" w14:textId="77777777" w:rsidR="00BF62B8" w:rsidRPr="008F18E9" w:rsidRDefault="00BF62B8" w:rsidP="00BF62B8">
      <w:pPr>
        <w:pStyle w:val="Body"/>
        <w:numPr>
          <w:ilvl w:val="0"/>
          <w:numId w:val="31"/>
        </w:numPr>
        <w:rPr>
          <w:color w:val="000000" w:themeColor="text1"/>
        </w:rPr>
      </w:pPr>
      <w:r w:rsidRPr="008F18E9">
        <w:rPr>
          <w:color w:val="000000" w:themeColor="text1"/>
        </w:rPr>
        <w:t>Berndt, D. J., &amp; Clifford, J. (1994). Using dynamic time warping to find patterns in time series. Proceedings of the 3rd International Conference on Knowledge Discovery and Data Mining, AAAI Press, 359-370.</w:t>
      </w:r>
    </w:p>
    <w:p w14:paraId="2B99568F" w14:textId="33190641" w:rsidR="003253BC" w:rsidRPr="00A05E7F" w:rsidRDefault="003253BC" w:rsidP="00BF62B8">
      <w:pPr>
        <w:pStyle w:val="Body"/>
        <w:numPr>
          <w:ilvl w:val="0"/>
          <w:numId w:val="31"/>
        </w:numPr>
        <w:rPr>
          <w:color w:val="000000" w:themeColor="text1"/>
        </w:rPr>
      </w:pPr>
      <w:r w:rsidRPr="00A05E7F">
        <w:rPr>
          <w:color w:val="000000" w:themeColor="text1"/>
        </w:rPr>
        <w:t xml:space="preserve">Ali, M. A., </w:t>
      </w:r>
      <w:proofErr w:type="spellStart"/>
      <w:r w:rsidRPr="00A05E7F">
        <w:rPr>
          <w:color w:val="000000" w:themeColor="text1"/>
        </w:rPr>
        <w:t>Kamraju</w:t>
      </w:r>
      <w:proofErr w:type="spellEnd"/>
      <w:r w:rsidRPr="00A05E7F">
        <w:rPr>
          <w:color w:val="000000" w:themeColor="text1"/>
        </w:rPr>
        <w:t xml:space="preserve">, M., &amp; </w:t>
      </w:r>
      <w:proofErr w:type="spellStart"/>
      <w:r w:rsidRPr="00A05E7F">
        <w:rPr>
          <w:color w:val="000000" w:themeColor="text1"/>
        </w:rPr>
        <w:t>Sonaji</w:t>
      </w:r>
      <w:proofErr w:type="spellEnd"/>
      <w:r w:rsidRPr="00A05E7F">
        <w:rPr>
          <w:color w:val="000000" w:themeColor="text1"/>
        </w:rPr>
        <w:t xml:space="preserve">, D. B. (2023). </w:t>
      </w:r>
      <w:proofErr w:type="spellStart"/>
      <w:r w:rsidRPr="00A05E7F">
        <w:rPr>
          <w:color w:val="000000" w:themeColor="text1"/>
        </w:rPr>
        <w:t>Unraveling</w:t>
      </w:r>
      <w:proofErr w:type="spellEnd"/>
      <w:r w:rsidRPr="00A05E7F">
        <w:rPr>
          <w:color w:val="000000" w:themeColor="text1"/>
        </w:rPr>
        <w:t xml:space="preserve"> the factors behind the soaring tomato prices: A comprehensive analysis. ASEAN Journal of Agriculture and Food Engineering, 2(2), 85-104.</w:t>
      </w:r>
    </w:p>
    <w:p w14:paraId="299D45E3" w14:textId="3745929A" w:rsidR="003253BC" w:rsidRPr="003C264B" w:rsidRDefault="003253BC" w:rsidP="00BF62B8">
      <w:pPr>
        <w:pStyle w:val="Body"/>
        <w:numPr>
          <w:ilvl w:val="0"/>
          <w:numId w:val="31"/>
        </w:numPr>
        <w:rPr>
          <w:color w:val="000000" w:themeColor="text1"/>
        </w:rPr>
      </w:pPr>
      <w:bookmarkStart w:id="0" w:name="_Hlk211475224"/>
      <w:r w:rsidRPr="003C264B">
        <w:rPr>
          <w:color w:val="000000" w:themeColor="text1"/>
        </w:rPr>
        <w:t>Miljkovic</w:t>
      </w:r>
      <w:bookmarkEnd w:id="0"/>
      <w:r w:rsidRPr="003C264B">
        <w:rPr>
          <w:color w:val="000000" w:themeColor="text1"/>
        </w:rPr>
        <w:t>, D., &amp; Vatsa, P. (2023). On the linkages between energy and agricultural commodity prices: A dynamic time warping analysis. International Review of Financial Analysis, 90, 102834.</w:t>
      </w:r>
    </w:p>
    <w:p w14:paraId="4B43D06E" w14:textId="77777777" w:rsidR="00BF62B8" w:rsidRPr="008F18E9" w:rsidRDefault="00BF62B8" w:rsidP="00BF62B8">
      <w:pPr>
        <w:pStyle w:val="Body"/>
        <w:numPr>
          <w:ilvl w:val="0"/>
          <w:numId w:val="31"/>
        </w:numPr>
        <w:rPr>
          <w:color w:val="000000" w:themeColor="text1"/>
        </w:rPr>
      </w:pPr>
      <w:proofErr w:type="spellStart"/>
      <w:r w:rsidRPr="008F18E9">
        <w:rPr>
          <w:color w:val="000000" w:themeColor="text1"/>
        </w:rPr>
        <w:t>Cont</w:t>
      </w:r>
      <w:proofErr w:type="spellEnd"/>
      <w:r w:rsidRPr="008F18E9">
        <w:rPr>
          <w:color w:val="000000" w:themeColor="text1"/>
        </w:rPr>
        <w:t>, R. (2001). Empirical properties of asset returns: stylized facts and statistical issues. Quantitative Finance, 1(2), 223-236.</w:t>
      </w:r>
    </w:p>
    <w:p w14:paraId="039FE31B" w14:textId="77777777" w:rsidR="00BF62B8" w:rsidRPr="008F18E9" w:rsidRDefault="00BF62B8" w:rsidP="00BF62B8">
      <w:pPr>
        <w:pStyle w:val="Body"/>
        <w:numPr>
          <w:ilvl w:val="0"/>
          <w:numId w:val="31"/>
        </w:numPr>
        <w:rPr>
          <w:color w:val="000000" w:themeColor="text1"/>
        </w:rPr>
      </w:pPr>
      <w:r w:rsidRPr="008F18E9">
        <w:rPr>
          <w:color w:val="000000" w:themeColor="text1"/>
        </w:rPr>
        <w:t>Box, G. E. P., Jenkins, G. M., Reinsel, G. C., &amp; Ljung, G. M. (2015). Time Series Analysis: Forecasting and Control (5th ed.). John Wiley &amp; Sons, Hoboken, New Jersey.</w:t>
      </w:r>
    </w:p>
    <w:p w14:paraId="27D83FCD" w14:textId="77777777" w:rsidR="00BF62B8" w:rsidRPr="008F18E9" w:rsidRDefault="00BF62B8" w:rsidP="00BF62B8">
      <w:pPr>
        <w:pStyle w:val="Body"/>
        <w:numPr>
          <w:ilvl w:val="0"/>
          <w:numId w:val="31"/>
        </w:numPr>
        <w:rPr>
          <w:color w:val="000000" w:themeColor="text1"/>
        </w:rPr>
      </w:pPr>
      <w:r w:rsidRPr="008F18E9">
        <w:rPr>
          <w:color w:val="000000" w:themeColor="text1"/>
        </w:rPr>
        <w:t>Box, G. E. P., &amp; Cox, D. R. (1964). An analysis of transformations. Journal of the Royal Statistical Society: Series B (Methodological), 26(2), 211-252.</w:t>
      </w:r>
    </w:p>
    <w:p w14:paraId="2E146FC5" w14:textId="77777777" w:rsidR="00BF62B8" w:rsidRPr="008F18E9" w:rsidRDefault="00BF62B8" w:rsidP="00BF62B8">
      <w:pPr>
        <w:pStyle w:val="Body"/>
        <w:numPr>
          <w:ilvl w:val="0"/>
          <w:numId w:val="31"/>
        </w:numPr>
        <w:rPr>
          <w:color w:val="000000" w:themeColor="text1"/>
        </w:rPr>
      </w:pPr>
      <w:r w:rsidRPr="008F18E9">
        <w:rPr>
          <w:color w:val="000000" w:themeColor="text1"/>
        </w:rPr>
        <w:t>Taylor, S. J., &amp; Letham, B. (2018). Forecasting at scale. The American Statistician, 72(1), 37-45.</w:t>
      </w:r>
    </w:p>
    <w:p w14:paraId="6110994E" w14:textId="77777777" w:rsidR="00BF62B8" w:rsidRPr="008F18E9" w:rsidRDefault="00BF62B8" w:rsidP="00BF62B8">
      <w:pPr>
        <w:pStyle w:val="Body"/>
        <w:numPr>
          <w:ilvl w:val="0"/>
          <w:numId w:val="31"/>
        </w:numPr>
        <w:rPr>
          <w:color w:val="000000" w:themeColor="text1"/>
        </w:rPr>
      </w:pPr>
      <w:r w:rsidRPr="008F18E9">
        <w:rPr>
          <w:color w:val="000000" w:themeColor="text1"/>
        </w:rPr>
        <w:t xml:space="preserve">Chen, T., &amp; </w:t>
      </w:r>
      <w:proofErr w:type="spellStart"/>
      <w:r w:rsidRPr="008F18E9">
        <w:rPr>
          <w:color w:val="000000" w:themeColor="text1"/>
        </w:rPr>
        <w:t>Guestrin</w:t>
      </w:r>
      <w:proofErr w:type="spellEnd"/>
      <w:r w:rsidRPr="008F18E9">
        <w:rPr>
          <w:color w:val="000000" w:themeColor="text1"/>
        </w:rPr>
        <w:t xml:space="preserve">, C. (2016). </w:t>
      </w:r>
      <w:proofErr w:type="spellStart"/>
      <w:r w:rsidRPr="008F18E9">
        <w:rPr>
          <w:color w:val="000000" w:themeColor="text1"/>
        </w:rPr>
        <w:t>XGBoost</w:t>
      </w:r>
      <w:proofErr w:type="spellEnd"/>
      <w:r w:rsidRPr="008F18E9">
        <w:rPr>
          <w:color w:val="000000" w:themeColor="text1"/>
        </w:rPr>
        <w:t>: A scalable tree boosting system. In Proceedings of the 22nd ACM SIGKDD International Conference on Knowledge Discovery and Data Mining (pp. 785-794). ACM, San Francisco, CA.</w:t>
      </w:r>
    </w:p>
    <w:p w14:paraId="54D61CC7" w14:textId="77777777" w:rsidR="00BF62B8" w:rsidRPr="008F18E9" w:rsidRDefault="00BF62B8" w:rsidP="00BF62B8">
      <w:pPr>
        <w:pStyle w:val="Body"/>
        <w:numPr>
          <w:ilvl w:val="0"/>
          <w:numId w:val="31"/>
        </w:numPr>
        <w:rPr>
          <w:color w:val="000000" w:themeColor="text1"/>
        </w:rPr>
      </w:pPr>
      <w:r w:rsidRPr="008F18E9">
        <w:rPr>
          <w:color w:val="000000" w:themeColor="text1"/>
        </w:rPr>
        <w:t xml:space="preserve">Hochreiter, S., &amp; </w:t>
      </w:r>
      <w:proofErr w:type="spellStart"/>
      <w:r w:rsidRPr="008F18E9">
        <w:rPr>
          <w:color w:val="000000" w:themeColor="text1"/>
        </w:rPr>
        <w:t>Schmidhuber</w:t>
      </w:r>
      <w:proofErr w:type="spellEnd"/>
      <w:r w:rsidRPr="008F18E9">
        <w:rPr>
          <w:color w:val="000000" w:themeColor="text1"/>
        </w:rPr>
        <w:t>, J. (1997). Long short-term memory. Neural Computation, 9(8), 1735-1780.</w:t>
      </w:r>
    </w:p>
    <w:p w14:paraId="351AD729" w14:textId="31641941" w:rsidR="00BF62B8" w:rsidRPr="003C264B" w:rsidRDefault="003253BC" w:rsidP="00BF62B8">
      <w:pPr>
        <w:pStyle w:val="Body"/>
        <w:numPr>
          <w:ilvl w:val="0"/>
          <w:numId w:val="31"/>
        </w:numPr>
        <w:rPr>
          <w:color w:val="000000" w:themeColor="text1"/>
        </w:rPr>
      </w:pPr>
      <w:r w:rsidRPr="003C264B">
        <w:rPr>
          <w:color w:val="000000" w:themeColor="text1"/>
        </w:rPr>
        <w:t xml:space="preserve">RL, M. and Mishra, A.K. </w:t>
      </w:r>
      <w:r w:rsidR="00BF62B8" w:rsidRPr="003C264B">
        <w:rPr>
          <w:color w:val="000000" w:themeColor="text1"/>
        </w:rPr>
        <w:t>(2021). Forecasting spot prices of agricultural commodities in India: Application of deep-learning models. Intelligent Systems in Accounting, Finance and Management, 28(1), 72-83.</w:t>
      </w:r>
    </w:p>
    <w:p w14:paraId="61BD03B4" w14:textId="77777777" w:rsidR="00BF62B8" w:rsidRPr="008F18E9" w:rsidRDefault="00BF62B8" w:rsidP="00BF62B8">
      <w:pPr>
        <w:pStyle w:val="Body"/>
        <w:numPr>
          <w:ilvl w:val="0"/>
          <w:numId w:val="31"/>
        </w:numPr>
        <w:rPr>
          <w:color w:val="000000" w:themeColor="text1"/>
        </w:rPr>
      </w:pPr>
      <w:r w:rsidRPr="008F18E9">
        <w:rPr>
          <w:color w:val="000000" w:themeColor="text1"/>
        </w:rPr>
        <w:t xml:space="preserve">Yadav, S., Kumar, R., Paul, R. K., </w:t>
      </w:r>
      <w:proofErr w:type="spellStart"/>
      <w:r w:rsidRPr="008F18E9">
        <w:rPr>
          <w:color w:val="000000" w:themeColor="text1"/>
        </w:rPr>
        <w:t>Yeasin</w:t>
      </w:r>
      <w:proofErr w:type="spellEnd"/>
      <w:r w:rsidRPr="008F18E9">
        <w:rPr>
          <w:color w:val="000000" w:themeColor="text1"/>
        </w:rPr>
        <w:t>, M., Vishwakarma, P., &amp; Kumar, M. (2025). Enhancing agricultural commodity price forecasting with deep learning. Scientific Reports, 15, 645.</w:t>
      </w:r>
    </w:p>
    <w:p w14:paraId="2B43F8FE" w14:textId="77777777" w:rsidR="00BF62B8" w:rsidRPr="008F18E9" w:rsidRDefault="00BF62B8" w:rsidP="00BF62B8">
      <w:pPr>
        <w:pStyle w:val="Body"/>
        <w:numPr>
          <w:ilvl w:val="0"/>
          <w:numId w:val="31"/>
        </w:numPr>
        <w:rPr>
          <w:color w:val="000000" w:themeColor="text1"/>
        </w:rPr>
      </w:pPr>
      <w:r w:rsidRPr="008F18E9">
        <w:rPr>
          <w:color w:val="000000" w:themeColor="text1"/>
        </w:rPr>
        <w:lastRenderedPageBreak/>
        <w:t>Gilbert, C. L., &amp; Morgan, C. W. (2010). Food price volatility. Philosophical Transactions of the Royal Society B: Biological Sciences, 365(1554), 3023-3034.</w:t>
      </w:r>
    </w:p>
    <w:p w14:paraId="69B3F1A0" w14:textId="77777777" w:rsidR="00BF62B8" w:rsidRPr="008F18E9" w:rsidRDefault="00BF62B8" w:rsidP="00BF62B8">
      <w:pPr>
        <w:pStyle w:val="Body"/>
        <w:numPr>
          <w:ilvl w:val="0"/>
          <w:numId w:val="31"/>
        </w:numPr>
        <w:rPr>
          <w:color w:val="000000" w:themeColor="text1"/>
        </w:rPr>
      </w:pPr>
      <w:r w:rsidRPr="008F18E9">
        <w:rPr>
          <w:color w:val="000000" w:themeColor="text1"/>
        </w:rPr>
        <w:t xml:space="preserve">Acharya, S. S., Chand, R., </w:t>
      </w:r>
      <w:proofErr w:type="spellStart"/>
      <w:r w:rsidRPr="008F18E9">
        <w:rPr>
          <w:color w:val="000000" w:themeColor="text1"/>
        </w:rPr>
        <w:t>Birthal</w:t>
      </w:r>
      <w:proofErr w:type="spellEnd"/>
      <w:r w:rsidRPr="008F18E9">
        <w:rPr>
          <w:color w:val="000000" w:themeColor="text1"/>
        </w:rPr>
        <w:t>, P. S., Kumar, S., &amp; Negi, D. S. (2012). Market Integration and Price Transmission in India: A Case of Rice and Wheat with Special Reference to the World Food Crisis of 2007/08. FAO, Rome.</w:t>
      </w:r>
    </w:p>
    <w:p w14:paraId="374980A9" w14:textId="77777777" w:rsidR="00BF62B8" w:rsidRPr="008F18E9" w:rsidRDefault="00BF62B8" w:rsidP="00BF62B8">
      <w:pPr>
        <w:pStyle w:val="Body"/>
        <w:numPr>
          <w:ilvl w:val="0"/>
          <w:numId w:val="31"/>
        </w:numPr>
        <w:rPr>
          <w:color w:val="000000" w:themeColor="text1"/>
        </w:rPr>
      </w:pPr>
      <w:r w:rsidRPr="008F18E9">
        <w:rPr>
          <w:color w:val="000000" w:themeColor="text1"/>
        </w:rPr>
        <w:t>Miljkovic, D., Goetz, S. J., &amp; Czerniawski, M. (2024). An investigation of the price discovery role of futures markets: A dynamic time warping analysis of the United States corn markets. Agribusiness, 40(2), 412-428.</w:t>
      </w:r>
    </w:p>
    <w:p w14:paraId="19D99EB3" w14:textId="77777777" w:rsidR="00BF62B8" w:rsidRPr="008F18E9" w:rsidRDefault="00BF62B8" w:rsidP="00BF62B8">
      <w:pPr>
        <w:pStyle w:val="Body"/>
        <w:numPr>
          <w:ilvl w:val="0"/>
          <w:numId w:val="31"/>
        </w:numPr>
        <w:rPr>
          <w:color w:val="000000" w:themeColor="text1"/>
        </w:rPr>
      </w:pPr>
      <w:r w:rsidRPr="008F18E9">
        <w:rPr>
          <w:color w:val="000000" w:themeColor="text1"/>
        </w:rPr>
        <w:t>Murthy, D. S., Gajanana, T. M., &amp; Sudha, M. (2009). Marketing and post-harvest losses in fruits: Its implications on availability and economy. Indian Journal of Agricultural Economics, 64(2), 259-275.</w:t>
      </w:r>
    </w:p>
    <w:p w14:paraId="4CAA018F" w14:textId="77777777" w:rsidR="00BF62B8" w:rsidRPr="008F18E9" w:rsidRDefault="00BF62B8" w:rsidP="00BF62B8">
      <w:pPr>
        <w:pStyle w:val="Body"/>
        <w:numPr>
          <w:ilvl w:val="0"/>
          <w:numId w:val="31"/>
        </w:numPr>
        <w:rPr>
          <w:color w:val="000000" w:themeColor="text1"/>
        </w:rPr>
      </w:pPr>
      <w:r w:rsidRPr="008F18E9">
        <w:rPr>
          <w:color w:val="000000" w:themeColor="text1"/>
        </w:rPr>
        <w:t>Chand, R. (2010). Understanding the nature and causes of food inflation. Economic and Political Weekly, 45(9), 10-13.</w:t>
      </w:r>
    </w:p>
    <w:p w14:paraId="310A9E32" w14:textId="77777777" w:rsidR="00BF62B8" w:rsidRPr="008F18E9" w:rsidRDefault="00BF62B8" w:rsidP="00BF62B8">
      <w:pPr>
        <w:pStyle w:val="Body"/>
        <w:numPr>
          <w:ilvl w:val="0"/>
          <w:numId w:val="31"/>
        </w:numPr>
        <w:rPr>
          <w:color w:val="000000" w:themeColor="text1"/>
        </w:rPr>
      </w:pPr>
      <w:r w:rsidRPr="008F18E9">
        <w:rPr>
          <w:color w:val="000000" w:themeColor="text1"/>
        </w:rPr>
        <w:t xml:space="preserve">Wang, J., Wang, W., Li, W., &amp; Wang, S. (2020). A pattern representation of stock time series based on DTW. </w:t>
      </w:r>
      <w:proofErr w:type="spellStart"/>
      <w:r w:rsidRPr="008F18E9">
        <w:rPr>
          <w:color w:val="000000" w:themeColor="text1"/>
        </w:rPr>
        <w:t>Physica</w:t>
      </w:r>
      <w:proofErr w:type="spellEnd"/>
      <w:r w:rsidRPr="008F18E9">
        <w:rPr>
          <w:color w:val="000000" w:themeColor="text1"/>
        </w:rPr>
        <w:t xml:space="preserve"> A: Statistical Mechanics and its Applications, 540, 123163.</w:t>
      </w:r>
    </w:p>
    <w:p w14:paraId="225DA282" w14:textId="7F63B66F" w:rsidR="00185319" w:rsidRPr="008F18E9" w:rsidRDefault="00BF62B8" w:rsidP="00BF62B8">
      <w:pPr>
        <w:pStyle w:val="Body"/>
        <w:numPr>
          <w:ilvl w:val="0"/>
          <w:numId w:val="31"/>
        </w:numPr>
        <w:rPr>
          <w:color w:val="000000" w:themeColor="text1"/>
        </w:rPr>
      </w:pPr>
      <w:r w:rsidRPr="008F18E9">
        <w:rPr>
          <w:color w:val="000000" w:themeColor="text1"/>
        </w:rPr>
        <w:t xml:space="preserve">Hamilton, J. D. (1989). A new approach to the economic analysis of nonstationary time series and the business cycle. </w:t>
      </w:r>
      <w:proofErr w:type="spellStart"/>
      <w:r w:rsidRPr="008F18E9">
        <w:rPr>
          <w:color w:val="000000" w:themeColor="text1"/>
        </w:rPr>
        <w:t>Econometrica</w:t>
      </w:r>
      <w:proofErr w:type="spellEnd"/>
      <w:r w:rsidRPr="008F18E9">
        <w:rPr>
          <w:color w:val="000000" w:themeColor="text1"/>
        </w:rPr>
        <w:t>, 57(2), 357-384.</w:t>
      </w:r>
    </w:p>
    <w:sectPr w:rsidR="00185319" w:rsidRPr="008F18E9" w:rsidSect="00E57E9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475A1" w14:textId="77777777" w:rsidR="00953384" w:rsidRPr="00D53E36" w:rsidRDefault="00953384" w:rsidP="00C37E61">
      <w:r w:rsidRPr="00D53E36">
        <w:separator/>
      </w:r>
    </w:p>
  </w:endnote>
  <w:endnote w:type="continuationSeparator" w:id="0">
    <w:p w14:paraId="70D8FC1E" w14:textId="77777777" w:rsidR="00953384" w:rsidRPr="00D53E36" w:rsidRDefault="00953384" w:rsidP="00C37E61">
      <w:r w:rsidRPr="00D53E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B82E" w14:textId="77777777" w:rsidR="00E57E95" w:rsidRDefault="00E57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1143" w14:textId="3CD736EB" w:rsidR="00C37E61" w:rsidRPr="002425A2" w:rsidRDefault="00C37E61" w:rsidP="00242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0D80" w14:textId="1734DC4C" w:rsidR="00754C9A" w:rsidRPr="00526C17" w:rsidRDefault="00754C9A" w:rsidP="00526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805F" w14:textId="77777777" w:rsidR="00953384" w:rsidRPr="00D53E36" w:rsidRDefault="00953384" w:rsidP="00C37E61">
      <w:r w:rsidRPr="00D53E36">
        <w:separator/>
      </w:r>
    </w:p>
  </w:footnote>
  <w:footnote w:type="continuationSeparator" w:id="0">
    <w:p w14:paraId="3B220EA4" w14:textId="77777777" w:rsidR="00953384" w:rsidRPr="00D53E36" w:rsidRDefault="00953384" w:rsidP="00C37E61">
      <w:r w:rsidRPr="00D53E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73A8" w14:textId="3B5021E5" w:rsidR="00E57E95" w:rsidRDefault="00953384">
    <w:pPr>
      <w:pStyle w:val="Header"/>
    </w:pPr>
    <w:r>
      <w:rPr>
        <w:noProof/>
      </w:rPr>
      <w:pict w14:anchorId="2F49B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18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0AA1" w14:textId="39500F56" w:rsidR="00E57E95" w:rsidRDefault="00953384">
    <w:pPr>
      <w:pStyle w:val="Header"/>
    </w:pPr>
    <w:r>
      <w:rPr>
        <w:noProof/>
      </w:rPr>
      <w:pict w14:anchorId="51A4C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18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1C3A" w14:textId="2524A24B" w:rsidR="00296529" w:rsidRPr="00D53E36" w:rsidRDefault="00953384" w:rsidP="00296529">
    <w:pPr>
      <w:ind w:left="2160"/>
      <w:jc w:val="center"/>
      <w:rPr>
        <w:rFonts w:ascii="Times New Roman" w:eastAsia="Calibri" w:hAnsi="Times New Roman"/>
        <w:i/>
        <w:sz w:val="18"/>
        <w:szCs w:val="22"/>
      </w:rPr>
    </w:pPr>
    <w:r>
      <w:rPr>
        <w:noProof/>
      </w:rPr>
      <w:pict w14:anchorId="6FBC4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18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80D51A" w14:textId="77777777" w:rsidR="00296529" w:rsidRPr="00D53E36" w:rsidRDefault="00754C9A" w:rsidP="00296529">
    <w:pPr>
      <w:ind w:left="4320"/>
      <w:rPr>
        <w:rFonts w:ascii="Times New Roman" w:eastAsia="Calibri" w:hAnsi="Times New Roman"/>
        <w:i/>
        <w:sz w:val="18"/>
        <w:szCs w:val="22"/>
      </w:rPr>
    </w:pPr>
    <w:r w:rsidRPr="00D53E36">
      <w:rPr>
        <w:rFonts w:ascii="Times New Roman" w:eastAsia="Calibri" w:hAnsi="Times New Roman"/>
        <w:i/>
        <w:sz w:val="18"/>
        <w:szCs w:val="22"/>
      </w:rPr>
      <w:t>.</w:t>
    </w:r>
    <w:r w:rsidR="00296529" w:rsidRPr="00D53E36">
      <w:rPr>
        <w:rFonts w:ascii="Times New Roman" w:eastAsia="Calibri" w:hAnsi="Times New Roman"/>
        <w:i/>
        <w:sz w:val="18"/>
        <w:szCs w:val="22"/>
      </w:rPr>
      <w:t xml:space="preserve">     </w:t>
    </w:r>
  </w:p>
  <w:p w14:paraId="537C4632" w14:textId="77777777" w:rsidR="00296529" w:rsidRPr="00D53E36" w:rsidRDefault="00754C9A" w:rsidP="00296529">
    <w:pPr>
      <w:jc w:val="center"/>
      <w:rPr>
        <w:rFonts w:ascii="Times New Roman" w:eastAsia="Calibri" w:hAnsi="Times New Roman"/>
        <w:i/>
        <w:sz w:val="18"/>
        <w:szCs w:val="22"/>
      </w:rPr>
    </w:pPr>
    <w:r w:rsidRPr="00D53E36">
      <w:rPr>
        <w:rFonts w:ascii="Times New Roman" w:eastAsia="Calibri" w:hAnsi="Times New Roman"/>
        <w:i/>
        <w:sz w:val="18"/>
        <w:szCs w:val="22"/>
      </w:rPr>
      <w:t>.</w:t>
    </w:r>
  </w:p>
  <w:p w14:paraId="619DE0D3" w14:textId="77777777" w:rsidR="00296529" w:rsidRPr="00D53E36" w:rsidRDefault="00296529" w:rsidP="00296529">
    <w:pPr>
      <w:spacing w:after="200"/>
      <w:jc w:val="center"/>
      <w:rPr>
        <w:rFonts w:ascii="Times New Roman" w:eastAsia="Calibri" w:hAnsi="Times New Roman"/>
        <w:b/>
        <w:i/>
        <w:sz w:val="32"/>
        <w:szCs w:val="22"/>
      </w:rPr>
    </w:pPr>
    <w:r w:rsidRPr="00D53E36">
      <w:rPr>
        <w:rFonts w:ascii="Times New Roman" w:eastAsia="Calibri" w:hAnsi="Times New Roman"/>
        <w:b/>
        <w:i/>
        <w:sz w:val="32"/>
        <w:szCs w:val="22"/>
      </w:rPr>
      <w:t xml:space="preserve">              </w:t>
    </w:r>
    <w:r w:rsidR="00754C9A" w:rsidRPr="00D53E36">
      <w:rPr>
        <w:rFonts w:ascii="Times New Roman" w:eastAsia="Calibri" w:hAnsi="Times New Roman"/>
        <w:b/>
        <w:i/>
        <w:sz w:val="32"/>
        <w:szCs w:val="22"/>
      </w:rPr>
      <w:t>.</w:t>
    </w:r>
    <w:r w:rsidRPr="00D53E36">
      <w:rPr>
        <w:rFonts w:ascii="Times New Roman" w:eastAsia="Calibri" w:hAnsi="Times New Roman"/>
        <w:b/>
        <w:i/>
        <w:sz w:val="32"/>
        <w:szCs w:val="22"/>
      </w:rPr>
      <w:t xml:space="preserve"> </w:t>
    </w:r>
  </w:p>
  <w:p w14:paraId="00C6F7BE" w14:textId="77777777" w:rsidR="00296529" w:rsidRPr="00D53E36" w:rsidRDefault="00296529" w:rsidP="00296529">
    <w:pPr>
      <w:jc w:val="center"/>
      <w:rPr>
        <w:rFonts w:ascii="Times New Roman" w:eastAsia="Calibri" w:hAnsi="Times New Roman"/>
        <w:i/>
        <w:sz w:val="18"/>
        <w:szCs w:val="22"/>
      </w:rPr>
    </w:pPr>
    <w:r w:rsidRPr="00D53E36">
      <w:rPr>
        <w:rFonts w:ascii="Times New Roman" w:eastAsia="Calibri" w:hAnsi="Times New Roman"/>
        <w:i/>
        <w:sz w:val="18"/>
        <w:szCs w:val="22"/>
      </w:rPr>
      <w:t xml:space="preserve">                     </w:t>
    </w:r>
  </w:p>
  <w:p w14:paraId="6C1AD584" w14:textId="77777777" w:rsidR="00296529" w:rsidRPr="00D53E36" w:rsidRDefault="00296529" w:rsidP="00296529">
    <w:pPr>
      <w:tabs>
        <w:tab w:val="left" w:pos="2145"/>
      </w:tabs>
      <w:rPr>
        <w:rFonts w:ascii="Times New Roman" w:eastAsia="Calibri" w:hAnsi="Times New Roman"/>
        <w:i/>
        <w:sz w:val="18"/>
        <w:szCs w:val="22"/>
      </w:rPr>
    </w:pPr>
    <w:r w:rsidRPr="00D53E36">
      <w:rPr>
        <w:rFonts w:ascii="Times New Roman" w:eastAsia="Calibri" w:hAnsi="Times New Roman"/>
        <w:i/>
        <w:sz w:val="18"/>
        <w:szCs w:val="22"/>
      </w:rPr>
      <w:tab/>
    </w:r>
    <w:r w:rsidR="00754C9A" w:rsidRPr="00D53E36">
      <w:rPr>
        <w:rFonts w:ascii="Times New Roman" w:eastAsia="Calibri" w:hAnsi="Times New Roman"/>
        <w:i/>
        <w:sz w:val="18"/>
        <w:szCs w:val="22"/>
      </w:rPr>
      <w:t>.</w:t>
    </w:r>
  </w:p>
  <w:p w14:paraId="5C7E0A36" w14:textId="77777777" w:rsidR="00296529" w:rsidRPr="00D53E36" w:rsidRDefault="00754C9A">
    <w:pPr>
      <w:pStyle w:val="Header"/>
    </w:pPr>
    <w:r w:rsidRPr="00D53E36">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C1F53"/>
    <w:multiLevelType w:val="multilevel"/>
    <w:tmpl w:val="B80C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047789"/>
    <w:multiLevelType w:val="multilevel"/>
    <w:tmpl w:val="06D4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15A02"/>
    <w:multiLevelType w:val="hybridMultilevel"/>
    <w:tmpl w:val="A0AC4DD0"/>
    <w:lvl w:ilvl="0" w:tplc="7BCCE062">
      <w:start w:val="1"/>
      <w:numFmt w:val="bullet"/>
      <w:lvlText w:val=""/>
      <w:lvlJc w:val="left"/>
      <w:pPr>
        <w:tabs>
          <w:tab w:val="num" w:pos="1080"/>
        </w:tabs>
        <w:ind w:left="720" w:hanging="360"/>
      </w:pPr>
      <w:rPr>
        <w:rFonts w:ascii="Symbol" w:hAnsi="Symbol" w:hint="default"/>
      </w:rPr>
    </w:lvl>
    <w:lvl w:ilvl="1" w:tplc="8CB8119A">
      <w:numFmt w:val="decimal"/>
      <w:lvlText w:val=""/>
      <w:lvlJc w:val="left"/>
      <w:pPr>
        <w:ind w:left="0" w:firstLine="0"/>
      </w:pPr>
    </w:lvl>
    <w:lvl w:ilvl="2" w:tplc="89EECF62">
      <w:numFmt w:val="decimal"/>
      <w:lvlText w:val=""/>
      <w:lvlJc w:val="left"/>
      <w:pPr>
        <w:ind w:left="0" w:firstLine="0"/>
      </w:pPr>
    </w:lvl>
    <w:lvl w:ilvl="3" w:tplc="6A826E5E">
      <w:numFmt w:val="decimal"/>
      <w:lvlText w:val=""/>
      <w:lvlJc w:val="left"/>
      <w:pPr>
        <w:ind w:left="0" w:firstLine="0"/>
      </w:pPr>
    </w:lvl>
    <w:lvl w:ilvl="4" w:tplc="A31E3F66">
      <w:numFmt w:val="decimal"/>
      <w:lvlText w:val=""/>
      <w:lvlJc w:val="left"/>
      <w:pPr>
        <w:ind w:left="0" w:firstLine="0"/>
      </w:pPr>
    </w:lvl>
    <w:lvl w:ilvl="5" w:tplc="9B5EEDC6">
      <w:numFmt w:val="decimal"/>
      <w:lvlText w:val=""/>
      <w:lvlJc w:val="left"/>
      <w:pPr>
        <w:ind w:left="0" w:firstLine="0"/>
      </w:pPr>
    </w:lvl>
    <w:lvl w:ilvl="6" w:tplc="7AF8DC1A">
      <w:numFmt w:val="decimal"/>
      <w:lvlText w:val=""/>
      <w:lvlJc w:val="left"/>
      <w:pPr>
        <w:ind w:left="0" w:firstLine="0"/>
      </w:pPr>
    </w:lvl>
    <w:lvl w:ilvl="7" w:tplc="4C500E9C">
      <w:numFmt w:val="decimal"/>
      <w:lvlText w:val=""/>
      <w:lvlJc w:val="left"/>
      <w:pPr>
        <w:ind w:left="0" w:firstLine="0"/>
      </w:pPr>
    </w:lvl>
    <w:lvl w:ilvl="8" w:tplc="DAD48E74">
      <w:numFmt w:val="decimal"/>
      <w:lvlText w:val=""/>
      <w:lvlJc w:val="left"/>
      <w:pPr>
        <w:ind w:left="0" w:firstLine="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4B1867"/>
    <w:multiLevelType w:val="multilevel"/>
    <w:tmpl w:val="B1A6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D5E0297"/>
    <w:multiLevelType w:val="multilevel"/>
    <w:tmpl w:val="2B7A3B46"/>
    <w:lvl w:ilvl="0">
      <w:start w:val="2"/>
      <w:numFmt w:val="decimal"/>
      <w:lvlText w:val="%1"/>
      <w:lvlJc w:val="left"/>
      <w:pPr>
        <w:ind w:left="444" w:hanging="444"/>
      </w:pPr>
      <w:rPr>
        <w:rFonts w:hint="default"/>
        <w:b/>
      </w:rPr>
    </w:lvl>
    <w:lvl w:ilvl="1">
      <w:start w:val="2"/>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480308A"/>
    <w:multiLevelType w:val="multilevel"/>
    <w:tmpl w:val="A0624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956770"/>
    <w:multiLevelType w:val="multilevel"/>
    <w:tmpl w:val="2186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459372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1322971">
    <w:abstractNumId w:val="22"/>
  </w:num>
  <w:num w:numId="3" w16cid:durableId="1063142564">
    <w:abstractNumId w:val="30"/>
  </w:num>
  <w:num w:numId="4" w16cid:durableId="7088020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99108792">
    <w:abstractNumId w:val="9"/>
  </w:num>
  <w:num w:numId="6" w16cid:durableId="1309361223">
    <w:abstractNumId w:val="8"/>
  </w:num>
  <w:num w:numId="7" w16cid:durableId="1161189945">
    <w:abstractNumId w:val="2"/>
  </w:num>
  <w:num w:numId="8" w16cid:durableId="2017657998">
    <w:abstractNumId w:val="15"/>
  </w:num>
  <w:num w:numId="9" w16cid:durableId="1543664538">
    <w:abstractNumId w:val="32"/>
  </w:num>
  <w:num w:numId="10" w16cid:durableId="1599098427">
    <w:abstractNumId w:val="3"/>
  </w:num>
  <w:num w:numId="11" w16cid:durableId="177283348">
    <w:abstractNumId w:val="25"/>
  </w:num>
  <w:num w:numId="12" w16cid:durableId="1175877775">
    <w:abstractNumId w:val="4"/>
  </w:num>
  <w:num w:numId="13" w16cid:durableId="925385451">
    <w:abstractNumId w:val="24"/>
  </w:num>
  <w:num w:numId="14" w16cid:durableId="219050752">
    <w:abstractNumId w:val="10"/>
  </w:num>
  <w:num w:numId="15" w16cid:durableId="28843997">
    <w:abstractNumId w:val="28"/>
  </w:num>
  <w:num w:numId="16" w16cid:durableId="512493958">
    <w:abstractNumId w:val="6"/>
  </w:num>
  <w:num w:numId="17" w16cid:durableId="1228566585">
    <w:abstractNumId w:val="29"/>
  </w:num>
  <w:num w:numId="18" w16cid:durableId="1040932857">
    <w:abstractNumId w:val="18"/>
  </w:num>
  <w:num w:numId="19" w16cid:durableId="2123724349">
    <w:abstractNumId w:val="35"/>
  </w:num>
  <w:num w:numId="20" w16cid:durableId="824198778">
    <w:abstractNumId w:val="14"/>
  </w:num>
  <w:num w:numId="21" w16cid:durableId="111019301">
    <w:abstractNumId w:val="11"/>
  </w:num>
  <w:num w:numId="22" w16cid:durableId="328557033">
    <w:abstractNumId w:val="16"/>
  </w:num>
  <w:num w:numId="23" w16cid:durableId="689066602">
    <w:abstractNumId w:val="26"/>
  </w:num>
  <w:num w:numId="24" w16cid:durableId="1251892987">
    <w:abstractNumId w:val="33"/>
  </w:num>
  <w:num w:numId="25" w16cid:durableId="1926188147">
    <w:abstractNumId w:val="5"/>
  </w:num>
  <w:num w:numId="26" w16cid:durableId="82605551">
    <w:abstractNumId w:val="23"/>
  </w:num>
  <w:num w:numId="27" w16cid:durableId="422382486">
    <w:abstractNumId w:val="27"/>
  </w:num>
  <w:num w:numId="28" w16cid:durableId="2098017413">
    <w:abstractNumId w:val="34"/>
  </w:num>
  <w:num w:numId="29" w16cid:durableId="235020636">
    <w:abstractNumId w:val="31"/>
  </w:num>
  <w:num w:numId="30" w16cid:durableId="348337329">
    <w:abstractNumId w:val="12"/>
  </w:num>
  <w:num w:numId="31" w16cid:durableId="203832209">
    <w:abstractNumId w:val="20"/>
  </w:num>
  <w:num w:numId="32" w16cid:durableId="1049381672">
    <w:abstractNumId w:val="17"/>
  </w:num>
  <w:num w:numId="33" w16cid:durableId="791365035">
    <w:abstractNumId w:val="19"/>
  </w:num>
  <w:num w:numId="34" w16cid:durableId="614140747">
    <w:abstractNumId w:val="13"/>
  </w:num>
  <w:num w:numId="35" w16cid:durableId="573399415">
    <w:abstractNumId w:val="21"/>
  </w:num>
  <w:num w:numId="36" w16cid:durableId="1476726646">
    <w:abstractNumId w:val="1"/>
  </w:num>
  <w:num w:numId="37" w16cid:durableId="11146681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AE5"/>
    <w:rsid w:val="00003B32"/>
    <w:rsid w:val="0001322E"/>
    <w:rsid w:val="00015976"/>
    <w:rsid w:val="0002423B"/>
    <w:rsid w:val="00030174"/>
    <w:rsid w:val="00030BE4"/>
    <w:rsid w:val="00034988"/>
    <w:rsid w:val="00041A72"/>
    <w:rsid w:val="0004579C"/>
    <w:rsid w:val="000578B9"/>
    <w:rsid w:val="00070194"/>
    <w:rsid w:val="000804EB"/>
    <w:rsid w:val="000901D7"/>
    <w:rsid w:val="00092584"/>
    <w:rsid w:val="000A47FA"/>
    <w:rsid w:val="000A65D3"/>
    <w:rsid w:val="000A7D3E"/>
    <w:rsid w:val="000B1E33"/>
    <w:rsid w:val="000C76A8"/>
    <w:rsid w:val="000D05F2"/>
    <w:rsid w:val="000D689F"/>
    <w:rsid w:val="000E1B6A"/>
    <w:rsid w:val="000E7B7B"/>
    <w:rsid w:val="000E7D62"/>
    <w:rsid w:val="000E7F06"/>
    <w:rsid w:val="000F0510"/>
    <w:rsid w:val="000F7494"/>
    <w:rsid w:val="000F77A4"/>
    <w:rsid w:val="00101029"/>
    <w:rsid w:val="00103357"/>
    <w:rsid w:val="00123C9F"/>
    <w:rsid w:val="00126190"/>
    <w:rsid w:val="00126B3D"/>
    <w:rsid w:val="00130F17"/>
    <w:rsid w:val="001320BF"/>
    <w:rsid w:val="00153CA4"/>
    <w:rsid w:val="00157D25"/>
    <w:rsid w:val="00161591"/>
    <w:rsid w:val="00163BC4"/>
    <w:rsid w:val="00163FE1"/>
    <w:rsid w:val="00185319"/>
    <w:rsid w:val="00191062"/>
    <w:rsid w:val="00192B72"/>
    <w:rsid w:val="001A29D8"/>
    <w:rsid w:val="001A5CAA"/>
    <w:rsid w:val="001B0427"/>
    <w:rsid w:val="001B491A"/>
    <w:rsid w:val="001C0C11"/>
    <w:rsid w:val="001C380F"/>
    <w:rsid w:val="001C60FF"/>
    <w:rsid w:val="001D3A51"/>
    <w:rsid w:val="001D4664"/>
    <w:rsid w:val="001D6BA2"/>
    <w:rsid w:val="001E10D2"/>
    <w:rsid w:val="001E25B4"/>
    <w:rsid w:val="001E31D2"/>
    <w:rsid w:val="001E44FE"/>
    <w:rsid w:val="00200595"/>
    <w:rsid w:val="00204835"/>
    <w:rsid w:val="00210DB0"/>
    <w:rsid w:val="00215C6C"/>
    <w:rsid w:val="00224307"/>
    <w:rsid w:val="00231920"/>
    <w:rsid w:val="0023195C"/>
    <w:rsid w:val="00232565"/>
    <w:rsid w:val="002355C5"/>
    <w:rsid w:val="00240AFB"/>
    <w:rsid w:val="0024128F"/>
    <w:rsid w:val="002425A2"/>
    <w:rsid w:val="0024282C"/>
    <w:rsid w:val="002460DC"/>
    <w:rsid w:val="00250503"/>
    <w:rsid w:val="00250985"/>
    <w:rsid w:val="002556F6"/>
    <w:rsid w:val="00262ADB"/>
    <w:rsid w:val="00283105"/>
    <w:rsid w:val="00283D00"/>
    <w:rsid w:val="00284C4C"/>
    <w:rsid w:val="002874F7"/>
    <w:rsid w:val="00287E68"/>
    <w:rsid w:val="00293A22"/>
    <w:rsid w:val="00295F7C"/>
    <w:rsid w:val="00296529"/>
    <w:rsid w:val="002A7F91"/>
    <w:rsid w:val="002B2708"/>
    <w:rsid w:val="002B27FB"/>
    <w:rsid w:val="002B685A"/>
    <w:rsid w:val="002C22F7"/>
    <w:rsid w:val="002C57D2"/>
    <w:rsid w:val="002D4469"/>
    <w:rsid w:val="002E0D56"/>
    <w:rsid w:val="002F0A8F"/>
    <w:rsid w:val="003012C1"/>
    <w:rsid w:val="00304936"/>
    <w:rsid w:val="003124BE"/>
    <w:rsid w:val="00312F3D"/>
    <w:rsid w:val="00315186"/>
    <w:rsid w:val="00316FF5"/>
    <w:rsid w:val="003253BC"/>
    <w:rsid w:val="0033343E"/>
    <w:rsid w:val="00336247"/>
    <w:rsid w:val="003512C2"/>
    <w:rsid w:val="00360FB2"/>
    <w:rsid w:val="00363E16"/>
    <w:rsid w:val="00371FB6"/>
    <w:rsid w:val="003763C1"/>
    <w:rsid w:val="00376BBE"/>
    <w:rsid w:val="003777FE"/>
    <w:rsid w:val="0039125E"/>
    <w:rsid w:val="0039224F"/>
    <w:rsid w:val="0039670D"/>
    <w:rsid w:val="0039778A"/>
    <w:rsid w:val="003A2FD3"/>
    <w:rsid w:val="003A43A4"/>
    <w:rsid w:val="003A7B9A"/>
    <w:rsid w:val="003A7E18"/>
    <w:rsid w:val="003B2743"/>
    <w:rsid w:val="003C264B"/>
    <w:rsid w:val="003C4C86"/>
    <w:rsid w:val="003C6258"/>
    <w:rsid w:val="003D206C"/>
    <w:rsid w:val="003D5F79"/>
    <w:rsid w:val="003E2904"/>
    <w:rsid w:val="003E467B"/>
    <w:rsid w:val="00401927"/>
    <w:rsid w:val="0041027F"/>
    <w:rsid w:val="00411DE8"/>
    <w:rsid w:val="00412475"/>
    <w:rsid w:val="00421E13"/>
    <w:rsid w:val="00423789"/>
    <w:rsid w:val="00433E8A"/>
    <w:rsid w:val="00440F43"/>
    <w:rsid w:val="00441B6F"/>
    <w:rsid w:val="00446221"/>
    <w:rsid w:val="00450E62"/>
    <w:rsid w:val="004539DB"/>
    <w:rsid w:val="004564FE"/>
    <w:rsid w:val="00462344"/>
    <w:rsid w:val="00471A80"/>
    <w:rsid w:val="00473FE5"/>
    <w:rsid w:val="00474B5B"/>
    <w:rsid w:val="00484DAD"/>
    <w:rsid w:val="004B580A"/>
    <w:rsid w:val="004C10E5"/>
    <w:rsid w:val="004C1DC9"/>
    <w:rsid w:val="004D0243"/>
    <w:rsid w:val="004D305E"/>
    <w:rsid w:val="004D4277"/>
    <w:rsid w:val="004E0A73"/>
    <w:rsid w:val="004E63B3"/>
    <w:rsid w:val="004F24B2"/>
    <w:rsid w:val="005023CC"/>
    <w:rsid w:val="00502516"/>
    <w:rsid w:val="00505F06"/>
    <w:rsid w:val="00506828"/>
    <w:rsid w:val="0052151D"/>
    <w:rsid w:val="00526C17"/>
    <w:rsid w:val="0053056E"/>
    <w:rsid w:val="00534575"/>
    <w:rsid w:val="00537259"/>
    <w:rsid w:val="005416B1"/>
    <w:rsid w:val="00546148"/>
    <w:rsid w:val="005528CA"/>
    <w:rsid w:val="00554FDA"/>
    <w:rsid w:val="00575A18"/>
    <w:rsid w:val="00583673"/>
    <w:rsid w:val="00585ABF"/>
    <w:rsid w:val="005A2073"/>
    <w:rsid w:val="005B0D5E"/>
    <w:rsid w:val="005B5142"/>
    <w:rsid w:val="005B5A98"/>
    <w:rsid w:val="005C5549"/>
    <w:rsid w:val="005C784C"/>
    <w:rsid w:val="005D17F6"/>
    <w:rsid w:val="005D67E7"/>
    <w:rsid w:val="005E49D7"/>
    <w:rsid w:val="005E5539"/>
    <w:rsid w:val="005E6059"/>
    <w:rsid w:val="005F724A"/>
    <w:rsid w:val="005F7E6C"/>
    <w:rsid w:val="00602BF5"/>
    <w:rsid w:val="00617FDD"/>
    <w:rsid w:val="00633614"/>
    <w:rsid w:val="00633F68"/>
    <w:rsid w:val="00636EB2"/>
    <w:rsid w:val="006375B8"/>
    <w:rsid w:val="0065467F"/>
    <w:rsid w:val="00657DC0"/>
    <w:rsid w:val="0066200C"/>
    <w:rsid w:val="0066510A"/>
    <w:rsid w:val="00665B3A"/>
    <w:rsid w:val="00673F9F"/>
    <w:rsid w:val="006774BE"/>
    <w:rsid w:val="00677EF0"/>
    <w:rsid w:val="00683BDA"/>
    <w:rsid w:val="00686953"/>
    <w:rsid w:val="00687DEA"/>
    <w:rsid w:val="00687E67"/>
    <w:rsid w:val="006967F7"/>
    <w:rsid w:val="006A250C"/>
    <w:rsid w:val="006B1BB1"/>
    <w:rsid w:val="006B21D3"/>
    <w:rsid w:val="006B57D0"/>
    <w:rsid w:val="006C2BB1"/>
    <w:rsid w:val="006D30FF"/>
    <w:rsid w:val="006D3F70"/>
    <w:rsid w:val="006D6940"/>
    <w:rsid w:val="006E59B8"/>
    <w:rsid w:val="006F11EC"/>
    <w:rsid w:val="0070082C"/>
    <w:rsid w:val="00706D74"/>
    <w:rsid w:val="00724512"/>
    <w:rsid w:val="007300CF"/>
    <w:rsid w:val="007369E6"/>
    <w:rsid w:val="0074377B"/>
    <w:rsid w:val="00746E59"/>
    <w:rsid w:val="00751502"/>
    <w:rsid w:val="00754C9A"/>
    <w:rsid w:val="0075599A"/>
    <w:rsid w:val="007559E4"/>
    <w:rsid w:val="00755E19"/>
    <w:rsid w:val="00761D52"/>
    <w:rsid w:val="0076419B"/>
    <w:rsid w:val="00764D1E"/>
    <w:rsid w:val="007750F9"/>
    <w:rsid w:val="0077749E"/>
    <w:rsid w:val="00790ADA"/>
    <w:rsid w:val="00794497"/>
    <w:rsid w:val="007A0FBE"/>
    <w:rsid w:val="007A4C8E"/>
    <w:rsid w:val="007B236B"/>
    <w:rsid w:val="007C46FA"/>
    <w:rsid w:val="007D2288"/>
    <w:rsid w:val="007D4BD4"/>
    <w:rsid w:val="007E088F"/>
    <w:rsid w:val="007E174A"/>
    <w:rsid w:val="007E1EF8"/>
    <w:rsid w:val="007E59C2"/>
    <w:rsid w:val="007F7B32"/>
    <w:rsid w:val="0080294F"/>
    <w:rsid w:val="00804BC2"/>
    <w:rsid w:val="00811904"/>
    <w:rsid w:val="0081431A"/>
    <w:rsid w:val="00822A0B"/>
    <w:rsid w:val="00824D2D"/>
    <w:rsid w:val="0083216F"/>
    <w:rsid w:val="00832563"/>
    <w:rsid w:val="0085142E"/>
    <w:rsid w:val="008537D6"/>
    <w:rsid w:val="00860000"/>
    <w:rsid w:val="00860845"/>
    <w:rsid w:val="00863BD3"/>
    <w:rsid w:val="008641ED"/>
    <w:rsid w:val="00865FE9"/>
    <w:rsid w:val="00866D66"/>
    <w:rsid w:val="008671C6"/>
    <w:rsid w:val="0087263C"/>
    <w:rsid w:val="0087298D"/>
    <w:rsid w:val="0087462A"/>
    <w:rsid w:val="008747E2"/>
    <w:rsid w:val="00875803"/>
    <w:rsid w:val="0087614F"/>
    <w:rsid w:val="00884737"/>
    <w:rsid w:val="00897C89"/>
    <w:rsid w:val="008B13DD"/>
    <w:rsid w:val="008B459E"/>
    <w:rsid w:val="008B6C38"/>
    <w:rsid w:val="008C45B2"/>
    <w:rsid w:val="008E0596"/>
    <w:rsid w:val="008E13AE"/>
    <w:rsid w:val="008E1506"/>
    <w:rsid w:val="008E620C"/>
    <w:rsid w:val="008E710C"/>
    <w:rsid w:val="008F18E9"/>
    <w:rsid w:val="008F69D6"/>
    <w:rsid w:val="00902823"/>
    <w:rsid w:val="0091518B"/>
    <w:rsid w:val="00915CA6"/>
    <w:rsid w:val="00916BC9"/>
    <w:rsid w:val="00927834"/>
    <w:rsid w:val="00927E92"/>
    <w:rsid w:val="00940660"/>
    <w:rsid w:val="009500A6"/>
    <w:rsid w:val="00953384"/>
    <w:rsid w:val="00957C18"/>
    <w:rsid w:val="00963F6B"/>
    <w:rsid w:val="009658CC"/>
    <w:rsid w:val="009659BA"/>
    <w:rsid w:val="00971EC8"/>
    <w:rsid w:val="00981F01"/>
    <w:rsid w:val="00983040"/>
    <w:rsid w:val="009A718D"/>
    <w:rsid w:val="009B3FB9"/>
    <w:rsid w:val="009B4E15"/>
    <w:rsid w:val="009C1A38"/>
    <w:rsid w:val="009C2465"/>
    <w:rsid w:val="009C6781"/>
    <w:rsid w:val="009D3439"/>
    <w:rsid w:val="009D35A0"/>
    <w:rsid w:val="009D7EB7"/>
    <w:rsid w:val="009E048A"/>
    <w:rsid w:val="009E08E9"/>
    <w:rsid w:val="009E3DB9"/>
    <w:rsid w:val="009E6E35"/>
    <w:rsid w:val="009F0EDA"/>
    <w:rsid w:val="009F5814"/>
    <w:rsid w:val="00A03B96"/>
    <w:rsid w:val="00A05B19"/>
    <w:rsid w:val="00A05E7F"/>
    <w:rsid w:val="00A1134E"/>
    <w:rsid w:val="00A11D0B"/>
    <w:rsid w:val="00A12EC0"/>
    <w:rsid w:val="00A142E4"/>
    <w:rsid w:val="00A157E2"/>
    <w:rsid w:val="00A15FB3"/>
    <w:rsid w:val="00A167BD"/>
    <w:rsid w:val="00A23293"/>
    <w:rsid w:val="00A24E7E"/>
    <w:rsid w:val="00A258C3"/>
    <w:rsid w:val="00A347C0"/>
    <w:rsid w:val="00A374D1"/>
    <w:rsid w:val="00A464A6"/>
    <w:rsid w:val="00A51431"/>
    <w:rsid w:val="00A52DBF"/>
    <w:rsid w:val="00A539AD"/>
    <w:rsid w:val="00A55675"/>
    <w:rsid w:val="00A621A2"/>
    <w:rsid w:val="00A742FD"/>
    <w:rsid w:val="00A94063"/>
    <w:rsid w:val="00A95883"/>
    <w:rsid w:val="00AA5518"/>
    <w:rsid w:val="00AA6219"/>
    <w:rsid w:val="00AA74E0"/>
    <w:rsid w:val="00AB703F"/>
    <w:rsid w:val="00AC5DDE"/>
    <w:rsid w:val="00AC6BB8"/>
    <w:rsid w:val="00AD32D5"/>
    <w:rsid w:val="00AE008F"/>
    <w:rsid w:val="00AF7C1B"/>
    <w:rsid w:val="00B01FCD"/>
    <w:rsid w:val="00B057B7"/>
    <w:rsid w:val="00B069B2"/>
    <w:rsid w:val="00B105E2"/>
    <w:rsid w:val="00B1776C"/>
    <w:rsid w:val="00B2206C"/>
    <w:rsid w:val="00B23EFC"/>
    <w:rsid w:val="00B314DB"/>
    <w:rsid w:val="00B33D82"/>
    <w:rsid w:val="00B5164F"/>
    <w:rsid w:val="00B52583"/>
    <w:rsid w:val="00B52896"/>
    <w:rsid w:val="00B530C2"/>
    <w:rsid w:val="00B54A3F"/>
    <w:rsid w:val="00B60CA6"/>
    <w:rsid w:val="00B644CA"/>
    <w:rsid w:val="00B84D63"/>
    <w:rsid w:val="00B86932"/>
    <w:rsid w:val="00B95236"/>
    <w:rsid w:val="00B96BD9"/>
    <w:rsid w:val="00BA1B01"/>
    <w:rsid w:val="00BA2641"/>
    <w:rsid w:val="00BA7A23"/>
    <w:rsid w:val="00BB1390"/>
    <w:rsid w:val="00BB37AA"/>
    <w:rsid w:val="00BB3D9E"/>
    <w:rsid w:val="00BB696B"/>
    <w:rsid w:val="00BC2624"/>
    <w:rsid w:val="00BC53A0"/>
    <w:rsid w:val="00BC63D7"/>
    <w:rsid w:val="00BE4406"/>
    <w:rsid w:val="00BE62AD"/>
    <w:rsid w:val="00BE6380"/>
    <w:rsid w:val="00BF121F"/>
    <w:rsid w:val="00BF1F80"/>
    <w:rsid w:val="00BF62B8"/>
    <w:rsid w:val="00C166EF"/>
    <w:rsid w:val="00C17EB0"/>
    <w:rsid w:val="00C27F5F"/>
    <w:rsid w:val="00C30A0F"/>
    <w:rsid w:val="00C37684"/>
    <w:rsid w:val="00C37E61"/>
    <w:rsid w:val="00C6329D"/>
    <w:rsid w:val="00C70F1B"/>
    <w:rsid w:val="00C71A47"/>
    <w:rsid w:val="00C7464C"/>
    <w:rsid w:val="00C85588"/>
    <w:rsid w:val="00C876AE"/>
    <w:rsid w:val="00C91165"/>
    <w:rsid w:val="00CA515E"/>
    <w:rsid w:val="00CB78CA"/>
    <w:rsid w:val="00CC055A"/>
    <w:rsid w:val="00CC6C5C"/>
    <w:rsid w:val="00CD239E"/>
    <w:rsid w:val="00CD6755"/>
    <w:rsid w:val="00CD6856"/>
    <w:rsid w:val="00CE0089"/>
    <w:rsid w:val="00CE793C"/>
    <w:rsid w:val="00CF193C"/>
    <w:rsid w:val="00CF4B02"/>
    <w:rsid w:val="00D06522"/>
    <w:rsid w:val="00D127A1"/>
    <w:rsid w:val="00D15881"/>
    <w:rsid w:val="00D173F1"/>
    <w:rsid w:val="00D25CF6"/>
    <w:rsid w:val="00D50AE1"/>
    <w:rsid w:val="00D53E36"/>
    <w:rsid w:val="00D60428"/>
    <w:rsid w:val="00D620DC"/>
    <w:rsid w:val="00D70BBE"/>
    <w:rsid w:val="00D74CB0"/>
    <w:rsid w:val="00D8295D"/>
    <w:rsid w:val="00DA0C47"/>
    <w:rsid w:val="00DA7016"/>
    <w:rsid w:val="00DB06A1"/>
    <w:rsid w:val="00DB2B61"/>
    <w:rsid w:val="00DC058D"/>
    <w:rsid w:val="00DC0A6B"/>
    <w:rsid w:val="00DC2A65"/>
    <w:rsid w:val="00DC32D4"/>
    <w:rsid w:val="00DC5FAA"/>
    <w:rsid w:val="00DE15F0"/>
    <w:rsid w:val="00DE5663"/>
    <w:rsid w:val="00DE69B9"/>
    <w:rsid w:val="00DE78AA"/>
    <w:rsid w:val="00E00542"/>
    <w:rsid w:val="00E053D0"/>
    <w:rsid w:val="00E07411"/>
    <w:rsid w:val="00E07AD6"/>
    <w:rsid w:val="00E14CBE"/>
    <w:rsid w:val="00E15994"/>
    <w:rsid w:val="00E22397"/>
    <w:rsid w:val="00E2289C"/>
    <w:rsid w:val="00E263C4"/>
    <w:rsid w:val="00E3114E"/>
    <w:rsid w:val="00E31A70"/>
    <w:rsid w:val="00E35B02"/>
    <w:rsid w:val="00E44AE3"/>
    <w:rsid w:val="00E5125E"/>
    <w:rsid w:val="00E52B36"/>
    <w:rsid w:val="00E57E95"/>
    <w:rsid w:val="00E6420C"/>
    <w:rsid w:val="00E66496"/>
    <w:rsid w:val="00E66B35"/>
    <w:rsid w:val="00E66E10"/>
    <w:rsid w:val="00E769F6"/>
    <w:rsid w:val="00E8407C"/>
    <w:rsid w:val="00E84F3C"/>
    <w:rsid w:val="00E85945"/>
    <w:rsid w:val="00EA012C"/>
    <w:rsid w:val="00EB24FC"/>
    <w:rsid w:val="00EB4FDA"/>
    <w:rsid w:val="00EC69AD"/>
    <w:rsid w:val="00EC6A55"/>
    <w:rsid w:val="00EC72F6"/>
    <w:rsid w:val="00ED0288"/>
    <w:rsid w:val="00EE10AE"/>
    <w:rsid w:val="00EE52CB"/>
    <w:rsid w:val="00EF581D"/>
    <w:rsid w:val="00EF7FD8"/>
    <w:rsid w:val="00F01973"/>
    <w:rsid w:val="00F06A73"/>
    <w:rsid w:val="00F06F59"/>
    <w:rsid w:val="00F07BE5"/>
    <w:rsid w:val="00F12577"/>
    <w:rsid w:val="00F17988"/>
    <w:rsid w:val="00F2271D"/>
    <w:rsid w:val="00F27D70"/>
    <w:rsid w:val="00F373C9"/>
    <w:rsid w:val="00F4060A"/>
    <w:rsid w:val="00F469F0"/>
    <w:rsid w:val="00F50B3F"/>
    <w:rsid w:val="00F521C6"/>
    <w:rsid w:val="00F53273"/>
    <w:rsid w:val="00F70184"/>
    <w:rsid w:val="00F755E4"/>
    <w:rsid w:val="00F77B27"/>
    <w:rsid w:val="00F77D02"/>
    <w:rsid w:val="00F8170A"/>
    <w:rsid w:val="00F82187"/>
    <w:rsid w:val="00F95B86"/>
    <w:rsid w:val="00FB3A86"/>
    <w:rsid w:val="00FD36C8"/>
    <w:rsid w:val="00FE5555"/>
    <w:rsid w:val="00FF0757"/>
    <w:rsid w:val="00FF0F86"/>
    <w:rsid w:val="00FF1B0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058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IN"/>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853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7641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76419B"/>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18531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85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593525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710296">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41978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diff.com/money/report/tomato-price-volatility-exposes-gaps-in-indias-agriculture-supply-chain/20241026.ht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ib.gov.in/PressReleasePage.aspx?PRID=2088051"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hehindu.com/business/retail-tomato-prices-drop-224-on-improved-supplies-govt/article68878920.ece"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pib.gov.in/PressReleasePage.aspx?PRID=2074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F6B7BCAE4194E914E8517C4715E84" ma:contentTypeVersion="5" ma:contentTypeDescription="Create a new document." ma:contentTypeScope="" ma:versionID="5d1faa5464b25973bee6c06d263cac45">
  <xsd:schema xmlns:xsd="http://www.w3.org/2001/XMLSchema" xmlns:xs="http://www.w3.org/2001/XMLSchema" xmlns:p="http://schemas.microsoft.com/office/2006/metadata/properties" xmlns:ns3="41f9feac-48a9-4706-a5cd-ebddfe345659" targetNamespace="http://schemas.microsoft.com/office/2006/metadata/properties" ma:root="true" ma:fieldsID="2195ea3582b04580ede9c15d516b802b" ns3:_="">
    <xsd:import namespace="41f9feac-48a9-4706-a5cd-ebddfe34565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9feac-48a9-4706-a5cd-ebddfe34565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1f9feac-48a9-4706-a5cd-ebddfe345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1C854-0E50-476E-A194-3C2FB7BD6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9feac-48a9-4706-a5cd-ebddfe34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816EB-4D56-4D1C-AAD0-0E1568334D8A}">
  <ds:schemaRefs>
    <ds:schemaRef ds:uri="http://schemas.microsoft.com/office/2006/metadata/properties"/>
    <ds:schemaRef ds:uri="http://schemas.microsoft.com/office/infopath/2007/PartnerControls"/>
    <ds:schemaRef ds:uri="41f9feac-48a9-4706-a5cd-ebddfe345659"/>
  </ds:schemaRefs>
</ds:datastoreItem>
</file>

<file path=customXml/itemProps3.xml><?xml version="1.0" encoding="utf-8"?>
<ds:datastoreItem xmlns:ds="http://schemas.openxmlformats.org/officeDocument/2006/customXml" ds:itemID="{B355372B-CC0B-4F1D-980C-AB0D5726F0F7}">
  <ds:schemaRefs>
    <ds:schemaRef ds:uri="http://schemas.microsoft.com/sharepoint/v3/contenttype/forms"/>
  </ds:schemaRefs>
</ds:datastoreItem>
</file>

<file path=customXml/itemProps4.xml><?xml version="1.0" encoding="utf-8"?>
<ds:datastoreItem xmlns:ds="http://schemas.openxmlformats.org/officeDocument/2006/customXml" ds:itemID="{13508761-FE2B-4F16-A6F5-9A4BBF06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13</Pages>
  <Words>3902</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gayatri</cp:lastModifiedBy>
  <cp:revision>5</cp:revision>
  <cp:lastPrinted>2025-10-12T19:51:00Z</cp:lastPrinted>
  <dcterms:created xsi:type="dcterms:W3CDTF">2025-10-18T03:28:00Z</dcterms:created>
  <dcterms:modified xsi:type="dcterms:W3CDTF">2025-10-18T03:39:00Z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0x0101002FDF6B7BCAE4194E914E8517C4715E84</vt:lpwstr>
  </property>
</Properties>
</file>