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AE8B2" w14:textId="76DA8266" w:rsidR="00754C9A" w:rsidRPr="004A2A45" w:rsidRDefault="004A2A45" w:rsidP="004A2A45">
      <w:pPr>
        <w:pStyle w:val="Title"/>
        <w:spacing w:after="0"/>
        <w:rPr>
          <w:rFonts w:ascii="Arial" w:hAnsi="Arial" w:cs="Arial"/>
          <w:i/>
          <w:u w:val="single"/>
        </w:rPr>
      </w:pPr>
      <w:r w:rsidRPr="004A2A45">
        <w:rPr>
          <w:rFonts w:ascii="Arial" w:hAnsi="Arial" w:cs="Arial"/>
          <w:i/>
          <w:u w:val="single"/>
        </w:rPr>
        <w:t>Original Research Article</w:t>
      </w:r>
    </w:p>
    <w:p w14:paraId="37C97000" w14:textId="77777777" w:rsidR="004A2A45" w:rsidRDefault="004A2A45" w:rsidP="00441B6F">
      <w:pPr>
        <w:pStyle w:val="Title"/>
        <w:spacing w:after="0"/>
        <w:jc w:val="both"/>
        <w:rPr>
          <w:rFonts w:ascii="Arial" w:hAnsi="Arial" w:cs="Arial"/>
        </w:rPr>
      </w:pPr>
    </w:p>
    <w:p w14:paraId="6B8D9F4C" w14:textId="7D257864" w:rsidR="00163BC4" w:rsidRPr="00163BC4" w:rsidRDefault="00282B9E" w:rsidP="00441B6F">
      <w:pPr>
        <w:pStyle w:val="Author"/>
        <w:spacing w:line="240" w:lineRule="auto"/>
        <w:rPr>
          <w:rFonts w:ascii="Arial" w:hAnsi="Arial" w:cs="Arial"/>
          <w:bCs/>
          <w:iCs/>
          <w:kern w:val="28"/>
          <w:sz w:val="36"/>
        </w:rPr>
      </w:pPr>
      <w:r w:rsidRPr="00282B9E">
        <w:rPr>
          <w:rFonts w:ascii="Arial" w:hAnsi="Arial" w:cs="Arial"/>
          <w:bCs/>
          <w:iCs/>
          <w:kern w:val="28"/>
          <w:sz w:val="36"/>
        </w:rPr>
        <w:t>Performance Evaluation of Tractor Operated Boom Sprayer on Tomato Crop</w:t>
      </w:r>
    </w:p>
    <w:p w14:paraId="33250E03" w14:textId="77777777" w:rsidR="00A258C3" w:rsidRPr="00790ADA" w:rsidRDefault="00A258C3" w:rsidP="00441B6F">
      <w:pPr>
        <w:pStyle w:val="Author"/>
        <w:spacing w:line="240" w:lineRule="auto"/>
        <w:jc w:val="both"/>
        <w:rPr>
          <w:rFonts w:ascii="Arial" w:hAnsi="Arial" w:cs="Arial"/>
          <w:sz w:val="36"/>
        </w:rPr>
      </w:pPr>
    </w:p>
    <w:p w14:paraId="700C66E0" w14:textId="1EDBB092" w:rsidR="00B01FCD" w:rsidRDefault="00B01FCD" w:rsidP="00441B6F">
      <w:pPr>
        <w:pStyle w:val="AbstHead"/>
        <w:spacing w:after="0"/>
        <w:jc w:val="both"/>
        <w:rPr>
          <w:rFonts w:ascii="Arial" w:hAnsi="Arial" w:cs="Arial"/>
        </w:rPr>
      </w:pPr>
      <w:r w:rsidRPr="00FB3A86">
        <w:rPr>
          <w:rFonts w:ascii="Arial" w:hAnsi="Arial" w:cs="Arial"/>
        </w:rPr>
        <w:t>ABSTRACT</w:t>
      </w:r>
    </w:p>
    <w:p w14:paraId="26D391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B09185" w14:textId="77777777" w:rsidTr="001E44FE">
        <w:tc>
          <w:tcPr>
            <w:tcW w:w="9576" w:type="dxa"/>
            <w:shd w:val="clear" w:color="auto" w:fill="F2F2F2"/>
          </w:tcPr>
          <w:p w14:paraId="0FE66B57" w14:textId="069598BD" w:rsidR="00505F06" w:rsidRPr="00BA1B01" w:rsidRDefault="00282B9E" w:rsidP="00441B6F">
            <w:pPr>
              <w:pStyle w:val="Body"/>
              <w:spacing w:after="0"/>
              <w:rPr>
                <w:rFonts w:ascii="Arial" w:eastAsia="Calibri" w:hAnsi="Arial" w:cs="Arial"/>
                <w:szCs w:val="22"/>
              </w:rPr>
            </w:pPr>
            <w:r w:rsidRPr="00282B9E">
              <w:rPr>
                <w:rFonts w:ascii="Arial" w:eastAsia="Calibri" w:hAnsi="Arial" w:cs="Arial"/>
                <w:szCs w:val="22"/>
              </w:rPr>
              <w:t xml:space="preserve">Efficient pesticide application is essential for sustainable agriculture, especially in large-scale farms where manual spraying is labor-intensive and inconsistent. This study evaluates the performance of a tractor-operated boom sprayer under laboratory and field conditions. Key operational parameters such as nozzle discharge rate, spray uniformity, field capacity, efficiency, and fuel consumption were analyzed. Laboratory tests indicated nozzle discharge increased with pressure, with uniform spray coverage achieved at 3-4 </w:t>
            </w:r>
            <w:commentRangeStart w:id="0"/>
            <w:r w:rsidRPr="00282B9E">
              <w:rPr>
                <w:rFonts w:ascii="Arial" w:eastAsia="Calibri" w:hAnsi="Arial" w:cs="Arial"/>
                <w:szCs w:val="22"/>
              </w:rPr>
              <w:t>kg</w:t>
            </w:r>
            <w:commentRangeEnd w:id="0"/>
            <w:r w:rsidR="001667ED">
              <w:rPr>
                <w:rStyle w:val="CommentReference"/>
                <w:rFonts w:ascii="Times New Roman" w:hAnsi="Times New Roman"/>
                <w:lang w:val="nb-NO" w:eastAsia="nb-NO"/>
              </w:rPr>
              <w:commentReference w:id="0"/>
            </w:r>
            <w:r w:rsidRPr="00282B9E">
              <w:rPr>
                <w:rFonts w:ascii="Arial" w:eastAsia="Calibri" w:hAnsi="Arial" w:cs="Arial"/>
                <w:szCs w:val="22"/>
              </w:rPr>
              <w:t>/cm</w:t>
            </w:r>
            <w:r w:rsidRPr="00282B9E">
              <w:rPr>
                <w:rFonts w:ascii="Arial" w:eastAsia="Calibri" w:hAnsi="Arial" w:cs="Arial"/>
                <w:szCs w:val="22"/>
                <w:vertAlign w:val="superscript"/>
              </w:rPr>
              <w:t>2</w:t>
            </w:r>
            <w:r w:rsidRPr="00282B9E">
              <w:rPr>
                <w:rFonts w:ascii="Arial" w:eastAsia="Calibri" w:hAnsi="Arial" w:cs="Arial"/>
                <w:szCs w:val="22"/>
              </w:rPr>
              <w:t xml:space="preserve">. Field evaluations on tomato crops revealed an effective field capacity of 1.27 – 1.84 ha/hr, field efficiency between 78–85%, and a fuel consumption rate of 2.24–2.4 l/hr. The estimated operational cost ranged between </w:t>
            </w:r>
            <w:commentRangeStart w:id="1"/>
            <w:r w:rsidRPr="00282B9E">
              <w:rPr>
                <w:rFonts w:ascii="Arial" w:eastAsia="Calibri" w:hAnsi="Arial" w:cs="Arial"/>
                <w:szCs w:val="22"/>
              </w:rPr>
              <w:t>₹</w:t>
            </w:r>
            <w:commentRangeEnd w:id="1"/>
            <w:r w:rsidR="001667ED">
              <w:rPr>
                <w:rStyle w:val="CommentReference"/>
                <w:rFonts w:ascii="Times New Roman" w:hAnsi="Times New Roman"/>
                <w:lang w:val="nb-NO" w:eastAsia="nb-NO"/>
              </w:rPr>
              <w:commentReference w:id="1"/>
            </w:r>
            <w:r w:rsidRPr="00282B9E">
              <w:rPr>
                <w:rFonts w:ascii="Arial" w:eastAsia="Calibri" w:hAnsi="Arial" w:cs="Arial"/>
                <w:szCs w:val="22"/>
              </w:rPr>
              <w:t xml:space="preserve"> 265 – 384 per hectare, significantly lower than manual spraying costs. Results demonstrate that the boom sprayer ensures uniform pesticide application, reduces labor requirements, and enhances operational efficiency, making it suitable for medium- to large-scale farms.</w:t>
            </w:r>
          </w:p>
        </w:tc>
      </w:tr>
    </w:tbl>
    <w:p w14:paraId="31CB5589" w14:textId="77777777" w:rsidR="00636EB2" w:rsidRDefault="00636EB2" w:rsidP="00441B6F">
      <w:pPr>
        <w:pStyle w:val="Body"/>
        <w:spacing w:after="0"/>
        <w:rPr>
          <w:rFonts w:ascii="Arial" w:hAnsi="Arial" w:cs="Arial"/>
          <w:i/>
        </w:rPr>
      </w:pPr>
    </w:p>
    <w:p w14:paraId="609D47C7" w14:textId="4D3E6EA8" w:rsidR="00A24E7E" w:rsidRDefault="00A24E7E" w:rsidP="00441B6F">
      <w:pPr>
        <w:pStyle w:val="Body"/>
        <w:spacing w:after="0"/>
        <w:rPr>
          <w:rFonts w:ascii="Arial" w:hAnsi="Arial" w:cs="Arial"/>
          <w:i/>
        </w:rPr>
      </w:pPr>
      <w:r>
        <w:rPr>
          <w:rFonts w:ascii="Arial" w:hAnsi="Arial" w:cs="Arial"/>
          <w:i/>
        </w:rPr>
        <w:t>Keywords:</w:t>
      </w:r>
      <w:r w:rsidR="00282B9E">
        <w:rPr>
          <w:rFonts w:ascii="Arial" w:hAnsi="Arial" w:cs="Arial"/>
          <w:i/>
        </w:rPr>
        <w:t xml:space="preserve"> </w:t>
      </w:r>
      <w:r w:rsidR="00282B9E" w:rsidRPr="00282B9E">
        <w:rPr>
          <w:rFonts w:ascii="Arial" w:hAnsi="Arial" w:cs="Arial"/>
          <w:i/>
        </w:rPr>
        <w:t>Boom sprayer; Pesticide application, Field efficiency, Operational cost, Agricultural mechanization</w:t>
      </w:r>
      <w:r w:rsidR="00282B9E">
        <w:rPr>
          <w:rFonts w:ascii="Arial" w:hAnsi="Arial" w:cs="Arial"/>
          <w:i/>
        </w:rPr>
        <w:t>.</w:t>
      </w:r>
    </w:p>
    <w:p w14:paraId="0CD7836C" w14:textId="77777777" w:rsidR="00790ADA" w:rsidRDefault="00790ADA" w:rsidP="00441B6F">
      <w:pPr>
        <w:pStyle w:val="Body"/>
        <w:spacing w:after="0"/>
        <w:rPr>
          <w:rFonts w:ascii="Arial" w:hAnsi="Arial" w:cs="Arial"/>
          <w:i/>
        </w:rPr>
      </w:pPr>
    </w:p>
    <w:p w14:paraId="539E63E5" w14:textId="2510E2C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E6B38A8" w14:textId="77777777" w:rsidR="00790ADA" w:rsidRPr="00FB3A86" w:rsidRDefault="00790ADA" w:rsidP="00441B6F">
      <w:pPr>
        <w:pStyle w:val="AbstHead"/>
        <w:spacing w:after="0"/>
        <w:jc w:val="both"/>
        <w:rPr>
          <w:rFonts w:ascii="Arial" w:hAnsi="Arial" w:cs="Arial"/>
        </w:rPr>
      </w:pPr>
    </w:p>
    <w:p w14:paraId="4BE0C160" w14:textId="77777777" w:rsidR="00EC21FB" w:rsidRPr="00EC21FB" w:rsidRDefault="00EC21FB" w:rsidP="00EC21FB">
      <w:pPr>
        <w:pStyle w:val="Body"/>
        <w:rPr>
          <w:rFonts w:ascii="Arial" w:hAnsi="Arial" w:cs="Arial"/>
        </w:rPr>
      </w:pPr>
      <w:r w:rsidRPr="00EC21FB">
        <w:rPr>
          <w:rFonts w:ascii="Arial" w:hAnsi="Arial" w:cs="Arial"/>
        </w:rPr>
        <w:t xml:space="preserve">Agriculture has always been the backbone of human civilization, providing food, feed, and raw materials to sustain life and industry. In many developing countries, agriculture plays an important role in the economy and employs large number of rural populations, reducing poverty and support sustainable developments </w:t>
      </w:r>
      <w:r w:rsidRPr="00EC21FB">
        <w:rPr>
          <w:rFonts w:ascii="Arial" w:hAnsi="Arial" w:cs="Arial"/>
        </w:rPr>
        <w:fldChar w:fldCharType="begin"/>
      </w:r>
      <w:r w:rsidRPr="00EC21FB">
        <w:rPr>
          <w:rFonts w:ascii="Arial" w:hAnsi="Arial" w:cs="Arial"/>
        </w:rPr>
        <w:instrText xml:space="preserve"> ADDIN ZOTERO_ITEM CSL_CITATION {"citationID":"1Q6bKRIs","properties":{"formattedCitation":"(Praburaj, 2018)","plainCitation":"(Praburaj, 2018)","noteIndex":0},"citationItems":[{"id":1128,"uris":["http://zotero.org/users/local/r5hsUw1O/items/LTAKFICK"],"itemData":{"id":1128,"type":"article-journal","abstract":"“Increase in agricultural production and the rise in the per-capita income of the rural community, together with the industrialisation and urbanisation, lead to an increased demand in industrial production”. It is seen that increased agricultural output and productivity tend to contribute substantially to an overall economic development of the country, it will be rational and appropriate to place greater emphasis on further development of the agricultural sector","container-title":"Shanlax International Journal of Commerce","DOI":"10.5281/zenodo.1323056","issue":"3","page":"1-5","source":"Zenodo","title":"Role of Agriculture in the Economic Development of a Country","volume":"6","author":[{"family":"Praburaj","given":"L."}],"issued":{"date-parts":[["2018",7,30]]}}}],"schema":"https://github.com/citation-style-language/schema/raw/master/csl-citation.json"} </w:instrText>
      </w:r>
      <w:r w:rsidRPr="00EC21FB">
        <w:rPr>
          <w:rFonts w:ascii="Arial" w:hAnsi="Arial" w:cs="Arial"/>
        </w:rPr>
        <w:fldChar w:fldCharType="separate"/>
      </w:r>
      <w:r w:rsidRPr="00EC21FB">
        <w:rPr>
          <w:rFonts w:ascii="Arial" w:hAnsi="Arial" w:cs="Arial"/>
        </w:rPr>
        <w:t>(Praburaj, 2018)</w:t>
      </w:r>
      <w:r w:rsidRPr="00EC21FB">
        <w:rPr>
          <w:rFonts w:ascii="Arial" w:hAnsi="Arial" w:cs="Arial"/>
        </w:rPr>
        <w:fldChar w:fldCharType="end"/>
      </w:r>
      <w:r w:rsidRPr="00EC21FB">
        <w:rPr>
          <w:rFonts w:ascii="Arial" w:hAnsi="Arial" w:cs="Arial"/>
        </w:rPr>
        <w:t xml:space="preserve">. Increasing the agricultural productivity is very essential to meet the food demands of a growing and urbanizing population, especially as expanding cultivated land is no longer feasible. However, modern agriculture faces significant challenges, including declining arable land, water scarcity, climate variability, and pest and disease pressures </w:t>
      </w:r>
      <w:r w:rsidRPr="00EC21FB">
        <w:rPr>
          <w:rFonts w:ascii="Arial" w:hAnsi="Arial" w:cs="Arial"/>
        </w:rPr>
        <w:fldChar w:fldCharType="begin"/>
      </w:r>
      <w:r w:rsidRPr="00EC21FB">
        <w:rPr>
          <w:rFonts w:ascii="Arial" w:hAnsi="Arial" w:cs="Arial"/>
        </w:rPr>
        <w:instrText xml:space="preserve"> ADDIN ZOTERO_ITEM CSL_CITATION {"citationID":"CsP4IX78","properties":{"formattedCitation":"(Calicioglu et al., 2019; Das et al., 2020)","plainCitation":"(Calicioglu et al., 2019; Das et al., 2020)","noteIndex":0},"citationItems":[{"id":1134,"uris":["http://zotero.org/users/local/r5hsUw1O/items/65MX2PXH"],"itemData":{"id":1134,"type":"article-journal","abstract":"The availability, access, utilization and stability of food supply over time are the four pillars of food security which support nutrition outcomes. Addressing the issues raised globally around these pillars remains a challenge. The Food and Agriculture Organization of the United Nations (FAO) 2017 report “The future of food and agriculture: trends and challenges” outlined the challenges which will have to be addressed in order for sustainable agricultural services to cost-effectively meet the growing food demand of the world population. In this study, we systematically analyzed the future challenges of the agriculture and food systems by focusing on (1) their root causes and trends; and (2) the interlinkages among the solutions proposed to address the challenges using social network analysis tools. It found that, if trends leading to extreme poverty are reversed, several other challenges will also be partially addressed and that climate change has the highest impact on the network of trends. Improving food security would have positive impacts on food access and utilization. The clear outline of the qualitative relationships among challenges presented and insights will help their prioritization by decision makers. However, additional in-depth quantitative analysis is necessary before measures identiﬁed to tackle the challenges could be effectively implemented.","container-title":"Sustainability","DOI":"10.3390/su11010222","ISSN":"2071-1050","issue":"1","journalAbbreviation":"Sustainability","language":"en","license":"https://creativecommons.org/licenses/by/4.0/","page":"222","source":"DOI.org (Crossref)","title":"The Future Challenges of Food and Agriculture: An Integrated Analysis of Trends and Solutions","title-short":"The Future Challenges of Food and Agriculture","volume":"11","author":[{"family":"Calicioglu","given":"Ozgul"},{"family":"Flammini","given":"Alessandro"},{"family":"Bracco","given":"Stefania"},{"family":"Bellù","given":"Lorenzo"},{"family":"Sims","given":"Ralph"}],"issued":{"date-parts":[["2019",1,4]]}}},{"id":1135,"uris":["http://zotero.org/users/local/r5hsUw1O/items/6W6JZU8H"],"itemData":{"id":1135,"type":"article-journal","abstract":"The dual pressures of population growth and climate change have adverse impacts on agricultural sustainability. This chapter discusses various challenges (i.e. climate change, population dynamics, poor technology and lack of knowledge, policy and management issues, fragmented land holding) and their relationship with agricultural sustainability in the context of environmental, economic and social perspectives. Moreover, this chapter presents possible solutions for agricultural sustainability. Unsustainable agricultural management will impact the agricultural growth rate, gross domestic productivity, per capita availability of food grains, gross capital formation in agriculture, agricultural exports and imports, job opportunities in the agricultural sector, environmental quality, etc. Sustainable development requires the collaboration and effort of government, non-governmental organizations and stakeholders, with long-term planning focused around better environmental, economic and social policies.","container-title":"Sustainability","DOI":"10.1002/9781119434016.ch16","page":"339-356","source":"consensus.app","title":"Challenges of Sustainability in Agricultural Management","author":[{"family":"Das","given":"Jew"},{"family":"Jha","given":"S."},{"family":"Goyal","given":"M."},{"family":"Surampalli","given":"R."}],"issued":{"date-parts":[["2020"]]}}}],"schema":"https://github.com/citation-style-language/schema/raw/master/csl-citation.json"} </w:instrText>
      </w:r>
      <w:r w:rsidRPr="00EC21FB">
        <w:rPr>
          <w:rFonts w:ascii="Arial" w:hAnsi="Arial" w:cs="Arial"/>
        </w:rPr>
        <w:fldChar w:fldCharType="separate"/>
      </w:r>
      <w:r w:rsidRPr="00EC21FB">
        <w:rPr>
          <w:rFonts w:ascii="Arial" w:hAnsi="Arial" w:cs="Arial"/>
        </w:rPr>
        <w:t>(Calicioglu et al., 2019; Das et al., 2020)</w:t>
      </w:r>
      <w:r w:rsidRPr="00EC21FB">
        <w:rPr>
          <w:rFonts w:ascii="Arial" w:hAnsi="Arial" w:cs="Arial"/>
        </w:rPr>
        <w:fldChar w:fldCharType="end"/>
      </w:r>
      <w:r w:rsidRPr="00EC21FB">
        <w:rPr>
          <w:rFonts w:ascii="Arial" w:hAnsi="Arial" w:cs="Arial"/>
        </w:rPr>
        <w:t xml:space="preserve">. Among these, biotic stresses such as insect pests, weeds, and plant pathogens are particularly devastating, accounting for 20–40% yield losses annually in major crops worldwide </w:t>
      </w:r>
      <w:r w:rsidRPr="00EC21FB">
        <w:rPr>
          <w:rFonts w:ascii="Arial" w:hAnsi="Arial" w:cs="Arial"/>
        </w:rPr>
        <w:fldChar w:fldCharType="begin"/>
      </w:r>
      <w:r w:rsidRPr="00EC21FB">
        <w:rPr>
          <w:rFonts w:ascii="Arial" w:hAnsi="Arial" w:cs="Arial"/>
        </w:rPr>
        <w:instrText xml:space="preserve"> ADDIN ZOTERO_ITEM CSL_CITATION {"citationID":"srJrlit6","properties":{"formattedCitation":"(Food and Agriculture Organization of the United Nations, 2017; Pandey et al., 2017)","plainCitation":"(Food and Agriculture Organization of the United Nations, 2017; Pandey et al., 2017)","noteIndex":0},"citationItems":[{"id":1144,"uris":["http://zotero.org/users/local/r5hsUw1O/items/PH2TLVEC"],"itemData":{"id":1144,"type":"book","abstract":"The purpose of this report is to increase understanding of the nature of the challenges that agriculture and food systems are facing now and will face into the 21st century. Its analysis of 15 global trends provides insights into what is at stake and what needs to be done. Most of the trends are strongly interdependent and, combined, inform a set of 10 challenges to achieving food security and nutrition for all and making agriculture sustainable. 'Business-as-usual' is not an option. Major transformations in agricultural systems, rural economies and natural resource management will be needed if we are to realize the full potential of food and agriculture to ensure a secure and healthy future for all people and the entire planet.","call-number":"SB175 .F88 2017","event-place":"Rome","ISBN":"978-92-5-109551-5","language":"en","number-of-pages":"163","publisher":"Food and Agriculture Organization of the United Nations","publisher-place":"Rome","source":"Library of Congress ISBN","title":"The future of food and agriculture: trends and challenges","title-short":"The future of food and agriculture","editor":[{"literal":"Food and Agriculture Organization of the United Nations"}],"issued":{"date-parts":[["2017"]]}}},{"id":1140,"uris":["http://zotero.org/users/local/r5hsUw1O/items/HNTFPGC7"],"itemData":{"id":1140,"type":"article-journal","abstract":"Global warming leads to the concurrence of a number of abiotic and biotic stresses, thus affecting agricultural productivity. Occurrence of abiotic stresses can alter plant–pest interactions by enhancing host plant susceptibility to pathogenic organisms, insects, and by reducing competitive ability with weeds. On the contrary, some pests may alter plant response to abiotic stress factors. Therefore, systematic studies are pivotal to understand the effect of concurrent abiotic and biotic stress conditions on crop productivity. However, to date, a collective database on the occurrence of various stress combinations in agriculturally prominent areas is not available. This review attempts to assemble published information on this topic, with a particular focus on the impact of combined drought and pathogen stresses on crop productivity. In doing so, this review highlights some agriculturally important morpho-physiological traits that can be utilized to identify genotypes with combined stress tolerance. In addition, this review outlines potential role of recent genomic tools in deciphering combined stress tolerance in plants. This review will, therefore, be helpful for agronomists and ﬁeld pathologists in assessing the impact of the interactions between drought and plant-pathogens on crop performance. Further, the review will be helpful for physiologists and molecular biologists to design agronomically relevant strategies for the development of broad spectrum stress tolerant crops.","container-title":"Frontiers in Plant Science","DOI":"10.3389/fpls.2017.00537","ISSN":"1664-462X","journalAbbreviation":"Front. Plant Sci.","language":"en","source":"DOI.org (Crossref)","title":"Impact of Combined Abiotic and Biotic Stresses on Plant Growth and Avenues for Crop Improvement by Exploiting Physio-morphological Traits","URL":"http://journal.frontiersin.org/article/10.3389/fpls.2017.00537/full","volume":"8","author":[{"family":"Pandey","given":"Prachi"},{"family":"Irulappan","given":"Vadivelmurugan"},{"family":"Bagavathiannan","given":"Muthukumar V."},{"family":"Senthil-Kumar","given":"Muthappa"}],"accessed":{"date-parts":[["2025",9,14]]},"issued":{"date-parts":[["2017",4,18]]}}}],"schema":"https://github.com/citation-style-language/schema/raw/master/csl-citation.json"} </w:instrText>
      </w:r>
      <w:r w:rsidRPr="00EC21FB">
        <w:rPr>
          <w:rFonts w:ascii="Arial" w:hAnsi="Arial" w:cs="Arial"/>
        </w:rPr>
        <w:fldChar w:fldCharType="separate"/>
      </w:r>
      <w:r w:rsidRPr="00EC21FB">
        <w:rPr>
          <w:rFonts w:ascii="Arial" w:hAnsi="Arial" w:cs="Arial"/>
        </w:rPr>
        <w:t>(Food and Agriculture Organization of the United Nations, 2017; Pandey et al., 2017)</w:t>
      </w:r>
      <w:r w:rsidRPr="00EC21FB">
        <w:rPr>
          <w:rFonts w:ascii="Arial" w:hAnsi="Arial" w:cs="Arial"/>
        </w:rPr>
        <w:fldChar w:fldCharType="end"/>
      </w:r>
      <w:r w:rsidRPr="00EC21FB">
        <w:rPr>
          <w:rFonts w:ascii="Arial" w:hAnsi="Arial" w:cs="Arial"/>
        </w:rPr>
        <w:t xml:space="preserve">. Chemical crop protection using pesticides and herbicides remains one of the most widely adopted strategies to control pests and diseases. However, the efficiency of chemical application is heavily dependent on timely and precise plant protection measures </w:t>
      </w:r>
      <w:r w:rsidRPr="00EC21FB">
        <w:rPr>
          <w:rFonts w:ascii="Arial" w:hAnsi="Arial" w:cs="Arial"/>
        </w:rPr>
        <w:fldChar w:fldCharType="begin"/>
      </w:r>
      <w:r w:rsidRPr="00EC21FB">
        <w:rPr>
          <w:rFonts w:ascii="Arial" w:hAnsi="Arial" w:cs="Arial"/>
        </w:rPr>
        <w:instrText xml:space="preserve"> ADDIN ZOTERO_ITEM CSL_CITATION {"citationID":"yGULsIzT","properties":{"formattedCitation":"(Bobrovskiy et al., 2021; Dorokhov, 2022)","plainCitation":"(Bobrovskiy et al., 2021; Dorokhov, 2022)","noteIndex":0},"citationItems":[{"id":1152,"uris":["http://zotero.org/users/local/r5hsUw1O/items/9JK2N47E"],"itemData":{"id":1152,"type":"article-journal","abstract":"Losses of agricultural crops from pests, diseases and weeds are on average 30-35%, and in the years of mass spread of harmful organisms, they can reach 60%. Improvement of the chemical method for regulating the number and harmfulness of pathogens, pests and weeds remains one of the priority directions of development of modern plant protection, which is quite justified, since at this stage this method surpasses all others in many parameters, and the emphasis on minimizing use emphasizes the need to regard pesticides and their application especially seriously.","container-title":"IOP Conference Series: Earth and Environmental Science","DOI":"10.1088/1755-1315/839/4/042015","ISSN":"1755-1307, 1755-1315","issue":"4","journalAbbreviation":"IOP Conf. Ser.: Earth Environ. Sci.","language":"en","page":"042015","source":"DOI.org (Crossref)","title":"Research on the efficiency of plant protection products in sowing spring wheat","volume":"839","author":[{"family":"Bobrovskiy","given":"A V"},{"family":"Kryuchkov","given":"A A"},{"family":"Kozulina","given":"N S"},{"family":"Vasilenko","given":"A V"},{"family":"Mikhailets","given":"M A"}],"issued":{"date-parts":[["2021",9,1]]}}},{"id":1147,"uris":["http://zotero.org/users/local/r5hsUw1O/items/9ZU82KD4"],"itemData":{"id":1147,"type":"article-journal","abstract":"Intensive agricultural production is impossible without the use of plant protection products that contribute to high yields. Agricultural producers highly evaluate the chemical method of plant protection based on the wide use of sprayers as a more efficient and productive one. The analysis of modern sprayers has shown that their design is subject to the dominating trend of increasing productivity, a working width and a tank capacity, improving the quality of work, improving the main components and equipment, using various automation tools to reduce the environmental impact. There are also some long-term trends in the development of autonomous robotic machines and unmanned aerial vehicles, combined into a single intelligent precision farming system. It is noted that the following operating parameters of the sprayer greatly influence the quality indicators of the chemical treatment of plants: the unit speed; the rod installation height and its stability during operation; pressure in the working fluid supply system and nozzle operation parameters (the diameter of droplets formed, the degree of wear and clogging). Environmental parameters also have a significant impact: relative humidity and air temperature, wind speed and the amount of precipitation. To ensure high quality, efficiency, and environmental safety of chemical plant protection, it is necessary to improve the technical means of plant protection through optimizing the main operating parameters, introducing advanced technical solutions aimed at increasing the technological process efficiency; introducing automation and robotization systems of technical means used for plant protection; designing autonomous robotic machines and unmanned aerial vehicles, combined into a single intelligent system of precision farming.","container-title":"Agricultural engineering","DOI":"10.26897/2687-1149-2022-3-12-18","issue":"3","page":"12-18","source":"consensus.app","title":"TECHNICAL MEANS FOR CHEMICAL PROTECTION OF PLANTS: CURRENT STATE AND DEVELOPMENT PROSPECTS","title-short":"TECHNICAL MEANS FOR CHEMICAL PROTECTION OF PLANTS","volume":"24","author":[{"family":"Dorokhov","given":"A."}],"issued":{"date-parts":[["2022"]]}}}],"schema":"https://github.com/citation-style-language/schema/raw/master/csl-citation.json"} </w:instrText>
      </w:r>
      <w:r w:rsidRPr="00EC21FB">
        <w:rPr>
          <w:rFonts w:ascii="Arial" w:hAnsi="Arial" w:cs="Arial"/>
        </w:rPr>
        <w:fldChar w:fldCharType="separate"/>
      </w:r>
      <w:r w:rsidRPr="00EC21FB">
        <w:rPr>
          <w:rFonts w:ascii="Arial" w:hAnsi="Arial" w:cs="Arial"/>
        </w:rPr>
        <w:t>(Bobrovskiy et al., 2021; Dorokhov, 2022)</w:t>
      </w:r>
      <w:r w:rsidRPr="00EC21FB">
        <w:rPr>
          <w:rFonts w:ascii="Arial" w:hAnsi="Arial" w:cs="Arial"/>
        </w:rPr>
        <w:fldChar w:fldCharType="end"/>
      </w:r>
      <w:r w:rsidRPr="00EC21FB">
        <w:rPr>
          <w:rFonts w:ascii="Arial" w:hAnsi="Arial" w:cs="Arial"/>
        </w:rPr>
        <w:t xml:space="preserve">. Traditional tools such as hand-operated knapsack sprayers, rocker sprayers, and foot-operated pumps are still commonly used in small-scale farming due to their low initial cost and ease of handling </w:t>
      </w:r>
      <w:r w:rsidRPr="00EC21FB">
        <w:rPr>
          <w:rFonts w:ascii="Arial" w:hAnsi="Arial" w:cs="Arial"/>
        </w:rPr>
        <w:fldChar w:fldCharType="begin"/>
      </w:r>
      <w:r w:rsidRPr="00EC21FB">
        <w:rPr>
          <w:rFonts w:ascii="Arial" w:hAnsi="Arial" w:cs="Arial"/>
        </w:rPr>
        <w:instrText xml:space="preserve"> ADDIN ZOTERO_ITEM CSL_CITATION {"citationID":"mmhw2cEu","properties":{"formattedCitation":"(Bhatt et al., 2021; P et al., 2022)","plainCitation":"(Bhatt et al., 2021; P et al., 2022)","noteIndex":0},"citationItems":[{"id":1168,"uris":["http://zotero.org/users/local/r5hsUw1O/items/8K4BGT4M"],"itemData":{"id":1168,"type":"article-journal","abstract":"The research work was undertake to discover a variety of conventional and modern crops growing; implements used for agriculture operations by the rural farmers of Dankaur and adjoining villages of National Capital Regions (NCR), a part of Gautam Buddha Nagar, Uttar Pradesh, India. The traditional and modern agriculture implements are very economical with respect to man power, finance and economy as well as saving of valuable time. The traditional and modern agriculture implements are prepared of the vicinity accessible resources which are: iron, firewood along with its substitute products. These agriculture implements are easily too operate without any special skills and training. The information related to agricultural implements was documented through the interactions with local villagers, personal observations and existing data are also used. The detailed information about each agriculture implements was collected and informative notes were taken during interview with the rural farmers. The information were collected during the field work from July 2018 to March 2020 and found approximately fifty three (53) traditional and modern agriculture implements were identified and briefly explained with scratched photographs prepared by a research team of School of Agriculture. These agriculture implements are: bill hook, hand trowel, secateurs, sickles, girdle, pruning knife, shovel, spud, knap-sack sprayer, pick axe, garden hoe, weeder etc. The traditional economy of farmers is for subsistence only not to profit. The farmers are characterizing by undersized and patchy land property, small yield of crop and domestic animals, disguised joblessness, reduced profits and short hazard manner skill.","container-title":"Springer Proceedings in Earth and Environmental Sciences","DOI":"10.1007/978-3-030-79065-3_12","source":"consensus.app","title":"Traditional and Modern Agricultural Implements Used in Agro Sciences – A Case Study in the Part of National Capital Region of Uttar Pradesh, India","URL":"https://consensus.app/papers/traditional-and-modern-agricultural-implements-used-in-rana-bharti/3ba7f6865584544a916f4f1fd628beb2/","author":[{"family":"Bhatt","given":"G."},{"family":"Singh","given":"Mahesh"},{"family":"Bharti","given":"A."},{"family":"Rana","given":"D."}],"accessed":{"date-parts":[["2025",9,14]]},"issued":{"date-parts":[["2021"]]}}},{"id":1171,"uris":["http://zotero.org/users/local/r5hsUw1O/items/SYEE9X9P"],"itemData":{"id":1171,"type":"article-journal","abstract":"The rural farm women are involved in all agricultural activities for their livelihood. Most of the activities from sowing, transplanting, weeding, harvesting, and threshing, to winnowing and grading were performed by farm women. Both male and female farmers mostly prefer traditional farm tools to perform these agricultural activities such as harvesting, weeding, making ridges and furrows etc. They have more experience in handling of traditional tools than modern implements. The age of the farm women were ranged from less than 35 to more than 55 with the mean age of 43±11. With regard to the literacy level almost of 2/3rd of the surveyed farm women were literate and 1/3rd of them were illiterate. Analysis of the literacy level identified that majority of them were educated up to 8th standard (44%). They had a work experience of less than 10 years to more than 35 years with the mean experience of 22 years in agricultural activities. Traditional tools such as sickle (Aruval), bamboo basket (moongil thattu), Spade (Mannvetti), Hand hoe (Kalaikothi), Hand rake (Mannkilari) were commonly used by the farm women. According to farm women suggestions conventional tools have to be modified/improved for their convenience, to improve their productivity and to enhance the income from the agricultural sector.","container-title":"International Journal of Agriculture Extension and Social Development","DOI":"10.33545/26180723.2022.v5.i1a.115","ISSN":"26180723, 26180731","issue":"1","journalAbbreviation":"Int. J. Agric. Extension Social Dev.","language":"en","page":"01-06","source":"DOI.org (Crossref)","title":"Analysis of traditional agricultural tools used by the farm women in Southern district of Tamil Nadu","volume":"5","author":[{"family":"P","given":"Parimalam"},{"family":"B","given":"Nallakurumban"},{"family":"S","given":"Logeswari"},{"family":"R","given":"Surya"}],"issued":{"date-parts":[["2022",1,1]]}}}],"schema":"https://github.com/citation-style-language/schema/raw/master/csl-citation.json"} </w:instrText>
      </w:r>
      <w:r w:rsidRPr="00EC21FB">
        <w:rPr>
          <w:rFonts w:ascii="Arial" w:hAnsi="Arial" w:cs="Arial"/>
        </w:rPr>
        <w:fldChar w:fldCharType="separate"/>
      </w:r>
      <w:r w:rsidRPr="00EC21FB">
        <w:rPr>
          <w:rFonts w:ascii="Arial" w:hAnsi="Arial" w:cs="Arial"/>
        </w:rPr>
        <w:t>(Bhatt et al., 2021; P et al., 2022)</w:t>
      </w:r>
      <w:r w:rsidRPr="00EC21FB">
        <w:rPr>
          <w:rFonts w:ascii="Arial" w:hAnsi="Arial" w:cs="Arial"/>
        </w:rPr>
        <w:fldChar w:fldCharType="end"/>
      </w:r>
      <w:r w:rsidRPr="00EC21FB">
        <w:rPr>
          <w:rFonts w:ascii="Arial" w:hAnsi="Arial" w:cs="Arial"/>
        </w:rPr>
        <w:t xml:space="preserve">. While these devices allow farmers to directly target crops, they have several limitations including low field capacity, high labor demand, operator fatigue, inconsistent spray patterns, and increased health risks due to direct chemical exposure </w:t>
      </w:r>
      <w:r w:rsidRPr="00EC21FB">
        <w:rPr>
          <w:rFonts w:ascii="Arial" w:hAnsi="Arial" w:cs="Arial"/>
        </w:rPr>
        <w:fldChar w:fldCharType="begin"/>
      </w:r>
      <w:r w:rsidRPr="00EC21FB">
        <w:rPr>
          <w:rFonts w:ascii="Arial" w:hAnsi="Arial" w:cs="Arial"/>
        </w:rPr>
        <w:instrText xml:space="preserve"> ADDIN ZOTERO_ITEM CSL_CITATION {"citationID":"NAwxM9sb","properties":{"formattedCitation":"(Karthikeyan et al., 2009; P et al., 2022)","plainCitation":"(Karthikeyan et al., 2009; P et al., 2022)","noteIndex":0},"citationItems":[{"id":1173,"uris":["http://zotero.org/users/local/r5hsUw1O/items/I8V8YEEQ"],"itemData":{"id":1173,"type":"article-journal","abstract":"The study was undertaken to identify various traditional tools used for agricultural operations by the farmers of Tamil Nadu. Agricultural tools are as old as Stone Age. Traditional agricultural tools were economical in terms of labour, money and time saving. These tools were made up of locally available materials like stones, wood, etc. Traditional tools are operated easily without any special skills. The study was conducted in Coimbatore, Erode, Salem, Krishnagiri, Villupuram, Dindigal, Madurai, Kovilpatty, Aruppukottai and Virudhunagar districts of Tamil Nadu. Information was documented by using Participatory Rural Appraisal (PRA) techniques like observation and discussion. In the study, 21 traditional agricultural tools were identified and described. IPC Int. Cl. 8 : A01B, A01D, A01F The mechanization of Indian agriculture is in its early stages. Human power still predominates, although it is often augmented by animal and/or mechanical power. Indigenous tools and weapons were basic but well designed to suit farmers needs. Traditionally farmers have been using a variety of tools and weapons in their everyday life, often for agricultural operations and household purpose. Prior to the recorded evidence of Bakhar, the Hindu epic Ramayana has mentioned the use of plough. A fresh development in new designs of implements and tools was noticed around independence. During this period, the traditional tools experienced improvement in design and metallurgy. A large number of traditional tools have appeared in a survey report 1 . Most of the wooden tools, implements and weapons use local materials - different timbers for particular tools and strings for various uses come from different plants. Most of the implements and tools which were developed and is being produced by local artisans were made from stone, wood, bone, shell, teeth, plant fibre or animal. Farmers can quickly adapt it on the spot to change its purpose. While both men and women use some tools, there are tools that are used exclusively by women. New tools and equipments were developed with the discovery of the metals starting with copper, brass, bronze and finally iron; some of which have been developed in combination of hard cutting tool with wooden and bamboo handle for ease and lightness. Many of the iron traditional tools have been modified and are being mass produced using modern techniques of production to affordable price and higher life. This abundant store of knowledge in the area of traditional hand tools, their craftsmanship, technique of production and metallurgy are still in practice and of great value. It is our duty to develop, preserve and protect them 2 . Village artisans are the main source of","container-title":"Indian Journal of Traditional Knowledge","page":"212-217","source":"consensus.app","title":"Traditional tools in agricultural practices.","volume":"8","author":[{"family":"Karthikeyan","given":"C."},{"family":"Veeraragavathatham","given":"D."},{"family":"Karpagam","given":"D."},{"family":"Firdouse","given":"S."}],"issued":{"date-parts":[["2009"]]}}},{"id":1171,"uris":["http://zotero.org/users/local/r5hsUw1O/items/SYEE9X9P"],"itemData":{"id":1171,"type":"article-journal","abstract":"The rural farm women are involved in all agricultural activities for their livelihood. Most of the activities from sowing, transplanting, weeding, harvesting, and threshing, to winnowing and grading were performed by farm women. Both male and female farmers mostly prefer traditional farm tools to perform these agricultural activities such as harvesting, weeding, making ridges and furrows etc. They have more experience in handling of traditional tools than modern implements. The age of the farm women were ranged from less than 35 to more than 55 with the mean age of 43±11. With regard to the literacy level almost of 2/3rd of the surveyed farm women were literate and 1/3rd of them were illiterate. Analysis of the literacy level identified that majority of them were educated up to 8th standard (44%). They had a work experience of less than 10 years to more than 35 years with the mean experience of 22 years in agricultural activities. Traditional tools such as sickle (Aruval), bamboo basket (moongil thattu), Spade (Mannvetti), Hand hoe (Kalaikothi), Hand rake (Mannkilari) were commonly used by the farm women. According to farm women suggestions conventional tools have to be modified/improved for their convenience, to improve their productivity and to enhance the income from the agricultural sector.","container-title":"International Journal of Agriculture Extension and Social Development","DOI":"10.33545/26180723.2022.v5.i1a.115","ISSN":"26180723, 26180731","issue":"1","journalAbbreviation":"Int. J. Agric. Extension Social Dev.","language":"en","page":"01-06","source":"DOI.org (Crossref)","title":"Analysis of traditional agricultural tools used by the farm women in Southern district of Tamil Nadu","volume":"5","author":[{"family":"P","given":"Parimalam"},{"family":"B","given":"Nallakurumban"},{"family":"S","given":"Logeswari"},{"family":"R","given":"Surya"}],"issued":{"date-parts":[["2022",1,1]]}}}],"schema":"https://github.com/citation-style-language/schema/raw/master/csl-citation.json"} </w:instrText>
      </w:r>
      <w:r w:rsidRPr="00EC21FB">
        <w:rPr>
          <w:rFonts w:ascii="Arial" w:hAnsi="Arial" w:cs="Arial"/>
        </w:rPr>
        <w:fldChar w:fldCharType="separate"/>
      </w:r>
      <w:r w:rsidRPr="00EC21FB">
        <w:rPr>
          <w:rFonts w:ascii="Arial" w:hAnsi="Arial" w:cs="Arial"/>
        </w:rPr>
        <w:t>(Karthikeyan et al., 2009; P et al., 2022)</w:t>
      </w:r>
      <w:r w:rsidRPr="00EC21FB">
        <w:rPr>
          <w:rFonts w:ascii="Arial" w:hAnsi="Arial" w:cs="Arial"/>
        </w:rPr>
        <w:fldChar w:fldCharType="end"/>
      </w:r>
      <w:r w:rsidRPr="00EC21FB">
        <w:rPr>
          <w:rFonts w:ascii="Arial" w:hAnsi="Arial" w:cs="Arial"/>
        </w:rPr>
        <w:t xml:space="preserve">. Moreover, uneven pesticide application from manual sprayers often leads to under-dosing or overdosing, resulting in poor pest control, pesticide resistance, and environmental contamination </w:t>
      </w:r>
      <w:r w:rsidRPr="00EC21FB">
        <w:rPr>
          <w:rFonts w:ascii="Arial" w:hAnsi="Arial" w:cs="Arial"/>
        </w:rPr>
        <w:fldChar w:fldCharType="begin"/>
      </w:r>
      <w:r w:rsidRPr="00EC21FB">
        <w:rPr>
          <w:rFonts w:ascii="Arial" w:hAnsi="Arial" w:cs="Arial"/>
        </w:rPr>
        <w:instrText xml:space="preserve"> ADDIN ZOTERO_ITEM CSL_CITATION {"citationID":"C4tXPhw2","properties":{"formattedCitation":"(An et al., 2020)","plainCitation":"(An et al., 2020)","noteIndex":0},"citationItems":[{"id":1155,"uris":["http://zotero.org/users/local/r5hsUw1O/items/A8MCNIRP"],"itemData":{"id":1155,"type":"article-journal","abstract":"BACKGROUND Sprayers have been shown in numerous reports to influence pesticide deposition and distribution significantly, and public concern for their potential risk has been increasing in recent years. In this study, a hand-held gun sprayer and two air-assisted sprayers (conventional axial fan air-blast sprayer and tower sprayer) were used by applying myclobutanil and tebuconazole for systematically investigating their influence on pesticide distribution and deposition in a semi-dwarf apple orchard. RESULTS The coefficient of variations of different canopy zones associated with the tower sprayers were 38.9-41.9% for leaves and 35.5-36.4% for fruit, generally lower than the coefficient of variations related to the other two sprayers. Tests conducted by the air-assisted applications have recorded an overall higher drift on the adjacent rows than experiments carried out with hand-held gun sprayer. The results of drift in soil indicated that pesticide was mainly distributed within 5 m downwind the treated area, and the distribution pattern is influenced by sprayer design. The total pesticide concentration deposited in soil within 5 m applied by tower sprayer is 0.28 m mg kg-1 for myclobutanil and 0.90 m mg kg-1 for tebuconazole, respectively, much lower than that of others. CONCLUSION The result indicated that the tower sprayer could give a more uniform distribution and guarantee better effectiveness of the phytosanitary treatment. Besides, the tower sprayer could also better protect the soil and reduce environmental pollution due to its scientific structural design. This article is protected by copyright. All rights reserved.","container-title":"Pest management science","DOI":"10.1002/ps.5968","page":"4123-4130","source":"consensus.app","title":"Deposition and distribution of myclobutanil and tebuconazole in a semi-dwarf apple orchard by hand-held gun and air-assisted sprayers application.","volume":"76","author":[{"family":"An","given":"Quanshun"},{"family":"Li","given":"Dong"},{"family":"Wu","given":"Yangliu"},{"family":"Pan","given":"C."}],"issued":{"date-parts":[["2020"]]}}}],"schema":"https://github.com/citation-style-language/schema/raw/master/csl-citation.json"} </w:instrText>
      </w:r>
      <w:r w:rsidRPr="00EC21FB">
        <w:rPr>
          <w:rFonts w:ascii="Arial" w:hAnsi="Arial" w:cs="Arial"/>
        </w:rPr>
        <w:fldChar w:fldCharType="separate"/>
      </w:r>
      <w:r w:rsidRPr="00EC21FB">
        <w:rPr>
          <w:rFonts w:ascii="Arial" w:hAnsi="Arial" w:cs="Arial"/>
        </w:rPr>
        <w:t>(An et al., 2020)</w:t>
      </w:r>
      <w:r w:rsidRPr="00EC21FB">
        <w:rPr>
          <w:rFonts w:ascii="Arial" w:hAnsi="Arial" w:cs="Arial"/>
        </w:rPr>
        <w:fldChar w:fldCharType="end"/>
      </w:r>
      <w:r w:rsidRPr="00EC21FB">
        <w:rPr>
          <w:rFonts w:ascii="Arial" w:hAnsi="Arial" w:cs="Arial"/>
        </w:rPr>
        <w:t xml:space="preserve">. </w:t>
      </w:r>
    </w:p>
    <w:p w14:paraId="08675DFD" w14:textId="77777777" w:rsidR="00EC21FB" w:rsidRPr="00EC21FB" w:rsidRDefault="00EC21FB" w:rsidP="00EC21FB">
      <w:pPr>
        <w:pStyle w:val="Body"/>
        <w:rPr>
          <w:rFonts w:ascii="Arial" w:hAnsi="Arial" w:cs="Arial"/>
        </w:rPr>
      </w:pPr>
      <w:r w:rsidRPr="00EC21FB">
        <w:rPr>
          <w:rFonts w:ascii="Arial" w:hAnsi="Arial" w:cs="Arial"/>
        </w:rPr>
        <w:lastRenderedPageBreak/>
        <w:t xml:space="preserve">To overcome these limitations, mechanization in pesticide application has led to the development of tractor-mounted and tractor-operated sprayers. Among these, the tractor-operated boom sprayer has become an essential tool in modern, mechanized agriculture. Equipped with a horizontal boom carrying multiple nozzles, it ensures uniform and simultaneous application of agrochemicals across wide swaths of farmland </w:t>
      </w:r>
      <w:r w:rsidRPr="00EC21FB">
        <w:rPr>
          <w:rFonts w:ascii="Arial" w:hAnsi="Arial" w:cs="Arial"/>
        </w:rPr>
        <w:fldChar w:fldCharType="begin"/>
      </w:r>
      <w:r w:rsidRPr="00EC21FB">
        <w:rPr>
          <w:rFonts w:ascii="Arial" w:hAnsi="Arial" w:cs="Arial"/>
        </w:rPr>
        <w:instrText xml:space="preserve"> ADDIN ZOTERO_ITEM CSL_CITATION {"citationID":"Y95feFOC","properties":{"formattedCitation":"(Gholap &amp; Kushwah, 2015)","plainCitation":"(Gholap &amp; Kushwah, 2015)","noteIndex":0},"citationItems":[{"id":1158,"uris":["http://zotero.org/users/local/r5hsUw1O/items/FIDZQLM4"],"itemData":{"id":1158,"type":"article-journal","abstract":"Boom sprayers are the hydraulic equipment in which sprayers move the liquid to the individual nozzles along the boom and generally used for application of pesticides on field crops such as cotton, soybean etc. Two 12 meter tractor operated boom type field sprayers of the ASPEE make one of the existing design and other of new design (developed) having similar specifications were selected for the study. The necessary set up was built up in the laboratory and said sprayers were evaluated for their performance for the parameters such as liquid distribution, flow rate of the pump, pressure and discharge of nozzles and droplet deposition on the leaves of cotton plant. Comparative performance showed that the liquid distribution under the developed boom sprayer improved, the mean discharge and pressure of developed boom sprayer increased by 49 per cent and 184.4 per cent, respectively. The discharge and pressure of the developed boom sprayer was nearly uniform in all nozzles, droplet size (VMD), droplet density (DD) and uniformity co-efficient (UC) for the existing sprayer ranged from 130.9 to 206.39 µm, 11 to 27 drops/cm2 and 1.18 to 1.31, whereas for developed sprayer it was ranged from 155.44 to 181.55 µm, 17 to 29 drops/ cm2 and 0.99 to 1.23, respectively.","container-title":"INTERNATIONAL JOURNAL OF AGRICULTURAL ENGINEERING","DOI":"10.15740/HAS/IJAE/8.1/85-91","ISSN":"09742662, 09767223","issue":"1","journalAbbreviation":"IJAE","language":"en","page":"85-91","source":"DOI.org (Crossref)","title":"Comparative performance of tractor operated boom type field sprayers on cotton crop","volume":"8","author":[{"family":"Gholap","given":"Babasaheb"},{"family":"Kushwah","given":"Omkar Singh"}],"issued":{"date-parts":[["2015",4,15]]}}}],"schema":"https://github.com/citation-style-language/schema/raw/master/csl-citation.json"} </w:instrText>
      </w:r>
      <w:r w:rsidRPr="00EC21FB">
        <w:rPr>
          <w:rFonts w:ascii="Arial" w:hAnsi="Arial" w:cs="Arial"/>
        </w:rPr>
        <w:fldChar w:fldCharType="separate"/>
      </w:r>
      <w:r w:rsidRPr="00EC21FB">
        <w:rPr>
          <w:rFonts w:ascii="Arial" w:hAnsi="Arial" w:cs="Arial"/>
        </w:rPr>
        <w:t>(Gholap &amp; Kushwah, 2015)</w:t>
      </w:r>
      <w:r w:rsidRPr="00EC21FB">
        <w:rPr>
          <w:rFonts w:ascii="Arial" w:hAnsi="Arial" w:cs="Arial"/>
        </w:rPr>
        <w:fldChar w:fldCharType="end"/>
      </w:r>
      <w:r w:rsidRPr="00EC21FB">
        <w:rPr>
          <w:rFonts w:ascii="Arial" w:hAnsi="Arial" w:cs="Arial"/>
        </w:rPr>
        <w:t xml:space="preserve">. Power to operate the sprayer’s pump is typically taken from the tractor’s Power Take-Off (PTO) shaft, enabling consistent operating pressure and uniform spray distribution. Compared to manual and motorized knapsack sprayers, boom sprayers significantly increase field capacity (up to 1–2 ha/hr), reduce labor and chemical costs, and improve precision in application </w:t>
      </w:r>
      <w:r w:rsidRPr="00EC21FB">
        <w:rPr>
          <w:rFonts w:ascii="Arial" w:hAnsi="Arial" w:cs="Arial"/>
        </w:rPr>
        <w:fldChar w:fldCharType="begin"/>
      </w:r>
      <w:r w:rsidRPr="00EC21FB">
        <w:rPr>
          <w:rFonts w:ascii="Arial" w:hAnsi="Arial" w:cs="Arial"/>
        </w:rPr>
        <w:instrText xml:space="preserve"> ADDIN ZOTERO_ITEM CSL_CITATION {"citationID":"i153yRT2","properties":{"formattedCitation":"(Lal et al., 2024)","plainCitation":"(Lal et al., 2024)","noteIndex":0},"citationItems":[{"id":1175,"uris":["http://zotero.org/users/local/r5hsUw1O/items/R85CPJZQ"],"itemData":{"id":1175,"type":"article-journal","container-title":"Journal of Scientific Research and Reports","DOI":"10.9734/jsrr/2024/v30i92409","ISSN":"2320-0227","issue":"9","language":"en","page":"825-836","source":"journaljsrr.com","title":"Empowering Vegetable Farmers: Energy Analysis and Evaluating the Impact of a Battery-operated Boom Sprayer","title-short":"Empowering Vegetable Farmers","volume":"30","author":[{"family":"Lal","given":"Shankar"},{"family":"Meena","given":"S. S."},{"family":"Koumary","given":"Nitin Kumar"},{"family":"Lahre","given":"J."},{"family":"Adile","given":"Surjeet Singh"}],"issued":{"date-parts":[["2024",9,5]]}}}],"schema":"https://github.com/citation-style-language/schema/raw/master/csl-citation.json"} </w:instrText>
      </w:r>
      <w:r w:rsidRPr="00EC21FB">
        <w:rPr>
          <w:rFonts w:ascii="Arial" w:hAnsi="Arial" w:cs="Arial"/>
        </w:rPr>
        <w:fldChar w:fldCharType="separate"/>
      </w:r>
      <w:r w:rsidRPr="00EC21FB">
        <w:rPr>
          <w:rFonts w:ascii="Arial" w:hAnsi="Arial" w:cs="Arial"/>
        </w:rPr>
        <w:t>(Lal et al., 2024)</w:t>
      </w:r>
      <w:r w:rsidRPr="00EC21FB">
        <w:rPr>
          <w:rFonts w:ascii="Arial" w:hAnsi="Arial" w:cs="Arial"/>
        </w:rPr>
        <w:fldChar w:fldCharType="end"/>
      </w:r>
      <w:r w:rsidRPr="00EC21FB">
        <w:rPr>
          <w:rFonts w:ascii="Arial" w:hAnsi="Arial" w:cs="Arial"/>
        </w:rPr>
        <w:t>.</w:t>
      </w:r>
    </w:p>
    <w:p w14:paraId="008D6BC9" w14:textId="77777777" w:rsidR="00EC21FB" w:rsidRPr="00EC21FB" w:rsidRDefault="00EC21FB" w:rsidP="00EC21FB">
      <w:pPr>
        <w:pStyle w:val="Body"/>
        <w:rPr>
          <w:rFonts w:ascii="Arial" w:hAnsi="Arial" w:cs="Arial"/>
        </w:rPr>
      </w:pPr>
      <w:r w:rsidRPr="00EC21FB">
        <w:rPr>
          <w:rFonts w:ascii="Arial" w:hAnsi="Arial" w:cs="Arial"/>
        </w:rPr>
        <w:t xml:space="preserve">The performance of a boom sprayer, however, depends on multiple interrelated factors such as nozzle type, spray pressure, boom height, forward speed, and droplet size. Previous studies have shown that nozzle discharge characteristics and spray distribution directly influence canopy coverage, drift potential, and overall pesticide use efficiency </w:t>
      </w:r>
      <w:r w:rsidRPr="00EC21FB">
        <w:rPr>
          <w:rFonts w:ascii="Arial" w:hAnsi="Arial" w:cs="Arial"/>
        </w:rPr>
        <w:fldChar w:fldCharType="begin"/>
      </w:r>
      <w:r w:rsidRPr="00EC21FB">
        <w:rPr>
          <w:rFonts w:ascii="Arial" w:hAnsi="Arial" w:cs="Arial"/>
        </w:rPr>
        <w:instrText xml:space="preserve"> ADDIN ZOTERO_ITEM CSL_CITATION {"citationID":"ABOQP2LQ","properties":{"formattedCitation":"(Pan et al., 2025; Pramod et al., 2023)","plainCitation":"(Pan et al., 2025; Pramod et al., 2023)","noteIndex":0},"citationItems":[{"id":1161,"uris":["http://zotero.org/users/local/r5hsUw1O/items/G4WLAFB4"],"itemData":{"id":1161,"type":"article-journal","abstract":"In the Huang-Huai-Hai region of China, the instability of electric boom sprayers has prompted many farmers to raise the boom height to improve clearance. However, the drift risks associated with these conditions remain poorly assessed. This study investigated two key factors influencing drift: boom height and nozzle type. The standard LI CHENG VP11003 nozzle was compared to the Teejet XR11003 nozzle, and droplet size and velocity were measured at various boom heights. The results showed that, at the same boom height, the LI CHENG nozzle produced droplets with an average D[V, 0.5] 14.6 µm larger (8.13%), an average velocity 0.53 m/s lower (29.26%), and a relative span (RS) value 0.05 higher (4.52%) compared to the Teejet nozzle. Drift tests were performed under field conditions using a spray drift test bench. The results showed that the total drift amount per unit area (TDA) for the LI CHENG nozzle showed minimal variation at boom heights of 0.4–0.6 m (Stage 1), 0.7–0.9 m (Stage 2), and 1.0–1.2 m (Stage 3). The drift potential of the LI CHENG VP11003 nozzle increased by 136.62% in Stage 2 and 282.69% in Stage 3, relative to Stage 1. Similarly, the Teejet XR11003 nozzle showed increases of 30.52% and 165.51% in Stages 2 and 3, respectively. The results showed that the LICHENG nozzle, which is the standard equipment on the sprayer, can only be used to moderately increase the boom height to improve the sprayer’s clearance within the range of the first stage. When the boom height exceeds this range, the drift risk becomes too high. This study provides meaningful insights into enhancing drift control and developing application strategies for growers.","container-title":"Agronomy","DOI":"10.3390/agronomy15010160","ISSN":"2073-4395","issue":"1","language":"en","license":"http://creativecommons.org/licenses/by/3.0/","note":"publisher: Multidisciplinary Digital Publishing Institute","page":"160","source":"www.mdpi.com","title":"Evaluation of Spray Drift from an Electric Boom Sprayer: Impact of Boom Height and Nozzle Type","title-short":"Evaluation of Spray Drift from an Electric Boom Sprayer","volume":"15","author":[{"family":"Pan","given":"Xiaoyong"},{"family":"Yang","given":"Shuo"},{"family":"Gao","given":"Yuanyuan"},{"family":"Wang","given":"Zhichong"},{"family":"Zhai","given":"Changyuan"},{"family":"Qiu","given":"Wei"}],"issued":{"date-parts":[["2025",1]]}}},{"id":1165,"uris":["http://zotero.org/users/local/r5hsUw1O/items/MPMSYEAB"],"itemData":{"id":1165,"type":"article-journal","abstract":"Chilli (Capsicum annuum L.) is an important vegetable and spice crop belongs to Solanaceae family which grown all over the world. Dried pods contain 36 gms of carbohydrates, 18 gms of proteins, and excellent source of vitamin A and vitamin C which together provide roughly 160 calories of energy per 100 gms (Narayanan et al., 1999). Area, production and productivity of Chilli in India was 7.43 Lakh ha, 19.14 Lakh Tonnes and 2576 kg/ha, respectively (Anonymous, 2018). Keeping in mind, above parameters the performance of tractor operated boom sprayer was tested on Chilly crop. Under laboratory conditions, the designed boom sprayer performed excellently at 0.90 l/min nozzle discharge and 689.5 kPa operating pressure. It was observed that droplet size, spray uniformity, and droplet density was influenced by the nozzle discharge rate and pressure of 0.45, 0.70, 0.90, and 1.35 l/min and 275.8, 413.7, 551.6, and 689.5 kPa, respectively. The Volume Median Daimater (VMD), Uniformity Coefficient (UC) and Droplet Density (DD) of the existing boom sprayer have 130.9-206.36 µm, 0.98-1.39 and 11-27 number of droplets/cm2, respectively, for nozzle 0.9 lpm and pressure 689.5 kPa. The modified sprayer has droplet sizes between 125.04 and 181.42 m, droplet densities between 16 and 27 number of droplets/cm2, and uniformity coefficients between 0.99 and 1.25 at nozzle discharges of 0.90 l/min. With the 689.5 kPa working pressure and 0.90 l/min nozzle discharge, the designed boom sprayer offers notably higher discharge and nozzle pressure in each individual nozzle than the existing sprayer.","container-title":"Environment Conservation Journal","DOI":"10.36953/ECJ.13582406","ISSN":"2278-5124, 0972-3099","issue":"2","journalAbbreviation":"ECJ","language":"en","license":"https://creativecommons.org/licenses/by-nc/4.0","page":"61-69","source":"DOI.org (Crossref)","title":"Performance evaluation of tractor mounted boom sprayer on chilly crop","volume":"24","author":[{"family":"Pramod","given":"Pawase Pranav"},{"family":"Raosaheb","given":"Gatkal Narayan"},{"family":"Kashinath","given":"Khurdal Jagdish"},{"family":"Madhukar","given":"Nalawade Sachin"}],"issued":{"date-parts":[["2023",3,9]]}}}],"schema":"https://github.com/citation-style-language/schema/raw/master/csl-citation.json"} </w:instrText>
      </w:r>
      <w:r w:rsidRPr="00EC21FB">
        <w:rPr>
          <w:rFonts w:ascii="Arial" w:hAnsi="Arial" w:cs="Arial"/>
        </w:rPr>
        <w:fldChar w:fldCharType="separate"/>
      </w:r>
      <w:r w:rsidRPr="00EC21FB">
        <w:rPr>
          <w:rFonts w:ascii="Arial" w:hAnsi="Arial" w:cs="Arial"/>
        </w:rPr>
        <w:t>(Pan et al., 2025; Pramod et al., 2023)</w:t>
      </w:r>
      <w:r w:rsidRPr="00EC21FB">
        <w:rPr>
          <w:rFonts w:ascii="Arial" w:hAnsi="Arial" w:cs="Arial"/>
        </w:rPr>
        <w:fldChar w:fldCharType="end"/>
      </w:r>
      <w:r w:rsidRPr="00EC21FB">
        <w:rPr>
          <w:rFonts w:ascii="Arial" w:hAnsi="Arial" w:cs="Arial"/>
        </w:rPr>
        <w:t>. Uniform spray deposition not only maximizes crop protection but also minimizes chemical wastage and reduces environmental pollution. Evaluating the field performance of boom sprayers under specific crop and regional conditions is therefore necessary to ensure their adaptability and cost-effectiveness for farmers.</w:t>
      </w:r>
    </w:p>
    <w:p w14:paraId="4C6CAC53" w14:textId="77777777" w:rsidR="00EC21FB" w:rsidRPr="00EC21FB" w:rsidRDefault="00EC21FB" w:rsidP="00EC21FB">
      <w:pPr>
        <w:pStyle w:val="Body"/>
        <w:rPr>
          <w:rFonts w:ascii="Arial" w:hAnsi="Arial" w:cs="Arial"/>
        </w:rPr>
      </w:pPr>
      <w:r w:rsidRPr="00EC21FB">
        <w:rPr>
          <w:rFonts w:ascii="Arial" w:hAnsi="Arial" w:cs="Arial"/>
        </w:rPr>
        <w:t>Considering all these points, the study was taken to evaluate the performance of the widely available tractor operated boom type sprayer. The study aims to evaluate the operational efficiency, spray uniformity, and cost economics of a tractor-operated boom sprayer procured and tested for tomato crop under varying field conditions in Parbhani, India. The detailed objectives of the study were:</w:t>
      </w:r>
    </w:p>
    <w:p w14:paraId="001BCFBD"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evaluate the field performance of a tractor-operated boom sprayer on tomato crop.</w:t>
      </w:r>
    </w:p>
    <w:p w14:paraId="45FD2D99"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assess the uniformity and adequacy of chemical application under laboratory and field conditions.</w:t>
      </w:r>
    </w:p>
    <w:p w14:paraId="1CCB194F"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analyze the operational cost and fuel consumption of the sprayer for economic feasibility.</w:t>
      </w:r>
    </w:p>
    <w:p w14:paraId="5F8DB853" w14:textId="77777777" w:rsidR="00EC21FB" w:rsidRDefault="00EC21FB" w:rsidP="00441B6F">
      <w:pPr>
        <w:pStyle w:val="Body"/>
        <w:spacing w:after="0"/>
        <w:rPr>
          <w:rFonts w:ascii="Arial" w:hAnsi="Arial" w:cs="Arial"/>
        </w:rPr>
      </w:pPr>
    </w:p>
    <w:p w14:paraId="13E1AE0D" w14:textId="5DF2334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3DED9E0" w14:textId="77777777" w:rsidR="00790ADA" w:rsidRPr="00FB3A86" w:rsidRDefault="00790ADA" w:rsidP="00441B6F">
      <w:pPr>
        <w:pStyle w:val="AbstHead"/>
        <w:spacing w:after="0"/>
        <w:jc w:val="both"/>
        <w:rPr>
          <w:rFonts w:ascii="Arial" w:hAnsi="Arial" w:cs="Arial"/>
        </w:rPr>
      </w:pPr>
    </w:p>
    <w:p w14:paraId="0515BBB1" w14:textId="1BDE36FA" w:rsidR="00EC21FB" w:rsidRDefault="00EC21FB" w:rsidP="00441B6F">
      <w:pPr>
        <w:pStyle w:val="Body"/>
        <w:spacing w:after="0"/>
        <w:rPr>
          <w:rFonts w:ascii="Arial" w:hAnsi="Arial" w:cs="Arial"/>
        </w:rPr>
      </w:pPr>
      <w:r w:rsidRPr="00EC21FB">
        <w:rPr>
          <w:rFonts w:ascii="Arial" w:hAnsi="Arial" w:cs="Arial"/>
        </w:rPr>
        <w:t>This study was conducted to evaluate the technical performance, spray characteristics, and cost economics of a tractor-operated boom sprayer. The methodology included laboratory calibration, field trials on tomato crops, and cost analysis based on standard procedures.</w:t>
      </w:r>
    </w:p>
    <w:p w14:paraId="78F626D2" w14:textId="77777777" w:rsidR="00EC21FB" w:rsidRDefault="00EC21FB" w:rsidP="00441B6F">
      <w:pPr>
        <w:pStyle w:val="Body"/>
        <w:spacing w:after="0"/>
        <w:rPr>
          <w:rFonts w:ascii="Arial" w:hAnsi="Arial" w:cs="Arial"/>
        </w:rPr>
      </w:pPr>
    </w:p>
    <w:p w14:paraId="3B7FC86A" w14:textId="5573C6C5" w:rsidR="00AA74E0" w:rsidRDefault="00AA74E0" w:rsidP="00441B6F">
      <w:pPr>
        <w:pStyle w:val="Body"/>
        <w:spacing w:after="0"/>
        <w:rPr>
          <w:rFonts w:ascii="Arial" w:hAnsi="Arial" w:cs="Arial"/>
        </w:rPr>
      </w:pPr>
      <w:r w:rsidRPr="00C30A0F">
        <w:rPr>
          <w:rFonts w:ascii="Arial" w:hAnsi="Arial" w:cs="Arial"/>
          <w:b/>
          <w:caps/>
          <w:sz w:val="22"/>
        </w:rPr>
        <w:t xml:space="preserve">2.1 </w:t>
      </w:r>
      <w:r w:rsidR="00EC21FB" w:rsidRPr="00EC21FB">
        <w:rPr>
          <w:rFonts w:ascii="Arial" w:hAnsi="Arial" w:cs="Arial"/>
          <w:b/>
          <w:bCs/>
          <w:sz w:val="22"/>
        </w:rPr>
        <w:t>Experimental Site</w:t>
      </w:r>
    </w:p>
    <w:p w14:paraId="77CCCDB8" w14:textId="77777777" w:rsidR="00EC21FB" w:rsidRDefault="00EC21FB" w:rsidP="00441B6F">
      <w:pPr>
        <w:pStyle w:val="Body"/>
        <w:spacing w:after="0"/>
        <w:rPr>
          <w:rFonts w:ascii="Arial" w:hAnsi="Arial" w:cs="Arial"/>
        </w:rPr>
      </w:pPr>
    </w:p>
    <w:p w14:paraId="4D745D10" w14:textId="77777777" w:rsidR="00EC21FB" w:rsidRPr="00EC21FB" w:rsidRDefault="00EC21FB" w:rsidP="00EC21FB">
      <w:pPr>
        <w:pStyle w:val="Body"/>
        <w:spacing w:after="0"/>
        <w:rPr>
          <w:rFonts w:ascii="Arial" w:hAnsi="Arial" w:cs="Arial"/>
          <w:b/>
          <w:bCs/>
        </w:rPr>
      </w:pPr>
      <w:r w:rsidRPr="00EC21FB">
        <w:rPr>
          <w:rFonts w:ascii="Arial" w:hAnsi="Arial" w:cs="Arial"/>
        </w:rPr>
        <w:t>The field evaluation was carried out at the Vegetable Farm, College of Agricultural Engineering &amp; Technology (CAET), VNMKV, Parbhani (Maharashtra, India). The experimental plot size was 40 m × 50 m (0.2 ha).</w:t>
      </w:r>
      <w:r w:rsidRPr="00EC21FB">
        <w:rPr>
          <w:rFonts w:ascii="Arial" w:hAnsi="Arial" w:cs="Arial"/>
          <w:b/>
          <w:bCs/>
        </w:rPr>
        <w:t xml:space="preserve"> </w:t>
      </w:r>
      <w:r w:rsidRPr="00EC21FB">
        <w:rPr>
          <w:rFonts w:ascii="Arial" w:hAnsi="Arial" w:cs="Arial"/>
        </w:rPr>
        <w:t>The farm soil was Black cotton soil, clayey in texture medium, weak subangular blocky to medium, strong, angular blocky in structure with moderate fertility, and tomato (</w:t>
      </w:r>
      <w:r w:rsidRPr="00EC21FB">
        <w:rPr>
          <w:rFonts w:ascii="Arial" w:hAnsi="Arial" w:cs="Arial"/>
          <w:i/>
          <w:iCs/>
        </w:rPr>
        <w:t>Solanum lycopersicum</w:t>
      </w:r>
      <w:r w:rsidRPr="00EC21FB">
        <w:rPr>
          <w:rFonts w:ascii="Arial" w:hAnsi="Arial" w:cs="Arial"/>
        </w:rPr>
        <w:t>) was selected as the test crop. The crop was planted under plastic mulch with a row-to-row spacing of 1.5 m and plant-to-plant spacing of 0.5 m. The average plant height at the time of testing was approximately 0.4 - 0.60 m, with an average canopy width of 0.6 m. Weather parameters such as temperature, relative humidity, and wind speed were recorded during the trials.</w:t>
      </w:r>
    </w:p>
    <w:p w14:paraId="30385C42" w14:textId="77777777" w:rsidR="00505F06" w:rsidRDefault="00505F06" w:rsidP="00441B6F">
      <w:pPr>
        <w:pStyle w:val="Body"/>
        <w:spacing w:after="0"/>
        <w:rPr>
          <w:rFonts w:ascii="Arial" w:hAnsi="Arial" w:cs="Arial"/>
        </w:rPr>
      </w:pPr>
    </w:p>
    <w:p w14:paraId="0DD90777" w14:textId="18E47081" w:rsidR="00EC21FB" w:rsidRPr="00EC21FB" w:rsidRDefault="00EC21FB" w:rsidP="00441B6F">
      <w:pPr>
        <w:pStyle w:val="Body"/>
        <w:spacing w:after="0"/>
        <w:rPr>
          <w:rFonts w:ascii="Arial" w:hAnsi="Arial" w:cs="Arial"/>
          <w:b/>
          <w:bCs/>
          <w:sz w:val="22"/>
          <w:szCs w:val="22"/>
        </w:rPr>
      </w:pPr>
      <w:r>
        <w:rPr>
          <w:rFonts w:ascii="Arial" w:hAnsi="Arial" w:cs="Arial"/>
          <w:b/>
          <w:bCs/>
          <w:sz w:val="22"/>
          <w:szCs w:val="22"/>
        </w:rPr>
        <w:t xml:space="preserve">2.2 </w:t>
      </w:r>
      <w:r w:rsidRPr="00EC21FB">
        <w:rPr>
          <w:rFonts w:ascii="Arial" w:hAnsi="Arial" w:cs="Arial"/>
          <w:b/>
          <w:bCs/>
          <w:sz w:val="22"/>
          <w:szCs w:val="22"/>
        </w:rPr>
        <w:t>Sprayer Specifications</w:t>
      </w:r>
    </w:p>
    <w:p w14:paraId="4997834C" w14:textId="77777777" w:rsidR="00EC21FB" w:rsidRDefault="00EC21FB" w:rsidP="00441B6F">
      <w:pPr>
        <w:pStyle w:val="Body"/>
        <w:spacing w:after="0"/>
        <w:rPr>
          <w:rFonts w:ascii="Arial" w:hAnsi="Arial" w:cs="Arial"/>
          <w:b/>
          <w:bCs/>
        </w:rPr>
      </w:pPr>
    </w:p>
    <w:p w14:paraId="78AE9A4D" w14:textId="46721591" w:rsidR="00EC21FB" w:rsidRDefault="00EC21FB" w:rsidP="00441B6F">
      <w:pPr>
        <w:pStyle w:val="Body"/>
        <w:spacing w:after="0"/>
        <w:rPr>
          <w:rFonts w:ascii="Arial" w:hAnsi="Arial" w:cs="Arial"/>
        </w:rPr>
      </w:pPr>
      <w:r w:rsidRPr="00EC21FB">
        <w:rPr>
          <w:rFonts w:ascii="Arial" w:hAnsi="Arial" w:cs="Arial"/>
        </w:rPr>
        <w:lastRenderedPageBreak/>
        <w:t>The boom sprayer consisted of a stainless steel (304 grade) boom, mounted on a fabricated frame, equipped with multiple hydraulic nozzles, a chemical tank, pump, and pressure control system. The detailed specifications are represented in Table 1.</w:t>
      </w:r>
    </w:p>
    <w:p w14:paraId="197DECFA" w14:textId="77777777" w:rsidR="00EC21FB" w:rsidRDefault="00EC21FB" w:rsidP="00441B6F">
      <w:pPr>
        <w:pStyle w:val="Body"/>
        <w:spacing w:after="0"/>
        <w:rPr>
          <w:rFonts w:ascii="Arial" w:hAnsi="Arial" w:cs="Arial"/>
        </w:rPr>
      </w:pPr>
    </w:p>
    <w:p w14:paraId="702340C6" w14:textId="77777777" w:rsidR="00EC21FB" w:rsidRPr="00EC21FB" w:rsidRDefault="00EC21FB" w:rsidP="00EC21FB">
      <w:pPr>
        <w:pStyle w:val="Body"/>
        <w:rPr>
          <w:rFonts w:ascii="Arial" w:hAnsi="Arial" w:cs="Arial"/>
          <w:b/>
          <w:bCs/>
        </w:rPr>
      </w:pPr>
      <w:r w:rsidRPr="00EC21FB">
        <w:rPr>
          <w:rFonts w:ascii="Arial" w:hAnsi="Arial" w:cs="Arial"/>
          <w:b/>
          <w:bCs/>
        </w:rPr>
        <w:t>Table 1:  Specification of Tractor Mounted Boom sprayer</w:t>
      </w:r>
    </w:p>
    <w:tbl>
      <w:tblPr>
        <w:tblStyle w:val="TableGrid"/>
        <w:tblW w:w="0" w:type="auto"/>
        <w:tblLook w:val="04A0" w:firstRow="1" w:lastRow="0" w:firstColumn="1" w:lastColumn="0" w:noHBand="0" w:noVBand="1"/>
      </w:tblPr>
      <w:tblGrid>
        <w:gridCol w:w="841"/>
        <w:gridCol w:w="3450"/>
        <w:gridCol w:w="4133"/>
      </w:tblGrid>
      <w:tr w:rsidR="0081557C" w:rsidRPr="0081557C" w14:paraId="5786F7B9" w14:textId="77777777" w:rsidTr="0081557C">
        <w:trPr>
          <w:trHeight w:val="20"/>
        </w:trPr>
        <w:tc>
          <w:tcPr>
            <w:tcW w:w="895" w:type="dxa"/>
          </w:tcPr>
          <w:p w14:paraId="2D0C53DE"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 No.</w:t>
            </w:r>
          </w:p>
        </w:tc>
        <w:tc>
          <w:tcPr>
            <w:tcW w:w="3870" w:type="dxa"/>
          </w:tcPr>
          <w:p w14:paraId="4CFA2AF6"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Parts Name</w:t>
            </w:r>
          </w:p>
        </w:tc>
        <w:tc>
          <w:tcPr>
            <w:tcW w:w="4585" w:type="dxa"/>
          </w:tcPr>
          <w:p w14:paraId="344F0BDD"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Specification</w:t>
            </w:r>
          </w:p>
        </w:tc>
      </w:tr>
      <w:tr w:rsidR="0081557C" w:rsidRPr="0081557C" w14:paraId="46A390EC" w14:textId="77777777" w:rsidTr="0081557C">
        <w:trPr>
          <w:trHeight w:val="20"/>
        </w:trPr>
        <w:tc>
          <w:tcPr>
            <w:tcW w:w="895" w:type="dxa"/>
          </w:tcPr>
          <w:p w14:paraId="6FDA5742"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6528420"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Boom</w:t>
            </w:r>
          </w:p>
        </w:tc>
      </w:tr>
      <w:tr w:rsidR="0081557C" w:rsidRPr="0081557C" w14:paraId="3D6391C9" w14:textId="77777777" w:rsidTr="0081557C">
        <w:trPr>
          <w:trHeight w:val="20"/>
        </w:trPr>
        <w:tc>
          <w:tcPr>
            <w:tcW w:w="895" w:type="dxa"/>
          </w:tcPr>
          <w:p w14:paraId="0BFB8AA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C02BEC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Material</w:t>
            </w:r>
          </w:p>
        </w:tc>
        <w:tc>
          <w:tcPr>
            <w:tcW w:w="4585" w:type="dxa"/>
          </w:tcPr>
          <w:p w14:paraId="205D7B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Cast iron</w:t>
            </w:r>
          </w:p>
        </w:tc>
      </w:tr>
      <w:tr w:rsidR="0081557C" w:rsidRPr="0081557C" w14:paraId="4E6B5B50" w14:textId="77777777" w:rsidTr="0081557C">
        <w:trPr>
          <w:trHeight w:val="20"/>
        </w:trPr>
        <w:tc>
          <w:tcPr>
            <w:tcW w:w="895" w:type="dxa"/>
          </w:tcPr>
          <w:p w14:paraId="2FDCA0D7"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E132342"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7F3C7BEE"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Foldable</w:t>
            </w:r>
          </w:p>
        </w:tc>
      </w:tr>
      <w:tr w:rsidR="0081557C" w:rsidRPr="0081557C" w14:paraId="666ABACE" w14:textId="77777777" w:rsidTr="0081557C">
        <w:trPr>
          <w:trHeight w:val="20"/>
        </w:trPr>
        <w:tc>
          <w:tcPr>
            <w:tcW w:w="895" w:type="dxa"/>
          </w:tcPr>
          <w:p w14:paraId="079ADDAA"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B366E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Boom length</w:t>
            </w:r>
          </w:p>
        </w:tc>
        <w:tc>
          <w:tcPr>
            <w:tcW w:w="4585" w:type="dxa"/>
          </w:tcPr>
          <w:p w14:paraId="52461A4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518 cm</w:t>
            </w:r>
          </w:p>
        </w:tc>
      </w:tr>
      <w:tr w:rsidR="0081557C" w:rsidRPr="0081557C" w14:paraId="785B04E3" w14:textId="77777777" w:rsidTr="0081557C">
        <w:trPr>
          <w:trHeight w:val="20"/>
        </w:trPr>
        <w:tc>
          <w:tcPr>
            <w:tcW w:w="895" w:type="dxa"/>
          </w:tcPr>
          <w:p w14:paraId="278D66B3"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6A9B02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Boom height</w:t>
            </w:r>
          </w:p>
        </w:tc>
        <w:tc>
          <w:tcPr>
            <w:tcW w:w="4585" w:type="dxa"/>
          </w:tcPr>
          <w:p w14:paraId="66D79A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Adjustable (20-210 cm), interval - 10 cm</w:t>
            </w:r>
          </w:p>
        </w:tc>
      </w:tr>
      <w:tr w:rsidR="0081557C" w:rsidRPr="0081557C" w14:paraId="50CFACDA" w14:textId="77777777" w:rsidTr="0081557C">
        <w:trPr>
          <w:trHeight w:val="20"/>
        </w:trPr>
        <w:tc>
          <w:tcPr>
            <w:tcW w:w="895" w:type="dxa"/>
          </w:tcPr>
          <w:p w14:paraId="56D764CF"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0434C37"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Tank</w:t>
            </w:r>
          </w:p>
        </w:tc>
      </w:tr>
      <w:tr w:rsidR="0081557C" w:rsidRPr="0081557C" w14:paraId="56115DD3" w14:textId="77777777" w:rsidTr="0081557C">
        <w:trPr>
          <w:trHeight w:val="20"/>
        </w:trPr>
        <w:tc>
          <w:tcPr>
            <w:tcW w:w="895" w:type="dxa"/>
          </w:tcPr>
          <w:p w14:paraId="4A26FCF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4C44EED"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Shape</w:t>
            </w:r>
          </w:p>
        </w:tc>
        <w:tc>
          <w:tcPr>
            <w:tcW w:w="4585" w:type="dxa"/>
          </w:tcPr>
          <w:p w14:paraId="0A14ABD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Cylindrical</w:t>
            </w:r>
          </w:p>
        </w:tc>
      </w:tr>
      <w:tr w:rsidR="0081557C" w:rsidRPr="0081557C" w14:paraId="18A6904D" w14:textId="77777777" w:rsidTr="0081557C">
        <w:trPr>
          <w:trHeight w:val="20"/>
        </w:trPr>
        <w:tc>
          <w:tcPr>
            <w:tcW w:w="895" w:type="dxa"/>
          </w:tcPr>
          <w:p w14:paraId="7349581E"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FC6696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Capacity</w:t>
            </w:r>
          </w:p>
        </w:tc>
        <w:tc>
          <w:tcPr>
            <w:tcW w:w="4585" w:type="dxa"/>
          </w:tcPr>
          <w:p w14:paraId="59C5E9C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200 liters</w:t>
            </w:r>
          </w:p>
        </w:tc>
      </w:tr>
      <w:tr w:rsidR="0081557C" w:rsidRPr="0081557C" w14:paraId="63A66D84" w14:textId="77777777" w:rsidTr="0081557C">
        <w:trPr>
          <w:trHeight w:val="20"/>
        </w:trPr>
        <w:tc>
          <w:tcPr>
            <w:tcW w:w="895" w:type="dxa"/>
          </w:tcPr>
          <w:p w14:paraId="48FA8A00"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E8D0C6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Length</w:t>
            </w:r>
          </w:p>
        </w:tc>
        <w:tc>
          <w:tcPr>
            <w:tcW w:w="4585" w:type="dxa"/>
          </w:tcPr>
          <w:p w14:paraId="14217C3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890 mm</w:t>
            </w:r>
          </w:p>
        </w:tc>
      </w:tr>
      <w:tr w:rsidR="0081557C" w:rsidRPr="0081557C" w14:paraId="4FD34961" w14:textId="77777777" w:rsidTr="0081557C">
        <w:trPr>
          <w:trHeight w:val="20"/>
        </w:trPr>
        <w:tc>
          <w:tcPr>
            <w:tcW w:w="895" w:type="dxa"/>
          </w:tcPr>
          <w:p w14:paraId="02C45B9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1FB56C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Outer diameter</w:t>
            </w:r>
          </w:p>
        </w:tc>
        <w:tc>
          <w:tcPr>
            <w:tcW w:w="4585" w:type="dxa"/>
          </w:tcPr>
          <w:p w14:paraId="623CC15F"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 xml:space="preserve">600 mm </w:t>
            </w:r>
          </w:p>
        </w:tc>
      </w:tr>
      <w:tr w:rsidR="0081557C" w:rsidRPr="0081557C" w14:paraId="3A3DA80C" w14:textId="77777777" w:rsidTr="0081557C">
        <w:trPr>
          <w:trHeight w:val="20"/>
        </w:trPr>
        <w:tc>
          <w:tcPr>
            <w:tcW w:w="895" w:type="dxa"/>
          </w:tcPr>
          <w:p w14:paraId="77B2EF58"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694EC65"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Main Frame</w:t>
            </w:r>
          </w:p>
        </w:tc>
      </w:tr>
      <w:tr w:rsidR="0081557C" w:rsidRPr="0081557C" w14:paraId="64BD988C" w14:textId="77777777" w:rsidTr="0081557C">
        <w:trPr>
          <w:trHeight w:val="20"/>
        </w:trPr>
        <w:tc>
          <w:tcPr>
            <w:tcW w:w="895" w:type="dxa"/>
          </w:tcPr>
          <w:p w14:paraId="6A64A787"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7BD7B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Material</w:t>
            </w:r>
          </w:p>
        </w:tc>
        <w:tc>
          <w:tcPr>
            <w:tcW w:w="4585" w:type="dxa"/>
          </w:tcPr>
          <w:p w14:paraId="540F29A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Cast iron, L angle Shape</w:t>
            </w:r>
          </w:p>
        </w:tc>
      </w:tr>
      <w:tr w:rsidR="0081557C" w:rsidRPr="0081557C" w14:paraId="5201166F" w14:textId="77777777" w:rsidTr="0081557C">
        <w:trPr>
          <w:trHeight w:val="20"/>
        </w:trPr>
        <w:tc>
          <w:tcPr>
            <w:tcW w:w="895" w:type="dxa"/>
          </w:tcPr>
          <w:p w14:paraId="58922B7E"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A9B6B8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Size (L×W×H)</w:t>
            </w:r>
          </w:p>
        </w:tc>
        <w:tc>
          <w:tcPr>
            <w:tcW w:w="4585" w:type="dxa"/>
          </w:tcPr>
          <w:p w14:paraId="3779AD7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650×300×1420, mm</w:t>
            </w:r>
          </w:p>
        </w:tc>
      </w:tr>
      <w:tr w:rsidR="0081557C" w:rsidRPr="0081557C" w14:paraId="3681147C" w14:textId="77777777" w:rsidTr="0081557C">
        <w:trPr>
          <w:trHeight w:val="20"/>
        </w:trPr>
        <w:tc>
          <w:tcPr>
            <w:tcW w:w="895" w:type="dxa"/>
          </w:tcPr>
          <w:p w14:paraId="0EC6767F" w14:textId="77777777" w:rsidR="0081557C" w:rsidRPr="0081557C" w:rsidRDefault="0081557C" w:rsidP="0081557C">
            <w:pPr>
              <w:pStyle w:val="Body"/>
              <w:spacing w:after="0"/>
              <w:rPr>
                <w:rFonts w:ascii="Arial" w:eastAsia="Times New Roman" w:hAnsi="Arial" w:cs="Arial"/>
                <w:b/>
                <w:bCs/>
                <w:sz w:val="20"/>
                <w:szCs w:val="20"/>
              </w:rPr>
            </w:pPr>
          </w:p>
        </w:tc>
        <w:tc>
          <w:tcPr>
            <w:tcW w:w="3870" w:type="dxa"/>
          </w:tcPr>
          <w:p w14:paraId="6EBC9544"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Pump</w:t>
            </w:r>
          </w:p>
        </w:tc>
        <w:tc>
          <w:tcPr>
            <w:tcW w:w="4585" w:type="dxa"/>
          </w:tcPr>
          <w:p w14:paraId="53B73535" w14:textId="77777777" w:rsidR="0081557C" w:rsidRPr="0081557C" w:rsidRDefault="0081557C" w:rsidP="0081557C">
            <w:pPr>
              <w:pStyle w:val="Body"/>
              <w:spacing w:after="0"/>
              <w:rPr>
                <w:rFonts w:ascii="Arial" w:eastAsia="Times New Roman" w:hAnsi="Arial" w:cs="Arial"/>
                <w:sz w:val="20"/>
                <w:szCs w:val="20"/>
              </w:rPr>
            </w:pPr>
          </w:p>
        </w:tc>
      </w:tr>
      <w:tr w:rsidR="0081557C" w:rsidRPr="0081557C" w14:paraId="40EB0F9F" w14:textId="77777777" w:rsidTr="0081557C">
        <w:trPr>
          <w:trHeight w:val="20"/>
        </w:trPr>
        <w:tc>
          <w:tcPr>
            <w:tcW w:w="895" w:type="dxa"/>
          </w:tcPr>
          <w:p w14:paraId="10FBB7E9"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23CB177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41504EC7"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Piston pump (HTP)</w:t>
            </w:r>
          </w:p>
        </w:tc>
      </w:tr>
      <w:tr w:rsidR="0081557C" w:rsidRPr="0081557C" w14:paraId="5C6428E0" w14:textId="77777777" w:rsidTr="0081557C">
        <w:trPr>
          <w:trHeight w:val="20"/>
        </w:trPr>
        <w:tc>
          <w:tcPr>
            <w:tcW w:w="895" w:type="dxa"/>
          </w:tcPr>
          <w:p w14:paraId="14C30CBF"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19CCC7E4"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No. of plunger</w:t>
            </w:r>
          </w:p>
        </w:tc>
        <w:tc>
          <w:tcPr>
            <w:tcW w:w="4585" w:type="dxa"/>
          </w:tcPr>
          <w:p w14:paraId="601D3AC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3</w:t>
            </w:r>
          </w:p>
        </w:tc>
      </w:tr>
      <w:tr w:rsidR="0081557C" w:rsidRPr="0081557C" w14:paraId="08C75F6C" w14:textId="77777777" w:rsidTr="0081557C">
        <w:trPr>
          <w:trHeight w:val="20"/>
        </w:trPr>
        <w:tc>
          <w:tcPr>
            <w:tcW w:w="895" w:type="dxa"/>
          </w:tcPr>
          <w:p w14:paraId="0980F1A5"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C2F95F"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Pump revolution</w:t>
            </w:r>
          </w:p>
        </w:tc>
        <w:tc>
          <w:tcPr>
            <w:tcW w:w="4585" w:type="dxa"/>
          </w:tcPr>
          <w:p w14:paraId="7CE56E5A"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800-1000 RPM</w:t>
            </w:r>
          </w:p>
        </w:tc>
      </w:tr>
      <w:tr w:rsidR="0081557C" w:rsidRPr="0081557C" w14:paraId="32153ABC" w14:textId="77777777" w:rsidTr="0081557C">
        <w:trPr>
          <w:trHeight w:val="20"/>
        </w:trPr>
        <w:tc>
          <w:tcPr>
            <w:tcW w:w="895" w:type="dxa"/>
          </w:tcPr>
          <w:p w14:paraId="63A454E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5AE5C2"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Suction Volume</w:t>
            </w:r>
          </w:p>
        </w:tc>
        <w:tc>
          <w:tcPr>
            <w:tcW w:w="4585" w:type="dxa"/>
          </w:tcPr>
          <w:p w14:paraId="642D1F4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45-55 liter/min.</w:t>
            </w:r>
          </w:p>
        </w:tc>
      </w:tr>
      <w:tr w:rsidR="0081557C" w:rsidRPr="0081557C" w14:paraId="151E204E" w14:textId="77777777" w:rsidTr="0081557C">
        <w:trPr>
          <w:trHeight w:val="20"/>
        </w:trPr>
        <w:tc>
          <w:tcPr>
            <w:tcW w:w="895" w:type="dxa"/>
          </w:tcPr>
          <w:p w14:paraId="737B1FA0"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5793B74"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Operation pressure</w:t>
            </w:r>
          </w:p>
        </w:tc>
        <w:tc>
          <w:tcPr>
            <w:tcW w:w="4585" w:type="dxa"/>
          </w:tcPr>
          <w:p w14:paraId="26EAB49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20-45 kg/cm</w:t>
            </w:r>
            <w:r w:rsidRPr="0081557C">
              <w:rPr>
                <w:rFonts w:ascii="Arial" w:eastAsia="Times New Roman" w:hAnsi="Arial" w:cs="Arial"/>
                <w:sz w:val="20"/>
                <w:szCs w:val="20"/>
                <w:vertAlign w:val="superscript"/>
              </w:rPr>
              <w:t>2</w:t>
            </w:r>
          </w:p>
        </w:tc>
      </w:tr>
      <w:tr w:rsidR="0081557C" w:rsidRPr="0081557C" w14:paraId="5EE80766" w14:textId="77777777" w:rsidTr="0081557C">
        <w:trPr>
          <w:trHeight w:val="20"/>
        </w:trPr>
        <w:tc>
          <w:tcPr>
            <w:tcW w:w="895" w:type="dxa"/>
          </w:tcPr>
          <w:p w14:paraId="3FCA0CF4"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55FC47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Power required</w:t>
            </w:r>
          </w:p>
        </w:tc>
        <w:tc>
          <w:tcPr>
            <w:tcW w:w="4585" w:type="dxa"/>
          </w:tcPr>
          <w:p w14:paraId="060091DA"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3-5 HP</w:t>
            </w:r>
          </w:p>
        </w:tc>
      </w:tr>
      <w:tr w:rsidR="0081557C" w:rsidRPr="0081557C" w14:paraId="6C99FA66" w14:textId="77777777" w:rsidTr="0081557C">
        <w:trPr>
          <w:trHeight w:val="20"/>
        </w:trPr>
        <w:tc>
          <w:tcPr>
            <w:tcW w:w="895" w:type="dxa"/>
          </w:tcPr>
          <w:p w14:paraId="0670BE88"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E4A1F28"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Nozzle</w:t>
            </w:r>
          </w:p>
        </w:tc>
      </w:tr>
      <w:tr w:rsidR="0081557C" w:rsidRPr="0081557C" w14:paraId="46A289AE" w14:textId="77777777" w:rsidTr="0081557C">
        <w:trPr>
          <w:trHeight w:val="20"/>
        </w:trPr>
        <w:tc>
          <w:tcPr>
            <w:tcW w:w="895" w:type="dxa"/>
          </w:tcPr>
          <w:p w14:paraId="6A28161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1EE42DB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32BAE2F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Flat fan</w:t>
            </w:r>
          </w:p>
        </w:tc>
      </w:tr>
      <w:tr w:rsidR="0081557C" w:rsidRPr="0081557C" w14:paraId="5D93AC95" w14:textId="77777777" w:rsidTr="0081557C">
        <w:trPr>
          <w:trHeight w:val="20"/>
        </w:trPr>
        <w:tc>
          <w:tcPr>
            <w:tcW w:w="895" w:type="dxa"/>
          </w:tcPr>
          <w:p w14:paraId="6488B18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6B0F4F4C"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Discharge per nozzle</w:t>
            </w:r>
          </w:p>
        </w:tc>
        <w:tc>
          <w:tcPr>
            <w:tcW w:w="4585" w:type="dxa"/>
          </w:tcPr>
          <w:p w14:paraId="45620CD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757-1893 ml/min. at 2.07 bar pressure</w:t>
            </w:r>
          </w:p>
        </w:tc>
      </w:tr>
      <w:tr w:rsidR="0081557C" w:rsidRPr="0081557C" w14:paraId="636CBFBF" w14:textId="77777777" w:rsidTr="0081557C">
        <w:trPr>
          <w:trHeight w:val="20"/>
        </w:trPr>
        <w:tc>
          <w:tcPr>
            <w:tcW w:w="895" w:type="dxa"/>
          </w:tcPr>
          <w:p w14:paraId="0550C279"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0641567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No. of nozzle</w:t>
            </w:r>
          </w:p>
        </w:tc>
        <w:tc>
          <w:tcPr>
            <w:tcW w:w="4585" w:type="dxa"/>
          </w:tcPr>
          <w:p w14:paraId="139F5AD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12</w:t>
            </w:r>
          </w:p>
        </w:tc>
      </w:tr>
      <w:tr w:rsidR="0081557C" w:rsidRPr="0081557C" w14:paraId="4307889B" w14:textId="77777777" w:rsidTr="0081557C">
        <w:trPr>
          <w:trHeight w:val="20"/>
        </w:trPr>
        <w:tc>
          <w:tcPr>
            <w:tcW w:w="895" w:type="dxa"/>
          </w:tcPr>
          <w:p w14:paraId="5E04F3D4"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F0AE60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 xml:space="preserve">Nozzle spacing </w:t>
            </w:r>
          </w:p>
        </w:tc>
        <w:tc>
          <w:tcPr>
            <w:tcW w:w="4585" w:type="dxa"/>
          </w:tcPr>
          <w:p w14:paraId="602693F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Adjustable (15-45 cm), interval – 15 cm</w:t>
            </w:r>
          </w:p>
        </w:tc>
      </w:tr>
    </w:tbl>
    <w:p w14:paraId="3CC65E83" w14:textId="77777777" w:rsidR="00EC21FB" w:rsidRPr="00EC21FB" w:rsidRDefault="00EC21FB" w:rsidP="00441B6F">
      <w:pPr>
        <w:pStyle w:val="Body"/>
        <w:spacing w:after="0"/>
        <w:rPr>
          <w:rFonts w:ascii="Arial" w:hAnsi="Arial" w:cs="Arial"/>
        </w:rPr>
      </w:pPr>
    </w:p>
    <w:p w14:paraId="34ACBBF0" w14:textId="3B4AECBA" w:rsidR="00EC21FB" w:rsidRDefault="0081557C" w:rsidP="00441B6F">
      <w:pPr>
        <w:pStyle w:val="Body"/>
        <w:spacing w:after="0"/>
        <w:rPr>
          <w:rFonts w:ascii="Arial" w:hAnsi="Arial" w:cs="Arial"/>
          <w:b/>
          <w:bCs/>
          <w:sz w:val="22"/>
          <w:szCs w:val="22"/>
        </w:rPr>
      </w:pPr>
      <w:r w:rsidRPr="0081557C">
        <w:rPr>
          <w:rFonts w:ascii="Arial" w:hAnsi="Arial" w:cs="Arial"/>
          <w:b/>
          <w:bCs/>
          <w:sz w:val="22"/>
          <w:szCs w:val="22"/>
        </w:rPr>
        <w:t>2.3 Laboratory Tests</w:t>
      </w:r>
    </w:p>
    <w:p w14:paraId="054A8C24" w14:textId="77777777" w:rsidR="0081557C" w:rsidRDefault="0081557C" w:rsidP="00441B6F">
      <w:pPr>
        <w:pStyle w:val="Body"/>
        <w:spacing w:after="0"/>
        <w:rPr>
          <w:rFonts w:ascii="Arial" w:hAnsi="Arial" w:cs="Arial"/>
          <w:b/>
          <w:bCs/>
          <w:sz w:val="22"/>
          <w:szCs w:val="22"/>
        </w:rPr>
      </w:pPr>
    </w:p>
    <w:p w14:paraId="36302EE2" w14:textId="77777777" w:rsidR="0081557C" w:rsidRPr="0081557C" w:rsidRDefault="0081557C" w:rsidP="0081557C">
      <w:pPr>
        <w:pStyle w:val="Body"/>
        <w:spacing w:after="0"/>
        <w:rPr>
          <w:rFonts w:ascii="Arial" w:hAnsi="Arial" w:cs="Arial"/>
        </w:rPr>
      </w:pPr>
      <w:r w:rsidRPr="0081557C">
        <w:rPr>
          <w:rFonts w:ascii="Arial" w:hAnsi="Arial" w:cs="Arial"/>
        </w:rPr>
        <w:t xml:space="preserve">Under laboratory setting, the tractor mounted boom sprayer was tested to assess its performance under several circumstances. The experiment was carried out under various </w:t>
      </w:r>
      <w:commentRangeStart w:id="2"/>
      <w:r w:rsidRPr="0081557C">
        <w:rPr>
          <w:rFonts w:ascii="Arial" w:hAnsi="Arial" w:cs="Arial"/>
        </w:rPr>
        <w:t>parameters</w:t>
      </w:r>
      <w:commentRangeEnd w:id="2"/>
      <w:r w:rsidR="007728BB">
        <w:rPr>
          <w:rStyle w:val="CommentReference"/>
          <w:rFonts w:ascii="Times New Roman" w:hAnsi="Times New Roman"/>
          <w:lang w:val="nb-NO" w:eastAsia="nb-NO"/>
        </w:rPr>
        <w:commentReference w:id="2"/>
      </w:r>
      <w:r w:rsidRPr="0081557C">
        <w:rPr>
          <w:rFonts w:ascii="Arial" w:hAnsi="Arial" w:cs="Arial"/>
        </w:rPr>
        <w:t xml:space="preserve"> including nozzle discharge, nozzle spray distribution, and pump performance under several operating pressures. The laboratory calibration of sprayers was conducted according to the BIS Code of IS: 11429 (1985): Methods for calibration of sprayers.</w:t>
      </w:r>
    </w:p>
    <w:p w14:paraId="3A8166A8" w14:textId="77777777" w:rsidR="0081557C" w:rsidRPr="0081557C" w:rsidRDefault="0081557C" w:rsidP="00441B6F">
      <w:pPr>
        <w:pStyle w:val="Body"/>
        <w:spacing w:after="0"/>
        <w:rPr>
          <w:rFonts w:ascii="Arial" w:hAnsi="Arial" w:cs="Arial"/>
          <w:b/>
          <w:bCs/>
          <w:sz w:val="22"/>
          <w:szCs w:val="22"/>
        </w:rPr>
      </w:pPr>
    </w:p>
    <w:p w14:paraId="7D3809F8" w14:textId="0A418A4E" w:rsidR="00AA74E0"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81557C">
        <w:rPr>
          <w:rFonts w:ascii="Arial" w:hAnsi="Arial" w:cs="Arial"/>
          <w:b/>
          <w:u w:val="single"/>
        </w:rPr>
        <w:t>3</w:t>
      </w:r>
      <w:r w:rsidRPr="00902823">
        <w:rPr>
          <w:rFonts w:ascii="Arial" w:hAnsi="Arial" w:cs="Arial"/>
          <w:b/>
          <w:u w:val="single"/>
        </w:rPr>
        <w:t>.1</w:t>
      </w:r>
      <w:r w:rsidR="0081557C">
        <w:rPr>
          <w:rFonts w:ascii="Arial" w:hAnsi="Arial" w:cs="Arial"/>
          <w:b/>
          <w:u w:val="single"/>
        </w:rPr>
        <w:t xml:space="preserve"> </w:t>
      </w:r>
      <w:r w:rsidR="0081557C" w:rsidRPr="0081557C">
        <w:rPr>
          <w:rFonts w:ascii="Arial" w:hAnsi="Arial" w:cs="Arial"/>
          <w:b/>
          <w:bCs/>
          <w:u w:val="single"/>
        </w:rPr>
        <w:t>Nozzle Discharge</w:t>
      </w:r>
    </w:p>
    <w:p w14:paraId="5EC07F96" w14:textId="77777777" w:rsidR="0081557C" w:rsidRDefault="0081557C" w:rsidP="00441B6F">
      <w:pPr>
        <w:pStyle w:val="Body"/>
        <w:spacing w:after="0"/>
        <w:rPr>
          <w:rFonts w:ascii="Arial" w:hAnsi="Arial" w:cs="Arial"/>
        </w:rPr>
      </w:pPr>
    </w:p>
    <w:p w14:paraId="7B1F575D" w14:textId="7F6EE26B" w:rsidR="0081557C" w:rsidRDefault="0081557C" w:rsidP="00441B6F">
      <w:pPr>
        <w:pStyle w:val="Body"/>
        <w:spacing w:after="0"/>
        <w:rPr>
          <w:rFonts w:ascii="Arial" w:hAnsi="Arial" w:cs="Arial"/>
        </w:rPr>
      </w:pPr>
      <w:r w:rsidRPr="0081557C">
        <w:rPr>
          <w:rFonts w:ascii="Arial" w:hAnsi="Arial" w:cs="Arial"/>
        </w:rPr>
        <w:t xml:space="preserve">The method of volume-time measurement was used to assess boom type sprayer's </w:t>
      </w:r>
      <w:commentRangeStart w:id="3"/>
      <w:r w:rsidRPr="0081557C">
        <w:rPr>
          <w:rFonts w:ascii="Arial" w:hAnsi="Arial" w:cs="Arial"/>
        </w:rPr>
        <w:t>discharge</w:t>
      </w:r>
      <w:commentRangeEnd w:id="3"/>
      <w:r w:rsidR="007728BB">
        <w:rPr>
          <w:rStyle w:val="CommentReference"/>
          <w:rFonts w:ascii="Times New Roman" w:hAnsi="Times New Roman"/>
          <w:lang w:val="nb-NO" w:eastAsia="nb-NO"/>
        </w:rPr>
        <w:commentReference w:id="3"/>
      </w:r>
      <w:r w:rsidRPr="0081557C">
        <w:rPr>
          <w:rFonts w:ascii="Arial" w:hAnsi="Arial" w:cs="Arial"/>
        </w:rPr>
        <w:t>. The spray volume collected in a measuring cylinder for one minute duration of each nozzle at all levels of operating pressure. The total nozzle discharge on each boom provides the spray boom's discharge.</w:t>
      </w:r>
    </w:p>
    <w:p w14:paraId="33900AC5" w14:textId="77777777" w:rsidR="0081557C" w:rsidRDefault="0081557C" w:rsidP="00441B6F">
      <w:pPr>
        <w:pStyle w:val="Body"/>
        <w:spacing w:after="0"/>
        <w:rPr>
          <w:rFonts w:ascii="Arial" w:hAnsi="Arial" w:cs="Arial"/>
        </w:rPr>
      </w:pPr>
    </w:p>
    <w:p w14:paraId="02F2DC24" w14:textId="30F41E52"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2.3.2 Nozzle Spray Angle</w:t>
      </w:r>
    </w:p>
    <w:p w14:paraId="69E35F8F" w14:textId="77777777" w:rsidR="00505F06" w:rsidRDefault="00505F06" w:rsidP="00441B6F">
      <w:pPr>
        <w:pStyle w:val="Body"/>
        <w:spacing w:after="0"/>
        <w:rPr>
          <w:rFonts w:ascii="Arial" w:hAnsi="Arial" w:cs="Arial"/>
        </w:rPr>
      </w:pPr>
    </w:p>
    <w:p w14:paraId="0D5A0FCF" w14:textId="60500F42" w:rsidR="0081557C" w:rsidRDefault="0081557C" w:rsidP="00441B6F">
      <w:pPr>
        <w:pStyle w:val="Body"/>
        <w:spacing w:after="0"/>
        <w:rPr>
          <w:rFonts w:ascii="Arial" w:hAnsi="Arial" w:cs="Arial"/>
        </w:rPr>
      </w:pPr>
      <w:r w:rsidRPr="0081557C">
        <w:rPr>
          <w:rFonts w:ascii="Arial" w:hAnsi="Arial" w:cs="Arial"/>
        </w:rPr>
        <w:lastRenderedPageBreak/>
        <w:t>The spray angle hinted at the spread of the spray. Observing a functioning rear nozzle helped to define it. The angles differ significantly in several nozzles. With the technique described in IS 3652:1995 section F-9, the spray angle was determined.</w:t>
      </w:r>
    </w:p>
    <w:p w14:paraId="152A4A7F" w14:textId="77777777" w:rsidR="0081557C" w:rsidRDefault="0081557C" w:rsidP="00441B6F">
      <w:pPr>
        <w:pStyle w:val="Body"/>
        <w:spacing w:after="0"/>
        <w:rPr>
          <w:rFonts w:ascii="Arial" w:hAnsi="Arial" w:cs="Arial"/>
        </w:rPr>
      </w:pPr>
    </w:p>
    <w:p w14:paraId="40D29FE0" w14:textId="321AAAD9"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2.3.3 Pump Performance</w:t>
      </w:r>
    </w:p>
    <w:p w14:paraId="6CD16870" w14:textId="77777777" w:rsidR="0081557C" w:rsidRDefault="0081557C" w:rsidP="00441B6F">
      <w:pPr>
        <w:pStyle w:val="Body"/>
        <w:spacing w:after="0"/>
        <w:rPr>
          <w:rFonts w:ascii="Arial" w:hAnsi="Arial" w:cs="Arial"/>
        </w:rPr>
      </w:pPr>
    </w:p>
    <w:p w14:paraId="66E9C289" w14:textId="77777777" w:rsidR="0081557C" w:rsidRDefault="0081557C" w:rsidP="0081557C">
      <w:pPr>
        <w:pStyle w:val="Body"/>
        <w:spacing w:after="0"/>
        <w:rPr>
          <w:rFonts w:ascii="Arial" w:hAnsi="Arial" w:cs="Arial"/>
        </w:rPr>
      </w:pPr>
      <w:r w:rsidRPr="0081557C">
        <w:rPr>
          <w:rFonts w:ascii="Arial" w:hAnsi="Arial" w:cs="Arial"/>
        </w:rPr>
        <w:t>The performance of pump was determined as per the procedure given in test code IS: 8548:1977. The discharge capacity and power required for operating pump was determined. At four different pressures, the pump was run; bypass flow and discharge capability were noted at each pressure. The power needed to operate the pump was also calculated and documented.</w:t>
      </w:r>
    </w:p>
    <w:p w14:paraId="1085C2A5" w14:textId="77777777" w:rsidR="0081557C" w:rsidRDefault="0081557C" w:rsidP="0081557C">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81557C" w:rsidRPr="0081557C" w14:paraId="428FA987" w14:textId="77777777" w:rsidTr="005D1CCC">
        <w:trPr>
          <w:trHeight w:val="2592"/>
        </w:trPr>
        <w:tc>
          <w:tcPr>
            <w:tcW w:w="9350" w:type="dxa"/>
          </w:tcPr>
          <w:p w14:paraId="2B6AFD99" w14:textId="77777777" w:rsidR="0081557C" w:rsidRPr="0081557C" w:rsidRDefault="0081557C" w:rsidP="0081557C">
            <w:pPr>
              <w:pStyle w:val="Body"/>
              <w:spacing w:after="0"/>
              <w:rPr>
                <w:rFonts w:ascii="Arial" w:hAnsi="Arial" w:cs="Arial"/>
              </w:rPr>
            </w:pPr>
            <w:r w:rsidRPr="0081557C">
              <w:rPr>
                <w:rFonts w:ascii="Arial" w:hAnsi="Arial" w:cs="Arial"/>
                <w:noProof/>
              </w:rPr>
              <w:drawing>
                <wp:inline distT="0" distB="0" distL="0" distR="0" wp14:anchorId="2E673B0E" wp14:editId="1FA6C2B0">
                  <wp:extent cx="5400252" cy="2711486"/>
                  <wp:effectExtent l="0" t="0" r="0" b="0"/>
                  <wp:docPr id="109818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558" cy="2717665"/>
                          </a:xfrm>
                          <a:prstGeom prst="rect">
                            <a:avLst/>
                          </a:prstGeom>
                          <a:noFill/>
                        </pic:spPr>
                      </pic:pic>
                    </a:graphicData>
                  </a:graphic>
                </wp:inline>
              </w:drawing>
            </w:r>
          </w:p>
        </w:tc>
      </w:tr>
      <w:tr w:rsidR="0081557C" w:rsidRPr="0081557C" w14:paraId="492BBFBB" w14:textId="77777777" w:rsidTr="0081557C">
        <w:trPr>
          <w:trHeight w:val="729"/>
        </w:trPr>
        <w:tc>
          <w:tcPr>
            <w:tcW w:w="9350" w:type="dxa"/>
            <w:vAlign w:val="center"/>
          </w:tcPr>
          <w:p w14:paraId="1C677CCF" w14:textId="77777777" w:rsidR="0081557C" w:rsidRPr="0081557C" w:rsidRDefault="0081557C" w:rsidP="0081557C">
            <w:pPr>
              <w:pStyle w:val="Body"/>
              <w:spacing w:after="0"/>
              <w:jc w:val="center"/>
              <w:rPr>
                <w:rFonts w:ascii="Arial" w:hAnsi="Arial" w:cs="Arial"/>
                <w:b/>
                <w:bCs/>
              </w:rPr>
            </w:pPr>
            <w:r w:rsidRPr="0081557C">
              <w:rPr>
                <w:rFonts w:ascii="Arial" w:hAnsi="Arial" w:cs="Arial"/>
                <w:b/>
                <w:bCs/>
              </w:rPr>
              <w:t>Fig. 1: Laboratory testing of tractor operated boom sprayer</w:t>
            </w:r>
          </w:p>
        </w:tc>
      </w:tr>
    </w:tbl>
    <w:p w14:paraId="5EE91613" w14:textId="77777777" w:rsidR="0081557C" w:rsidRDefault="0081557C" w:rsidP="0081557C">
      <w:pPr>
        <w:pStyle w:val="Body"/>
        <w:spacing w:after="0"/>
        <w:rPr>
          <w:rFonts w:ascii="Arial" w:hAnsi="Arial" w:cs="Arial"/>
        </w:rPr>
      </w:pPr>
    </w:p>
    <w:p w14:paraId="1CA1352E" w14:textId="2401D060" w:rsidR="0081557C" w:rsidRDefault="0081557C" w:rsidP="00441B6F">
      <w:pPr>
        <w:pStyle w:val="Body"/>
        <w:spacing w:after="0"/>
        <w:rPr>
          <w:rFonts w:ascii="Arial" w:hAnsi="Arial" w:cs="Arial"/>
          <w:b/>
          <w:bCs/>
          <w:sz w:val="22"/>
          <w:szCs w:val="22"/>
        </w:rPr>
      </w:pPr>
      <w:r w:rsidRPr="0081557C">
        <w:rPr>
          <w:rFonts w:ascii="Arial" w:hAnsi="Arial" w:cs="Arial"/>
          <w:b/>
          <w:bCs/>
          <w:sz w:val="22"/>
          <w:szCs w:val="22"/>
        </w:rPr>
        <w:t>2.4 Field Evaluation</w:t>
      </w:r>
    </w:p>
    <w:p w14:paraId="47DFB73F" w14:textId="77777777" w:rsidR="0081557C" w:rsidRDefault="0081557C" w:rsidP="00441B6F">
      <w:pPr>
        <w:pStyle w:val="Body"/>
        <w:spacing w:after="0"/>
        <w:rPr>
          <w:rFonts w:ascii="Arial" w:hAnsi="Arial" w:cs="Arial"/>
          <w:b/>
          <w:bCs/>
          <w:sz w:val="22"/>
          <w:szCs w:val="22"/>
        </w:rPr>
      </w:pPr>
    </w:p>
    <w:p w14:paraId="6419643E" w14:textId="77777777" w:rsidR="0081557C" w:rsidRPr="0081557C" w:rsidRDefault="0081557C" w:rsidP="0081557C">
      <w:pPr>
        <w:pStyle w:val="Body"/>
        <w:spacing w:after="0"/>
        <w:rPr>
          <w:rFonts w:ascii="Arial" w:hAnsi="Arial" w:cs="Arial"/>
          <w:sz w:val="22"/>
          <w:szCs w:val="22"/>
        </w:rPr>
      </w:pPr>
      <w:r w:rsidRPr="0081557C">
        <w:rPr>
          <w:rFonts w:ascii="Arial" w:hAnsi="Arial" w:cs="Arial"/>
          <w:sz w:val="22"/>
          <w:szCs w:val="22"/>
        </w:rPr>
        <w:t>The tractor operated boom sprayer was also tested in the field condition and various parameters were measured as follows:</w:t>
      </w:r>
    </w:p>
    <w:p w14:paraId="6BA2F1EC" w14:textId="77777777" w:rsidR="0081557C" w:rsidRPr="0081557C" w:rsidRDefault="0081557C" w:rsidP="00441B6F">
      <w:pPr>
        <w:pStyle w:val="Body"/>
        <w:spacing w:after="0"/>
        <w:rPr>
          <w:rFonts w:ascii="Arial" w:hAnsi="Arial" w:cs="Arial"/>
          <w:sz w:val="22"/>
          <w:szCs w:val="22"/>
        </w:rPr>
      </w:pPr>
    </w:p>
    <w:p w14:paraId="1FFCE294" w14:textId="6ADA4CE4"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2.4.1 Forward Speed</w:t>
      </w:r>
    </w:p>
    <w:p w14:paraId="1E53EEDC" w14:textId="77777777" w:rsidR="0081557C" w:rsidRDefault="0081557C" w:rsidP="00441B6F">
      <w:pPr>
        <w:pStyle w:val="Body"/>
        <w:spacing w:after="0"/>
        <w:rPr>
          <w:rFonts w:ascii="Arial" w:hAnsi="Arial" w:cs="Arial"/>
        </w:rPr>
      </w:pPr>
    </w:p>
    <w:p w14:paraId="2463A9D8" w14:textId="77777777" w:rsidR="0081557C" w:rsidRDefault="0081557C" w:rsidP="0081557C">
      <w:pPr>
        <w:pStyle w:val="Body"/>
        <w:spacing w:after="0"/>
        <w:rPr>
          <w:rFonts w:ascii="Arial" w:hAnsi="Arial" w:cs="Arial"/>
        </w:rPr>
      </w:pPr>
      <w:r w:rsidRPr="0081557C">
        <w:rPr>
          <w:rFonts w:ascii="Arial" w:hAnsi="Arial" w:cs="Arial"/>
        </w:rPr>
        <w:t xml:space="preserve">Before each experiment was carried out, the travel speed of tractor was calibrated for specified forward speed. In order to prevent mistakes, a test trial carried out in the same field condition for spraying operations on the same day is used for speed of operation calibration. Speed was </w:t>
      </w:r>
      <w:commentRangeStart w:id="4"/>
      <w:r w:rsidRPr="0081557C">
        <w:rPr>
          <w:rFonts w:ascii="Arial" w:hAnsi="Arial" w:cs="Arial"/>
        </w:rPr>
        <w:t>calculated</w:t>
      </w:r>
      <w:commentRangeEnd w:id="4"/>
      <w:r w:rsidR="007728BB">
        <w:rPr>
          <w:rStyle w:val="CommentReference"/>
          <w:rFonts w:ascii="Times New Roman" w:hAnsi="Times New Roman"/>
          <w:lang w:val="nb-NO" w:eastAsia="nb-NO"/>
        </w:rPr>
        <w:commentReference w:id="4"/>
      </w:r>
      <w:r w:rsidRPr="0081557C">
        <w:rPr>
          <w:rFonts w:ascii="Arial" w:hAnsi="Arial" w:cs="Arial"/>
        </w:rPr>
        <w:t xml:space="preserve"> based on the time taken for travelling 50 m.</w:t>
      </w:r>
    </w:p>
    <w:p w14:paraId="6AD94151" w14:textId="77777777" w:rsidR="0081557C" w:rsidRPr="0081557C" w:rsidRDefault="0081557C" w:rsidP="0081557C">
      <w:pPr>
        <w:pStyle w:val="Body"/>
        <w:spacing w:after="0"/>
        <w:rPr>
          <w:rFonts w:ascii="Arial" w:hAnsi="Arial" w:cs="Arial"/>
        </w:rPr>
      </w:pPr>
    </w:p>
    <w:p w14:paraId="1E7790F2" w14:textId="3D2D3BFF" w:rsidR="0081557C" w:rsidRPr="0081557C" w:rsidRDefault="0081557C" w:rsidP="0081557C">
      <w:pPr>
        <w:pStyle w:val="Body"/>
        <w:spacing w:after="0"/>
        <w:rPr>
          <w:rFonts w:ascii="Arial" w:hAnsi="Arial" w:cs="Arial"/>
        </w:rPr>
      </w:pPr>
      <m:oMathPara>
        <m:oMath>
          <m:r>
            <w:rPr>
              <w:rFonts w:ascii="Cambria Math" w:hAnsi="Cambria Math" w:cs="Arial"/>
            </w:rPr>
            <m:t xml:space="preserve">Forward speed( kmph)= </m:t>
          </m:r>
          <m:f>
            <m:fPr>
              <m:ctrlPr>
                <w:rPr>
                  <w:rFonts w:ascii="Cambria Math" w:hAnsi="Cambria Math" w:cs="Arial"/>
                  <w:i/>
                </w:rPr>
              </m:ctrlPr>
            </m:fPr>
            <m:num>
              <m:r>
                <w:rPr>
                  <w:rFonts w:ascii="Cambria Math" w:hAnsi="Cambria Math" w:cs="Arial"/>
                </w:rPr>
                <m:t>Distance (50 m)</m:t>
              </m:r>
            </m:num>
            <m:den>
              <m:r>
                <w:rPr>
                  <w:rFonts w:ascii="Cambria Math" w:hAnsi="Cambria Math" w:cs="Arial"/>
                </w:rPr>
                <m:t>Time taken to travel the given distance (s)</m:t>
              </m:r>
            </m:den>
          </m:f>
          <m:r>
            <w:rPr>
              <w:rFonts w:ascii="Cambria Math" w:hAnsi="Cambria Math" w:cs="Arial"/>
            </w:rPr>
            <m:t>×3.6</m:t>
          </m:r>
        </m:oMath>
      </m:oMathPara>
    </w:p>
    <w:p w14:paraId="6C0066B5" w14:textId="77777777" w:rsidR="0081557C" w:rsidRDefault="0081557C" w:rsidP="0081557C">
      <w:pPr>
        <w:pStyle w:val="Body"/>
        <w:spacing w:after="0"/>
        <w:jc w:val="right"/>
        <w:rPr>
          <w:rFonts w:ascii="Arial" w:hAnsi="Arial" w:cs="Arial"/>
        </w:rPr>
      </w:pPr>
      <w:r w:rsidRPr="0081557C">
        <w:rPr>
          <w:rFonts w:ascii="Arial" w:hAnsi="Arial" w:cs="Arial"/>
        </w:rPr>
        <w:t>………. (1)</w:t>
      </w:r>
    </w:p>
    <w:p w14:paraId="48C09E0D" w14:textId="77777777" w:rsidR="0081557C" w:rsidRDefault="0081557C" w:rsidP="0081557C">
      <w:pPr>
        <w:pStyle w:val="Body"/>
        <w:spacing w:after="0"/>
        <w:jc w:val="right"/>
        <w:rPr>
          <w:rFonts w:ascii="Arial" w:hAnsi="Arial" w:cs="Arial"/>
        </w:rPr>
      </w:pPr>
    </w:p>
    <w:p w14:paraId="714B62F8" w14:textId="0D6C5045"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2.4.2 Nozzle Pressure</w:t>
      </w:r>
    </w:p>
    <w:p w14:paraId="2A64820B" w14:textId="77777777" w:rsidR="0081557C" w:rsidRDefault="0081557C" w:rsidP="00441B6F">
      <w:pPr>
        <w:pStyle w:val="Body"/>
        <w:spacing w:after="0"/>
        <w:rPr>
          <w:rFonts w:ascii="Arial" w:hAnsi="Arial" w:cs="Arial"/>
        </w:rPr>
      </w:pPr>
    </w:p>
    <w:p w14:paraId="6A6E412C" w14:textId="77777777" w:rsidR="0081557C" w:rsidRDefault="0081557C" w:rsidP="0081557C">
      <w:pPr>
        <w:pStyle w:val="Body"/>
        <w:spacing w:after="0"/>
        <w:rPr>
          <w:rFonts w:ascii="Arial" w:hAnsi="Arial" w:cs="Arial"/>
        </w:rPr>
      </w:pPr>
      <w:r w:rsidRPr="0081557C">
        <w:rPr>
          <w:rFonts w:ascii="Arial" w:hAnsi="Arial" w:cs="Arial"/>
        </w:rPr>
        <w:lastRenderedPageBreak/>
        <w:t>Nozzle pressure is the amount of pressure needed at the nozzle to create an efficient spray stream. The pressure gauge fitted on the sprayer was used to measure the nozzle pressure.</w:t>
      </w:r>
    </w:p>
    <w:p w14:paraId="082121EC" w14:textId="77777777" w:rsidR="0081557C" w:rsidRDefault="0081557C" w:rsidP="0081557C">
      <w:pPr>
        <w:pStyle w:val="Body"/>
        <w:spacing w:after="0"/>
        <w:rPr>
          <w:rFonts w:ascii="Arial" w:hAnsi="Arial" w:cs="Arial"/>
        </w:rPr>
      </w:pPr>
    </w:p>
    <w:p w14:paraId="4213A786" w14:textId="4F6CC881"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2.4.3 Fuel Consumption</w:t>
      </w:r>
    </w:p>
    <w:p w14:paraId="74A6A07A" w14:textId="77777777" w:rsidR="0081557C" w:rsidRDefault="0081557C" w:rsidP="0081557C">
      <w:pPr>
        <w:pStyle w:val="Body"/>
        <w:spacing w:after="0"/>
        <w:rPr>
          <w:rFonts w:ascii="Arial" w:hAnsi="Arial" w:cs="Arial"/>
          <w:b/>
          <w:bCs/>
        </w:rPr>
      </w:pPr>
    </w:p>
    <w:p w14:paraId="7F1170FC" w14:textId="77777777" w:rsidR="0081557C" w:rsidRDefault="0081557C" w:rsidP="0081557C">
      <w:pPr>
        <w:pStyle w:val="Body"/>
        <w:spacing w:after="0"/>
        <w:rPr>
          <w:rFonts w:ascii="Arial" w:hAnsi="Arial" w:cs="Arial"/>
        </w:rPr>
      </w:pPr>
      <w:r w:rsidRPr="0081557C">
        <w:rPr>
          <w:rFonts w:ascii="Arial" w:hAnsi="Arial" w:cs="Arial"/>
        </w:rPr>
        <w:t>Before the beginning of each trial, the tractor's fuel tank was filled completely; after the trial, the tank was refilled again. The amount of fuel required to fill the tank up to the previous mark was considered as fuel consumption.</w:t>
      </w:r>
    </w:p>
    <w:p w14:paraId="151639B3" w14:textId="77777777" w:rsidR="0081557C" w:rsidRPr="0081557C" w:rsidRDefault="0081557C" w:rsidP="0081557C">
      <w:pPr>
        <w:pStyle w:val="Body"/>
        <w:spacing w:after="0"/>
        <w:rPr>
          <w:rFonts w:ascii="Arial" w:hAnsi="Arial" w:cs="Arial"/>
        </w:rPr>
      </w:pPr>
    </w:p>
    <w:p w14:paraId="5B286D14" w14:textId="1BBF60E8" w:rsidR="0081557C" w:rsidRPr="0081557C" w:rsidRDefault="0081557C" w:rsidP="0081557C">
      <w:pPr>
        <w:pStyle w:val="Body"/>
        <w:spacing w:after="0"/>
        <w:rPr>
          <w:rFonts w:ascii="Arial" w:hAnsi="Arial" w:cs="Arial"/>
        </w:rPr>
      </w:pPr>
      <m:oMathPara>
        <m:oMath>
          <m:r>
            <w:rPr>
              <w:rFonts w:ascii="Cambria Math" w:hAnsi="Cambria Math" w:cs="Arial"/>
            </w:rPr>
            <m:t xml:space="preserve">Fuel consumption </m:t>
          </m:r>
          <m:d>
            <m:dPr>
              <m:ctrlPr>
                <w:rPr>
                  <w:rFonts w:ascii="Cambria Math" w:hAnsi="Cambria Math" w:cs="Arial"/>
                  <w:i/>
                </w:rPr>
              </m:ctrlPr>
            </m:dPr>
            <m:e>
              <m:f>
                <m:fPr>
                  <m:type m:val="skw"/>
                  <m:ctrlPr>
                    <w:rPr>
                      <w:rFonts w:ascii="Cambria Math" w:hAnsi="Cambria Math" w:cs="Arial"/>
                      <w:i/>
                    </w:rPr>
                  </m:ctrlPr>
                </m:fPr>
                <m:num>
                  <m:r>
                    <w:rPr>
                      <w:rFonts w:ascii="Cambria Math" w:hAnsi="Cambria Math" w:cs="Arial"/>
                    </w:rPr>
                    <m:t>l</m:t>
                  </m:r>
                </m:num>
                <m:den>
                  <m:r>
                    <w:rPr>
                      <w:rFonts w:ascii="Cambria Math" w:hAnsi="Cambria Math" w:cs="Arial"/>
                    </w:rPr>
                    <m:t>hr</m:t>
                  </m:r>
                </m:den>
              </m:f>
            </m:e>
          </m:d>
          <m:r>
            <w:rPr>
              <w:rFonts w:ascii="Cambria Math" w:hAnsi="Cambria Math" w:cs="Arial"/>
            </w:rPr>
            <m:t xml:space="preserve">= </m:t>
          </m:r>
          <m:f>
            <m:fPr>
              <m:ctrlPr>
                <w:rPr>
                  <w:rFonts w:ascii="Cambria Math" w:hAnsi="Cambria Math" w:cs="Arial"/>
                  <w:i/>
                </w:rPr>
              </m:ctrlPr>
            </m:fPr>
            <m:num>
              <m:r>
                <w:rPr>
                  <w:rFonts w:ascii="Cambria Math" w:hAnsi="Cambria Math" w:cs="Arial"/>
                </w:rPr>
                <m:t>Amount of fuel required to fill the tank (litre)</m:t>
              </m:r>
            </m:num>
            <m:den>
              <m:r>
                <w:rPr>
                  <w:rFonts w:ascii="Cambria Math" w:hAnsi="Cambria Math" w:cs="Arial"/>
                </w:rPr>
                <m:t>Time taken during the trial (hour)</m:t>
              </m:r>
            </m:den>
          </m:f>
          <m:r>
            <w:rPr>
              <w:rFonts w:ascii="Cambria Math" w:hAnsi="Cambria Math" w:cs="Arial"/>
            </w:rPr>
            <m:t xml:space="preserve"> </m:t>
          </m:r>
        </m:oMath>
      </m:oMathPara>
    </w:p>
    <w:p w14:paraId="38ED8A15" w14:textId="77777777" w:rsidR="0081557C" w:rsidRDefault="0081557C" w:rsidP="0081557C">
      <w:pPr>
        <w:pStyle w:val="Body"/>
        <w:spacing w:after="0"/>
        <w:jc w:val="right"/>
        <w:rPr>
          <w:rFonts w:ascii="Arial" w:hAnsi="Arial" w:cs="Arial"/>
        </w:rPr>
      </w:pPr>
      <w:r w:rsidRPr="0081557C">
        <w:rPr>
          <w:rFonts w:ascii="Arial" w:hAnsi="Arial" w:cs="Arial"/>
        </w:rPr>
        <w:t>………. (2)</w:t>
      </w:r>
    </w:p>
    <w:p w14:paraId="380388AB" w14:textId="77777777" w:rsidR="0081557C" w:rsidRDefault="0081557C" w:rsidP="0081557C">
      <w:pPr>
        <w:pStyle w:val="Body"/>
        <w:spacing w:after="0"/>
        <w:jc w:val="right"/>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81557C" w:rsidRPr="0081557C" w14:paraId="2FCED9AC" w14:textId="77777777" w:rsidTr="005D1CCC">
        <w:trPr>
          <w:trHeight w:val="4022"/>
        </w:trPr>
        <w:tc>
          <w:tcPr>
            <w:tcW w:w="9350" w:type="dxa"/>
          </w:tcPr>
          <w:p w14:paraId="51E741A9" w14:textId="77777777" w:rsidR="0081557C" w:rsidRPr="0081557C" w:rsidRDefault="0081557C" w:rsidP="0081557C">
            <w:pPr>
              <w:pStyle w:val="Body"/>
              <w:spacing w:after="0"/>
              <w:rPr>
                <w:rFonts w:ascii="Arial" w:eastAsia="Times New Roman" w:hAnsi="Arial" w:cs="Arial"/>
              </w:rPr>
            </w:pPr>
            <w:r w:rsidRPr="0081557C">
              <w:rPr>
                <w:rFonts w:ascii="Arial" w:hAnsi="Arial" w:cs="Arial"/>
                <w:noProof/>
              </w:rPr>
              <w:drawing>
                <wp:anchor distT="0" distB="0" distL="114300" distR="114300" simplePos="0" relativeHeight="251658240" behindDoc="1" locked="0" layoutInCell="1" allowOverlap="1" wp14:anchorId="7A12988A" wp14:editId="3672DBB2">
                  <wp:simplePos x="0" y="0"/>
                  <wp:positionH relativeFrom="margin">
                    <wp:posOffset>401753</wp:posOffset>
                  </wp:positionH>
                  <wp:positionV relativeFrom="margin">
                    <wp:posOffset>34066</wp:posOffset>
                  </wp:positionV>
                  <wp:extent cx="4991100" cy="2596515"/>
                  <wp:effectExtent l="19050" t="19050" r="19050" b="13335"/>
                  <wp:wrapTight wrapText="bothSides">
                    <wp:wrapPolygon edited="0">
                      <wp:start x="-82" y="-158"/>
                      <wp:lineTo x="-82" y="21552"/>
                      <wp:lineTo x="21600" y="21552"/>
                      <wp:lineTo x="21600" y="-158"/>
                      <wp:lineTo x="-82" y="-15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3" cstate="print">
                            <a:extLst>
                              <a:ext uri="{28A0092B-C50C-407E-A947-70E740481C1C}">
                                <a14:useLocalDpi xmlns:a14="http://schemas.microsoft.com/office/drawing/2010/main" val="0"/>
                              </a:ext>
                            </a:extLst>
                          </a:blip>
                          <a:srcRect r="1564"/>
                          <a:stretch/>
                        </pic:blipFill>
                        <pic:spPr bwMode="auto">
                          <a:xfrm>
                            <a:off x="0" y="0"/>
                            <a:ext cx="4991100" cy="25965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1557C" w:rsidRPr="0081557C" w14:paraId="55ECD775" w14:textId="77777777" w:rsidTr="005D1CCC">
        <w:trPr>
          <w:trHeight w:val="611"/>
        </w:trPr>
        <w:tc>
          <w:tcPr>
            <w:tcW w:w="9350" w:type="dxa"/>
            <w:vAlign w:val="center"/>
          </w:tcPr>
          <w:p w14:paraId="2D8156D4" w14:textId="77777777" w:rsidR="0081557C" w:rsidRPr="0081557C" w:rsidRDefault="0081557C" w:rsidP="0081557C">
            <w:pPr>
              <w:pStyle w:val="Body"/>
              <w:spacing w:after="0"/>
              <w:jc w:val="center"/>
              <w:rPr>
                <w:rFonts w:ascii="Arial" w:hAnsi="Arial" w:cs="Arial"/>
                <w:b/>
                <w:bCs/>
              </w:rPr>
            </w:pPr>
            <w:r w:rsidRPr="0081557C">
              <w:rPr>
                <w:rFonts w:ascii="Arial" w:hAnsi="Arial" w:cs="Arial"/>
                <w:b/>
                <w:bCs/>
              </w:rPr>
              <w:t>Fig. 2: Performance evaluation of tractor operated boom sprayer at field condition</w:t>
            </w:r>
          </w:p>
        </w:tc>
      </w:tr>
    </w:tbl>
    <w:p w14:paraId="0E520545" w14:textId="77777777" w:rsidR="0081557C" w:rsidRPr="0081557C" w:rsidRDefault="0081557C" w:rsidP="0081557C">
      <w:pPr>
        <w:pStyle w:val="Body"/>
        <w:spacing w:after="0"/>
        <w:rPr>
          <w:rFonts w:ascii="Arial" w:hAnsi="Arial" w:cs="Arial"/>
        </w:rPr>
      </w:pPr>
    </w:p>
    <w:p w14:paraId="28C5B8E3" w14:textId="759BD51A" w:rsidR="0081557C" w:rsidRPr="0081557C" w:rsidRDefault="0081557C" w:rsidP="0081557C">
      <w:pPr>
        <w:pStyle w:val="Body"/>
        <w:spacing w:after="0"/>
        <w:rPr>
          <w:rFonts w:ascii="Arial" w:hAnsi="Arial" w:cs="Arial"/>
        </w:rPr>
      </w:pPr>
      <w:r w:rsidRPr="0081557C">
        <w:rPr>
          <w:rFonts w:ascii="Arial" w:hAnsi="Arial" w:cs="Arial"/>
          <w:b/>
          <w:bCs/>
          <w:u w:val="single"/>
        </w:rPr>
        <w:t>2.4.4 Theoretical Field Capacity</w:t>
      </w:r>
    </w:p>
    <w:p w14:paraId="2A3BB24C" w14:textId="77777777" w:rsidR="0081557C" w:rsidRDefault="0081557C" w:rsidP="00441B6F">
      <w:pPr>
        <w:pStyle w:val="Body"/>
        <w:spacing w:after="0"/>
        <w:rPr>
          <w:rFonts w:ascii="Arial" w:hAnsi="Arial" w:cs="Arial"/>
        </w:rPr>
      </w:pPr>
    </w:p>
    <w:p w14:paraId="7C5124C5" w14:textId="4E048FB1" w:rsidR="0081557C" w:rsidRDefault="0081557C" w:rsidP="0081557C">
      <w:pPr>
        <w:pStyle w:val="Body"/>
        <w:spacing w:after="0"/>
        <w:rPr>
          <w:rFonts w:ascii="Arial" w:hAnsi="Arial" w:cs="Arial"/>
        </w:rPr>
      </w:pPr>
      <w:r w:rsidRPr="0081557C">
        <w:rPr>
          <w:rFonts w:ascii="Arial" w:hAnsi="Arial" w:cs="Arial"/>
        </w:rPr>
        <w:t>It is the maximum possible rate at which any machine can cover the field if it operates at 100% efficiency, without any overlaps in operation, any interruption or any time losses in between.</w:t>
      </w:r>
    </w:p>
    <w:p w14:paraId="2A59E5E7" w14:textId="77777777" w:rsidR="00C574CA" w:rsidRPr="0081557C" w:rsidRDefault="00C574CA" w:rsidP="0081557C">
      <w:pPr>
        <w:pStyle w:val="Body"/>
        <w:spacing w:after="0"/>
        <w:rPr>
          <w:rFonts w:ascii="Arial" w:hAnsi="Arial" w:cs="Arial"/>
        </w:rPr>
      </w:pPr>
    </w:p>
    <w:p w14:paraId="4FFC8E87" w14:textId="239BC99C" w:rsidR="0081557C" w:rsidRPr="0081557C" w:rsidRDefault="0081557C" w:rsidP="0081557C">
      <w:pPr>
        <w:pStyle w:val="Body"/>
        <w:spacing w:after="0"/>
        <w:rPr>
          <w:rFonts w:ascii="Arial" w:hAnsi="Arial" w:cs="Arial"/>
        </w:rPr>
      </w:pPr>
      <m:oMathPara>
        <m:oMath>
          <m:r>
            <w:rPr>
              <w:rFonts w:ascii="Cambria Math" w:hAnsi="Cambria Math" w:cs="Arial"/>
            </w:rPr>
            <m:t xml:space="preserve">Theoretical field cpacity </m:t>
          </m:r>
          <m:d>
            <m:dPr>
              <m:ctrlPr>
                <w:rPr>
                  <w:rFonts w:ascii="Cambria Math" w:hAnsi="Cambria Math" w:cs="Arial"/>
                  <w:i/>
                </w:rPr>
              </m:ctrlPr>
            </m:dPr>
            <m:e>
              <m:f>
                <m:fPr>
                  <m:type m:val="skw"/>
                  <m:ctrlPr>
                    <w:rPr>
                      <w:rFonts w:ascii="Cambria Math" w:hAnsi="Cambria Math" w:cs="Arial"/>
                      <w:i/>
                    </w:rPr>
                  </m:ctrlPr>
                </m:fPr>
                <m:num>
                  <m:r>
                    <w:rPr>
                      <w:rFonts w:ascii="Cambria Math" w:hAnsi="Cambria Math" w:cs="Arial"/>
                    </w:rPr>
                    <m:t>ha</m:t>
                  </m:r>
                </m:num>
                <m:den>
                  <m:r>
                    <w:rPr>
                      <w:rFonts w:ascii="Cambria Math" w:hAnsi="Cambria Math" w:cs="Arial"/>
                    </w:rPr>
                    <m:t>hr</m:t>
                  </m:r>
                </m:den>
              </m:f>
            </m:e>
          </m:d>
          <m:r>
            <w:rPr>
              <w:rFonts w:ascii="Cambria Math" w:hAnsi="Cambria Math" w:cs="Arial"/>
            </w:rPr>
            <m:t>=</m:t>
          </m:r>
          <m:f>
            <m:fPr>
              <m:ctrlPr>
                <w:rPr>
                  <w:rFonts w:ascii="Cambria Math" w:hAnsi="Cambria Math" w:cs="Arial"/>
                  <w:i/>
                </w:rPr>
              </m:ctrlPr>
            </m:fPr>
            <m:num>
              <m:r>
                <w:rPr>
                  <w:rFonts w:ascii="Cambria Math" w:hAnsi="Cambria Math" w:cs="Arial"/>
                </w:rPr>
                <m:t xml:space="preserve">Machine width </m:t>
              </m:r>
              <m:d>
                <m:dPr>
                  <m:ctrlPr>
                    <w:rPr>
                      <w:rFonts w:ascii="Cambria Math" w:hAnsi="Cambria Math" w:cs="Arial"/>
                      <w:i/>
                    </w:rPr>
                  </m:ctrlPr>
                </m:dPr>
                <m:e>
                  <m:r>
                    <w:rPr>
                      <w:rFonts w:ascii="Cambria Math" w:hAnsi="Cambria Math" w:cs="Arial"/>
                    </w:rPr>
                    <m:t>m</m:t>
                  </m:r>
                </m:e>
              </m:d>
              <m:r>
                <w:rPr>
                  <w:rFonts w:ascii="Cambria Math" w:hAnsi="Cambria Math" w:cs="Arial"/>
                </w:rPr>
                <m:t>×Speed (kmph)</m:t>
              </m:r>
            </m:num>
            <m:den>
              <m:r>
                <w:rPr>
                  <w:rFonts w:ascii="Cambria Math" w:hAnsi="Cambria Math" w:cs="Arial"/>
                </w:rPr>
                <m:t>10</m:t>
              </m:r>
            </m:den>
          </m:f>
        </m:oMath>
      </m:oMathPara>
    </w:p>
    <w:p w14:paraId="26F4BFB7" w14:textId="77777777" w:rsidR="0081557C" w:rsidRDefault="0081557C" w:rsidP="0081557C">
      <w:pPr>
        <w:pStyle w:val="Body"/>
        <w:spacing w:after="0"/>
        <w:jc w:val="right"/>
        <w:rPr>
          <w:rFonts w:ascii="Arial" w:hAnsi="Arial" w:cs="Arial"/>
        </w:rPr>
      </w:pPr>
      <w:r w:rsidRPr="0081557C">
        <w:rPr>
          <w:rFonts w:ascii="Arial" w:hAnsi="Arial" w:cs="Arial"/>
        </w:rPr>
        <w:t>………. (3)</w:t>
      </w:r>
    </w:p>
    <w:p w14:paraId="665BCD68" w14:textId="77777777" w:rsidR="0081557C" w:rsidRPr="0081557C" w:rsidRDefault="0081557C" w:rsidP="0081557C">
      <w:pPr>
        <w:pStyle w:val="Body"/>
        <w:spacing w:after="0"/>
        <w:jc w:val="right"/>
        <w:rPr>
          <w:rFonts w:ascii="Arial" w:hAnsi="Arial" w:cs="Arial"/>
          <w:b/>
          <w:bCs/>
          <w:u w:val="single"/>
        </w:rPr>
      </w:pPr>
    </w:p>
    <w:p w14:paraId="3C8769BC" w14:textId="2B706A20"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2.4.5 Actual Field Capacity</w:t>
      </w:r>
    </w:p>
    <w:p w14:paraId="5B54FFC3" w14:textId="77777777" w:rsidR="0081557C" w:rsidRDefault="0081557C" w:rsidP="00441B6F">
      <w:pPr>
        <w:pStyle w:val="Body"/>
        <w:spacing w:after="0"/>
        <w:rPr>
          <w:rFonts w:ascii="Arial" w:hAnsi="Arial" w:cs="Arial"/>
        </w:rPr>
      </w:pPr>
    </w:p>
    <w:p w14:paraId="61C7FE21" w14:textId="7334BB93" w:rsidR="0081557C" w:rsidRDefault="0081557C" w:rsidP="0081557C">
      <w:pPr>
        <w:pStyle w:val="Body"/>
        <w:spacing w:after="0"/>
        <w:rPr>
          <w:rFonts w:ascii="Arial" w:hAnsi="Arial" w:cs="Arial"/>
        </w:rPr>
      </w:pPr>
      <w:r w:rsidRPr="0081557C">
        <w:rPr>
          <w:rFonts w:ascii="Arial" w:hAnsi="Arial" w:cs="Arial"/>
        </w:rPr>
        <w:t>It is the real rate at which a machine covers the field, taking into account all the field losses including headlands, overlaps, fuel refilling, repairs and operator delays.</w:t>
      </w:r>
    </w:p>
    <w:p w14:paraId="099C5C06" w14:textId="77777777" w:rsidR="00C574CA" w:rsidRPr="0081557C" w:rsidRDefault="00C574CA" w:rsidP="0081557C">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2395"/>
      </w:tblGrid>
      <w:tr w:rsidR="0081557C" w:rsidRPr="00C574CA" w14:paraId="17E8E666" w14:textId="77777777" w:rsidTr="00C574CA">
        <w:tc>
          <w:tcPr>
            <w:tcW w:w="6655" w:type="dxa"/>
          </w:tcPr>
          <w:p w14:paraId="506D1E1D" w14:textId="46D87E45" w:rsidR="0081557C" w:rsidRPr="0081557C" w:rsidRDefault="0081557C" w:rsidP="0081557C">
            <w:pPr>
              <w:pStyle w:val="Body"/>
              <w:rPr>
                <w:rFonts w:ascii="Arial" w:eastAsia="Times New Roman" w:hAnsi="Arial" w:cs="Arial"/>
              </w:rPr>
            </w:pPr>
            <m:oMathPara>
              <m:oMath>
                <m:r>
                  <w:rPr>
                    <w:rFonts w:ascii="Cambria Math" w:hAnsi="Cambria Math" w:cs="Arial"/>
                    <w:sz w:val="20"/>
                    <w:szCs w:val="20"/>
                  </w:rPr>
                  <m:t>Actual field capacity (</m:t>
                </m:r>
                <m:f>
                  <m:fPr>
                    <m:type m:val="skw"/>
                    <m:ctrlPr>
                      <w:rPr>
                        <w:rFonts w:ascii="Cambria Math" w:eastAsia="Times New Roman" w:hAnsi="Cambria Math" w:cs="Arial"/>
                        <w:i/>
                        <w:sz w:val="20"/>
                        <w:szCs w:val="20"/>
                      </w:rPr>
                    </m:ctrlPr>
                  </m:fPr>
                  <m:num>
                    <m:r>
                      <w:rPr>
                        <w:rFonts w:ascii="Cambria Math" w:hAnsi="Cambria Math" w:cs="Arial"/>
                        <w:sz w:val="20"/>
                        <w:szCs w:val="20"/>
                      </w:rPr>
                      <m:t>ha</m:t>
                    </m:r>
                  </m:num>
                  <m:den>
                    <m:r>
                      <w:rPr>
                        <w:rFonts w:ascii="Cambria Math" w:hAnsi="Cambria Math" w:cs="Arial"/>
                        <w:sz w:val="20"/>
                        <w:szCs w:val="20"/>
                      </w:rPr>
                      <m:t>hr</m:t>
                    </m:r>
                  </m:den>
                </m:f>
                <m:r>
                  <w:rPr>
                    <w:rFonts w:ascii="Cambria Math" w:hAnsi="Cambria Math" w:cs="Arial"/>
                    <w:sz w:val="20"/>
                    <w:szCs w:val="20"/>
                  </w:rPr>
                  <m:t>)=</m:t>
                </m:r>
                <m:f>
                  <m:fPr>
                    <m:ctrlPr>
                      <w:rPr>
                        <w:rFonts w:ascii="Cambria Math" w:eastAsia="Times New Roman" w:hAnsi="Cambria Math" w:cs="Arial"/>
                        <w:i/>
                        <w:sz w:val="20"/>
                        <w:szCs w:val="20"/>
                      </w:rPr>
                    </m:ctrlPr>
                  </m:fPr>
                  <m:num>
                    <m:r>
                      <w:rPr>
                        <w:rFonts w:ascii="Cambria Math" w:hAnsi="Cambria Math" w:cs="Arial"/>
                        <w:sz w:val="20"/>
                        <w:szCs w:val="20"/>
                      </w:rPr>
                      <m:t>Actual area covered (ha)</m:t>
                    </m:r>
                  </m:num>
                  <m:den>
                    <m:r>
                      <w:rPr>
                        <w:rFonts w:ascii="Cambria Math" w:hAnsi="Cambria Math" w:cs="Arial"/>
                        <w:sz w:val="20"/>
                        <w:szCs w:val="20"/>
                      </w:rPr>
                      <m:t>Total time taken (hr)</m:t>
                    </m:r>
                  </m:den>
                </m:f>
              </m:oMath>
            </m:oMathPara>
          </w:p>
        </w:tc>
        <w:tc>
          <w:tcPr>
            <w:tcW w:w="2695" w:type="dxa"/>
            <w:vAlign w:val="center"/>
          </w:tcPr>
          <w:p w14:paraId="05292E7B" w14:textId="77777777" w:rsidR="0081557C" w:rsidRPr="00C574CA" w:rsidRDefault="0081557C" w:rsidP="00C574CA">
            <w:pPr>
              <w:pStyle w:val="Body"/>
              <w:jc w:val="right"/>
              <w:rPr>
                <w:rFonts w:ascii="Arial" w:eastAsia="Times New Roman" w:hAnsi="Arial" w:cs="Arial"/>
                <w:sz w:val="20"/>
                <w:szCs w:val="20"/>
              </w:rPr>
            </w:pPr>
            <w:r w:rsidRPr="00C574CA">
              <w:rPr>
                <w:rFonts w:ascii="Arial" w:eastAsia="Times New Roman" w:hAnsi="Arial" w:cs="Arial"/>
                <w:sz w:val="20"/>
                <w:szCs w:val="20"/>
              </w:rPr>
              <w:t>………. (4)</w:t>
            </w:r>
          </w:p>
        </w:tc>
      </w:tr>
    </w:tbl>
    <w:p w14:paraId="09165782" w14:textId="77777777" w:rsidR="0081557C" w:rsidRDefault="0081557C" w:rsidP="00441B6F">
      <w:pPr>
        <w:pStyle w:val="Body"/>
        <w:spacing w:after="0"/>
        <w:rPr>
          <w:rFonts w:ascii="Arial" w:hAnsi="Arial" w:cs="Arial"/>
        </w:rPr>
      </w:pPr>
    </w:p>
    <w:p w14:paraId="6B8CBB1B" w14:textId="1FDFB402" w:rsidR="0081557C" w:rsidRPr="00C574CA" w:rsidRDefault="00C574CA" w:rsidP="00441B6F">
      <w:pPr>
        <w:pStyle w:val="Body"/>
        <w:spacing w:after="0"/>
        <w:rPr>
          <w:rFonts w:ascii="Arial" w:hAnsi="Arial" w:cs="Arial"/>
          <w:b/>
          <w:bCs/>
          <w:u w:val="single"/>
        </w:rPr>
      </w:pPr>
      <w:r w:rsidRPr="00C574CA">
        <w:rPr>
          <w:rFonts w:ascii="Arial" w:hAnsi="Arial" w:cs="Arial"/>
          <w:b/>
          <w:bCs/>
          <w:u w:val="single"/>
        </w:rPr>
        <w:t>2.4.6 Field Efficiency</w:t>
      </w:r>
    </w:p>
    <w:p w14:paraId="3F3E7412" w14:textId="77777777" w:rsidR="00C574CA" w:rsidRDefault="00C574CA" w:rsidP="00441B6F">
      <w:pPr>
        <w:pStyle w:val="Body"/>
        <w:spacing w:after="0"/>
        <w:rPr>
          <w:rFonts w:ascii="Arial" w:hAnsi="Arial" w:cs="Arial"/>
        </w:rPr>
      </w:pPr>
    </w:p>
    <w:p w14:paraId="5F84AE3B" w14:textId="77777777" w:rsidR="00C574CA" w:rsidRDefault="00C574CA" w:rsidP="00C574CA">
      <w:pPr>
        <w:pStyle w:val="Body"/>
        <w:spacing w:after="0"/>
        <w:rPr>
          <w:rFonts w:ascii="Arial" w:hAnsi="Arial" w:cs="Arial"/>
        </w:rPr>
      </w:pPr>
      <w:r w:rsidRPr="00C574CA">
        <w:rPr>
          <w:rFonts w:ascii="Arial" w:hAnsi="Arial" w:cs="Arial"/>
        </w:rPr>
        <w:t xml:space="preserve">It’s a parameter used to compare the actual field performance with the ideal performance. </w:t>
      </w:r>
    </w:p>
    <w:p w14:paraId="017221EE" w14:textId="77777777" w:rsidR="00C574CA" w:rsidRP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6"/>
        <w:gridCol w:w="2398"/>
      </w:tblGrid>
      <w:tr w:rsidR="00C574CA" w:rsidRPr="00C574CA" w14:paraId="6902E808" w14:textId="77777777" w:rsidTr="005D1CCC">
        <w:tc>
          <w:tcPr>
            <w:tcW w:w="6655" w:type="dxa"/>
          </w:tcPr>
          <w:p w14:paraId="001CFDC1" w14:textId="26987AE9" w:rsidR="00C574CA" w:rsidRPr="00C574CA" w:rsidRDefault="00C574CA" w:rsidP="00C574CA">
            <w:pPr>
              <w:pStyle w:val="Body"/>
              <w:rPr>
                <w:rFonts w:asciiTheme="majorHAnsi" w:eastAsia="Times New Roman" w:hAnsiTheme="majorHAnsi" w:cs="Arial"/>
              </w:rPr>
            </w:pPr>
            <m:oMathPara>
              <m:oMath>
                <m:r>
                  <w:rPr>
                    <w:rFonts w:ascii="Cambria Math" w:hAnsi="Cambria Math" w:cs="Arial"/>
                    <w:sz w:val="20"/>
                    <w:szCs w:val="20"/>
                  </w:rPr>
                  <m:t xml:space="preserve">Field effiiency </m:t>
                </m:r>
                <m:d>
                  <m:dPr>
                    <m:ctrlPr>
                      <w:rPr>
                        <w:rFonts w:ascii="Cambria Math" w:eastAsia="Times New Roman" w:hAnsi="Cambria Math" w:cs="Arial"/>
                        <w:i/>
                        <w:sz w:val="20"/>
                        <w:szCs w:val="20"/>
                      </w:rPr>
                    </m:ctrlPr>
                  </m:dPr>
                  <m:e>
                    <m:r>
                      <w:rPr>
                        <w:rFonts w:ascii="Cambria Math" w:hAnsi="Cambria Math" w:cs="Arial"/>
                        <w:sz w:val="20"/>
                        <w:szCs w:val="20"/>
                      </w:rPr>
                      <m:t>%</m:t>
                    </m:r>
                  </m:e>
                </m:d>
                <m:r>
                  <w:rPr>
                    <w:rFonts w:ascii="Cambria Math" w:hAnsi="Cambria Math" w:cs="Arial"/>
                    <w:sz w:val="20"/>
                    <w:szCs w:val="20"/>
                  </w:rPr>
                  <m:t>=</m:t>
                </m:r>
                <m:f>
                  <m:fPr>
                    <m:ctrlPr>
                      <w:rPr>
                        <w:rFonts w:ascii="Cambria Math" w:eastAsia="Times New Roman" w:hAnsi="Cambria Math" w:cs="Arial"/>
                        <w:i/>
                        <w:sz w:val="20"/>
                        <w:szCs w:val="20"/>
                      </w:rPr>
                    </m:ctrlPr>
                  </m:fPr>
                  <m:num>
                    <m:r>
                      <w:rPr>
                        <w:rFonts w:ascii="Cambria Math" w:hAnsi="Cambria Math" w:cs="Arial"/>
                        <w:sz w:val="20"/>
                        <w:szCs w:val="20"/>
                      </w:rPr>
                      <m:t>Actual field capacity</m:t>
                    </m:r>
                  </m:num>
                  <m:den>
                    <m:r>
                      <w:rPr>
                        <w:rFonts w:ascii="Cambria Math" w:hAnsi="Cambria Math" w:cs="Arial"/>
                        <w:sz w:val="20"/>
                        <w:szCs w:val="20"/>
                      </w:rPr>
                      <m:t>Theoretical field capacity</m:t>
                    </m:r>
                  </m:den>
                </m:f>
                <m:r>
                  <w:rPr>
                    <w:rFonts w:ascii="Cambria Math" w:hAnsi="Cambria Math" w:cs="Arial"/>
                    <w:sz w:val="20"/>
                    <w:szCs w:val="20"/>
                  </w:rPr>
                  <m:t>×100</m:t>
                </m:r>
              </m:oMath>
            </m:oMathPara>
          </w:p>
        </w:tc>
        <w:tc>
          <w:tcPr>
            <w:tcW w:w="2695" w:type="dxa"/>
            <w:vAlign w:val="center"/>
          </w:tcPr>
          <w:p w14:paraId="733F934D" w14:textId="77777777" w:rsidR="00C574CA" w:rsidRPr="00C574CA" w:rsidRDefault="00C574CA" w:rsidP="00C574CA">
            <w:pPr>
              <w:pStyle w:val="Body"/>
              <w:jc w:val="right"/>
              <w:rPr>
                <w:rFonts w:ascii="Arial" w:eastAsia="Times New Roman" w:hAnsi="Arial" w:cs="Arial"/>
                <w:sz w:val="20"/>
                <w:szCs w:val="20"/>
              </w:rPr>
            </w:pPr>
            <w:r w:rsidRPr="00C574CA">
              <w:rPr>
                <w:rFonts w:ascii="Arial" w:eastAsia="Times New Roman" w:hAnsi="Arial" w:cs="Arial"/>
                <w:sz w:val="20"/>
                <w:szCs w:val="20"/>
              </w:rPr>
              <w:t>………. (5)</w:t>
            </w:r>
          </w:p>
        </w:tc>
      </w:tr>
    </w:tbl>
    <w:p w14:paraId="4512C6D4" w14:textId="77777777" w:rsidR="00C574CA" w:rsidRDefault="00C574CA" w:rsidP="00441B6F">
      <w:pPr>
        <w:pStyle w:val="Body"/>
        <w:spacing w:after="0"/>
        <w:rPr>
          <w:rFonts w:ascii="Arial" w:hAnsi="Arial" w:cs="Arial"/>
        </w:rPr>
      </w:pPr>
    </w:p>
    <w:p w14:paraId="3446891E" w14:textId="34E301D1" w:rsidR="00C574CA" w:rsidRPr="00C574CA" w:rsidRDefault="00C574CA" w:rsidP="00441B6F">
      <w:pPr>
        <w:pStyle w:val="Body"/>
        <w:spacing w:after="0"/>
        <w:rPr>
          <w:rFonts w:ascii="Arial" w:hAnsi="Arial" w:cs="Arial"/>
          <w:b/>
          <w:bCs/>
          <w:sz w:val="22"/>
          <w:szCs w:val="22"/>
        </w:rPr>
      </w:pPr>
      <w:r w:rsidRPr="00C574CA">
        <w:rPr>
          <w:rFonts w:ascii="Arial" w:hAnsi="Arial" w:cs="Arial"/>
          <w:b/>
          <w:bCs/>
          <w:sz w:val="22"/>
          <w:szCs w:val="22"/>
        </w:rPr>
        <w:t>2.5 Cost Economics</w:t>
      </w:r>
    </w:p>
    <w:p w14:paraId="2D5A6D0E" w14:textId="77777777" w:rsidR="00C574CA" w:rsidRDefault="00C574CA" w:rsidP="00441B6F">
      <w:pPr>
        <w:pStyle w:val="Body"/>
        <w:spacing w:after="0"/>
        <w:rPr>
          <w:rFonts w:ascii="Arial" w:hAnsi="Arial" w:cs="Arial"/>
        </w:rPr>
      </w:pPr>
    </w:p>
    <w:p w14:paraId="6E939E0D" w14:textId="77777777" w:rsidR="00C574CA" w:rsidRDefault="00C574CA" w:rsidP="00C574CA">
      <w:pPr>
        <w:pStyle w:val="Body"/>
        <w:spacing w:after="0"/>
        <w:rPr>
          <w:rFonts w:ascii="Arial" w:hAnsi="Arial" w:cs="Arial"/>
        </w:rPr>
      </w:pPr>
      <w:r w:rsidRPr="00C574CA">
        <w:rPr>
          <w:rFonts w:ascii="Arial" w:hAnsi="Arial" w:cs="Arial"/>
        </w:rPr>
        <w:t>Cost economics of the tractor operated boom sprayer was assessed in accordance with IS 9164:1979. It involved the calculation of fixed cost and variable cost. The fixed costs include depreciation, interest, taxes, shelter and insurance. While the variable costs consist of cost viz. repair and maintenance costs, fuel and, oil or lubrication costs, and labour costs. The following formulae were used for calculating these expenditures.</w:t>
      </w:r>
    </w:p>
    <w:p w14:paraId="39216538" w14:textId="77777777" w:rsidR="00C574CA" w:rsidRP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7"/>
        <w:gridCol w:w="2447"/>
      </w:tblGrid>
      <w:tr w:rsidR="00C574CA" w:rsidRPr="00C574CA" w14:paraId="77853F95" w14:textId="77777777" w:rsidTr="00C574CA">
        <w:tc>
          <w:tcPr>
            <w:tcW w:w="6655" w:type="dxa"/>
          </w:tcPr>
          <w:p w14:paraId="3023449F" w14:textId="35370BCC" w:rsidR="00C574CA" w:rsidRPr="00C574CA" w:rsidRDefault="00C574CA" w:rsidP="00C574CA">
            <w:pPr>
              <w:pStyle w:val="Body"/>
              <w:rPr>
                <w:rFonts w:ascii="Arial" w:eastAsia="Times New Roman" w:hAnsi="Arial" w:cs="Arial"/>
              </w:rPr>
            </w:pPr>
            <m:oMathPara>
              <m:oMath>
                <m:r>
                  <w:rPr>
                    <w:rFonts w:ascii="Cambria Math" w:hAnsi="Cambria Math" w:cs="Arial"/>
                  </w:rPr>
                  <m:t>Depreciation(D)=</m:t>
                </m:r>
                <m:f>
                  <m:fPr>
                    <m:ctrlPr>
                      <w:rPr>
                        <w:rFonts w:ascii="Cambria Math" w:eastAsia="Times New Roman" w:hAnsi="Cambria Math" w:cs="Arial"/>
                        <w:i/>
                      </w:rPr>
                    </m:ctrlPr>
                  </m:fPr>
                  <m:num>
                    <m:r>
                      <w:rPr>
                        <w:rFonts w:ascii="Cambria Math" w:hAnsi="Cambria Math" w:cs="Arial"/>
                      </w:rPr>
                      <m:t>P-S</m:t>
                    </m:r>
                  </m:num>
                  <m:den>
                    <m:r>
                      <w:rPr>
                        <w:rFonts w:ascii="Cambria Math" w:hAnsi="Cambria Math" w:cs="Arial"/>
                      </w:rPr>
                      <m:t>L×h</m:t>
                    </m:r>
                  </m:den>
                </m:f>
              </m:oMath>
            </m:oMathPara>
          </w:p>
        </w:tc>
        <w:tc>
          <w:tcPr>
            <w:tcW w:w="2695" w:type="dxa"/>
            <w:vAlign w:val="center"/>
          </w:tcPr>
          <w:p w14:paraId="540C50D1" w14:textId="77777777" w:rsidR="00C574CA" w:rsidRPr="00C574CA" w:rsidRDefault="00C574CA" w:rsidP="00C574CA">
            <w:pPr>
              <w:pStyle w:val="Body"/>
              <w:jc w:val="right"/>
              <w:rPr>
                <w:rFonts w:ascii="Arial" w:eastAsia="Times New Roman" w:hAnsi="Arial" w:cs="Arial"/>
              </w:rPr>
            </w:pPr>
            <w:r w:rsidRPr="00C574CA">
              <w:rPr>
                <w:rFonts w:ascii="Arial" w:eastAsia="Times New Roman" w:hAnsi="Arial" w:cs="Arial"/>
              </w:rPr>
              <w:t>………. (6)</w:t>
            </w:r>
          </w:p>
        </w:tc>
      </w:tr>
      <w:tr w:rsidR="00C574CA" w:rsidRPr="00C574CA" w14:paraId="5D3B60A3" w14:textId="77777777" w:rsidTr="00C574CA">
        <w:tc>
          <w:tcPr>
            <w:tcW w:w="6655" w:type="dxa"/>
          </w:tcPr>
          <w:p w14:paraId="4DE53947" w14:textId="00797DA3" w:rsidR="00C574CA" w:rsidRPr="00C574CA" w:rsidRDefault="00C574CA" w:rsidP="00C574CA">
            <w:pPr>
              <w:pStyle w:val="Body"/>
              <w:rPr>
                <w:rFonts w:ascii="Arial" w:eastAsia="Times New Roman" w:hAnsi="Arial" w:cs="Arial"/>
              </w:rPr>
            </w:pPr>
            <m:oMathPara>
              <m:oMath>
                <m:r>
                  <w:rPr>
                    <w:rFonts w:ascii="Cambria Math" w:hAnsi="Cambria Math" w:cs="Arial"/>
                  </w:rPr>
                  <m:t>Interest</m:t>
                </m:r>
                <m:d>
                  <m:dPr>
                    <m:ctrlPr>
                      <w:rPr>
                        <w:rFonts w:ascii="Cambria Math" w:eastAsia="Times New Roman" w:hAnsi="Cambria Math" w:cs="Arial"/>
                        <w:i/>
                      </w:rPr>
                    </m:ctrlPr>
                  </m:dPr>
                  <m:e>
                    <m:r>
                      <w:rPr>
                        <w:rFonts w:ascii="Cambria Math" w:hAnsi="Cambria Math" w:cs="Arial"/>
                      </w:rPr>
                      <m:t>I</m:t>
                    </m:r>
                  </m:e>
                </m:d>
                <m:r>
                  <w:rPr>
                    <w:rFonts w:ascii="Cambria Math" w:hAnsi="Cambria Math" w:cs="Arial"/>
                  </w:rPr>
                  <m:t>=</m:t>
                </m:r>
                <m:f>
                  <m:fPr>
                    <m:ctrlPr>
                      <w:rPr>
                        <w:rFonts w:ascii="Cambria Math" w:eastAsia="Times New Roman" w:hAnsi="Cambria Math" w:cs="Arial"/>
                        <w:i/>
                      </w:rPr>
                    </m:ctrlPr>
                  </m:fPr>
                  <m:num>
                    <m:r>
                      <w:rPr>
                        <w:rFonts w:ascii="Cambria Math" w:hAnsi="Cambria Math" w:cs="Arial"/>
                      </w:rPr>
                      <m:t>P+S</m:t>
                    </m:r>
                  </m:num>
                  <m:den>
                    <m:r>
                      <w:rPr>
                        <w:rFonts w:ascii="Cambria Math" w:hAnsi="Cambria Math" w:cs="Arial"/>
                      </w:rPr>
                      <m:t>2</m:t>
                    </m:r>
                  </m:den>
                </m:f>
                <m:r>
                  <w:rPr>
                    <w:rFonts w:ascii="Cambria Math" w:hAnsi="Cambria Math" w:cs="Arial"/>
                  </w:rPr>
                  <m:t>×</m:t>
                </m:r>
                <m:f>
                  <m:fPr>
                    <m:ctrlPr>
                      <w:rPr>
                        <w:rFonts w:ascii="Cambria Math" w:eastAsia="Times New Roman" w:hAnsi="Cambria Math" w:cs="Arial"/>
                        <w:i/>
                      </w:rPr>
                    </m:ctrlPr>
                  </m:fPr>
                  <m:num>
                    <m:r>
                      <w:rPr>
                        <w:rFonts w:ascii="Cambria Math" w:hAnsi="Cambria Math" w:cs="Arial"/>
                      </w:rPr>
                      <m:t>i</m:t>
                    </m:r>
                  </m:num>
                  <m:den>
                    <m:r>
                      <w:rPr>
                        <w:rFonts w:ascii="Cambria Math" w:hAnsi="Cambria Math" w:cs="Arial"/>
                      </w:rPr>
                      <m:t>100</m:t>
                    </m:r>
                  </m:den>
                </m:f>
              </m:oMath>
            </m:oMathPara>
          </w:p>
        </w:tc>
        <w:tc>
          <w:tcPr>
            <w:tcW w:w="2695" w:type="dxa"/>
            <w:vAlign w:val="center"/>
          </w:tcPr>
          <w:p w14:paraId="6DD34643" w14:textId="77777777" w:rsidR="00C574CA" w:rsidRPr="00C574CA" w:rsidRDefault="00C574CA" w:rsidP="00C574CA">
            <w:pPr>
              <w:pStyle w:val="Body"/>
              <w:jc w:val="right"/>
              <w:rPr>
                <w:rFonts w:ascii="Arial" w:eastAsia="Times New Roman" w:hAnsi="Arial" w:cs="Arial"/>
              </w:rPr>
            </w:pPr>
            <w:r w:rsidRPr="00C574CA">
              <w:rPr>
                <w:rFonts w:ascii="Arial" w:eastAsia="Times New Roman" w:hAnsi="Arial" w:cs="Arial"/>
              </w:rPr>
              <w:t>………. (7)</w:t>
            </w:r>
          </w:p>
        </w:tc>
      </w:tr>
    </w:tbl>
    <w:p w14:paraId="109216F0" w14:textId="77777777" w:rsidR="00C574CA" w:rsidRDefault="00C574CA" w:rsidP="00C574CA">
      <w:pPr>
        <w:pStyle w:val="Body"/>
        <w:spacing w:after="0"/>
        <w:rPr>
          <w:rFonts w:ascii="Arial" w:hAnsi="Arial" w:cs="Arial"/>
        </w:rPr>
      </w:pPr>
    </w:p>
    <w:p w14:paraId="49F7476C" w14:textId="41345AF4" w:rsidR="00C574CA" w:rsidRPr="00C574CA" w:rsidRDefault="00C574CA" w:rsidP="00C574CA">
      <w:pPr>
        <w:pStyle w:val="Body"/>
        <w:spacing w:after="0"/>
        <w:rPr>
          <w:rFonts w:ascii="Arial" w:hAnsi="Arial" w:cs="Arial"/>
        </w:rPr>
      </w:pPr>
      <w:r w:rsidRPr="00C574CA">
        <w:rPr>
          <w:rFonts w:ascii="Arial" w:hAnsi="Arial" w:cs="Arial"/>
        </w:rPr>
        <w:t xml:space="preserve">Where, </w:t>
      </w:r>
    </w:p>
    <w:p w14:paraId="2E7BDDE4"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P = purchase price of sprayer</w:t>
      </w:r>
    </w:p>
    <w:p w14:paraId="60FC3DA1"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S = salvage value (considered 10% of the purchase price)</w:t>
      </w:r>
    </w:p>
    <w:p w14:paraId="47D54678"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L = Life span of sprayer in year</w:t>
      </w:r>
    </w:p>
    <w:p w14:paraId="5BFD4288" w14:textId="77777777" w:rsid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H = Annual working hours of the sprayer</w:t>
      </w:r>
    </w:p>
    <w:p w14:paraId="6FF9803D" w14:textId="77777777" w:rsidR="00C574CA" w:rsidRPr="00C574CA" w:rsidRDefault="00C574CA" w:rsidP="00C574CA">
      <w:pPr>
        <w:pStyle w:val="Body"/>
        <w:spacing w:after="0"/>
        <w:rPr>
          <w:rFonts w:ascii="Arial" w:hAnsi="Arial" w:cs="Arial"/>
        </w:rPr>
      </w:pPr>
    </w:p>
    <w:p w14:paraId="1DEE4C8D" w14:textId="77777777" w:rsidR="00C574CA" w:rsidRPr="00C574CA" w:rsidRDefault="00C574CA" w:rsidP="00C574CA">
      <w:pPr>
        <w:pStyle w:val="Body"/>
        <w:rPr>
          <w:rFonts w:ascii="Arial" w:hAnsi="Arial" w:cs="Arial"/>
        </w:rPr>
      </w:pPr>
      <w:r w:rsidRPr="00C574CA">
        <w:rPr>
          <w:rFonts w:ascii="Arial" w:hAnsi="Arial" w:cs="Arial"/>
        </w:rPr>
        <w:t>The insurance and shelter costs together were estimated as 2% of the purchase price per year. The variable costs were calculated by calculating the labour and fuel costs based on actual market price. The cost of the lubrication oil was considered as 20% of the fuel cost. While, costs for repair and maintenance were estimated as 10% of the purchase price per year. The total operating cost per hour was calculated by adding up fixed and variable costs.</w:t>
      </w:r>
    </w:p>
    <w:p w14:paraId="1BE2676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commentRangeStart w:id="5"/>
      <w:r>
        <w:rPr>
          <w:rFonts w:ascii="Arial" w:hAnsi="Arial" w:cs="Arial"/>
        </w:rPr>
        <w:t>results</w:t>
      </w:r>
      <w:commentRangeEnd w:id="5"/>
      <w:r w:rsidR="00840E66">
        <w:rPr>
          <w:rStyle w:val="CommentReference"/>
          <w:rFonts w:ascii="Times New Roman" w:hAnsi="Times New Roman"/>
          <w:b w:val="0"/>
          <w:caps w:val="0"/>
          <w:lang w:val="nb-NO" w:eastAsia="nb-NO"/>
        </w:rPr>
        <w:commentReference w:id="5"/>
      </w:r>
      <w:r>
        <w:rPr>
          <w:rFonts w:ascii="Arial" w:hAnsi="Arial" w:cs="Arial"/>
        </w:rPr>
        <w:t xml:space="preserve"> and </w:t>
      </w:r>
      <w:commentRangeStart w:id="6"/>
      <w:r>
        <w:rPr>
          <w:rFonts w:ascii="Arial" w:hAnsi="Arial" w:cs="Arial"/>
        </w:rPr>
        <w:t>discussion</w:t>
      </w:r>
      <w:commentRangeEnd w:id="6"/>
      <w:r w:rsidR="00840E66">
        <w:rPr>
          <w:rStyle w:val="CommentReference"/>
          <w:rFonts w:ascii="Times New Roman" w:hAnsi="Times New Roman"/>
          <w:b w:val="0"/>
          <w:caps w:val="0"/>
          <w:lang w:val="nb-NO" w:eastAsia="nb-NO"/>
        </w:rPr>
        <w:commentReference w:id="6"/>
      </w:r>
    </w:p>
    <w:p w14:paraId="57A56488" w14:textId="77777777" w:rsidR="00790ADA" w:rsidRPr="00FB3A86" w:rsidRDefault="00790ADA" w:rsidP="00441B6F">
      <w:pPr>
        <w:pStyle w:val="Head1"/>
        <w:spacing w:after="0"/>
        <w:jc w:val="both"/>
        <w:rPr>
          <w:rFonts w:ascii="Arial" w:hAnsi="Arial" w:cs="Arial"/>
        </w:rPr>
      </w:pPr>
    </w:p>
    <w:p w14:paraId="68C12EF3" w14:textId="77777777" w:rsidR="00C574CA" w:rsidRPr="00C574CA" w:rsidRDefault="00C574CA" w:rsidP="00C574CA">
      <w:pPr>
        <w:pStyle w:val="Body"/>
        <w:rPr>
          <w:rFonts w:ascii="Arial" w:hAnsi="Arial" w:cs="Arial"/>
        </w:rPr>
      </w:pPr>
      <w:r w:rsidRPr="00C574CA">
        <w:rPr>
          <w:rFonts w:ascii="Arial" w:hAnsi="Arial" w:cs="Arial"/>
        </w:rPr>
        <w:t>The performance evaluation of the tractor-operated boom sprayer was carried out under laboratory and field conditions. The result showed that the nozzle discharge during laboratory testing increased with increase in operating pressure. At 2.0 kg/cm</w:t>
      </w:r>
      <w:r w:rsidRPr="00C574CA">
        <w:rPr>
          <w:rFonts w:ascii="Arial" w:hAnsi="Arial" w:cs="Arial"/>
          <w:vertAlign w:val="superscript"/>
        </w:rPr>
        <w:t>2</w:t>
      </w:r>
      <w:r w:rsidRPr="00C574CA">
        <w:rPr>
          <w:rFonts w:ascii="Arial" w:hAnsi="Arial" w:cs="Arial"/>
        </w:rPr>
        <w:t xml:space="preserve"> pressure, the average nozzle discharge was 1.82 l/min, which increased to 2.15 l/min at 2.5 kg/cm</w:t>
      </w:r>
      <w:r w:rsidRPr="00C574CA">
        <w:rPr>
          <w:rFonts w:ascii="Arial" w:hAnsi="Arial" w:cs="Arial"/>
          <w:vertAlign w:val="superscript"/>
        </w:rPr>
        <w:t>2</w:t>
      </w:r>
      <w:r w:rsidRPr="00C574CA">
        <w:rPr>
          <w:rFonts w:ascii="Arial" w:hAnsi="Arial" w:cs="Arial"/>
        </w:rPr>
        <w:t>, and 2.46 l/min at 3.0 kg/cm</w:t>
      </w:r>
      <w:r w:rsidRPr="00C574CA">
        <w:rPr>
          <w:rFonts w:ascii="Arial" w:hAnsi="Arial" w:cs="Arial"/>
          <w:vertAlign w:val="superscript"/>
        </w:rPr>
        <w:t>2</w:t>
      </w:r>
      <w:r w:rsidRPr="00C574CA">
        <w:rPr>
          <w:rFonts w:ascii="Arial" w:hAnsi="Arial" w:cs="Arial"/>
        </w:rPr>
        <w:t xml:space="preserve">. These findings of linear increase in discharge are consistent with hydraulic nozzle principles, reported by other researchers </w:t>
      </w:r>
      <w:r w:rsidRPr="00C574CA">
        <w:rPr>
          <w:rFonts w:ascii="Arial" w:hAnsi="Arial" w:cs="Arial"/>
        </w:rPr>
        <w:fldChar w:fldCharType="begin"/>
      </w:r>
      <w:r w:rsidRPr="00C574CA">
        <w:rPr>
          <w:rFonts w:ascii="Arial" w:hAnsi="Arial" w:cs="Arial"/>
        </w:rPr>
        <w:instrText xml:space="preserve"> ADDIN ZOTERO_ITEM CSL_CITATION {"citationID":"JvT9dBrK","properties":{"formattedCitation":"(Ghafoor et al., 2022; Jassowal et al., 2016)","plainCitation":"(Ghafoor et al., 2022; Jassowal et al., 2016)","noteIndex":0},"citationItems":[{"id":1183,"uris":["http://zotero.org/users/local/r5hsUw1O/items/JSU732GG"],"itemData":{"id":1183,"type":"article-journal","abstract":"In most Asian countries, farmers have smallholdings ranging from one to two hectares. The tractor-mounted boom sprayers cannot practically be used in small size farms with divided plots and complex terrain. To cope with these issues, a prototype self-propelled crop sprayer was developed, including a 20-hp engine, 300 L liquid tank, and hydraulically-controlled spray boom with eight hollow cone nozzles. The spray symmetry of the hollow cone nozzle was evaluated under four pressures (2.5, 3, 3.5, and 4 bar) in the laboratory. The operating parameters of the sprayer, such as forward speed (4, 6, and 8 km h−1), spray height (40, 55, and 70 cm), and pressure (3, 5, and 7 bar) were optimized by measuring three spray characteristics including droplet density, coverage percentage, and Volume Median Diameter (VMD) in the cotton ﬁeld. The results revealed that the nozzle spray was symmetrical at 2.5 and 3 bar pressure as the R2 value was higher than 0.96. The ﬁeld test result showed that in all treatments, treatments T14 (6 km h−1, 55 cm, 5 bar) and T22 (8 km h−1, 55 cm, 3 bar) were suitable for spraying medium-to-low concentration solution (post-emergence herbicides and fungicides) and high concentration solution (insecticides and pre-emergence herbicides), respectively. The spray characteristics at treatments T14 and T22 were 64.7 droplets cm−2, 26.7%, 230 µm, and 39 droplets cm−2, 14.9%, and 219.8 µm respectively. The ﬁeld efﬁciency of the sprayer was 61%. The spraying cost per unit area was 55–64% less compared to manual labor cost. In conclusion, a prototype self-propelled crop sprayer is an efﬁcient and environment-friendly technology for small farms. Operating the sprayer at the optimal parameters also saves operational costs and time.","container-title":"Sustainability","DOI":"10.3390/su14159204","ISSN":"2071-1050","issue":"15","journalAbbreviation":"Sustainability","language":"en","license":"https://creativecommons.org/licenses/by/4.0/","page":"9204","source":"DOI.org (Crossref)","title":"Development and Evaluation of a Prototype Self-Propelled Crop Sprayer for Agricultural Sustainability in Small Farms","volume":"14","author":[{"family":"Ghafoor","given":"Abdul"},{"family":"Khan","given":"Fraz Ahmad"},{"family":"Khorsandi","given":"Farzaneh"},{"family":"Khan","given":"Muhammad Azam"},{"family":"Nauman","given":"Hafiz Muhammad"},{"family":"Farid","given":"Muhammad Usman"}],"issued":{"date-parts":[["2022",7,27]]}}},{"id":1177,"uris":["http://zotero.org/users/local/r5hsUw1O/items/L2A8URWV"],"itemData":{"id":1177,"type":"article-journal","abstract":"A tractor operated trailed type boom prayer was selected to evaluate its performance under local agro-climatic conditions. The sprayer was operated in the cotton field at three forward speeds (2.5, 3.5 and 4 km/h) and at five fluid flow pressures (3.5, 4.0, 5.0, 6.0 and 7.0 kg/cm2) for its performance evaluation. The volume median diameter (VMD) were in the range of 300–452 μm. Smaller size droplets were obtained at higher pressure. The droplet density on leaves varied from 26 to 177 drops/cm2. Area covered by droplet spots on upper side of the top leaves, middle leaves and bottom leaves varied from 14.18 to 24.70 mm2/cm2, 11.01 to 23.07 mm2/cm2 and 8.74 to 17.22 mm2/cm2 respectively. Volume of spray deposition on upper side of the top leaves, middle leaves and bottom leaves varied from 330.19 to 677.87 × 10−6 cc/cm2, 293.27 to 633.99 × 10−6 cc/cm2 and 202.71 to 685.57 × 10−6 cc/cm2 respectively. Field capacity of the sprayer was 4.23 ha/h at the forward speed of 4.0 km/h and the average fuel consumption was 4.88 l/h.","container-title":"Agricultural Engineering Today","page":"41-52","source":"consensus.app","title":"Field Evaluation of a Tractor Operated Trailed type Boom Sprayer","volume":"40","author":[{"family":"Jassowal","given":"N. S."},{"family":"Singh","given":"S."},{"family":"Dixit","given":"A."},{"family":"Khurana","given":"R."}],"issued":{"date-parts":[["2016"]]}}}],"schema":"https://github.com/citation-style-language/schema/raw/master/csl-citation.json"} </w:instrText>
      </w:r>
      <w:r w:rsidRPr="00C574CA">
        <w:rPr>
          <w:rFonts w:ascii="Arial" w:hAnsi="Arial" w:cs="Arial"/>
        </w:rPr>
        <w:fldChar w:fldCharType="separate"/>
      </w:r>
      <w:r w:rsidRPr="00C574CA">
        <w:rPr>
          <w:rFonts w:ascii="Arial" w:hAnsi="Arial" w:cs="Arial"/>
        </w:rPr>
        <w:t>(Ghafoor et al., 2022; Jassowal et al., 2016)</w:t>
      </w:r>
      <w:r w:rsidRPr="00C574CA">
        <w:rPr>
          <w:rFonts w:ascii="Arial" w:hAnsi="Arial" w:cs="Arial"/>
        </w:rPr>
        <w:fldChar w:fldCharType="end"/>
      </w:r>
      <w:r w:rsidRPr="00C574CA">
        <w:rPr>
          <w:rFonts w:ascii="Arial" w:hAnsi="Arial" w:cs="Arial"/>
        </w:rPr>
        <w:t>. The results also indicated that the operating pressure of 3.0 kg/cm</w:t>
      </w:r>
      <w:r w:rsidRPr="00C574CA">
        <w:rPr>
          <w:rFonts w:ascii="Arial" w:hAnsi="Arial" w:cs="Arial"/>
          <w:vertAlign w:val="superscript"/>
        </w:rPr>
        <w:t>2</w:t>
      </w:r>
      <w:r w:rsidRPr="00C574CA">
        <w:rPr>
          <w:rFonts w:ascii="Arial" w:hAnsi="Arial" w:cs="Arial"/>
        </w:rPr>
        <w:t xml:space="preserve"> provided optimum discharge without causing excessive drift. These findings align with various researchers, who reported better spray coverage at medium pressure levels.</w:t>
      </w:r>
    </w:p>
    <w:p w14:paraId="3F9994A3" w14:textId="563306EE" w:rsidR="00C574CA" w:rsidRDefault="00C574CA" w:rsidP="00C574CA">
      <w:pPr>
        <w:pStyle w:val="Body"/>
        <w:spacing w:after="0"/>
        <w:rPr>
          <w:rFonts w:ascii="Arial" w:hAnsi="Arial" w:cs="Arial"/>
        </w:rPr>
      </w:pPr>
      <w:r w:rsidRPr="00C574CA">
        <w:rPr>
          <w:rFonts w:ascii="Arial" w:hAnsi="Arial" w:cs="Arial"/>
        </w:rPr>
        <w:t xml:space="preserve">During field testing, for a tomato with plastic mulching, decrease pressures was preferred to reduce with the flow onto the mulch while ensuring adequate coverage of the tomato plants. The sprayer tested on pressure of 1 bar, 2 bar and 3 bar which fall inside the endorsed vary of 1.03 to 2.76 bar for flat fan nozzles in this context. The discharge from single nozzle as </w:t>
      </w:r>
      <w:r w:rsidRPr="00C574CA">
        <w:rPr>
          <w:rFonts w:ascii="Arial" w:hAnsi="Arial" w:cs="Arial"/>
        </w:rPr>
        <w:lastRenderedPageBreak/>
        <w:t>well as from complete boom is enlisted in Table 2. This trend is consistent with the hydraulic principle where nozzle flow rate increases with the square root of pressure. It confirms that the sprayer was properly calibrated and able to deliver sufficient spray volume across operating pressures. However, at lower pressure (1.0 kg/cm</w:t>
      </w:r>
      <w:r w:rsidRPr="00C574CA">
        <w:rPr>
          <w:rFonts w:ascii="Arial" w:hAnsi="Arial" w:cs="Arial"/>
          <w:vertAlign w:val="superscript"/>
        </w:rPr>
        <w:t>2</w:t>
      </w:r>
      <w:r w:rsidRPr="00C574CA">
        <w:rPr>
          <w:rFonts w:ascii="Arial" w:hAnsi="Arial" w:cs="Arial"/>
        </w:rPr>
        <w:t>), the discharge was not sufficient enough for large scale spraying operations, though it could be used for delicate crops like Spinach, Lettuce and coriander which requires fine application. At higher pressure (2.0–3.0 kg/cm</w:t>
      </w:r>
      <w:r w:rsidRPr="00C574CA">
        <w:rPr>
          <w:rFonts w:ascii="Arial" w:hAnsi="Arial" w:cs="Arial"/>
          <w:vertAlign w:val="superscript"/>
        </w:rPr>
        <w:t>2</w:t>
      </w:r>
      <w:r w:rsidRPr="00C574CA">
        <w:rPr>
          <w:rFonts w:ascii="Arial" w:hAnsi="Arial" w:cs="Arial"/>
        </w:rPr>
        <w:t>), the sprayer achieved optimum discharge rates, ensuring adequate canopy coverage while minimizing potential drift. The spray angle for flat fan nozzle used in this study was recorded to be 110-120 degree.</w:t>
      </w:r>
    </w:p>
    <w:p w14:paraId="702AAA03" w14:textId="77777777" w:rsidR="00C574CA" w:rsidRDefault="00C574CA" w:rsidP="00C574CA">
      <w:pPr>
        <w:pStyle w:val="Body"/>
        <w:spacing w:after="0"/>
        <w:rPr>
          <w:rFonts w:ascii="Arial" w:hAnsi="Arial" w:cs="Arial"/>
        </w:rPr>
      </w:pPr>
    </w:p>
    <w:p w14:paraId="47D4C475" w14:textId="77777777" w:rsidR="00C574CA" w:rsidRPr="00C574CA" w:rsidRDefault="00C574CA" w:rsidP="00C574CA">
      <w:pPr>
        <w:pStyle w:val="Body"/>
        <w:rPr>
          <w:rFonts w:ascii="Arial" w:hAnsi="Arial" w:cs="Arial"/>
          <w:b/>
          <w:bCs/>
        </w:rPr>
      </w:pPr>
      <w:r w:rsidRPr="00C574CA">
        <w:rPr>
          <w:rFonts w:ascii="Arial" w:hAnsi="Arial" w:cs="Arial"/>
          <w:b/>
          <w:bCs/>
        </w:rPr>
        <w:t>Table 2: Discharge from spray boom in horizontal orientation at different pressure</w:t>
      </w:r>
    </w:p>
    <w:tbl>
      <w:tblPr>
        <w:tblStyle w:val="TableGrid"/>
        <w:tblW w:w="0" w:type="auto"/>
        <w:tblLook w:val="04A0" w:firstRow="1" w:lastRow="0" w:firstColumn="1" w:lastColumn="0" w:noHBand="0" w:noVBand="1"/>
      </w:tblPr>
      <w:tblGrid>
        <w:gridCol w:w="918"/>
        <w:gridCol w:w="1886"/>
        <w:gridCol w:w="2591"/>
        <w:gridCol w:w="3029"/>
      </w:tblGrid>
      <w:tr w:rsidR="00C574CA" w:rsidRPr="00C574CA" w14:paraId="4AB220A4" w14:textId="77777777" w:rsidTr="00C574CA">
        <w:tc>
          <w:tcPr>
            <w:tcW w:w="918" w:type="dxa"/>
            <w:vAlign w:val="center"/>
          </w:tcPr>
          <w:p w14:paraId="15526F39"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S. No</w:t>
            </w:r>
          </w:p>
        </w:tc>
        <w:tc>
          <w:tcPr>
            <w:tcW w:w="1886" w:type="dxa"/>
            <w:vAlign w:val="center"/>
          </w:tcPr>
          <w:p w14:paraId="1681A9E9"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Pressure</w:t>
            </w:r>
          </w:p>
          <w:p w14:paraId="07601F13"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(kg/cm</w:t>
            </w:r>
            <w:r w:rsidRPr="00C574CA">
              <w:rPr>
                <w:rFonts w:ascii="Arial" w:hAnsi="Arial" w:cs="Arial"/>
                <w:b/>
                <w:bCs/>
                <w:vertAlign w:val="superscript"/>
              </w:rPr>
              <w:t>2</w:t>
            </w:r>
            <w:r w:rsidRPr="00C574CA">
              <w:rPr>
                <w:rFonts w:ascii="Arial" w:hAnsi="Arial" w:cs="Arial"/>
                <w:b/>
                <w:bCs/>
              </w:rPr>
              <w:t>)</w:t>
            </w:r>
          </w:p>
        </w:tc>
        <w:tc>
          <w:tcPr>
            <w:tcW w:w="2591" w:type="dxa"/>
            <w:vAlign w:val="center"/>
          </w:tcPr>
          <w:p w14:paraId="0D94BDB3"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Single Nozzle Discharge (ml/min)</w:t>
            </w:r>
          </w:p>
        </w:tc>
        <w:tc>
          <w:tcPr>
            <w:tcW w:w="3029" w:type="dxa"/>
            <w:vAlign w:val="center"/>
          </w:tcPr>
          <w:p w14:paraId="1E3E2C6F"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Total Boom Discharge</w:t>
            </w:r>
          </w:p>
          <w:p w14:paraId="523B5ED6"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(ml/min)</w:t>
            </w:r>
          </w:p>
        </w:tc>
      </w:tr>
      <w:tr w:rsidR="00C574CA" w:rsidRPr="00C574CA" w14:paraId="69B03023" w14:textId="77777777" w:rsidTr="00C574CA">
        <w:tc>
          <w:tcPr>
            <w:tcW w:w="918" w:type="dxa"/>
            <w:vAlign w:val="center"/>
          </w:tcPr>
          <w:p w14:paraId="2E9B18CF"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w:t>
            </w:r>
          </w:p>
        </w:tc>
        <w:tc>
          <w:tcPr>
            <w:tcW w:w="1886" w:type="dxa"/>
            <w:vAlign w:val="center"/>
          </w:tcPr>
          <w:p w14:paraId="0F137FE4"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w:t>
            </w:r>
          </w:p>
        </w:tc>
        <w:tc>
          <w:tcPr>
            <w:tcW w:w="2591" w:type="dxa"/>
            <w:vAlign w:val="center"/>
          </w:tcPr>
          <w:p w14:paraId="7A1DF443" w14:textId="77777777" w:rsidR="00C574CA" w:rsidRPr="00C574CA" w:rsidRDefault="00C574CA" w:rsidP="00C574CA">
            <w:pPr>
              <w:pStyle w:val="Body"/>
              <w:spacing w:after="0"/>
              <w:jc w:val="center"/>
              <w:rPr>
                <w:rFonts w:ascii="Arial" w:hAnsi="Arial" w:cs="Arial"/>
                <w:b/>
                <w:bCs/>
              </w:rPr>
            </w:pPr>
            <w:r w:rsidRPr="00C574CA">
              <w:rPr>
                <w:rFonts w:ascii="Arial" w:hAnsi="Arial" w:cs="Arial"/>
              </w:rPr>
              <w:t>669.17</w:t>
            </w:r>
          </w:p>
        </w:tc>
        <w:tc>
          <w:tcPr>
            <w:tcW w:w="3029" w:type="dxa"/>
            <w:vAlign w:val="center"/>
          </w:tcPr>
          <w:p w14:paraId="6A30B582" w14:textId="77777777" w:rsidR="00C574CA" w:rsidRPr="00C574CA" w:rsidRDefault="00C574CA" w:rsidP="00C574CA">
            <w:pPr>
              <w:pStyle w:val="Body"/>
              <w:spacing w:after="0"/>
              <w:jc w:val="center"/>
              <w:rPr>
                <w:rFonts w:ascii="Arial" w:hAnsi="Arial" w:cs="Arial"/>
                <w:b/>
                <w:bCs/>
              </w:rPr>
            </w:pPr>
            <w:r w:rsidRPr="00C574CA">
              <w:rPr>
                <w:rFonts w:ascii="Arial" w:hAnsi="Arial" w:cs="Arial"/>
              </w:rPr>
              <w:t>8030</w:t>
            </w:r>
          </w:p>
        </w:tc>
      </w:tr>
      <w:tr w:rsidR="00C574CA" w:rsidRPr="00C574CA" w14:paraId="4125D242" w14:textId="77777777" w:rsidTr="00C574CA">
        <w:tc>
          <w:tcPr>
            <w:tcW w:w="918" w:type="dxa"/>
            <w:vAlign w:val="center"/>
          </w:tcPr>
          <w:p w14:paraId="2733AED8" w14:textId="77777777" w:rsidR="00C574CA" w:rsidRPr="00C574CA" w:rsidRDefault="00C574CA" w:rsidP="00C574CA">
            <w:pPr>
              <w:pStyle w:val="Body"/>
              <w:spacing w:after="0"/>
              <w:jc w:val="center"/>
              <w:rPr>
                <w:rFonts w:ascii="Arial" w:hAnsi="Arial" w:cs="Arial"/>
                <w:b/>
                <w:bCs/>
              </w:rPr>
            </w:pPr>
            <w:r w:rsidRPr="00C574CA">
              <w:rPr>
                <w:rFonts w:ascii="Arial" w:hAnsi="Arial" w:cs="Arial"/>
              </w:rPr>
              <w:t>2.</w:t>
            </w:r>
          </w:p>
        </w:tc>
        <w:tc>
          <w:tcPr>
            <w:tcW w:w="1886" w:type="dxa"/>
            <w:vAlign w:val="center"/>
          </w:tcPr>
          <w:p w14:paraId="04C75F2D" w14:textId="77777777" w:rsidR="00C574CA" w:rsidRPr="00C574CA" w:rsidRDefault="00C574CA" w:rsidP="00C574CA">
            <w:pPr>
              <w:pStyle w:val="Body"/>
              <w:spacing w:after="0"/>
              <w:jc w:val="center"/>
              <w:rPr>
                <w:rFonts w:ascii="Arial" w:hAnsi="Arial" w:cs="Arial"/>
                <w:b/>
                <w:bCs/>
              </w:rPr>
            </w:pPr>
            <w:r w:rsidRPr="00C574CA">
              <w:rPr>
                <w:rFonts w:ascii="Arial" w:hAnsi="Arial" w:cs="Arial"/>
              </w:rPr>
              <w:t>2</w:t>
            </w:r>
          </w:p>
        </w:tc>
        <w:tc>
          <w:tcPr>
            <w:tcW w:w="2591" w:type="dxa"/>
            <w:vAlign w:val="center"/>
          </w:tcPr>
          <w:p w14:paraId="6F9AF87E" w14:textId="77777777" w:rsidR="00C574CA" w:rsidRPr="00C574CA" w:rsidRDefault="00C574CA" w:rsidP="00C574CA">
            <w:pPr>
              <w:pStyle w:val="Body"/>
              <w:spacing w:after="0"/>
              <w:jc w:val="center"/>
              <w:rPr>
                <w:rFonts w:ascii="Arial" w:hAnsi="Arial" w:cs="Arial"/>
                <w:b/>
                <w:bCs/>
              </w:rPr>
            </w:pPr>
            <w:r w:rsidRPr="00C574CA">
              <w:rPr>
                <w:rFonts w:ascii="Arial" w:hAnsi="Arial" w:cs="Arial"/>
              </w:rPr>
              <w:t>946.67</w:t>
            </w:r>
          </w:p>
        </w:tc>
        <w:tc>
          <w:tcPr>
            <w:tcW w:w="3029" w:type="dxa"/>
            <w:vAlign w:val="center"/>
          </w:tcPr>
          <w:p w14:paraId="273BEDFD"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11360</w:t>
            </w:r>
          </w:p>
        </w:tc>
      </w:tr>
      <w:tr w:rsidR="00C574CA" w:rsidRPr="00C574CA" w14:paraId="2E19BBDB" w14:textId="77777777" w:rsidTr="00C574CA">
        <w:tc>
          <w:tcPr>
            <w:tcW w:w="918" w:type="dxa"/>
            <w:vAlign w:val="center"/>
          </w:tcPr>
          <w:p w14:paraId="63001587" w14:textId="77777777" w:rsidR="00C574CA" w:rsidRPr="00C574CA" w:rsidRDefault="00C574CA" w:rsidP="00C574CA">
            <w:pPr>
              <w:pStyle w:val="Body"/>
              <w:spacing w:after="0"/>
              <w:jc w:val="center"/>
              <w:rPr>
                <w:rFonts w:ascii="Arial" w:hAnsi="Arial" w:cs="Arial"/>
                <w:b/>
                <w:bCs/>
              </w:rPr>
            </w:pPr>
            <w:r w:rsidRPr="00C574CA">
              <w:rPr>
                <w:rFonts w:ascii="Arial" w:hAnsi="Arial" w:cs="Arial"/>
              </w:rPr>
              <w:t>3.</w:t>
            </w:r>
          </w:p>
        </w:tc>
        <w:tc>
          <w:tcPr>
            <w:tcW w:w="1886" w:type="dxa"/>
            <w:vAlign w:val="center"/>
          </w:tcPr>
          <w:p w14:paraId="1546B6EF" w14:textId="77777777" w:rsidR="00C574CA" w:rsidRPr="00C574CA" w:rsidRDefault="00C574CA" w:rsidP="00C574CA">
            <w:pPr>
              <w:pStyle w:val="Body"/>
              <w:spacing w:after="0"/>
              <w:jc w:val="center"/>
              <w:rPr>
                <w:rFonts w:ascii="Arial" w:hAnsi="Arial" w:cs="Arial"/>
                <w:b/>
                <w:bCs/>
              </w:rPr>
            </w:pPr>
            <w:r w:rsidRPr="00C574CA">
              <w:rPr>
                <w:rFonts w:ascii="Arial" w:hAnsi="Arial" w:cs="Arial"/>
              </w:rPr>
              <w:t>3</w:t>
            </w:r>
          </w:p>
        </w:tc>
        <w:tc>
          <w:tcPr>
            <w:tcW w:w="2591" w:type="dxa"/>
            <w:vAlign w:val="center"/>
          </w:tcPr>
          <w:p w14:paraId="54E4AEF6"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1160</w:t>
            </w:r>
          </w:p>
        </w:tc>
        <w:tc>
          <w:tcPr>
            <w:tcW w:w="3029" w:type="dxa"/>
            <w:vAlign w:val="center"/>
          </w:tcPr>
          <w:p w14:paraId="6418FFC9"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13920</w:t>
            </w:r>
          </w:p>
        </w:tc>
      </w:tr>
      <w:tr w:rsidR="00C574CA" w:rsidRPr="00C574CA" w14:paraId="7497F7EB" w14:textId="77777777" w:rsidTr="00C574CA">
        <w:tc>
          <w:tcPr>
            <w:tcW w:w="8424" w:type="dxa"/>
            <w:gridSpan w:val="4"/>
            <w:vAlign w:val="center"/>
          </w:tcPr>
          <w:p w14:paraId="2C488160" w14:textId="77777777" w:rsidR="00C574CA" w:rsidRPr="00C574CA" w:rsidRDefault="00C574CA" w:rsidP="00C574CA">
            <w:pPr>
              <w:pStyle w:val="Body"/>
              <w:spacing w:after="0"/>
              <w:jc w:val="right"/>
              <w:rPr>
                <w:rFonts w:ascii="Arial" w:hAnsi="Arial" w:cs="Arial"/>
              </w:rPr>
            </w:pPr>
            <w:r w:rsidRPr="00C574CA">
              <w:rPr>
                <w:rFonts w:ascii="Arial" w:hAnsi="Arial" w:cs="Arial"/>
              </w:rPr>
              <w:t>Speed of operation:  3 - 4 kmph</w:t>
            </w:r>
          </w:p>
        </w:tc>
      </w:tr>
    </w:tbl>
    <w:p w14:paraId="485F1FB3" w14:textId="77777777" w:rsidR="00C574CA" w:rsidRDefault="00C574CA" w:rsidP="00C574CA">
      <w:pPr>
        <w:pStyle w:val="Body"/>
        <w:spacing w:after="0"/>
        <w:rPr>
          <w:rFonts w:ascii="Arial" w:hAnsi="Arial" w:cs="Arial"/>
        </w:rPr>
      </w:pPr>
    </w:p>
    <w:p w14:paraId="10F1274F" w14:textId="77777777" w:rsidR="00C574CA" w:rsidRDefault="00C574CA" w:rsidP="00C574CA">
      <w:pPr>
        <w:pStyle w:val="Body"/>
        <w:spacing w:after="0"/>
        <w:rPr>
          <w:rFonts w:ascii="Arial" w:hAnsi="Arial" w:cs="Arial"/>
        </w:rPr>
      </w:pPr>
      <w:r w:rsidRPr="00C574CA">
        <w:rPr>
          <w:rFonts w:ascii="Arial" w:hAnsi="Arial" w:cs="Arial"/>
        </w:rPr>
        <w:t>The swath width was measured as 5.4 m at the boom height of 0.6 m from ground. The application rate of the boom sprayer having swath width of 5.4 m was reported as 385 - 515 l/ha at an operation speed of 3-4 kmph. The theoretical field capacity of the sprayer was estimated as 1.62 – 2.16 ha/hr and effective field capacity as 1.27 – 1.84 ha/hr with field efficiency ranges from 78 to 85%.</w:t>
      </w:r>
    </w:p>
    <w:p w14:paraId="410ABB5C" w14:textId="77777777" w:rsid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C574CA" w:rsidRPr="00C574CA" w14:paraId="0A10BE82" w14:textId="77777777" w:rsidTr="005D1CCC">
        <w:trPr>
          <w:trHeight w:val="3906"/>
        </w:trPr>
        <w:tc>
          <w:tcPr>
            <w:tcW w:w="9350" w:type="dxa"/>
            <w:vAlign w:val="center"/>
          </w:tcPr>
          <w:p w14:paraId="1EA70FAA" w14:textId="77777777" w:rsidR="00C574CA" w:rsidRPr="00C574CA" w:rsidRDefault="00C574CA" w:rsidP="00C574CA">
            <w:pPr>
              <w:pStyle w:val="Body"/>
              <w:spacing w:after="0"/>
              <w:jc w:val="center"/>
              <w:rPr>
                <w:rFonts w:ascii="Arial" w:eastAsia="Times New Roman" w:hAnsi="Arial" w:cs="Arial"/>
              </w:rPr>
            </w:pPr>
            <w:r w:rsidRPr="00C574CA">
              <w:rPr>
                <w:rFonts w:ascii="Arial" w:hAnsi="Arial" w:cs="Arial"/>
                <w:noProof/>
              </w:rPr>
              <w:drawing>
                <wp:inline distT="0" distB="0" distL="0" distR="0" wp14:anchorId="1B91CEB1" wp14:editId="43B324C2">
                  <wp:extent cx="4281268" cy="2536874"/>
                  <wp:effectExtent l="0" t="0" r="5080" b="15875"/>
                  <wp:docPr id="1" name="Chart 1">
                    <a:extLst xmlns:a="http://schemas.openxmlformats.org/drawingml/2006/main">
                      <a:ext uri="{FF2B5EF4-FFF2-40B4-BE49-F238E27FC236}">
                        <a16:creationId xmlns:a16="http://schemas.microsoft.com/office/drawing/2014/main" id="{295B7EBB-ACB2-42B3-9D18-5C7E9A62B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C574CA" w:rsidRPr="00C574CA" w14:paraId="4311C3D0" w14:textId="77777777" w:rsidTr="005D1CCC">
        <w:tc>
          <w:tcPr>
            <w:tcW w:w="9350" w:type="dxa"/>
          </w:tcPr>
          <w:p w14:paraId="3F693B39" w14:textId="77777777" w:rsidR="00C574CA" w:rsidRPr="00C574CA" w:rsidRDefault="00C574CA" w:rsidP="00C574CA">
            <w:pPr>
              <w:pStyle w:val="Body"/>
              <w:spacing w:after="0"/>
              <w:jc w:val="center"/>
              <w:rPr>
                <w:rFonts w:ascii="Arial" w:eastAsia="Times New Roman" w:hAnsi="Arial" w:cs="Arial"/>
                <w:b/>
                <w:bCs/>
              </w:rPr>
            </w:pPr>
            <w:r w:rsidRPr="00C574CA">
              <w:rPr>
                <w:rFonts w:ascii="Arial" w:eastAsia="Times New Roman" w:hAnsi="Arial" w:cs="Arial"/>
                <w:b/>
                <w:bCs/>
              </w:rPr>
              <w:t>Fig. 3: Variation in single nozzle discharge at different operating pressure</w:t>
            </w:r>
          </w:p>
        </w:tc>
      </w:tr>
    </w:tbl>
    <w:p w14:paraId="5AE0BF4B" w14:textId="77777777" w:rsidR="00C574CA" w:rsidRPr="00C574CA" w:rsidRDefault="00C574CA" w:rsidP="00C574CA">
      <w:pPr>
        <w:pStyle w:val="Body"/>
        <w:spacing w:after="0"/>
        <w:rPr>
          <w:rFonts w:ascii="Arial" w:hAnsi="Arial" w:cs="Arial"/>
        </w:rPr>
      </w:pPr>
    </w:p>
    <w:p w14:paraId="19358A97" w14:textId="77777777" w:rsidR="00C574CA" w:rsidRPr="00C574CA" w:rsidRDefault="00C574CA" w:rsidP="00C574CA">
      <w:pPr>
        <w:pStyle w:val="Body"/>
        <w:spacing w:after="0"/>
        <w:rPr>
          <w:rFonts w:ascii="Arial" w:hAnsi="Arial" w:cs="Arial"/>
        </w:rPr>
      </w:pPr>
      <w:r w:rsidRPr="00C574CA">
        <w:rPr>
          <w:rFonts w:ascii="Arial" w:hAnsi="Arial" w:cs="Arial"/>
        </w:rPr>
        <w:t xml:space="preserve">The fuel consumption of the tractor while operating the boom sprayer on a mulched tomato field was measured under actual field conditions as per the methodology described. The average fuel consumption of the tractor during spraying operations was recorded as 2.24 – 2.4 liters per hour. This consumption includes the fuel used for maintaining engine speed, PTO engagement for powering the sprayer pump, and traction during movement across the field. The value is considered efficient for boom sprayers in small- to medium-sized field operations and is in line with standard fuel usage rates for similar tractor-mounted equipment. </w:t>
      </w:r>
    </w:p>
    <w:p w14:paraId="5CC8F603" w14:textId="77777777" w:rsidR="00C574CA" w:rsidRDefault="00C574CA" w:rsidP="00C574CA">
      <w:pPr>
        <w:pStyle w:val="Body"/>
        <w:spacing w:after="0"/>
        <w:rPr>
          <w:rFonts w:ascii="Arial" w:hAnsi="Arial" w:cs="Arial"/>
        </w:rPr>
      </w:pPr>
    </w:p>
    <w:p w14:paraId="3F7B6A23" w14:textId="77777777" w:rsidR="00C574CA" w:rsidRPr="00C574CA" w:rsidRDefault="00C574CA" w:rsidP="00C574CA">
      <w:pPr>
        <w:pStyle w:val="Body"/>
        <w:spacing w:after="0"/>
        <w:rPr>
          <w:rFonts w:ascii="Arial" w:hAnsi="Arial" w:cs="Arial"/>
          <w:b/>
          <w:bCs/>
          <w:sz w:val="22"/>
          <w:szCs w:val="22"/>
        </w:rPr>
      </w:pPr>
      <w:r w:rsidRPr="00C574CA">
        <w:rPr>
          <w:rFonts w:ascii="Arial" w:hAnsi="Arial" w:cs="Arial"/>
          <w:b/>
          <w:bCs/>
          <w:sz w:val="22"/>
          <w:szCs w:val="22"/>
        </w:rPr>
        <w:t xml:space="preserve">3.1 </w:t>
      </w:r>
      <w:bookmarkStart w:id="7" w:name="_Hlk208949001"/>
      <w:r w:rsidRPr="00C574CA">
        <w:rPr>
          <w:rFonts w:ascii="Arial" w:hAnsi="Arial" w:cs="Arial"/>
          <w:b/>
          <w:bCs/>
          <w:sz w:val="22"/>
          <w:szCs w:val="22"/>
        </w:rPr>
        <w:t>Cost analysis</w:t>
      </w:r>
    </w:p>
    <w:bookmarkEnd w:id="7"/>
    <w:p w14:paraId="7AFF7D6A" w14:textId="7CA38E56" w:rsidR="00C574CA" w:rsidRDefault="00C574CA" w:rsidP="00C574CA">
      <w:pPr>
        <w:pStyle w:val="Body"/>
        <w:spacing w:after="0"/>
        <w:rPr>
          <w:rFonts w:ascii="Arial" w:hAnsi="Arial" w:cs="Arial"/>
        </w:rPr>
      </w:pPr>
    </w:p>
    <w:p w14:paraId="0B9CA686" w14:textId="77777777" w:rsidR="00C574CA" w:rsidRPr="00C574CA" w:rsidRDefault="00C574CA" w:rsidP="00C574CA">
      <w:pPr>
        <w:pStyle w:val="Body"/>
        <w:spacing w:after="0"/>
        <w:rPr>
          <w:rFonts w:ascii="Arial" w:hAnsi="Arial" w:cs="Arial"/>
        </w:rPr>
      </w:pPr>
      <w:r w:rsidRPr="00C574CA">
        <w:rPr>
          <w:rFonts w:ascii="Arial" w:hAnsi="Arial" w:cs="Arial"/>
        </w:rPr>
        <w:t>The cost of operation of the tractor-operated boom sprayer was calculated as per the procedure outlined in IS:9164–1979, taking into account both fixed and variable costs. Fixed costs included depreciation, interest, housing, and insurance, while variable costs comprised fuel, lubrication, repair and maintenance, and labor charges. The total fixed cost of the sprayer was estimated at ₹ 77.13 per hour, while the variable cost was ₹ 410.29 per hour, giving a total operating cost of ₹ 487.42 per hour. Considering the measured effective field capacity of 1.27–1.84 ha/hr, the cost of spraying per hectare was calculated to be in the range of ₹ 265 – 384. This operational cost is considerably lower than that of manual spraying using knapsack sprayers, which typically ranges from ₹2000 to ₹2500 per hectare due to higher labor requirements and longer operating times.</w:t>
      </w:r>
    </w:p>
    <w:p w14:paraId="352FA01B" w14:textId="77777777" w:rsidR="00C574CA" w:rsidRDefault="00C574CA" w:rsidP="00C574CA">
      <w:pPr>
        <w:pStyle w:val="Body"/>
        <w:spacing w:after="0"/>
        <w:rPr>
          <w:rFonts w:ascii="Arial" w:hAnsi="Arial" w:cs="Arial"/>
        </w:rPr>
      </w:pPr>
    </w:p>
    <w:tbl>
      <w:tblPr>
        <w:tblStyle w:val="TableGrid"/>
        <w:tblW w:w="8303" w:type="dxa"/>
        <w:tblInd w:w="-5" w:type="dxa"/>
        <w:tblLook w:val="04A0" w:firstRow="1" w:lastRow="0" w:firstColumn="1" w:lastColumn="0" w:noHBand="0" w:noVBand="1"/>
      </w:tblPr>
      <w:tblGrid>
        <w:gridCol w:w="900"/>
        <w:gridCol w:w="2903"/>
        <w:gridCol w:w="2250"/>
        <w:gridCol w:w="2250"/>
      </w:tblGrid>
      <w:tr w:rsidR="00C574CA" w:rsidRPr="00C574CA" w14:paraId="01FACC9F" w14:textId="77777777" w:rsidTr="00DC0AE7">
        <w:trPr>
          <w:trHeight w:val="288"/>
        </w:trPr>
        <w:tc>
          <w:tcPr>
            <w:tcW w:w="900" w:type="dxa"/>
            <w:vAlign w:val="center"/>
          </w:tcPr>
          <w:p w14:paraId="467EB323"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S. No.</w:t>
            </w:r>
          </w:p>
        </w:tc>
        <w:tc>
          <w:tcPr>
            <w:tcW w:w="2903" w:type="dxa"/>
            <w:vAlign w:val="center"/>
          </w:tcPr>
          <w:p w14:paraId="05AB20C2"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Particulars</w:t>
            </w:r>
          </w:p>
        </w:tc>
        <w:tc>
          <w:tcPr>
            <w:tcW w:w="2250" w:type="dxa"/>
            <w:vAlign w:val="center"/>
          </w:tcPr>
          <w:p w14:paraId="11145A31" w14:textId="77777777" w:rsidR="00C574CA" w:rsidRPr="00C574CA" w:rsidRDefault="00C574CA" w:rsidP="00DC0AE7">
            <w:pPr>
              <w:pStyle w:val="Body"/>
              <w:spacing w:after="0"/>
              <w:jc w:val="center"/>
              <w:rPr>
                <w:rFonts w:ascii="Arial" w:hAnsi="Arial" w:cs="Arial"/>
                <w:b/>
                <w:bCs/>
              </w:rPr>
            </w:pPr>
            <w:r w:rsidRPr="00C574CA">
              <w:rPr>
                <w:rFonts w:ascii="Arial" w:hAnsi="Arial" w:cs="Arial"/>
                <w:b/>
                <w:bCs/>
              </w:rPr>
              <w:t>Value</w:t>
            </w:r>
          </w:p>
        </w:tc>
        <w:tc>
          <w:tcPr>
            <w:tcW w:w="2250" w:type="dxa"/>
            <w:vAlign w:val="center"/>
          </w:tcPr>
          <w:p w14:paraId="54D4C79E"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Calculation basis</w:t>
            </w:r>
          </w:p>
        </w:tc>
      </w:tr>
      <w:tr w:rsidR="00C574CA" w:rsidRPr="00C574CA" w14:paraId="013E9697" w14:textId="77777777" w:rsidTr="00DC0AE7">
        <w:trPr>
          <w:trHeight w:val="288"/>
        </w:trPr>
        <w:tc>
          <w:tcPr>
            <w:tcW w:w="900" w:type="dxa"/>
            <w:vAlign w:val="center"/>
          </w:tcPr>
          <w:p w14:paraId="0D88A989" w14:textId="77777777" w:rsidR="00C574CA" w:rsidRPr="00C574CA" w:rsidRDefault="00C574CA" w:rsidP="00DC0AE7">
            <w:pPr>
              <w:pStyle w:val="Body"/>
              <w:spacing w:after="0"/>
              <w:jc w:val="left"/>
              <w:rPr>
                <w:rFonts w:ascii="Arial" w:hAnsi="Arial" w:cs="Arial"/>
              </w:rPr>
            </w:pPr>
          </w:p>
        </w:tc>
        <w:tc>
          <w:tcPr>
            <w:tcW w:w="7403" w:type="dxa"/>
            <w:gridSpan w:val="3"/>
            <w:vAlign w:val="center"/>
          </w:tcPr>
          <w:p w14:paraId="4EDCA1F8"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Fixed costs</w:t>
            </w:r>
          </w:p>
        </w:tc>
      </w:tr>
      <w:tr w:rsidR="00C574CA" w:rsidRPr="00C574CA" w14:paraId="5FE1A77F" w14:textId="77777777" w:rsidTr="00DC0AE7">
        <w:trPr>
          <w:trHeight w:val="288"/>
        </w:trPr>
        <w:tc>
          <w:tcPr>
            <w:tcW w:w="900" w:type="dxa"/>
            <w:vAlign w:val="center"/>
          </w:tcPr>
          <w:p w14:paraId="5923DD1F"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4FE6C5EE" w14:textId="77777777" w:rsidR="00C574CA" w:rsidRPr="00C574CA" w:rsidRDefault="00C574CA" w:rsidP="00DC0AE7">
            <w:pPr>
              <w:pStyle w:val="Body"/>
              <w:spacing w:after="0"/>
              <w:jc w:val="left"/>
              <w:rPr>
                <w:rFonts w:ascii="Arial" w:hAnsi="Arial" w:cs="Arial"/>
              </w:rPr>
            </w:pPr>
            <w:r w:rsidRPr="00C574CA">
              <w:rPr>
                <w:rFonts w:ascii="Arial" w:hAnsi="Arial" w:cs="Arial"/>
              </w:rPr>
              <w:t>Cost of boom sprayer</w:t>
            </w:r>
          </w:p>
        </w:tc>
        <w:tc>
          <w:tcPr>
            <w:tcW w:w="2250" w:type="dxa"/>
            <w:vAlign w:val="center"/>
          </w:tcPr>
          <w:p w14:paraId="63440E54" w14:textId="77777777" w:rsidR="00C574CA" w:rsidRPr="00C574CA" w:rsidRDefault="00C574CA" w:rsidP="00DC0AE7">
            <w:pPr>
              <w:pStyle w:val="Body"/>
              <w:spacing w:after="0"/>
              <w:jc w:val="center"/>
              <w:rPr>
                <w:rFonts w:ascii="Arial" w:hAnsi="Arial" w:cs="Arial"/>
              </w:rPr>
            </w:pPr>
            <w:r w:rsidRPr="00C574CA">
              <w:rPr>
                <w:rFonts w:ascii="Arial" w:hAnsi="Arial" w:cs="Arial"/>
              </w:rPr>
              <w:t>₹ 68,000</w:t>
            </w:r>
          </w:p>
        </w:tc>
        <w:tc>
          <w:tcPr>
            <w:tcW w:w="2250" w:type="dxa"/>
            <w:vAlign w:val="center"/>
          </w:tcPr>
          <w:p w14:paraId="44E6A8AC"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1473B1CF" w14:textId="77777777" w:rsidTr="00DC0AE7">
        <w:trPr>
          <w:trHeight w:val="288"/>
        </w:trPr>
        <w:tc>
          <w:tcPr>
            <w:tcW w:w="900" w:type="dxa"/>
            <w:vAlign w:val="center"/>
          </w:tcPr>
          <w:p w14:paraId="6EE3AB3F"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F2D703F" w14:textId="77777777" w:rsidR="00C574CA" w:rsidRPr="00C574CA" w:rsidRDefault="00C574CA" w:rsidP="00DC0AE7">
            <w:pPr>
              <w:pStyle w:val="Body"/>
              <w:spacing w:after="0"/>
              <w:jc w:val="left"/>
              <w:rPr>
                <w:rFonts w:ascii="Arial" w:hAnsi="Arial" w:cs="Arial"/>
              </w:rPr>
            </w:pPr>
            <w:r w:rsidRPr="00C574CA">
              <w:rPr>
                <w:rFonts w:ascii="Arial" w:hAnsi="Arial" w:cs="Arial"/>
              </w:rPr>
              <w:t>Life span</w:t>
            </w:r>
          </w:p>
        </w:tc>
        <w:tc>
          <w:tcPr>
            <w:tcW w:w="2250" w:type="dxa"/>
            <w:vAlign w:val="center"/>
          </w:tcPr>
          <w:p w14:paraId="7D37EB23" w14:textId="77777777" w:rsidR="00C574CA" w:rsidRPr="00C574CA" w:rsidRDefault="00C574CA" w:rsidP="00DC0AE7">
            <w:pPr>
              <w:pStyle w:val="Body"/>
              <w:spacing w:after="0"/>
              <w:jc w:val="center"/>
              <w:rPr>
                <w:rFonts w:ascii="Arial" w:hAnsi="Arial" w:cs="Arial"/>
              </w:rPr>
            </w:pPr>
            <w:r w:rsidRPr="00C574CA">
              <w:rPr>
                <w:rFonts w:ascii="Arial" w:hAnsi="Arial" w:cs="Arial"/>
              </w:rPr>
              <w:t>8 years</w:t>
            </w:r>
          </w:p>
        </w:tc>
        <w:tc>
          <w:tcPr>
            <w:tcW w:w="2250" w:type="dxa"/>
            <w:vAlign w:val="center"/>
          </w:tcPr>
          <w:p w14:paraId="65449E24"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20F72A79" w14:textId="77777777" w:rsidTr="00DC0AE7">
        <w:trPr>
          <w:trHeight w:val="288"/>
        </w:trPr>
        <w:tc>
          <w:tcPr>
            <w:tcW w:w="900" w:type="dxa"/>
            <w:vAlign w:val="center"/>
          </w:tcPr>
          <w:p w14:paraId="357906C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7F06AD93" w14:textId="77777777" w:rsidR="00C574CA" w:rsidRPr="00C574CA" w:rsidRDefault="00C574CA" w:rsidP="00DC0AE7">
            <w:pPr>
              <w:pStyle w:val="Body"/>
              <w:spacing w:after="0"/>
              <w:jc w:val="left"/>
              <w:rPr>
                <w:rFonts w:ascii="Arial" w:hAnsi="Arial" w:cs="Arial"/>
              </w:rPr>
            </w:pPr>
            <w:r w:rsidRPr="00C574CA">
              <w:rPr>
                <w:rFonts w:ascii="Arial" w:hAnsi="Arial" w:cs="Arial"/>
              </w:rPr>
              <w:t>Working hours per year</w:t>
            </w:r>
          </w:p>
        </w:tc>
        <w:tc>
          <w:tcPr>
            <w:tcW w:w="2250" w:type="dxa"/>
            <w:vAlign w:val="center"/>
          </w:tcPr>
          <w:p w14:paraId="3E3DEF11" w14:textId="77777777" w:rsidR="00C574CA" w:rsidRPr="00C574CA" w:rsidRDefault="00C574CA" w:rsidP="00DC0AE7">
            <w:pPr>
              <w:pStyle w:val="Body"/>
              <w:spacing w:after="0"/>
              <w:jc w:val="center"/>
              <w:rPr>
                <w:rFonts w:ascii="Arial" w:hAnsi="Arial" w:cs="Arial"/>
              </w:rPr>
            </w:pPr>
            <w:r w:rsidRPr="00C574CA">
              <w:rPr>
                <w:rFonts w:ascii="Arial" w:hAnsi="Arial" w:cs="Arial"/>
              </w:rPr>
              <w:t>150 hours</w:t>
            </w:r>
          </w:p>
        </w:tc>
        <w:tc>
          <w:tcPr>
            <w:tcW w:w="2250" w:type="dxa"/>
            <w:vAlign w:val="center"/>
          </w:tcPr>
          <w:p w14:paraId="69093305"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44A4CD48" w14:textId="77777777" w:rsidTr="00DC0AE7">
        <w:trPr>
          <w:trHeight w:val="288"/>
        </w:trPr>
        <w:tc>
          <w:tcPr>
            <w:tcW w:w="900" w:type="dxa"/>
            <w:vAlign w:val="center"/>
          </w:tcPr>
          <w:p w14:paraId="45252DC3"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E596875" w14:textId="77777777" w:rsidR="00C574CA" w:rsidRPr="00C574CA" w:rsidRDefault="00C574CA" w:rsidP="00DC0AE7">
            <w:pPr>
              <w:pStyle w:val="Body"/>
              <w:spacing w:after="0"/>
              <w:jc w:val="left"/>
              <w:rPr>
                <w:rFonts w:ascii="Arial" w:hAnsi="Arial" w:cs="Arial"/>
              </w:rPr>
            </w:pPr>
            <w:r w:rsidRPr="00C574CA">
              <w:rPr>
                <w:rFonts w:ascii="Arial" w:hAnsi="Arial" w:cs="Arial"/>
              </w:rPr>
              <w:t>Salvage value</w:t>
            </w:r>
          </w:p>
        </w:tc>
        <w:tc>
          <w:tcPr>
            <w:tcW w:w="2250" w:type="dxa"/>
            <w:vAlign w:val="center"/>
          </w:tcPr>
          <w:p w14:paraId="07092973" w14:textId="77777777" w:rsidR="00C574CA" w:rsidRPr="00C574CA" w:rsidRDefault="00C574CA" w:rsidP="00DC0AE7">
            <w:pPr>
              <w:pStyle w:val="Body"/>
              <w:spacing w:after="0"/>
              <w:jc w:val="center"/>
              <w:rPr>
                <w:rFonts w:ascii="Arial" w:hAnsi="Arial" w:cs="Arial"/>
              </w:rPr>
            </w:pPr>
            <w:r w:rsidRPr="00C574CA">
              <w:rPr>
                <w:rFonts w:ascii="Arial" w:hAnsi="Arial" w:cs="Arial"/>
              </w:rPr>
              <w:t>₹ 6,800</w:t>
            </w:r>
          </w:p>
        </w:tc>
        <w:tc>
          <w:tcPr>
            <w:tcW w:w="2250" w:type="dxa"/>
            <w:vAlign w:val="center"/>
          </w:tcPr>
          <w:p w14:paraId="0587C532" w14:textId="77777777" w:rsidR="00C574CA" w:rsidRPr="00C574CA" w:rsidRDefault="00C574CA" w:rsidP="00DC0AE7">
            <w:pPr>
              <w:pStyle w:val="Body"/>
              <w:spacing w:after="0"/>
              <w:jc w:val="left"/>
              <w:rPr>
                <w:rFonts w:ascii="Arial" w:hAnsi="Arial" w:cs="Arial"/>
              </w:rPr>
            </w:pPr>
            <w:r w:rsidRPr="00C574CA">
              <w:rPr>
                <w:rFonts w:ascii="Arial" w:hAnsi="Arial" w:cs="Arial"/>
              </w:rPr>
              <w:t>10% of initial cost</w:t>
            </w:r>
          </w:p>
        </w:tc>
      </w:tr>
      <w:tr w:rsidR="00C574CA" w:rsidRPr="00C574CA" w14:paraId="02C05FA3" w14:textId="77777777" w:rsidTr="00DC0AE7">
        <w:trPr>
          <w:trHeight w:val="288"/>
        </w:trPr>
        <w:tc>
          <w:tcPr>
            <w:tcW w:w="900" w:type="dxa"/>
            <w:vAlign w:val="center"/>
          </w:tcPr>
          <w:p w14:paraId="01640CE4"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764F301C" w14:textId="77777777" w:rsidR="00C574CA" w:rsidRPr="00C574CA" w:rsidRDefault="00C574CA" w:rsidP="00DC0AE7">
            <w:pPr>
              <w:pStyle w:val="Body"/>
              <w:spacing w:after="0"/>
              <w:jc w:val="left"/>
              <w:rPr>
                <w:rFonts w:ascii="Arial" w:hAnsi="Arial" w:cs="Arial"/>
              </w:rPr>
            </w:pPr>
            <w:r w:rsidRPr="00C574CA">
              <w:rPr>
                <w:rFonts w:ascii="Arial" w:hAnsi="Arial" w:cs="Arial"/>
              </w:rPr>
              <w:t>Interest rate per year</w:t>
            </w:r>
          </w:p>
        </w:tc>
        <w:tc>
          <w:tcPr>
            <w:tcW w:w="2250" w:type="dxa"/>
            <w:vAlign w:val="center"/>
          </w:tcPr>
          <w:p w14:paraId="56F5A599" w14:textId="77777777" w:rsidR="00C574CA" w:rsidRPr="00C574CA" w:rsidRDefault="00C574CA" w:rsidP="00DC0AE7">
            <w:pPr>
              <w:pStyle w:val="Body"/>
              <w:spacing w:after="0"/>
              <w:jc w:val="center"/>
              <w:rPr>
                <w:rFonts w:ascii="Arial" w:hAnsi="Arial" w:cs="Arial"/>
              </w:rPr>
            </w:pPr>
            <w:r w:rsidRPr="00C574CA">
              <w:rPr>
                <w:rFonts w:ascii="Arial" w:hAnsi="Arial" w:cs="Arial"/>
              </w:rPr>
              <w:t>10%</w:t>
            </w:r>
          </w:p>
        </w:tc>
        <w:tc>
          <w:tcPr>
            <w:tcW w:w="2250" w:type="dxa"/>
            <w:vAlign w:val="center"/>
          </w:tcPr>
          <w:p w14:paraId="28DEB487"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3DC0BF32" w14:textId="77777777" w:rsidTr="00DC0AE7">
        <w:trPr>
          <w:trHeight w:val="288"/>
        </w:trPr>
        <w:tc>
          <w:tcPr>
            <w:tcW w:w="900" w:type="dxa"/>
            <w:vAlign w:val="center"/>
          </w:tcPr>
          <w:p w14:paraId="2921935C"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081EEB2C" w14:textId="77777777" w:rsidR="00C574CA" w:rsidRPr="00C574CA" w:rsidRDefault="00C574CA" w:rsidP="00DC0AE7">
            <w:pPr>
              <w:pStyle w:val="Body"/>
              <w:spacing w:after="0"/>
              <w:jc w:val="left"/>
              <w:rPr>
                <w:rFonts w:ascii="Arial" w:hAnsi="Arial" w:cs="Arial"/>
              </w:rPr>
            </w:pPr>
            <w:r w:rsidRPr="00C574CA">
              <w:rPr>
                <w:rFonts w:ascii="Arial" w:hAnsi="Arial" w:cs="Arial"/>
              </w:rPr>
              <w:t>Housing and insurance</w:t>
            </w:r>
          </w:p>
        </w:tc>
        <w:tc>
          <w:tcPr>
            <w:tcW w:w="2250" w:type="dxa"/>
            <w:vAlign w:val="center"/>
          </w:tcPr>
          <w:p w14:paraId="2530AAB0" w14:textId="77777777" w:rsidR="00C574CA" w:rsidRPr="00C574CA" w:rsidRDefault="00C574CA" w:rsidP="00DC0AE7">
            <w:pPr>
              <w:pStyle w:val="Body"/>
              <w:spacing w:after="0"/>
              <w:jc w:val="center"/>
              <w:rPr>
                <w:rFonts w:ascii="Arial" w:hAnsi="Arial" w:cs="Arial"/>
              </w:rPr>
            </w:pPr>
            <w:r w:rsidRPr="00C574CA">
              <w:rPr>
                <w:rFonts w:ascii="Arial" w:hAnsi="Arial" w:cs="Arial"/>
              </w:rPr>
              <w:t>2% of (a)</w:t>
            </w:r>
          </w:p>
        </w:tc>
        <w:tc>
          <w:tcPr>
            <w:tcW w:w="2250" w:type="dxa"/>
            <w:vAlign w:val="center"/>
          </w:tcPr>
          <w:p w14:paraId="5710E226"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6DB799DA" w14:textId="77777777" w:rsidTr="00DC0AE7">
        <w:trPr>
          <w:trHeight w:val="288"/>
        </w:trPr>
        <w:tc>
          <w:tcPr>
            <w:tcW w:w="900" w:type="dxa"/>
            <w:vAlign w:val="center"/>
          </w:tcPr>
          <w:p w14:paraId="2673B084"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F477924" w14:textId="77777777" w:rsidR="00C574CA" w:rsidRPr="00C574CA" w:rsidRDefault="00C574CA" w:rsidP="00DC0AE7">
            <w:pPr>
              <w:pStyle w:val="Body"/>
              <w:spacing w:after="0"/>
              <w:jc w:val="left"/>
              <w:rPr>
                <w:rFonts w:ascii="Arial" w:hAnsi="Arial" w:cs="Arial"/>
              </w:rPr>
            </w:pPr>
            <w:r w:rsidRPr="00C574CA">
              <w:rPr>
                <w:rFonts w:ascii="Arial" w:hAnsi="Arial" w:cs="Arial"/>
              </w:rPr>
              <w:t>Depreciation cost per hour</w:t>
            </w:r>
          </w:p>
        </w:tc>
        <w:tc>
          <w:tcPr>
            <w:tcW w:w="2250" w:type="dxa"/>
            <w:vAlign w:val="center"/>
          </w:tcPr>
          <w:p w14:paraId="33FF34F8" w14:textId="77777777" w:rsidR="00C574CA" w:rsidRPr="00C574CA" w:rsidRDefault="00C574CA" w:rsidP="00DC0AE7">
            <w:pPr>
              <w:pStyle w:val="Body"/>
              <w:spacing w:after="0"/>
              <w:jc w:val="center"/>
              <w:rPr>
                <w:rFonts w:ascii="Arial" w:hAnsi="Arial" w:cs="Arial"/>
              </w:rPr>
            </w:pPr>
            <w:r w:rsidRPr="00C574CA">
              <w:rPr>
                <w:rFonts w:ascii="Arial" w:hAnsi="Arial" w:cs="Arial"/>
              </w:rPr>
              <w:t>₹ 51</w:t>
            </w:r>
          </w:p>
        </w:tc>
        <w:tc>
          <w:tcPr>
            <w:tcW w:w="2250" w:type="dxa"/>
            <w:vAlign w:val="center"/>
          </w:tcPr>
          <w:p w14:paraId="609FCE3B" w14:textId="77777777" w:rsidR="00C574CA" w:rsidRPr="00C574CA" w:rsidRDefault="00C574CA" w:rsidP="00DC0AE7">
            <w:pPr>
              <w:pStyle w:val="Body"/>
              <w:spacing w:after="0"/>
              <w:jc w:val="left"/>
              <w:rPr>
                <w:rFonts w:ascii="Arial" w:hAnsi="Arial" w:cs="Arial"/>
              </w:rPr>
            </w:pPr>
            <w:r w:rsidRPr="00C574CA">
              <w:rPr>
                <w:rFonts w:ascii="Arial" w:hAnsi="Arial" w:cs="Arial"/>
              </w:rPr>
              <w:t>Equation (6)</w:t>
            </w:r>
          </w:p>
        </w:tc>
      </w:tr>
      <w:tr w:rsidR="00C574CA" w:rsidRPr="00C574CA" w14:paraId="18D90A04" w14:textId="77777777" w:rsidTr="00DC0AE7">
        <w:trPr>
          <w:trHeight w:val="288"/>
        </w:trPr>
        <w:tc>
          <w:tcPr>
            <w:tcW w:w="900" w:type="dxa"/>
            <w:vAlign w:val="center"/>
          </w:tcPr>
          <w:p w14:paraId="37963A08"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93D05DF" w14:textId="77777777" w:rsidR="00C574CA" w:rsidRPr="00C574CA" w:rsidRDefault="00C574CA" w:rsidP="00DC0AE7">
            <w:pPr>
              <w:pStyle w:val="Body"/>
              <w:spacing w:after="0"/>
              <w:jc w:val="left"/>
              <w:rPr>
                <w:rFonts w:ascii="Arial" w:hAnsi="Arial" w:cs="Arial"/>
              </w:rPr>
            </w:pPr>
            <w:r w:rsidRPr="00C574CA">
              <w:rPr>
                <w:rFonts w:ascii="Arial" w:hAnsi="Arial" w:cs="Arial"/>
              </w:rPr>
              <w:t>Interest cost per hour</w:t>
            </w:r>
          </w:p>
        </w:tc>
        <w:tc>
          <w:tcPr>
            <w:tcW w:w="2250" w:type="dxa"/>
            <w:vAlign w:val="center"/>
          </w:tcPr>
          <w:p w14:paraId="551701FE" w14:textId="77777777" w:rsidR="00C574CA" w:rsidRPr="00C574CA" w:rsidRDefault="00C574CA" w:rsidP="00DC0AE7">
            <w:pPr>
              <w:pStyle w:val="Body"/>
              <w:spacing w:after="0"/>
              <w:jc w:val="center"/>
              <w:rPr>
                <w:rFonts w:ascii="Arial" w:hAnsi="Arial" w:cs="Arial"/>
              </w:rPr>
            </w:pPr>
            <w:r w:rsidRPr="00C574CA">
              <w:rPr>
                <w:rFonts w:ascii="Arial" w:hAnsi="Arial" w:cs="Arial"/>
              </w:rPr>
              <w:t>₹ 25</w:t>
            </w:r>
          </w:p>
        </w:tc>
        <w:tc>
          <w:tcPr>
            <w:tcW w:w="2250" w:type="dxa"/>
            <w:vAlign w:val="center"/>
          </w:tcPr>
          <w:p w14:paraId="6EB46023" w14:textId="77777777" w:rsidR="00C574CA" w:rsidRPr="00C574CA" w:rsidRDefault="00C574CA" w:rsidP="00DC0AE7">
            <w:pPr>
              <w:pStyle w:val="Body"/>
              <w:spacing w:after="0"/>
              <w:jc w:val="left"/>
              <w:rPr>
                <w:rFonts w:ascii="Arial" w:hAnsi="Arial" w:cs="Arial"/>
              </w:rPr>
            </w:pPr>
            <w:r w:rsidRPr="00C574CA">
              <w:rPr>
                <w:rFonts w:ascii="Arial" w:hAnsi="Arial" w:cs="Arial"/>
              </w:rPr>
              <w:t>Equation (7)</w:t>
            </w:r>
          </w:p>
        </w:tc>
      </w:tr>
      <w:tr w:rsidR="00C574CA" w:rsidRPr="00C574CA" w14:paraId="18593DAB" w14:textId="77777777" w:rsidTr="00DC0AE7">
        <w:trPr>
          <w:trHeight w:val="288"/>
        </w:trPr>
        <w:tc>
          <w:tcPr>
            <w:tcW w:w="900" w:type="dxa"/>
            <w:vAlign w:val="center"/>
          </w:tcPr>
          <w:p w14:paraId="5961F320"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DB8EAE5" w14:textId="77777777" w:rsidR="00C574CA" w:rsidRPr="00C574CA" w:rsidRDefault="00C574CA" w:rsidP="00DC0AE7">
            <w:pPr>
              <w:pStyle w:val="Body"/>
              <w:spacing w:after="0"/>
              <w:jc w:val="left"/>
              <w:rPr>
                <w:rFonts w:ascii="Arial" w:hAnsi="Arial" w:cs="Arial"/>
              </w:rPr>
            </w:pPr>
            <w:r w:rsidRPr="00C574CA">
              <w:rPr>
                <w:rFonts w:ascii="Arial" w:hAnsi="Arial" w:cs="Arial"/>
              </w:rPr>
              <w:t>Housing and insurance cost per hour</w:t>
            </w:r>
          </w:p>
        </w:tc>
        <w:tc>
          <w:tcPr>
            <w:tcW w:w="2250" w:type="dxa"/>
            <w:vAlign w:val="center"/>
          </w:tcPr>
          <w:p w14:paraId="5A18059E" w14:textId="77777777" w:rsidR="00C574CA" w:rsidRPr="00C574CA" w:rsidRDefault="00C574CA" w:rsidP="00DC0AE7">
            <w:pPr>
              <w:pStyle w:val="Body"/>
              <w:spacing w:after="0"/>
              <w:jc w:val="center"/>
              <w:rPr>
                <w:rFonts w:ascii="Arial" w:hAnsi="Arial" w:cs="Arial"/>
              </w:rPr>
            </w:pPr>
            <w:r w:rsidRPr="00C574CA">
              <w:rPr>
                <w:rFonts w:ascii="Arial" w:hAnsi="Arial" w:cs="Arial"/>
              </w:rPr>
              <w:t>₹ 1.133</w:t>
            </w:r>
          </w:p>
        </w:tc>
        <w:tc>
          <w:tcPr>
            <w:tcW w:w="2250" w:type="dxa"/>
            <w:vAlign w:val="center"/>
          </w:tcPr>
          <w:p w14:paraId="669C619A" w14:textId="77777777" w:rsidR="00C574CA" w:rsidRPr="00C574CA" w:rsidRDefault="00C574CA" w:rsidP="00DC0AE7">
            <w:pPr>
              <w:pStyle w:val="Body"/>
              <w:spacing w:after="0"/>
              <w:jc w:val="left"/>
              <w:rPr>
                <w:rFonts w:ascii="Arial" w:hAnsi="Arial" w:cs="Arial"/>
              </w:rPr>
            </w:pPr>
            <w:r w:rsidRPr="00C574CA">
              <w:rPr>
                <w:rFonts w:ascii="Arial" w:hAnsi="Arial" w:cs="Arial"/>
              </w:rPr>
              <w:t>2% of purchase price</w:t>
            </w:r>
          </w:p>
        </w:tc>
      </w:tr>
      <w:tr w:rsidR="00C574CA" w:rsidRPr="00C574CA" w14:paraId="459C0982" w14:textId="77777777" w:rsidTr="00DC0AE7">
        <w:trPr>
          <w:trHeight w:val="288"/>
        </w:trPr>
        <w:tc>
          <w:tcPr>
            <w:tcW w:w="900" w:type="dxa"/>
            <w:vAlign w:val="center"/>
          </w:tcPr>
          <w:p w14:paraId="329F921A"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EB4C624" w14:textId="77777777" w:rsidR="00C574CA" w:rsidRPr="00C574CA" w:rsidRDefault="00C574CA" w:rsidP="00DC0AE7">
            <w:pPr>
              <w:pStyle w:val="Body"/>
              <w:spacing w:after="0"/>
              <w:jc w:val="left"/>
              <w:rPr>
                <w:rFonts w:ascii="Arial" w:hAnsi="Arial" w:cs="Arial"/>
              </w:rPr>
            </w:pPr>
            <w:r w:rsidRPr="00C574CA">
              <w:rPr>
                <w:rFonts w:ascii="Arial" w:hAnsi="Arial" w:cs="Arial"/>
              </w:rPr>
              <w:t>Total Fixed cost per hour</w:t>
            </w:r>
          </w:p>
        </w:tc>
        <w:tc>
          <w:tcPr>
            <w:tcW w:w="2250" w:type="dxa"/>
            <w:vAlign w:val="center"/>
          </w:tcPr>
          <w:p w14:paraId="68220C9F" w14:textId="77777777" w:rsidR="00C574CA" w:rsidRPr="00C574CA" w:rsidRDefault="00C574CA" w:rsidP="00DC0AE7">
            <w:pPr>
              <w:pStyle w:val="Body"/>
              <w:spacing w:after="0"/>
              <w:jc w:val="center"/>
              <w:rPr>
                <w:rFonts w:ascii="Arial" w:hAnsi="Arial" w:cs="Arial"/>
              </w:rPr>
            </w:pPr>
            <w:r w:rsidRPr="00C574CA">
              <w:rPr>
                <w:rFonts w:ascii="Arial" w:hAnsi="Arial" w:cs="Arial"/>
              </w:rPr>
              <w:t>₹ 77.133</w:t>
            </w:r>
          </w:p>
        </w:tc>
        <w:tc>
          <w:tcPr>
            <w:tcW w:w="2250" w:type="dxa"/>
            <w:vAlign w:val="center"/>
          </w:tcPr>
          <w:p w14:paraId="7D4B1CC7" w14:textId="77777777" w:rsidR="00C574CA" w:rsidRPr="00C574CA" w:rsidRDefault="00C574CA" w:rsidP="00DC0AE7">
            <w:pPr>
              <w:pStyle w:val="Body"/>
              <w:spacing w:after="0"/>
              <w:jc w:val="left"/>
              <w:rPr>
                <w:rFonts w:ascii="Arial" w:hAnsi="Arial" w:cs="Arial"/>
              </w:rPr>
            </w:pPr>
            <w:r w:rsidRPr="00C574CA">
              <w:rPr>
                <w:rFonts w:ascii="Arial" w:hAnsi="Arial" w:cs="Arial"/>
              </w:rPr>
              <w:t>-</w:t>
            </w:r>
          </w:p>
        </w:tc>
      </w:tr>
      <w:tr w:rsidR="00C574CA" w:rsidRPr="00C574CA" w14:paraId="09184DAC" w14:textId="77777777" w:rsidTr="00DC0AE7">
        <w:trPr>
          <w:trHeight w:val="288"/>
        </w:trPr>
        <w:tc>
          <w:tcPr>
            <w:tcW w:w="900" w:type="dxa"/>
            <w:vAlign w:val="center"/>
          </w:tcPr>
          <w:p w14:paraId="0E25ACF3" w14:textId="77777777" w:rsidR="00C574CA" w:rsidRPr="00C574CA" w:rsidRDefault="00C574CA" w:rsidP="00DC0AE7">
            <w:pPr>
              <w:pStyle w:val="Body"/>
              <w:spacing w:after="0"/>
              <w:jc w:val="left"/>
              <w:rPr>
                <w:rFonts w:ascii="Arial" w:hAnsi="Arial" w:cs="Arial"/>
                <w:b/>
                <w:bCs/>
              </w:rPr>
            </w:pPr>
          </w:p>
        </w:tc>
        <w:tc>
          <w:tcPr>
            <w:tcW w:w="7403" w:type="dxa"/>
            <w:gridSpan w:val="3"/>
            <w:vAlign w:val="center"/>
          </w:tcPr>
          <w:p w14:paraId="5668AF42"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Variable costs</w:t>
            </w:r>
          </w:p>
        </w:tc>
      </w:tr>
      <w:tr w:rsidR="00C574CA" w:rsidRPr="00C574CA" w14:paraId="427F486C" w14:textId="77777777" w:rsidTr="00DC0AE7">
        <w:trPr>
          <w:trHeight w:val="288"/>
        </w:trPr>
        <w:tc>
          <w:tcPr>
            <w:tcW w:w="900" w:type="dxa"/>
            <w:vAlign w:val="center"/>
          </w:tcPr>
          <w:p w14:paraId="04687909"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6F7EE91" w14:textId="77777777" w:rsidR="00C574CA" w:rsidRPr="00C574CA" w:rsidRDefault="00C574CA" w:rsidP="00DC0AE7">
            <w:pPr>
              <w:pStyle w:val="Body"/>
              <w:spacing w:after="0"/>
              <w:jc w:val="left"/>
              <w:rPr>
                <w:rFonts w:ascii="Arial" w:hAnsi="Arial" w:cs="Arial"/>
              </w:rPr>
            </w:pPr>
            <w:r w:rsidRPr="00C574CA">
              <w:rPr>
                <w:rFonts w:ascii="Arial" w:hAnsi="Arial" w:cs="Arial"/>
              </w:rPr>
              <w:t>Fuel Price per liter</w:t>
            </w:r>
          </w:p>
        </w:tc>
        <w:tc>
          <w:tcPr>
            <w:tcW w:w="2250" w:type="dxa"/>
            <w:vAlign w:val="center"/>
          </w:tcPr>
          <w:p w14:paraId="6087EF2A" w14:textId="77777777" w:rsidR="00C574CA" w:rsidRPr="00C574CA" w:rsidRDefault="00C574CA" w:rsidP="00DC0AE7">
            <w:pPr>
              <w:pStyle w:val="Body"/>
              <w:spacing w:after="0"/>
              <w:jc w:val="center"/>
              <w:rPr>
                <w:rFonts w:ascii="Arial" w:hAnsi="Arial" w:cs="Arial"/>
              </w:rPr>
            </w:pPr>
            <w:r w:rsidRPr="00C574CA">
              <w:rPr>
                <w:rFonts w:ascii="Arial" w:hAnsi="Arial" w:cs="Arial"/>
              </w:rPr>
              <w:t>₹ 92</w:t>
            </w:r>
          </w:p>
        </w:tc>
        <w:tc>
          <w:tcPr>
            <w:tcW w:w="2250" w:type="dxa"/>
            <w:vAlign w:val="center"/>
          </w:tcPr>
          <w:p w14:paraId="59EF0AD4"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20FE394E" w14:textId="77777777" w:rsidTr="00DC0AE7">
        <w:trPr>
          <w:trHeight w:val="288"/>
        </w:trPr>
        <w:tc>
          <w:tcPr>
            <w:tcW w:w="900" w:type="dxa"/>
            <w:vAlign w:val="center"/>
          </w:tcPr>
          <w:p w14:paraId="280A362C"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ACCEEC8" w14:textId="77777777" w:rsidR="00C574CA" w:rsidRPr="00C574CA" w:rsidRDefault="00C574CA" w:rsidP="00DC0AE7">
            <w:pPr>
              <w:pStyle w:val="Body"/>
              <w:spacing w:after="0"/>
              <w:jc w:val="left"/>
              <w:rPr>
                <w:rFonts w:ascii="Arial" w:hAnsi="Arial" w:cs="Arial"/>
              </w:rPr>
            </w:pPr>
            <w:r w:rsidRPr="00C574CA">
              <w:rPr>
                <w:rFonts w:ascii="Arial" w:hAnsi="Arial" w:cs="Arial"/>
              </w:rPr>
              <w:t>Lubrication</w:t>
            </w:r>
          </w:p>
        </w:tc>
        <w:tc>
          <w:tcPr>
            <w:tcW w:w="2250" w:type="dxa"/>
            <w:vAlign w:val="center"/>
          </w:tcPr>
          <w:p w14:paraId="12F13C5C" w14:textId="77777777" w:rsidR="00C574CA" w:rsidRPr="00C574CA" w:rsidRDefault="00C574CA" w:rsidP="00DC0AE7">
            <w:pPr>
              <w:pStyle w:val="Body"/>
              <w:spacing w:after="0"/>
              <w:jc w:val="center"/>
              <w:rPr>
                <w:rFonts w:ascii="Arial" w:hAnsi="Arial" w:cs="Arial"/>
              </w:rPr>
            </w:pPr>
            <w:r w:rsidRPr="00C574CA">
              <w:rPr>
                <w:rFonts w:ascii="Arial" w:hAnsi="Arial" w:cs="Arial"/>
              </w:rPr>
              <w:t>20% of fuel price</w:t>
            </w:r>
          </w:p>
        </w:tc>
        <w:tc>
          <w:tcPr>
            <w:tcW w:w="2250" w:type="dxa"/>
            <w:vAlign w:val="center"/>
          </w:tcPr>
          <w:p w14:paraId="4BA556C2"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73AEE347" w14:textId="77777777" w:rsidTr="00DC0AE7">
        <w:trPr>
          <w:trHeight w:val="288"/>
        </w:trPr>
        <w:tc>
          <w:tcPr>
            <w:tcW w:w="900" w:type="dxa"/>
            <w:vAlign w:val="center"/>
          </w:tcPr>
          <w:p w14:paraId="53E91D3B"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1134D9B" w14:textId="77777777" w:rsidR="00C574CA" w:rsidRPr="00C574CA" w:rsidRDefault="00C574CA" w:rsidP="00DC0AE7">
            <w:pPr>
              <w:pStyle w:val="Body"/>
              <w:spacing w:after="0"/>
              <w:jc w:val="left"/>
              <w:rPr>
                <w:rFonts w:ascii="Arial" w:hAnsi="Arial" w:cs="Arial"/>
              </w:rPr>
            </w:pPr>
            <w:r w:rsidRPr="00C574CA">
              <w:rPr>
                <w:rFonts w:ascii="Arial" w:hAnsi="Arial" w:cs="Arial"/>
              </w:rPr>
              <w:t>Repair and maintenance</w:t>
            </w:r>
          </w:p>
        </w:tc>
        <w:tc>
          <w:tcPr>
            <w:tcW w:w="2250" w:type="dxa"/>
            <w:vAlign w:val="center"/>
          </w:tcPr>
          <w:p w14:paraId="4C94FFBC" w14:textId="77777777" w:rsidR="00C574CA" w:rsidRPr="00C574CA" w:rsidRDefault="00C574CA" w:rsidP="00DC0AE7">
            <w:pPr>
              <w:pStyle w:val="Body"/>
              <w:spacing w:after="0"/>
              <w:jc w:val="center"/>
              <w:rPr>
                <w:rFonts w:ascii="Arial" w:hAnsi="Arial" w:cs="Arial"/>
              </w:rPr>
            </w:pPr>
            <w:r w:rsidRPr="00C574CA">
              <w:rPr>
                <w:rFonts w:ascii="Arial" w:hAnsi="Arial" w:cs="Arial"/>
              </w:rPr>
              <w:t>10% of (a) per year</w:t>
            </w:r>
          </w:p>
        </w:tc>
        <w:tc>
          <w:tcPr>
            <w:tcW w:w="2250" w:type="dxa"/>
            <w:vAlign w:val="center"/>
          </w:tcPr>
          <w:p w14:paraId="0B23B3A1"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518F627D" w14:textId="77777777" w:rsidTr="00DC0AE7">
        <w:trPr>
          <w:trHeight w:val="288"/>
        </w:trPr>
        <w:tc>
          <w:tcPr>
            <w:tcW w:w="900" w:type="dxa"/>
            <w:vAlign w:val="center"/>
          </w:tcPr>
          <w:p w14:paraId="1752190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4397BDBF" w14:textId="77777777" w:rsidR="00C574CA" w:rsidRPr="00C574CA" w:rsidRDefault="00C574CA" w:rsidP="00DC0AE7">
            <w:pPr>
              <w:pStyle w:val="Body"/>
              <w:spacing w:after="0"/>
              <w:jc w:val="left"/>
              <w:rPr>
                <w:rFonts w:ascii="Arial" w:hAnsi="Arial" w:cs="Arial"/>
              </w:rPr>
            </w:pPr>
            <w:r w:rsidRPr="00C574CA">
              <w:rPr>
                <w:rFonts w:ascii="Arial" w:hAnsi="Arial" w:cs="Arial"/>
              </w:rPr>
              <w:t>Operator wage</w:t>
            </w:r>
          </w:p>
        </w:tc>
        <w:tc>
          <w:tcPr>
            <w:tcW w:w="2250" w:type="dxa"/>
            <w:vAlign w:val="center"/>
          </w:tcPr>
          <w:p w14:paraId="2F5720CE" w14:textId="77777777" w:rsidR="00C574CA" w:rsidRPr="00C574CA" w:rsidRDefault="00C574CA" w:rsidP="00DC0AE7">
            <w:pPr>
              <w:pStyle w:val="Body"/>
              <w:spacing w:after="0"/>
              <w:jc w:val="center"/>
              <w:rPr>
                <w:rFonts w:ascii="Arial" w:hAnsi="Arial" w:cs="Arial"/>
              </w:rPr>
            </w:pPr>
            <w:r w:rsidRPr="00C574CA">
              <w:rPr>
                <w:rFonts w:ascii="Arial" w:hAnsi="Arial" w:cs="Arial"/>
              </w:rPr>
              <w:t>₹ 100 per hour</w:t>
            </w:r>
          </w:p>
        </w:tc>
        <w:tc>
          <w:tcPr>
            <w:tcW w:w="2250" w:type="dxa"/>
            <w:vAlign w:val="center"/>
          </w:tcPr>
          <w:p w14:paraId="3C923F33"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747C0C9F" w14:textId="77777777" w:rsidTr="00DC0AE7">
        <w:trPr>
          <w:trHeight w:val="288"/>
        </w:trPr>
        <w:tc>
          <w:tcPr>
            <w:tcW w:w="900" w:type="dxa"/>
            <w:vAlign w:val="center"/>
          </w:tcPr>
          <w:p w14:paraId="04C242E2"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B8C9A0A" w14:textId="77777777" w:rsidR="00C574CA" w:rsidRPr="00C574CA" w:rsidRDefault="00C574CA" w:rsidP="00DC0AE7">
            <w:pPr>
              <w:pStyle w:val="Body"/>
              <w:spacing w:after="0"/>
              <w:jc w:val="left"/>
              <w:rPr>
                <w:rFonts w:ascii="Arial" w:hAnsi="Arial" w:cs="Arial"/>
              </w:rPr>
            </w:pPr>
            <w:r w:rsidRPr="00C574CA">
              <w:rPr>
                <w:rFonts w:ascii="Arial" w:hAnsi="Arial" w:cs="Arial"/>
              </w:rPr>
              <w:t>Fuel cost per hour</w:t>
            </w:r>
          </w:p>
        </w:tc>
        <w:tc>
          <w:tcPr>
            <w:tcW w:w="2250" w:type="dxa"/>
            <w:vAlign w:val="center"/>
          </w:tcPr>
          <w:p w14:paraId="4BFE457A" w14:textId="77777777" w:rsidR="00C574CA" w:rsidRPr="00C574CA" w:rsidRDefault="00C574CA" w:rsidP="00DC0AE7">
            <w:pPr>
              <w:pStyle w:val="Body"/>
              <w:spacing w:after="0"/>
              <w:jc w:val="center"/>
              <w:rPr>
                <w:rFonts w:ascii="Arial" w:hAnsi="Arial" w:cs="Arial"/>
              </w:rPr>
            </w:pPr>
            <w:r w:rsidRPr="00C574CA">
              <w:rPr>
                <w:rFonts w:ascii="Arial" w:hAnsi="Arial" w:cs="Arial"/>
              </w:rPr>
              <w:t>₹ 220.8</w:t>
            </w:r>
          </w:p>
        </w:tc>
        <w:tc>
          <w:tcPr>
            <w:tcW w:w="2250" w:type="dxa"/>
            <w:vAlign w:val="center"/>
          </w:tcPr>
          <w:p w14:paraId="74BC3CF9" w14:textId="77777777" w:rsidR="00C574CA" w:rsidRPr="00C574CA" w:rsidRDefault="00C574CA" w:rsidP="00DC0AE7">
            <w:pPr>
              <w:pStyle w:val="Body"/>
              <w:spacing w:after="0"/>
              <w:jc w:val="left"/>
              <w:rPr>
                <w:rFonts w:ascii="Arial" w:hAnsi="Arial" w:cs="Arial"/>
              </w:rPr>
            </w:pPr>
            <w:r w:rsidRPr="00C574CA">
              <w:rPr>
                <w:rFonts w:ascii="Arial" w:hAnsi="Arial" w:cs="Arial"/>
              </w:rPr>
              <w:t>Fuel consumption - 2.4 l/hr</w:t>
            </w:r>
          </w:p>
        </w:tc>
      </w:tr>
      <w:tr w:rsidR="00C574CA" w:rsidRPr="00C574CA" w14:paraId="419DD30E" w14:textId="77777777" w:rsidTr="00DC0AE7">
        <w:trPr>
          <w:trHeight w:val="288"/>
        </w:trPr>
        <w:tc>
          <w:tcPr>
            <w:tcW w:w="900" w:type="dxa"/>
            <w:vAlign w:val="center"/>
          </w:tcPr>
          <w:p w14:paraId="55FD2CD1"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6CAD2DE8" w14:textId="77777777" w:rsidR="00C574CA" w:rsidRPr="00C574CA" w:rsidRDefault="00C574CA" w:rsidP="00DC0AE7">
            <w:pPr>
              <w:pStyle w:val="Body"/>
              <w:spacing w:after="0"/>
              <w:jc w:val="left"/>
              <w:rPr>
                <w:rFonts w:ascii="Arial" w:hAnsi="Arial" w:cs="Arial"/>
              </w:rPr>
            </w:pPr>
            <w:r w:rsidRPr="00C574CA">
              <w:rPr>
                <w:rFonts w:ascii="Arial" w:hAnsi="Arial" w:cs="Arial"/>
              </w:rPr>
              <w:t>Lubrication cost per hour</w:t>
            </w:r>
          </w:p>
        </w:tc>
        <w:tc>
          <w:tcPr>
            <w:tcW w:w="2250" w:type="dxa"/>
            <w:vAlign w:val="center"/>
          </w:tcPr>
          <w:p w14:paraId="4AC71145" w14:textId="77777777" w:rsidR="00C574CA" w:rsidRPr="00C574CA" w:rsidRDefault="00C574CA" w:rsidP="00DC0AE7">
            <w:pPr>
              <w:pStyle w:val="Body"/>
              <w:spacing w:after="0"/>
              <w:jc w:val="center"/>
              <w:rPr>
                <w:rFonts w:ascii="Arial" w:hAnsi="Arial" w:cs="Arial"/>
              </w:rPr>
            </w:pPr>
            <w:r w:rsidRPr="00C574CA">
              <w:rPr>
                <w:rFonts w:ascii="Arial" w:hAnsi="Arial" w:cs="Arial"/>
              </w:rPr>
              <w:t>₹ 44.16</w:t>
            </w:r>
          </w:p>
        </w:tc>
        <w:tc>
          <w:tcPr>
            <w:tcW w:w="2250" w:type="dxa"/>
            <w:vAlign w:val="center"/>
          </w:tcPr>
          <w:p w14:paraId="51EE64CC" w14:textId="77777777" w:rsidR="00C574CA" w:rsidRPr="00C574CA" w:rsidRDefault="00C574CA" w:rsidP="00DC0AE7">
            <w:pPr>
              <w:pStyle w:val="Body"/>
              <w:spacing w:after="0"/>
              <w:jc w:val="left"/>
              <w:rPr>
                <w:rFonts w:ascii="Arial" w:hAnsi="Arial" w:cs="Arial"/>
              </w:rPr>
            </w:pPr>
          </w:p>
        </w:tc>
      </w:tr>
      <w:tr w:rsidR="00C574CA" w:rsidRPr="00C574CA" w14:paraId="3D63C21D" w14:textId="77777777" w:rsidTr="00DC0AE7">
        <w:trPr>
          <w:trHeight w:val="288"/>
        </w:trPr>
        <w:tc>
          <w:tcPr>
            <w:tcW w:w="900" w:type="dxa"/>
            <w:vAlign w:val="center"/>
          </w:tcPr>
          <w:p w14:paraId="5EB69DF8"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ED723CA" w14:textId="77777777" w:rsidR="00C574CA" w:rsidRPr="00C574CA" w:rsidRDefault="00C574CA" w:rsidP="00DC0AE7">
            <w:pPr>
              <w:pStyle w:val="Body"/>
              <w:spacing w:after="0"/>
              <w:jc w:val="left"/>
              <w:rPr>
                <w:rFonts w:ascii="Arial" w:hAnsi="Arial" w:cs="Arial"/>
              </w:rPr>
            </w:pPr>
            <w:r w:rsidRPr="00C574CA">
              <w:rPr>
                <w:rFonts w:ascii="Arial" w:hAnsi="Arial" w:cs="Arial"/>
              </w:rPr>
              <w:t>Repair and maintenance cost per hour</w:t>
            </w:r>
          </w:p>
        </w:tc>
        <w:tc>
          <w:tcPr>
            <w:tcW w:w="2250" w:type="dxa"/>
            <w:vAlign w:val="center"/>
          </w:tcPr>
          <w:p w14:paraId="3E84B70D" w14:textId="77777777" w:rsidR="00C574CA" w:rsidRPr="00C574CA" w:rsidRDefault="00C574CA" w:rsidP="00DC0AE7">
            <w:pPr>
              <w:pStyle w:val="Body"/>
              <w:spacing w:after="0"/>
              <w:jc w:val="center"/>
              <w:rPr>
                <w:rFonts w:ascii="Arial" w:hAnsi="Arial" w:cs="Arial"/>
              </w:rPr>
            </w:pPr>
            <w:r w:rsidRPr="00C574CA">
              <w:rPr>
                <w:rFonts w:ascii="Arial" w:hAnsi="Arial" w:cs="Arial"/>
              </w:rPr>
              <w:t>₹ 45.33</w:t>
            </w:r>
          </w:p>
        </w:tc>
        <w:tc>
          <w:tcPr>
            <w:tcW w:w="2250" w:type="dxa"/>
            <w:vAlign w:val="center"/>
          </w:tcPr>
          <w:p w14:paraId="046F502F" w14:textId="77777777" w:rsidR="00C574CA" w:rsidRPr="00C574CA" w:rsidRDefault="00C574CA" w:rsidP="00DC0AE7">
            <w:pPr>
              <w:pStyle w:val="Body"/>
              <w:spacing w:after="0"/>
              <w:jc w:val="left"/>
              <w:rPr>
                <w:rFonts w:ascii="Arial" w:hAnsi="Arial" w:cs="Arial"/>
              </w:rPr>
            </w:pPr>
          </w:p>
        </w:tc>
      </w:tr>
      <w:tr w:rsidR="00C574CA" w:rsidRPr="00C574CA" w14:paraId="3CF85712" w14:textId="77777777" w:rsidTr="00DC0AE7">
        <w:trPr>
          <w:trHeight w:val="288"/>
        </w:trPr>
        <w:tc>
          <w:tcPr>
            <w:tcW w:w="900" w:type="dxa"/>
            <w:vAlign w:val="center"/>
          </w:tcPr>
          <w:p w14:paraId="371A9E5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33A28BC" w14:textId="77777777" w:rsidR="00C574CA" w:rsidRPr="00C574CA" w:rsidRDefault="00C574CA" w:rsidP="00DC0AE7">
            <w:pPr>
              <w:pStyle w:val="Body"/>
              <w:spacing w:after="0"/>
              <w:jc w:val="left"/>
              <w:rPr>
                <w:rFonts w:ascii="Arial" w:hAnsi="Arial" w:cs="Arial"/>
              </w:rPr>
            </w:pPr>
            <w:r w:rsidRPr="00C574CA">
              <w:rPr>
                <w:rFonts w:ascii="Arial" w:hAnsi="Arial" w:cs="Arial"/>
              </w:rPr>
              <w:t>Operator cost per hour</w:t>
            </w:r>
          </w:p>
        </w:tc>
        <w:tc>
          <w:tcPr>
            <w:tcW w:w="2250" w:type="dxa"/>
            <w:vAlign w:val="center"/>
          </w:tcPr>
          <w:p w14:paraId="39396AB2" w14:textId="77777777" w:rsidR="00C574CA" w:rsidRPr="00C574CA" w:rsidRDefault="00C574CA" w:rsidP="00DC0AE7">
            <w:pPr>
              <w:pStyle w:val="Body"/>
              <w:spacing w:after="0"/>
              <w:jc w:val="center"/>
              <w:rPr>
                <w:rFonts w:ascii="Arial" w:hAnsi="Arial" w:cs="Arial"/>
              </w:rPr>
            </w:pPr>
            <w:r w:rsidRPr="00C574CA">
              <w:rPr>
                <w:rFonts w:ascii="Arial" w:hAnsi="Arial" w:cs="Arial"/>
              </w:rPr>
              <w:t>₹ 100</w:t>
            </w:r>
          </w:p>
        </w:tc>
        <w:tc>
          <w:tcPr>
            <w:tcW w:w="2250" w:type="dxa"/>
            <w:vAlign w:val="center"/>
          </w:tcPr>
          <w:p w14:paraId="6ABF038E" w14:textId="77777777" w:rsidR="00C574CA" w:rsidRPr="00C574CA" w:rsidRDefault="00C574CA" w:rsidP="00DC0AE7">
            <w:pPr>
              <w:pStyle w:val="Body"/>
              <w:spacing w:after="0"/>
              <w:jc w:val="left"/>
              <w:rPr>
                <w:rFonts w:ascii="Arial" w:hAnsi="Arial" w:cs="Arial"/>
              </w:rPr>
            </w:pPr>
          </w:p>
        </w:tc>
      </w:tr>
      <w:tr w:rsidR="00C574CA" w:rsidRPr="00C574CA" w14:paraId="4B0F22A6" w14:textId="77777777" w:rsidTr="00DC0AE7">
        <w:trPr>
          <w:trHeight w:val="288"/>
        </w:trPr>
        <w:tc>
          <w:tcPr>
            <w:tcW w:w="900" w:type="dxa"/>
            <w:vAlign w:val="center"/>
          </w:tcPr>
          <w:p w14:paraId="1E312A61" w14:textId="77777777" w:rsidR="00C574CA" w:rsidRPr="00C574CA" w:rsidRDefault="00C574CA" w:rsidP="00DC0AE7">
            <w:pPr>
              <w:pStyle w:val="Body"/>
              <w:numPr>
                <w:ilvl w:val="0"/>
                <w:numId w:val="37"/>
              </w:numPr>
              <w:spacing w:after="0"/>
              <w:jc w:val="left"/>
              <w:rPr>
                <w:rFonts w:ascii="Arial" w:hAnsi="Arial" w:cs="Arial"/>
                <w:b/>
                <w:bCs/>
              </w:rPr>
            </w:pPr>
          </w:p>
        </w:tc>
        <w:tc>
          <w:tcPr>
            <w:tcW w:w="2903" w:type="dxa"/>
            <w:vAlign w:val="center"/>
          </w:tcPr>
          <w:p w14:paraId="5F3380BC" w14:textId="77777777" w:rsidR="00C574CA" w:rsidRPr="00C574CA" w:rsidRDefault="00C574CA" w:rsidP="00DC0AE7">
            <w:pPr>
              <w:pStyle w:val="Body"/>
              <w:spacing w:after="0"/>
              <w:jc w:val="left"/>
              <w:rPr>
                <w:rFonts w:ascii="Arial" w:hAnsi="Arial" w:cs="Arial"/>
              </w:rPr>
            </w:pPr>
            <w:r w:rsidRPr="00C574CA">
              <w:rPr>
                <w:rFonts w:ascii="Arial" w:hAnsi="Arial" w:cs="Arial"/>
              </w:rPr>
              <w:t>Total variable cost per hour</w:t>
            </w:r>
          </w:p>
        </w:tc>
        <w:tc>
          <w:tcPr>
            <w:tcW w:w="2250" w:type="dxa"/>
            <w:vAlign w:val="center"/>
          </w:tcPr>
          <w:p w14:paraId="55DEA0A9" w14:textId="77777777" w:rsidR="00C574CA" w:rsidRPr="00C574CA" w:rsidRDefault="00C574CA" w:rsidP="00DC0AE7">
            <w:pPr>
              <w:pStyle w:val="Body"/>
              <w:spacing w:after="0"/>
              <w:jc w:val="center"/>
              <w:rPr>
                <w:rFonts w:ascii="Arial" w:hAnsi="Arial" w:cs="Arial"/>
              </w:rPr>
            </w:pPr>
            <w:r w:rsidRPr="00C574CA">
              <w:rPr>
                <w:rFonts w:ascii="Arial" w:hAnsi="Arial" w:cs="Arial"/>
              </w:rPr>
              <w:t>₹ 410.29</w:t>
            </w:r>
          </w:p>
        </w:tc>
        <w:tc>
          <w:tcPr>
            <w:tcW w:w="2250" w:type="dxa"/>
            <w:vAlign w:val="center"/>
          </w:tcPr>
          <w:p w14:paraId="58C6509B" w14:textId="77777777" w:rsidR="00C574CA" w:rsidRPr="00C574CA" w:rsidRDefault="00C574CA" w:rsidP="00DC0AE7">
            <w:pPr>
              <w:pStyle w:val="Body"/>
              <w:spacing w:after="0"/>
              <w:jc w:val="left"/>
              <w:rPr>
                <w:rFonts w:ascii="Arial" w:hAnsi="Arial" w:cs="Arial"/>
              </w:rPr>
            </w:pPr>
          </w:p>
        </w:tc>
      </w:tr>
      <w:tr w:rsidR="00C574CA" w:rsidRPr="00C574CA" w14:paraId="08C31A22" w14:textId="77777777" w:rsidTr="00DC0AE7">
        <w:trPr>
          <w:trHeight w:val="288"/>
        </w:trPr>
        <w:tc>
          <w:tcPr>
            <w:tcW w:w="900" w:type="dxa"/>
            <w:vAlign w:val="center"/>
          </w:tcPr>
          <w:p w14:paraId="1EB11A11" w14:textId="77777777" w:rsidR="00C574CA" w:rsidRPr="00C574CA" w:rsidRDefault="00C574CA" w:rsidP="00DC0AE7">
            <w:pPr>
              <w:pStyle w:val="Body"/>
              <w:numPr>
                <w:ilvl w:val="0"/>
                <w:numId w:val="37"/>
              </w:numPr>
              <w:spacing w:after="0"/>
              <w:jc w:val="left"/>
              <w:rPr>
                <w:rFonts w:ascii="Arial" w:hAnsi="Arial" w:cs="Arial"/>
                <w:b/>
                <w:bCs/>
              </w:rPr>
            </w:pPr>
          </w:p>
        </w:tc>
        <w:tc>
          <w:tcPr>
            <w:tcW w:w="2903" w:type="dxa"/>
            <w:vAlign w:val="center"/>
          </w:tcPr>
          <w:p w14:paraId="0B41B6E6"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Total cost of operation per hour</w:t>
            </w:r>
          </w:p>
        </w:tc>
        <w:tc>
          <w:tcPr>
            <w:tcW w:w="2250" w:type="dxa"/>
            <w:vAlign w:val="center"/>
          </w:tcPr>
          <w:p w14:paraId="73125C49" w14:textId="77777777" w:rsidR="00C574CA" w:rsidRPr="00C574CA" w:rsidRDefault="00C574CA" w:rsidP="00DC0AE7">
            <w:pPr>
              <w:pStyle w:val="Body"/>
              <w:spacing w:after="0"/>
              <w:jc w:val="center"/>
              <w:rPr>
                <w:rFonts w:ascii="Arial" w:hAnsi="Arial" w:cs="Arial"/>
                <w:b/>
                <w:bCs/>
              </w:rPr>
            </w:pPr>
            <w:r w:rsidRPr="00C574CA">
              <w:rPr>
                <w:rFonts w:ascii="Arial" w:hAnsi="Arial" w:cs="Arial"/>
                <w:b/>
                <w:bCs/>
              </w:rPr>
              <w:t>₹ 487.42</w:t>
            </w:r>
          </w:p>
        </w:tc>
        <w:tc>
          <w:tcPr>
            <w:tcW w:w="2250" w:type="dxa"/>
            <w:vAlign w:val="center"/>
          </w:tcPr>
          <w:p w14:paraId="226B4858"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Sum of total fixed and variable cost per hour</w:t>
            </w:r>
          </w:p>
        </w:tc>
      </w:tr>
    </w:tbl>
    <w:p w14:paraId="3DFE2ECB" w14:textId="77777777" w:rsidR="00C574CA" w:rsidRDefault="00C574CA" w:rsidP="00C574CA">
      <w:pPr>
        <w:pStyle w:val="Body"/>
        <w:spacing w:after="0"/>
        <w:rPr>
          <w:rFonts w:ascii="Arial" w:hAnsi="Arial" w:cs="Arial"/>
        </w:rPr>
      </w:pPr>
    </w:p>
    <w:p w14:paraId="4340BC3E"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58276A9" w14:textId="77777777" w:rsidR="00790ADA" w:rsidRPr="00FB3A86" w:rsidRDefault="00790ADA" w:rsidP="00441B6F">
      <w:pPr>
        <w:pStyle w:val="ConcHead"/>
        <w:spacing w:after="0"/>
        <w:jc w:val="both"/>
        <w:rPr>
          <w:rFonts w:ascii="Arial" w:hAnsi="Arial" w:cs="Arial"/>
        </w:rPr>
      </w:pPr>
    </w:p>
    <w:p w14:paraId="190EE699" w14:textId="053C449F" w:rsidR="00B01FCD" w:rsidRDefault="00DC0AE7" w:rsidP="00441B6F">
      <w:pPr>
        <w:pStyle w:val="Body"/>
        <w:spacing w:after="0"/>
        <w:rPr>
          <w:rFonts w:ascii="Arial" w:hAnsi="Arial" w:cs="Arial"/>
        </w:rPr>
      </w:pPr>
      <w:r w:rsidRPr="00DC0AE7">
        <w:rPr>
          <w:rFonts w:ascii="Arial" w:hAnsi="Arial" w:cs="Arial"/>
        </w:rPr>
        <w:t>The performance evaluation of the tractor-operated boom sprayer demonstrated that the machine is both technically efficient and economically viable for crop protection operations. Laboratory tests confirmed that nozzle discharge increased proportionally with pressure and produced droplet sizes within the recommended range for foliar spraying, ensuring effective coverage. Field trials on tomato crops revealed an effective field capacity of 1.27 - 1.84 ha/hr with a field efficiency of 78 - 85%, coupled with a moderate fuel consumption of 2.24 - 2.40 l/hr. The sprayer achieved uniform pesticide deposition across the canopy, reducing labor requirements and operating time compared to manual spraying. Cost economics analysis further established that the operational cost of ₹ 265 - 384 per hectare is significantly lower than that of conventional knapsack sprayers, highlighting its economic advantage. This study confirms that tractor-operated boom sprayers can enhance efficiency, reduce labor dependency, and ensure sustainable crop protection. Future work may integrate smart technologies such as variable rate nozzles and IoT-enabled monitoring for precision agriculture applications.</w:t>
      </w:r>
    </w:p>
    <w:p w14:paraId="6BB12DB5" w14:textId="77777777" w:rsidR="00790ADA" w:rsidRPr="00FB3A86" w:rsidRDefault="00790ADA" w:rsidP="00441B6F">
      <w:pPr>
        <w:pStyle w:val="Body"/>
        <w:spacing w:after="0"/>
        <w:rPr>
          <w:rFonts w:ascii="Arial" w:hAnsi="Arial" w:cs="Arial"/>
        </w:rPr>
      </w:pPr>
    </w:p>
    <w:p w14:paraId="570B1B31" w14:textId="77777777" w:rsidR="00860000" w:rsidRDefault="00860000" w:rsidP="00441B6F">
      <w:pPr>
        <w:pStyle w:val="ReferHead"/>
        <w:spacing w:after="0"/>
        <w:jc w:val="both"/>
        <w:rPr>
          <w:rFonts w:ascii="Arial" w:hAnsi="Arial" w:cs="Arial"/>
        </w:rPr>
      </w:pPr>
    </w:p>
    <w:p w14:paraId="601F13B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3456446" w14:textId="77777777" w:rsidR="00790ADA" w:rsidRPr="00FB3A86" w:rsidRDefault="00790ADA" w:rsidP="00441B6F">
      <w:pPr>
        <w:pStyle w:val="ReferHead"/>
        <w:spacing w:after="0"/>
        <w:jc w:val="both"/>
        <w:rPr>
          <w:rFonts w:ascii="Arial" w:hAnsi="Arial" w:cs="Arial"/>
        </w:rPr>
      </w:pPr>
    </w:p>
    <w:p w14:paraId="2CDF09D6" w14:textId="7AE48105" w:rsidR="00C57423" w:rsidRDefault="00C57423" w:rsidP="00C57423">
      <w:pPr>
        <w:pStyle w:val="Body"/>
        <w:spacing w:after="0"/>
      </w:pPr>
      <w:r w:rsidRPr="00C57423">
        <w:t xml:space="preserve">An, Q., Li, D., Wu, Y., &amp; Pan, C. (2020). Deposition and distribution of myclobutanil and tebuconazole in a semi-dwarf apple orchard by hand-held gun and air-assisted sprayers application. </w:t>
      </w:r>
      <w:r w:rsidRPr="00C57423">
        <w:rPr>
          <w:i/>
          <w:iCs/>
        </w:rPr>
        <w:t>Pest Management Science</w:t>
      </w:r>
      <w:r w:rsidRPr="00C57423">
        <w:t xml:space="preserve">, </w:t>
      </w:r>
      <w:r w:rsidRPr="00C57423">
        <w:rPr>
          <w:i/>
          <w:iCs/>
        </w:rPr>
        <w:t>76</w:t>
      </w:r>
      <w:r w:rsidRPr="00C57423">
        <w:t xml:space="preserve">, 4123–4130. </w:t>
      </w:r>
      <w:hyperlink r:id="rId15" w:history="1">
        <w:r w:rsidR="001F2EE3" w:rsidRPr="002F03F3">
          <w:rPr>
            <w:rStyle w:val="Hyperlink"/>
          </w:rPr>
          <w:t>https://doi.org/10.1002/ps.5968</w:t>
        </w:r>
      </w:hyperlink>
    </w:p>
    <w:p w14:paraId="244A9517" w14:textId="77777777" w:rsidR="001F2EE3" w:rsidRPr="00C57423" w:rsidRDefault="001F2EE3" w:rsidP="00C57423">
      <w:pPr>
        <w:pStyle w:val="Body"/>
        <w:spacing w:after="0"/>
      </w:pPr>
    </w:p>
    <w:p w14:paraId="03891BD5" w14:textId="450CEDBD" w:rsidR="00C57423" w:rsidRDefault="00C57423" w:rsidP="00C57423">
      <w:pPr>
        <w:pStyle w:val="Body"/>
        <w:spacing w:after="0"/>
      </w:pPr>
      <w:r w:rsidRPr="00C57423">
        <w:t xml:space="preserve">Bhatt, G., Singh, M., Bharti, A., &amp; Rana, D. (2021). Traditional and Modern Agricultural Implements Used in Agro Sciences – A Case Study in the Part of National Capital Region of Uttar Pradesh, India. </w:t>
      </w:r>
      <w:r w:rsidRPr="00C57423">
        <w:rPr>
          <w:i/>
          <w:iCs/>
        </w:rPr>
        <w:t>Springer Proceedings in Earth and Environmental Sciences</w:t>
      </w:r>
      <w:r w:rsidRPr="00C57423">
        <w:t xml:space="preserve">. </w:t>
      </w:r>
      <w:hyperlink r:id="rId16" w:history="1">
        <w:r w:rsidR="001F2EE3" w:rsidRPr="002F03F3">
          <w:rPr>
            <w:rStyle w:val="Hyperlink"/>
          </w:rPr>
          <w:t>https://doi.org/10.1007/978-3-030-79065-3_12</w:t>
        </w:r>
      </w:hyperlink>
    </w:p>
    <w:p w14:paraId="50F14CC6" w14:textId="77777777" w:rsidR="001F2EE3" w:rsidRPr="00C57423" w:rsidRDefault="001F2EE3" w:rsidP="00C57423">
      <w:pPr>
        <w:pStyle w:val="Body"/>
        <w:spacing w:after="0"/>
      </w:pPr>
    </w:p>
    <w:p w14:paraId="3DFD59A0" w14:textId="26067343" w:rsidR="00C57423" w:rsidRDefault="00C57423" w:rsidP="00C57423">
      <w:pPr>
        <w:pStyle w:val="Body"/>
        <w:spacing w:after="0"/>
      </w:pPr>
      <w:r w:rsidRPr="00C57423">
        <w:t xml:space="preserve">Bobrovskiy, A. V., Kryuchkov, A. A., Kozulina, N. S., Vasilenko, A. V., &amp; Mikhailets, M. A. (2021). Research on the efficiency of plant protection products in sowing spring wheat. </w:t>
      </w:r>
      <w:r w:rsidRPr="00C57423">
        <w:rPr>
          <w:i/>
          <w:iCs/>
        </w:rPr>
        <w:t>IOP Conference Series: Earth and Environmental Science</w:t>
      </w:r>
      <w:r w:rsidRPr="00C57423">
        <w:t xml:space="preserve">, </w:t>
      </w:r>
      <w:r w:rsidRPr="00C57423">
        <w:rPr>
          <w:i/>
          <w:iCs/>
        </w:rPr>
        <w:t>839</w:t>
      </w:r>
      <w:r w:rsidRPr="00C57423">
        <w:t xml:space="preserve">(4), 042015. </w:t>
      </w:r>
      <w:hyperlink r:id="rId17" w:history="1">
        <w:r w:rsidR="001F2EE3" w:rsidRPr="002F03F3">
          <w:rPr>
            <w:rStyle w:val="Hyperlink"/>
          </w:rPr>
          <w:t>https://doi.org/10.1088/1755-1315/839/4/042015</w:t>
        </w:r>
      </w:hyperlink>
    </w:p>
    <w:p w14:paraId="576C58D2" w14:textId="77777777" w:rsidR="001F2EE3" w:rsidRPr="00C57423" w:rsidRDefault="001F2EE3" w:rsidP="00C57423">
      <w:pPr>
        <w:pStyle w:val="Body"/>
        <w:spacing w:after="0"/>
      </w:pPr>
    </w:p>
    <w:p w14:paraId="3B641F26" w14:textId="2ED25270" w:rsidR="00C57423" w:rsidRDefault="00C57423" w:rsidP="00C57423">
      <w:pPr>
        <w:pStyle w:val="Body"/>
        <w:spacing w:after="0"/>
      </w:pPr>
      <w:r w:rsidRPr="00C57423">
        <w:t xml:space="preserve">Calicioglu, O., Flammini, A., Bracco, S., Bellù, L., &amp; Sims, R. (2019). The Future Challenges of Food and Agriculture: An Integrated Analysis of Trends and Solutions. </w:t>
      </w:r>
      <w:r w:rsidRPr="00C57423">
        <w:rPr>
          <w:i/>
          <w:iCs/>
        </w:rPr>
        <w:t>Sustainability</w:t>
      </w:r>
      <w:r w:rsidRPr="00C57423">
        <w:t xml:space="preserve">, </w:t>
      </w:r>
      <w:r w:rsidRPr="00C57423">
        <w:rPr>
          <w:i/>
          <w:iCs/>
        </w:rPr>
        <w:t>11</w:t>
      </w:r>
      <w:r w:rsidRPr="00C57423">
        <w:t xml:space="preserve">(1), 222. </w:t>
      </w:r>
      <w:hyperlink r:id="rId18" w:history="1">
        <w:r w:rsidR="001F2EE3" w:rsidRPr="002F03F3">
          <w:rPr>
            <w:rStyle w:val="Hyperlink"/>
          </w:rPr>
          <w:t>https://doi.org/10.3390/su11010222</w:t>
        </w:r>
      </w:hyperlink>
    </w:p>
    <w:p w14:paraId="3AFBCF19" w14:textId="77777777" w:rsidR="001F2EE3" w:rsidRPr="00C57423" w:rsidRDefault="001F2EE3" w:rsidP="00C57423">
      <w:pPr>
        <w:pStyle w:val="Body"/>
        <w:spacing w:after="0"/>
      </w:pPr>
    </w:p>
    <w:p w14:paraId="0B0BCE59" w14:textId="1FE1E47C" w:rsidR="00C57423" w:rsidRDefault="00C57423" w:rsidP="00C57423">
      <w:pPr>
        <w:pStyle w:val="Body"/>
        <w:spacing w:after="0"/>
      </w:pPr>
      <w:r w:rsidRPr="00C57423">
        <w:t xml:space="preserve">Das, J., Jha, S., Goyal, M., &amp; Surampalli, R. (2020). Challenges of Sustainability in Agricultural Management. </w:t>
      </w:r>
      <w:r w:rsidRPr="00C57423">
        <w:rPr>
          <w:i/>
          <w:iCs/>
        </w:rPr>
        <w:t>Sustainability</w:t>
      </w:r>
      <w:r w:rsidRPr="00C57423">
        <w:t xml:space="preserve">, 339–356. </w:t>
      </w:r>
      <w:hyperlink r:id="rId19" w:history="1">
        <w:r w:rsidR="001F2EE3" w:rsidRPr="002F03F3">
          <w:rPr>
            <w:rStyle w:val="Hyperlink"/>
          </w:rPr>
          <w:t>https://doi.org/10.1002/9781119434016.ch16</w:t>
        </w:r>
      </w:hyperlink>
    </w:p>
    <w:p w14:paraId="492CD3B0" w14:textId="77777777" w:rsidR="001F2EE3" w:rsidRPr="00C57423" w:rsidRDefault="001F2EE3" w:rsidP="00C57423">
      <w:pPr>
        <w:pStyle w:val="Body"/>
        <w:spacing w:after="0"/>
      </w:pPr>
    </w:p>
    <w:p w14:paraId="5EF7E221" w14:textId="09756B87" w:rsidR="00C57423" w:rsidRDefault="00C57423" w:rsidP="00C57423">
      <w:pPr>
        <w:pStyle w:val="Body"/>
        <w:spacing w:after="0"/>
      </w:pPr>
      <w:r w:rsidRPr="00C57423">
        <w:t xml:space="preserve">Dorokhov, A. (2022). TECHNICAL MEANS FOR CHEMICAL PROTECTION OF PLANTS: CURRENT STATE AND DEVELOPMENT PROSPECTS. </w:t>
      </w:r>
      <w:r w:rsidRPr="00C57423">
        <w:rPr>
          <w:i/>
          <w:iCs/>
        </w:rPr>
        <w:t>Agricultural Engineering</w:t>
      </w:r>
      <w:r w:rsidRPr="00C57423">
        <w:t xml:space="preserve">, </w:t>
      </w:r>
      <w:r w:rsidRPr="00C57423">
        <w:rPr>
          <w:i/>
          <w:iCs/>
        </w:rPr>
        <w:t>24</w:t>
      </w:r>
      <w:r w:rsidRPr="00C57423">
        <w:t xml:space="preserve">(3), 12–18. </w:t>
      </w:r>
      <w:hyperlink r:id="rId20" w:history="1">
        <w:r w:rsidR="001F2EE3" w:rsidRPr="002F03F3">
          <w:rPr>
            <w:rStyle w:val="Hyperlink"/>
          </w:rPr>
          <w:t>https://doi.org/10.26897/2687-1149-2022-3-12-18</w:t>
        </w:r>
      </w:hyperlink>
    </w:p>
    <w:p w14:paraId="6FECADF6" w14:textId="77777777" w:rsidR="001F2EE3" w:rsidRPr="00C57423" w:rsidRDefault="001F2EE3" w:rsidP="00C57423">
      <w:pPr>
        <w:pStyle w:val="Body"/>
        <w:spacing w:after="0"/>
      </w:pPr>
    </w:p>
    <w:p w14:paraId="66AAF5DC" w14:textId="77777777" w:rsidR="00C57423" w:rsidRDefault="00C57423" w:rsidP="00C57423">
      <w:pPr>
        <w:pStyle w:val="Body"/>
        <w:spacing w:after="0"/>
      </w:pPr>
      <w:r w:rsidRPr="00C57423">
        <w:t xml:space="preserve">Food and Agriculture Organization of the United Nations (Ed.). (2017). </w:t>
      </w:r>
      <w:r w:rsidRPr="00C57423">
        <w:rPr>
          <w:i/>
          <w:iCs/>
        </w:rPr>
        <w:t>The future of food and agriculture: Trends and challenges</w:t>
      </w:r>
      <w:r w:rsidRPr="00C57423">
        <w:t>. Food and Agriculture Organization of the United Nations.</w:t>
      </w:r>
    </w:p>
    <w:p w14:paraId="7CFB1E5A" w14:textId="77777777" w:rsidR="001F2EE3" w:rsidRPr="00C57423" w:rsidRDefault="001F2EE3" w:rsidP="00C57423">
      <w:pPr>
        <w:pStyle w:val="Body"/>
        <w:spacing w:after="0"/>
      </w:pPr>
    </w:p>
    <w:p w14:paraId="47A6EC03" w14:textId="12657CFE" w:rsidR="00C57423" w:rsidRDefault="00C57423" w:rsidP="00C57423">
      <w:pPr>
        <w:pStyle w:val="Body"/>
        <w:spacing w:after="0"/>
      </w:pPr>
      <w:r w:rsidRPr="00C57423">
        <w:t xml:space="preserve">Ghafoor, A., Khan, F. A., Khorsandi, F., Khan, M. A., Nauman, H. M., &amp; Farid, M. U. (2022). Development and Evaluation of a Prototype Self-Propelled Crop Sprayer for Agricultural </w:t>
      </w:r>
      <w:r w:rsidRPr="00C57423">
        <w:lastRenderedPageBreak/>
        <w:t xml:space="preserve">Sustainability in Small Farms. </w:t>
      </w:r>
      <w:r w:rsidRPr="00C57423">
        <w:rPr>
          <w:i/>
          <w:iCs/>
        </w:rPr>
        <w:t>Sustainability</w:t>
      </w:r>
      <w:r w:rsidRPr="00C57423">
        <w:t xml:space="preserve">, </w:t>
      </w:r>
      <w:r w:rsidRPr="00C57423">
        <w:rPr>
          <w:i/>
          <w:iCs/>
        </w:rPr>
        <w:t>14</w:t>
      </w:r>
      <w:r w:rsidRPr="00C57423">
        <w:t xml:space="preserve">(15), 9204. </w:t>
      </w:r>
      <w:hyperlink r:id="rId21" w:history="1">
        <w:r w:rsidR="001F2EE3" w:rsidRPr="002F03F3">
          <w:rPr>
            <w:rStyle w:val="Hyperlink"/>
          </w:rPr>
          <w:t>https://doi.org/10.3390/su14159204</w:t>
        </w:r>
      </w:hyperlink>
    </w:p>
    <w:p w14:paraId="397EE1ED" w14:textId="77777777" w:rsidR="001F2EE3" w:rsidRPr="00C57423" w:rsidRDefault="001F2EE3" w:rsidP="00C57423">
      <w:pPr>
        <w:pStyle w:val="Body"/>
        <w:spacing w:after="0"/>
      </w:pPr>
    </w:p>
    <w:p w14:paraId="69B908ED" w14:textId="640925DB" w:rsidR="00C57423" w:rsidRDefault="00C57423" w:rsidP="00C57423">
      <w:pPr>
        <w:pStyle w:val="Body"/>
        <w:spacing w:after="0"/>
      </w:pPr>
      <w:r w:rsidRPr="00C57423">
        <w:t xml:space="preserve">Gholap, B., &amp; Kushwah, O. S. (2015). Comparative performance of tractor operated boom type field sprayers on cotton crop. </w:t>
      </w:r>
      <w:r w:rsidRPr="00C57423">
        <w:rPr>
          <w:i/>
          <w:iCs/>
        </w:rPr>
        <w:t>INTERNATIONAL JOURNAL OF AGRICULTURAL ENGINEERING</w:t>
      </w:r>
      <w:r w:rsidRPr="00C57423">
        <w:t xml:space="preserve">, </w:t>
      </w:r>
      <w:r w:rsidRPr="00C57423">
        <w:rPr>
          <w:i/>
          <w:iCs/>
        </w:rPr>
        <w:t>8</w:t>
      </w:r>
      <w:r w:rsidRPr="00C57423">
        <w:t xml:space="preserve">(1), 85–91. </w:t>
      </w:r>
      <w:hyperlink r:id="rId22" w:history="1">
        <w:r w:rsidR="001F2EE3" w:rsidRPr="002F03F3">
          <w:rPr>
            <w:rStyle w:val="Hyperlink"/>
          </w:rPr>
          <w:t>https://doi.org/10.15740/HAS/IJAE/8.1/85-91</w:t>
        </w:r>
      </w:hyperlink>
    </w:p>
    <w:p w14:paraId="738A8390" w14:textId="77777777" w:rsidR="001F2EE3" w:rsidRPr="00C57423" w:rsidRDefault="001F2EE3" w:rsidP="00C57423">
      <w:pPr>
        <w:pStyle w:val="Body"/>
        <w:spacing w:after="0"/>
      </w:pPr>
    </w:p>
    <w:p w14:paraId="7A986421" w14:textId="77777777" w:rsidR="00C57423" w:rsidRDefault="00C57423" w:rsidP="00C57423">
      <w:pPr>
        <w:pStyle w:val="Body"/>
        <w:spacing w:after="0"/>
      </w:pPr>
      <w:r w:rsidRPr="00C57423">
        <w:t xml:space="preserve">Jassowal, N. S., Singh, S., Dixit, A., &amp; Khurana, R. (2016). Field Evaluation of a Tractor Operated Trailed type Boom Sprayer. </w:t>
      </w:r>
      <w:r w:rsidRPr="00C57423">
        <w:rPr>
          <w:i/>
          <w:iCs/>
        </w:rPr>
        <w:t>Agricultural Engineering Today</w:t>
      </w:r>
      <w:r w:rsidRPr="00C57423">
        <w:t xml:space="preserve">, </w:t>
      </w:r>
      <w:r w:rsidRPr="00C57423">
        <w:rPr>
          <w:i/>
          <w:iCs/>
        </w:rPr>
        <w:t>40</w:t>
      </w:r>
      <w:r w:rsidRPr="00C57423">
        <w:t>, 41–52.</w:t>
      </w:r>
    </w:p>
    <w:p w14:paraId="5123B26B" w14:textId="77777777" w:rsidR="001F2EE3" w:rsidRPr="00C57423" w:rsidRDefault="001F2EE3" w:rsidP="00C57423">
      <w:pPr>
        <w:pStyle w:val="Body"/>
        <w:spacing w:after="0"/>
      </w:pPr>
    </w:p>
    <w:p w14:paraId="434645BE" w14:textId="77777777" w:rsidR="00C57423" w:rsidRDefault="00C57423" w:rsidP="00C57423">
      <w:pPr>
        <w:pStyle w:val="Body"/>
        <w:spacing w:after="0"/>
      </w:pPr>
      <w:r w:rsidRPr="00C57423">
        <w:t xml:space="preserve">Karthikeyan, C., Veeraragavathatham, D., Karpagam, D., &amp; Firdouse, S. (2009). Traditional tools in agricultural practices. </w:t>
      </w:r>
      <w:r w:rsidRPr="00C57423">
        <w:rPr>
          <w:i/>
          <w:iCs/>
        </w:rPr>
        <w:t>Indian Journal of Traditional Knowledge</w:t>
      </w:r>
      <w:r w:rsidRPr="00C57423">
        <w:t xml:space="preserve">, </w:t>
      </w:r>
      <w:r w:rsidRPr="00C57423">
        <w:rPr>
          <w:i/>
          <w:iCs/>
        </w:rPr>
        <w:t>8</w:t>
      </w:r>
      <w:r w:rsidRPr="00C57423">
        <w:t>, 212–217.</w:t>
      </w:r>
    </w:p>
    <w:p w14:paraId="72E3AF4A" w14:textId="77777777" w:rsidR="001F2EE3" w:rsidRPr="00C57423" w:rsidRDefault="001F2EE3" w:rsidP="00C57423">
      <w:pPr>
        <w:pStyle w:val="Body"/>
        <w:spacing w:after="0"/>
      </w:pPr>
    </w:p>
    <w:p w14:paraId="79EE5852" w14:textId="266AD636" w:rsidR="00C57423" w:rsidRDefault="00C57423" w:rsidP="00C57423">
      <w:pPr>
        <w:pStyle w:val="Body"/>
        <w:spacing w:after="0"/>
      </w:pPr>
      <w:r w:rsidRPr="00C57423">
        <w:t xml:space="preserve">Lal, S., Meena, S. S., Koumary, N. K., Lahre, J., &amp; Adile, S. S. (2024). Empowering Vegetable Farmers: Energy Analysis and Evaluating the Impact of a Battery-operated Boom Sprayer. </w:t>
      </w:r>
      <w:r w:rsidRPr="00C57423">
        <w:rPr>
          <w:i/>
          <w:iCs/>
        </w:rPr>
        <w:t>Journal of Scientific Research and Reports</w:t>
      </w:r>
      <w:r w:rsidRPr="00C57423">
        <w:t xml:space="preserve">, </w:t>
      </w:r>
      <w:r w:rsidRPr="00C57423">
        <w:rPr>
          <w:i/>
          <w:iCs/>
        </w:rPr>
        <w:t>30</w:t>
      </w:r>
      <w:r w:rsidRPr="00C57423">
        <w:t xml:space="preserve">(9), 825–836. </w:t>
      </w:r>
      <w:hyperlink r:id="rId23" w:history="1">
        <w:r w:rsidR="001F2EE3" w:rsidRPr="002F03F3">
          <w:rPr>
            <w:rStyle w:val="Hyperlink"/>
          </w:rPr>
          <w:t>https://doi.org/10.9734/jsrr/2024/v30i92409</w:t>
        </w:r>
      </w:hyperlink>
    </w:p>
    <w:p w14:paraId="43F7D418" w14:textId="77777777" w:rsidR="001F2EE3" w:rsidRPr="00C57423" w:rsidRDefault="001F2EE3" w:rsidP="00C57423">
      <w:pPr>
        <w:pStyle w:val="Body"/>
        <w:spacing w:after="0"/>
      </w:pPr>
    </w:p>
    <w:p w14:paraId="47BF3ADF" w14:textId="2FA9D4D6" w:rsidR="00C57423" w:rsidRDefault="00C57423" w:rsidP="00C57423">
      <w:pPr>
        <w:pStyle w:val="Body"/>
        <w:spacing w:after="0"/>
      </w:pPr>
      <w:r w:rsidRPr="00C57423">
        <w:t xml:space="preserve">P, P., B, N., S, L., &amp; R, S. (2022). Analysis of traditional agricultural tools used by the farm women in Southern district of Tamil Nadu. </w:t>
      </w:r>
      <w:r w:rsidRPr="00C57423">
        <w:rPr>
          <w:i/>
          <w:iCs/>
        </w:rPr>
        <w:t>International Journal of Agriculture Extension and Social Development</w:t>
      </w:r>
      <w:r w:rsidRPr="00C57423">
        <w:t xml:space="preserve">, </w:t>
      </w:r>
      <w:r w:rsidRPr="00C57423">
        <w:rPr>
          <w:i/>
          <w:iCs/>
        </w:rPr>
        <w:t>5</w:t>
      </w:r>
      <w:r w:rsidRPr="00C57423">
        <w:t xml:space="preserve">(1), 01–06. </w:t>
      </w:r>
      <w:hyperlink r:id="rId24" w:history="1">
        <w:r w:rsidR="001F2EE3" w:rsidRPr="002F03F3">
          <w:rPr>
            <w:rStyle w:val="Hyperlink"/>
          </w:rPr>
          <w:t>https://doi.org/10.33545/26180723.2022.v5.i1a.115</w:t>
        </w:r>
      </w:hyperlink>
    </w:p>
    <w:p w14:paraId="48EAEFD2" w14:textId="77777777" w:rsidR="001F2EE3" w:rsidRPr="00C57423" w:rsidRDefault="001F2EE3" w:rsidP="00C57423">
      <w:pPr>
        <w:pStyle w:val="Body"/>
        <w:spacing w:after="0"/>
      </w:pPr>
    </w:p>
    <w:p w14:paraId="0E426B3C" w14:textId="2F11BDDD" w:rsidR="00C57423" w:rsidRDefault="00C57423" w:rsidP="00C57423">
      <w:pPr>
        <w:pStyle w:val="Body"/>
        <w:spacing w:after="0"/>
      </w:pPr>
      <w:r w:rsidRPr="00C57423">
        <w:t xml:space="preserve">Pan, X., Yang, S., Gao, Y., Wang, Z., Zhai, C., &amp; Qiu, W. (2025). Evaluation of Spray Drift from an Electric Boom Sprayer: Impact of Boom Height and Nozzle Type. </w:t>
      </w:r>
      <w:r w:rsidRPr="00C57423">
        <w:rPr>
          <w:i/>
          <w:iCs/>
        </w:rPr>
        <w:t>Agronomy</w:t>
      </w:r>
      <w:r w:rsidRPr="00C57423">
        <w:t xml:space="preserve">, </w:t>
      </w:r>
      <w:r w:rsidRPr="00C57423">
        <w:rPr>
          <w:i/>
          <w:iCs/>
        </w:rPr>
        <w:t>15</w:t>
      </w:r>
      <w:r w:rsidRPr="00C57423">
        <w:t xml:space="preserve">(1), 160. </w:t>
      </w:r>
      <w:hyperlink r:id="rId25" w:history="1">
        <w:r w:rsidR="001F2EE3" w:rsidRPr="002F03F3">
          <w:rPr>
            <w:rStyle w:val="Hyperlink"/>
          </w:rPr>
          <w:t>https://doi.org/10.3390/agronomy15010160</w:t>
        </w:r>
      </w:hyperlink>
    </w:p>
    <w:p w14:paraId="0D8C740E" w14:textId="77777777" w:rsidR="001F2EE3" w:rsidRPr="00C57423" w:rsidRDefault="001F2EE3" w:rsidP="00C57423">
      <w:pPr>
        <w:pStyle w:val="Body"/>
        <w:spacing w:after="0"/>
      </w:pPr>
    </w:p>
    <w:p w14:paraId="251897B1" w14:textId="0D0BB0FE" w:rsidR="00C57423" w:rsidRDefault="00C57423" w:rsidP="00C57423">
      <w:pPr>
        <w:pStyle w:val="Body"/>
        <w:spacing w:after="0"/>
      </w:pPr>
      <w:r w:rsidRPr="00C57423">
        <w:t xml:space="preserve">Pandey, P., Irulappan, V., Bagavathiannan, M. V., &amp; Senthil-Kumar, M. (2017). Impact of Combined Abiotic and Biotic Stresses on Plant Growth and Avenues for Crop Improvement by Exploiting Physio-morphological Traits. </w:t>
      </w:r>
      <w:r w:rsidRPr="00C57423">
        <w:rPr>
          <w:i/>
          <w:iCs/>
        </w:rPr>
        <w:t>Frontiers in Plant Science</w:t>
      </w:r>
      <w:r w:rsidRPr="00C57423">
        <w:t xml:space="preserve">, </w:t>
      </w:r>
      <w:r w:rsidRPr="00C57423">
        <w:rPr>
          <w:i/>
          <w:iCs/>
        </w:rPr>
        <w:t>8</w:t>
      </w:r>
      <w:r w:rsidRPr="00C57423">
        <w:t xml:space="preserve">. </w:t>
      </w:r>
      <w:hyperlink r:id="rId26" w:history="1">
        <w:r w:rsidR="001F2EE3" w:rsidRPr="002F03F3">
          <w:rPr>
            <w:rStyle w:val="Hyperlink"/>
          </w:rPr>
          <w:t>https://doi.org/10.3389/fpls.2017.00537</w:t>
        </w:r>
      </w:hyperlink>
    </w:p>
    <w:p w14:paraId="71F27D11" w14:textId="77777777" w:rsidR="001F2EE3" w:rsidRPr="00C57423" w:rsidRDefault="001F2EE3" w:rsidP="00C57423">
      <w:pPr>
        <w:pStyle w:val="Body"/>
        <w:spacing w:after="0"/>
      </w:pPr>
    </w:p>
    <w:p w14:paraId="3B80324D" w14:textId="2E9D610B" w:rsidR="00C57423" w:rsidRDefault="00C57423" w:rsidP="00C57423">
      <w:pPr>
        <w:pStyle w:val="Body"/>
        <w:spacing w:after="0"/>
      </w:pPr>
      <w:r w:rsidRPr="00C57423">
        <w:t xml:space="preserve">Praburaj, L. (2018). Role of Agriculture in the Economic Development of a Country. </w:t>
      </w:r>
      <w:r w:rsidRPr="00C57423">
        <w:rPr>
          <w:i/>
          <w:iCs/>
        </w:rPr>
        <w:t>Shanlax International Journal of Commerce</w:t>
      </w:r>
      <w:r w:rsidRPr="00C57423">
        <w:t xml:space="preserve">, </w:t>
      </w:r>
      <w:r w:rsidRPr="00C57423">
        <w:rPr>
          <w:i/>
          <w:iCs/>
        </w:rPr>
        <w:t>6</w:t>
      </w:r>
      <w:r w:rsidRPr="00C57423">
        <w:t xml:space="preserve">(3), 1–5. </w:t>
      </w:r>
      <w:hyperlink r:id="rId27" w:history="1">
        <w:r w:rsidR="001F2EE3" w:rsidRPr="002F03F3">
          <w:rPr>
            <w:rStyle w:val="Hyperlink"/>
          </w:rPr>
          <w:t>https://doi.org/10.5281/zenodo.1323056</w:t>
        </w:r>
      </w:hyperlink>
    </w:p>
    <w:p w14:paraId="4E572DE7" w14:textId="77777777" w:rsidR="001F2EE3" w:rsidRPr="00C57423" w:rsidRDefault="001F2EE3" w:rsidP="00C57423">
      <w:pPr>
        <w:pStyle w:val="Body"/>
        <w:spacing w:after="0"/>
      </w:pPr>
    </w:p>
    <w:p w14:paraId="1288F5F1" w14:textId="40167503" w:rsidR="00C57423" w:rsidRDefault="00C57423" w:rsidP="00C57423">
      <w:pPr>
        <w:pStyle w:val="Body"/>
        <w:spacing w:after="0"/>
      </w:pPr>
      <w:r w:rsidRPr="00C57423">
        <w:t xml:space="preserve">Pramod, P. P., Raosaheb, G. N., Kashinath, K. J., &amp; Madhukar, N. S. (2023). Performance evaluation of tractor mounted boom sprayer on chilly crop. </w:t>
      </w:r>
      <w:r w:rsidRPr="00C57423">
        <w:rPr>
          <w:i/>
          <w:iCs/>
        </w:rPr>
        <w:t>Environment Conservation Journal</w:t>
      </w:r>
      <w:r w:rsidRPr="00C57423">
        <w:t xml:space="preserve">, </w:t>
      </w:r>
      <w:r w:rsidRPr="00C57423">
        <w:rPr>
          <w:i/>
          <w:iCs/>
        </w:rPr>
        <w:t>24</w:t>
      </w:r>
      <w:r w:rsidRPr="00C57423">
        <w:t>(2), 61–69. https://doi.org/10.36953/ECJ.13582406</w:t>
      </w:r>
    </w:p>
    <w:p w14:paraId="036A1AEA" w14:textId="77777777" w:rsidR="00284C4C" w:rsidRPr="00284C4C" w:rsidRDefault="00284C4C" w:rsidP="00441B6F">
      <w:pPr>
        <w:pStyle w:val="Body"/>
        <w:spacing w:after="0"/>
        <w:rPr>
          <w:rFonts w:ascii="Arial" w:hAnsi="Arial" w:cs="Arial"/>
          <w:i/>
          <w:u w:val="single"/>
        </w:rPr>
      </w:pPr>
    </w:p>
    <w:p w14:paraId="111C5432" w14:textId="311FCA11" w:rsidR="004D4277" w:rsidRPr="008C0A39" w:rsidRDefault="004D4277" w:rsidP="008C0A39">
      <w:pPr>
        <w:pStyle w:val="Body"/>
        <w:spacing w:after="0"/>
        <w:rPr>
          <w:rFonts w:ascii="Arial" w:hAnsi="Arial" w:cs="Arial"/>
          <w:sz w:val="24"/>
        </w:rPr>
        <w:sectPr w:rsidR="004D4277" w:rsidRPr="008C0A39" w:rsidSect="00CD486E">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440" w:right="2016" w:bottom="2016" w:left="2016" w:header="720" w:footer="1123" w:gutter="0"/>
          <w:cols w:space="720"/>
          <w:docGrid w:linePitch="272"/>
        </w:sectPr>
      </w:pPr>
    </w:p>
    <w:p w14:paraId="06D6BABD" w14:textId="77777777" w:rsidR="00B01FCD" w:rsidRPr="00FB3A86" w:rsidRDefault="00B01FCD" w:rsidP="00441B6F">
      <w:pPr>
        <w:pStyle w:val="Appendix"/>
        <w:spacing w:after="0"/>
        <w:jc w:val="both"/>
        <w:rPr>
          <w:rFonts w:ascii="Arial" w:hAnsi="Arial" w:cs="Arial"/>
          <w:b w:val="0"/>
        </w:rPr>
      </w:pPr>
    </w:p>
    <w:sectPr w:rsidR="00B01FCD" w:rsidRPr="00FB3A86" w:rsidSect="00CD486E">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RA" w:date="2025-10-04T12:04:00Z" w:initials="A">
    <w:p w14:paraId="7EF97AFF" w14:textId="2321DFBF" w:rsidR="001667ED" w:rsidRDefault="001667ED">
      <w:pPr>
        <w:pStyle w:val="CommentText"/>
      </w:pPr>
      <w:r>
        <w:rPr>
          <w:rStyle w:val="CommentReference"/>
        </w:rPr>
        <w:annotationRef/>
      </w:r>
      <w:r>
        <w:t>Use SI units across the manuscripts.</w:t>
      </w:r>
    </w:p>
  </w:comment>
  <w:comment w:id="1" w:author="ARA" w:date="2025-10-04T12:05:00Z" w:initials="A">
    <w:p w14:paraId="65915868" w14:textId="1523E9D6" w:rsidR="001667ED" w:rsidRDefault="001667ED">
      <w:pPr>
        <w:pStyle w:val="CommentText"/>
      </w:pPr>
      <w:r>
        <w:rPr>
          <w:rStyle w:val="CommentReference"/>
        </w:rPr>
        <w:annotationRef/>
      </w:r>
      <w:r>
        <w:t>Use INR instead of that.</w:t>
      </w:r>
    </w:p>
  </w:comment>
  <w:comment w:id="2" w:author="ARA" w:date="2025-10-04T12:20:00Z" w:initials="A">
    <w:p w14:paraId="7EBF18E2" w14:textId="08F3FD7D" w:rsidR="007728BB" w:rsidRDefault="007728BB">
      <w:pPr>
        <w:pStyle w:val="CommentText"/>
      </w:pPr>
      <w:r>
        <w:rPr>
          <w:rStyle w:val="CommentReference"/>
        </w:rPr>
        <w:annotationRef/>
      </w:r>
      <w:r>
        <w:t>All parameters must be stated in detailed.</w:t>
      </w:r>
    </w:p>
  </w:comment>
  <w:comment w:id="3" w:author="ARA" w:date="2025-10-04T12:21:00Z" w:initials="A">
    <w:p w14:paraId="135058A3" w14:textId="574A734E" w:rsidR="007728BB" w:rsidRDefault="007728BB">
      <w:pPr>
        <w:pStyle w:val="CommentText"/>
      </w:pPr>
      <w:r>
        <w:rPr>
          <w:rStyle w:val="CommentReference"/>
        </w:rPr>
        <w:annotationRef/>
      </w:r>
      <w:r>
        <w:t>A reference is required.</w:t>
      </w:r>
    </w:p>
  </w:comment>
  <w:comment w:id="4" w:author="ARA" w:date="2025-10-04T12:23:00Z" w:initials="A">
    <w:p w14:paraId="680D6E1F" w14:textId="2A65AFB7" w:rsidR="007728BB" w:rsidRDefault="007728BB">
      <w:pPr>
        <w:pStyle w:val="CommentText"/>
      </w:pPr>
      <w:r>
        <w:rPr>
          <w:rStyle w:val="CommentReference"/>
        </w:rPr>
        <w:annotationRef/>
      </w:r>
      <w:r>
        <w:t>All formula need reference mentioned across the manuscript.</w:t>
      </w:r>
    </w:p>
  </w:comment>
  <w:comment w:id="5" w:author="ARA" w:date="2025-10-04T12:34:00Z" w:initials="A">
    <w:p w14:paraId="14D6C4F1" w14:textId="2D19F446" w:rsidR="00840E66" w:rsidRDefault="00840E66">
      <w:pPr>
        <w:pStyle w:val="CommentText"/>
      </w:pPr>
      <w:r>
        <w:rPr>
          <w:rStyle w:val="CommentReference"/>
        </w:rPr>
        <w:annotationRef/>
      </w:r>
      <w:r w:rsidRPr="00840E66">
        <w:t>The results lack statistical analysis. Without replication or variability measures, it is hard to judge result reliability.</w:t>
      </w:r>
    </w:p>
  </w:comment>
  <w:comment w:id="6" w:author="ARA" w:date="2025-10-04T12:35:00Z" w:initials="A">
    <w:p w14:paraId="57BCF918" w14:textId="272CAB96" w:rsidR="00840E66" w:rsidRDefault="00840E66">
      <w:pPr>
        <w:pStyle w:val="CommentText"/>
      </w:pPr>
      <w:r>
        <w:rPr>
          <w:rStyle w:val="CommentReference"/>
        </w:rPr>
        <w:annotationRef/>
      </w:r>
      <w:r w:rsidR="00E71F5B">
        <w:t>There was no comparison between this study and the others. Deepen interpretationand relate to existing literatures.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F97AFF" w15:done="0"/>
  <w15:commentEx w15:paraId="65915868" w15:done="0"/>
  <w15:commentEx w15:paraId="7EBF18E2" w15:done="0"/>
  <w15:commentEx w15:paraId="135058A3" w15:done="0"/>
  <w15:commentEx w15:paraId="680D6E1F" w15:done="0"/>
  <w15:commentEx w15:paraId="14D6C4F1" w15:done="0"/>
  <w15:commentEx w15:paraId="57BCF9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8B8BE4" w16cex:dateUtc="2025-10-04T08:34:00Z"/>
  <w16cex:commentExtensible w16cex:durableId="2C8B8C0E" w16cex:dateUtc="2025-10-04T08:35:00Z"/>
  <w16cex:commentExtensible w16cex:durableId="2C8B8F88" w16cex:dateUtc="2025-10-04T08:50:00Z"/>
  <w16cex:commentExtensible w16cex:durableId="2C8B8FCF" w16cex:dateUtc="2025-10-04T08:51:00Z"/>
  <w16cex:commentExtensible w16cex:durableId="2C8B904B" w16cex:dateUtc="2025-10-04T08:53:00Z"/>
  <w16cex:commentExtensible w16cex:durableId="2C8B92EA" w16cex:dateUtc="2025-10-04T09:04:00Z"/>
  <w16cex:commentExtensible w16cex:durableId="2C8B92F9" w16cex:dateUtc="2025-10-04T0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F97AFF" w16cid:durableId="2C8B8BE4"/>
  <w16cid:commentId w16cid:paraId="65915868" w16cid:durableId="2C8B8C0E"/>
  <w16cid:commentId w16cid:paraId="7EBF18E2" w16cid:durableId="2C8B8F88"/>
  <w16cid:commentId w16cid:paraId="135058A3" w16cid:durableId="2C8B8FCF"/>
  <w16cid:commentId w16cid:paraId="680D6E1F" w16cid:durableId="2C8B904B"/>
  <w16cid:commentId w16cid:paraId="14D6C4F1" w16cid:durableId="2C8B92EA"/>
  <w16cid:commentId w16cid:paraId="57BCF918" w16cid:durableId="2C8B92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9084" w14:textId="77777777" w:rsidR="00F819EC" w:rsidRDefault="00F819EC" w:rsidP="00C37E61">
      <w:r>
        <w:separator/>
      </w:r>
    </w:p>
  </w:endnote>
  <w:endnote w:type="continuationSeparator" w:id="0">
    <w:p w14:paraId="1A1430F6" w14:textId="77777777" w:rsidR="00F819EC" w:rsidRDefault="00F819E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D6D2" w14:textId="77777777" w:rsidR="00A62CA2" w:rsidRDefault="00A62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C8E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21EB" w14:textId="77777777" w:rsidR="00A62CA2" w:rsidRDefault="00A62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57E96" w14:textId="77777777" w:rsidR="00F819EC" w:rsidRDefault="00F819EC" w:rsidP="00C37E61">
      <w:r>
        <w:separator/>
      </w:r>
    </w:p>
  </w:footnote>
  <w:footnote w:type="continuationSeparator" w:id="0">
    <w:p w14:paraId="55F4E378" w14:textId="77777777" w:rsidR="00F819EC" w:rsidRDefault="00F819E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EE63" w14:textId="14B59B9E" w:rsidR="00A62CA2" w:rsidRDefault="00000000">
    <w:pPr>
      <w:pStyle w:val="Header"/>
    </w:pPr>
    <w:r>
      <w:rPr>
        <w:noProof/>
      </w:rPr>
      <w:pict w14:anchorId="3C188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5874" w14:textId="0CB642F1" w:rsidR="00A62CA2" w:rsidRDefault="00000000">
    <w:pPr>
      <w:pStyle w:val="Header"/>
    </w:pPr>
    <w:r>
      <w:rPr>
        <w:noProof/>
      </w:rPr>
      <w:pict w14:anchorId="34892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1882A" w14:textId="1F7B6E28" w:rsidR="00A62CA2" w:rsidRDefault="00000000">
    <w:pPr>
      <w:pStyle w:val="Header"/>
    </w:pPr>
    <w:r>
      <w:rPr>
        <w:noProof/>
      </w:rPr>
      <w:pict w14:anchorId="01E09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4"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4B604B"/>
    <w:multiLevelType w:val="hybridMultilevel"/>
    <w:tmpl w:val="67382764"/>
    <w:lvl w:ilvl="0" w:tplc="FF18BEC8">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2307520"/>
    <w:multiLevelType w:val="hybridMultilevel"/>
    <w:tmpl w:val="30A0EB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A281D"/>
    <w:multiLevelType w:val="hybridMultilevel"/>
    <w:tmpl w:val="74E6FDB8"/>
    <w:lvl w:ilvl="0" w:tplc="0C986264">
      <w:start w:val="1"/>
      <w:numFmt w:val="decimal"/>
      <w:lvlText w:val="2.%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6F39BD"/>
    <w:multiLevelType w:val="hybridMultilevel"/>
    <w:tmpl w:val="6E5EA7B8"/>
    <w:lvl w:ilvl="0" w:tplc="AA7279A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74D59"/>
    <w:multiLevelType w:val="hybridMultilevel"/>
    <w:tmpl w:val="7E8AD460"/>
    <w:lvl w:ilvl="0" w:tplc="FF06169E">
      <w:start w:val="1"/>
      <w:numFmt w:val="decimal"/>
      <w:lvlText w:val="2.3.%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3BD60EC"/>
    <w:multiLevelType w:val="hybridMultilevel"/>
    <w:tmpl w:val="3118F39A"/>
    <w:lvl w:ilvl="0" w:tplc="B9A8092C">
      <w:start w:val="1"/>
      <w:numFmt w:val="decimal"/>
      <w:lvlText w:val="2.4.%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017525"/>
    <w:multiLevelType w:val="hybridMultilevel"/>
    <w:tmpl w:val="E098A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312795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9132271">
    <w:abstractNumId w:val="17"/>
  </w:num>
  <w:num w:numId="3" w16cid:durableId="1348799473">
    <w:abstractNumId w:val="29"/>
  </w:num>
  <w:num w:numId="4" w16cid:durableId="209447425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24889872">
    <w:abstractNumId w:val="8"/>
  </w:num>
  <w:num w:numId="6" w16cid:durableId="855390690">
    <w:abstractNumId w:val="7"/>
  </w:num>
  <w:num w:numId="7" w16cid:durableId="682249168">
    <w:abstractNumId w:val="1"/>
  </w:num>
  <w:num w:numId="8" w16cid:durableId="1232352353">
    <w:abstractNumId w:val="13"/>
  </w:num>
  <w:num w:numId="9" w16cid:durableId="92746060">
    <w:abstractNumId w:val="31"/>
  </w:num>
  <w:num w:numId="10" w16cid:durableId="1782918433">
    <w:abstractNumId w:val="2"/>
  </w:num>
  <w:num w:numId="11" w16cid:durableId="1636259236">
    <w:abstractNumId w:val="23"/>
  </w:num>
  <w:num w:numId="12" w16cid:durableId="1043096916">
    <w:abstractNumId w:val="3"/>
  </w:num>
  <w:num w:numId="13" w16cid:durableId="61023772">
    <w:abstractNumId w:val="22"/>
  </w:num>
  <w:num w:numId="14" w16cid:durableId="883755626">
    <w:abstractNumId w:val="9"/>
  </w:num>
  <w:num w:numId="15" w16cid:durableId="162091656">
    <w:abstractNumId w:val="26"/>
  </w:num>
  <w:num w:numId="16" w16cid:durableId="1148665884">
    <w:abstractNumId w:val="5"/>
  </w:num>
  <w:num w:numId="17" w16cid:durableId="138616931">
    <w:abstractNumId w:val="28"/>
  </w:num>
  <w:num w:numId="18" w16cid:durableId="1143935415">
    <w:abstractNumId w:val="15"/>
  </w:num>
  <w:num w:numId="19" w16cid:durableId="946346444">
    <w:abstractNumId w:val="35"/>
  </w:num>
  <w:num w:numId="20" w16cid:durableId="379288156">
    <w:abstractNumId w:val="12"/>
  </w:num>
  <w:num w:numId="21" w16cid:durableId="1021055853">
    <w:abstractNumId w:val="10"/>
  </w:num>
  <w:num w:numId="22" w16cid:durableId="186868741">
    <w:abstractNumId w:val="14"/>
  </w:num>
  <w:num w:numId="23" w16cid:durableId="1365670173">
    <w:abstractNumId w:val="24"/>
  </w:num>
  <w:num w:numId="24" w16cid:durableId="186145803">
    <w:abstractNumId w:val="32"/>
  </w:num>
  <w:num w:numId="25" w16cid:durableId="276184259">
    <w:abstractNumId w:val="4"/>
  </w:num>
  <w:num w:numId="26" w16cid:durableId="1315139327">
    <w:abstractNumId w:val="18"/>
  </w:num>
  <w:num w:numId="27" w16cid:durableId="1466386559">
    <w:abstractNumId w:val="25"/>
  </w:num>
  <w:num w:numId="28" w16cid:durableId="84813270">
    <w:abstractNumId w:val="33"/>
  </w:num>
  <w:num w:numId="29" w16cid:durableId="1066221593">
    <w:abstractNumId w:val="30"/>
  </w:num>
  <w:num w:numId="30" w16cid:durableId="1598755622">
    <w:abstractNumId w:val="11"/>
  </w:num>
  <w:num w:numId="31" w16cid:durableId="1091125890">
    <w:abstractNumId w:val="16"/>
  </w:num>
  <w:num w:numId="32" w16cid:durableId="532696580">
    <w:abstractNumId w:val="34"/>
  </w:num>
  <w:num w:numId="33" w16cid:durableId="1576014619">
    <w:abstractNumId w:val="21"/>
  </w:num>
  <w:num w:numId="34" w16cid:durableId="29301512">
    <w:abstractNumId w:val="27"/>
  </w:num>
  <w:num w:numId="35" w16cid:durableId="514271674">
    <w:abstractNumId w:val="19"/>
  </w:num>
  <w:num w:numId="36" w16cid:durableId="2049142905">
    <w:abstractNumId w:val="6"/>
  </w:num>
  <w:num w:numId="37" w16cid:durableId="156298602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A">
    <w15:presenceInfo w15:providerId="None" w15:userId="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10FD"/>
    <w:rsid w:val="000A47FA"/>
    <w:rsid w:val="000A65D3"/>
    <w:rsid w:val="000B1E33"/>
    <w:rsid w:val="000B599F"/>
    <w:rsid w:val="000D689F"/>
    <w:rsid w:val="000E7B7B"/>
    <w:rsid w:val="000E7D62"/>
    <w:rsid w:val="000F2998"/>
    <w:rsid w:val="00103357"/>
    <w:rsid w:val="00123C9F"/>
    <w:rsid w:val="00126190"/>
    <w:rsid w:val="00130F17"/>
    <w:rsid w:val="001320BF"/>
    <w:rsid w:val="00163BC4"/>
    <w:rsid w:val="001667ED"/>
    <w:rsid w:val="00191062"/>
    <w:rsid w:val="00192B72"/>
    <w:rsid w:val="001A29D8"/>
    <w:rsid w:val="001A5CAA"/>
    <w:rsid w:val="001B0427"/>
    <w:rsid w:val="001D3A51"/>
    <w:rsid w:val="001E10D2"/>
    <w:rsid w:val="001E25B4"/>
    <w:rsid w:val="001E44FE"/>
    <w:rsid w:val="001F2EE3"/>
    <w:rsid w:val="001F3874"/>
    <w:rsid w:val="00200595"/>
    <w:rsid w:val="00204835"/>
    <w:rsid w:val="00231920"/>
    <w:rsid w:val="0023195C"/>
    <w:rsid w:val="0024282C"/>
    <w:rsid w:val="002460DC"/>
    <w:rsid w:val="00250985"/>
    <w:rsid w:val="002556F6"/>
    <w:rsid w:val="00260DBA"/>
    <w:rsid w:val="00282B9E"/>
    <w:rsid w:val="00283105"/>
    <w:rsid w:val="00284C4C"/>
    <w:rsid w:val="00287E68"/>
    <w:rsid w:val="00296529"/>
    <w:rsid w:val="002A7BB6"/>
    <w:rsid w:val="002B27FB"/>
    <w:rsid w:val="002B685A"/>
    <w:rsid w:val="002C57D2"/>
    <w:rsid w:val="002E0D56"/>
    <w:rsid w:val="00315186"/>
    <w:rsid w:val="0033343E"/>
    <w:rsid w:val="003512C2"/>
    <w:rsid w:val="003565FE"/>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2A45"/>
    <w:rsid w:val="004D305E"/>
    <w:rsid w:val="004D4277"/>
    <w:rsid w:val="00502516"/>
    <w:rsid w:val="00505F06"/>
    <w:rsid w:val="00506828"/>
    <w:rsid w:val="0053056E"/>
    <w:rsid w:val="00554FDA"/>
    <w:rsid w:val="005C784C"/>
    <w:rsid w:val="005D17F6"/>
    <w:rsid w:val="005E5539"/>
    <w:rsid w:val="005F1911"/>
    <w:rsid w:val="00602BF5"/>
    <w:rsid w:val="00617FDD"/>
    <w:rsid w:val="00633614"/>
    <w:rsid w:val="00633F68"/>
    <w:rsid w:val="00636EB2"/>
    <w:rsid w:val="006375B8"/>
    <w:rsid w:val="00664835"/>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28BB"/>
    <w:rsid w:val="0077749E"/>
    <w:rsid w:val="00790ADA"/>
    <w:rsid w:val="007D2288"/>
    <w:rsid w:val="007E088F"/>
    <w:rsid w:val="007F7B32"/>
    <w:rsid w:val="00804BC2"/>
    <w:rsid w:val="0081431A"/>
    <w:rsid w:val="0081557C"/>
    <w:rsid w:val="0083216F"/>
    <w:rsid w:val="00840E66"/>
    <w:rsid w:val="00860000"/>
    <w:rsid w:val="00863BD3"/>
    <w:rsid w:val="008641ED"/>
    <w:rsid w:val="00866D66"/>
    <w:rsid w:val="008671C6"/>
    <w:rsid w:val="00875803"/>
    <w:rsid w:val="008B459E"/>
    <w:rsid w:val="008C0A39"/>
    <w:rsid w:val="008E13AE"/>
    <w:rsid w:val="008E1506"/>
    <w:rsid w:val="008E710C"/>
    <w:rsid w:val="008F69D6"/>
    <w:rsid w:val="00902823"/>
    <w:rsid w:val="0090460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2CA2"/>
    <w:rsid w:val="00A72045"/>
    <w:rsid w:val="00A94063"/>
    <w:rsid w:val="00AA0A78"/>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7423"/>
    <w:rsid w:val="00C574CA"/>
    <w:rsid w:val="00C70F1B"/>
    <w:rsid w:val="00C71A47"/>
    <w:rsid w:val="00C7464C"/>
    <w:rsid w:val="00C85588"/>
    <w:rsid w:val="00CA4DDF"/>
    <w:rsid w:val="00CD486E"/>
    <w:rsid w:val="00CD6755"/>
    <w:rsid w:val="00CD6856"/>
    <w:rsid w:val="00CE0089"/>
    <w:rsid w:val="00CE793C"/>
    <w:rsid w:val="00CF193C"/>
    <w:rsid w:val="00D173F1"/>
    <w:rsid w:val="00D74CB0"/>
    <w:rsid w:val="00D8295D"/>
    <w:rsid w:val="00DC0AE7"/>
    <w:rsid w:val="00DC2A65"/>
    <w:rsid w:val="00DE15F0"/>
    <w:rsid w:val="00DE3814"/>
    <w:rsid w:val="00DE3E04"/>
    <w:rsid w:val="00DE5663"/>
    <w:rsid w:val="00DE78AA"/>
    <w:rsid w:val="00E053D0"/>
    <w:rsid w:val="00E15994"/>
    <w:rsid w:val="00E3114E"/>
    <w:rsid w:val="00E31A70"/>
    <w:rsid w:val="00E35B02"/>
    <w:rsid w:val="00E66496"/>
    <w:rsid w:val="00E66B35"/>
    <w:rsid w:val="00E66E10"/>
    <w:rsid w:val="00E71F5B"/>
    <w:rsid w:val="00E7698E"/>
    <w:rsid w:val="00E769F6"/>
    <w:rsid w:val="00E8407C"/>
    <w:rsid w:val="00E84F3C"/>
    <w:rsid w:val="00EA012C"/>
    <w:rsid w:val="00EC21FB"/>
    <w:rsid w:val="00EC6A55"/>
    <w:rsid w:val="00ED0288"/>
    <w:rsid w:val="00EE52CB"/>
    <w:rsid w:val="00EF581D"/>
    <w:rsid w:val="00EF7FD8"/>
    <w:rsid w:val="00F06F59"/>
    <w:rsid w:val="00F17988"/>
    <w:rsid w:val="00F469F0"/>
    <w:rsid w:val="00F53273"/>
    <w:rsid w:val="00F755E4"/>
    <w:rsid w:val="00F77D02"/>
    <w:rsid w:val="00F819EC"/>
    <w:rsid w:val="00FB3A86"/>
    <w:rsid w:val="00FD2E83"/>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EB17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574CA"/>
    <w:pPr>
      <w:spacing w:after="160" w:line="278" w:lineRule="auto"/>
      <w:ind w:left="720"/>
      <w:contextualSpacing/>
    </w:pPr>
    <w:rPr>
      <w:rFonts w:asciiTheme="minorHAnsi" w:eastAsiaTheme="minorHAnsi" w:hAnsiTheme="minorHAnsi" w:cstheme="minorBidi"/>
      <w:kern w:val="2"/>
      <w:sz w:val="24"/>
      <w:szCs w:val="24"/>
    </w:rPr>
  </w:style>
  <w:style w:type="paragraph" w:styleId="CommentSubject">
    <w:name w:val="annotation subject"/>
    <w:basedOn w:val="CommentText"/>
    <w:next w:val="CommentText"/>
    <w:link w:val="CommentSubjectChar"/>
    <w:semiHidden/>
    <w:unhideWhenUsed/>
    <w:rsid w:val="001667ED"/>
    <w:rPr>
      <w:rFonts w:ascii="Helvetica" w:hAnsi="Helvetica"/>
      <w:b/>
      <w:bCs/>
      <w:lang w:val="en-US" w:eastAsia="en-US"/>
    </w:rPr>
  </w:style>
  <w:style w:type="character" w:customStyle="1" w:styleId="CommentSubjectChar">
    <w:name w:val="Comment Subject Char"/>
    <w:basedOn w:val="CommentTextChar"/>
    <w:link w:val="CommentSubject"/>
    <w:semiHidden/>
    <w:rsid w:val="001667E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8629701">
      <w:bodyDiv w:val="1"/>
      <w:marLeft w:val="0"/>
      <w:marRight w:val="0"/>
      <w:marTop w:val="0"/>
      <w:marBottom w:val="0"/>
      <w:divBdr>
        <w:top w:val="none" w:sz="0" w:space="0" w:color="auto"/>
        <w:left w:val="none" w:sz="0" w:space="0" w:color="auto"/>
        <w:bottom w:val="none" w:sz="0" w:space="0" w:color="auto"/>
        <w:right w:val="none" w:sz="0" w:space="0" w:color="auto"/>
      </w:divBdr>
    </w:div>
    <w:div w:id="142904043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3390/su11010222" TargetMode="External"/><Relationship Id="rId26" Type="http://schemas.openxmlformats.org/officeDocument/2006/relationships/hyperlink" Target="https://doi.org/10.3389/fpls.2017.00537" TargetMode="External"/><Relationship Id="rId3" Type="http://schemas.openxmlformats.org/officeDocument/2006/relationships/styles" Target="styles.xml"/><Relationship Id="rId21" Type="http://schemas.openxmlformats.org/officeDocument/2006/relationships/hyperlink" Target="https://doi.org/10.3390/su1415920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088/1755-1315/839/4/042015" TargetMode="External"/><Relationship Id="rId25" Type="http://schemas.openxmlformats.org/officeDocument/2006/relationships/hyperlink" Target="https://doi.org/10.3390/agronomy15010160"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07/978-3-030-79065-3_12" TargetMode="External"/><Relationship Id="rId20" Type="http://schemas.openxmlformats.org/officeDocument/2006/relationships/hyperlink" Target="https://doi.org/10.26897/2687-1149-2022-3-12-1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33545/26180723.2022.v5.i1a.115"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02/ps.5968" TargetMode="External"/><Relationship Id="rId23" Type="http://schemas.openxmlformats.org/officeDocument/2006/relationships/hyperlink" Target="https://doi.org/10.9734/jsrr/2024/v30i92409" TargetMode="External"/><Relationship Id="rId28" Type="http://schemas.openxmlformats.org/officeDocument/2006/relationships/header" Target="header1.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doi.org/10.1002/9781119434016.ch16"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hyperlink" Target="https://doi.org/10.15740/HAS/IJAE/8.1/85-91" TargetMode="External"/><Relationship Id="rId27" Type="http://schemas.openxmlformats.org/officeDocument/2006/relationships/hyperlink" Target="https://doi.org/10.5281/zenodo.1323056" TargetMode="External"/><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Operating pressure</a:t>
            </a:r>
            <a:r>
              <a:rPr lang="en-IN" b="1" baseline="0">
                <a:latin typeface="Times New Roman" panose="02020603050405020304" pitchFamily="18" charset="0"/>
                <a:cs typeface="Times New Roman" panose="02020603050405020304" pitchFamily="18" charset="0"/>
              </a:rPr>
              <a:t> Vs Nozzle discharge </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1"/>
          <c:order val="0"/>
          <c:tx>
            <c:strRef>
              <c:f>Sheet1!$G$28</c:f>
              <c:strCache>
                <c:ptCount val="1"/>
                <c:pt idx="0">
                  <c:v>Discharge ml/min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Sheet1!$G$29:$G$31</c:f>
              <c:numCache>
                <c:formatCode>General</c:formatCode>
                <c:ptCount val="3"/>
                <c:pt idx="0">
                  <c:v>669.17</c:v>
                </c:pt>
                <c:pt idx="1">
                  <c:v>946.67</c:v>
                </c:pt>
                <c:pt idx="2">
                  <c:v>1160</c:v>
                </c:pt>
              </c:numCache>
            </c:numRef>
          </c:val>
          <c:smooth val="0"/>
          <c:extLst>
            <c:ext xmlns:c16="http://schemas.microsoft.com/office/drawing/2014/chart" uri="{C3380CC4-5D6E-409C-BE32-E72D297353CC}">
              <c16:uniqueId val="{00000000-759D-4CFA-B20B-E38562183AC7}"/>
            </c:ext>
          </c:extLst>
        </c:ser>
        <c:dLbls>
          <c:showLegendKey val="0"/>
          <c:showVal val="0"/>
          <c:showCatName val="0"/>
          <c:showSerName val="0"/>
          <c:showPercent val="0"/>
          <c:showBubbleSize val="0"/>
        </c:dLbls>
        <c:marker val="1"/>
        <c:smooth val="0"/>
        <c:axId val="1712398480"/>
        <c:axId val="1712405136"/>
      </c:lineChart>
      <c:catAx>
        <c:axId val="1712398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Operating Pressure (kg/cm</a:t>
                </a:r>
                <a:r>
                  <a:rPr lang="en-US" sz="1200" b="1" baseline="30000">
                    <a:solidFill>
                      <a:schemeClr val="tx1"/>
                    </a:solidFill>
                    <a:latin typeface="Times New Roman" panose="02020603050405020304" pitchFamily="18" charset="0"/>
                    <a:cs typeface="Times New Roman" panose="02020603050405020304" pitchFamily="18" charset="0"/>
                  </a:rPr>
                  <a:t>2</a:t>
                </a:r>
                <a:r>
                  <a:rPr lang="en-US" sz="1200" b="1" baseline="0">
                    <a:solidFill>
                      <a:schemeClr val="tx1"/>
                    </a:solidFill>
                    <a:latin typeface="Times New Roman" panose="02020603050405020304" pitchFamily="18" charset="0"/>
                    <a:cs typeface="Times New Roman" panose="02020603050405020304" pitchFamily="18" charset="0"/>
                  </a:rPr>
                  <a:t>)</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cross"/>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712405136"/>
        <c:crosses val="autoZero"/>
        <c:auto val="1"/>
        <c:lblAlgn val="ctr"/>
        <c:lblOffset val="100"/>
        <c:tickLblSkip val="1"/>
        <c:noMultiLvlLbl val="0"/>
      </c:catAx>
      <c:valAx>
        <c:axId val="171240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Nozzle Discharge (ml/min)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39848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3C4C-8CB9-434A-BC50-6B00AB467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172</TotalTime>
  <Pages>1</Pages>
  <Words>9407</Words>
  <Characters>53625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62907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ARA</cp:lastModifiedBy>
  <cp:revision>29</cp:revision>
  <cp:lastPrinted>1999-07-06T11:00:00Z</cp:lastPrinted>
  <dcterms:created xsi:type="dcterms:W3CDTF">2014-10-25T14:34:00Z</dcterms:created>
  <dcterms:modified xsi:type="dcterms:W3CDTF">2025-10-04T09:07:00Z</dcterms:modified>
</cp:coreProperties>
</file>