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22E" w:rsidRDefault="0002522E" w:rsidP="006E2913">
      <w:pPr>
        <w:jc w:val="center"/>
        <w:rPr>
          <w:rFonts w:ascii="Times New Roman" w:hAnsi="Times New Roman" w:cs="Times New Roman"/>
          <w:b/>
          <w:bCs/>
          <w:sz w:val="24"/>
          <w:szCs w:val="24"/>
        </w:rPr>
      </w:pPr>
      <w:r w:rsidRPr="00805DAB">
        <w:rPr>
          <w:rFonts w:ascii="Times New Roman" w:hAnsi="Times New Roman" w:cs="Times New Roman"/>
          <w:b/>
          <w:bCs/>
          <w:sz w:val="24"/>
          <w:szCs w:val="24"/>
        </w:rPr>
        <w:t>Sustainable Wheat Production through Integrated Nutrient Management: Soil and Economic Perspectives</w:t>
      </w:r>
    </w:p>
    <w:p w:rsidR="00272D5D" w:rsidRDefault="00272D5D" w:rsidP="006E2913">
      <w:pPr>
        <w:jc w:val="center"/>
        <w:rPr>
          <w:rFonts w:ascii="Times New Roman" w:hAnsi="Times New Roman" w:cs="Times New Roman"/>
          <w:b/>
          <w:bCs/>
          <w:sz w:val="24"/>
          <w:szCs w:val="24"/>
        </w:rPr>
      </w:pPr>
    </w:p>
    <w:p w:rsidR="006E2913" w:rsidRPr="00805DAB" w:rsidRDefault="006E2913" w:rsidP="00805DAB">
      <w:pPr>
        <w:jc w:val="both"/>
        <w:rPr>
          <w:rFonts w:ascii="Times New Roman" w:hAnsi="Times New Roman" w:cs="Times New Roman"/>
          <w:b/>
          <w:bCs/>
          <w:sz w:val="24"/>
          <w:szCs w:val="24"/>
        </w:rPr>
      </w:pPr>
      <w:bookmarkStart w:id="0" w:name="_GoBack"/>
      <w:bookmarkEnd w:id="0"/>
    </w:p>
    <w:p w:rsidR="0002522E" w:rsidRPr="0002522E" w:rsidRDefault="0002522E" w:rsidP="006E2913">
      <w:pPr>
        <w:jc w:val="center"/>
        <w:rPr>
          <w:rFonts w:ascii="Times New Roman" w:hAnsi="Times New Roman" w:cs="Times New Roman"/>
          <w:b/>
          <w:bCs/>
          <w:sz w:val="24"/>
          <w:szCs w:val="24"/>
        </w:rPr>
      </w:pPr>
      <w:r w:rsidRPr="0002522E">
        <w:rPr>
          <w:rFonts w:ascii="Times New Roman" w:hAnsi="Times New Roman" w:cs="Times New Roman"/>
          <w:b/>
          <w:bCs/>
          <w:sz w:val="24"/>
          <w:szCs w:val="24"/>
        </w:rPr>
        <w:t>Abstract</w:t>
      </w:r>
    </w:p>
    <w:p w:rsidR="0002522E" w:rsidRPr="0002522E" w:rsidRDefault="00756A17" w:rsidP="00805DAB">
      <w:pPr>
        <w:jc w:val="both"/>
        <w:rPr>
          <w:rFonts w:ascii="Times New Roman" w:hAnsi="Times New Roman" w:cs="Times New Roman"/>
          <w:sz w:val="24"/>
          <w:szCs w:val="24"/>
        </w:rPr>
      </w:pPr>
      <w:r w:rsidRPr="00756A17">
        <w:rPr>
          <w:rFonts w:ascii="Times New Roman" w:hAnsi="Times New Roman" w:cs="Times New Roman"/>
          <w:sz w:val="24"/>
          <w:szCs w:val="24"/>
        </w:rPr>
        <w:t>India's food security plan relies heavily on wheat</w:t>
      </w:r>
      <w:r w:rsidR="00EA5239">
        <w:rPr>
          <w:rFonts w:ascii="Times New Roman" w:hAnsi="Times New Roman" w:cs="Times New Roman"/>
          <w:sz w:val="24"/>
          <w:szCs w:val="24"/>
        </w:rPr>
        <w:t xml:space="preserve"> </w:t>
      </w:r>
      <w:r w:rsidR="00EA5239" w:rsidRPr="00EA5239">
        <w:rPr>
          <w:rFonts w:ascii="Times New Roman" w:hAnsi="Times New Roman" w:cs="Times New Roman"/>
          <w:color w:val="FF0000"/>
          <w:sz w:val="24"/>
          <w:szCs w:val="24"/>
        </w:rPr>
        <w:t>production</w:t>
      </w:r>
      <w:r w:rsidRPr="00756A17">
        <w:rPr>
          <w:rFonts w:ascii="Times New Roman" w:hAnsi="Times New Roman" w:cs="Times New Roman"/>
          <w:sz w:val="24"/>
          <w:szCs w:val="24"/>
        </w:rPr>
        <w:t xml:space="preserve">, which is </w:t>
      </w:r>
      <w:r w:rsidRPr="00EA5239">
        <w:rPr>
          <w:rFonts w:ascii="Times New Roman" w:hAnsi="Times New Roman" w:cs="Times New Roman"/>
          <w:strike/>
          <w:color w:val="FF0000"/>
          <w:sz w:val="24"/>
          <w:szCs w:val="24"/>
        </w:rPr>
        <w:t>grown</w:t>
      </w:r>
      <w:r w:rsidRPr="00756A17">
        <w:rPr>
          <w:rFonts w:ascii="Times New Roman" w:hAnsi="Times New Roman" w:cs="Times New Roman"/>
          <w:sz w:val="24"/>
          <w:szCs w:val="24"/>
        </w:rPr>
        <w:t xml:space="preserve"> second only to rice. But because of its heavy production with chemical fertilizers, soil health has declined, input costs have gone up, and ecological issues have arisen. A sustainable method for preserving soil fertility and raising agricultural profitability is Integrated Nutrient Management (INM), which blends inorganic fertilizers, organic additions, and biofertilizers. This study assessed the effects of INM on soil health metrics and the economics of growing wheat under nine treatments using a randomized block design. It was carried out at the Agronomy Research Farm of Himgiri Zee University, Dehradun, during the Rabi season of 2023–2024.</w:t>
      </w:r>
      <w:r w:rsidR="00EA5239">
        <w:rPr>
          <w:rFonts w:ascii="Times New Roman" w:hAnsi="Times New Roman" w:cs="Times New Roman"/>
          <w:sz w:val="24"/>
          <w:szCs w:val="24"/>
        </w:rPr>
        <w:t xml:space="preserve"> </w:t>
      </w:r>
      <w:r w:rsidRPr="00756A17">
        <w:rPr>
          <w:rFonts w:ascii="Times New Roman" w:hAnsi="Times New Roman" w:cs="Times New Roman"/>
          <w:sz w:val="24"/>
          <w:szCs w:val="24"/>
        </w:rPr>
        <w:t xml:space="preserve">In addition to lowering pH and electrical conductivity, the results demonstrated that the combined application of 80% RDF + vermicompost (2.9 t/ha) + biofertilizers (Azotobacter + PSB) greatly increased soil </w:t>
      </w:r>
      <w:r w:rsidRPr="00EA5239">
        <w:rPr>
          <w:rFonts w:ascii="Times New Roman" w:hAnsi="Times New Roman" w:cs="Times New Roman"/>
          <w:sz w:val="24"/>
          <w:szCs w:val="24"/>
          <w:highlight w:val="yellow"/>
        </w:rPr>
        <w:t>organic carbon (0.58%), available nitrogen (155.25 kg/ha), and phosphorus (14.51 kg/</w:t>
      </w:r>
      <w:commentRangeStart w:id="1"/>
      <w:r w:rsidRPr="00EA5239">
        <w:rPr>
          <w:rFonts w:ascii="Times New Roman" w:hAnsi="Times New Roman" w:cs="Times New Roman"/>
          <w:sz w:val="24"/>
          <w:szCs w:val="24"/>
          <w:highlight w:val="yellow"/>
        </w:rPr>
        <w:t>ha</w:t>
      </w:r>
      <w:commentRangeEnd w:id="1"/>
      <w:r w:rsidR="00EA5239">
        <w:rPr>
          <w:rStyle w:val="CommentReference"/>
        </w:rPr>
        <w:commentReference w:id="1"/>
      </w:r>
      <w:r w:rsidRPr="00EA5239">
        <w:rPr>
          <w:rFonts w:ascii="Times New Roman" w:hAnsi="Times New Roman" w:cs="Times New Roman"/>
          <w:sz w:val="24"/>
          <w:szCs w:val="24"/>
          <w:highlight w:val="yellow"/>
        </w:rPr>
        <w:t>)</w:t>
      </w:r>
      <w:r w:rsidRPr="00756A17">
        <w:rPr>
          <w:rFonts w:ascii="Times New Roman" w:hAnsi="Times New Roman" w:cs="Times New Roman"/>
          <w:sz w:val="24"/>
          <w:szCs w:val="24"/>
        </w:rPr>
        <w:t>, indicating improved soil health. In terms of economics, the 100% RDF treatment produced the highest net return (₹36,945/ha) and benefit-cost (B:C) ratio (1.32), even though this integrated treatment had the highest gross return (₹72,250/ha). The results emphasize that although INM promotes sustainable production and enhances soil quality, increased input costs may short-term restrict economic returns. Therefore, improving sustainability and profitability in wheat-based cropping systems requires optimizing the mix of nutrient sources.</w:t>
      </w:r>
    </w:p>
    <w:p w:rsidR="0002522E" w:rsidRPr="006E2913" w:rsidRDefault="002B4E32" w:rsidP="00805DAB">
      <w:pPr>
        <w:jc w:val="both"/>
        <w:rPr>
          <w:rFonts w:ascii="Times New Roman" w:hAnsi="Times New Roman" w:cs="Times New Roman"/>
          <w:b/>
          <w:bCs/>
          <w:sz w:val="24"/>
          <w:szCs w:val="24"/>
        </w:rPr>
      </w:pPr>
      <w:r w:rsidRPr="006E2913">
        <w:rPr>
          <w:rFonts w:ascii="Times New Roman" w:hAnsi="Times New Roman" w:cs="Times New Roman"/>
          <w:b/>
          <w:bCs/>
          <w:sz w:val="24"/>
          <w:szCs w:val="24"/>
        </w:rPr>
        <w:t>Introduction</w:t>
      </w:r>
    </w:p>
    <w:p w:rsidR="007D6387" w:rsidRPr="007D6387" w:rsidRDefault="00756A17" w:rsidP="00805DAB">
      <w:pPr>
        <w:jc w:val="both"/>
        <w:rPr>
          <w:rFonts w:ascii="Times New Roman" w:hAnsi="Times New Roman" w:cs="Times New Roman"/>
          <w:sz w:val="24"/>
          <w:szCs w:val="24"/>
        </w:rPr>
      </w:pPr>
      <w:r w:rsidRPr="00756A17">
        <w:rPr>
          <w:rFonts w:ascii="Times New Roman" w:hAnsi="Times New Roman" w:cs="Times New Roman"/>
          <w:sz w:val="24"/>
          <w:szCs w:val="24"/>
        </w:rPr>
        <w:t xml:space="preserve">The second most </w:t>
      </w:r>
      <w:r w:rsidR="00EA5239" w:rsidRPr="00EA5239">
        <w:rPr>
          <w:rFonts w:ascii="Times New Roman" w:hAnsi="Times New Roman" w:cs="Times New Roman"/>
          <w:color w:val="FF0000"/>
          <w:sz w:val="24"/>
          <w:szCs w:val="24"/>
        </w:rPr>
        <w:t>widely</w:t>
      </w:r>
      <w:r w:rsidR="00EA5239">
        <w:rPr>
          <w:rFonts w:ascii="Times New Roman" w:hAnsi="Times New Roman" w:cs="Times New Roman"/>
          <w:sz w:val="24"/>
          <w:szCs w:val="24"/>
        </w:rPr>
        <w:t xml:space="preserve"> </w:t>
      </w:r>
      <w:r w:rsidRPr="00756A17">
        <w:rPr>
          <w:rFonts w:ascii="Times New Roman" w:hAnsi="Times New Roman" w:cs="Times New Roman"/>
          <w:sz w:val="24"/>
          <w:szCs w:val="24"/>
        </w:rPr>
        <w:t xml:space="preserve">grown cereal after rice, wheat is strategically significant in India's agricultural environment. In addition to ensuring food security, sustainable wheat production is essential for preserving soil health and long-term agricultural profitability. Concerns over deteriorating soil fertility, rising input prices, and environmental damage have been raised by the ongoing use of chemical fertilizers. A workable solution to these problems is Integrated Nutrient Management (INM), which combines the use of inorganic fertilizers, biofertilizers (like Azotobacter, PSB), and organic sources (like vermicompost, FYM). The physico-chemical and biological characteristics of the soil are maintained or even improved by INM, which also increases the efficiency of nutrient usage (Gupta </w:t>
      </w:r>
      <w:r w:rsidRPr="00756A17">
        <w:rPr>
          <w:rFonts w:ascii="Times New Roman" w:hAnsi="Times New Roman" w:cs="Times New Roman"/>
          <w:i/>
          <w:iCs/>
          <w:sz w:val="24"/>
          <w:szCs w:val="24"/>
        </w:rPr>
        <w:t>et al</w:t>
      </w:r>
      <w:r w:rsidRPr="00756A17">
        <w:rPr>
          <w:rFonts w:ascii="Times New Roman" w:hAnsi="Times New Roman" w:cs="Times New Roman"/>
          <w:sz w:val="24"/>
          <w:szCs w:val="24"/>
        </w:rPr>
        <w:t>., 2019).</w:t>
      </w:r>
      <w:r w:rsidR="007D6387" w:rsidRPr="007D6387">
        <w:rPr>
          <w:rFonts w:ascii="Times New Roman" w:hAnsi="Times New Roman" w:cs="Times New Roman"/>
          <w:sz w:val="24"/>
          <w:szCs w:val="24"/>
        </w:rPr>
        <w:t>The role of earthworms in organic matter decomposition, and microorganisms in nutrient cycling, especially in biofertilizer applications, has been well documented</w:t>
      </w:r>
      <w:r w:rsidR="006E2913">
        <w:rPr>
          <w:rFonts w:ascii="Times New Roman" w:hAnsi="Times New Roman" w:cs="Times New Roman"/>
          <w:sz w:val="24"/>
          <w:szCs w:val="24"/>
        </w:rPr>
        <w:t>.</w:t>
      </w:r>
    </w:p>
    <w:p w:rsidR="007D6387" w:rsidRDefault="00756A17" w:rsidP="006E2913">
      <w:pPr>
        <w:jc w:val="both"/>
        <w:rPr>
          <w:rFonts w:ascii="Times New Roman" w:hAnsi="Times New Roman" w:cs="Times New Roman"/>
          <w:sz w:val="24"/>
          <w:szCs w:val="24"/>
        </w:rPr>
      </w:pPr>
      <w:r w:rsidRPr="00756A17">
        <w:rPr>
          <w:rFonts w:ascii="Times New Roman" w:hAnsi="Times New Roman" w:cs="Times New Roman"/>
          <w:sz w:val="24"/>
          <w:szCs w:val="24"/>
        </w:rPr>
        <w:t xml:space="preserve">For sustainable agricultural productivity, soil fertility and structure are crucial. Vermicompost and other organic amendments raise soil organic carbon, promote microbial biomass, and improve soil aggregation, all of which improve nutrient availability and soil aeration. By fixing air nitrogen and solubilizing inaccessible phosphorus, biofertilizers lessen the demand for synthetic inputs and promote a more environmentally friendly agricultural system. INM has an impact on farming systems' economic feasibility in addition to their agronomic advantages. The overall cost of agriculture can be decreased while possibly increasing output by partially substituting less expensive organic and biofertilizers for pricey chemical </w:t>
      </w:r>
      <w:r w:rsidRPr="00756A17">
        <w:rPr>
          <w:rFonts w:ascii="Times New Roman" w:hAnsi="Times New Roman" w:cs="Times New Roman"/>
          <w:sz w:val="24"/>
          <w:szCs w:val="24"/>
        </w:rPr>
        <w:lastRenderedPageBreak/>
        <w:t>fertilizers. This results in improved benefit-cost (B:C) ratios and net returns, which guarantee greater profitability for farmers, particularly in smallholder settings.</w:t>
      </w:r>
      <w:r w:rsidR="007D6387" w:rsidRPr="006E2913">
        <w:rPr>
          <w:rFonts w:ascii="Times New Roman" w:hAnsi="Times New Roman" w:cs="Times New Roman"/>
          <w:sz w:val="24"/>
          <w:szCs w:val="24"/>
        </w:rPr>
        <w:t>Given the growing need for environmentally sustainable and economically viable practices, this study aimed to evaluate the effect of Integrated Nutrient Management on soil properties and economic performance of wheat production.</w:t>
      </w:r>
    </w:p>
    <w:p w:rsidR="006E2913" w:rsidRPr="006E2913" w:rsidRDefault="006E2913" w:rsidP="006E2913">
      <w:pPr>
        <w:jc w:val="both"/>
        <w:rPr>
          <w:rFonts w:ascii="Times New Roman" w:hAnsi="Times New Roman" w:cs="Times New Roman"/>
          <w:b/>
          <w:bCs/>
          <w:sz w:val="24"/>
          <w:szCs w:val="24"/>
        </w:rPr>
      </w:pPr>
      <w:r w:rsidRPr="006E2913">
        <w:rPr>
          <w:rFonts w:ascii="Times New Roman" w:hAnsi="Times New Roman" w:cs="Times New Roman"/>
          <w:b/>
          <w:bCs/>
          <w:sz w:val="24"/>
          <w:szCs w:val="24"/>
        </w:rPr>
        <w:t>Review of Literature</w:t>
      </w:r>
    </w:p>
    <w:p w:rsidR="00756A17" w:rsidRPr="00756A17" w:rsidRDefault="00756A17" w:rsidP="00756A17">
      <w:pPr>
        <w:jc w:val="both"/>
        <w:rPr>
          <w:rFonts w:ascii="Times New Roman" w:hAnsi="Times New Roman" w:cs="Times New Roman"/>
          <w:sz w:val="24"/>
          <w:szCs w:val="24"/>
        </w:rPr>
      </w:pPr>
      <w:r w:rsidRPr="00756A17">
        <w:rPr>
          <w:rFonts w:ascii="Times New Roman" w:hAnsi="Times New Roman" w:cs="Times New Roman"/>
          <w:sz w:val="24"/>
          <w:szCs w:val="24"/>
        </w:rPr>
        <w:t>It has been demonstrated that Integrated Nutrient Management (INM) has a major impact on soil fertility and health in India's different agroclimatic zones. Sharma and Subehia (2014) showed that in Himachal Pradesh, under rice-wheat rotation, mixing 50% N from FYM with 50% from NPK fertilizers greatly increased organic carbon (8.66 g/kg), nitrogen (281 kg/ha), phosphorus (75.2 kg/ha), and potassium (167 kg/ha). Sharma et al. (2016) discovered at IARI, New Delhi, that the exclusive use of FYM @ 20 t/ha preserved increased nutrient availability, especially for potassium (288.8 kg/ha) and phosphorus (35.9 kg/ha). According to Singh et al. (2017), applying 25% RDN-F + 75% N-FYM or vermicompost enhanced organic carbon (0.39%), nitrogen (220.51 kg/ha), and phosphorus (15.93 kg/ha) in Uttar Pradesh's sodic soils.</w:t>
      </w:r>
    </w:p>
    <w:p w:rsidR="007D6387" w:rsidRPr="00805DAB" w:rsidRDefault="00FF08EE" w:rsidP="00805DAB">
      <w:pPr>
        <w:jc w:val="both"/>
        <w:rPr>
          <w:rFonts w:ascii="Times New Roman" w:hAnsi="Times New Roman" w:cs="Times New Roman"/>
          <w:sz w:val="24"/>
          <w:szCs w:val="24"/>
        </w:rPr>
      </w:pPr>
      <w:r w:rsidRPr="00FF08EE">
        <w:rPr>
          <w:rFonts w:ascii="Times New Roman" w:hAnsi="Times New Roman" w:cs="Times New Roman"/>
          <w:sz w:val="24"/>
          <w:szCs w:val="24"/>
        </w:rPr>
        <w:t>50% RDF + 50% green manure improved organic carbon (6.80 g/kg), nitrogen (288.6 kg/ha), phosphorus (28.5 kg/ha), and potassium (313.8 kg/ha) in Chhattisgarh, according to Gawde et al. (2017). In Jabalpur, Patel et al. (2018) found that 100% NPK + FYM @15 t/ha produced the maximum levels of organic carbon (9.4 g/kg), nitrogen (329 kg/ha), phosphorus (40.5 kg/ha), and potassium (312 kg/ha). Improved soil fertility under 50% RDF + FYM @10 t/ha was also noted by Meena et al. (2018), who noted significant increases in potassium (395 kg/ha) and organic carbon (7.3 g/kg). According to Singh et al. (2019), alluvial soils treated with 75% NPK + 5 t FYM + 2.5 t vermicompost showed increases in soil fertility.</w:t>
      </w:r>
      <w:r w:rsidR="00EA5239">
        <w:rPr>
          <w:rFonts w:ascii="Times New Roman" w:hAnsi="Times New Roman" w:cs="Times New Roman"/>
          <w:sz w:val="24"/>
          <w:szCs w:val="24"/>
        </w:rPr>
        <w:t xml:space="preserve"> </w:t>
      </w:r>
      <w:r w:rsidR="007D6387" w:rsidRPr="00805DAB">
        <w:rPr>
          <w:rFonts w:ascii="Times New Roman" w:hAnsi="Times New Roman" w:cs="Times New Roman"/>
          <w:sz w:val="24"/>
          <w:szCs w:val="24"/>
        </w:rPr>
        <w:t xml:space="preserve">In Pantnagar, Kumar </w:t>
      </w:r>
      <w:r w:rsidR="00AA08A8" w:rsidRPr="00AA08A8">
        <w:rPr>
          <w:rFonts w:ascii="Times New Roman" w:hAnsi="Times New Roman" w:cs="Times New Roman"/>
          <w:i/>
          <w:iCs/>
          <w:sz w:val="24"/>
          <w:szCs w:val="24"/>
        </w:rPr>
        <w:t>et al</w:t>
      </w:r>
      <w:r w:rsidR="007D6387" w:rsidRPr="00805DAB">
        <w:rPr>
          <w:rFonts w:ascii="Times New Roman" w:hAnsi="Times New Roman" w:cs="Times New Roman"/>
          <w:sz w:val="24"/>
          <w:szCs w:val="24"/>
        </w:rPr>
        <w:t xml:space="preserve">. (2019) noted that 50% RDN through urea + 50% N through mung straw significantly raised organic carbon (up to 1.19%). Das </w:t>
      </w:r>
      <w:r w:rsidR="00AA08A8" w:rsidRPr="00AA08A8">
        <w:rPr>
          <w:rFonts w:ascii="Times New Roman" w:hAnsi="Times New Roman" w:cs="Times New Roman"/>
          <w:i/>
          <w:iCs/>
          <w:sz w:val="24"/>
          <w:szCs w:val="24"/>
        </w:rPr>
        <w:t>et al</w:t>
      </w:r>
      <w:r w:rsidR="007D6387" w:rsidRPr="00805DAB">
        <w:rPr>
          <w:rFonts w:ascii="Times New Roman" w:hAnsi="Times New Roman" w:cs="Times New Roman"/>
          <w:sz w:val="24"/>
          <w:szCs w:val="24"/>
        </w:rPr>
        <w:t>. (2019) also recorded increases in soil nutrient status under soybean-wheat cropping with 50% N from FYM + 50% NPK.</w:t>
      </w:r>
    </w:p>
    <w:p w:rsidR="007D6387" w:rsidRPr="00805DAB" w:rsidRDefault="00FF08EE" w:rsidP="00805DAB">
      <w:pPr>
        <w:jc w:val="both"/>
        <w:rPr>
          <w:rFonts w:ascii="Times New Roman" w:hAnsi="Times New Roman" w:cs="Times New Roman"/>
          <w:sz w:val="24"/>
          <w:szCs w:val="24"/>
        </w:rPr>
      </w:pPr>
      <w:r w:rsidRPr="00FF08EE">
        <w:rPr>
          <w:rFonts w:ascii="Times New Roman" w:hAnsi="Times New Roman" w:cs="Times New Roman"/>
          <w:sz w:val="24"/>
          <w:szCs w:val="24"/>
        </w:rPr>
        <w:t>Additionally, 100% RDN increased available nitrogen (205 kg/ha), phosphorus (27 kg/ha), and potassium (217 kg/ha), according to Kumar et al. (2020) in Varanasi. Sharma et al. (2020) found that 100% RDF + FYM 10 t/ha produced favorable soil responses in Punjab. Under 100% NPK + 5 t FYM/ha, Bairwa et al. (2021) recorded the highest levels of organic carbon (8.6 g/kg) and nitrogen (351 kg/ha). Kushwaha and Tripathi (2022) and Ahmad and Tripathi (2022) found that 75% RDF + FYM and vermicompost combinations significantly improved nutrient availability and organic carbon (up to 0.69%) in Prayagraj. In a study conducted across farmer farms in Madhya Pradesh, Shrivastava et al. (2023) discovered that applying 75% NPK + vermicompost + biofertilizers increased nitrogen (314.3 kg/ha) and organic carbon (7.3 g/kg).</w:t>
      </w:r>
      <w:r w:rsidR="007D6387" w:rsidRPr="00805DAB">
        <w:rPr>
          <w:rFonts w:ascii="Times New Roman" w:hAnsi="Times New Roman" w:cs="Times New Roman"/>
          <w:sz w:val="24"/>
          <w:szCs w:val="24"/>
        </w:rPr>
        <w:t xml:space="preserve">Darjee </w:t>
      </w:r>
      <w:r w:rsidR="00AA08A8" w:rsidRPr="00AA08A8">
        <w:rPr>
          <w:rFonts w:ascii="Times New Roman" w:hAnsi="Times New Roman" w:cs="Times New Roman"/>
          <w:i/>
          <w:iCs/>
          <w:sz w:val="24"/>
          <w:szCs w:val="24"/>
        </w:rPr>
        <w:t>et al</w:t>
      </w:r>
      <w:r w:rsidR="007D6387" w:rsidRPr="00805DAB">
        <w:rPr>
          <w:rFonts w:ascii="Times New Roman" w:hAnsi="Times New Roman" w:cs="Times New Roman"/>
          <w:sz w:val="24"/>
          <w:szCs w:val="24"/>
        </w:rPr>
        <w:t xml:space="preserve">. (2023) emphasized that integrated use of NPK with biofertilizers like Mycorrhiza and </w:t>
      </w:r>
      <w:r w:rsidR="00AA08A8" w:rsidRPr="00AA08A8">
        <w:rPr>
          <w:rFonts w:ascii="Times New Roman" w:hAnsi="Times New Roman" w:cs="Times New Roman"/>
          <w:i/>
          <w:iCs/>
          <w:sz w:val="24"/>
          <w:szCs w:val="24"/>
        </w:rPr>
        <w:t>Azotobacter</w:t>
      </w:r>
      <w:r w:rsidR="007D6387" w:rsidRPr="00805DAB">
        <w:rPr>
          <w:rFonts w:ascii="Times New Roman" w:hAnsi="Times New Roman" w:cs="Times New Roman"/>
          <w:sz w:val="24"/>
          <w:szCs w:val="24"/>
        </w:rPr>
        <w:t xml:space="preserve"> improved organic carbon and nutrient availability in wheat fields. Lastly, Singh </w:t>
      </w:r>
      <w:r w:rsidR="00AA08A8" w:rsidRPr="00AA08A8">
        <w:rPr>
          <w:rFonts w:ascii="Times New Roman" w:hAnsi="Times New Roman" w:cs="Times New Roman"/>
          <w:i/>
          <w:iCs/>
          <w:sz w:val="24"/>
          <w:szCs w:val="24"/>
        </w:rPr>
        <w:t>et al</w:t>
      </w:r>
      <w:r w:rsidR="007D6387" w:rsidRPr="00805DAB">
        <w:rPr>
          <w:rFonts w:ascii="Times New Roman" w:hAnsi="Times New Roman" w:cs="Times New Roman"/>
          <w:sz w:val="24"/>
          <w:szCs w:val="24"/>
        </w:rPr>
        <w:t>. (2024) at Pantnagar recorded increased organic carbon (1.06%) and nutrient status under 100% RDF + FYM 5 t/ha in maize-wheat rotations.</w:t>
      </w:r>
    </w:p>
    <w:p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 xml:space="preserve">In India's diverse agroclimatic zones, the economic feasibility of growing wheat under various integrated nutrient management (INM) techniques has been thoroughly investigated. </w:t>
      </w:r>
      <w:r w:rsidRPr="00FF08EE">
        <w:rPr>
          <w:rFonts w:ascii="Times New Roman" w:hAnsi="Times New Roman" w:cs="Times New Roman"/>
          <w:sz w:val="24"/>
          <w:szCs w:val="24"/>
        </w:rPr>
        <w:lastRenderedPageBreak/>
        <w:t>A maximum net return of ₹58,286.17/ha and a B:C ratio of 2.97 were recorded by Kakraliya and Singh (2018) from Allahabad when 100% N was applied by urea. In a similar vein, Singh et al. (2019) in Kanpur demonstrated increased profitability in late-planted wheat using RDF + FYM (5 t/ha) + vermicompost (1.25 t/ha), resulting in net returns of ₹25,044 and ₹18,594/ha and B:C ratios of 1.47 and 1.33 over the course of two years. In Rajasthan, Parewa et al. (2019) discovered that FYM @10 t/ha + vermicompost @1.25 t/ha produced a B:C ratio of 2.38 and a net yield of ₹47,752/ha.According to Kumar et al. (2019), 100% RDF had a somewhat superior B:C ratio of 2.18 in Jaipur, whereas the application of 150% RDF + FYM had the maximum yield of ₹80,697/ha. Under 100% RDN, Fazily et al. (2020) in Hisar reported a B:C ratio of 1.8 and a net return of ₹55,978/ha. Kumar et al. (2020) discovered that 100% RDF + S, Zn, and B, with a B:C ratio of 1.54, produced the highest economic gain of ₹240,200/ha in Varanasi. According to Shekhar et al. (2021) from Ayodhya, 75% RDN + 25% N from poultry manure + ZnSO₄ + sulphur produced net yields of ₹53,459 and ₹59,174/ha, but 100% RDN produced the best B:C ratios (1.63 and 1.69).</w:t>
      </w:r>
    </w:p>
    <w:p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Muchhadiya et al. (2021) found that 75% RDF plus 5 t/ha city compost produced the highest return (₹78,773/ha) at Junagadh, whereas 100% RDF produced a B:C ratio of 2.88. In Rajasthan, Dhaker et al. (2022) discovered that the highest B:C ratio (3.27) occurred under 125% RDF, whereas the maximum net return of ₹1,06,464/ha was obtained with 150% RDF. In Bihar, Ranjan et al. (2022) found that 100% RDF in wheat and 50% RDF + 50% N through FYM in rice produced a net return of ₹69,795/ha and a B:C ratio of 1.88. 75% NPK + 2.5 t vermicompost + biofertilizers yielded the highest return (₹84,380/ha) and B:C ratio (2.23), according to Shrivastava et al. (2023) in Chhattisgarh.</w:t>
      </w:r>
    </w:p>
    <w:p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With 50% RDF + FYM (5 t/ha), Namdeo et al. (2023) from Raisen, Madhya Pradesh, likewise demonstrated great profitability, with returns of ₹59,847.93 and ₹66,563.9/ha over a two-year period, with B:C ratios of 1.61 and 1.70, respectively. Last but not least, Kumar et al. (2024) reported from Meerut that the highest net returns of ₹1,06,008 and ₹1,12,155/ha, with corresponding B:C ratios of 3.27 and 3.26 during 2021–22 and 2022–23, were obtained by applying prescribed nitrogen (150 kg N/ha) in conjunction with foliar zinc and iron. These results unequivocally demonstrate that the combined use of biological, inorganic, and organic sources increases wheat production's yield and profitability.</w:t>
      </w:r>
    </w:p>
    <w:p w:rsidR="007D6387" w:rsidRPr="007D6387" w:rsidRDefault="006E2913" w:rsidP="00805DAB">
      <w:pPr>
        <w:jc w:val="both"/>
        <w:rPr>
          <w:rFonts w:ascii="Times New Roman" w:hAnsi="Times New Roman" w:cs="Times New Roman"/>
          <w:b/>
          <w:bCs/>
          <w:sz w:val="24"/>
          <w:szCs w:val="24"/>
        </w:rPr>
      </w:pPr>
      <w:r w:rsidRPr="007D6387">
        <w:rPr>
          <w:rFonts w:ascii="Times New Roman" w:hAnsi="Times New Roman" w:cs="Times New Roman"/>
          <w:b/>
          <w:bCs/>
          <w:sz w:val="24"/>
          <w:szCs w:val="24"/>
        </w:rPr>
        <w:t xml:space="preserve">Materials </w:t>
      </w:r>
      <w:r>
        <w:rPr>
          <w:rFonts w:ascii="Times New Roman" w:hAnsi="Times New Roman" w:cs="Times New Roman"/>
          <w:b/>
          <w:bCs/>
          <w:sz w:val="24"/>
          <w:szCs w:val="24"/>
        </w:rPr>
        <w:t>a</w:t>
      </w:r>
      <w:r w:rsidRPr="007D6387">
        <w:rPr>
          <w:rFonts w:ascii="Times New Roman" w:hAnsi="Times New Roman" w:cs="Times New Roman"/>
          <w:b/>
          <w:bCs/>
          <w:sz w:val="24"/>
          <w:szCs w:val="24"/>
        </w:rPr>
        <w:t>nd Methods</w:t>
      </w:r>
    </w:p>
    <w:p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To assess the impact of integrated nutrient management (INM) on soil fertility and wheat economics, a field experiment was carried out at the Himgiri Zee University Agronomy Research Farm in Dehradun, Uttarakhand, during the Rabi season of 2023–2024. The experimental site, which has a subtropical humid environment, is situated in the Shivalik foothills of the lower Himalayas at an elevation of 650 meters above mean sea level. The highest and lowest temperatures for the crop season were 18.06°C to 36.0°C and 1.69°C to 16.07°C, respectively. During the cropping season, 18.34 mm of rain fell overall. The site's soil had a sandy loam texture.</w:t>
      </w:r>
    </w:p>
    <w:p w:rsidR="007D6387" w:rsidRPr="007D6387" w:rsidRDefault="007D6387" w:rsidP="00805DAB">
      <w:pPr>
        <w:jc w:val="both"/>
        <w:rPr>
          <w:rFonts w:ascii="Times New Roman" w:hAnsi="Times New Roman" w:cs="Times New Roman"/>
          <w:sz w:val="24"/>
          <w:szCs w:val="24"/>
        </w:rPr>
      </w:pPr>
      <w:r w:rsidRPr="007D6387">
        <w:rPr>
          <w:rFonts w:ascii="Times New Roman" w:hAnsi="Times New Roman" w:cs="Times New Roman"/>
          <w:sz w:val="24"/>
          <w:szCs w:val="24"/>
        </w:rPr>
        <w:t>The experiment was laid out in a randomized block design (RBD) with nine treatments replicated three times, totaling 27 plots, each of 2 m × 3 m in size. The treatments were as follows: T1 – Control, T2 – 100% RDF (120:60:40 kg N:P₂O₅:K₂O/ha), T3 – 80% RDF + Vermicompost @ 2.9 t/ha, T4 – 80% RDF + Biofertilizers (</w:t>
      </w:r>
      <w:r w:rsidR="00AA08A8" w:rsidRPr="00AA08A8">
        <w:rPr>
          <w:rFonts w:ascii="Times New Roman" w:hAnsi="Times New Roman" w:cs="Times New Roman"/>
          <w:i/>
          <w:iCs/>
          <w:sz w:val="24"/>
          <w:szCs w:val="24"/>
        </w:rPr>
        <w:t>Azotobacter</w:t>
      </w:r>
      <w:r w:rsidRPr="007D6387">
        <w:rPr>
          <w:rFonts w:ascii="Times New Roman" w:hAnsi="Times New Roman" w:cs="Times New Roman"/>
          <w:sz w:val="24"/>
          <w:szCs w:val="24"/>
        </w:rPr>
        <w:t xml:space="preserve"> + PSB), T5 – 60% RDF + Vermicompost @ 3.1 t/ha, T6 – 60% RDF + Biofertilizers, T7 – 80% RDF + </w:t>
      </w:r>
      <w:r w:rsidRPr="007D6387">
        <w:rPr>
          <w:rFonts w:ascii="Times New Roman" w:hAnsi="Times New Roman" w:cs="Times New Roman"/>
          <w:sz w:val="24"/>
          <w:szCs w:val="24"/>
        </w:rPr>
        <w:lastRenderedPageBreak/>
        <w:t>Vermicompost @ 2.9 t/ha + Biofertilizers, T8 – 60% RDF + Vermicompost @ 3.1 t/ha + Biofertilizers, and T9 – Vermicompost @ 2.5 t/ha.</w:t>
      </w:r>
    </w:p>
    <w:p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 xml:space="preserve">Before planting and after harvest, soil samples were taken from each plot at a depth of 0 to 15 cm. Prior to examination, the samples were pulverized, shade-dried, and sieved using a 2 mm sieve. A digital pH meter was used to measure the pH of the soil in a 1:2 soil-water suspension, and a conductivity bridge was used to measure the electrical conductivity (EC). The method developed by Walkley and Black (1965) was used to determine organic carbon. According to Jackson (1973), available potassium was determined by flame photometry, available phosphorus by Olsen's method (Olsen et al., 1954), and available nitrogen by the alkaline KMnO₄ method (Subbaiah and Asija, 1956). The Himgiri Zee University Department of Soil Science provided the biofertilizers </w:t>
      </w:r>
      <w:r w:rsidRPr="00FF08EE">
        <w:rPr>
          <w:rFonts w:ascii="Times New Roman" w:hAnsi="Times New Roman" w:cs="Times New Roman"/>
          <w:i/>
          <w:iCs/>
          <w:sz w:val="24"/>
          <w:szCs w:val="24"/>
        </w:rPr>
        <w:t>Azotobacter</w:t>
      </w:r>
      <w:r w:rsidRPr="00FF08EE">
        <w:rPr>
          <w:rFonts w:ascii="Times New Roman" w:hAnsi="Times New Roman" w:cs="Times New Roman"/>
          <w:sz w:val="24"/>
          <w:szCs w:val="24"/>
        </w:rPr>
        <w:t xml:space="preserve"> and PSB.</w:t>
      </w:r>
    </w:p>
    <w:p w:rsidR="007D6387" w:rsidRPr="007D6387" w:rsidRDefault="007D6387" w:rsidP="00805DAB">
      <w:pPr>
        <w:jc w:val="both"/>
        <w:rPr>
          <w:rFonts w:ascii="Times New Roman" w:hAnsi="Times New Roman" w:cs="Times New Roman"/>
          <w:sz w:val="24"/>
          <w:szCs w:val="24"/>
        </w:rPr>
      </w:pPr>
      <w:r w:rsidRPr="007D6387">
        <w:rPr>
          <w:rFonts w:ascii="Times New Roman" w:hAnsi="Times New Roman" w:cs="Times New Roman"/>
          <w:sz w:val="24"/>
          <w:szCs w:val="24"/>
        </w:rPr>
        <w:t xml:space="preserve">Fertilizers were applied as per the treatment schedule using urea (46% N), di-ammonium phosphate (DAP, </w:t>
      </w:r>
      <w:r w:rsidR="00EA5239" w:rsidRPr="00EA5239">
        <w:rPr>
          <w:rFonts w:ascii="Times New Roman" w:hAnsi="Times New Roman" w:cs="Times New Roman"/>
          <w:color w:val="FF0000"/>
          <w:sz w:val="24"/>
          <w:szCs w:val="24"/>
        </w:rPr>
        <w:t>18%N +</w:t>
      </w:r>
      <w:r w:rsidRPr="007D6387">
        <w:rPr>
          <w:rFonts w:ascii="Times New Roman" w:hAnsi="Times New Roman" w:cs="Times New Roman"/>
          <w:sz w:val="24"/>
          <w:szCs w:val="24"/>
        </w:rPr>
        <w:t>46% P₂O₅), and muriate of potash (MOP, 60% K₂O). Vermicompost was used as an organic nutrient source. Economic analysis was conducted by calculating the cost of cultivation, gross return, net return, and benefit-cost (B:C) ratio. The cost of cultivation included inputs such as seed, fertilizers, biofertilizers, irrigation, labor, and plant protection measures. Gross returns were calculated based on prevailing market prices of wheat grain, and net returns were derived by subtracting the cost of cultivation from gross returns. The benefit-cost ratio was computed by dividing the net return by the cost of cultivation.The experimental data were statistically analyzed using analysis of variance (ANOVA) suitable for randomized block design as per the method suggested by Cochran and Cox (1959). The significance of treatment differences was tested at the 5% level using the critical difference (CD) value.</w:t>
      </w:r>
    </w:p>
    <w:p w:rsidR="006E2913" w:rsidRDefault="006E2913" w:rsidP="00805DAB">
      <w:pPr>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rsidR="006E2913" w:rsidRDefault="00FF08EE" w:rsidP="00805DAB">
      <w:pPr>
        <w:jc w:val="both"/>
        <w:rPr>
          <w:rFonts w:ascii="Times New Roman" w:hAnsi="Times New Roman" w:cs="Times New Roman"/>
          <w:sz w:val="24"/>
          <w:szCs w:val="24"/>
        </w:rPr>
      </w:pPr>
      <w:r w:rsidRPr="00FF08EE">
        <w:rPr>
          <w:rFonts w:ascii="Times New Roman" w:hAnsi="Times New Roman" w:cs="Times New Roman"/>
          <w:sz w:val="24"/>
          <w:szCs w:val="24"/>
        </w:rPr>
        <w:t>The data shown in Tables 1 demonstrate the substantial impact of integrated nutrient management (INM) on a variety of soil characteristics during wheat cultivation. In comparison to the control (T1), which had the highest pH of 7.78, treatment T7 (80% RDF + Vermicompost @ 2.9 t/ha + Biofertilizer Azotobacter + PSB) had the lowest pH, at 7.33, indicating a slight acidifying effect. Increased microbial activity and the addition of organic matter may be the cause of this pH decrease with INM treatments. Likewise, soluble salt content was indicated by electrical conductivity (EC), which ranged from 1.13 dS/m to 1.6 dS/m. T7 had the lowest EC (1.13 dS/m), whereas the control group had the highest EC (1.6 dS/m).</w:t>
      </w:r>
      <w:r w:rsidR="00F23CBD" w:rsidRPr="00F23CBD">
        <w:rPr>
          <w:rFonts w:ascii="Times New Roman" w:hAnsi="Times New Roman" w:cs="Times New Roman"/>
          <w:sz w:val="24"/>
          <w:szCs w:val="24"/>
        </w:rPr>
        <w:t>Lower EC values under integrated treatments suggest improved soil conditions with reduced salinity stress.</w:t>
      </w:r>
      <w:r w:rsidRPr="00FF08EE">
        <w:rPr>
          <w:rFonts w:ascii="Times New Roman" w:hAnsi="Times New Roman" w:cs="Times New Roman"/>
          <w:sz w:val="24"/>
          <w:szCs w:val="24"/>
        </w:rPr>
        <w:t>An important measure of soil fertility, soil organic carbon content, improved significantly with INM, rising from 0.39% in the control to 0.58% in T7. T8 (60% RDF + Vermicompost @ 3.1 t/ha + Biofertilizer) came in second at 0.55%. The use of biofertilizers and vermicompost probably enhanced the amount of carbon in the soil by increasing microbial biomass and organic matter inputs. In comparison to the control (86.33 kg/ha), the accessible nitrogen (N) content of the soil rose significantly during integrated treatments, reaching its highest levels in T7 (155.25 kg/ha) and T8 (151.74 kg/ha), as shown in Fig. 1. This increase is explained by nitrogen fixation made possible by Azotobacter biofertilizer and mineralization processes triggered by vermicompost.</w:t>
      </w:r>
      <w:r w:rsidR="00F23CBD" w:rsidRPr="00F23CBD">
        <w:rPr>
          <w:rFonts w:ascii="Times New Roman" w:hAnsi="Times New Roman" w:cs="Times New Roman"/>
          <w:sz w:val="24"/>
          <w:szCs w:val="24"/>
        </w:rPr>
        <w:t xml:space="preserve">Likewise, available phosphorus (P) levels were significantly enhanced, with T7 recording the highest phosphorus availability (14.51 kg/ha) due to the phosphate solubilizing activity of PSB biofertilizer, </w:t>
      </w:r>
      <w:r w:rsidR="00F23CBD" w:rsidRPr="00F23CBD">
        <w:rPr>
          <w:rFonts w:ascii="Times New Roman" w:hAnsi="Times New Roman" w:cs="Times New Roman"/>
          <w:sz w:val="24"/>
          <w:szCs w:val="24"/>
        </w:rPr>
        <w:lastRenderedPageBreak/>
        <w:t xml:space="preserve">which releases organic acids to mobilize soil phosphorus. The integrated use of inorganic fertilizers, organic manure, and biofertilizers thus synergistically improved key soil chemical properties, promoting better nutrient availability and soil health, findings consistent with previous research by Kushwaha and Tripathi (2022), Shrivastava </w:t>
      </w:r>
      <w:r w:rsidR="00AA08A8" w:rsidRPr="00AA08A8">
        <w:rPr>
          <w:rFonts w:ascii="Times New Roman" w:hAnsi="Times New Roman" w:cs="Times New Roman"/>
          <w:i/>
          <w:iCs/>
          <w:sz w:val="24"/>
          <w:szCs w:val="24"/>
        </w:rPr>
        <w:t>et al</w:t>
      </w:r>
      <w:r w:rsidR="00F23CBD" w:rsidRPr="00F23CBD">
        <w:rPr>
          <w:rFonts w:ascii="Times New Roman" w:hAnsi="Times New Roman" w:cs="Times New Roman"/>
          <w:sz w:val="24"/>
          <w:szCs w:val="24"/>
        </w:rPr>
        <w:t>. (2023), and others.</w:t>
      </w:r>
    </w:p>
    <w:p w:rsidR="00FF08EE" w:rsidRPr="00FF08EE" w:rsidRDefault="00F23CBD" w:rsidP="00FF08EE">
      <w:pPr>
        <w:jc w:val="both"/>
        <w:rPr>
          <w:rFonts w:ascii="Times New Roman" w:hAnsi="Times New Roman" w:cs="Times New Roman"/>
          <w:sz w:val="24"/>
          <w:szCs w:val="24"/>
        </w:rPr>
      </w:pPr>
      <w:r w:rsidRPr="00F23CBD">
        <w:rPr>
          <w:rFonts w:ascii="Times New Roman" w:hAnsi="Times New Roman" w:cs="Times New Roman"/>
          <w:sz w:val="24"/>
          <w:szCs w:val="24"/>
        </w:rPr>
        <w:t xml:space="preserve">Economic analysis of the different nutrient management treatments revealed notable variations in the cost of cultivation, gross return, net return, and benefit-cost (B:C) ratio, as detailed in Table </w:t>
      </w:r>
      <w:r w:rsidR="00F84EDC">
        <w:rPr>
          <w:rFonts w:ascii="Times New Roman" w:hAnsi="Times New Roman" w:cs="Times New Roman"/>
          <w:sz w:val="24"/>
          <w:szCs w:val="24"/>
        </w:rPr>
        <w:t>2</w:t>
      </w:r>
      <w:r w:rsidRPr="00F23CBD">
        <w:rPr>
          <w:rFonts w:ascii="Times New Roman" w:hAnsi="Times New Roman" w:cs="Times New Roman"/>
          <w:sz w:val="24"/>
          <w:szCs w:val="24"/>
        </w:rPr>
        <w:t xml:space="preserve">. </w:t>
      </w:r>
      <w:r w:rsidR="00FF08EE" w:rsidRPr="00FF08EE">
        <w:rPr>
          <w:rFonts w:ascii="Times New Roman" w:hAnsi="Times New Roman" w:cs="Times New Roman"/>
          <w:sz w:val="24"/>
          <w:szCs w:val="24"/>
        </w:rPr>
        <w:t>Treatment T8 (60% RDF + Vermicompost @ 3.1 t/ha + Biofertilizer) had the highest cultivation costs, at Rs. 51,730 per hectare. This was probably because of the combined costs of organic and inorganic inputs. On the other hand, the control treatment (T1) had the lowest cost, at Rs. 22,440 per hectare. Treatment T7 (80% RDF + Vermicompost @ 2.9 t/ha + Biofertilizer) produced the highest gross return of Rs. 72,250 per hectare, demonstrating its superior yield performance in spite of the higher input costs. However, treatment T2 (100% RDF), which exclusively applied inorganic fertilizers, had the highest B:C ratio (1.32), and the highest net return (Rs. 36,945 per hectare).This implies that, in contrast to complete inorganic fertilization, integrated treatments reduced profitability despite increasing yields due to their higher input costs. Even though organic additions improve soil health and output, their greater cost may be the cause of the integrated treatments' lower B:C ratio. These financial results support research by Muchhadiya et al. (2021) and Dhaker et al. (2022), which highlights the necessity of striking a balance between input costs and yield benefits in order to manage nutrients sustainably.</w:t>
      </w:r>
    </w:p>
    <w:p w:rsidR="006E2913" w:rsidRDefault="00F23CBD" w:rsidP="00805DAB">
      <w:pPr>
        <w:jc w:val="both"/>
        <w:rPr>
          <w:rFonts w:ascii="Times New Roman" w:hAnsi="Times New Roman" w:cs="Times New Roman"/>
          <w:b/>
          <w:bCs/>
          <w:sz w:val="24"/>
          <w:szCs w:val="24"/>
        </w:rPr>
      </w:pPr>
      <w:r w:rsidRPr="00805DAB">
        <w:rPr>
          <w:rFonts w:ascii="Times New Roman" w:hAnsi="Times New Roman" w:cs="Times New Roman"/>
          <w:b/>
          <w:bCs/>
          <w:sz w:val="24"/>
          <w:szCs w:val="24"/>
        </w:rPr>
        <w:t xml:space="preserve">Summary </w:t>
      </w:r>
    </w:p>
    <w:p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The integrated treatment of 80% RDF + vermicompost (2.9 t/ha) + biofertilizer (Azotobacter + PSB) recorded the lowest soil pH and electrical conductivity values, indicating improved soil health, while post-harvest soil analysis showed that the control treatment had the highest soil pH and electrical conductivity values. In comparison to other treatments, this integrated treatment also markedly increased soil organic carbon, available nitrogen, and available phosphorus, with the control exhibiting the lowest values. In terms of economics, the treatment with 60% RDF + vermicompost (3.1 t/ha) + biofertilizer had the greatest cultivation costs, whereas the control had the lowest.The integrated 80% RDF + vermicompost + biofertilizer treatment produced the highest gross return, but 100% RDF had the highest net return and benefit-cost (B:C) ratio, indicating its cost-effectiveness. These results show that the traditional full dose of inorganic fertilizers still yields the best economic returns in the research area, even though integrated nutrient management increases soil fertility and production.</w:t>
      </w:r>
    </w:p>
    <w:p w:rsidR="0002522E" w:rsidRPr="0002522E" w:rsidRDefault="0002522E" w:rsidP="00805DAB">
      <w:pPr>
        <w:jc w:val="both"/>
        <w:rPr>
          <w:rFonts w:ascii="Times New Roman" w:hAnsi="Times New Roman" w:cs="Times New Roman"/>
          <w:b/>
          <w:bCs/>
          <w:sz w:val="24"/>
          <w:szCs w:val="24"/>
        </w:rPr>
      </w:pPr>
      <w:r w:rsidRPr="0002522E">
        <w:rPr>
          <w:rFonts w:ascii="Times New Roman" w:hAnsi="Times New Roman" w:cs="Times New Roman"/>
          <w:b/>
          <w:bCs/>
          <w:sz w:val="24"/>
          <w:szCs w:val="24"/>
        </w:rPr>
        <w:t>Conclusion</w:t>
      </w:r>
    </w:p>
    <w:p w:rsidR="00FF08EE" w:rsidRPr="00FF08EE" w:rsidRDefault="00FF08EE" w:rsidP="00FF08EE">
      <w:pPr>
        <w:jc w:val="both"/>
        <w:rPr>
          <w:rFonts w:ascii="Times New Roman" w:hAnsi="Times New Roman" w:cs="Times New Roman"/>
          <w:sz w:val="24"/>
          <w:szCs w:val="24"/>
        </w:rPr>
      </w:pPr>
      <w:r w:rsidRPr="00FF08EE">
        <w:rPr>
          <w:rFonts w:ascii="Times New Roman" w:hAnsi="Times New Roman" w:cs="Times New Roman"/>
          <w:sz w:val="24"/>
          <w:szCs w:val="24"/>
        </w:rPr>
        <w:t xml:space="preserve">The study unequivocally showed that Integrated Nutrient Management (INM) techniques significantly raise soil fertility markers such accessible nitrogen, phosphorus, and organic carbon content, improving soil health in wheat farming systems. For enhancing soil qualities and optimizing gross yields, the treatment consisting of 80% RDF + vermicompost (2.9 t/ha) + biofertilizers (Azotobacter + PSB) proved especially successful. Nonetheless, the 100% RDF treatment yielded the highest net return and benefit-cost ratio, demonstrating the cost-effectiveness of complete inorganic fertilization in the current market.Although INM has long-term advantages for environmental health and soil sustainability, the price of organic and biofertilizer inputs affects its economic feasibility. Therefore, to guarantee both </w:t>
      </w:r>
      <w:r w:rsidRPr="00FF08EE">
        <w:rPr>
          <w:rFonts w:ascii="Times New Roman" w:hAnsi="Times New Roman" w:cs="Times New Roman"/>
          <w:sz w:val="24"/>
          <w:szCs w:val="24"/>
        </w:rPr>
        <w:lastRenderedPageBreak/>
        <w:t>sustainable soil management and profitability in wheat production, particularly in the foothill conditions of Dehradun and similar agro-ecological zones, a location-specific and balanced INM strategy that optimizes soil benefits without appreciably raising costs should be promoted.</w:t>
      </w:r>
    </w:p>
    <w:p w:rsidR="0002522E" w:rsidRPr="0002522E" w:rsidRDefault="0002522E" w:rsidP="00805DAB">
      <w:pPr>
        <w:jc w:val="both"/>
        <w:rPr>
          <w:rFonts w:ascii="Times New Roman" w:hAnsi="Times New Roman" w:cs="Times New Roman"/>
          <w:b/>
          <w:bCs/>
          <w:sz w:val="24"/>
          <w:szCs w:val="24"/>
        </w:rPr>
      </w:pPr>
      <w:r w:rsidRPr="0002522E">
        <w:rPr>
          <w:rFonts w:ascii="Times New Roman" w:hAnsi="Times New Roman" w:cs="Times New Roman"/>
          <w:b/>
          <w:bCs/>
          <w:sz w:val="24"/>
          <w:szCs w:val="24"/>
        </w:rPr>
        <w:t>References</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Ahmad, M., &amp; Tripathi, R. S. (2022). Effect of integrated nutrient management on soil fertility and productivity of wheat in eastern Uttar Pradesh. </w:t>
      </w:r>
      <w:r w:rsidRPr="00BD5F1D">
        <w:rPr>
          <w:rFonts w:ascii="Times New Roman" w:hAnsi="Times New Roman" w:cs="Times New Roman"/>
          <w:i/>
          <w:iCs/>
          <w:sz w:val="24"/>
          <w:szCs w:val="24"/>
        </w:rPr>
        <w:t>International Journal of Plant and Soil Science, 34</w:t>
      </w:r>
      <w:r w:rsidRPr="00BD5F1D">
        <w:rPr>
          <w:rFonts w:ascii="Times New Roman" w:hAnsi="Times New Roman" w:cs="Times New Roman"/>
          <w:sz w:val="24"/>
          <w:szCs w:val="24"/>
        </w:rPr>
        <w:t xml:space="preserve">(23), 305–312. </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Bairwa, H. L., Choudhary, K. K., Kumawat, S. R., &amp; Sharma, S. K. (2021). Integrated nutrient management practices and their effect on soil fertility under wheat cultivation. </w:t>
      </w:r>
      <w:r w:rsidRPr="00BD5F1D">
        <w:rPr>
          <w:rFonts w:ascii="Times New Roman" w:hAnsi="Times New Roman" w:cs="Times New Roman"/>
          <w:i/>
          <w:iCs/>
          <w:sz w:val="24"/>
          <w:szCs w:val="24"/>
        </w:rPr>
        <w:t>Journal of Pharmacognosy and Phytochemistry, 10</w:t>
      </w:r>
      <w:r w:rsidRPr="00BD5F1D">
        <w:rPr>
          <w:rFonts w:ascii="Times New Roman" w:hAnsi="Times New Roman" w:cs="Times New Roman"/>
          <w:sz w:val="24"/>
          <w:szCs w:val="24"/>
        </w:rPr>
        <w:t>(2), 1202–1206.</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Cochran, W. G., &amp; Cox, G. M. (1959). </w:t>
      </w:r>
      <w:r w:rsidRPr="00BD5F1D">
        <w:rPr>
          <w:rFonts w:ascii="Times New Roman" w:hAnsi="Times New Roman" w:cs="Times New Roman"/>
          <w:i/>
          <w:iCs/>
          <w:sz w:val="24"/>
          <w:szCs w:val="24"/>
        </w:rPr>
        <w:t>Experimental designs</w:t>
      </w:r>
      <w:r w:rsidRPr="00BD5F1D">
        <w:rPr>
          <w:rFonts w:ascii="Times New Roman" w:hAnsi="Times New Roman" w:cs="Times New Roman"/>
          <w:sz w:val="24"/>
          <w:szCs w:val="24"/>
        </w:rPr>
        <w:t xml:space="preserve"> (2nd ed.). John Wiley &amp; Sons.</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Darjee, S., Yadav, A., &amp; Patel, R. (2023). Influence of biofertilizers and organic manures on nutrient dynamics and wheat productivity. </w:t>
      </w:r>
      <w:r w:rsidRPr="00BD5F1D">
        <w:rPr>
          <w:rFonts w:ascii="Times New Roman" w:hAnsi="Times New Roman" w:cs="Times New Roman"/>
          <w:i/>
          <w:iCs/>
          <w:sz w:val="24"/>
          <w:szCs w:val="24"/>
        </w:rPr>
        <w:t>Journal of Eco-Friendly Agriculture, 18</w:t>
      </w:r>
      <w:r w:rsidRPr="00BD5F1D">
        <w:rPr>
          <w:rFonts w:ascii="Times New Roman" w:hAnsi="Times New Roman" w:cs="Times New Roman"/>
          <w:sz w:val="24"/>
          <w:szCs w:val="24"/>
        </w:rPr>
        <w:t>(1), 42–49.</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Das, A., Sharma, R. P., Singh, B., &amp; Singh, S. (2019). Effect of integrated nutrient management on soil properties and productivity under soybean–wheat cropping system. </w:t>
      </w:r>
      <w:r w:rsidRPr="00BD5F1D">
        <w:rPr>
          <w:rFonts w:ascii="Times New Roman" w:hAnsi="Times New Roman" w:cs="Times New Roman"/>
          <w:i/>
          <w:iCs/>
          <w:sz w:val="24"/>
          <w:szCs w:val="24"/>
        </w:rPr>
        <w:t>Journal of the Indian Society of Soil Science, 67</w:t>
      </w:r>
      <w:r w:rsidRPr="00BD5F1D">
        <w:rPr>
          <w:rFonts w:ascii="Times New Roman" w:hAnsi="Times New Roman" w:cs="Times New Roman"/>
          <w:sz w:val="24"/>
          <w:szCs w:val="24"/>
        </w:rPr>
        <w:t>(2), 169–177.</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Dhaker, R. C., Meena, R. H., &amp; Jain, R. (2022). Productivity and profitability of wheat as influenced by different fertility levels. </w:t>
      </w:r>
      <w:r w:rsidRPr="00BD5F1D">
        <w:rPr>
          <w:rFonts w:ascii="Times New Roman" w:hAnsi="Times New Roman" w:cs="Times New Roman"/>
          <w:i/>
          <w:iCs/>
          <w:sz w:val="24"/>
          <w:szCs w:val="24"/>
        </w:rPr>
        <w:t>Journal of Cereal Research, 14</w:t>
      </w:r>
      <w:r w:rsidRPr="00BD5F1D">
        <w:rPr>
          <w:rFonts w:ascii="Times New Roman" w:hAnsi="Times New Roman" w:cs="Times New Roman"/>
          <w:sz w:val="24"/>
          <w:szCs w:val="24"/>
        </w:rPr>
        <w:t xml:space="preserve">(1), 67–72. </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Fazily, F., Singh, K., &amp; Malik, R. K. (2020). Effect of nutrient management on wheat productivity and profitability in Hisar region. </w:t>
      </w:r>
      <w:r w:rsidRPr="00BD5F1D">
        <w:rPr>
          <w:rFonts w:ascii="Times New Roman" w:hAnsi="Times New Roman" w:cs="Times New Roman"/>
          <w:i/>
          <w:iCs/>
          <w:sz w:val="24"/>
          <w:szCs w:val="24"/>
        </w:rPr>
        <w:t>Annals of Biology, 36</w:t>
      </w:r>
      <w:r w:rsidRPr="00BD5F1D">
        <w:rPr>
          <w:rFonts w:ascii="Times New Roman" w:hAnsi="Times New Roman" w:cs="Times New Roman"/>
          <w:sz w:val="24"/>
          <w:szCs w:val="24"/>
        </w:rPr>
        <w:t>(1), 79–84.</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Gawde, N. K., Patel, D. D., &amp; Sharma, A. (2017). Integrated nutrient management for enhancing soil fertility and productivity under rice–wheat system in Chhattisgarh. </w:t>
      </w:r>
      <w:r w:rsidRPr="00BD5F1D">
        <w:rPr>
          <w:rFonts w:ascii="Times New Roman" w:hAnsi="Times New Roman" w:cs="Times New Roman"/>
          <w:i/>
          <w:iCs/>
          <w:sz w:val="24"/>
          <w:szCs w:val="24"/>
        </w:rPr>
        <w:t>Journal of Soils and Crops, 27</w:t>
      </w:r>
      <w:r w:rsidRPr="00BD5F1D">
        <w:rPr>
          <w:rFonts w:ascii="Times New Roman" w:hAnsi="Times New Roman" w:cs="Times New Roman"/>
          <w:sz w:val="24"/>
          <w:szCs w:val="24"/>
        </w:rPr>
        <w:t>(1), 96–103.</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Gupta, R., Singh, V., &amp; Kumar, P. (2019). Integrated nutrient management for improving soil health and crop productivity: A review. </w:t>
      </w:r>
      <w:r w:rsidRPr="00BD5F1D">
        <w:rPr>
          <w:rFonts w:ascii="Times New Roman" w:hAnsi="Times New Roman" w:cs="Times New Roman"/>
          <w:i/>
          <w:iCs/>
          <w:sz w:val="24"/>
          <w:szCs w:val="24"/>
        </w:rPr>
        <w:t>International Journal of Chemical Studies, 7</w:t>
      </w:r>
      <w:r w:rsidRPr="00BD5F1D">
        <w:rPr>
          <w:rFonts w:ascii="Times New Roman" w:hAnsi="Times New Roman" w:cs="Times New Roman"/>
          <w:sz w:val="24"/>
          <w:szCs w:val="24"/>
        </w:rPr>
        <w:t>(2), 1644–1650.</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Jackson, M. L. (1973). </w:t>
      </w:r>
      <w:r w:rsidRPr="00BD5F1D">
        <w:rPr>
          <w:rFonts w:ascii="Times New Roman" w:hAnsi="Times New Roman" w:cs="Times New Roman"/>
          <w:i/>
          <w:iCs/>
          <w:sz w:val="24"/>
          <w:szCs w:val="24"/>
        </w:rPr>
        <w:t>Soil chemical analysis</w:t>
      </w:r>
      <w:r w:rsidRPr="00BD5F1D">
        <w:rPr>
          <w:rFonts w:ascii="Times New Roman" w:hAnsi="Times New Roman" w:cs="Times New Roman"/>
          <w:sz w:val="24"/>
          <w:szCs w:val="24"/>
        </w:rPr>
        <w:t>. Prentice Hall of India.</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Kakraliya, S. K., &amp; Singh, S. P. (2018). Effect of different nutrient management practices on productivity and economics of wheat. </w:t>
      </w:r>
      <w:r w:rsidRPr="00BD5F1D">
        <w:rPr>
          <w:rFonts w:ascii="Times New Roman" w:hAnsi="Times New Roman" w:cs="Times New Roman"/>
          <w:i/>
          <w:iCs/>
          <w:sz w:val="24"/>
          <w:szCs w:val="24"/>
        </w:rPr>
        <w:t>International Journal of Current Microbiology and Applied Sciences, 7</w:t>
      </w:r>
      <w:r w:rsidRPr="00BD5F1D">
        <w:rPr>
          <w:rFonts w:ascii="Times New Roman" w:hAnsi="Times New Roman" w:cs="Times New Roman"/>
          <w:sz w:val="24"/>
          <w:szCs w:val="24"/>
        </w:rPr>
        <w:t xml:space="preserve">(9), 2314–2322. </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Kumar, A., Singh, V. K., &amp; Mishra, R. K. (2019). Influence of organic and inorganic nutrient sources on soil properties and yield of wheat in alluvial soils of Uttar Pradesh. </w:t>
      </w:r>
      <w:r w:rsidRPr="00BD5F1D">
        <w:rPr>
          <w:rFonts w:ascii="Times New Roman" w:hAnsi="Times New Roman" w:cs="Times New Roman"/>
          <w:i/>
          <w:iCs/>
          <w:sz w:val="24"/>
          <w:szCs w:val="24"/>
        </w:rPr>
        <w:t>Journal of Pharmacognosy and Phytochemistry, 8</w:t>
      </w:r>
      <w:r w:rsidRPr="00BD5F1D">
        <w:rPr>
          <w:rFonts w:ascii="Times New Roman" w:hAnsi="Times New Roman" w:cs="Times New Roman"/>
          <w:sz w:val="24"/>
          <w:szCs w:val="24"/>
        </w:rPr>
        <w:t>(2), 212–217.</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Kumar, M., Yadav, S. S., &amp; Singh, R. (2020). Effect of integrated nutrient management on growth, yield, and economics of wheat (</w:t>
      </w:r>
      <w:r w:rsidR="00AA08A8" w:rsidRPr="00AA08A8">
        <w:rPr>
          <w:rFonts w:ascii="Times New Roman" w:hAnsi="Times New Roman" w:cs="Times New Roman"/>
          <w:i/>
          <w:iCs/>
          <w:sz w:val="24"/>
          <w:szCs w:val="24"/>
        </w:rPr>
        <w:t xml:space="preserve">Triticum aestivum </w:t>
      </w:r>
      <w:r w:rsidRPr="00BD5F1D">
        <w:rPr>
          <w:rFonts w:ascii="Times New Roman" w:hAnsi="Times New Roman" w:cs="Times New Roman"/>
          <w:sz w:val="24"/>
          <w:szCs w:val="24"/>
        </w:rPr>
        <w:t xml:space="preserve">L.) under eastern Uttar Pradesh conditions. </w:t>
      </w:r>
      <w:r w:rsidRPr="00BD5F1D">
        <w:rPr>
          <w:rFonts w:ascii="Times New Roman" w:hAnsi="Times New Roman" w:cs="Times New Roman"/>
          <w:i/>
          <w:iCs/>
          <w:sz w:val="24"/>
          <w:szCs w:val="24"/>
        </w:rPr>
        <w:t>Journal of Pharmacognosy and Phytochemistry, 9</w:t>
      </w:r>
      <w:r w:rsidRPr="00BD5F1D">
        <w:rPr>
          <w:rFonts w:ascii="Times New Roman" w:hAnsi="Times New Roman" w:cs="Times New Roman"/>
          <w:sz w:val="24"/>
          <w:szCs w:val="24"/>
        </w:rPr>
        <w:t>(5), 2210–2215.</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lastRenderedPageBreak/>
        <w:t xml:space="preserve">Kumar, S., Sharma, V. K., &amp; Singh, A. (2024). Influence of integrated nutrient management and micronutrients on wheat productivity and economics in western Uttar Pradesh. </w:t>
      </w:r>
      <w:r w:rsidRPr="00BD5F1D">
        <w:rPr>
          <w:rFonts w:ascii="Times New Roman" w:hAnsi="Times New Roman" w:cs="Times New Roman"/>
          <w:i/>
          <w:iCs/>
          <w:sz w:val="24"/>
          <w:szCs w:val="24"/>
        </w:rPr>
        <w:t>Journal of Pharmacognosy and Phytochemistry, 13</w:t>
      </w:r>
      <w:r w:rsidRPr="00BD5F1D">
        <w:rPr>
          <w:rFonts w:ascii="Times New Roman" w:hAnsi="Times New Roman" w:cs="Times New Roman"/>
          <w:sz w:val="24"/>
          <w:szCs w:val="24"/>
        </w:rPr>
        <w:t>(2), 854–860.</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Kushwaha, R., &amp; Tripathi, R. (2022). Effect of integrated nutrient management on soil fertility and yield of wheat in Prayagraj region. </w:t>
      </w:r>
      <w:r w:rsidRPr="00BD5F1D">
        <w:rPr>
          <w:rFonts w:ascii="Times New Roman" w:hAnsi="Times New Roman" w:cs="Times New Roman"/>
          <w:i/>
          <w:iCs/>
          <w:sz w:val="24"/>
          <w:szCs w:val="24"/>
        </w:rPr>
        <w:t>Journal of Pharmacognosy and Phytochemistry, 11</w:t>
      </w:r>
      <w:r w:rsidRPr="00BD5F1D">
        <w:rPr>
          <w:rFonts w:ascii="Times New Roman" w:hAnsi="Times New Roman" w:cs="Times New Roman"/>
          <w:sz w:val="24"/>
          <w:szCs w:val="24"/>
        </w:rPr>
        <w:t>(4), 214–218.</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Meena, R. S., Kumar, S., &amp; Lal, R. (2018). Response of wheat yield and soil fertility to integrated nutrient management. </w:t>
      </w:r>
      <w:r w:rsidRPr="00BD5F1D">
        <w:rPr>
          <w:rFonts w:ascii="Times New Roman" w:hAnsi="Times New Roman" w:cs="Times New Roman"/>
          <w:i/>
          <w:iCs/>
          <w:sz w:val="24"/>
          <w:szCs w:val="24"/>
        </w:rPr>
        <w:t>Agriculture for Sustainable Development, 6</w:t>
      </w:r>
      <w:r w:rsidRPr="00BD5F1D">
        <w:rPr>
          <w:rFonts w:ascii="Times New Roman" w:hAnsi="Times New Roman" w:cs="Times New Roman"/>
          <w:sz w:val="24"/>
          <w:szCs w:val="24"/>
        </w:rPr>
        <w:t>(2), 116–121.</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Muchhadiya, A. J., Patel, R. M., &amp; Patel, D. J. (2021). Effect of integrated nutrient management on wheat yield and economics under irrigated conditions. </w:t>
      </w:r>
      <w:r w:rsidRPr="00BD5F1D">
        <w:rPr>
          <w:rFonts w:ascii="Times New Roman" w:hAnsi="Times New Roman" w:cs="Times New Roman"/>
          <w:i/>
          <w:iCs/>
          <w:sz w:val="24"/>
          <w:szCs w:val="24"/>
        </w:rPr>
        <w:t>Journal of Pharmacognosy and Phytochemistry, 10</w:t>
      </w:r>
      <w:r w:rsidRPr="00BD5F1D">
        <w:rPr>
          <w:rFonts w:ascii="Times New Roman" w:hAnsi="Times New Roman" w:cs="Times New Roman"/>
          <w:sz w:val="24"/>
          <w:szCs w:val="24"/>
        </w:rPr>
        <w:t>(2), 1270–1274.</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Namdeo, A., Sharma, P., &amp; Jain, A. (2023). Integrated nutrient management practices for sustainable wheat production in Madhya Pradesh. </w:t>
      </w:r>
      <w:r w:rsidRPr="00BD5F1D">
        <w:rPr>
          <w:rFonts w:ascii="Times New Roman" w:hAnsi="Times New Roman" w:cs="Times New Roman"/>
          <w:i/>
          <w:iCs/>
          <w:sz w:val="24"/>
          <w:szCs w:val="24"/>
        </w:rPr>
        <w:t>Indian Journal of Extension Education, 59</w:t>
      </w:r>
      <w:r w:rsidRPr="00BD5F1D">
        <w:rPr>
          <w:rFonts w:ascii="Times New Roman" w:hAnsi="Times New Roman" w:cs="Times New Roman"/>
          <w:sz w:val="24"/>
          <w:szCs w:val="24"/>
        </w:rPr>
        <w:t>(3), 133–138.</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Olsen, S. R., Cole, C. V., Watanabe, F. S., &amp; Dean, L. A. (1954). </w:t>
      </w:r>
      <w:r w:rsidRPr="00BD5F1D">
        <w:rPr>
          <w:rFonts w:ascii="Times New Roman" w:hAnsi="Times New Roman" w:cs="Times New Roman"/>
          <w:i/>
          <w:iCs/>
          <w:sz w:val="24"/>
          <w:szCs w:val="24"/>
        </w:rPr>
        <w:t>Estimation of available phosphorus in soils by extraction with sodium bicarbonate</w:t>
      </w:r>
      <w:r w:rsidRPr="00BD5F1D">
        <w:rPr>
          <w:rFonts w:ascii="Times New Roman" w:hAnsi="Times New Roman" w:cs="Times New Roman"/>
          <w:sz w:val="24"/>
          <w:szCs w:val="24"/>
        </w:rPr>
        <w:t xml:space="preserve"> (USDA Circular No. 939). U.S. Government Printing Office.</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Parewa, H. P., Singh, R. K., &amp; Yadav, M. (2019). Effect of integrated nutrient management on growth, yield and economics of wheat (</w:t>
      </w:r>
      <w:r w:rsidR="00AA08A8" w:rsidRPr="00AA08A8">
        <w:rPr>
          <w:rFonts w:ascii="Times New Roman" w:hAnsi="Times New Roman" w:cs="Times New Roman"/>
          <w:i/>
          <w:iCs/>
          <w:sz w:val="24"/>
          <w:szCs w:val="24"/>
        </w:rPr>
        <w:t xml:space="preserve">Triticum aestivum </w:t>
      </w:r>
      <w:r w:rsidRPr="00BD5F1D">
        <w:rPr>
          <w:rFonts w:ascii="Times New Roman" w:hAnsi="Times New Roman" w:cs="Times New Roman"/>
          <w:sz w:val="24"/>
          <w:szCs w:val="24"/>
        </w:rPr>
        <w:t xml:space="preserve">L.) in Rajasthan. </w:t>
      </w:r>
      <w:r w:rsidRPr="00BD5F1D">
        <w:rPr>
          <w:rFonts w:ascii="Times New Roman" w:hAnsi="Times New Roman" w:cs="Times New Roman"/>
          <w:i/>
          <w:iCs/>
          <w:sz w:val="24"/>
          <w:szCs w:val="24"/>
        </w:rPr>
        <w:t>Journal of Pharmacognosy and Phytochemistry, 8</w:t>
      </w:r>
      <w:r w:rsidRPr="00BD5F1D">
        <w:rPr>
          <w:rFonts w:ascii="Times New Roman" w:hAnsi="Times New Roman" w:cs="Times New Roman"/>
          <w:sz w:val="24"/>
          <w:szCs w:val="24"/>
        </w:rPr>
        <w:t>(3), 1232–1236.</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Patel, R. K., Jatav, G. K., &amp; Dubey, S. K. (2018). Integrated nutrient management in rice–wheat cropping system under Jabalpur conditions. </w:t>
      </w:r>
      <w:r w:rsidRPr="00BD5F1D">
        <w:rPr>
          <w:rFonts w:ascii="Times New Roman" w:hAnsi="Times New Roman" w:cs="Times New Roman"/>
          <w:i/>
          <w:iCs/>
          <w:sz w:val="24"/>
          <w:szCs w:val="24"/>
        </w:rPr>
        <w:t>Journal of the Indian Society of Soil Science, 66</w:t>
      </w:r>
      <w:r w:rsidRPr="00BD5F1D">
        <w:rPr>
          <w:rFonts w:ascii="Times New Roman" w:hAnsi="Times New Roman" w:cs="Times New Roman"/>
          <w:sz w:val="24"/>
          <w:szCs w:val="24"/>
        </w:rPr>
        <w:t>(4), 404–410.</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Ranjan, A., Verma, R., &amp; Singh, A. (2022). Effect of organic and inorganic nutrient management on productivity and profitability of rice–wheat cropping system in Bihar. </w:t>
      </w:r>
      <w:r w:rsidRPr="00BD5F1D">
        <w:rPr>
          <w:rFonts w:ascii="Times New Roman" w:hAnsi="Times New Roman" w:cs="Times New Roman"/>
          <w:i/>
          <w:iCs/>
          <w:sz w:val="24"/>
          <w:szCs w:val="24"/>
        </w:rPr>
        <w:t>International Journal of Plant and Soil Science, 34</w:t>
      </w:r>
      <w:r w:rsidRPr="00BD5F1D">
        <w:rPr>
          <w:rFonts w:ascii="Times New Roman" w:hAnsi="Times New Roman" w:cs="Times New Roman"/>
          <w:sz w:val="24"/>
          <w:szCs w:val="24"/>
        </w:rPr>
        <w:t>(22), 1435–1444.</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Sharma, A., &amp;Subehia, S. K. (2014). Effect of integrated nutrient management on productivity and soil fertility in rice–wheat system in northwestern Himalayas. </w:t>
      </w:r>
      <w:r w:rsidRPr="00BD5F1D">
        <w:rPr>
          <w:rFonts w:ascii="Times New Roman" w:hAnsi="Times New Roman" w:cs="Times New Roman"/>
          <w:i/>
          <w:iCs/>
          <w:sz w:val="24"/>
          <w:szCs w:val="24"/>
        </w:rPr>
        <w:t>Journal of the Indian Society of Soil Science, 62</w:t>
      </w:r>
      <w:r w:rsidRPr="00BD5F1D">
        <w:rPr>
          <w:rFonts w:ascii="Times New Roman" w:hAnsi="Times New Roman" w:cs="Times New Roman"/>
          <w:sz w:val="24"/>
          <w:szCs w:val="24"/>
        </w:rPr>
        <w:t>(3), 248–254.</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Sharma, P., Singh, D., &amp; Kaur, J. (2020). Effect of integrated nutrient management on wheat productivity and soil fertility in Punjab. </w:t>
      </w:r>
      <w:r w:rsidRPr="00BD5F1D">
        <w:rPr>
          <w:rFonts w:ascii="Times New Roman" w:hAnsi="Times New Roman" w:cs="Times New Roman"/>
          <w:i/>
          <w:iCs/>
          <w:sz w:val="24"/>
          <w:szCs w:val="24"/>
        </w:rPr>
        <w:t>International Journal of Current Microbiology and Applied Sciences, 9</w:t>
      </w:r>
      <w:r w:rsidRPr="00BD5F1D">
        <w:rPr>
          <w:rFonts w:ascii="Times New Roman" w:hAnsi="Times New Roman" w:cs="Times New Roman"/>
          <w:sz w:val="24"/>
          <w:szCs w:val="24"/>
        </w:rPr>
        <w:t>(1), 1872–1879.</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Sharma, S., Singh, V. P., &amp; Singh, S. (2016). Long-term effect of organic and inorganic nutrient sources on soil fertility and productivity of rice–wheat cropping system. </w:t>
      </w:r>
      <w:r w:rsidRPr="00BD5F1D">
        <w:rPr>
          <w:rFonts w:ascii="Times New Roman" w:hAnsi="Times New Roman" w:cs="Times New Roman"/>
          <w:i/>
          <w:iCs/>
          <w:sz w:val="24"/>
          <w:szCs w:val="24"/>
        </w:rPr>
        <w:t>Indian Journal of Agronomy, 61</w:t>
      </w:r>
      <w:r w:rsidRPr="00BD5F1D">
        <w:rPr>
          <w:rFonts w:ascii="Times New Roman" w:hAnsi="Times New Roman" w:cs="Times New Roman"/>
          <w:sz w:val="24"/>
          <w:szCs w:val="24"/>
        </w:rPr>
        <w:t>(3), 365–370.</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Shekhar, R., Yadav, P., &amp; Singh, H. (2021). Profitability of wheat (</w:t>
      </w:r>
      <w:r w:rsidR="00AA08A8" w:rsidRPr="00AA08A8">
        <w:rPr>
          <w:rFonts w:ascii="Times New Roman" w:hAnsi="Times New Roman" w:cs="Times New Roman"/>
          <w:i/>
          <w:iCs/>
          <w:sz w:val="24"/>
          <w:szCs w:val="24"/>
        </w:rPr>
        <w:t xml:space="preserve">Triticum aestivum </w:t>
      </w:r>
      <w:r w:rsidRPr="00BD5F1D">
        <w:rPr>
          <w:rFonts w:ascii="Times New Roman" w:hAnsi="Times New Roman" w:cs="Times New Roman"/>
          <w:sz w:val="24"/>
          <w:szCs w:val="24"/>
        </w:rPr>
        <w:t xml:space="preserve">L.) as influenced by nutrient management practices in Ayodhya district. </w:t>
      </w:r>
      <w:r w:rsidRPr="00BD5F1D">
        <w:rPr>
          <w:rFonts w:ascii="Times New Roman" w:hAnsi="Times New Roman" w:cs="Times New Roman"/>
          <w:i/>
          <w:iCs/>
          <w:sz w:val="24"/>
          <w:szCs w:val="24"/>
        </w:rPr>
        <w:t>Journal of Pharmacognosy and Phytochemistry, 10</w:t>
      </w:r>
      <w:r w:rsidRPr="00BD5F1D">
        <w:rPr>
          <w:rFonts w:ascii="Times New Roman" w:hAnsi="Times New Roman" w:cs="Times New Roman"/>
          <w:sz w:val="24"/>
          <w:szCs w:val="24"/>
        </w:rPr>
        <w:t>(1), 1560–1565.</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lastRenderedPageBreak/>
        <w:t xml:space="preserve">Shrivastava, R., Patel, M., &amp; Tiwari, S. (2023). Farmer-participatory assessment of integrated nutrient management practices on soil fertility and profitability of wheat in Madhya Pradesh. </w:t>
      </w:r>
      <w:r w:rsidRPr="00BD5F1D">
        <w:rPr>
          <w:rFonts w:ascii="Times New Roman" w:hAnsi="Times New Roman" w:cs="Times New Roman"/>
          <w:i/>
          <w:iCs/>
          <w:sz w:val="24"/>
          <w:szCs w:val="24"/>
        </w:rPr>
        <w:t>Indian Journal of Agricultural Sciences, 93</w:t>
      </w:r>
      <w:r w:rsidRPr="00BD5F1D">
        <w:rPr>
          <w:rFonts w:ascii="Times New Roman" w:hAnsi="Times New Roman" w:cs="Times New Roman"/>
          <w:sz w:val="24"/>
          <w:szCs w:val="24"/>
        </w:rPr>
        <w:t>(7), 812–818.</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Singh, A., Singh, R., &amp; Kumar, S. (2017). Integrated nutrient management in rice–wheat system under sodic soils of Uttar Pradesh. </w:t>
      </w:r>
      <w:r w:rsidRPr="00BD5F1D">
        <w:rPr>
          <w:rFonts w:ascii="Times New Roman" w:hAnsi="Times New Roman" w:cs="Times New Roman"/>
          <w:i/>
          <w:iCs/>
          <w:sz w:val="24"/>
          <w:szCs w:val="24"/>
        </w:rPr>
        <w:t>Annals of Plant and Soil Research, 19</w:t>
      </w:r>
      <w:r w:rsidRPr="00BD5F1D">
        <w:rPr>
          <w:rFonts w:ascii="Times New Roman" w:hAnsi="Times New Roman" w:cs="Times New Roman"/>
          <w:sz w:val="24"/>
          <w:szCs w:val="24"/>
        </w:rPr>
        <w:t>(1), 67–72.</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Singh, H., Yadav, R. L., &amp; Kumar, V. (2019). Effect of integrated nutrient management on soil fertility and wheat productivity in alluvial soils of Kanpur. </w:t>
      </w:r>
      <w:r w:rsidRPr="00BD5F1D">
        <w:rPr>
          <w:rFonts w:ascii="Times New Roman" w:hAnsi="Times New Roman" w:cs="Times New Roman"/>
          <w:i/>
          <w:iCs/>
          <w:sz w:val="24"/>
          <w:szCs w:val="24"/>
        </w:rPr>
        <w:t>Journal of Pharmacognosy and Phytochemistry, 8</w:t>
      </w:r>
      <w:r w:rsidRPr="00BD5F1D">
        <w:rPr>
          <w:rFonts w:ascii="Times New Roman" w:hAnsi="Times New Roman" w:cs="Times New Roman"/>
          <w:sz w:val="24"/>
          <w:szCs w:val="24"/>
        </w:rPr>
        <w:t>(4), 3194–3199.</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Singh, J., Sharma, P., &amp; Tripathi, S. (2024). Integrated nutrient management for improved soil fertility and wheat productivity in maize–wheat rotations of Uttarakhand. </w:t>
      </w:r>
      <w:r w:rsidRPr="00BD5F1D">
        <w:rPr>
          <w:rFonts w:ascii="Times New Roman" w:hAnsi="Times New Roman" w:cs="Times New Roman"/>
          <w:i/>
          <w:iCs/>
          <w:sz w:val="24"/>
          <w:szCs w:val="24"/>
        </w:rPr>
        <w:t>International Journal of Plant and Soil Science, 36</w:t>
      </w:r>
      <w:r w:rsidRPr="00BD5F1D">
        <w:rPr>
          <w:rFonts w:ascii="Times New Roman" w:hAnsi="Times New Roman" w:cs="Times New Roman"/>
          <w:sz w:val="24"/>
          <w:szCs w:val="24"/>
        </w:rPr>
        <w:t>(5), 45–53.</w:t>
      </w:r>
    </w:p>
    <w:p w:rsidR="00BD5F1D" w:rsidRPr="00BD5F1D"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Subbaiah, B. V., &amp; Asija, G. L. (1956). A rapid procedure for estimation of available nitrogen in soils. </w:t>
      </w:r>
      <w:r w:rsidRPr="00BD5F1D">
        <w:rPr>
          <w:rFonts w:ascii="Times New Roman" w:hAnsi="Times New Roman" w:cs="Times New Roman"/>
          <w:i/>
          <w:iCs/>
          <w:sz w:val="24"/>
          <w:szCs w:val="24"/>
        </w:rPr>
        <w:t>Current Science, 25</w:t>
      </w:r>
      <w:r w:rsidRPr="00BD5F1D">
        <w:rPr>
          <w:rFonts w:ascii="Times New Roman" w:hAnsi="Times New Roman" w:cs="Times New Roman"/>
          <w:sz w:val="24"/>
          <w:szCs w:val="24"/>
        </w:rPr>
        <w:t>, 259–260.</w:t>
      </w:r>
    </w:p>
    <w:p w:rsidR="003E372B" w:rsidRDefault="00BD5F1D" w:rsidP="00BD5F1D">
      <w:pPr>
        <w:jc w:val="both"/>
        <w:rPr>
          <w:rFonts w:ascii="Times New Roman" w:hAnsi="Times New Roman" w:cs="Times New Roman"/>
          <w:sz w:val="24"/>
          <w:szCs w:val="24"/>
        </w:rPr>
      </w:pPr>
      <w:r w:rsidRPr="00BD5F1D">
        <w:rPr>
          <w:rFonts w:ascii="Times New Roman" w:hAnsi="Times New Roman" w:cs="Times New Roman"/>
          <w:sz w:val="24"/>
          <w:szCs w:val="24"/>
        </w:rPr>
        <w:t xml:space="preserve">Walkley, A., &amp; Black, I. A. (1965). An examination of the Degtjareff method for determining soil organic matter and a proposed modification of the chromic acid titration method. </w:t>
      </w:r>
      <w:r w:rsidRPr="00BD5F1D">
        <w:rPr>
          <w:rFonts w:ascii="Times New Roman" w:hAnsi="Times New Roman" w:cs="Times New Roman"/>
          <w:i/>
          <w:iCs/>
          <w:sz w:val="24"/>
          <w:szCs w:val="24"/>
        </w:rPr>
        <w:t>Soil Science, 37</w:t>
      </w:r>
      <w:r w:rsidRPr="00BD5F1D">
        <w:rPr>
          <w:rFonts w:ascii="Times New Roman" w:hAnsi="Times New Roman" w:cs="Times New Roman"/>
          <w:sz w:val="24"/>
          <w:szCs w:val="24"/>
        </w:rPr>
        <w:t>(1), 29–38</w:t>
      </w:r>
      <w:r>
        <w:rPr>
          <w:rFonts w:ascii="Times New Roman" w:hAnsi="Times New Roman" w:cs="Times New Roman"/>
          <w:sz w:val="24"/>
          <w:szCs w:val="24"/>
        </w:rPr>
        <w:t>.</w:t>
      </w:r>
    </w:p>
    <w:p w:rsidR="0022760D" w:rsidRPr="003E372B" w:rsidRDefault="003E372B" w:rsidP="003E372B">
      <w:pPr>
        <w:spacing w:before="161"/>
        <w:jc w:val="both"/>
        <w:rPr>
          <w:rFonts w:ascii="Times New Roman" w:hAnsi="Times New Roman" w:cs="Times New Roman"/>
          <w:b/>
          <w:sz w:val="24"/>
        </w:rPr>
      </w:pPr>
      <w:r w:rsidRPr="003E372B">
        <w:rPr>
          <w:rFonts w:ascii="Times New Roman" w:hAnsi="Times New Roman" w:cs="Times New Roman"/>
          <w:b/>
          <w:bCs/>
          <w:sz w:val="24"/>
          <w:szCs w:val="24"/>
        </w:rPr>
        <w:t>Table 1</w:t>
      </w:r>
      <w:r w:rsidRPr="003E372B">
        <w:rPr>
          <w:rFonts w:ascii="Times New Roman" w:hAnsi="Times New Roman" w:cs="Times New Roman"/>
          <w:sz w:val="24"/>
          <w:szCs w:val="24"/>
        </w:rPr>
        <w:t xml:space="preserve">. </w:t>
      </w:r>
      <w:r w:rsidRPr="003E372B">
        <w:rPr>
          <w:rFonts w:ascii="Times New Roman" w:hAnsi="Times New Roman" w:cs="Times New Roman"/>
          <w:b/>
          <w:color w:val="212121"/>
          <w:sz w:val="24"/>
        </w:rPr>
        <w:t>Effectofintegratednutrientmanagementonsoilparametersunderwheat</w:t>
      </w:r>
      <w:r w:rsidRPr="003E372B">
        <w:rPr>
          <w:rFonts w:ascii="Times New Roman" w:hAnsi="Times New Roman" w:cs="Times New Roman"/>
          <w:b/>
          <w:color w:val="212121"/>
          <w:spacing w:val="-2"/>
          <w:sz w:val="24"/>
        </w:rPr>
        <w:t>crop.</w:t>
      </w:r>
    </w:p>
    <w:tbl>
      <w:tblPr>
        <w:tblW w:w="11272"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3212"/>
        <w:gridCol w:w="1375"/>
        <w:gridCol w:w="1375"/>
        <w:gridCol w:w="1351"/>
        <w:gridCol w:w="1616"/>
        <w:gridCol w:w="1785"/>
      </w:tblGrid>
      <w:tr w:rsidR="0022760D" w:rsidTr="0022760D">
        <w:trPr>
          <w:trHeight w:val="1226"/>
        </w:trPr>
        <w:tc>
          <w:tcPr>
            <w:tcW w:w="558" w:type="dxa"/>
          </w:tcPr>
          <w:p w:rsidR="0022760D" w:rsidRDefault="0022760D" w:rsidP="00C436DF">
            <w:pPr>
              <w:pStyle w:val="TableParagraph"/>
              <w:ind w:left="1" w:right="100"/>
              <w:rPr>
                <w:b/>
                <w:color w:val="212121"/>
                <w:spacing w:val="-2"/>
                <w:sz w:val="24"/>
              </w:rPr>
            </w:pPr>
            <w:r>
              <w:rPr>
                <w:b/>
                <w:color w:val="212121"/>
                <w:spacing w:val="-2"/>
                <w:sz w:val="24"/>
              </w:rPr>
              <w:t>Sl.</w:t>
            </w:r>
          </w:p>
          <w:p w:rsidR="0022760D" w:rsidRDefault="0022760D" w:rsidP="00C436DF">
            <w:pPr>
              <w:pStyle w:val="TableParagraph"/>
              <w:ind w:left="1" w:right="100"/>
              <w:rPr>
                <w:b/>
                <w:sz w:val="24"/>
              </w:rPr>
            </w:pPr>
            <w:r>
              <w:rPr>
                <w:b/>
                <w:color w:val="212121"/>
                <w:spacing w:val="-2"/>
                <w:sz w:val="24"/>
              </w:rPr>
              <w:t>no.</w:t>
            </w:r>
          </w:p>
        </w:tc>
        <w:tc>
          <w:tcPr>
            <w:tcW w:w="3212" w:type="dxa"/>
          </w:tcPr>
          <w:p w:rsidR="0022760D" w:rsidRDefault="0022760D" w:rsidP="00C436DF">
            <w:pPr>
              <w:pStyle w:val="TableParagraph"/>
              <w:ind w:left="5" w:right="94"/>
              <w:rPr>
                <w:b/>
                <w:sz w:val="24"/>
              </w:rPr>
            </w:pPr>
            <w:r>
              <w:rPr>
                <w:b/>
                <w:color w:val="212121"/>
                <w:spacing w:val="-2"/>
                <w:sz w:val="24"/>
              </w:rPr>
              <w:t>Treatment</w:t>
            </w:r>
          </w:p>
        </w:tc>
        <w:tc>
          <w:tcPr>
            <w:tcW w:w="1375" w:type="dxa"/>
          </w:tcPr>
          <w:p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pH</w:t>
            </w:r>
          </w:p>
        </w:tc>
        <w:tc>
          <w:tcPr>
            <w:tcW w:w="1375" w:type="dxa"/>
          </w:tcPr>
          <w:p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EC</w:t>
            </w:r>
          </w:p>
          <w:p w:rsidR="0022760D" w:rsidRDefault="0022760D" w:rsidP="00C436DF">
            <w:pPr>
              <w:pStyle w:val="TableParagraph"/>
              <w:spacing w:line="360" w:lineRule="auto"/>
              <w:ind w:left="153" w:hanging="27"/>
              <w:jc w:val="left"/>
              <w:rPr>
                <w:b/>
                <w:color w:val="212121"/>
                <w:spacing w:val="-4"/>
                <w:sz w:val="24"/>
              </w:rPr>
            </w:pPr>
            <w:r>
              <w:rPr>
                <w:b/>
                <w:color w:val="212121"/>
                <w:spacing w:val="-4"/>
                <w:sz w:val="24"/>
              </w:rPr>
              <w:t>(ds/m)</w:t>
            </w:r>
          </w:p>
        </w:tc>
        <w:tc>
          <w:tcPr>
            <w:tcW w:w="1351" w:type="dxa"/>
          </w:tcPr>
          <w:p w:rsidR="0022760D" w:rsidRDefault="0022760D" w:rsidP="00C436DF">
            <w:pPr>
              <w:pStyle w:val="TableParagraph"/>
              <w:spacing w:line="360" w:lineRule="auto"/>
              <w:ind w:left="153" w:hanging="27"/>
              <w:jc w:val="left"/>
              <w:rPr>
                <w:b/>
                <w:color w:val="212121"/>
                <w:spacing w:val="-4"/>
                <w:sz w:val="24"/>
              </w:rPr>
            </w:pPr>
            <w:r>
              <w:rPr>
                <w:b/>
                <w:color w:val="212121"/>
                <w:spacing w:val="-4"/>
                <w:sz w:val="24"/>
              </w:rPr>
              <w:t>Soil Organic carbon (%)</w:t>
            </w:r>
          </w:p>
        </w:tc>
        <w:tc>
          <w:tcPr>
            <w:tcW w:w="1616" w:type="dxa"/>
          </w:tcPr>
          <w:p w:rsidR="0022760D" w:rsidRDefault="0022760D" w:rsidP="00C436DF">
            <w:pPr>
              <w:pStyle w:val="TableParagraph"/>
              <w:spacing w:line="360" w:lineRule="auto"/>
              <w:ind w:left="153" w:hanging="27"/>
              <w:jc w:val="left"/>
              <w:rPr>
                <w:b/>
                <w:sz w:val="24"/>
              </w:rPr>
            </w:pPr>
            <w:r>
              <w:rPr>
                <w:b/>
                <w:color w:val="212121"/>
                <w:spacing w:val="-4"/>
                <w:sz w:val="24"/>
              </w:rPr>
              <w:t xml:space="preserve">Available </w:t>
            </w:r>
            <w:r>
              <w:rPr>
                <w:b/>
                <w:color w:val="212121"/>
                <w:spacing w:val="-2"/>
                <w:sz w:val="24"/>
              </w:rPr>
              <w:t>Nitrogen</w:t>
            </w:r>
          </w:p>
          <w:p w:rsidR="0022760D" w:rsidRDefault="0022760D" w:rsidP="00C436DF">
            <w:pPr>
              <w:pStyle w:val="TableParagraph"/>
              <w:spacing w:line="240" w:lineRule="auto"/>
              <w:ind w:left="237"/>
              <w:jc w:val="left"/>
              <w:rPr>
                <w:b/>
                <w:sz w:val="24"/>
              </w:rPr>
            </w:pPr>
            <w:r>
              <w:rPr>
                <w:b/>
                <w:color w:val="212121"/>
                <w:spacing w:val="-2"/>
                <w:sz w:val="24"/>
              </w:rPr>
              <w:t>(kg/ha)</w:t>
            </w:r>
          </w:p>
        </w:tc>
        <w:tc>
          <w:tcPr>
            <w:tcW w:w="1785" w:type="dxa"/>
          </w:tcPr>
          <w:p w:rsidR="0022760D" w:rsidRDefault="0022760D" w:rsidP="00C436DF">
            <w:pPr>
              <w:pStyle w:val="TableParagraph"/>
              <w:spacing w:line="360" w:lineRule="auto"/>
              <w:ind w:left="153" w:hanging="27"/>
              <w:jc w:val="left"/>
              <w:rPr>
                <w:b/>
                <w:color w:val="212121"/>
                <w:spacing w:val="-4"/>
                <w:sz w:val="24"/>
              </w:rPr>
            </w:pPr>
            <w:r>
              <w:rPr>
                <w:b/>
                <w:color w:val="212121"/>
                <w:spacing w:val="-4"/>
                <w:sz w:val="24"/>
              </w:rPr>
              <w:t>Available Phosphorus (Kg/ha)</w:t>
            </w:r>
          </w:p>
        </w:tc>
      </w:tr>
      <w:tr w:rsidR="0022760D" w:rsidTr="0022760D">
        <w:trPr>
          <w:trHeight w:val="408"/>
        </w:trPr>
        <w:tc>
          <w:tcPr>
            <w:tcW w:w="558" w:type="dxa"/>
          </w:tcPr>
          <w:p w:rsidR="0022760D" w:rsidRDefault="0022760D" w:rsidP="00C436DF">
            <w:pPr>
              <w:pStyle w:val="TableParagraph"/>
              <w:ind w:right="100"/>
              <w:rPr>
                <w:b/>
                <w:sz w:val="24"/>
              </w:rPr>
            </w:pPr>
            <w:r>
              <w:rPr>
                <w:b/>
                <w:color w:val="212121"/>
                <w:spacing w:val="-5"/>
                <w:sz w:val="24"/>
              </w:rPr>
              <w:t>T1</w:t>
            </w:r>
          </w:p>
        </w:tc>
        <w:tc>
          <w:tcPr>
            <w:tcW w:w="3212" w:type="dxa"/>
          </w:tcPr>
          <w:p w:rsidR="0022760D" w:rsidRDefault="0022760D" w:rsidP="00C436DF">
            <w:pPr>
              <w:pStyle w:val="TableParagraph"/>
              <w:ind w:left="7" w:right="94"/>
              <w:rPr>
                <w:sz w:val="24"/>
              </w:rPr>
            </w:pPr>
            <w:r>
              <w:rPr>
                <w:color w:val="212121"/>
                <w:spacing w:val="-2"/>
                <w:sz w:val="24"/>
              </w:rPr>
              <w:t>Control</w:t>
            </w:r>
          </w:p>
        </w:tc>
        <w:tc>
          <w:tcPr>
            <w:tcW w:w="1375" w:type="dxa"/>
          </w:tcPr>
          <w:p w:rsidR="0022760D" w:rsidRDefault="0022760D" w:rsidP="00C436DF">
            <w:pPr>
              <w:pStyle w:val="TableParagraph"/>
              <w:ind w:right="79"/>
              <w:rPr>
                <w:color w:val="212121"/>
                <w:spacing w:val="-2"/>
                <w:sz w:val="24"/>
              </w:rPr>
            </w:pPr>
            <w:r>
              <w:rPr>
                <w:color w:val="212121"/>
                <w:spacing w:val="-2"/>
                <w:sz w:val="24"/>
              </w:rPr>
              <w:t>7.78</w:t>
            </w:r>
          </w:p>
        </w:tc>
        <w:tc>
          <w:tcPr>
            <w:tcW w:w="1375" w:type="dxa"/>
          </w:tcPr>
          <w:p w:rsidR="0022760D" w:rsidRDefault="0022760D" w:rsidP="00C436DF">
            <w:pPr>
              <w:pStyle w:val="TableParagraph"/>
              <w:ind w:right="79"/>
              <w:rPr>
                <w:color w:val="212121"/>
                <w:spacing w:val="-2"/>
                <w:sz w:val="24"/>
              </w:rPr>
            </w:pPr>
            <w:r>
              <w:rPr>
                <w:color w:val="212121"/>
                <w:spacing w:val="-2"/>
                <w:sz w:val="24"/>
              </w:rPr>
              <w:t>1.6</w:t>
            </w:r>
          </w:p>
        </w:tc>
        <w:tc>
          <w:tcPr>
            <w:tcW w:w="1351" w:type="dxa"/>
          </w:tcPr>
          <w:p w:rsidR="0022760D" w:rsidRDefault="0022760D" w:rsidP="00C436DF">
            <w:pPr>
              <w:pStyle w:val="TableParagraph"/>
              <w:ind w:right="79"/>
              <w:rPr>
                <w:color w:val="212121"/>
                <w:spacing w:val="-2"/>
                <w:sz w:val="24"/>
              </w:rPr>
            </w:pPr>
            <w:r>
              <w:rPr>
                <w:color w:val="212121"/>
                <w:spacing w:val="-2"/>
                <w:sz w:val="24"/>
              </w:rPr>
              <w:t>0.39</w:t>
            </w:r>
          </w:p>
        </w:tc>
        <w:tc>
          <w:tcPr>
            <w:tcW w:w="1616" w:type="dxa"/>
          </w:tcPr>
          <w:p w:rsidR="0022760D" w:rsidRDefault="0022760D" w:rsidP="00C436DF">
            <w:pPr>
              <w:pStyle w:val="TableParagraph"/>
              <w:ind w:right="79"/>
              <w:rPr>
                <w:sz w:val="24"/>
              </w:rPr>
            </w:pPr>
            <w:r>
              <w:rPr>
                <w:color w:val="212121"/>
                <w:spacing w:val="-2"/>
                <w:sz w:val="24"/>
              </w:rPr>
              <w:t>86.33</w:t>
            </w:r>
          </w:p>
        </w:tc>
        <w:tc>
          <w:tcPr>
            <w:tcW w:w="1785" w:type="dxa"/>
          </w:tcPr>
          <w:p w:rsidR="0022760D" w:rsidRDefault="0022760D" w:rsidP="00C436DF">
            <w:pPr>
              <w:pStyle w:val="TableParagraph"/>
              <w:ind w:right="79"/>
              <w:rPr>
                <w:color w:val="212121"/>
                <w:spacing w:val="-2"/>
                <w:sz w:val="24"/>
              </w:rPr>
            </w:pPr>
            <w:r>
              <w:rPr>
                <w:color w:val="212121"/>
                <w:spacing w:val="-2"/>
                <w:sz w:val="24"/>
              </w:rPr>
              <w:t>6.97</w:t>
            </w:r>
          </w:p>
        </w:tc>
      </w:tr>
      <w:tr w:rsidR="0022760D" w:rsidTr="0022760D">
        <w:trPr>
          <w:trHeight w:val="816"/>
        </w:trPr>
        <w:tc>
          <w:tcPr>
            <w:tcW w:w="558" w:type="dxa"/>
          </w:tcPr>
          <w:p w:rsidR="0022760D" w:rsidRDefault="0022760D" w:rsidP="00C436DF">
            <w:pPr>
              <w:pStyle w:val="TableParagraph"/>
              <w:ind w:right="100"/>
              <w:rPr>
                <w:b/>
                <w:sz w:val="24"/>
              </w:rPr>
            </w:pPr>
            <w:r>
              <w:rPr>
                <w:b/>
                <w:color w:val="212121"/>
                <w:spacing w:val="-5"/>
                <w:sz w:val="24"/>
              </w:rPr>
              <w:t>T2</w:t>
            </w:r>
          </w:p>
        </w:tc>
        <w:tc>
          <w:tcPr>
            <w:tcW w:w="3212" w:type="dxa"/>
          </w:tcPr>
          <w:p w:rsidR="0022760D" w:rsidRDefault="0022760D" w:rsidP="00C436DF">
            <w:pPr>
              <w:pStyle w:val="TableParagraph"/>
              <w:ind w:left="8" w:right="94"/>
              <w:rPr>
                <w:sz w:val="24"/>
              </w:rPr>
            </w:pPr>
            <w:r>
              <w:rPr>
                <w:color w:val="212121"/>
                <w:sz w:val="24"/>
              </w:rPr>
              <w:t xml:space="preserve">100%RDF(120 kg N/ha, 60%kg P/ha, 40 kg </w:t>
            </w:r>
            <w:r>
              <w:rPr>
                <w:color w:val="212121"/>
                <w:spacing w:val="-2"/>
                <w:sz w:val="24"/>
              </w:rPr>
              <w:t>K/ha)</w:t>
            </w:r>
          </w:p>
        </w:tc>
        <w:tc>
          <w:tcPr>
            <w:tcW w:w="1375" w:type="dxa"/>
          </w:tcPr>
          <w:p w:rsidR="0022760D" w:rsidRDefault="0022760D" w:rsidP="00C436DF">
            <w:pPr>
              <w:pStyle w:val="TableParagraph"/>
              <w:ind w:right="79"/>
              <w:rPr>
                <w:color w:val="212121"/>
                <w:spacing w:val="-2"/>
                <w:sz w:val="24"/>
              </w:rPr>
            </w:pPr>
            <w:r>
              <w:rPr>
                <w:color w:val="212121"/>
                <w:spacing w:val="-2"/>
                <w:sz w:val="24"/>
              </w:rPr>
              <w:t>7.65</w:t>
            </w:r>
          </w:p>
        </w:tc>
        <w:tc>
          <w:tcPr>
            <w:tcW w:w="1375" w:type="dxa"/>
          </w:tcPr>
          <w:p w:rsidR="0022760D" w:rsidRDefault="0022760D" w:rsidP="00C436DF">
            <w:pPr>
              <w:pStyle w:val="TableParagraph"/>
              <w:ind w:right="79"/>
              <w:rPr>
                <w:color w:val="212121"/>
                <w:spacing w:val="-2"/>
                <w:sz w:val="24"/>
              </w:rPr>
            </w:pPr>
            <w:r>
              <w:rPr>
                <w:color w:val="212121"/>
                <w:spacing w:val="-2"/>
                <w:sz w:val="24"/>
              </w:rPr>
              <w:t>1.42</w:t>
            </w:r>
          </w:p>
        </w:tc>
        <w:tc>
          <w:tcPr>
            <w:tcW w:w="1351" w:type="dxa"/>
          </w:tcPr>
          <w:p w:rsidR="0022760D" w:rsidRDefault="0022760D" w:rsidP="00C436DF">
            <w:pPr>
              <w:pStyle w:val="TableParagraph"/>
              <w:ind w:right="79"/>
              <w:rPr>
                <w:color w:val="212121"/>
                <w:spacing w:val="-2"/>
                <w:sz w:val="24"/>
              </w:rPr>
            </w:pPr>
            <w:r>
              <w:rPr>
                <w:color w:val="212121"/>
                <w:spacing w:val="-2"/>
                <w:sz w:val="24"/>
              </w:rPr>
              <w:t>0.53</w:t>
            </w:r>
          </w:p>
        </w:tc>
        <w:tc>
          <w:tcPr>
            <w:tcW w:w="1616" w:type="dxa"/>
          </w:tcPr>
          <w:p w:rsidR="0022760D" w:rsidRDefault="0022760D" w:rsidP="00C436DF">
            <w:pPr>
              <w:pStyle w:val="TableParagraph"/>
              <w:ind w:right="79"/>
              <w:rPr>
                <w:sz w:val="24"/>
              </w:rPr>
            </w:pPr>
            <w:r>
              <w:rPr>
                <w:color w:val="212121"/>
                <w:spacing w:val="-2"/>
                <w:sz w:val="24"/>
              </w:rPr>
              <w:t>149.53</w:t>
            </w:r>
          </w:p>
        </w:tc>
        <w:tc>
          <w:tcPr>
            <w:tcW w:w="1785" w:type="dxa"/>
          </w:tcPr>
          <w:p w:rsidR="0022760D" w:rsidRDefault="0022760D" w:rsidP="00C436DF">
            <w:pPr>
              <w:pStyle w:val="TableParagraph"/>
              <w:ind w:right="79"/>
              <w:rPr>
                <w:color w:val="212121"/>
                <w:spacing w:val="-2"/>
                <w:sz w:val="24"/>
              </w:rPr>
            </w:pPr>
            <w:r>
              <w:rPr>
                <w:color w:val="212121"/>
                <w:spacing w:val="-2"/>
                <w:sz w:val="24"/>
              </w:rPr>
              <w:t>12.11</w:t>
            </w:r>
          </w:p>
        </w:tc>
      </w:tr>
      <w:tr w:rsidR="0022760D" w:rsidTr="0022760D">
        <w:trPr>
          <w:trHeight w:val="408"/>
        </w:trPr>
        <w:tc>
          <w:tcPr>
            <w:tcW w:w="558" w:type="dxa"/>
          </w:tcPr>
          <w:p w:rsidR="0022760D" w:rsidRDefault="0022760D" w:rsidP="00C436DF">
            <w:pPr>
              <w:pStyle w:val="TableParagraph"/>
              <w:spacing w:before="1" w:line="240" w:lineRule="auto"/>
              <w:ind w:right="100"/>
              <w:rPr>
                <w:b/>
                <w:sz w:val="24"/>
              </w:rPr>
            </w:pPr>
            <w:r>
              <w:rPr>
                <w:b/>
                <w:color w:val="212121"/>
                <w:spacing w:val="-5"/>
                <w:sz w:val="24"/>
              </w:rPr>
              <w:t>T3</w:t>
            </w:r>
          </w:p>
        </w:tc>
        <w:tc>
          <w:tcPr>
            <w:tcW w:w="3212" w:type="dxa"/>
          </w:tcPr>
          <w:p w:rsidR="0022760D" w:rsidRDefault="0022760D" w:rsidP="00C436DF">
            <w:pPr>
              <w:pStyle w:val="TableParagraph"/>
              <w:spacing w:before="1" w:line="240" w:lineRule="auto"/>
              <w:ind w:left="7" w:right="94"/>
              <w:rPr>
                <w:sz w:val="24"/>
              </w:rPr>
            </w:pPr>
            <w:r>
              <w:rPr>
                <w:color w:val="212121"/>
                <w:sz w:val="24"/>
              </w:rPr>
              <w:t>80%RDF+Vermicompost@2.9</w:t>
            </w:r>
            <w:r>
              <w:rPr>
                <w:color w:val="212121"/>
                <w:spacing w:val="-4"/>
                <w:sz w:val="24"/>
              </w:rPr>
              <w:t xml:space="preserve"> t/ha</w:t>
            </w:r>
          </w:p>
        </w:tc>
        <w:tc>
          <w:tcPr>
            <w:tcW w:w="1375" w:type="dxa"/>
          </w:tcPr>
          <w:p w:rsidR="0022760D" w:rsidRDefault="0022760D" w:rsidP="00C436DF">
            <w:pPr>
              <w:pStyle w:val="TableParagraph"/>
              <w:spacing w:before="1" w:line="240" w:lineRule="auto"/>
              <w:ind w:right="79"/>
              <w:rPr>
                <w:color w:val="212121"/>
                <w:spacing w:val="-2"/>
                <w:sz w:val="24"/>
              </w:rPr>
            </w:pPr>
            <w:r>
              <w:rPr>
                <w:color w:val="212121"/>
                <w:spacing w:val="-2"/>
                <w:sz w:val="24"/>
              </w:rPr>
              <w:t>7.70</w:t>
            </w:r>
          </w:p>
        </w:tc>
        <w:tc>
          <w:tcPr>
            <w:tcW w:w="1375" w:type="dxa"/>
          </w:tcPr>
          <w:p w:rsidR="0022760D" w:rsidRDefault="0022760D" w:rsidP="00C436DF">
            <w:pPr>
              <w:pStyle w:val="TableParagraph"/>
              <w:spacing w:before="1" w:line="240" w:lineRule="auto"/>
              <w:ind w:right="79"/>
              <w:rPr>
                <w:color w:val="212121"/>
                <w:spacing w:val="-2"/>
                <w:sz w:val="24"/>
              </w:rPr>
            </w:pPr>
            <w:r>
              <w:rPr>
                <w:color w:val="212121"/>
                <w:spacing w:val="-2"/>
                <w:sz w:val="24"/>
              </w:rPr>
              <w:t>1.45</w:t>
            </w:r>
          </w:p>
        </w:tc>
        <w:tc>
          <w:tcPr>
            <w:tcW w:w="1351" w:type="dxa"/>
          </w:tcPr>
          <w:p w:rsidR="0022760D" w:rsidRDefault="0022760D" w:rsidP="00C436DF">
            <w:pPr>
              <w:pStyle w:val="TableParagraph"/>
              <w:spacing w:before="1" w:line="240" w:lineRule="auto"/>
              <w:ind w:right="79"/>
              <w:rPr>
                <w:color w:val="212121"/>
                <w:spacing w:val="-2"/>
                <w:sz w:val="24"/>
              </w:rPr>
            </w:pPr>
            <w:r>
              <w:rPr>
                <w:color w:val="212121"/>
                <w:spacing w:val="-2"/>
                <w:sz w:val="24"/>
              </w:rPr>
              <w:t>0.50</w:t>
            </w:r>
          </w:p>
        </w:tc>
        <w:tc>
          <w:tcPr>
            <w:tcW w:w="1616" w:type="dxa"/>
          </w:tcPr>
          <w:p w:rsidR="0022760D" w:rsidRDefault="0022760D" w:rsidP="00C436DF">
            <w:pPr>
              <w:pStyle w:val="TableParagraph"/>
              <w:spacing w:before="1" w:line="240" w:lineRule="auto"/>
              <w:ind w:right="79"/>
              <w:rPr>
                <w:sz w:val="24"/>
              </w:rPr>
            </w:pPr>
            <w:r>
              <w:rPr>
                <w:color w:val="212121"/>
                <w:spacing w:val="-2"/>
                <w:sz w:val="24"/>
              </w:rPr>
              <w:t>142.69</w:t>
            </w:r>
          </w:p>
        </w:tc>
        <w:tc>
          <w:tcPr>
            <w:tcW w:w="1785" w:type="dxa"/>
          </w:tcPr>
          <w:p w:rsidR="0022760D" w:rsidRDefault="0022760D" w:rsidP="00C436DF">
            <w:pPr>
              <w:pStyle w:val="TableParagraph"/>
              <w:spacing w:before="1" w:line="240" w:lineRule="auto"/>
              <w:ind w:right="79"/>
              <w:rPr>
                <w:color w:val="212121"/>
                <w:spacing w:val="-2"/>
                <w:sz w:val="24"/>
              </w:rPr>
            </w:pPr>
            <w:r>
              <w:rPr>
                <w:color w:val="212121"/>
                <w:spacing w:val="-2"/>
                <w:sz w:val="24"/>
              </w:rPr>
              <w:t>11.23</w:t>
            </w:r>
          </w:p>
        </w:tc>
      </w:tr>
      <w:tr w:rsidR="0022760D" w:rsidTr="003E372B">
        <w:trPr>
          <w:trHeight w:val="592"/>
        </w:trPr>
        <w:tc>
          <w:tcPr>
            <w:tcW w:w="558" w:type="dxa"/>
          </w:tcPr>
          <w:p w:rsidR="0022760D" w:rsidRDefault="0022760D" w:rsidP="00C436DF">
            <w:pPr>
              <w:pStyle w:val="TableParagraph"/>
              <w:ind w:right="100"/>
              <w:rPr>
                <w:b/>
                <w:sz w:val="24"/>
              </w:rPr>
            </w:pPr>
            <w:r>
              <w:rPr>
                <w:b/>
                <w:color w:val="212121"/>
                <w:spacing w:val="-5"/>
                <w:sz w:val="24"/>
              </w:rPr>
              <w:t>T4</w:t>
            </w:r>
          </w:p>
        </w:tc>
        <w:tc>
          <w:tcPr>
            <w:tcW w:w="3212" w:type="dxa"/>
          </w:tcPr>
          <w:p w:rsidR="0022760D" w:rsidRDefault="0022760D" w:rsidP="00C436DF">
            <w:pPr>
              <w:pStyle w:val="TableParagraph"/>
              <w:ind w:left="3" w:right="94"/>
              <w:rPr>
                <w:sz w:val="24"/>
              </w:rPr>
            </w:pPr>
            <w:r>
              <w:rPr>
                <w:color w:val="212121"/>
                <w:sz w:val="24"/>
              </w:rPr>
              <w:t>80%RDF+Biofertilizer (</w:t>
            </w:r>
            <w:r w:rsidR="00AA08A8" w:rsidRPr="00AA08A8">
              <w:rPr>
                <w:i/>
                <w:iCs/>
                <w:color w:val="212121"/>
                <w:sz w:val="24"/>
              </w:rPr>
              <w:t>Azotobacter</w:t>
            </w:r>
            <w:r>
              <w:rPr>
                <w:color w:val="212121"/>
                <w:sz w:val="24"/>
              </w:rPr>
              <w:t>+</w:t>
            </w:r>
            <w:r>
              <w:rPr>
                <w:color w:val="212121"/>
                <w:spacing w:val="-4"/>
                <w:sz w:val="24"/>
              </w:rPr>
              <w:t>PSB)</w:t>
            </w:r>
          </w:p>
        </w:tc>
        <w:tc>
          <w:tcPr>
            <w:tcW w:w="1375" w:type="dxa"/>
          </w:tcPr>
          <w:p w:rsidR="0022760D" w:rsidRDefault="0022760D" w:rsidP="00C436DF">
            <w:pPr>
              <w:pStyle w:val="TableParagraph"/>
              <w:ind w:right="79"/>
              <w:rPr>
                <w:color w:val="212121"/>
                <w:spacing w:val="-2"/>
                <w:sz w:val="24"/>
              </w:rPr>
            </w:pPr>
            <w:r>
              <w:rPr>
                <w:color w:val="212121"/>
                <w:spacing w:val="-2"/>
                <w:sz w:val="24"/>
              </w:rPr>
              <w:t>7.69</w:t>
            </w:r>
          </w:p>
        </w:tc>
        <w:tc>
          <w:tcPr>
            <w:tcW w:w="1375" w:type="dxa"/>
          </w:tcPr>
          <w:p w:rsidR="0022760D" w:rsidRDefault="0022760D" w:rsidP="00C436DF">
            <w:pPr>
              <w:pStyle w:val="TableParagraph"/>
              <w:ind w:right="79"/>
              <w:rPr>
                <w:color w:val="212121"/>
                <w:spacing w:val="-2"/>
                <w:sz w:val="24"/>
              </w:rPr>
            </w:pPr>
            <w:r>
              <w:rPr>
                <w:color w:val="212121"/>
                <w:spacing w:val="-2"/>
                <w:sz w:val="24"/>
              </w:rPr>
              <w:t>1.43</w:t>
            </w:r>
          </w:p>
        </w:tc>
        <w:tc>
          <w:tcPr>
            <w:tcW w:w="1351" w:type="dxa"/>
          </w:tcPr>
          <w:p w:rsidR="0022760D" w:rsidRDefault="0022760D" w:rsidP="00C436DF">
            <w:pPr>
              <w:pStyle w:val="TableParagraph"/>
              <w:ind w:right="79"/>
              <w:rPr>
                <w:color w:val="212121"/>
                <w:spacing w:val="-2"/>
                <w:sz w:val="24"/>
              </w:rPr>
            </w:pPr>
            <w:r>
              <w:rPr>
                <w:color w:val="212121"/>
                <w:spacing w:val="-2"/>
                <w:sz w:val="24"/>
              </w:rPr>
              <w:t>0.52</w:t>
            </w:r>
          </w:p>
        </w:tc>
        <w:tc>
          <w:tcPr>
            <w:tcW w:w="1616" w:type="dxa"/>
          </w:tcPr>
          <w:p w:rsidR="0022760D" w:rsidRDefault="0022760D" w:rsidP="00C436DF">
            <w:pPr>
              <w:pStyle w:val="TableParagraph"/>
              <w:ind w:right="79"/>
              <w:rPr>
                <w:sz w:val="24"/>
              </w:rPr>
            </w:pPr>
            <w:r>
              <w:rPr>
                <w:color w:val="212121"/>
                <w:spacing w:val="-2"/>
                <w:sz w:val="24"/>
              </w:rPr>
              <w:t>144.48</w:t>
            </w:r>
          </w:p>
        </w:tc>
        <w:tc>
          <w:tcPr>
            <w:tcW w:w="1785" w:type="dxa"/>
          </w:tcPr>
          <w:p w:rsidR="0022760D" w:rsidRDefault="0022760D" w:rsidP="00C436DF">
            <w:pPr>
              <w:pStyle w:val="TableParagraph"/>
              <w:ind w:right="79"/>
              <w:rPr>
                <w:color w:val="212121"/>
                <w:spacing w:val="-2"/>
                <w:sz w:val="24"/>
              </w:rPr>
            </w:pPr>
            <w:r>
              <w:rPr>
                <w:color w:val="212121"/>
                <w:spacing w:val="-2"/>
                <w:sz w:val="24"/>
              </w:rPr>
              <w:t>11.84</w:t>
            </w:r>
          </w:p>
        </w:tc>
      </w:tr>
      <w:tr w:rsidR="0022760D" w:rsidTr="0022760D">
        <w:trPr>
          <w:trHeight w:val="407"/>
        </w:trPr>
        <w:tc>
          <w:tcPr>
            <w:tcW w:w="558" w:type="dxa"/>
          </w:tcPr>
          <w:p w:rsidR="0022760D" w:rsidRDefault="0022760D" w:rsidP="00C436DF">
            <w:pPr>
              <w:pStyle w:val="TableParagraph"/>
              <w:ind w:right="100"/>
              <w:rPr>
                <w:b/>
                <w:sz w:val="24"/>
              </w:rPr>
            </w:pPr>
            <w:r>
              <w:rPr>
                <w:b/>
                <w:color w:val="212121"/>
                <w:spacing w:val="-5"/>
                <w:sz w:val="24"/>
              </w:rPr>
              <w:t>T5</w:t>
            </w:r>
          </w:p>
        </w:tc>
        <w:tc>
          <w:tcPr>
            <w:tcW w:w="3212" w:type="dxa"/>
          </w:tcPr>
          <w:p w:rsidR="0022760D" w:rsidRDefault="0022760D" w:rsidP="00C436DF">
            <w:pPr>
              <w:pStyle w:val="TableParagraph"/>
              <w:ind w:left="8" w:right="94"/>
              <w:rPr>
                <w:sz w:val="24"/>
              </w:rPr>
            </w:pPr>
            <w:r>
              <w:rPr>
                <w:color w:val="212121"/>
                <w:sz w:val="24"/>
              </w:rPr>
              <w:t>60%RDF+Vermicompost@3.1</w:t>
            </w:r>
            <w:r>
              <w:rPr>
                <w:color w:val="212121"/>
                <w:spacing w:val="-4"/>
                <w:sz w:val="24"/>
              </w:rPr>
              <w:t xml:space="preserve"> t/ha</w:t>
            </w:r>
          </w:p>
        </w:tc>
        <w:tc>
          <w:tcPr>
            <w:tcW w:w="1375" w:type="dxa"/>
          </w:tcPr>
          <w:p w:rsidR="0022760D" w:rsidRDefault="0022760D" w:rsidP="00C436DF">
            <w:pPr>
              <w:pStyle w:val="TableParagraph"/>
              <w:ind w:right="79"/>
              <w:rPr>
                <w:color w:val="212121"/>
                <w:spacing w:val="-2"/>
                <w:sz w:val="24"/>
              </w:rPr>
            </w:pPr>
            <w:r>
              <w:rPr>
                <w:color w:val="212121"/>
                <w:spacing w:val="-2"/>
                <w:sz w:val="24"/>
              </w:rPr>
              <w:t>7.73</w:t>
            </w:r>
          </w:p>
        </w:tc>
        <w:tc>
          <w:tcPr>
            <w:tcW w:w="1375" w:type="dxa"/>
          </w:tcPr>
          <w:p w:rsidR="0022760D" w:rsidRDefault="0022760D" w:rsidP="00C436DF">
            <w:pPr>
              <w:pStyle w:val="TableParagraph"/>
              <w:ind w:right="79"/>
              <w:rPr>
                <w:color w:val="212121"/>
                <w:spacing w:val="-2"/>
                <w:sz w:val="24"/>
              </w:rPr>
            </w:pPr>
            <w:r>
              <w:rPr>
                <w:color w:val="212121"/>
                <w:spacing w:val="-2"/>
                <w:sz w:val="24"/>
              </w:rPr>
              <w:t>1.47</w:t>
            </w:r>
          </w:p>
        </w:tc>
        <w:tc>
          <w:tcPr>
            <w:tcW w:w="1351" w:type="dxa"/>
          </w:tcPr>
          <w:p w:rsidR="0022760D" w:rsidRDefault="0022760D" w:rsidP="00C436DF">
            <w:pPr>
              <w:pStyle w:val="TableParagraph"/>
              <w:ind w:right="79"/>
              <w:rPr>
                <w:color w:val="212121"/>
                <w:spacing w:val="-2"/>
                <w:sz w:val="24"/>
              </w:rPr>
            </w:pPr>
            <w:r>
              <w:rPr>
                <w:color w:val="212121"/>
                <w:spacing w:val="-2"/>
                <w:sz w:val="24"/>
              </w:rPr>
              <w:t>0.48</w:t>
            </w:r>
          </w:p>
        </w:tc>
        <w:tc>
          <w:tcPr>
            <w:tcW w:w="1616" w:type="dxa"/>
          </w:tcPr>
          <w:p w:rsidR="0022760D" w:rsidRDefault="0022760D" w:rsidP="00C436DF">
            <w:pPr>
              <w:pStyle w:val="TableParagraph"/>
              <w:ind w:right="79"/>
              <w:rPr>
                <w:sz w:val="24"/>
              </w:rPr>
            </w:pPr>
            <w:r>
              <w:rPr>
                <w:color w:val="212121"/>
                <w:spacing w:val="-2"/>
                <w:sz w:val="24"/>
              </w:rPr>
              <w:t>132.31</w:t>
            </w:r>
          </w:p>
        </w:tc>
        <w:tc>
          <w:tcPr>
            <w:tcW w:w="1785" w:type="dxa"/>
          </w:tcPr>
          <w:p w:rsidR="0022760D" w:rsidRDefault="0022760D" w:rsidP="00C436DF">
            <w:pPr>
              <w:pStyle w:val="TableParagraph"/>
              <w:ind w:right="79"/>
              <w:rPr>
                <w:color w:val="212121"/>
                <w:spacing w:val="-2"/>
                <w:sz w:val="24"/>
              </w:rPr>
            </w:pPr>
            <w:r>
              <w:rPr>
                <w:color w:val="212121"/>
                <w:spacing w:val="-2"/>
                <w:sz w:val="24"/>
              </w:rPr>
              <w:t>10.16</w:t>
            </w:r>
          </w:p>
        </w:tc>
      </w:tr>
      <w:tr w:rsidR="0022760D" w:rsidTr="003E372B">
        <w:trPr>
          <w:trHeight w:val="613"/>
        </w:trPr>
        <w:tc>
          <w:tcPr>
            <w:tcW w:w="558" w:type="dxa"/>
          </w:tcPr>
          <w:p w:rsidR="0022760D" w:rsidRDefault="0022760D" w:rsidP="00C436DF">
            <w:pPr>
              <w:pStyle w:val="TableParagraph"/>
              <w:ind w:right="100"/>
              <w:rPr>
                <w:b/>
                <w:sz w:val="24"/>
              </w:rPr>
            </w:pPr>
            <w:r>
              <w:rPr>
                <w:b/>
                <w:color w:val="212121"/>
                <w:spacing w:val="-5"/>
                <w:sz w:val="24"/>
              </w:rPr>
              <w:t>T6</w:t>
            </w:r>
          </w:p>
        </w:tc>
        <w:tc>
          <w:tcPr>
            <w:tcW w:w="3212" w:type="dxa"/>
          </w:tcPr>
          <w:p w:rsidR="0022760D" w:rsidRDefault="0022760D" w:rsidP="003E372B">
            <w:pPr>
              <w:pStyle w:val="TableParagraph"/>
              <w:ind w:right="94"/>
              <w:rPr>
                <w:sz w:val="24"/>
              </w:rPr>
            </w:pPr>
            <w:r>
              <w:rPr>
                <w:color w:val="212121"/>
                <w:sz w:val="24"/>
              </w:rPr>
              <w:t>60%RDF+Biofertilizer</w:t>
            </w:r>
            <w:r>
              <w:rPr>
                <w:color w:val="212121"/>
                <w:spacing w:val="-2"/>
                <w:sz w:val="24"/>
              </w:rPr>
              <w:t>(</w:t>
            </w:r>
            <w:r w:rsidR="00AA08A8" w:rsidRPr="00AA08A8">
              <w:rPr>
                <w:i/>
                <w:iCs/>
                <w:color w:val="212121"/>
                <w:spacing w:val="-2"/>
                <w:sz w:val="24"/>
              </w:rPr>
              <w:t>Azotobacter</w:t>
            </w:r>
            <w:r w:rsidR="003E372B">
              <w:rPr>
                <w:color w:val="212121"/>
                <w:spacing w:val="-2"/>
                <w:sz w:val="24"/>
              </w:rPr>
              <w:t xml:space="preserve"> +PSB)</w:t>
            </w:r>
          </w:p>
        </w:tc>
        <w:tc>
          <w:tcPr>
            <w:tcW w:w="1375" w:type="dxa"/>
          </w:tcPr>
          <w:p w:rsidR="0022760D" w:rsidRDefault="0022760D" w:rsidP="00C436DF">
            <w:pPr>
              <w:pStyle w:val="TableParagraph"/>
              <w:ind w:right="79"/>
              <w:rPr>
                <w:color w:val="212121"/>
                <w:spacing w:val="-2"/>
                <w:sz w:val="24"/>
              </w:rPr>
            </w:pPr>
            <w:r>
              <w:rPr>
                <w:color w:val="212121"/>
                <w:spacing w:val="-2"/>
                <w:sz w:val="24"/>
              </w:rPr>
              <w:t>7.70</w:t>
            </w:r>
          </w:p>
        </w:tc>
        <w:tc>
          <w:tcPr>
            <w:tcW w:w="1375" w:type="dxa"/>
          </w:tcPr>
          <w:p w:rsidR="0022760D" w:rsidRDefault="0022760D" w:rsidP="00C436DF">
            <w:pPr>
              <w:pStyle w:val="TableParagraph"/>
              <w:ind w:right="79"/>
              <w:rPr>
                <w:color w:val="212121"/>
                <w:spacing w:val="-2"/>
                <w:sz w:val="24"/>
              </w:rPr>
            </w:pPr>
            <w:r>
              <w:rPr>
                <w:color w:val="212121"/>
                <w:spacing w:val="-2"/>
                <w:sz w:val="24"/>
              </w:rPr>
              <w:t>1.46</w:t>
            </w:r>
          </w:p>
        </w:tc>
        <w:tc>
          <w:tcPr>
            <w:tcW w:w="1351" w:type="dxa"/>
          </w:tcPr>
          <w:p w:rsidR="0022760D" w:rsidRDefault="0022760D" w:rsidP="00C436DF">
            <w:pPr>
              <w:pStyle w:val="TableParagraph"/>
              <w:ind w:right="79"/>
              <w:rPr>
                <w:color w:val="212121"/>
                <w:spacing w:val="-2"/>
                <w:sz w:val="24"/>
              </w:rPr>
            </w:pPr>
            <w:r>
              <w:rPr>
                <w:color w:val="212121"/>
                <w:spacing w:val="-2"/>
                <w:sz w:val="24"/>
              </w:rPr>
              <w:t>0.49</w:t>
            </w:r>
          </w:p>
        </w:tc>
        <w:tc>
          <w:tcPr>
            <w:tcW w:w="1616" w:type="dxa"/>
          </w:tcPr>
          <w:p w:rsidR="0022760D" w:rsidRDefault="0022760D" w:rsidP="00C436DF">
            <w:pPr>
              <w:pStyle w:val="TableParagraph"/>
              <w:ind w:right="79"/>
              <w:rPr>
                <w:sz w:val="24"/>
              </w:rPr>
            </w:pPr>
            <w:r>
              <w:rPr>
                <w:color w:val="212121"/>
                <w:spacing w:val="-2"/>
                <w:sz w:val="24"/>
              </w:rPr>
              <w:t>135.42</w:t>
            </w:r>
          </w:p>
        </w:tc>
        <w:tc>
          <w:tcPr>
            <w:tcW w:w="1785" w:type="dxa"/>
          </w:tcPr>
          <w:p w:rsidR="0022760D" w:rsidRDefault="0022760D" w:rsidP="00C436DF">
            <w:pPr>
              <w:pStyle w:val="TableParagraph"/>
              <w:ind w:right="79"/>
              <w:rPr>
                <w:color w:val="212121"/>
                <w:spacing w:val="-2"/>
                <w:sz w:val="24"/>
              </w:rPr>
            </w:pPr>
            <w:r>
              <w:rPr>
                <w:color w:val="212121"/>
                <w:spacing w:val="-2"/>
                <w:sz w:val="24"/>
              </w:rPr>
              <w:t>10.29</w:t>
            </w:r>
          </w:p>
        </w:tc>
      </w:tr>
      <w:tr w:rsidR="0022760D" w:rsidTr="0022760D">
        <w:trPr>
          <w:trHeight w:val="816"/>
        </w:trPr>
        <w:tc>
          <w:tcPr>
            <w:tcW w:w="558" w:type="dxa"/>
          </w:tcPr>
          <w:p w:rsidR="0022760D" w:rsidRDefault="0022760D" w:rsidP="00C436DF">
            <w:pPr>
              <w:pStyle w:val="TableParagraph"/>
              <w:ind w:right="100"/>
              <w:rPr>
                <w:b/>
                <w:sz w:val="24"/>
              </w:rPr>
            </w:pPr>
            <w:r>
              <w:rPr>
                <w:b/>
                <w:color w:val="212121"/>
                <w:spacing w:val="-5"/>
                <w:sz w:val="24"/>
              </w:rPr>
              <w:t>T7</w:t>
            </w:r>
          </w:p>
        </w:tc>
        <w:tc>
          <w:tcPr>
            <w:tcW w:w="3212" w:type="dxa"/>
          </w:tcPr>
          <w:p w:rsidR="0022760D" w:rsidRDefault="0022760D" w:rsidP="003E372B">
            <w:pPr>
              <w:pStyle w:val="TableParagraph"/>
              <w:ind w:left="6" w:right="94"/>
              <w:rPr>
                <w:sz w:val="24"/>
              </w:rPr>
            </w:pPr>
            <w:r>
              <w:rPr>
                <w:color w:val="212121"/>
                <w:sz w:val="24"/>
              </w:rPr>
              <w:t>80%RDF+Vermicompost@2.9t/ha+</w:t>
            </w:r>
            <w:r>
              <w:rPr>
                <w:color w:val="212121"/>
                <w:spacing w:val="-2"/>
                <w:sz w:val="24"/>
              </w:rPr>
              <w:t>Biofertilizer</w:t>
            </w:r>
            <w:r w:rsidR="003E372B">
              <w:rPr>
                <w:color w:val="212121"/>
                <w:sz w:val="24"/>
              </w:rPr>
              <w:t>(</w:t>
            </w:r>
            <w:r w:rsidR="00AA08A8" w:rsidRPr="00AA08A8">
              <w:rPr>
                <w:i/>
                <w:iCs/>
                <w:color w:val="212121"/>
                <w:sz w:val="24"/>
              </w:rPr>
              <w:t>Azotobacter</w:t>
            </w:r>
            <w:r w:rsidR="003E372B">
              <w:rPr>
                <w:color w:val="212121"/>
                <w:sz w:val="24"/>
              </w:rPr>
              <w:t>+</w:t>
            </w:r>
            <w:r w:rsidR="003E372B">
              <w:rPr>
                <w:color w:val="212121"/>
                <w:spacing w:val="-4"/>
                <w:sz w:val="24"/>
              </w:rPr>
              <w:t>PSB)</w:t>
            </w:r>
          </w:p>
        </w:tc>
        <w:tc>
          <w:tcPr>
            <w:tcW w:w="1375" w:type="dxa"/>
          </w:tcPr>
          <w:p w:rsidR="0022760D" w:rsidRDefault="0022760D" w:rsidP="00C436DF">
            <w:pPr>
              <w:pStyle w:val="TableParagraph"/>
              <w:ind w:right="79"/>
              <w:rPr>
                <w:color w:val="212121"/>
                <w:spacing w:val="-2"/>
                <w:sz w:val="24"/>
              </w:rPr>
            </w:pPr>
            <w:r>
              <w:rPr>
                <w:color w:val="212121"/>
                <w:spacing w:val="-2"/>
                <w:sz w:val="24"/>
              </w:rPr>
              <w:t>7.33</w:t>
            </w:r>
          </w:p>
        </w:tc>
        <w:tc>
          <w:tcPr>
            <w:tcW w:w="1375" w:type="dxa"/>
          </w:tcPr>
          <w:p w:rsidR="0022760D" w:rsidRDefault="0022760D" w:rsidP="00C436DF">
            <w:pPr>
              <w:pStyle w:val="TableParagraph"/>
              <w:ind w:right="79"/>
              <w:rPr>
                <w:color w:val="212121"/>
                <w:spacing w:val="-2"/>
                <w:sz w:val="24"/>
              </w:rPr>
            </w:pPr>
            <w:r>
              <w:rPr>
                <w:color w:val="212121"/>
                <w:spacing w:val="-2"/>
                <w:sz w:val="24"/>
              </w:rPr>
              <w:t>1.13</w:t>
            </w:r>
          </w:p>
        </w:tc>
        <w:tc>
          <w:tcPr>
            <w:tcW w:w="1351" w:type="dxa"/>
          </w:tcPr>
          <w:p w:rsidR="0022760D" w:rsidRDefault="0022760D" w:rsidP="00C436DF">
            <w:pPr>
              <w:pStyle w:val="TableParagraph"/>
              <w:ind w:right="79"/>
              <w:rPr>
                <w:color w:val="212121"/>
                <w:spacing w:val="-2"/>
                <w:sz w:val="24"/>
              </w:rPr>
            </w:pPr>
            <w:r>
              <w:rPr>
                <w:color w:val="212121"/>
                <w:spacing w:val="-2"/>
                <w:sz w:val="24"/>
              </w:rPr>
              <w:t>0.58</w:t>
            </w:r>
          </w:p>
        </w:tc>
        <w:tc>
          <w:tcPr>
            <w:tcW w:w="1616" w:type="dxa"/>
          </w:tcPr>
          <w:p w:rsidR="0022760D" w:rsidRDefault="0022760D" w:rsidP="00C436DF">
            <w:pPr>
              <w:pStyle w:val="TableParagraph"/>
              <w:ind w:right="79"/>
              <w:rPr>
                <w:sz w:val="24"/>
              </w:rPr>
            </w:pPr>
            <w:r>
              <w:rPr>
                <w:color w:val="212121"/>
                <w:spacing w:val="-2"/>
                <w:sz w:val="24"/>
              </w:rPr>
              <w:t>155.25</w:t>
            </w:r>
          </w:p>
        </w:tc>
        <w:tc>
          <w:tcPr>
            <w:tcW w:w="1785" w:type="dxa"/>
          </w:tcPr>
          <w:p w:rsidR="0022760D" w:rsidRDefault="0022760D" w:rsidP="00C436DF">
            <w:pPr>
              <w:pStyle w:val="TableParagraph"/>
              <w:ind w:right="79"/>
              <w:rPr>
                <w:color w:val="212121"/>
                <w:spacing w:val="-2"/>
                <w:sz w:val="24"/>
              </w:rPr>
            </w:pPr>
            <w:r>
              <w:rPr>
                <w:color w:val="212121"/>
                <w:spacing w:val="-2"/>
                <w:sz w:val="24"/>
              </w:rPr>
              <w:t>14.51</w:t>
            </w:r>
          </w:p>
        </w:tc>
      </w:tr>
      <w:tr w:rsidR="0022760D" w:rsidTr="0022760D">
        <w:trPr>
          <w:trHeight w:val="819"/>
        </w:trPr>
        <w:tc>
          <w:tcPr>
            <w:tcW w:w="558" w:type="dxa"/>
          </w:tcPr>
          <w:p w:rsidR="0022760D" w:rsidRDefault="0022760D" w:rsidP="00C436DF">
            <w:pPr>
              <w:pStyle w:val="TableParagraph"/>
              <w:spacing w:before="1" w:line="240" w:lineRule="auto"/>
              <w:ind w:right="100"/>
              <w:rPr>
                <w:b/>
                <w:sz w:val="24"/>
              </w:rPr>
            </w:pPr>
            <w:r>
              <w:rPr>
                <w:b/>
                <w:color w:val="212121"/>
                <w:spacing w:val="-5"/>
                <w:sz w:val="24"/>
              </w:rPr>
              <w:t>T8</w:t>
            </w:r>
          </w:p>
        </w:tc>
        <w:tc>
          <w:tcPr>
            <w:tcW w:w="3212" w:type="dxa"/>
          </w:tcPr>
          <w:p w:rsidR="0022760D" w:rsidRDefault="0022760D" w:rsidP="003E372B">
            <w:pPr>
              <w:pStyle w:val="TableParagraph"/>
              <w:spacing w:before="1" w:line="240" w:lineRule="auto"/>
              <w:ind w:left="8" w:right="94"/>
              <w:rPr>
                <w:sz w:val="24"/>
              </w:rPr>
            </w:pPr>
            <w:r>
              <w:rPr>
                <w:color w:val="212121"/>
                <w:sz w:val="24"/>
              </w:rPr>
              <w:t>60%RDF+Vermicompost@3.1t/ha+</w:t>
            </w:r>
            <w:r>
              <w:rPr>
                <w:color w:val="212121"/>
                <w:spacing w:val="-2"/>
                <w:sz w:val="24"/>
              </w:rPr>
              <w:t>Biofertilizer</w:t>
            </w:r>
            <w:r w:rsidR="003E372B">
              <w:rPr>
                <w:color w:val="212121"/>
                <w:sz w:val="24"/>
              </w:rPr>
              <w:t>(</w:t>
            </w:r>
            <w:r w:rsidR="00AA08A8" w:rsidRPr="00AA08A8">
              <w:rPr>
                <w:i/>
                <w:iCs/>
                <w:color w:val="212121"/>
                <w:sz w:val="24"/>
              </w:rPr>
              <w:t>Azotobacter</w:t>
            </w:r>
            <w:r w:rsidR="003E372B">
              <w:rPr>
                <w:color w:val="212121"/>
                <w:sz w:val="24"/>
              </w:rPr>
              <w:t>+</w:t>
            </w:r>
            <w:r w:rsidR="003E372B">
              <w:rPr>
                <w:color w:val="212121"/>
                <w:spacing w:val="-4"/>
                <w:sz w:val="24"/>
              </w:rPr>
              <w:t xml:space="preserve"> PSB)</w:t>
            </w:r>
          </w:p>
        </w:tc>
        <w:tc>
          <w:tcPr>
            <w:tcW w:w="1375" w:type="dxa"/>
          </w:tcPr>
          <w:p w:rsidR="0022760D" w:rsidRDefault="0022760D" w:rsidP="00C436DF">
            <w:pPr>
              <w:pStyle w:val="TableParagraph"/>
              <w:spacing w:before="1" w:line="240" w:lineRule="auto"/>
              <w:ind w:right="79"/>
              <w:rPr>
                <w:color w:val="212121"/>
                <w:spacing w:val="-2"/>
                <w:sz w:val="24"/>
              </w:rPr>
            </w:pPr>
            <w:r>
              <w:rPr>
                <w:color w:val="212121"/>
                <w:spacing w:val="-2"/>
                <w:sz w:val="24"/>
              </w:rPr>
              <w:t>7.57</w:t>
            </w:r>
          </w:p>
        </w:tc>
        <w:tc>
          <w:tcPr>
            <w:tcW w:w="1375" w:type="dxa"/>
          </w:tcPr>
          <w:p w:rsidR="0022760D" w:rsidRDefault="0022760D" w:rsidP="00C436DF">
            <w:pPr>
              <w:pStyle w:val="TableParagraph"/>
              <w:spacing w:before="1" w:line="240" w:lineRule="auto"/>
              <w:ind w:right="79"/>
              <w:rPr>
                <w:color w:val="212121"/>
                <w:spacing w:val="-2"/>
                <w:sz w:val="24"/>
              </w:rPr>
            </w:pPr>
            <w:r>
              <w:rPr>
                <w:color w:val="212121"/>
                <w:spacing w:val="-2"/>
                <w:sz w:val="24"/>
              </w:rPr>
              <w:t>1.3</w:t>
            </w:r>
          </w:p>
        </w:tc>
        <w:tc>
          <w:tcPr>
            <w:tcW w:w="1351" w:type="dxa"/>
          </w:tcPr>
          <w:p w:rsidR="0022760D" w:rsidRDefault="0022760D" w:rsidP="00C436DF">
            <w:pPr>
              <w:pStyle w:val="TableParagraph"/>
              <w:spacing w:before="1" w:line="240" w:lineRule="auto"/>
              <w:ind w:right="79"/>
              <w:rPr>
                <w:color w:val="212121"/>
                <w:spacing w:val="-2"/>
                <w:sz w:val="24"/>
              </w:rPr>
            </w:pPr>
            <w:r>
              <w:rPr>
                <w:color w:val="212121"/>
                <w:spacing w:val="-2"/>
                <w:sz w:val="24"/>
              </w:rPr>
              <w:t>0.55</w:t>
            </w:r>
          </w:p>
        </w:tc>
        <w:tc>
          <w:tcPr>
            <w:tcW w:w="1616" w:type="dxa"/>
          </w:tcPr>
          <w:p w:rsidR="0022760D" w:rsidRDefault="0022760D" w:rsidP="00C436DF">
            <w:pPr>
              <w:pStyle w:val="TableParagraph"/>
              <w:spacing w:before="1" w:line="240" w:lineRule="auto"/>
              <w:ind w:right="79"/>
              <w:rPr>
                <w:sz w:val="24"/>
              </w:rPr>
            </w:pPr>
            <w:r>
              <w:rPr>
                <w:color w:val="212121"/>
                <w:spacing w:val="-2"/>
                <w:sz w:val="24"/>
              </w:rPr>
              <w:t>151.74</w:t>
            </w:r>
          </w:p>
        </w:tc>
        <w:tc>
          <w:tcPr>
            <w:tcW w:w="1785" w:type="dxa"/>
          </w:tcPr>
          <w:p w:rsidR="0022760D" w:rsidRDefault="0022760D" w:rsidP="00C436DF">
            <w:pPr>
              <w:pStyle w:val="TableParagraph"/>
              <w:spacing w:before="1" w:line="240" w:lineRule="auto"/>
              <w:ind w:right="79"/>
              <w:rPr>
                <w:color w:val="212121"/>
                <w:spacing w:val="-2"/>
                <w:sz w:val="24"/>
              </w:rPr>
            </w:pPr>
            <w:r>
              <w:rPr>
                <w:color w:val="212121"/>
                <w:spacing w:val="-2"/>
                <w:sz w:val="24"/>
              </w:rPr>
              <w:t>12.39</w:t>
            </w:r>
          </w:p>
        </w:tc>
      </w:tr>
      <w:tr w:rsidR="0022760D" w:rsidTr="0022760D">
        <w:trPr>
          <w:trHeight w:val="409"/>
        </w:trPr>
        <w:tc>
          <w:tcPr>
            <w:tcW w:w="558" w:type="dxa"/>
          </w:tcPr>
          <w:p w:rsidR="0022760D" w:rsidRDefault="0022760D" w:rsidP="00C436DF">
            <w:pPr>
              <w:pStyle w:val="TableParagraph"/>
              <w:spacing w:line="276" w:lineRule="exact"/>
              <w:ind w:right="100"/>
              <w:rPr>
                <w:b/>
                <w:sz w:val="24"/>
              </w:rPr>
            </w:pPr>
            <w:r>
              <w:rPr>
                <w:b/>
                <w:color w:val="212121"/>
                <w:spacing w:val="-5"/>
                <w:sz w:val="24"/>
              </w:rPr>
              <w:t>T9</w:t>
            </w:r>
          </w:p>
        </w:tc>
        <w:tc>
          <w:tcPr>
            <w:tcW w:w="3212" w:type="dxa"/>
          </w:tcPr>
          <w:p w:rsidR="0022760D" w:rsidRDefault="0022760D" w:rsidP="00C436DF">
            <w:pPr>
              <w:pStyle w:val="TableParagraph"/>
              <w:spacing w:line="276" w:lineRule="exact"/>
              <w:ind w:left="10" w:right="94"/>
              <w:rPr>
                <w:sz w:val="24"/>
              </w:rPr>
            </w:pPr>
            <w:r>
              <w:rPr>
                <w:color w:val="212121"/>
                <w:sz w:val="24"/>
              </w:rPr>
              <w:t>Vermicompost@2.5</w:t>
            </w:r>
            <w:r>
              <w:rPr>
                <w:color w:val="212121"/>
                <w:spacing w:val="-4"/>
                <w:sz w:val="24"/>
              </w:rPr>
              <w:t>t/ha</w:t>
            </w:r>
          </w:p>
        </w:tc>
        <w:tc>
          <w:tcPr>
            <w:tcW w:w="1375" w:type="dxa"/>
          </w:tcPr>
          <w:p w:rsidR="0022760D" w:rsidRDefault="0022760D" w:rsidP="00C436DF">
            <w:pPr>
              <w:pStyle w:val="TableParagraph"/>
              <w:spacing w:line="276" w:lineRule="exact"/>
              <w:ind w:right="79"/>
              <w:rPr>
                <w:color w:val="212121"/>
                <w:spacing w:val="-2"/>
                <w:sz w:val="24"/>
              </w:rPr>
            </w:pPr>
            <w:r>
              <w:rPr>
                <w:color w:val="212121"/>
                <w:spacing w:val="-2"/>
                <w:sz w:val="24"/>
              </w:rPr>
              <w:t>7.74</w:t>
            </w:r>
          </w:p>
        </w:tc>
        <w:tc>
          <w:tcPr>
            <w:tcW w:w="1375" w:type="dxa"/>
          </w:tcPr>
          <w:p w:rsidR="0022760D" w:rsidRDefault="0022760D" w:rsidP="00C436DF">
            <w:pPr>
              <w:pStyle w:val="TableParagraph"/>
              <w:spacing w:line="276" w:lineRule="exact"/>
              <w:ind w:right="79"/>
              <w:rPr>
                <w:color w:val="212121"/>
                <w:spacing w:val="-2"/>
                <w:sz w:val="24"/>
              </w:rPr>
            </w:pPr>
            <w:r>
              <w:rPr>
                <w:color w:val="212121"/>
                <w:spacing w:val="-2"/>
                <w:sz w:val="24"/>
              </w:rPr>
              <w:t>1.53</w:t>
            </w:r>
          </w:p>
        </w:tc>
        <w:tc>
          <w:tcPr>
            <w:tcW w:w="1351" w:type="dxa"/>
          </w:tcPr>
          <w:p w:rsidR="0022760D" w:rsidRDefault="0022760D" w:rsidP="00C436DF">
            <w:pPr>
              <w:pStyle w:val="TableParagraph"/>
              <w:spacing w:line="276" w:lineRule="exact"/>
              <w:ind w:right="79"/>
              <w:rPr>
                <w:color w:val="212121"/>
                <w:spacing w:val="-2"/>
                <w:sz w:val="24"/>
              </w:rPr>
            </w:pPr>
            <w:r>
              <w:rPr>
                <w:color w:val="212121"/>
                <w:spacing w:val="-2"/>
                <w:sz w:val="24"/>
              </w:rPr>
              <w:t>0.46</w:t>
            </w:r>
          </w:p>
        </w:tc>
        <w:tc>
          <w:tcPr>
            <w:tcW w:w="1616" w:type="dxa"/>
          </w:tcPr>
          <w:p w:rsidR="0022760D" w:rsidRDefault="0022760D" w:rsidP="00C436DF">
            <w:pPr>
              <w:pStyle w:val="TableParagraph"/>
              <w:spacing w:line="276" w:lineRule="exact"/>
              <w:ind w:right="79"/>
              <w:rPr>
                <w:sz w:val="24"/>
              </w:rPr>
            </w:pPr>
            <w:r>
              <w:rPr>
                <w:color w:val="212121"/>
                <w:spacing w:val="-2"/>
                <w:sz w:val="24"/>
              </w:rPr>
              <w:t>127.63</w:t>
            </w:r>
          </w:p>
        </w:tc>
        <w:tc>
          <w:tcPr>
            <w:tcW w:w="1785" w:type="dxa"/>
          </w:tcPr>
          <w:p w:rsidR="0022760D" w:rsidRDefault="0022760D" w:rsidP="00C436DF">
            <w:pPr>
              <w:pStyle w:val="TableParagraph"/>
              <w:spacing w:line="276" w:lineRule="exact"/>
              <w:ind w:right="79"/>
              <w:rPr>
                <w:color w:val="212121"/>
                <w:spacing w:val="-2"/>
                <w:sz w:val="24"/>
              </w:rPr>
            </w:pPr>
            <w:r>
              <w:rPr>
                <w:color w:val="212121"/>
                <w:spacing w:val="-2"/>
                <w:sz w:val="24"/>
              </w:rPr>
              <w:t>9.87</w:t>
            </w:r>
          </w:p>
        </w:tc>
      </w:tr>
      <w:tr w:rsidR="0022760D" w:rsidTr="0022760D">
        <w:trPr>
          <w:trHeight w:val="407"/>
        </w:trPr>
        <w:tc>
          <w:tcPr>
            <w:tcW w:w="558" w:type="dxa"/>
          </w:tcPr>
          <w:p w:rsidR="0022760D" w:rsidRDefault="0022760D" w:rsidP="00C436DF">
            <w:pPr>
              <w:pStyle w:val="TableParagraph"/>
              <w:spacing w:line="240" w:lineRule="auto"/>
              <w:jc w:val="left"/>
            </w:pPr>
          </w:p>
        </w:tc>
        <w:tc>
          <w:tcPr>
            <w:tcW w:w="3212" w:type="dxa"/>
          </w:tcPr>
          <w:p w:rsidR="0022760D" w:rsidRDefault="0022760D" w:rsidP="0022760D">
            <w:pPr>
              <w:pStyle w:val="TableParagraph"/>
              <w:rPr>
                <w:sz w:val="24"/>
              </w:rPr>
            </w:pPr>
            <w:r>
              <w:rPr>
                <w:color w:val="212121"/>
                <w:sz w:val="24"/>
              </w:rPr>
              <w:t xml:space="preserve">C.D.at </w:t>
            </w:r>
            <w:r>
              <w:rPr>
                <w:color w:val="212121"/>
                <w:spacing w:val="-5"/>
                <w:sz w:val="24"/>
              </w:rPr>
              <w:t>5%</w:t>
            </w:r>
          </w:p>
        </w:tc>
        <w:tc>
          <w:tcPr>
            <w:tcW w:w="1375" w:type="dxa"/>
          </w:tcPr>
          <w:p w:rsidR="0022760D" w:rsidRDefault="0022760D" w:rsidP="00C436DF">
            <w:pPr>
              <w:pStyle w:val="TableParagraph"/>
              <w:ind w:right="79"/>
              <w:rPr>
                <w:color w:val="212121"/>
                <w:spacing w:val="-4"/>
                <w:sz w:val="24"/>
              </w:rPr>
            </w:pPr>
            <w:r>
              <w:rPr>
                <w:color w:val="212121"/>
                <w:spacing w:val="-4"/>
                <w:sz w:val="24"/>
              </w:rPr>
              <w:t>N/A</w:t>
            </w:r>
          </w:p>
        </w:tc>
        <w:tc>
          <w:tcPr>
            <w:tcW w:w="1375" w:type="dxa"/>
          </w:tcPr>
          <w:p w:rsidR="0022760D" w:rsidRDefault="0022760D" w:rsidP="00C436DF">
            <w:pPr>
              <w:pStyle w:val="TableParagraph"/>
              <w:ind w:right="79"/>
              <w:rPr>
                <w:color w:val="212121"/>
                <w:spacing w:val="-4"/>
                <w:sz w:val="24"/>
              </w:rPr>
            </w:pPr>
            <w:r>
              <w:rPr>
                <w:color w:val="212121"/>
                <w:spacing w:val="-4"/>
                <w:sz w:val="24"/>
              </w:rPr>
              <w:t>N/A</w:t>
            </w:r>
          </w:p>
        </w:tc>
        <w:tc>
          <w:tcPr>
            <w:tcW w:w="1351" w:type="dxa"/>
          </w:tcPr>
          <w:p w:rsidR="0022760D" w:rsidRDefault="0022760D" w:rsidP="00C436DF">
            <w:pPr>
              <w:pStyle w:val="TableParagraph"/>
              <w:ind w:right="79"/>
              <w:rPr>
                <w:color w:val="212121"/>
                <w:spacing w:val="-4"/>
                <w:sz w:val="24"/>
              </w:rPr>
            </w:pPr>
            <w:r>
              <w:rPr>
                <w:color w:val="212121"/>
                <w:spacing w:val="-4"/>
                <w:sz w:val="24"/>
              </w:rPr>
              <w:t>0.02</w:t>
            </w:r>
          </w:p>
        </w:tc>
        <w:tc>
          <w:tcPr>
            <w:tcW w:w="1616" w:type="dxa"/>
          </w:tcPr>
          <w:p w:rsidR="0022760D" w:rsidRDefault="0022760D" w:rsidP="00C436DF">
            <w:pPr>
              <w:pStyle w:val="TableParagraph"/>
              <w:ind w:right="79"/>
              <w:rPr>
                <w:sz w:val="24"/>
              </w:rPr>
            </w:pPr>
            <w:r>
              <w:rPr>
                <w:color w:val="212121"/>
                <w:spacing w:val="-4"/>
                <w:sz w:val="24"/>
              </w:rPr>
              <w:t>5.11</w:t>
            </w:r>
          </w:p>
        </w:tc>
        <w:tc>
          <w:tcPr>
            <w:tcW w:w="1785" w:type="dxa"/>
          </w:tcPr>
          <w:p w:rsidR="0022760D" w:rsidRDefault="0022760D" w:rsidP="00C436DF">
            <w:pPr>
              <w:pStyle w:val="TableParagraph"/>
              <w:ind w:right="79"/>
              <w:rPr>
                <w:color w:val="212121"/>
                <w:spacing w:val="-4"/>
                <w:sz w:val="24"/>
              </w:rPr>
            </w:pPr>
            <w:r>
              <w:rPr>
                <w:color w:val="212121"/>
                <w:spacing w:val="-4"/>
                <w:sz w:val="24"/>
              </w:rPr>
              <w:t>0.35</w:t>
            </w:r>
          </w:p>
        </w:tc>
      </w:tr>
      <w:tr w:rsidR="0022760D" w:rsidTr="0022760D">
        <w:trPr>
          <w:trHeight w:val="408"/>
        </w:trPr>
        <w:tc>
          <w:tcPr>
            <w:tcW w:w="558" w:type="dxa"/>
          </w:tcPr>
          <w:p w:rsidR="0022760D" w:rsidRDefault="0022760D" w:rsidP="00C436DF">
            <w:pPr>
              <w:pStyle w:val="TableParagraph"/>
              <w:spacing w:line="240" w:lineRule="auto"/>
              <w:jc w:val="left"/>
            </w:pPr>
          </w:p>
        </w:tc>
        <w:tc>
          <w:tcPr>
            <w:tcW w:w="3212" w:type="dxa"/>
          </w:tcPr>
          <w:p w:rsidR="0022760D" w:rsidRDefault="0022760D" w:rsidP="00C436DF">
            <w:pPr>
              <w:pStyle w:val="TableParagraph"/>
              <w:spacing w:before="1" w:line="240" w:lineRule="auto"/>
              <w:ind w:left="9" w:right="94"/>
              <w:rPr>
                <w:sz w:val="24"/>
              </w:rPr>
            </w:pPr>
            <w:r>
              <w:rPr>
                <w:color w:val="212121"/>
                <w:sz w:val="24"/>
              </w:rPr>
              <w:t>SE(</w:t>
            </w:r>
            <w:r>
              <w:rPr>
                <w:color w:val="212121"/>
                <w:spacing w:val="-4"/>
                <w:sz w:val="24"/>
              </w:rPr>
              <w:t>m±)</w:t>
            </w:r>
          </w:p>
        </w:tc>
        <w:tc>
          <w:tcPr>
            <w:tcW w:w="1375" w:type="dxa"/>
          </w:tcPr>
          <w:p w:rsidR="0022760D" w:rsidRDefault="0022760D" w:rsidP="00C436DF">
            <w:pPr>
              <w:pStyle w:val="TableParagraph"/>
              <w:spacing w:before="1" w:line="240" w:lineRule="auto"/>
              <w:ind w:right="79"/>
              <w:rPr>
                <w:color w:val="212121"/>
                <w:spacing w:val="-4"/>
                <w:sz w:val="24"/>
              </w:rPr>
            </w:pPr>
            <w:r>
              <w:rPr>
                <w:color w:val="212121"/>
                <w:spacing w:val="-4"/>
                <w:sz w:val="24"/>
              </w:rPr>
              <w:t>0.19</w:t>
            </w:r>
          </w:p>
        </w:tc>
        <w:tc>
          <w:tcPr>
            <w:tcW w:w="1375" w:type="dxa"/>
          </w:tcPr>
          <w:p w:rsidR="0022760D" w:rsidRDefault="0022760D" w:rsidP="00C436DF">
            <w:pPr>
              <w:pStyle w:val="TableParagraph"/>
              <w:spacing w:before="1" w:line="240" w:lineRule="auto"/>
              <w:ind w:right="79"/>
              <w:rPr>
                <w:color w:val="212121"/>
                <w:spacing w:val="-4"/>
                <w:sz w:val="24"/>
              </w:rPr>
            </w:pPr>
            <w:r>
              <w:rPr>
                <w:color w:val="212121"/>
                <w:spacing w:val="-4"/>
                <w:sz w:val="24"/>
              </w:rPr>
              <w:t>0.1</w:t>
            </w:r>
          </w:p>
        </w:tc>
        <w:tc>
          <w:tcPr>
            <w:tcW w:w="1351" w:type="dxa"/>
          </w:tcPr>
          <w:p w:rsidR="0022760D" w:rsidRDefault="0022760D" w:rsidP="00C436DF">
            <w:pPr>
              <w:pStyle w:val="TableParagraph"/>
              <w:spacing w:before="1" w:line="240" w:lineRule="auto"/>
              <w:ind w:right="79"/>
              <w:rPr>
                <w:color w:val="212121"/>
                <w:spacing w:val="-4"/>
                <w:sz w:val="24"/>
              </w:rPr>
            </w:pPr>
            <w:r>
              <w:rPr>
                <w:color w:val="212121"/>
                <w:spacing w:val="-4"/>
                <w:sz w:val="24"/>
              </w:rPr>
              <w:t>0.00</w:t>
            </w:r>
          </w:p>
        </w:tc>
        <w:tc>
          <w:tcPr>
            <w:tcW w:w="1616" w:type="dxa"/>
          </w:tcPr>
          <w:p w:rsidR="0022760D" w:rsidRDefault="0022760D" w:rsidP="00C436DF">
            <w:pPr>
              <w:pStyle w:val="TableParagraph"/>
              <w:spacing w:before="1" w:line="240" w:lineRule="auto"/>
              <w:ind w:right="79"/>
              <w:rPr>
                <w:sz w:val="24"/>
              </w:rPr>
            </w:pPr>
            <w:r>
              <w:rPr>
                <w:color w:val="212121"/>
                <w:spacing w:val="-4"/>
                <w:sz w:val="24"/>
              </w:rPr>
              <w:t>1.69</w:t>
            </w:r>
          </w:p>
        </w:tc>
        <w:tc>
          <w:tcPr>
            <w:tcW w:w="1785" w:type="dxa"/>
          </w:tcPr>
          <w:p w:rsidR="0022760D" w:rsidRDefault="0022760D" w:rsidP="00C436DF">
            <w:pPr>
              <w:pStyle w:val="TableParagraph"/>
              <w:spacing w:before="1" w:line="240" w:lineRule="auto"/>
              <w:ind w:right="79"/>
              <w:rPr>
                <w:color w:val="212121"/>
                <w:spacing w:val="-4"/>
                <w:sz w:val="24"/>
              </w:rPr>
            </w:pPr>
            <w:r>
              <w:rPr>
                <w:color w:val="212121"/>
                <w:spacing w:val="-4"/>
                <w:sz w:val="24"/>
              </w:rPr>
              <w:t>0.11</w:t>
            </w:r>
          </w:p>
        </w:tc>
      </w:tr>
    </w:tbl>
    <w:p w:rsidR="0022760D" w:rsidRPr="00BD5F1D" w:rsidRDefault="0022760D" w:rsidP="00BD5F1D">
      <w:pPr>
        <w:jc w:val="both"/>
        <w:rPr>
          <w:rFonts w:ascii="Times New Roman" w:hAnsi="Times New Roman" w:cs="Times New Roman"/>
          <w:sz w:val="24"/>
          <w:szCs w:val="24"/>
        </w:rPr>
      </w:pPr>
    </w:p>
    <w:p w:rsidR="003E372B" w:rsidRDefault="003E372B" w:rsidP="00AA08A8">
      <w:pPr>
        <w:spacing w:before="74"/>
        <w:jc w:val="both"/>
        <w:rPr>
          <w:b/>
          <w:color w:val="212121"/>
          <w:sz w:val="24"/>
        </w:rPr>
      </w:pPr>
    </w:p>
    <w:p w:rsidR="00BD5F1D" w:rsidRPr="003E372B" w:rsidRDefault="003E372B" w:rsidP="00BD5F1D">
      <w:pPr>
        <w:spacing w:before="74"/>
        <w:ind w:left="23"/>
        <w:jc w:val="both"/>
        <w:rPr>
          <w:rFonts w:ascii="Times New Roman" w:hAnsi="Times New Roman" w:cs="Times New Roman"/>
          <w:b/>
          <w:sz w:val="24"/>
        </w:rPr>
      </w:pPr>
      <w:r w:rsidRPr="003E372B">
        <w:rPr>
          <w:rFonts w:ascii="Times New Roman" w:hAnsi="Times New Roman" w:cs="Times New Roman"/>
          <w:b/>
          <w:color w:val="212121"/>
          <w:sz w:val="24"/>
        </w:rPr>
        <w:t xml:space="preserve">Table 2. </w:t>
      </w:r>
      <w:r w:rsidR="00BD5F1D" w:rsidRPr="003E372B">
        <w:rPr>
          <w:rFonts w:ascii="Times New Roman" w:hAnsi="Times New Roman" w:cs="Times New Roman"/>
          <w:b/>
          <w:color w:val="212121"/>
          <w:sz w:val="24"/>
        </w:rPr>
        <w:t>Theeconomicstudiesofwheatunderdifferent</w:t>
      </w:r>
      <w:r w:rsidR="00BD5F1D" w:rsidRPr="003E372B">
        <w:rPr>
          <w:rFonts w:ascii="Times New Roman" w:hAnsi="Times New Roman" w:cs="Times New Roman"/>
          <w:b/>
          <w:color w:val="212121"/>
          <w:spacing w:val="-2"/>
          <w:sz w:val="24"/>
        </w:rPr>
        <w:t>treatments</w:t>
      </w:r>
    </w:p>
    <w:p w:rsidR="00BD5F1D" w:rsidRDefault="00BD5F1D" w:rsidP="00BD5F1D">
      <w:pPr>
        <w:pStyle w:val="BodyText"/>
        <w:spacing w:before="69"/>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726"/>
        <w:gridCol w:w="4580"/>
        <w:gridCol w:w="1235"/>
        <w:gridCol w:w="880"/>
        <w:gridCol w:w="889"/>
        <w:gridCol w:w="726"/>
      </w:tblGrid>
      <w:tr w:rsidR="00BD5F1D" w:rsidTr="003E372B">
        <w:trPr>
          <w:trHeight w:val="1242"/>
        </w:trPr>
        <w:tc>
          <w:tcPr>
            <w:tcW w:w="401" w:type="pct"/>
          </w:tcPr>
          <w:p w:rsidR="00BD5F1D" w:rsidRDefault="00BD5F1D" w:rsidP="00C26A9C">
            <w:pPr>
              <w:pStyle w:val="TableParagraph"/>
              <w:ind w:right="93"/>
              <w:rPr>
                <w:b/>
                <w:sz w:val="24"/>
              </w:rPr>
            </w:pPr>
            <w:r>
              <w:rPr>
                <w:b/>
                <w:color w:val="212121"/>
                <w:spacing w:val="-2"/>
                <w:sz w:val="24"/>
              </w:rPr>
              <w:t>Sl.no.</w:t>
            </w:r>
          </w:p>
        </w:tc>
        <w:tc>
          <w:tcPr>
            <w:tcW w:w="2533" w:type="pct"/>
          </w:tcPr>
          <w:p w:rsidR="00BD5F1D" w:rsidRDefault="00BD5F1D" w:rsidP="00C26A9C">
            <w:pPr>
              <w:pStyle w:val="TableParagraph"/>
              <w:ind w:left="2" w:right="104"/>
              <w:rPr>
                <w:b/>
                <w:sz w:val="24"/>
              </w:rPr>
            </w:pPr>
            <w:r>
              <w:rPr>
                <w:b/>
                <w:color w:val="212121"/>
                <w:spacing w:val="-2"/>
                <w:sz w:val="24"/>
              </w:rPr>
              <w:t>Treatment</w:t>
            </w:r>
          </w:p>
        </w:tc>
        <w:tc>
          <w:tcPr>
            <w:tcW w:w="683" w:type="pct"/>
          </w:tcPr>
          <w:p w:rsidR="00BD5F1D" w:rsidRDefault="00BD5F1D" w:rsidP="00C26A9C">
            <w:pPr>
              <w:pStyle w:val="TableParagraph"/>
              <w:ind w:left="53" w:right="3"/>
              <w:rPr>
                <w:b/>
                <w:sz w:val="24"/>
              </w:rPr>
            </w:pPr>
            <w:r>
              <w:rPr>
                <w:b/>
                <w:color w:val="212121"/>
                <w:sz w:val="24"/>
              </w:rPr>
              <w:t>Cost</w:t>
            </w:r>
            <w:r>
              <w:rPr>
                <w:b/>
                <w:color w:val="212121"/>
                <w:spacing w:val="-5"/>
                <w:sz w:val="24"/>
              </w:rPr>
              <w:t>of</w:t>
            </w:r>
          </w:p>
          <w:p w:rsidR="00BD5F1D" w:rsidRDefault="00BD5F1D" w:rsidP="00C26A9C">
            <w:pPr>
              <w:pStyle w:val="TableParagraph"/>
              <w:spacing w:before="5" w:line="410" w:lineRule="atLeast"/>
              <w:ind w:left="53"/>
              <w:rPr>
                <w:b/>
                <w:sz w:val="24"/>
              </w:rPr>
            </w:pPr>
            <w:r>
              <w:rPr>
                <w:b/>
                <w:color w:val="212121"/>
                <w:spacing w:val="-2"/>
                <w:sz w:val="24"/>
              </w:rPr>
              <w:t>cultivation (Rs/ha)</w:t>
            </w:r>
          </w:p>
        </w:tc>
        <w:tc>
          <w:tcPr>
            <w:tcW w:w="487" w:type="pct"/>
          </w:tcPr>
          <w:p w:rsidR="00BD5F1D" w:rsidRDefault="00BD5F1D" w:rsidP="00C26A9C">
            <w:pPr>
              <w:pStyle w:val="TableParagraph"/>
              <w:ind w:left="39" w:firstLine="33"/>
              <w:jc w:val="left"/>
              <w:rPr>
                <w:b/>
                <w:sz w:val="24"/>
              </w:rPr>
            </w:pPr>
            <w:r>
              <w:rPr>
                <w:b/>
                <w:color w:val="212121"/>
                <w:spacing w:val="-4"/>
                <w:sz w:val="24"/>
              </w:rPr>
              <w:t>Gross</w:t>
            </w:r>
          </w:p>
          <w:p w:rsidR="00BD5F1D" w:rsidRDefault="00BD5F1D" w:rsidP="00C26A9C">
            <w:pPr>
              <w:pStyle w:val="TableParagraph"/>
              <w:spacing w:before="5" w:line="410" w:lineRule="atLeast"/>
              <w:ind w:left="-2" w:right="93" w:firstLine="40"/>
              <w:jc w:val="left"/>
              <w:rPr>
                <w:b/>
                <w:sz w:val="24"/>
              </w:rPr>
            </w:pPr>
            <w:r>
              <w:rPr>
                <w:b/>
                <w:color w:val="212121"/>
                <w:spacing w:val="-2"/>
                <w:sz w:val="24"/>
              </w:rPr>
              <w:t>return (Rs/ha)</w:t>
            </w:r>
          </w:p>
        </w:tc>
        <w:tc>
          <w:tcPr>
            <w:tcW w:w="492" w:type="pct"/>
          </w:tcPr>
          <w:p w:rsidR="00BD5F1D" w:rsidRDefault="00BD5F1D" w:rsidP="00C26A9C">
            <w:pPr>
              <w:pStyle w:val="TableParagraph"/>
              <w:ind w:left="6" w:right="95"/>
              <w:rPr>
                <w:b/>
                <w:sz w:val="24"/>
              </w:rPr>
            </w:pPr>
            <w:r>
              <w:rPr>
                <w:b/>
                <w:color w:val="212121"/>
                <w:spacing w:val="-5"/>
                <w:sz w:val="24"/>
              </w:rPr>
              <w:t>Net</w:t>
            </w:r>
          </w:p>
          <w:p w:rsidR="00BD5F1D" w:rsidRDefault="00BD5F1D" w:rsidP="00C26A9C">
            <w:pPr>
              <w:pStyle w:val="TableParagraph"/>
              <w:spacing w:before="5" w:line="410" w:lineRule="atLeast"/>
              <w:ind w:left="8" w:right="94" w:hanging="4"/>
              <w:rPr>
                <w:b/>
                <w:sz w:val="24"/>
              </w:rPr>
            </w:pPr>
            <w:r>
              <w:rPr>
                <w:b/>
                <w:color w:val="212121"/>
                <w:spacing w:val="-2"/>
                <w:sz w:val="24"/>
              </w:rPr>
              <w:t>return (Rs/ha)</w:t>
            </w:r>
          </w:p>
        </w:tc>
        <w:tc>
          <w:tcPr>
            <w:tcW w:w="402" w:type="pct"/>
          </w:tcPr>
          <w:p w:rsidR="00BD5F1D" w:rsidRDefault="00BD5F1D" w:rsidP="00C26A9C">
            <w:pPr>
              <w:pStyle w:val="TableParagraph"/>
              <w:ind w:left="97"/>
              <w:jc w:val="left"/>
              <w:rPr>
                <w:b/>
                <w:sz w:val="24"/>
              </w:rPr>
            </w:pPr>
            <w:r>
              <w:rPr>
                <w:b/>
                <w:color w:val="212121"/>
                <w:spacing w:val="-5"/>
                <w:sz w:val="24"/>
              </w:rPr>
              <w:t>B:C</w:t>
            </w:r>
          </w:p>
          <w:p w:rsidR="00BD5F1D" w:rsidRDefault="00BD5F1D" w:rsidP="00C26A9C">
            <w:pPr>
              <w:pStyle w:val="TableParagraph"/>
              <w:spacing w:before="139" w:line="240" w:lineRule="auto"/>
              <w:ind w:left="23"/>
              <w:jc w:val="left"/>
              <w:rPr>
                <w:b/>
                <w:sz w:val="24"/>
              </w:rPr>
            </w:pPr>
            <w:r>
              <w:rPr>
                <w:b/>
                <w:color w:val="212121"/>
                <w:spacing w:val="-2"/>
                <w:sz w:val="24"/>
              </w:rPr>
              <w:t>Ratio</w:t>
            </w:r>
          </w:p>
        </w:tc>
      </w:tr>
      <w:tr w:rsidR="00BD5F1D" w:rsidTr="003E372B">
        <w:trPr>
          <w:trHeight w:val="568"/>
        </w:trPr>
        <w:tc>
          <w:tcPr>
            <w:tcW w:w="401" w:type="pct"/>
          </w:tcPr>
          <w:p w:rsidR="00BD5F1D" w:rsidRDefault="00BD5F1D" w:rsidP="00C26A9C">
            <w:pPr>
              <w:pStyle w:val="TableParagraph"/>
              <w:ind w:right="93"/>
              <w:rPr>
                <w:b/>
                <w:sz w:val="24"/>
              </w:rPr>
            </w:pPr>
            <w:r>
              <w:rPr>
                <w:b/>
                <w:color w:val="212121"/>
                <w:spacing w:val="-5"/>
                <w:sz w:val="24"/>
              </w:rPr>
              <w:t>T1</w:t>
            </w:r>
          </w:p>
        </w:tc>
        <w:tc>
          <w:tcPr>
            <w:tcW w:w="2533" w:type="pct"/>
          </w:tcPr>
          <w:p w:rsidR="00BD5F1D" w:rsidRDefault="00BD5F1D" w:rsidP="00C26A9C">
            <w:pPr>
              <w:pStyle w:val="TableParagraph"/>
              <w:ind w:left="4" w:right="104"/>
              <w:rPr>
                <w:sz w:val="24"/>
              </w:rPr>
            </w:pPr>
            <w:r>
              <w:rPr>
                <w:color w:val="212121"/>
                <w:spacing w:val="-2"/>
                <w:sz w:val="24"/>
              </w:rPr>
              <w:t>Control</w:t>
            </w:r>
          </w:p>
        </w:tc>
        <w:tc>
          <w:tcPr>
            <w:tcW w:w="683" w:type="pct"/>
          </w:tcPr>
          <w:p w:rsidR="00BD5F1D" w:rsidRDefault="00BD5F1D" w:rsidP="00C26A9C">
            <w:pPr>
              <w:pStyle w:val="TableParagraph"/>
              <w:ind w:left="242"/>
              <w:jc w:val="left"/>
              <w:rPr>
                <w:sz w:val="24"/>
              </w:rPr>
            </w:pPr>
            <w:r>
              <w:rPr>
                <w:color w:val="212121"/>
                <w:spacing w:val="-2"/>
                <w:sz w:val="24"/>
              </w:rPr>
              <w:t>22440</w:t>
            </w:r>
          </w:p>
        </w:tc>
        <w:tc>
          <w:tcPr>
            <w:tcW w:w="487" w:type="pct"/>
          </w:tcPr>
          <w:p w:rsidR="00BD5F1D" w:rsidRDefault="00BD5F1D" w:rsidP="00C26A9C">
            <w:pPr>
              <w:pStyle w:val="TableParagraph"/>
              <w:ind w:right="100"/>
              <w:rPr>
                <w:sz w:val="24"/>
              </w:rPr>
            </w:pPr>
            <w:r>
              <w:rPr>
                <w:color w:val="212121"/>
                <w:spacing w:val="-2"/>
                <w:sz w:val="24"/>
              </w:rPr>
              <w:t>35700</w:t>
            </w:r>
          </w:p>
        </w:tc>
        <w:tc>
          <w:tcPr>
            <w:tcW w:w="492" w:type="pct"/>
          </w:tcPr>
          <w:p w:rsidR="00BD5F1D" w:rsidRDefault="00BD5F1D" w:rsidP="00C26A9C">
            <w:pPr>
              <w:pStyle w:val="TableParagraph"/>
              <w:ind w:right="169"/>
              <w:jc w:val="right"/>
              <w:rPr>
                <w:sz w:val="24"/>
              </w:rPr>
            </w:pPr>
            <w:r>
              <w:rPr>
                <w:color w:val="212121"/>
                <w:spacing w:val="-2"/>
                <w:sz w:val="24"/>
              </w:rPr>
              <w:t>13260</w:t>
            </w:r>
          </w:p>
        </w:tc>
        <w:tc>
          <w:tcPr>
            <w:tcW w:w="402" w:type="pct"/>
          </w:tcPr>
          <w:p w:rsidR="00BD5F1D" w:rsidRDefault="00BD5F1D" w:rsidP="00C26A9C">
            <w:pPr>
              <w:pStyle w:val="TableParagraph"/>
              <w:ind w:right="87"/>
              <w:rPr>
                <w:sz w:val="24"/>
              </w:rPr>
            </w:pPr>
            <w:r>
              <w:rPr>
                <w:color w:val="212121"/>
                <w:spacing w:val="-4"/>
                <w:sz w:val="24"/>
              </w:rPr>
              <w:t>0.59</w:t>
            </w:r>
          </w:p>
        </w:tc>
      </w:tr>
      <w:tr w:rsidR="00BD5F1D" w:rsidTr="003E372B">
        <w:trPr>
          <w:trHeight w:val="827"/>
        </w:trPr>
        <w:tc>
          <w:tcPr>
            <w:tcW w:w="401" w:type="pct"/>
          </w:tcPr>
          <w:p w:rsidR="00BD5F1D" w:rsidRDefault="00BD5F1D" w:rsidP="00C26A9C">
            <w:pPr>
              <w:pStyle w:val="TableParagraph"/>
              <w:ind w:right="93"/>
              <w:rPr>
                <w:b/>
                <w:sz w:val="24"/>
              </w:rPr>
            </w:pPr>
            <w:r>
              <w:rPr>
                <w:b/>
                <w:color w:val="212121"/>
                <w:spacing w:val="-5"/>
                <w:sz w:val="24"/>
              </w:rPr>
              <w:t>T2</w:t>
            </w:r>
          </w:p>
        </w:tc>
        <w:tc>
          <w:tcPr>
            <w:tcW w:w="2533" w:type="pct"/>
          </w:tcPr>
          <w:p w:rsidR="00BD5F1D" w:rsidRDefault="00BD5F1D" w:rsidP="00C26A9C">
            <w:pPr>
              <w:pStyle w:val="TableParagraph"/>
              <w:ind w:left="1" w:right="104"/>
              <w:rPr>
                <w:sz w:val="24"/>
              </w:rPr>
            </w:pPr>
            <w:r>
              <w:rPr>
                <w:color w:val="212121"/>
                <w:sz w:val="24"/>
              </w:rPr>
              <w:t xml:space="preserve">100%RDF(120 kg N/ha, 60%kg P/ha, </w:t>
            </w:r>
            <w:r>
              <w:rPr>
                <w:color w:val="212121"/>
                <w:spacing w:val="-5"/>
                <w:sz w:val="24"/>
              </w:rPr>
              <w:t>40</w:t>
            </w:r>
          </w:p>
          <w:p w:rsidR="00BD5F1D" w:rsidRDefault="00BD5F1D" w:rsidP="00C26A9C">
            <w:pPr>
              <w:pStyle w:val="TableParagraph"/>
              <w:spacing w:before="137" w:line="240" w:lineRule="auto"/>
              <w:ind w:right="104"/>
              <w:rPr>
                <w:sz w:val="24"/>
              </w:rPr>
            </w:pPr>
            <w:r>
              <w:rPr>
                <w:color w:val="212121"/>
                <w:sz w:val="24"/>
              </w:rPr>
              <w:t xml:space="preserve">kg </w:t>
            </w:r>
            <w:r>
              <w:rPr>
                <w:color w:val="212121"/>
                <w:spacing w:val="-2"/>
                <w:sz w:val="24"/>
              </w:rPr>
              <w:t>K/ha)</w:t>
            </w:r>
          </w:p>
        </w:tc>
        <w:tc>
          <w:tcPr>
            <w:tcW w:w="683" w:type="pct"/>
          </w:tcPr>
          <w:p w:rsidR="00BD5F1D" w:rsidRDefault="00BD5F1D" w:rsidP="00C26A9C">
            <w:pPr>
              <w:pStyle w:val="TableParagraph"/>
              <w:ind w:left="242"/>
              <w:jc w:val="left"/>
              <w:rPr>
                <w:sz w:val="24"/>
              </w:rPr>
            </w:pPr>
            <w:r>
              <w:rPr>
                <w:color w:val="212121"/>
                <w:spacing w:val="-2"/>
                <w:sz w:val="24"/>
              </w:rPr>
              <w:t>28080</w:t>
            </w:r>
          </w:p>
        </w:tc>
        <w:tc>
          <w:tcPr>
            <w:tcW w:w="487" w:type="pct"/>
          </w:tcPr>
          <w:p w:rsidR="00BD5F1D" w:rsidRDefault="00BD5F1D" w:rsidP="00C26A9C">
            <w:pPr>
              <w:pStyle w:val="TableParagraph"/>
              <w:ind w:right="100"/>
              <w:rPr>
                <w:sz w:val="24"/>
              </w:rPr>
            </w:pPr>
            <w:r>
              <w:rPr>
                <w:color w:val="212121"/>
                <w:spacing w:val="-2"/>
                <w:sz w:val="24"/>
              </w:rPr>
              <w:t>65025</w:t>
            </w:r>
          </w:p>
        </w:tc>
        <w:tc>
          <w:tcPr>
            <w:tcW w:w="492" w:type="pct"/>
          </w:tcPr>
          <w:p w:rsidR="00BD5F1D" w:rsidRDefault="00BD5F1D" w:rsidP="00C26A9C">
            <w:pPr>
              <w:pStyle w:val="TableParagraph"/>
              <w:ind w:right="169"/>
              <w:jc w:val="right"/>
              <w:rPr>
                <w:sz w:val="24"/>
              </w:rPr>
            </w:pPr>
            <w:r>
              <w:rPr>
                <w:color w:val="212121"/>
                <w:spacing w:val="-2"/>
                <w:sz w:val="24"/>
              </w:rPr>
              <w:t>36945</w:t>
            </w:r>
          </w:p>
        </w:tc>
        <w:tc>
          <w:tcPr>
            <w:tcW w:w="402" w:type="pct"/>
          </w:tcPr>
          <w:p w:rsidR="00BD5F1D" w:rsidRDefault="00BD5F1D" w:rsidP="00C26A9C">
            <w:pPr>
              <w:pStyle w:val="TableParagraph"/>
              <w:ind w:right="87"/>
              <w:rPr>
                <w:sz w:val="24"/>
              </w:rPr>
            </w:pPr>
            <w:r>
              <w:rPr>
                <w:color w:val="212121"/>
                <w:spacing w:val="-4"/>
                <w:sz w:val="24"/>
              </w:rPr>
              <w:t>1.32</w:t>
            </w:r>
          </w:p>
        </w:tc>
      </w:tr>
      <w:tr w:rsidR="00BD5F1D" w:rsidTr="003E372B">
        <w:trPr>
          <w:trHeight w:val="569"/>
        </w:trPr>
        <w:tc>
          <w:tcPr>
            <w:tcW w:w="401" w:type="pct"/>
          </w:tcPr>
          <w:p w:rsidR="00BD5F1D" w:rsidRDefault="00BD5F1D" w:rsidP="00C26A9C">
            <w:pPr>
              <w:pStyle w:val="TableParagraph"/>
              <w:ind w:right="93"/>
              <w:rPr>
                <w:b/>
                <w:sz w:val="24"/>
              </w:rPr>
            </w:pPr>
            <w:r>
              <w:rPr>
                <w:b/>
                <w:color w:val="212121"/>
                <w:spacing w:val="-5"/>
                <w:sz w:val="24"/>
              </w:rPr>
              <w:t>T3</w:t>
            </w:r>
          </w:p>
        </w:tc>
        <w:tc>
          <w:tcPr>
            <w:tcW w:w="2533" w:type="pct"/>
          </w:tcPr>
          <w:p w:rsidR="00BD5F1D" w:rsidRDefault="00BD5F1D" w:rsidP="00C26A9C">
            <w:pPr>
              <w:pStyle w:val="TableParagraph"/>
              <w:ind w:left="3" w:right="104"/>
              <w:rPr>
                <w:sz w:val="24"/>
              </w:rPr>
            </w:pPr>
            <w:r>
              <w:rPr>
                <w:color w:val="212121"/>
                <w:sz w:val="24"/>
              </w:rPr>
              <w:t>80%RDF+Vermicompost@2.9</w:t>
            </w:r>
            <w:r>
              <w:rPr>
                <w:color w:val="212121"/>
                <w:spacing w:val="-4"/>
                <w:sz w:val="24"/>
              </w:rPr>
              <w:t xml:space="preserve"> t/ha</w:t>
            </w:r>
          </w:p>
        </w:tc>
        <w:tc>
          <w:tcPr>
            <w:tcW w:w="683" w:type="pct"/>
          </w:tcPr>
          <w:p w:rsidR="00BD5F1D" w:rsidRDefault="00BD5F1D" w:rsidP="00C26A9C">
            <w:pPr>
              <w:pStyle w:val="TableParagraph"/>
              <w:ind w:left="242"/>
              <w:jc w:val="left"/>
              <w:rPr>
                <w:sz w:val="24"/>
              </w:rPr>
            </w:pPr>
            <w:r>
              <w:rPr>
                <w:color w:val="212121"/>
                <w:spacing w:val="-2"/>
                <w:sz w:val="24"/>
              </w:rPr>
              <w:t>29885</w:t>
            </w:r>
          </w:p>
        </w:tc>
        <w:tc>
          <w:tcPr>
            <w:tcW w:w="487" w:type="pct"/>
          </w:tcPr>
          <w:p w:rsidR="00BD5F1D" w:rsidRDefault="00BD5F1D" w:rsidP="00C26A9C">
            <w:pPr>
              <w:pStyle w:val="TableParagraph"/>
              <w:ind w:right="100"/>
              <w:rPr>
                <w:sz w:val="24"/>
              </w:rPr>
            </w:pPr>
            <w:r>
              <w:rPr>
                <w:color w:val="212121"/>
                <w:spacing w:val="-2"/>
                <w:sz w:val="24"/>
              </w:rPr>
              <w:t>61412</w:t>
            </w:r>
          </w:p>
        </w:tc>
        <w:tc>
          <w:tcPr>
            <w:tcW w:w="492" w:type="pct"/>
          </w:tcPr>
          <w:p w:rsidR="00BD5F1D" w:rsidRDefault="00BD5F1D" w:rsidP="00C26A9C">
            <w:pPr>
              <w:pStyle w:val="TableParagraph"/>
              <w:ind w:right="169"/>
              <w:jc w:val="right"/>
              <w:rPr>
                <w:sz w:val="24"/>
              </w:rPr>
            </w:pPr>
            <w:r>
              <w:rPr>
                <w:color w:val="212121"/>
                <w:spacing w:val="-2"/>
                <w:sz w:val="24"/>
              </w:rPr>
              <w:t>31527</w:t>
            </w:r>
          </w:p>
        </w:tc>
        <w:tc>
          <w:tcPr>
            <w:tcW w:w="402" w:type="pct"/>
          </w:tcPr>
          <w:p w:rsidR="00BD5F1D" w:rsidRDefault="00BD5F1D" w:rsidP="00C26A9C">
            <w:pPr>
              <w:pStyle w:val="TableParagraph"/>
              <w:ind w:right="87"/>
              <w:rPr>
                <w:sz w:val="24"/>
              </w:rPr>
            </w:pPr>
            <w:r>
              <w:rPr>
                <w:color w:val="212121"/>
                <w:spacing w:val="-4"/>
                <w:sz w:val="24"/>
              </w:rPr>
              <w:t>1.05</w:t>
            </w:r>
          </w:p>
        </w:tc>
      </w:tr>
      <w:tr w:rsidR="00BD5F1D" w:rsidTr="003E372B">
        <w:trPr>
          <w:trHeight w:val="827"/>
        </w:trPr>
        <w:tc>
          <w:tcPr>
            <w:tcW w:w="401" w:type="pct"/>
          </w:tcPr>
          <w:p w:rsidR="00BD5F1D" w:rsidRDefault="00BD5F1D" w:rsidP="00C26A9C">
            <w:pPr>
              <w:pStyle w:val="TableParagraph"/>
              <w:ind w:right="93"/>
              <w:rPr>
                <w:b/>
                <w:sz w:val="24"/>
              </w:rPr>
            </w:pPr>
            <w:r>
              <w:rPr>
                <w:b/>
                <w:color w:val="212121"/>
                <w:spacing w:val="-5"/>
                <w:sz w:val="24"/>
              </w:rPr>
              <w:t>T4</w:t>
            </w:r>
          </w:p>
        </w:tc>
        <w:tc>
          <w:tcPr>
            <w:tcW w:w="2533" w:type="pct"/>
          </w:tcPr>
          <w:p w:rsidR="00BD5F1D" w:rsidRDefault="00BD5F1D" w:rsidP="00C26A9C">
            <w:pPr>
              <w:pStyle w:val="TableParagraph"/>
              <w:ind w:left="4" w:right="104"/>
              <w:rPr>
                <w:sz w:val="24"/>
              </w:rPr>
            </w:pPr>
            <w:r>
              <w:rPr>
                <w:color w:val="212121"/>
                <w:sz w:val="24"/>
              </w:rPr>
              <w:t>80%RDF+Biofertilizer (</w:t>
            </w:r>
            <w:r w:rsidR="00AA08A8" w:rsidRPr="00AA08A8">
              <w:rPr>
                <w:i/>
                <w:iCs/>
                <w:color w:val="212121"/>
                <w:sz w:val="24"/>
              </w:rPr>
              <w:t>Azotobacter</w:t>
            </w:r>
            <w:r>
              <w:rPr>
                <w:color w:val="212121"/>
                <w:spacing w:val="-10"/>
                <w:sz w:val="24"/>
              </w:rPr>
              <w:t>+</w:t>
            </w:r>
          </w:p>
          <w:p w:rsidR="00BD5F1D" w:rsidRDefault="00BD5F1D" w:rsidP="00C26A9C">
            <w:pPr>
              <w:pStyle w:val="TableParagraph"/>
              <w:spacing w:before="137" w:line="240" w:lineRule="auto"/>
              <w:ind w:left="4" w:right="104"/>
              <w:rPr>
                <w:sz w:val="24"/>
              </w:rPr>
            </w:pPr>
            <w:r>
              <w:rPr>
                <w:color w:val="212121"/>
                <w:spacing w:val="-4"/>
                <w:sz w:val="24"/>
              </w:rPr>
              <w:t>PSB)</w:t>
            </w:r>
          </w:p>
        </w:tc>
        <w:tc>
          <w:tcPr>
            <w:tcW w:w="683" w:type="pct"/>
          </w:tcPr>
          <w:p w:rsidR="00BD5F1D" w:rsidRDefault="00BD5F1D" w:rsidP="00C26A9C">
            <w:pPr>
              <w:pStyle w:val="TableParagraph"/>
              <w:ind w:left="242"/>
              <w:jc w:val="left"/>
              <w:rPr>
                <w:sz w:val="24"/>
              </w:rPr>
            </w:pPr>
            <w:r>
              <w:rPr>
                <w:color w:val="212121"/>
                <w:spacing w:val="-2"/>
                <w:sz w:val="24"/>
              </w:rPr>
              <w:t>30255</w:t>
            </w:r>
          </w:p>
        </w:tc>
        <w:tc>
          <w:tcPr>
            <w:tcW w:w="487" w:type="pct"/>
          </w:tcPr>
          <w:p w:rsidR="00BD5F1D" w:rsidRDefault="00BD5F1D" w:rsidP="00C26A9C">
            <w:pPr>
              <w:pStyle w:val="TableParagraph"/>
              <w:ind w:right="100"/>
              <w:rPr>
                <w:sz w:val="24"/>
              </w:rPr>
            </w:pPr>
            <w:r>
              <w:rPr>
                <w:color w:val="212121"/>
                <w:spacing w:val="-4"/>
                <w:sz w:val="24"/>
              </w:rPr>
              <w:t>63112</w:t>
            </w:r>
          </w:p>
        </w:tc>
        <w:tc>
          <w:tcPr>
            <w:tcW w:w="492" w:type="pct"/>
          </w:tcPr>
          <w:p w:rsidR="00BD5F1D" w:rsidRDefault="00BD5F1D" w:rsidP="00C26A9C">
            <w:pPr>
              <w:pStyle w:val="TableParagraph"/>
              <w:ind w:right="169"/>
              <w:jc w:val="right"/>
              <w:rPr>
                <w:sz w:val="24"/>
              </w:rPr>
            </w:pPr>
            <w:r>
              <w:rPr>
                <w:color w:val="212121"/>
                <w:spacing w:val="-2"/>
                <w:sz w:val="24"/>
              </w:rPr>
              <w:t>32857</w:t>
            </w:r>
          </w:p>
        </w:tc>
        <w:tc>
          <w:tcPr>
            <w:tcW w:w="402" w:type="pct"/>
          </w:tcPr>
          <w:p w:rsidR="00BD5F1D" w:rsidRDefault="00BD5F1D" w:rsidP="00C26A9C">
            <w:pPr>
              <w:pStyle w:val="TableParagraph"/>
              <w:ind w:right="87"/>
              <w:rPr>
                <w:sz w:val="24"/>
              </w:rPr>
            </w:pPr>
            <w:r>
              <w:rPr>
                <w:color w:val="212121"/>
                <w:spacing w:val="-4"/>
                <w:sz w:val="24"/>
              </w:rPr>
              <w:t>1.09</w:t>
            </w:r>
          </w:p>
        </w:tc>
      </w:tr>
      <w:tr w:rsidR="00BD5F1D" w:rsidTr="003E372B">
        <w:trPr>
          <w:trHeight w:val="568"/>
        </w:trPr>
        <w:tc>
          <w:tcPr>
            <w:tcW w:w="401" w:type="pct"/>
          </w:tcPr>
          <w:p w:rsidR="00BD5F1D" w:rsidRDefault="00BD5F1D" w:rsidP="00C26A9C">
            <w:pPr>
              <w:pStyle w:val="TableParagraph"/>
              <w:ind w:right="93"/>
              <w:rPr>
                <w:b/>
                <w:sz w:val="24"/>
              </w:rPr>
            </w:pPr>
            <w:r>
              <w:rPr>
                <w:b/>
                <w:color w:val="212121"/>
                <w:spacing w:val="-5"/>
                <w:sz w:val="24"/>
              </w:rPr>
              <w:t>T5</w:t>
            </w:r>
          </w:p>
        </w:tc>
        <w:tc>
          <w:tcPr>
            <w:tcW w:w="2533" w:type="pct"/>
          </w:tcPr>
          <w:p w:rsidR="00BD5F1D" w:rsidRDefault="00BD5F1D" w:rsidP="00C26A9C">
            <w:pPr>
              <w:pStyle w:val="TableParagraph"/>
              <w:ind w:left="4" w:right="104"/>
              <w:rPr>
                <w:sz w:val="24"/>
              </w:rPr>
            </w:pPr>
            <w:r>
              <w:rPr>
                <w:color w:val="212121"/>
                <w:sz w:val="24"/>
              </w:rPr>
              <w:t>60%RDF+Vermicompost@3.1</w:t>
            </w:r>
            <w:r>
              <w:rPr>
                <w:color w:val="212121"/>
                <w:spacing w:val="-4"/>
                <w:sz w:val="24"/>
              </w:rPr>
              <w:t xml:space="preserve"> t/ha</w:t>
            </w:r>
          </w:p>
        </w:tc>
        <w:tc>
          <w:tcPr>
            <w:tcW w:w="683" w:type="pct"/>
          </w:tcPr>
          <w:p w:rsidR="00BD5F1D" w:rsidRDefault="00BD5F1D" w:rsidP="00C26A9C">
            <w:pPr>
              <w:pStyle w:val="TableParagraph"/>
              <w:ind w:left="242"/>
              <w:jc w:val="left"/>
              <w:rPr>
                <w:sz w:val="24"/>
              </w:rPr>
            </w:pPr>
            <w:r>
              <w:rPr>
                <w:color w:val="212121"/>
                <w:spacing w:val="-2"/>
                <w:sz w:val="24"/>
              </w:rPr>
              <w:t>49330</w:t>
            </w:r>
          </w:p>
        </w:tc>
        <w:tc>
          <w:tcPr>
            <w:tcW w:w="487" w:type="pct"/>
          </w:tcPr>
          <w:p w:rsidR="00BD5F1D" w:rsidRDefault="00BD5F1D" w:rsidP="00C26A9C">
            <w:pPr>
              <w:pStyle w:val="TableParagraph"/>
              <w:ind w:right="100"/>
              <w:rPr>
                <w:sz w:val="24"/>
              </w:rPr>
            </w:pPr>
            <w:r>
              <w:rPr>
                <w:color w:val="212121"/>
                <w:spacing w:val="-2"/>
                <w:sz w:val="24"/>
              </w:rPr>
              <w:t>57587</w:t>
            </w:r>
          </w:p>
        </w:tc>
        <w:tc>
          <w:tcPr>
            <w:tcW w:w="492" w:type="pct"/>
          </w:tcPr>
          <w:p w:rsidR="00BD5F1D" w:rsidRDefault="00BD5F1D" w:rsidP="00C26A9C">
            <w:pPr>
              <w:pStyle w:val="TableParagraph"/>
              <w:ind w:right="229"/>
              <w:jc w:val="right"/>
              <w:rPr>
                <w:sz w:val="24"/>
              </w:rPr>
            </w:pPr>
            <w:r>
              <w:rPr>
                <w:color w:val="212121"/>
                <w:spacing w:val="-4"/>
                <w:sz w:val="24"/>
              </w:rPr>
              <w:t>9257</w:t>
            </w:r>
          </w:p>
        </w:tc>
        <w:tc>
          <w:tcPr>
            <w:tcW w:w="402" w:type="pct"/>
          </w:tcPr>
          <w:p w:rsidR="00BD5F1D" w:rsidRDefault="00BD5F1D" w:rsidP="00C26A9C">
            <w:pPr>
              <w:pStyle w:val="TableParagraph"/>
              <w:ind w:right="87"/>
              <w:rPr>
                <w:sz w:val="24"/>
              </w:rPr>
            </w:pPr>
            <w:r>
              <w:rPr>
                <w:color w:val="212121"/>
                <w:spacing w:val="-4"/>
                <w:sz w:val="24"/>
              </w:rPr>
              <w:t>0.19</w:t>
            </w:r>
          </w:p>
        </w:tc>
      </w:tr>
      <w:tr w:rsidR="00BD5F1D" w:rsidTr="003E372B">
        <w:trPr>
          <w:trHeight w:val="842"/>
        </w:trPr>
        <w:tc>
          <w:tcPr>
            <w:tcW w:w="401" w:type="pct"/>
          </w:tcPr>
          <w:p w:rsidR="00BD5F1D" w:rsidRDefault="00BD5F1D" w:rsidP="00C26A9C">
            <w:pPr>
              <w:pStyle w:val="TableParagraph"/>
              <w:ind w:right="93"/>
              <w:rPr>
                <w:b/>
                <w:sz w:val="24"/>
              </w:rPr>
            </w:pPr>
            <w:r>
              <w:rPr>
                <w:b/>
                <w:color w:val="212121"/>
                <w:spacing w:val="-5"/>
                <w:sz w:val="24"/>
              </w:rPr>
              <w:t>T6</w:t>
            </w:r>
          </w:p>
        </w:tc>
        <w:tc>
          <w:tcPr>
            <w:tcW w:w="2533" w:type="pct"/>
          </w:tcPr>
          <w:p w:rsidR="00BD5F1D" w:rsidRDefault="00BD5F1D" w:rsidP="00C26A9C">
            <w:pPr>
              <w:pStyle w:val="TableParagraph"/>
              <w:ind w:left="10" w:right="104"/>
              <w:rPr>
                <w:sz w:val="24"/>
              </w:rPr>
            </w:pPr>
            <w:r>
              <w:rPr>
                <w:color w:val="212121"/>
                <w:sz w:val="24"/>
              </w:rPr>
              <w:t>60%RDF+Biofertilizer</w:t>
            </w:r>
            <w:r>
              <w:rPr>
                <w:color w:val="212121"/>
                <w:spacing w:val="-2"/>
                <w:sz w:val="24"/>
              </w:rPr>
              <w:t>(</w:t>
            </w:r>
            <w:r w:rsidR="00AA08A8" w:rsidRPr="00AA08A8">
              <w:rPr>
                <w:i/>
                <w:iCs/>
                <w:color w:val="212121"/>
                <w:spacing w:val="-2"/>
                <w:sz w:val="24"/>
              </w:rPr>
              <w:t>Azotobacter</w:t>
            </w:r>
          </w:p>
          <w:p w:rsidR="00BD5F1D" w:rsidRDefault="00BD5F1D" w:rsidP="00C26A9C">
            <w:pPr>
              <w:pStyle w:val="TableParagraph"/>
              <w:spacing w:before="137" w:line="240" w:lineRule="auto"/>
              <w:ind w:left="4" w:right="104"/>
              <w:rPr>
                <w:sz w:val="24"/>
              </w:rPr>
            </w:pPr>
            <w:r>
              <w:rPr>
                <w:color w:val="212121"/>
                <w:spacing w:val="-2"/>
                <w:sz w:val="24"/>
              </w:rPr>
              <w:t>+PSB)</w:t>
            </w:r>
          </w:p>
        </w:tc>
        <w:tc>
          <w:tcPr>
            <w:tcW w:w="683" w:type="pct"/>
          </w:tcPr>
          <w:p w:rsidR="00BD5F1D" w:rsidRDefault="00BD5F1D" w:rsidP="00C26A9C">
            <w:pPr>
              <w:pStyle w:val="TableParagraph"/>
              <w:ind w:left="242"/>
              <w:jc w:val="left"/>
              <w:rPr>
                <w:sz w:val="24"/>
              </w:rPr>
            </w:pPr>
            <w:r>
              <w:rPr>
                <w:color w:val="212121"/>
                <w:spacing w:val="-2"/>
                <w:sz w:val="24"/>
              </w:rPr>
              <w:t>30030</w:t>
            </w:r>
          </w:p>
        </w:tc>
        <w:tc>
          <w:tcPr>
            <w:tcW w:w="487" w:type="pct"/>
          </w:tcPr>
          <w:p w:rsidR="00BD5F1D" w:rsidRDefault="00BD5F1D" w:rsidP="00C26A9C">
            <w:pPr>
              <w:pStyle w:val="TableParagraph"/>
              <w:ind w:right="100"/>
              <w:rPr>
                <w:sz w:val="24"/>
              </w:rPr>
            </w:pPr>
            <w:r>
              <w:rPr>
                <w:color w:val="212121"/>
                <w:spacing w:val="-2"/>
                <w:sz w:val="24"/>
              </w:rPr>
              <w:t>58650</w:t>
            </w:r>
          </w:p>
        </w:tc>
        <w:tc>
          <w:tcPr>
            <w:tcW w:w="492" w:type="pct"/>
          </w:tcPr>
          <w:p w:rsidR="00BD5F1D" w:rsidRDefault="00BD5F1D" w:rsidP="00C26A9C">
            <w:pPr>
              <w:pStyle w:val="TableParagraph"/>
              <w:ind w:right="169"/>
              <w:jc w:val="right"/>
              <w:rPr>
                <w:sz w:val="24"/>
              </w:rPr>
            </w:pPr>
            <w:r>
              <w:rPr>
                <w:color w:val="212121"/>
                <w:spacing w:val="-2"/>
                <w:sz w:val="24"/>
              </w:rPr>
              <w:t>28620</w:t>
            </w:r>
          </w:p>
        </w:tc>
        <w:tc>
          <w:tcPr>
            <w:tcW w:w="402" w:type="pct"/>
          </w:tcPr>
          <w:p w:rsidR="00BD5F1D" w:rsidRDefault="00BD5F1D" w:rsidP="00C26A9C">
            <w:pPr>
              <w:pStyle w:val="TableParagraph"/>
              <w:ind w:right="87"/>
              <w:rPr>
                <w:sz w:val="24"/>
              </w:rPr>
            </w:pPr>
            <w:r>
              <w:rPr>
                <w:color w:val="212121"/>
                <w:spacing w:val="-4"/>
                <w:sz w:val="24"/>
              </w:rPr>
              <w:t>0.95</w:t>
            </w:r>
          </w:p>
        </w:tc>
      </w:tr>
      <w:tr w:rsidR="00BD5F1D" w:rsidTr="003E372B">
        <w:trPr>
          <w:trHeight w:val="827"/>
        </w:trPr>
        <w:tc>
          <w:tcPr>
            <w:tcW w:w="401" w:type="pct"/>
          </w:tcPr>
          <w:p w:rsidR="00BD5F1D" w:rsidRDefault="00BD5F1D" w:rsidP="00C26A9C">
            <w:pPr>
              <w:pStyle w:val="TableParagraph"/>
              <w:ind w:right="93"/>
              <w:rPr>
                <w:b/>
                <w:sz w:val="24"/>
              </w:rPr>
            </w:pPr>
            <w:r>
              <w:rPr>
                <w:b/>
                <w:color w:val="212121"/>
                <w:spacing w:val="-5"/>
                <w:sz w:val="24"/>
              </w:rPr>
              <w:t>T7</w:t>
            </w:r>
          </w:p>
        </w:tc>
        <w:tc>
          <w:tcPr>
            <w:tcW w:w="2533" w:type="pct"/>
          </w:tcPr>
          <w:p w:rsidR="00BD5F1D" w:rsidRDefault="00BD5F1D" w:rsidP="00C26A9C">
            <w:pPr>
              <w:pStyle w:val="TableParagraph"/>
              <w:ind w:left="2" w:right="104"/>
              <w:rPr>
                <w:sz w:val="24"/>
              </w:rPr>
            </w:pPr>
            <w:r>
              <w:rPr>
                <w:color w:val="212121"/>
                <w:sz w:val="24"/>
              </w:rPr>
              <w:t>80%RDF+Vermicompost@2.9t/ha</w:t>
            </w:r>
            <w:r>
              <w:rPr>
                <w:color w:val="212121"/>
                <w:spacing w:val="-10"/>
                <w:sz w:val="24"/>
              </w:rPr>
              <w:t>+</w:t>
            </w:r>
          </w:p>
          <w:p w:rsidR="00BD5F1D" w:rsidRDefault="00BD5F1D" w:rsidP="00C26A9C">
            <w:pPr>
              <w:pStyle w:val="TableParagraph"/>
              <w:spacing w:before="137" w:line="240" w:lineRule="auto"/>
              <w:ind w:left="2" w:right="104"/>
              <w:rPr>
                <w:sz w:val="24"/>
              </w:rPr>
            </w:pPr>
            <w:r>
              <w:rPr>
                <w:color w:val="212121"/>
                <w:sz w:val="24"/>
              </w:rPr>
              <w:t>Biofertilizer(</w:t>
            </w:r>
            <w:r w:rsidR="00AA08A8" w:rsidRPr="00AA08A8">
              <w:rPr>
                <w:i/>
                <w:iCs/>
                <w:color w:val="212121"/>
                <w:sz w:val="24"/>
              </w:rPr>
              <w:t>Azotobacter</w:t>
            </w:r>
            <w:r>
              <w:rPr>
                <w:color w:val="212121"/>
                <w:sz w:val="24"/>
              </w:rPr>
              <w:t>+</w:t>
            </w:r>
            <w:r>
              <w:rPr>
                <w:color w:val="212121"/>
                <w:spacing w:val="-4"/>
                <w:sz w:val="24"/>
              </w:rPr>
              <w:t xml:space="preserve"> PSB)</w:t>
            </w:r>
          </w:p>
        </w:tc>
        <w:tc>
          <w:tcPr>
            <w:tcW w:w="683" w:type="pct"/>
          </w:tcPr>
          <w:p w:rsidR="00BD5F1D" w:rsidRDefault="00BD5F1D" w:rsidP="00C26A9C">
            <w:pPr>
              <w:pStyle w:val="TableParagraph"/>
              <w:ind w:left="242"/>
              <w:jc w:val="left"/>
              <w:rPr>
                <w:sz w:val="24"/>
              </w:rPr>
            </w:pPr>
            <w:r>
              <w:rPr>
                <w:color w:val="212121"/>
                <w:spacing w:val="-2"/>
                <w:sz w:val="24"/>
              </w:rPr>
              <w:t>50555</w:t>
            </w:r>
          </w:p>
        </w:tc>
        <w:tc>
          <w:tcPr>
            <w:tcW w:w="487" w:type="pct"/>
          </w:tcPr>
          <w:p w:rsidR="00BD5F1D" w:rsidRDefault="00BD5F1D" w:rsidP="00C26A9C">
            <w:pPr>
              <w:pStyle w:val="TableParagraph"/>
              <w:ind w:right="100"/>
              <w:rPr>
                <w:sz w:val="24"/>
              </w:rPr>
            </w:pPr>
            <w:r>
              <w:rPr>
                <w:color w:val="212121"/>
                <w:spacing w:val="-2"/>
                <w:sz w:val="24"/>
              </w:rPr>
              <w:t>72250</w:t>
            </w:r>
          </w:p>
        </w:tc>
        <w:tc>
          <w:tcPr>
            <w:tcW w:w="492" w:type="pct"/>
          </w:tcPr>
          <w:p w:rsidR="00BD5F1D" w:rsidRDefault="00BD5F1D" w:rsidP="00C26A9C">
            <w:pPr>
              <w:pStyle w:val="TableParagraph"/>
              <w:ind w:right="169"/>
              <w:jc w:val="right"/>
              <w:rPr>
                <w:sz w:val="24"/>
              </w:rPr>
            </w:pPr>
            <w:r>
              <w:rPr>
                <w:color w:val="212121"/>
                <w:spacing w:val="-2"/>
                <w:sz w:val="24"/>
              </w:rPr>
              <w:t>21695</w:t>
            </w:r>
          </w:p>
        </w:tc>
        <w:tc>
          <w:tcPr>
            <w:tcW w:w="402" w:type="pct"/>
          </w:tcPr>
          <w:p w:rsidR="00BD5F1D" w:rsidRDefault="00BD5F1D" w:rsidP="00C26A9C">
            <w:pPr>
              <w:pStyle w:val="TableParagraph"/>
              <w:ind w:right="87"/>
              <w:rPr>
                <w:sz w:val="24"/>
              </w:rPr>
            </w:pPr>
            <w:r>
              <w:rPr>
                <w:color w:val="212121"/>
                <w:spacing w:val="-4"/>
                <w:sz w:val="24"/>
              </w:rPr>
              <w:t>0.43</w:t>
            </w:r>
          </w:p>
        </w:tc>
      </w:tr>
      <w:tr w:rsidR="00BD5F1D" w:rsidTr="003E372B">
        <w:trPr>
          <w:trHeight w:val="859"/>
        </w:trPr>
        <w:tc>
          <w:tcPr>
            <w:tcW w:w="401" w:type="pct"/>
          </w:tcPr>
          <w:p w:rsidR="00BD5F1D" w:rsidRDefault="00BD5F1D" w:rsidP="00C26A9C">
            <w:pPr>
              <w:pStyle w:val="TableParagraph"/>
              <w:ind w:right="93"/>
              <w:rPr>
                <w:b/>
                <w:sz w:val="24"/>
              </w:rPr>
            </w:pPr>
            <w:r>
              <w:rPr>
                <w:b/>
                <w:color w:val="212121"/>
                <w:spacing w:val="-5"/>
                <w:sz w:val="24"/>
              </w:rPr>
              <w:t>T8</w:t>
            </w:r>
          </w:p>
        </w:tc>
        <w:tc>
          <w:tcPr>
            <w:tcW w:w="2533" w:type="pct"/>
          </w:tcPr>
          <w:p w:rsidR="00BD5F1D" w:rsidRDefault="00BD5F1D" w:rsidP="00C26A9C">
            <w:pPr>
              <w:pStyle w:val="TableParagraph"/>
              <w:spacing w:line="360" w:lineRule="auto"/>
              <w:ind w:left="537" w:hanging="312"/>
              <w:jc w:val="left"/>
              <w:rPr>
                <w:sz w:val="24"/>
              </w:rPr>
            </w:pPr>
            <w:r>
              <w:rPr>
                <w:color w:val="212121"/>
                <w:sz w:val="24"/>
              </w:rPr>
              <w:t>60%RDF+Vermicompost@3.1t/ha+ Biofertilizer (</w:t>
            </w:r>
            <w:r w:rsidR="00AA08A8" w:rsidRPr="00AA08A8">
              <w:rPr>
                <w:i/>
                <w:iCs/>
                <w:color w:val="212121"/>
                <w:sz w:val="24"/>
              </w:rPr>
              <w:t>Azotobacter</w:t>
            </w:r>
            <w:r>
              <w:rPr>
                <w:color w:val="212121"/>
                <w:sz w:val="24"/>
              </w:rPr>
              <w:t xml:space="preserve"> + PSB)</w:t>
            </w:r>
          </w:p>
        </w:tc>
        <w:tc>
          <w:tcPr>
            <w:tcW w:w="683" w:type="pct"/>
          </w:tcPr>
          <w:p w:rsidR="00BD5F1D" w:rsidRDefault="00BD5F1D" w:rsidP="00C26A9C">
            <w:pPr>
              <w:pStyle w:val="TableParagraph"/>
              <w:ind w:left="242"/>
              <w:jc w:val="left"/>
              <w:rPr>
                <w:sz w:val="24"/>
              </w:rPr>
            </w:pPr>
            <w:r>
              <w:rPr>
                <w:color w:val="212121"/>
                <w:spacing w:val="-2"/>
                <w:sz w:val="24"/>
              </w:rPr>
              <w:t>51730</w:t>
            </w:r>
          </w:p>
        </w:tc>
        <w:tc>
          <w:tcPr>
            <w:tcW w:w="487" w:type="pct"/>
          </w:tcPr>
          <w:p w:rsidR="00BD5F1D" w:rsidRDefault="00BD5F1D" w:rsidP="00C26A9C">
            <w:pPr>
              <w:pStyle w:val="TableParagraph"/>
              <w:ind w:right="100"/>
              <w:rPr>
                <w:sz w:val="24"/>
              </w:rPr>
            </w:pPr>
            <w:r>
              <w:rPr>
                <w:color w:val="212121"/>
                <w:spacing w:val="-2"/>
                <w:sz w:val="24"/>
              </w:rPr>
              <w:t>67362</w:t>
            </w:r>
          </w:p>
        </w:tc>
        <w:tc>
          <w:tcPr>
            <w:tcW w:w="492" w:type="pct"/>
          </w:tcPr>
          <w:p w:rsidR="00BD5F1D" w:rsidRDefault="00BD5F1D" w:rsidP="00C26A9C">
            <w:pPr>
              <w:pStyle w:val="TableParagraph"/>
              <w:ind w:right="169"/>
              <w:jc w:val="right"/>
              <w:rPr>
                <w:sz w:val="24"/>
              </w:rPr>
            </w:pPr>
            <w:r>
              <w:rPr>
                <w:color w:val="212121"/>
                <w:spacing w:val="-2"/>
                <w:sz w:val="24"/>
              </w:rPr>
              <w:t>15632</w:t>
            </w:r>
          </w:p>
        </w:tc>
        <w:tc>
          <w:tcPr>
            <w:tcW w:w="402" w:type="pct"/>
          </w:tcPr>
          <w:p w:rsidR="00BD5F1D" w:rsidRDefault="00BD5F1D" w:rsidP="00C26A9C">
            <w:pPr>
              <w:pStyle w:val="TableParagraph"/>
              <w:ind w:right="87"/>
              <w:rPr>
                <w:sz w:val="24"/>
              </w:rPr>
            </w:pPr>
            <w:r>
              <w:rPr>
                <w:color w:val="212121"/>
                <w:spacing w:val="-4"/>
                <w:sz w:val="24"/>
              </w:rPr>
              <w:t>0.30</w:t>
            </w:r>
          </w:p>
        </w:tc>
      </w:tr>
      <w:tr w:rsidR="00BD5F1D" w:rsidTr="003E372B">
        <w:trPr>
          <w:trHeight w:val="544"/>
        </w:trPr>
        <w:tc>
          <w:tcPr>
            <w:tcW w:w="401" w:type="pct"/>
          </w:tcPr>
          <w:p w:rsidR="00BD5F1D" w:rsidRDefault="00BD5F1D" w:rsidP="00C26A9C">
            <w:pPr>
              <w:pStyle w:val="TableParagraph"/>
              <w:spacing w:before="1" w:line="240" w:lineRule="auto"/>
              <w:ind w:right="93"/>
              <w:rPr>
                <w:b/>
                <w:sz w:val="24"/>
              </w:rPr>
            </w:pPr>
            <w:r>
              <w:rPr>
                <w:b/>
                <w:color w:val="212121"/>
                <w:spacing w:val="-5"/>
                <w:sz w:val="24"/>
              </w:rPr>
              <w:t>T9</w:t>
            </w:r>
          </w:p>
        </w:tc>
        <w:tc>
          <w:tcPr>
            <w:tcW w:w="2533" w:type="pct"/>
          </w:tcPr>
          <w:p w:rsidR="00BD5F1D" w:rsidRDefault="00BD5F1D" w:rsidP="00C26A9C">
            <w:pPr>
              <w:pStyle w:val="TableParagraph"/>
              <w:spacing w:before="1" w:line="240" w:lineRule="auto"/>
              <w:ind w:left="1" w:right="104"/>
              <w:rPr>
                <w:sz w:val="24"/>
              </w:rPr>
            </w:pPr>
            <w:r>
              <w:rPr>
                <w:color w:val="212121"/>
                <w:sz w:val="24"/>
              </w:rPr>
              <w:t>Vermicompost@2.5</w:t>
            </w:r>
            <w:r>
              <w:rPr>
                <w:color w:val="212121"/>
                <w:spacing w:val="-4"/>
                <w:sz w:val="24"/>
              </w:rPr>
              <w:t>t/ha</w:t>
            </w:r>
          </w:p>
        </w:tc>
        <w:tc>
          <w:tcPr>
            <w:tcW w:w="683" w:type="pct"/>
          </w:tcPr>
          <w:p w:rsidR="00BD5F1D" w:rsidRDefault="00BD5F1D" w:rsidP="00C26A9C">
            <w:pPr>
              <w:pStyle w:val="TableParagraph"/>
              <w:spacing w:before="1" w:line="240" w:lineRule="auto"/>
              <w:ind w:left="242"/>
              <w:jc w:val="left"/>
              <w:rPr>
                <w:sz w:val="24"/>
              </w:rPr>
            </w:pPr>
            <w:r>
              <w:rPr>
                <w:color w:val="212121"/>
                <w:spacing w:val="-2"/>
                <w:sz w:val="24"/>
              </w:rPr>
              <w:t>39940</w:t>
            </w:r>
          </w:p>
        </w:tc>
        <w:tc>
          <w:tcPr>
            <w:tcW w:w="487" w:type="pct"/>
          </w:tcPr>
          <w:p w:rsidR="00BD5F1D" w:rsidRDefault="00BD5F1D" w:rsidP="00C26A9C">
            <w:pPr>
              <w:pStyle w:val="TableParagraph"/>
              <w:spacing w:before="1" w:line="240" w:lineRule="auto"/>
              <w:ind w:right="100"/>
              <w:rPr>
                <w:sz w:val="24"/>
              </w:rPr>
            </w:pPr>
            <w:r>
              <w:rPr>
                <w:color w:val="212121"/>
                <w:spacing w:val="-2"/>
                <w:sz w:val="24"/>
              </w:rPr>
              <w:t>54825</w:t>
            </w:r>
          </w:p>
        </w:tc>
        <w:tc>
          <w:tcPr>
            <w:tcW w:w="492" w:type="pct"/>
          </w:tcPr>
          <w:p w:rsidR="00BD5F1D" w:rsidRDefault="00BD5F1D" w:rsidP="00C26A9C">
            <w:pPr>
              <w:pStyle w:val="TableParagraph"/>
              <w:spacing w:before="1" w:line="240" w:lineRule="auto"/>
              <w:ind w:right="169"/>
              <w:jc w:val="right"/>
              <w:rPr>
                <w:sz w:val="24"/>
              </w:rPr>
            </w:pPr>
            <w:r>
              <w:rPr>
                <w:color w:val="212121"/>
                <w:spacing w:val="-2"/>
                <w:sz w:val="24"/>
              </w:rPr>
              <w:t>14885</w:t>
            </w:r>
          </w:p>
        </w:tc>
        <w:tc>
          <w:tcPr>
            <w:tcW w:w="402" w:type="pct"/>
          </w:tcPr>
          <w:p w:rsidR="00BD5F1D" w:rsidRDefault="00BD5F1D" w:rsidP="00C26A9C">
            <w:pPr>
              <w:pStyle w:val="TableParagraph"/>
              <w:spacing w:before="1" w:line="240" w:lineRule="auto"/>
              <w:ind w:right="87"/>
              <w:rPr>
                <w:sz w:val="24"/>
              </w:rPr>
            </w:pPr>
            <w:r>
              <w:rPr>
                <w:color w:val="212121"/>
                <w:spacing w:val="-4"/>
                <w:sz w:val="24"/>
              </w:rPr>
              <w:t>0.37</w:t>
            </w:r>
          </w:p>
        </w:tc>
      </w:tr>
    </w:tbl>
    <w:p w:rsidR="00AA08A8" w:rsidRDefault="00AA08A8" w:rsidP="00805DAB">
      <w:pPr>
        <w:jc w:val="both"/>
        <w:rPr>
          <w:rFonts w:ascii="Times New Roman" w:hAnsi="Times New Roman" w:cs="Times New Roman"/>
          <w:sz w:val="24"/>
          <w:szCs w:val="24"/>
        </w:rPr>
      </w:pPr>
    </w:p>
    <w:p w:rsidR="00AA08A8" w:rsidRDefault="00AA08A8" w:rsidP="00805DAB">
      <w:pPr>
        <w:jc w:val="both"/>
        <w:rPr>
          <w:noProof/>
        </w:rPr>
      </w:pPr>
      <w:r>
        <w:rPr>
          <w:noProof/>
          <w:lang w:val="en-US"/>
        </w:rPr>
        <w:lastRenderedPageBreak/>
        <w:drawing>
          <wp:inline distT="0" distB="0" distL="0" distR="0">
            <wp:extent cx="6592670" cy="3801745"/>
            <wp:effectExtent l="0" t="0" r="17780" b="8255"/>
            <wp:docPr id="198354661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0D7853D-940A-173A-AD63-55CD8587D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08A8" w:rsidRDefault="00AA08A8" w:rsidP="00F84EDC">
      <w:pPr>
        <w:jc w:val="center"/>
        <w:rPr>
          <w:rFonts w:ascii="Times New Roman" w:hAnsi="Times New Roman" w:cs="Times New Roman"/>
          <w:b/>
          <w:bCs/>
          <w:sz w:val="24"/>
          <w:szCs w:val="24"/>
        </w:rPr>
      </w:pPr>
      <w:r w:rsidRPr="00F84EDC">
        <w:rPr>
          <w:rFonts w:ascii="Times New Roman" w:hAnsi="Times New Roman" w:cs="Times New Roman"/>
          <w:b/>
          <w:bCs/>
          <w:sz w:val="24"/>
          <w:szCs w:val="24"/>
        </w:rPr>
        <w:t>Fig. 1. Impact of integrated nutrient management on soil available nitrogen and phosphorus under wheat crop.</w:t>
      </w:r>
    </w:p>
    <w:p w:rsidR="00E841FC" w:rsidRDefault="00E841FC" w:rsidP="00F84EDC">
      <w:pPr>
        <w:jc w:val="center"/>
        <w:rPr>
          <w:rFonts w:ascii="Times New Roman" w:hAnsi="Times New Roman" w:cs="Times New Roman"/>
          <w:b/>
          <w:bCs/>
          <w:sz w:val="24"/>
          <w:szCs w:val="24"/>
        </w:rPr>
      </w:pPr>
    </w:p>
    <w:p w:rsidR="00E841FC" w:rsidRPr="00F84EDC" w:rsidRDefault="00E841FC" w:rsidP="00F84EDC">
      <w:pPr>
        <w:jc w:val="center"/>
        <w:rPr>
          <w:rFonts w:ascii="Times New Roman" w:hAnsi="Times New Roman" w:cs="Times New Roman"/>
          <w:b/>
          <w:bCs/>
          <w:sz w:val="24"/>
          <w:szCs w:val="24"/>
        </w:rPr>
      </w:pPr>
    </w:p>
    <w:sectPr w:rsidR="00E841FC" w:rsidRPr="00F84EDC" w:rsidSect="003F6E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5-09-24T18:29:00Z" w:initials="l">
    <w:p w:rsidR="00EA5239" w:rsidRDefault="00EA5239">
      <w:pPr>
        <w:pStyle w:val="CommentText"/>
      </w:pPr>
      <w:r>
        <w:rPr>
          <w:rStyle w:val="CommentReference"/>
        </w:rPr>
        <w:annotationRef/>
      </w:r>
      <w:r>
        <w:t>Instead of using the absolute values, the relative increases (%) compared to control of the least effective treatment should be mentioned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E57" w:rsidRDefault="00CC2E57" w:rsidP="00F67251">
      <w:pPr>
        <w:spacing w:after="0" w:line="240" w:lineRule="auto"/>
      </w:pPr>
      <w:r>
        <w:separator/>
      </w:r>
    </w:p>
  </w:endnote>
  <w:endnote w:type="continuationSeparator" w:id="1">
    <w:p w:rsidR="00CC2E57" w:rsidRDefault="00CC2E57" w:rsidP="00F67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51" w:rsidRDefault="00F672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51" w:rsidRDefault="00F672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51" w:rsidRDefault="00F672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E57" w:rsidRDefault="00CC2E57" w:rsidP="00F67251">
      <w:pPr>
        <w:spacing w:after="0" w:line="240" w:lineRule="auto"/>
      </w:pPr>
      <w:r>
        <w:separator/>
      </w:r>
    </w:p>
  </w:footnote>
  <w:footnote w:type="continuationSeparator" w:id="1">
    <w:p w:rsidR="00CC2E57" w:rsidRDefault="00CC2E57" w:rsidP="00F67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51" w:rsidRDefault="003F6E99">
    <w:pPr>
      <w:pStyle w:val="Header"/>
    </w:pPr>
    <w:r w:rsidRPr="003F6E9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37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51" w:rsidRDefault="003F6E99">
    <w:pPr>
      <w:pStyle w:val="Header"/>
    </w:pPr>
    <w:r w:rsidRPr="003F6E9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37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51" w:rsidRDefault="003F6E99">
    <w:pPr>
      <w:pStyle w:val="Header"/>
    </w:pPr>
    <w:r w:rsidRPr="003F6E9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37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B7576"/>
    <w:multiLevelType w:val="multilevel"/>
    <w:tmpl w:val="28F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521DA"/>
    <w:multiLevelType w:val="multilevel"/>
    <w:tmpl w:val="A3B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C7718"/>
    <w:multiLevelType w:val="multilevel"/>
    <w:tmpl w:val="3B2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6387"/>
    <w:rsid w:val="0001669C"/>
    <w:rsid w:val="0002522E"/>
    <w:rsid w:val="00150748"/>
    <w:rsid w:val="00193A2E"/>
    <w:rsid w:val="001C60E8"/>
    <w:rsid w:val="0022760D"/>
    <w:rsid w:val="00272D5D"/>
    <w:rsid w:val="00281D1E"/>
    <w:rsid w:val="00297430"/>
    <w:rsid w:val="002B4E32"/>
    <w:rsid w:val="003E372B"/>
    <w:rsid w:val="003F6E99"/>
    <w:rsid w:val="006E2913"/>
    <w:rsid w:val="00756A17"/>
    <w:rsid w:val="007D6387"/>
    <w:rsid w:val="00805DAB"/>
    <w:rsid w:val="00866537"/>
    <w:rsid w:val="009524EE"/>
    <w:rsid w:val="0097661E"/>
    <w:rsid w:val="00A631BA"/>
    <w:rsid w:val="00AA08A8"/>
    <w:rsid w:val="00BD5F1D"/>
    <w:rsid w:val="00BF289C"/>
    <w:rsid w:val="00CC2E57"/>
    <w:rsid w:val="00D87A79"/>
    <w:rsid w:val="00DD58BC"/>
    <w:rsid w:val="00E841FC"/>
    <w:rsid w:val="00EA5239"/>
    <w:rsid w:val="00F23CBD"/>
    <w:rsid w:val="00F67251"/>
    <w:rsid w:val="00F6749D"/>
    <w:rsid w:val="00F84EDC"/>
    <w:rsid w:val="00FF08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99"/>
  </w:style>
  <w:style w:type="paragraph" w:styleId="Heading1">
    <w:name w:val="heading 1"/>
    <w:basedOn w:val="Normal"/>
    <w:next w:val="Normal"/>
    <w:link w:val="Heading1Char"/>
    <w:uiPriority w:val="9"/>
    <w:qFormat/>
    <w:rsid w:val="007D6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387"/>
    <w:rPr>
      <w:rFonts w:eastAsiaTheme="majorEastAsia" w:cstheme="majorBidi"/>
      <w:color w:val="272727" w:themeColor="text1" w:themeTint="D8"/>
    </w:rPr>
  </w:style>
  <w:style w:type="paragraph" w:styleId="Title">
    <w:name w:val="Title"/>
    <w:basedOn w:val="Normal"/>
    <w:next w:val="Normal"/>
    <w:link w:val="TitleChar"/>
    <w:uiPriority w:val="10"/>
    <w:qFormat/>
    <w:rsid w:val="007D6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87"/>
    <w:pPr>
      <w:spacing w:before="160"/>
      <w:jc w:val="center"/>
    </w:pPr>
    <w:rPr>
      <w:i/>
      <w:iCs/>
      <w:color w:val="404040" w:themeColor="text1" w:themeTint="BF"/>
    </w:rPr>
  </w:style>
  <w:style w:type="character" w:customStyle="1" w:styleId="QuoteChar">
    <w:name w:val="Quote Char"/>
    <w:basedOn w:val="DefaultParagraphFont"/>
    <w:link w:val="Quote"/>
    <w:uiPriority w:val="29"/>
    <w:rsid w:val="007D6387"/>
    <w:rPr>
      <w:i/>
      <w:iCs/>
      <w:color w:val="404040" w:themeColor="text1" w:themeTint="BF"/>
    </w:rPr>
  </w:style>
  <w:style w:type="paragraph" w:styleId="ListParagraph">
    <w:name w:val="List Paragraph"/>
    <w:basedOn w:val="Normal"/>
    <w:uiPriority w:val="34"/>
    <w:qFormat/>
    <w:rsid w:val="007D6387"/>
    <w:pPr>
      <w:ind w:left="720"/>
      <w:contextualSpacing/>
    </w:pPr>
  </w:style>
  <w:style w:type="character" w:styleId="IntenseEmphasis">
    <w:name w:val="Intense Emphasis"/>
    <w:basedOn w:val="DefaultParagraphFont"/>
    <w:uiPriority w:val="21"/>
    <w:qFormat/>
    <w:rsid w:val="007D6387"/>
    <w:rPr>
      <w:i/>
      <w:iCs/>
      <w:color w:val="2F5496" w:themeColor="accent1" w:themeShade="BF"/>
    </w:rPr>
  </w:style>
  <w:style w:type="paragraph" w:styleId="IntenseQuote">
    <w:name w:val="Intense Quote"/>
    <w:basedOn w:val="Normal"/>
    <w:next w:val="Normal"/>
    <w:link w:val="IntenseQuoteChar"/>
    <w:uiPriority w:val="30"/>
    <w:qFormat/>
    <w:rsid w:val="007D6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387"/>
    <w:rPr>
      <w:i/>
      <w:iCs/>
      <w:color w:val="2F5496" w:themeColor="accent1" w:themeShade="BF"/>
    </w:rPr>
  </w:style>
  <w:style w:type="character" w:styleId="IntenseReference">
    <w:name w:val="Intense Reference"/>
    <w:basedOn w:val="DefaultParagraphFont"/>
    <w:uiPriority w:val="32"/>
    <w:qFormat/>
    <w:rsid w:val="007D6387"/>
    <w:rPr>
      <w:b/>
      <w:bCs/>
      <w:smallCaps/>
      <w:color w:val="2F5496" w:themeColor="accent1" w:themeShade="BF"/>
      <w:spacing w:val="5"/>
    </w:rPr>
  </w:style>
  <w:style w:type="paragraph" w:styleId="BodyText">
    <w:name w:val="Body Text"/>
    <w:basedOn w:val="Normal"/>
    <w:link w:val="BodyTextChar"/>
    <w:uiPriority w:val="1"/>
    <w:qFormat/>
    <w:rsid w:val="00BD5F1D"/>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BD5F1D"/>
    <w:rPr>
      <w:rFonts w:ascii="Times New Roman" w:eastAsia="Times New Roman" w:hAnsi="Times New Roman" w:cs="Times New Roman"/>
      <w:kern w:val="0"/>
      <w:sz w:val="24"/>
      <w:szCs w:val="24"/>
      <w:lang w:val="en-US"/>
    </w:rPr>
  </w:style>
  <w:style w:type="paragraph" w:customStyle="1" w:styleId="TableParagraph">
    <w:name w:val="Table Paragraph"/>
    <w:basedOn w:val="Normal"/>
    <w:uiPriority w:val="1"/>
    <w:qFormat/>
    <w:rsid w:val="00BD5F1D"/>
    <w:pPr>
      <w:widowControl w:val="0"/>
      <w:autoSpaceDE w:val="0"/>
      <w:autoSpaceDN w:val="0"/>
      <w:spacing w:after="0" w:line="275" w:lineRule="exact"/>
      <w:jc w:val="center"/>
    </w:pPr>
    <w:rPr>
      <w:rFonts w:ascii="Times New Roman" w:eastAsia="Times New Roman" w:hAnsi="Times New Roman" w:cs="Times New Roman"/>
      <w:kern w:val="0"/>
      <w:lang w:val="en-US"/>
    </w:rPr>
  </w:style>
  <w:style w:type="character" w:styleId="Hyperlink">
    <w:name w:val="Hyperlink"/>
    <w:basedOn w:val="DefaultParagraphFont"/>
    <w:uiPriority w:val="99"/>
    <w:unhideWhenUsed/>
    <w:rsid w:val="0001669C"/>
    <w:rPr>
      <w:color w:val="0563C1" w:themeColor="hyperlink"/>
      <w:u w:val="single"/>
    </w:rPr>
  </w:style>
  <w:style w:type="character" w:customStyle="1" w:styleId="UnresolvedMention">
    <w:name w:val="Unresolved Mention"/>
    <w:basedOn w:val="DefaultParagraphFont"/>
    <w:uiPriority w:val="99"/>
    <w:semiHidden/>
    <w:unhideWhenUsed/>
    <w:rsid w:val="0001669C"/>
    <w:rPr>
      <w:color w:val="605E5C"/>
      <w:shd w:val="clear" w:color="auto" w:fill="E1DFDD"/>
    </w:rPr>
  </w:style>
  <w:style w:type="paragraph" w:styleId="Header">
    <w:name w:val="header"/>
    <w:basedOn w:val="Normal"/>
    <w:link w:val="HeaderChar"/>
    <w:uiPriority w:val="99"/>
    <w:unhideWhenUsed/>
    <w:rsid w:val="00F67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251"/>
  </w:style>
  <w:style w:type="paragraph" w:styleId="Footer">
    <w:name w:val="footer"/>
    <w:basedOn w:val="Normal"/>
    <w:link w:val="FooterChar"/>
    <w:uiPriority w:val="99"/>
    <w:unhideWhenUsed/>
    <w:rsid w:val="00F67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251"/>
  </w:style>
  <w:style w:type="character" w:styleId="CommentReference">
    <w:name w:val="annotation reference"/>
    <w:basedOn w:val="DefaultParagraphFont"/>
    <w:uiPriority w:val="99"/>
    <w:semiHidden/>
    <w:unhideWhenUsed/>
    <w:rsid w:val="00EA5239"/>
    <w:rPr>
      <w:sz w:val="16"/>
      <w:szCs w:val="16"/>
    </w:rPr>
  </w:style>
  <w:style w:type="paragraph" w:styleId="CommentText">
    <w:name w:val="annotation text"/>
    <w:basedOn w:val="Normal"/>
    <w:link w:val="CommentTextChar"/>
    <w:uiPriority w:val="99"/>
    <w:semiHidden/>
    <w:unhideWhenUsed/>
    <w:rsid w:val="00EA5239"/>
    <w:pPr>
      <w:spacing w:line="240" w:lineRule="auto"/>
    </w:pPr>
    <w:rPr>
      <w:sz w:val="20"/>
      <w:szCs w:val="20"/>
    </w:rPr>
  </w:style>
  <w:style w:type="character" w:customStyle="1" w:styleId="CommentTextChar">
    <w:name w:val="Comment Text Char"/>
    <w:basedOn w:val="DefaultParagraphFont"/>
    <w:link w:val="CommentText"/>
    <w:uiPriority w:val="99"/>
    <w:semiHidden/>
    <w:rsid w:val="00EA5239"/>
    <w:rPr>
      <w:sz w:val="20"/>
      <w:szCs w:val="20"/>
    </w:rPr>
  </w:style>
  <w:style w:type="paragraph" w:styleId="CommentSubject">
    <w:name w:val="annotation subject"/>
    <w:basedOn w:val="CommentText"/>
    <w:next w:val="CommentText"/>
    <w:link w:val="CommentSubjectChar"/>
    <w:uiPriority w:val="99"/>
    <w:semiHidden/>
    <w:unhideWhenUsed/>
    <w:rsid w:val="00EA5239"/>
    <w:rPr>
      <w:b/>
      <w:bCs/>
    </w:rPr>
  </w:style>
  <w:style w:type="character" w:customStyle="1" w:styleId="CommentSubjectChar">
    <w:name w:val="Comment Subject Char"/>
    <w:basedOn w:val="CommentTextChar"/>
    <w:link w:val="CommentSubject"/>
    <w:uiPriority w:val="99"/>
    <w:semiHidden/>
    <w:rsid w:val="00EA5239"/>
    <w:rPr>
      <w:b/>
      <w:bCs/>
    </w:rPr>
  </w:style>
  <w:style w:type="paragraph" w:styleId="BalloonText">
    <w:name w:val="Balloon Text"/>
    <w:basedOn w:val="Normal"/>
    <w:link w:val="BalloonTextChar"/>
    <w:uiPriority w:val="99"/>
    <w:semiHidden/>
    <w:unhideWhenUsed/>
    <w:rsid w:val="00EA5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2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spPr>
        <a:noFill/>
        <a:ln>
          <a:noFill/>
        </a:ln>
        <a:effectLst/>
      </c:spPr>
    </c:title>
    <c:plotArea>
      <c:layout/>
      <c:barChart>
        <c:barDir val="col"/>
        <c:grouping val="clustered"/>
        <c:ser>
          <c:idx val="0"/>
          <c:order val="0"/>
          <c:tx>
            <c:strRef>
              <c:f>Sheet2!$M$1</c:f>
              <c:strCache>
                <c:ptCount val="1"/>
                <c:pt idx="0">
                  <c:v>Available Nitrogen (Kg/ha)</c:v>
                </c:pt>
              </c:strCache>
            </c:strRef>
          </c:tx>
          <c:spPr>
            <a:solidFill>
              <a:schemeClr val="accent1"/>
            </a:solidFill>
            <a:ln>
              <a:noFill/>
            </a:ln>
            <a:effectLst/>
          </c:spPr>
          <c:cat>
            <c:multiLvlStrRef>
              <c:f>Sheet2!$K$2:$L$10</c:f>
              <c:multiLvlStrCache>
                <c:ptCount val="9"/>
                <c:lvl>
                  <c:pt idx="0">
                    <c:v>Control</c:v>
                  </c:pt>
                  <c:pt idx="1">
                    <c:v>100% RDF (120 kg N/ha, 60% kg P/ha, 40 kg K/ha)</c:v>
                  </c:pt>
                  <c:pt idx="2">
                    <c:v>80 % RDF + Vermicompost @ 2.9 t/ha</c:v>
                  </c:pt>
                  <c:pt idx="3">
                    <c:v>80 % RDF + Biofertilizer (Azotobacter + PSB)</c:v>
                  </c:pt>
                  <c:pt idx="4">
                    <c:v>60 % RDF + Vermicompost @ 3.1 t/ha</c:v>
                  </c:pt>
                  <c:pt idx="5">
                    <c:v>60 % RDF + Biofertilizer (Azotobacter +PSB)</c:v>
                  </c:pt>
                  <c:pt idx="6">
                    <c:v>80 % RDF + Vermicompost @ 2.9 t/ha + Biofertilizer (Azotobacter+ PSB)</c:v>
                  </c:pt>
                  <c:pt idx="7">
                    <c:v>60% RDF + Vermicompost @ 3.1 t/ha + Biofertilizer (Azotobacter + PSB)</c:v>
                  </c:pt>
                  <c:pt idx="8">
                    <c:v>Vermicompost @ 2.5 t/ha</c:v>
                  </c:pt>
                </c:lvl>
                <c:lvl>
                  <c:pt idx="0">
                    <c:v>T1</c:v>
                  </c:pt>
                  <c:pt idx="1">
                    <c:v>T2</c:v>
                  </c:pt>
                  <c:pt idx="2">
                    <c:v>T3</c:v>
                  </c:pt>
                  <c:pt idx="3">
                    <c:v>T4</c:v>
                  </c:pt>
                  <c:pt idx="4">
                    <c:v>T5</c:v>
                  </c:pt>
                  <c:pt idx="5">
                    <c:v>T6</c:v>
                  </c:pt>
                  <c:pt idx="6">
                    <c:v>T7</c:v>
                  </c:pt>
                  <c:pt idx="7">
                    <c:v>T8</c:v>
                  </c:pt>
                  <c:pt idx="8">
                    <c:v>T9</c:v>
                  </c:pt>
                </c:lvl>
              </c:multiLvlStrCache>
            </c:multiLvlStrRef>
          </c:cat>
          <c:val>
            <c:numRef>
              <c:f>Sheet2!$M$2:$M$10</c:f>
              <c:numCache>
                <c:formatCode>General</c:formatCode>
                <c:ptCount val="9"/>
                <c:pt idx="0">
                  <c:v>86.33</c:v>
                </c:pt>
                <c:pt idx="1">
                  <c:v>149.53</c:v>
                </c:pt>
                <c:pt idx="2">
                  <c:v>142.69</c:v>
                </c:pt>
                <c:pt idx="3">
                  <c:v>144.47999999999999</c:v>
                </c:pt>
                <c:pt idx="4">
                  <c:v>132.31</c:v>
                </c:pt>
                <c:pt idx="5">
                  <c:v>135.41999999999999</c:v>
                </c:pt>
                <c:pt idx="6">
                  <c:v>155.25</c:v>
                </c:pt>
                <c:pt idx="7">
                  <c:v>151.73999999999998</c:v>
                </c:pt>
                <c:pt idx="8">
                  <c:v>127.63</c:v>
                </c:pt>
              </c:numCache>
            </c:numRef>
          </c:val>
          <c:extLst xmlns:c16r2="http://schemas.microsoft.com/office/drawing/2015/06/chart">
            <c:ext xmlns:c16="http://schemas.microsoft.com/office/drawing/2014/chart" uri="{C3380CC4-5D6E-409C-BE32-E72D297353CC}">
              <c16:uniqueId val="{00000000-F361-4637-95B7-E3DE4B183D23}"/>
            </c:ext>
          </c:extLst>
        </c:ser>
        <c:axId val="76840960"/>
        <c:axId val="76842880"/>
      </c:barChart>
      <c:lineChart>
        <c:grouping val="standard"/>
        <c:ser>
          <c:idx val="1"/>
          <c:order val="1"/>
          <c:tx>
            <c:strRef>
              <c:f>Sheet2!$N$1</c:f>
              <c:strCache>
                <c:ptCount val="1"/>
                <c:pt idx="0">
                  <c:v>Available Phosphorus (Kg/ha)</c:v>
                </c:pt>
              </c:strCache>
            </c:strRef>
          </c:tx>
          <c:spPr>
            <a:ln w="28575" cap="rnd">
              <a:solidFill>
                <a:schemeClr val="accent2"/>
              </a:solidFill>
              <a:round/>
            </a:ln>
            <a:effectLst/>
          </c:spPr>
          <c:marker>
            <c:symbol val="none"/>
          </c:marker>
          <c:cat>
            <c:multiLvlStrRef>
              <c:f>Sheet2!$K$2:$L$10</c:f>
              <c:multiLvlStrCache>
                <c:ptCount val="9"/>
                <c:lvl>
                  <c:pt idx="0">
                    <c:v>Control</c:v>
                  </c:pt>
                  <c:pt idx="1">
                    <c:v>100% RDF (120 kg N/ha, 60% kg P/ha, 40 kg K/ha)</c:v>
                  </c:pt>
                  <c:pt idx="2">
                    <c:v>80 % RDF + Vermicompost @ 2.9 t/ha</c:v>
                  </c:pt>
                  <c:pt idx="3">
                    <c:v>80 % RDF + Biofertilizer (Azotobacter + PSB)</c:v>
                  </c:pt>
                  <c:pt idx="4">
                    <c:v>60 % RDF + Vermicompost @ 3.1 t/ha</c:v>
                  </c:pt>
                  <c:pt idx="5">
                    <c:v>60 % RDF + Biofertilizer (Azotobacter +PSB)</c:v>
                  </c:pt>
                  <c:pt idx="6">
                    <c:v>80 % RDF + Vermicompost @ 2.9 t/ha + Biofertilizer (Azotobacter+ PSB)</c:v>
                  </c:pt>
                  <c:pt idx="7">
                    <c:v>60% RDF + Vermicompost @ 3.1 t/ha + Biofertilizer (Azotobacter + PSB)</c:v>
                  </c:pt>
                  <c:pt idx="8">
                    <c:v>Vermicompost @ 2.5 t/ha</c:v>
                  </c:pt>
                </c:lvl>
                <c:lvl>
                  <c:pt idx="0">
                    <c:v>T1</c:v>
                  </c:pt>
                  <c:pt idx="1">
                    <c:v>T2</c:v>
                  </c:pt>
                  <c:pt idx="2">
                    <c:v>T3</c:v>
                  </c:pt>
                  <c:pt idx="3">
                    <c:v>T4</c:v>
                  </c:pt>
                  <c:pt idx="4">
                    <c:v>T5</c:v>
                  </c:pt>
                  <c:pt idx="5">
                    <c:v>T6</c:v>
                  </c:pt>
                  <c:pt idx="6">
                    <c:v>T7</c:v>
                  </c:pt>
                  <c:pt idx="7">
                    <c:v>T8</c:v>
                  </c:pt>
                  <c:pt idx="8">
                    <c:v>T9</c:v>
                  </c:pt>
                </c:lvl>
              </c:multiLvlStrCache>
            </c:multiLvlStrRef>
          </c:cat>
          <c:val>
            <c:numRef>
              <c:f>Sheet2!$N$2:$N$10</c:f>
              <c:numCache>
                <c:formatCode>General</c:formatCode>
                <c:ptCount val="9"/>
                <c:pt idx="0">
                  <c:v>6.9700000000000015</c:v>
                </c:pt>
                <c:pt idx="1">
                  <c:v>12.11</c:v>
                </c:pt>
                <c:pt idx="2">
                  <c:v>11.23</c:v>
                </c:pt>
                <c:pt idx="3">
                  <c:v>11.84</c:v>
                </c:pt>
                <c:pt idx="4">
                  <c:v>10.16</c:v>
                </c:pt>
                <c:pt idx="5">
                  <c:v>10.29</c:v>
                </c:pt>
                <c:pt idx="6">
                  <c:v>14.51</c:v>
                </c:pt>
                <c:pt idx="7">
                  <c:v>12.39</c:v>
                </c:pt>
                <c:pt idx="8">
                  <c:v>9.8700000000000028</c:v>
                </c:pt>
              </c:numCache>
            </c:numRef>
          </c:val>
          <c:extLst xmlns:c16r2="http://schemas.microsoft.com/office/drawing/2015/06/chart">
            <c:ext xmlns:c16="http://schemas.microsoft.com/office/drawing/2014/chart" uri="{C3380CC4-5D6E-409C-BE32-E72D297353CC}">
              <c16:uniqueId val="{00000001-F361-4637-95B7-E3DE4B183D23}"/>
            </c:ext>
          </c:extLst>
        </c:ser>
        <c:marker val="1"/>
        <c:axId val="76859264"/>
        <c:axId val="76857344"/>
      </c:lineChart>
      <c:catAx>
        <c:axId val="7684096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42880"/>
        <c:crosses val="autoZero"/>
        <c:auto val="1"/>
        <c:lblAlgn val="ctr"/>
        <c:lblOffset val="100"/>
      </c:catAx>
      <c:valAx>
        <c:axId val="768428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Available</a:t>
                </a:r>
                <a:r>
                  <a:rPr lang="en-IN" baseline="0"/>
                  <a:t> Nitrogen (Kg/ha)</a:t>
                </a:r>
                <a:endParaRPr lang="en-IN"/>
              </a:p>
            </c:rich>
          </c:tx>
          <c:layout>
            <c:manualLayout>
              <c:xMode val="edge"/>
              <c:yMode val="edge"/>
              <c:x val="1.6232667988356587E-2"/>
              <c:y val="6.9616715481969474E-2"/>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40960"/>
        <c:crosses val="autoZero"/>
        <c:crossBetween val="between"/>
      </c:valAx>
      <c:valAx>
        <c:axId val="76857344"/>
        <c:scaling>
          <c:orientation val="minMax"/>
        </c:scaling>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Available</a:t>
                </a:r>
                <a:r>
                  <a:rPr lang="en-IN" baseline="0"/>
                  <a:t> phosphorus (Kg/ha)</a:t>
                </a:r>
                <a:endParaRPr lang="en-IN"/>
              </a:p>
            </c:rich>
          </c:tx>
          <c:layout>
            <c:manualLayout>
              <c:xMode val="edge"/>
              <c:yMode val="edge"/>
              <c:x val="0.95337114357526742"/>
              <c:y val="5.0409219976616029E-2"/>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59264"/>
        <c:crosses val="max"/>
        <c:crossBetween val="between"/>
      </c:valAx>
      <c:catAx>
        <c:axId val="76859264"/>
        <c:scaling>
          <c:orientation val="minMax"/>
        </c:scaling>
        <c:delete val="1"/>
        <c:axPos val="b"/>
        <c:numFmt formatCode="General" sourceLinked="1"/>
        <c:majorTickMark val="none"/>
        <c:tickLblPos val="nextTo"/>
        <c:crossAx val="76857344"/>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3966</Words>
  <Characters>22611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lenovo</cp:lastModifiedBy>
  <cp:revision>10</cp:revision>
  <dcterms:created xsi:type="dcterms:W3CDTF">2025-09-23T05:35:00Z</dcterms:created>
  <dcterms:modified xsi:type="dcterms:W3CDTF">2025-09-24T13:07:00Z</dcterms:modified>
</cp:coreProperties>
</file>