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4AC4E" w14:textId="77777777" w:rsidR="00585BAE" w:rsidRDefault="00585BAE" w:rsidP="001C29F5">
      <w:pPr>
        <w:jc w:val="center"/>
        <w:rPr>
          <w:rFonts w:ascii="Times New Roman" w:hAnsi="Times New Roman" w:cs="Times New Roman"/>
          <w:b/>
          <w:bCs/>
        </w:rPr>
      </w:pPr>
    </w:p>
    <w:p w14:paraId="3D44B038" w14:textId="3AF94910" w:rsidR="00DD3D02" w:rsidRPr="00451C05" w:rsidRDefault="00DD3D02" w:rsidP="001C29F5">
      <w:pPr>
        <w:jc w:val="center"/>
        <w:rPr>
          <w:rFonts w:ascii="Times New Roman" w:hAnsi="Times New Roman" w:cs="Times New Roman"/>
        </w:rPr>
      </w:pPr>
      <w:r w:rsidRPr="00451C05">
        <w:rPr>
          <w:rFonts w:ascii="Times New Roman" w:hAnsi="Times New Roman" w:cs="Times New Roman"/>
          <w:b/>
          <w:bCs/>
        </w:rPr>
        <w:t xml:space="preserve">Effect of Liquid Biofertilizer Seed Treatments on Growth and Development of Wheat </w:t>
      </w:r>
      <w:r w:rsidRPr="00451C05">
        <w:rPr>
          <w:rFonts w:ascii="Times New Roman" w:hAnsi="Times New Roman" w:cs="Times New Roman"/>
          <w:b/>
          <w:bCs/>
          <w:i/>
          <w:iCs/>
        </w:rPr>
        <w:t xml:space="preserve">(Triticum aestivum </w:t>
      </w:r>
      <w:r w:rsidRPr="00451C05">
        <w:rPr>
          <w:rFonts w:ascii="Times New Roman" w:hAnsi="Times New Roman" w:cs="Times New Roman"/>
          <w:b/>
          <w:bCs/>
        </w:rPr>
        <w:t>L.)</w:t>
      </w:r>
    </w:p>
    <w:p w14:paraId="07EA2F59" w14:textId="77777777" w:rsidR="00925D74" w:rsidRDefault="00925D74" w:rsidP="00DD3D02">
      <w:pPr>
        <w:rPr>
          <w:rFonts w:ascii="Times New Roman" w:hAnsi="Times New Roman" w:cs="Times New Roman"/>
          <w:b/>
          <w:bCs/>
        </w:rPr>
      </w:pPr>
    </w:p>
    <w:p w14:paraId="00984FA2" w14:textId="77777777" w:rsidR="00925D74" w:rsidRDefault="00925D74" w:rsidP="00DD3D02">
      <w:pPr>
        <w:rPr>
          <w:rFonts w:ascii="Times New Roman" w:hAnsi="Times New Roman" w:cs="Times New Roman"/>
          <w:b/>
          <w:bCs/>
        </w:rPr>
      </w:pPr>
    </w:p>
    <w:p w14:paraId="375C8F96" w14:textId="3E27313A"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Abstract</w:t>
      </w:r>
    </w:p>
    <w:p w14:paraId="74FD4528" w14:textId="77777777" w:rsidR="00DD3D02" w:rsidRPr="00451C05" w:rsidRDefault="00DD3D02" w:rsidP="00DD3D02">
      <w:pPr>
        <w:jc w:val="both"/>
        <w:rPr>
          <w:rFonts w:ascii="Times New Roman" w:hAnsi="Times New Roman" w:cs="Times New Roman"/>
        </w:rPr>
      </w:pPr>
      <w:r w:rsidRPr="00451C05">
        <w:rPr>
          <w:rFonts w:ascii="Times New Roman" w:hAnsi="Times New Roman" w:cs="Times New Roman"/>
        </w:rPr>
        <w:t xml:space="preserve">This study evaluates the impact of various liquid biofertilizer seed treatments, including single and combined applications of </w:t>
      </w:r>
      <w:proofErr w:type="spellStart"/>
      <w:r w:rsidRPr="00B93F02">
        <w:rPr>
          <w:rFonts w:ascii="Times New Roman" w:hAnsi="Times New Roman" w:cs="Times New Roman"/>
          <w:highlight w:val="yellow"/>
        </w:rPr>
        <w:t>Azospirillum</w:t>
      </w:r>
      <w:proofErr w:type="spellEnd"/>
      <w:r w:rsidRPr="00B93F02">
        <w:rPr>
          <w:rFonts w:ascii="Times New Roman" w:hAnsi="Times New Roman" w:cs="Times New Roman"/>
          <w:highlight w:val="yellow"/>
        </w:rPr>
        <w:t>,</w:t>
      </w:r>
      <w:r w:rsidRPr="00451C05">
        <w:rPr>
          <w:rFonts w:ascii="Times New Roman" w:hAnsi="Times New Roman" w:cs="Times New Roman"/>
        </w:rPr>
        <w:t xml:space="preserve"> KSB (Potassium Solubilizing Bacteria), PSB (Phosphate Solubilizing Bacteria), </w:t>
      </w:r>
      <w:commentRangeStart w:id="0"/>
      <w:r w:rsidRPr="00B93F02">
        <w:rPr>
          <w:rFonts w:ascii="Times New Roman" w:hAnsi="Times New Roman" w:cs="Times New Roman"/>
          <w:highlight w:val="yellow"/>
        </w:rPr>
        <w:t>Pseudomonas</w:t>
      </w:r>
      <w:commentRangeEnd w:id="0"/>
      <w:r w:rsidR="00B93F02">
        <w:rPr>
          <w:rStyle w:val="CommentReference"/>
        </w:rPr>
        <w:commentReference w:id="0"/>
      </w:r>
      <w:r w:rsidRPr="00451C05">
        <w:rPr>
          <w:rFonts w:ascii="Times New Roman" w:hAnsi="Times New Roman" w:cs="Times New Roman"/>
        </w:rPr>
        <w:t xml:space="preserve">, and Thiram on wheat growth parameters and phenological stages. Field emergence, plant establishment, chlorophyll content, leaf area index (LAI), spike emergence, heading, plant height, and crop maturity days were assessed. Results reveal significant improvements in emergence, growth, and accelerated phenology with biofertilizer treatments, especially combinations of </w:t>
      </w:r>
      <w:proofErr w:type="spellStart"/>
      <w:r w:rsidRPr="00B93F02">
        <w:rPr>
          <w:rFonts w:ascii="Times New Roman" w:hAnsi="Times New Roman" w:cs="Times New Roman"/>
          <w:highlight w:val="yellow"/>
        </w:rPr>
        <w:t>Azospirillum</w:t>
      </w:r>
      <w:proofErr w:type="spellEnd"/>
      <w:r w:rsidRPr="00451C05">
        <w:rPr>
          <w:rFonts w:ascii="Times New Roman" w:hAnsi="Times New Roman" w:cs="Times New Roman"/>
        </w:rPr>
        <w:t xml:space="preserve"> with KSB and PSB, compared to the control and Thiram-treated seeds. Combined biofertilizer application yielded the highest emergence (93.33%), leaf area (5.16), and shortest crop maturity duration (118.83 days). These findings indicate that strategic biofertilizer co-inoculations promote early establishment, robust growth, and enable faster crop maturity in wheat.</w:t>
      </w:r>
    </w:p>
    <w:p w14:paraId="3352FD4D" w14:textId="367508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Keywords</w:t>
      </w:r>
      <w:r w:rsidR="005A1620" w:rsidRPr="00451C05">
        <w:rPr>
          <w:rFonts w:ascii="Times New Roman" w:hAnsi="Times New Roman" w:cs="Times New Roman"/>
          <w:b/>
          <w:bCs/>
        </w:rPr>
        <w:t>-Co-inoculations, Phonological stage, Emergence, Growth</w:t>
      </w:r>
    </w:p>
    <w:p w14:paraId="11CC50DC" w14:textId="77777777" w:rsidR="00DD3D02" w:rsidRPr="00451C05" w:rsidRDefault="00DD3D02" w:rsidP="00DD3D02">
      <w:pPr>
        <w:rPr>
          <w:rFonts w:ascii="Times New Roman" w:hAnsi="Times New Roman" w:cs="Times New Roman"/>
          <w:b/>
          <w:bCs/>
        </w:rPr>
      </w:pPr>
      <w:r w:rsidRPr="00451C05">
        <w:rPr>
          <w:rFonts w:ascii="Times New Roman" w:hAnsi="Times New Roman" w:cs="Times New Roman"/>
          <w:b/>
          <w:bCs/>
        </w:rPr>
        <w:t>Introduction</w:t>
      </w:r>
    </w:p>
    <w:p w14:paraId="6646D240" w14:textId="57389798" w:rsidR="00DD3D02" w:rsidRPr="00451C05" w:rsidRDefault="00DD3D02" w:rsidP="00DD3D02">
      <w:pPr>
        <w:jc w:val="both"/>
        <w:rPr>
          <w:rFonts w:ascii="Times New Roman" w:hAnsi="Times New Roman" w:cs="Times New Roman"/>
        </w:rPr>
      </w:pPr>
      <w:r w:rsidRPr="00451C05">
        <w:rPr>
          <w:rFonts w:ascii="Times New Roman" w:hAnsi="Times New Roman" w:cs="Times New Roman"/>
        </w:rPr>
        <w:t>Wheat (</w:t>
      </w:r>
      <w:r w:rsidRPr="00451C05">
        <w:rPr>
          <w:rFonts w:ascii="Times New Roman" w:hAnsi="Times New Roman" w:cs="Times New Roman"/>
          <w:i/>
          <w:iCs/>
        </w:rPr>
        <w:t>Triticum aestivum</w:t>
      </w:r>
      <w:r w:rsidRPr="00451C05">
        <w:rPr>
          <w:rFonts w:ascii="Times New Roman" w:hAnsi="Times New Roman" w:cs="Times New Roman"/>
        </w:rPr>
        <w:t xml:space="preserve"> L.), a major staple crop, demands optimized nutrient management for high productivity. </w:t>
      </w:r>
      <w:r w:rsidR="002F61EA" w:rsidRPr="00451C05">
        <w:rPr>
          <w:rFonts w:ascii="Times New Roman" w:hAnsi="Times New Roman" w:cs="Times New Roman"/>
          <w:lang w:val="en-IN"/>
        </w:rPr>
        <w:t xml:space="preserve">Wheat production has increased significantly since the Green Revolution of the 1970s and 1980s. The primary wheat-cultivating states are located in the plains, including Uttar Pradesh, Punjab, and Haryana, which account for nearly 70% of the country's wheat cultivation. India now has surplus production and exports wheat to international markets, earning foreign exchange. </w:t>
      </w:r>
      <w:r w:rsidRPr="00451C05">
        <w:rPr>
          <w:rFonts w:ascii="Times New Roman" w:hAnsi="Times New Roman" w:cs="Times New Roman"/>
        </w:rPr>
        <w:t>Conventional chemical seed treatme</w:t>
      </w:r>
      <w:r w:rsidR="0062181F" w:rsidRPr="00451C05">
        <w:rPr>
          <w:rFonts w:ascii="Times New Roman" w:hAnsi="Times New Roman" w:cs="Times New Roman"/>
        </w:rPr>
        <w:t xml:space="preserve">nts, </w:t>
      </w:r>
      <w:r w:rsidRPr="00451C05">
        <w:rPr>
          <w:rFonts w:ascii="Times New Roman" w:hAnsi="Times New Roman" w:cs="Times New Roman"/>
        </w:rPr>
        <w:t>such as Thiram, primarily serve disease management but offer limited physiological benefits.</w:t>
      </w:r>
      <w:r w:rsidR="00305D81" w:rsidRPr="00451C05">
        <w:rPr>
          <w:rFonts w:ascii="Times New Roman" w:eastAsia="Times New Roman" w:hAnsi="Times New Roman" w:cs="Times New Roman"/>
          <w:kern w:val="0"/>
          <w:sz w:val="28"/>
          <w:szCs w:val="28"/>
          <w:lang w:val="en-IN" w:eastAsia="en-IN" w:bidi="hi-IN"/>
          <w14:ligatures w14:val="none"/>
        </w:rPr>
        <w:t xml:space="preserve"> </w:t>
      </w:r>
      <w:r w:rsidR="00305D81" w:rsidRPr="00451C05">
        <w:rPr>
          <w:rFonts w:ascii="Times New Roman" w:hAnsi="Times New Roman" w:cs="Times New Roman"/>
          <w:lang w:val="en-IN"/>
        </w:rPr>
        <w:t xml:space="preserve">Bio fertilizers offer an efficient alternative for restoring soil fertility in certain situations. These preparations contain living microorganisms that can improve soil fertility and promote growth by converting unavailable nutrients (nitrogen, phosphorus) into available forms through biological nitrogen fixation and phosphorus </w:t>
      </w:r>
      <w:r w:rsidR="005A1620" w:rsidRPr="00451C05">
        <w:rPr>
          <w:rFonts w:ascii="Times New Roman" w:hAnsi="Times New Roman" w:cs="Times New Roman"/>
          <w:lang w:val="en-IN"/>
        </w:rPr>
        <w:t>solubilisation</w:t>
      </w:r>
      <w:r w:rsidR="00305D81" w:rsidRPr="00451C05">
        <w:rPr>
          <w:rFonts w:ascii="Times New Roman" w:hAnsi="Times New Roman" w:cs="Times New Roman"/>
          <w:lang w:val="en-IN"/>
        </w:rPr>
        <w:t xml:space="preserve"> (</w:t>
      </w:r>
      <w:proofErr w:type="spellStart"/>
      <w:r w:rsidR="00305D81" w:rsidRPr="008555A1">
        <w:rPr>
          <w:rFonts w:ascii="Times New Roman" w:hAnsi="Times New Roman" w:cs="Times New Roman"/>
          <w:lang w:val="en-IN"/>
        </w:rPr>
        <w:t>Rokhzadi</w:t>
      </w:r>
      <w:proofErr w:type="spellEnd"/>
      <w:r w:rsidR="00305D81" w:rsidRPr="008555A1">
        <w:rPr>
          <w:rFonts w:ascii="Times New Roman" w:hAnsi="Times New Roman" w:cs="Times New Roman"/>
          <w:lang w:val="en-IN"/>
        </w:rPr>
        <w:t xml:space="preserve"> et al., 2008</w:t>
      </w:r>
      <w:proofErr w:type="gramStart"/>
      <w:r w:rsidR="00305D81" w:rsidRPr="00451C05">
        <w:rPr>
          <w:rFonts w:ascii="Times New Roman" w:hAnsi="Times New Roman" w:cs="Times New Roman"/>
          <w:lang w:val="en-IN"/>
        </w:rPr>
        <w:t>).</w:t>
      </w:r>
      <w:r w:rsidR="00305D81" w:rsidRPr="00451C05">
        <w:rPr>
          <w:rFonts w:ascii="Times New Roman" w:hAnsi="Times New Roman" w:cs="Times New Roman"/>
        </w:rPr>
        <w:t>Bio</w:t>
      </w:r>
      <w:r w:rsidR="003B7664" w:rsidRPr="00451C05">
        <w:rPr>
          <w:rFonts w:ascii="Times New Roman" w:hAnsi="Times New Roman" w:cs="Times New Roman"/>
        </w:rPr>
        <w:t>fertilizers</w:t>
      </w:r>
      <w:proofErr w:type="gramEnd"/>
      <w:r w:rsidRPr="00451C05">
        <w:rPr>
          <w:rFonts w:ascii="Times New Roman" w:hAnsi="Times New Roman" w:cs="Times New Roman"/>
        </w:rPr>
        <w:t xml:space="preserve">, including </w:t>
      </w:r>
      <w:proofErr w:type="spellStart"/>
      <w:r w:rsidRPr="00D63330">
        <w:rPr>
          <w:rFonts w:ascii="Times New Roman" w:hAnsi="Times New Roman" w:cs="Times New Roman"/>
          <w:highlight w:val="yellow"/>
        </w:rPr>
        <w:t>Azospirillum</w:t>
      </w:r>
      <w:proofErr w:type="spellEnd"/>
      <w:r w:rsidRPr="00451C05">
        <w:rPr>
          <w:rFonts w:ascii="Times New Roman" w:hAnsi="Times New Roman" w:cs="Times New Roman"/>
        </w:rPr>
        <w:t xml:space="preserve">, PSB, KSB, and </w:t>
      </w:r>
      <w:r w:rsidRPr="00D63330">
        <w:rPr>
          <w:rFonts w:ascii="Times New Roman" w:hAnsi="Times New Roman" w:cs="Times New Roman"/>
          <w:highlight w:val="yellow"/>
        </w:rPr>
        <w:t>Pseudomonas</w:t>
      </w:r>
      <w:r w:rsidRPr="00451C05">
        <w:rPr>
          <w:rFonts w:ascii="Times New Roman" w:hAnsi="Times New Roman" w:cs="Times New Roman"/>
        </w:rPr>
        <w:t>, are increasingly adopted for their multifaceted roles in nitrogen-fixation, phosphorus and potassium solubilization, and plant growth promotion. The i</w:t>
      </w:r>
      <w:r w:rsidR="0062181F" w:rsidRPr="00451C05">
        <w:rPr>
          <w:rFonts w:ascii="Times New Roman" w:hAnsi="Times New Roman" w:cs="Times New Roman"/>
        </w:rPr>
        <w:t xml:space="preserve">ntegration of </w:t>
      </w:r>
      <w:r w:rsidR="00C471CE" w:rsidRPr="00451C05">
        <w:rPr>
          <w:rFonts w:ascii="Times New Roman" w:hAnsi="Times New Roman" w:cs="Times New Roman"/>
        </w:rPr>
        <w:t>bio fertilizers</w:t>
      </w:r>
      <w:r w:rsidR="0062181F" w:rsidRPr="00451C05">
        <w:rPr>
          <w:rFonts w:ascii="Times New Roman" w:hAnsi="Times New Roman" w:cs="Times New Roman"/>
        </w:rPr>
        <w:t xml:space="preserve"> as </w:t>
      </w:r>
      <w:r w:rsidRPr="00451C05">
        <w:rPr>
          <w:rFonts w:ascii="Times New Roman" w:hAnsi="Times New Roman" w:cs="Times New Roman"/>
        </w:rPr>
        <w:t>seed treatments is known to improve emergence, growth dynamics, and nutrient uptake. However, quantifying the comparative effects of single and combined liquid biofertilizer treatments against conventional chemical fungicides has received limited long-term field validation in wheat. This experiment was conducted to explore the pooled effects (2023–</w:t>
      </w:r>
      <w:r w:rsidRPr="00451C05">
        <w:rPr>
          <w:rFonts w:ascii="Times New Roman" w:hAnsi="Times New Roman" w:cs="Times New Roman"/>
        </w:rPr>
        <w:lastRenderedPageBreak/>
        <w:t xml:space="preserve">2025) of various </w:t>
      </w:r>
      <w:r w:rsidR="00305D81" w:rsidRPr="00451C05">
        <w:rPr>
          <w:rFonts w:ascii="Times New Roman" w:hAnsi="Times New Roman" w:cs="Times New Roman"/>
        </w:rPr>
        <w:t xml:space="preserve">liquid bio fertilizer treatments </w:t>
      </w:r>
      <w:r w:rsidRPr="00451C05">
        <w:rPr>
          <w:rFonts w:ascii="Times New Roman" w:hAnsi="Times New Roman" w:cs="Times New Roman"/>
        </w:rPr>
        <w:t>on emergence, plant establishment, vegetative growth, and maturation traits in wheat under field conditions.</w:t>
      </w:r>
      <w:r w:rsidR="0062181F" w:rsidRPr="00451C05">
        <w:rPr>
          <w:rFonts w:ascii="Times New Roman" w:hAnsi="Times New Roman" w:cs="Times New Roman"/>
        </w:rPr>
        <w:t xml:space="preserve"> </w:t>
      </w:r>
    </w:p>
    <w:p w14:paraId="42D28B61" w14:textId="77777777" w:rsidR="005A1620" w:rsidRPr="00451C05" w:rsidRDefault="005A1620" w:rsidP="00DD3D02">
      <w:pPr>
        <w:jc w:val="both"/>
        <w:rPr>
          <w:rFonts w:ascii="Times New Roman" w:hAnsi="Times New Roman" w:cs="Times New Roman"/>
          <w:lang w:val="en-IN"/>
        </w:rPr>
      </w:pPr>
    </w:p>
    <w:p w14:paraId="0CB6269E" w14:textId="23FF6F02" w:rsidR="00DD3D02" w:rsidRPr="00451C05" w:rsidRDefault="00DD3D02" w:rsidP="00DD3D02">
      <w:pPr>
        <w:rPr>
          <w:rFonts w:ascii="Times New Roman" w:hAnsi="Times New Roman" w:cs="Times New Roman"/>
          <w:b/>
          <w:bCs/>
        </w:rPr>
      </w:pPr>
      <w:r w:rsidRPr="008555A1">
        <w:rPr>
          <w:rFonts w:ascii="Times New Roman" w:hAnsi="Times New Roman" w:cs="Times New Roman"/>
          <w:b/>
          <w:bCs/>
          <w:sz w:val="28"/>
          <w:szCs w:val="28"/>
        </w:rPr>
        <w:t>Materials and Methods</w:t>
      </w:r>
    </w:p>
    <w:p w14:paraId="30C8310A" w14:textId="200A519E" w:rsidR="00EB4533" w:rsidRDefault="005A1620" w:rsidP="00EB4533">
      <w:pPr>
        <w:jc w:val="both"/>
        <w:rPr>
          <w:rFonts w:ascii="Times New Roman" w:hAnsi="Times New Roman" w:cs="Times New Roman"/>
        </w:rPr>
      </w:pPr>
      <w:r w:rsidRPr="00451C05">
        <w:rPr>
          <w:rFonts w:ascii="Times New Roman" w:hAnsi="Times New Roman" w:cs="Times New Roman"/>
          <w:lang w:val="en-IN"/>
        </w:rPr>
        <w:t xml:space="preserve">For conducting </w:t>
      </w:r>
      <w:r w:rsidR="003E0F02">
        <w:rPr>
          <w:rFonts w:ascii="Times New Roman" w:hAnsi="Times New Roman" w:cs="Times New Roman"/>
          <w:lang w:val="en-IN"/>
        </w:rPr>
        <w:t>an experiment</w:t>
      </w:r>
      <w:r w:rsidRPr="00451C05">
        <w:rPr>
          <w:rFonts w:ascii="Times New Roman" w:hAnsi="Times New Roman" w:cs="Times New Roman"/>
          <w:lang w:val="en-IN"/>
        </w:rPr>
        <w:t xml:space="preserve"> wheat variety K1317 seeds were treated with required quantity of liquid bio fertilizers </w:t>
      </w:r>
      <w:r w:rsidR="00461128" w:rsidRPr="00451C05">
        <w:rPr>
          <w:rFonts w:ascii="Times New Roman" w:hAnsi="Times New Roman" w:cs="Times New Roman"/>
          <w:lang w:val="en-IN"/>
        </w:rPr>
        <w:t xml:space="preserve">viz., </w:t>
      </w:r>
      <w:r w:rsidRPr="00451C05">
        <w:rPr>
          <w:rFonts w:ascii="Times New Roman" w:hAnsi="Times New Roman" w:cs="Times New Roman"/>
          <w:lang w:val="en-IN"/>
        </w:rPr>
        <w:t xml:space="preserve">Em culture, </w:t>
      </w:r>
      <w:r w:rsidRPr="006D3EEC">
        <w:rPr>
          <w:rFonts w:ascii="Times New Roman" w:hAnsi="Times New Roman" w:cs="Times New Roman"/>
          <w:highlight w:val="yellow"/>
          <w:lang w:val="en-IN"/>
        </w:rPr>
        <w:t>Pseudomonas,</w:t>
      </w:r>
      <w:r w:rsidRPr="00451C05">
        <w:rPr>
          <w:rFonts w:ascii="Times New Roman" w:hAnsi="Times New Roman" w:cs="Times New Roman"/>
          <w:lang w:val="en-IN"/>
        </w:rPr>
        <w:t xml:space="preserve"> </w:t>
      </w:r>
      <w:proofErr w:type="spellStart"/>
      <w:r w:rsidRPr="006D3EEC">
        <w:rPr>
          <w:rFonts w:ascii="Times New Roman" w:hAnsi="Times New Roman" w:cs="Times New Roman"/>
          <w:highlight w:val="yellow"/>
          <w:lang w:val="en-IN"/>
        </w:rPr>
        <w:t>Azospirillum</w:t>
      </w:r>
      <w:proofErr w:type="spellEnd"/>
      <w:r w:rsidRPr="00451C05">
        <w:rPr>
          <w:rFonts w:ascii="Times New Roman" w:hAnsi="Times New Roman" w:cs="Times New Roman"/>
          <w:lang w:val="en-IN"/>
        </w:rPr>
        <w:t xml:space="preserve">, PSB, KSB alone and in combination. </w:t>
      </w:r>
      <w:r w:rsidR="00461128" w:rsidRPr="00451C05">
        <w:rPr>
          <w:rFonts w:ascii="Times New Roman" w:hAnsi="Times New Roman" w:cs="Times New Roman"/>
          <w:lang w:val="en-IN"/>
        </w:rPr>
        <w:t>The treated seeds were kept for shade drying for 30 minutes. For conducting a field trial randomized block design was applied.</w:t>
      </w:r>
      <w:r w:rsidR="0096193E">
        <w:rPr>
          <w:rFonts w:ascii="Times New Roman" w:hAnsi="Times New Roman" w:cs="Times New Roman"/>
          <w:lang w:val="en-IN"/>
        </w:rPr>
        <w:t xml:space="preserve"> </w:t>
      </w:r>
      <w:r w:rsidR="00EB4533" w:rsidRPr="00EB4533">
        <w:rPr>
          <w:rFonts w:ascii="Times New Roman" w:hAnsi="Times New Roman" w:cs="Times New Roman"/>
        </w:rPr>
        <w:t xml:space="preserve">The field investigation was carried out at the research farm of Chandra Shekhar Azad University of Agriculture and Technology (CSAU&amp;T), Kanpur, India. The experimental site is geographically situated at 26.4912° N latitude and 80.3071° E longitude, with an elevation of approximately 126 meters above mean sea level (MSL). This location falls within the subtropical Indo-Gangetic Plains, characterized by hot summers, cool winters, and moderate rainfall, thereby making it a representative site for wheat cultivation under </w:t>
      </w:r>
      <w:r w:rsidR="00EB4533" w:rsidRPr="003E0F02">
        <w:rPr>
          <w:rFonts w:ascii="Times New Roman" w:hAnsi="Times New Roman" w:cs="Times New Roman"/>
          <w:i/>
          <w:iCs/>
        </w:rPr>
        <w:t>rabi</w:t>
      </w:r>
      <w:r w:rsidR="00EB4533" w:rsidRPr="00EB4533">
        <w:rPr>
          <w:rFonts w:ascii="Times New Roman" w:hAnsi="Times New Roman" w:cs="Times New Roman"/>
        </w:rPr>
        <w:t xml:space="preserve"> season conditions</w:t>
      </w:r>
      <w:r w:rsidR="0096193E">
        <w:rPr>
          <w:rFonts w:ascii="Times New Roman" w:hAnsi="Times New Roman" w:cs="Times New Roman"/>
        </w:rPr>
        <w:t xml:space="preserve">. </w:t>
      </w:r>
      <w:r w:rsidR="00EB4533" w:rsidRPr="00EB4533">
        <w:rPr>
          <w:rFonts w:ascii="Times New Roman" w:hAnsi="Times New Roman" w:cs="Times New Roman"/>
        </w:rPr>
        <w:t xml:space="preserve">The study was conducted for two consecutive </w:t>
      </w:r>
      <w:r w:rsidR="00EB4533" w:rsidRPr="003E0F02">
        <w:rPr>
          <w:rFonts w:ascii="Times New Roman" w:hAnsi="Times New Roman" w:cs="Times New Roman"/>
          <w:i/>
          <w:iCs/>
        </w:rPr>
        <w:t>rabi</w:t>
      </w:r>
      <w:r w:rsidR="00EB4533" w:rsidRPr="00EB4533">
        <w:rPr>
          <w:rFonts w:ascii="Times New Roman" w:hAnsi="Times New Roman" w:cs="Times New Roman"/>
        </w:rPr>
        <w:t xml:space="preserve"> cropping seasons, extending from 2023 to 2025. Certified wheat seeds were used for sowing during each season under standard agronomic management practices. This temporal framework ensured the evaluation of seed performance and treatment effects under varying seasonal environments and </w:t>
      </w:r>
      <w:proofErr w:type="spellStart"/>
      <w:r w:rsidR="00EB4533" w:rsidRPr="00EB4533">
        <w:rPr>
          <w:rFonts w:ascii="Times New Roman" w:hAnsi="Times New Roman" w:cs="Times New Roman"/>
        </w:rPr>
        <w:t>agro</w:t>
      </w:r>
      <w:proofErr w:type="spellEnd"/>
      <w:r w:rsidR="00EB4533" w:rsidRPr="00EB4533">
        <w:rPr>
          <w:rFonts w:ascii="Times New Roman" w:hAnsi="Times New Roman" w:cs="Times New Roman"/>
        </w:rPr>
        <w:t>-climatic conditions, thereby increasing the reliability and robustness of the experimental observations.</w:t>
      </w:r>
    </w:p>
    <w:p w14:paraId="0BFC6FAF" w14:textId="25A8979A" w:rsidR="00EB4533" w:rsidRPr="00EB4533" w:rsidRDefault="0096193E" w:rsidP="005A1620">
      <w:pPr>
        <w:jc w:val="both"/>
        <w:rPr>
          <w:rFonts w:ascii="Times New Roman" w:hAnsi="Times New Roman" w:cs="Times New Roman"/>
        </w:rPr>
      </w:pPr>
      <w:r w:rsidRPr="0096193E">
        <w:rPr>
          <w:rFonts w:ascii="Times New Roman" w:hAnsi="Times New Roman" w:cs="Times New Roman"/>
        </w:rPr>
        <w:t xml:space="preserve">The experimental material consisted of ten distinct seed treatment protocols designed to evaluate the influence of microbial inoculants and chemical protectants on wheat seed performance under field conditions. The treatments were imposed on wheat seeds prior to sowing, with specific dosages optimized according to standard recommendations for microbial cultures and fungicides. The details of the treatments are T1: Control (untreated seeds) – Seeds were sown without any microbial or chemical treatment to serve as the baseline for comparison. T2: Effective Microorganisms (EM) culture @ 10 ml/kg seed – Seeds were treated with a consortium of beneficial microbes (lactic acid bacteria, photosynthetic bacteria, actinomycetes, and yeasts) aimed at enhancing microbial colonization around the rhizosphere. T3: Potassium-solubilizing bacteria (KSB) @ 20 ml/kg seed – Application of KSB culture intended to facilitate mineral potassium solubilization and improve nutrient availability during germination and seedling growth. T4: Phosphate-solubilizing bacteria (PSB) @ 20 ml/kg seed – A microbial bio-inoculant applied to promote dissolution of insoluble phosphates, thereby improving phosphorus uptake efficiency in early seedling stages. T5: </w:t>
      </w:r>
      <w:r w:rsidRPr="006D3EEC">
        <w:rPr>
          <w:rFonts w:ascii="Times New Roman" w:hAnsi="Times New Roman" w:cs="Times New Roman"/>
          <w:highlight w:val="yellow"/>
        </w:rPr>
        <w:t>Pseudomonas fluorescens</w:t>
      </w:r>
      <w:r w:rsidRPr="0096193E">
        <w:rPr>
          <w:rFonts w:ascii="Times New Roman" w:hAnsi="Times New Roman" w:cs="Times New Roman"/>
        </w:rPr>
        <w:t xml:space="preserve"> @ 20 ml/kg seed – A plant growth-promoting rhizobacterium (PGPR) treatment, well known for its antagonistic activity against seed- and soil-borne pathogens, as well as for stimulating root development. T6: </w:t>
      </w:r>
      <w:proofErr w:type="spellStart"/>
      <w:r w:rsidRPr="006D3EEC">
        <w:rPr>
          <w:rFonts w:ascii="Times New Roman" w:hAnsi="Times New Roman" w:cs="Times New Roman"/>
          <w:highlight w:val="yellow"/>
        </w:rPr>
        <w:t>Azospirillum</w:t>
      </w:r>
      <w:proofErr w:type="spellEnd"/>
      <w:r w:rsidRPr="0096193E">
        <w:rPr>
          <w:rFonts w:ascii="Times New Roman" w:hAnsi="Times New Roman" w:cs="Times New Roman"/>
        </w:rPr>
        <w:t xml:space="preserve"> @ 20 ml/kg seed – Seeds treated with </w:t>
      </w:r>
      <w:proofErr w:type="spellStart"/>
      <w:r w:rsidRPr="0096193E">
        <w:rPr>
          <w:rFonts w:ascii="Times New Roman" w:hAnsi="Times New Roman" w:cs="Times New Roman"/>
        </w:rPr>
        <w:t>Azospirillum</w:t>
      </w:r>
      <w:proofErr w:type="spellEnd"/>
      <w:r w:rsidRPr="0096193E">
        <w:rPr>
          <w:rFonts w:ascii="Times New Roman" w:hAnsi="Times New Roman" w:cs="Times New Roman"/>
        </w:rPr>
        <w:t xml:space="preserve">, a well-documented nitrogen-fixing bacterium that enhances root proliferation, nutrient uptake, and overall seedling vigor. T7: </w:t>
      </w:r>
      <w:proofErr w:type="spellStart"/>
      <w:r w:rsidRPr="006D3EEC">
        <w:rPr>
          <w:rFonts w:ascii="Times New Roman" w:hAnsi="Times New Roman" w:cs="Times New Roman"/>
          <w:highlight w:val="yellow"/>
        </w:rPr>
        <w:t>Azospirillum</w:t>
      </w:r>
      <w:proofErr w:type="spellEnd"/>
      <w:r w:rsidRPr="0096193E">
        <w:rPr>
          <w:rFonts w:ascii="Times New Roman" w:hAnsi="Times New Roman" w:cs="Times New Roman"/>
        </w:rPr>
        <w:t xml:space="preserve"> + KSB @ 20 ml/kg seed – A dual inoculation treatment combining nitrogen-fixing </w:t>
      </w:r>
      <w:r w:rsidRPr="0096193E">
        <w:rPr>
          <w:rFonts w:ascii="Times New Roman" w:hAnsi="Times New Roman" w:cs="Times New Roman"/>
        </w:rPr>
        <w:lastRenderedPageBreak/>
        <w:t xml:space="preserve">and potassium-solubilizing microbial populations to provide synergistic effects on nutrient availability. T8: </w:t>
      </w:r>
      <w:proofErr w:type="spellStart"/>
      <w:r w:rsidRPr="006D3EEC">
        <w:rPr>
          <w:rFonts w:ascii="Times New Roman" w:hAnsi="Times New Roman" w:cs="Times New Roman"/>
          <w:highlight w:val="yellow"/>
        </w:rPr>
        <w:t>Azospirillum</w:t>
      </w:r>
      <w:proofErr w:type="spellEnd"/>
      <w:r w:rsidRPr="0096193E">
        <w:rPr>
          <w:rFonts w:ascii="Times New Roman" w:hAnsi="Times New Roman" w:cs="Times New Roman"/>
        </w:rPr>
        <w:t xml:space="preserve"> + PSB @ 20 ml/kg seed – A combination treatment involving </w:t>
      </w:r>
      <w:proofErr w:type="spellStart"/>
      <w:r w:rsidRPr="006D3EEC">
        <w:rPr>
          <w:rFonts w:ascii="Times New Roman" w:hAnsi="Times New Roman" w:cs="Times New Roman"/>
          <w:highlight w:val="yellow"/>
        </w:rPr>
        <w:t>Azospirillum</w:t>
      </w:r>
      <w:proofErr w:type="spellEnd"/>
      <w:r w:rsidRPr="0096193E">
        <w:rPr>
          <w:rFonts w:ascii="Times New Roman" w:hAnsi="Times New Roman" w:cs="Times New Roman"/>
        </w:rPr>
        <w:t xml:space="preserve"> and phosphate-solubilizing microorganisms to promote both nitrogen fixation and phosphorus solubilization. T9: </w:t>
      </w:r>
      <w:proofErr w:type="spellStart"/>
      <w:r w:rsidRPr="006D3EEC">
        <w:rPr>
          <w:rFonts w:ascii="Times New Roman" w:hAnsi="Times New Roman" w:cs="Times New Roman"/>
          <w:highlight w:val="yellow"/>
        </w:rPr>
        <w:t>Azospirillum</w:t>
      </w:r>
      <w:proofErr w:type="spellEnd"/>
      <w:r w:rsidRPr="0096193E">
        <w:rPr>
          <w:rFonts w:ascii="Times New Roman" w:hAnsi="Times New Roman" w:cs="Times New Roman"/>
        </w:rPr>
        <w:t xml:space="preserve"> + KSB + PSB @ 30 ml/kg seed – A consortium inoculation where all three beneficial microbial groups were simultaneously applied, hypothesized to maximize nutrient availability (N, P, and K mobilization) and enhance seedling vigor. T10: Thiram @ 1.3 g/kg seed – Seeds treated with Thiram, a synthetic dimethyl-</w:t>
      </w:r>
      <w:proofErr w:type="spellStart"/>
      <w:r w:rsidRPr="0096193E">
        <w:rPr>
          <w:rFonts w:ascii="Times New Roman" w:hAnsi="Times New Roman" w:cs="Times New Roman"/>
        </w:rPr>
        <w:t>dithiocarbamate</w:t>
      </w:r>
      <w:proofErr w:type="spellEnd"/>
      <w:r w:rsidRPr="0096193E">
        <w:rPr>
          <w:rFonts w:ascii="Times New Roman" w:hAnsi="Times New Roman" w:cs="Times New Roman"/>
        </w:rPr>
        <w:t xml:space="preserve"> fungicide, applied as a standard chemical seed protectant against seed- and soil-borne fungal diseases, to serve as a chemical check.</w:t>
      </w:r>
    </w:p>
    <w:p w14:paraId="38802BA8" w14:textId="77777777" w:rsidR="00DD3D02" w:rsidRPr="002D0292" w:rsidRDefault="00DD3D02" w:rsidP="00DD3D02">
      <w:pPr>
        <w:rPr>
          <w:rFonts w:ascii="Times New Roman" w:hAnsi="Times New Roman" w:cs="Times New Roman"/>
          <w:b/>
          <w:bCs/>
          <w:sz w:val="28"/>
          <w:szCs w:val="28"/>
        </w:rPr>
      </w:pPr>
      <w:r w:rsidRPr="002D0292">
        <w:rPr>
          <w:rFonts w:ascii="Times New Roman" w:hAnsi="Times New Roman" w:cs="Times New Roman"/>
          <w:b/>
          <w:bCs/>
          <w:sz w:val="28"/>
          <w:szCs w:val="28"/>
        </w:rPr>
        <w:t>Data Collection</w:t>
      </w:r>
    </w:p>
    <w:p w14:paraId="099C7D6C" w14:textId="32B7E7B1" w:rsidR="00DD3D02" w:rsidRPr="00CA56EA" w:rsidRDefault="00DD3D02" w:rsidP="00CA56EA">
      <w:pPr>
        <w:jc w:val="both"/>
        <w:rPr>
          <w:rFonts w:ascii="Times New Roman" w:hAnsi="Times New Roman" w:cs="Times New Roman"/>
        </w:rPr>
      </w:pPr>
      <w:r w:rsidRPr="00CA56EA">
        <w:rPr>
          <w:rFonts w:ascii="Times New Roman" w:hAnsi="Times New Roman" w:cs="Times New Roman"/>
        </w:rPr>
        <w:t>Emergence &amp; Plant Establishment</w:t>
      </w:r>
      <w:r w:rsidR="00CA56EA" w:rsidRPr="00CA56EA">
        <w:rPr>
          <w:rFonts w:ascii="Times New Roman" w:hAnsi="Times New Roman" w:cs="Times New Roman"/>
        </w:rPr>
        <w:t xml:space="preserve"> includes </w:t>
      </w:r>
      <w:r w:rsidRPr="00CA56EA">
        <w:rPr>
          <w:rFonts w:ascii="Times New Roman" w:hAnsi="Times New Roman" w:cs="Times New Roman"/>
        </w:rPr>
        <w:t>Percentage emergence and final plants/m² counted at early seedling stage.</w:t>
      </w:r>
      <w:r w:rsidR="00F06FA2" w:rsidRPr="00CA56EA">
        <w:rPr>
          <w:rFonts w:ascii="Times New Roman" w:hAnsi="Times New Roman" w:cs="Times New Roman"/>
        </w:rPr>
        <w:t xml:space="preserve"> Field emergence data were taken by</w:t>
      </w:r>
      <w:r w:rsidR="005B4A76" w:rsidRPr="00CA56EA">
        <w:rPr>
          <w:rFonts w:ascii="Times New Roman" w:hAnsi="Times New Roman" w:cs="Times New Roman"/>
        </w:rPr>
        <w:t xml:space="preserve"> sowing hundred seeds at 5 cm depth in three replications. After 21 days numbers of seeds germinated were counted on hundred plant </w:t>
      </w:r>
      <w:proofErr w:type="gramStart"/>
      <w:r w:rsidR="005B4A76" w:rsidRPr="00CA56EA">
        <w:rPr>
          <w:rFonts w:ascii="Times New Roman" w:hAnsi="Times New Roman" w:cs="Times New Roman"/>
        </w:rPr>
        <w:t>basis</w:t>
      </w:r>
      <w:proofErr w:type="gramEnd"/>
      <w:r w:rsidR="005B4A76" w:rsidRPr="00CA56EA">
        <w:rPr>
          <w:rFonts w:ascii="Times New Roman" w:hAnsi="Times New Roman" w:cs="Times New Roman"/>
        </w:rPr>
        <w:t>. Final plant stand was recorded 20 days after sowing using a 1 m² quadrat placed randomly at two locations within each net plot. All established seedlings within the quadrat were counted and expressed as plants m⁻².</w:t>
      </w:r>
      <w:r w:rsidR="00CA56EA" w:rsidRPr="00CA56EA">
        <w:rPr>
          <w:rFonts w:ascii="Times New Roman" w:hAnsi="Times New Roman" w:cs="Times New Roman"/>
        </w:rPr>
        <w:t xml:space="preserve"> </w:t>
      </w:r>
      <w:r w:rsidRPr="00CA56EA">
        <w:rPr>
          <w:rFonts w:ascii="Times New Roman" w:hAnsi="Times New Roman" w:cs="Times New Roman"/>
        </w:rPr>
        <w:t>Growth Metrics</w:t>
      </w:r>
      <w:r w:rsidR="00CA56EA" w:rsidRPr="00CA56EA">
        <w:rPr>
          <w:rFonts w:ascii="Times New Roman" w:hAnsi="Times New Roman" w:cs="Times New Roman"/>
        </w:rPr>
        <w:t xml:space="preserve"> include</w:t>
      </w:r>
      <w:r w:rsidRPr="00CA56EA">
        <w:rPr>
          <w:rFonts w:ascii="Times New Roman" w:hAnsi="Times New Roman" w:cs="Times New Roman"/>
        </w:rPr>
        <w:t xml:space="preserve"> Plant </w:t>
      </w:r>
      <w:r w:rsidR="000B37CF" w:rsidRPr="00CA56EA">
        <w:rPr>
          <w:rFonts w:ascii="Times New Roman" w:hAnsi="Times New Roman" w:cs="Times New Roman"/>
        </w:rPr>
        <w:t>heights measured at 30 days after sowing (DAS) and at harvest were taken for randomly selected plants and measured using scale from base to tip</w:t>
      </w:r>
      <w:r w:rsidRPr="00CA56EA">
        <w:rPr>
          <w:rFonts w:ascii="Times New Roman" w:hAnsi="Times New Roman" w:cs="Times New Roman"/>
        </w:rPr>
        <w:t>.</w:t>
      </w:r>
      <w:r w:rsidR="00CA56EA" w:rsidRPr="00CA56EA">
        <w:rPr>
          <w:rFonts w:ascii="Times New Roman" w:hAnsi="Times New Roman" w:cs="Times New Roman"/>
        </w:rPr>
        <w:t xml:space="preserve"> </w:t>
      </w:r>
      <w:r w:rsidRPr="00CA56EA">
        <w:rPr>
          <w:rFonts w:ascii="Times New Roman" w:hAnsi="Times New Roman" w:cs="Times New Roman"/>
        </w:rPr>
        <w:t>Physiological Traits</w:t>
      </w:r>
      <w:r w:rsidR="00CA56EA" w:rsidRPr="00CA56EA">
        <w:rPr>
          <w:rFonts w:ascii="Times New Roman" w:hAnsi="Times New Roman" w:cs="Times New Roman"/>
        </w:rPr>
        <w:t xml:space="preserve"> includes</w:t>
      </w:r>
      <w:r w:rsidRPr="00CA56EA">
        <w:rPr>
          <w:rFonts w:ascii="Times New Roman" w:hAnsi="Times New Roman" w:cs="Times New Roman"/>
        </w:rPr>
        <w:t xml:space="preserve"> Chlorophyll content (SPAD units) at first bloom, Leaf Area Index (LAI).</w:t>
      </w:r>
      <w:r w:rsidR="00CA56EA">
        <w:rPr>
          <w:rFonts w:ascii="Times New Roman" w:hAnsi="Times New Roman" w:cs="Times New Roman"/>
        </w:rPr>
        <w:t xml:space="preserve"> </w:t>
      </w:r>
      <w:r w:rsidR="005B4A76" w:rsidRPr="00CA56EA">
        <w:rPr>
          <w:rFonts w:ascii="Times New Roman" w:hAnsi="Times New Roman" w:cs="Times New Roman"/>
        </w:rPr>
        <w:t xml:space="preserve">The chlorophyll content </w:t>
      </w:r>
      <w:r w:rsidR="002D0292" w:rsidRPr="00CA56EA">
        <w:rPr>
          <w:rFonts w:ascii="Times New Roman" w:hAnsi="Times New Roman" w:cs="Times New Roman"/>
        </w:rPr>
        <w:t>was</w:t>
      </w:r>
      <w:r w:rsidR="005B4A76" w:rsidRPr="00CA56EA">
        <w:rPr>
          <w:rFonts w:ascii="Times New Roman" w:hAnsi="Times New Roman" w:cs="Times New Roman"/>
        </w:rPr>
        <w:t xml:space="preserve"> recorded for flag leaves of randomly tagged</w:t>
      </w:r>
      <w:r w:rsidR="000B37CF" w:rsidRPr="00CA56EA">
        <w:rPr>
          <w:rFonts w:ascii="Times New Roman" w:hAnsi="Times New Roman" w:cs="Times New Roman"/>
        </w:rPr>
        <w:t xml:space="preserve"> ten</w:t>
      </w:r>
      <w:r w:rsidR="005B4A76" w:rsidRPr="00CA56EA">
        <w:rPr>
          <w:rFonts w:ascii="Times New Roman" w:hAnsi="Times New Roman" w:cs="Times New Roman"/>
        </w:rPr>
        <w:t xml:space="preserve"> plants</w:t>
      </w:r>
      <w:r w:rsidR="000B37CF" w:rsidRPr="00CA56EA">
        <w:rPr>
          <w:rFonts w:ascii="Times New Roman" w:hAnsi="Times New Roman" w:cs="Times New Roman"/>
        </w:rPr>
        <w:t xml:space="preserve"> by</w:t>
      </w:r>
      <w:r w:rsidR="005B4A76" w:rsidRPr="00CA56EA">
        <w:rPr>
          <w:rFonts w:ascii="Times New Roman" w:hAnsi="Times New Roman" w:cs="Times New Roman"/>
        </w:rPr>
        <w:t xml:space="preserve"> using SPAD </w:t>
      </w:r>
      <w:r w:rsidR="00CA56EA" w:rsidRPr="00CA56EA">
        <w:rPr>
          <w:rFonts w:ascii="Times New Roman" w:hAnsi="Times New Roman" w:cs="Times New Roman"/>
        </w:rPr>
        <w:t>meter</w:t>
      </w:r>
      <w:r w:rsidR="000B37CF" w:rsidRPr="00CA56EA">
        <w:rPr>
          <w:rFonts w:ascii="Times New Roman" w:hAnsi="Times New Roman" w:cs="Times New Roman"/>
        </w:rPr>
        <w:t>. For the same selected plants LAI were taken by measuring length and breadth of the leaves and calculated using formula given below:</w:t>
      </w:r>
    </w:p>
    <w:p w14:paraId="2F5262F0" w14:textId="0A58B08F" w:rsidR="000B37CF" w:rsidRPr="00451C05" w:rsidRDefault="000B37CF" w:rsidP="00CA56EA">
      <w:pPr>
        <w:ind w:left="720"/>
        <w:jc w:val="center"/>
        <w:rPr>
          <w:rFonts w:ascii="Times New Roman" w:hAnsi="Times New Roman" w:cs="Times New Roman"/>
        </w:rPr>
      </w:pPr>
      <w:r>
        <w:rPr>
          <w:rFonts w:ascii="Times New Roman" w:hAnsi="Times New Roman" w:cs="Times New Roman"/>
        </w:rPr>
        <w:t>LAI = Total Leaf Area/Ground Area</w:t>
      </w:r>
    </w:p>
    <w:p w14:paraId="538441F8" w14:textId="2A583E9B" w:rsidR="00DD3D02" w:rsidRDefault="00DD3D02" w:rsidP="00CA56EA">
      <w:pPr>
        <w:jc w:val="both"/>
        <w:rPr>
          <w:rFonts w:ascii="Times New Roman" w:hAnsi="Times New Roman" w:cs="Times New Roman"/>
        </w:rPr>
      </w:pPr>
      <w:r w:rsidRPr="00451C05">
        <w:rPr>
          <w:rFonts w:ascii="Times New Roman" w:hAnsi="Times New Roman" w:cs="Times New Roman"/>
          <w:b/>
          <w:bCs/>
        </w:rPr>
        <w:t xml:space="preserve">Phenological </w:t>
      </w:r>
      <w:r w:rsidR="00854B9D" w:rsidRPr="00451C05">
        <w:rPr>
          <w:rFonts w:ascii="Times New Roman" w:hAnsi="Times New Roman" w:cs="Times New Roman"/>
          <w:b/>
          <w:bCs/>
        </w:rPr>
        <w:t>Parameters</w:t>
      </w:r>
      <w:r w:rsidR="002D0292">
        <w:rPr>
          <w:rFonts w:ascii="Times New Roman" w:hAnsi="Times New Roman" w:cs="Times New Roman"/>
          <w:b/>
          <w:bCs/>
        </w:rPr>
        <w:t xml:space="preserve"> observed were</w:t>
      </w:r>
      <w:r w:rsidRPr="00451C05">
        <w:rPr>
          <w:rFonts w:ascii="Times New Roman" w:hAnsi="Times New Roman" w:cs="Times New Roman"/>
        </w:rPr>
        <w:t xml:space="preserve"> </w:t>
      </w:r>
      <w:r w:rsidR="002D0292">
        <w:rPr>
          <w:rFonts w:ascii="Times New Roman" w:hAnsi="Times New Roman" w:cs="Times New Roman"/>
        </w:rPr>
        <w:t>d</w:t>
      </w:r>
      <w:r w:rsidRPr="00451C05">
        <w:rPr>
          <w:rFonts w:ascii="Times New Roman" w:hAnsi="Times New Roman" w:cs="Times New Roman"/>
        </w:rPr>
        <w:t>ays to spike emergence, 50% heading, and maturity days.</w:t>
      </w:r>
      <w:r w:rsidR="000B37CF" w:rsidRPr="000B37CF">
        <w:t xml:space="preserve"> </w:t>
      </w:r>
      <w:r w:rsidR="000B37CF" w:rsidRPr="000B37CF">
        <w:rPr>
          <w:rFonts w:ascii="Times New Roman" w:hAnsi="Times New Roman" w:cs="Times New Roman"/>
        </w:rPr>
        <w:t>The number of days from the planting date until the first spike appeared above the flag leaf sheath in 50% of the plants in each plot was recorded as days to spike emergence.  The days from planting until roughly half of the plants in each plot had fully erupted spikes from the flag leaf sheath were taken as days to 50% heading.  When 90% of the spikes in each plot turned golden yellow and the grains hardened and stopped producing a milky exudate when pressed, the number of days to maturity was noted.</w:t>
      </w:r>
    </w:p>
    <w:p w14:paraId="420DF00F" w14:textId="77777777" w:rsidR="002D0292" w:rsidRDefault="002D0292" w:rsidP="00CA56EA">
      <w:pPr>
        <w:jc w:val="both"/>
        <w:rPr>
          <w:rFonts w:ascii="Times New Roman" w:hAnsi="Times New Roman" w:cs="Times New Roman"/>
        </w:rPr>
      </w:pPr>
    </w:p>
    <w:p w14:paraId="13E3A79B"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Statistical Analysis</w:t>
      </w:r>
    </w:p>
    <w:p w14:paraId="62A4DB86" w14:textId="0381ECDF" w:rsidR="003075A2" w:rsidRDefault="00DD3D02" w:rsidP="0067602D">
      <w:pPr>
        <w:jc w:val="both"/>
        <w:rPr>
          <w:rFonts w:ascii="Times New Roman" w:hAnsi="Times New Roman" w:cs="Times New Roman"/>
        </w:rPr>
      </w:pPr>
      <w:r w:rsidRPr="00451C05">
        <w:rPr>
          <w:rFonts w:ascii="Times New Roman" w:hAnsi="Times New Roman" w:cs="Times New Roman"/>
        </w:rPr>
        <w:t>Results were analyzed via pooled mean comparisons with calculation of the standard error (SE), critical difference (CD), and coefficient of variation (CV) for each parameter. Treatments showing differences greater than the CD were considered significantly different.</w:t>
      </w:r>
    </w:p>
    <w:p w14:paraId="76F8841B" w14:textId="505CEE70" w:rsidR="00451C05"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 xml:space="preserve">Results </w:t>
      </w:r>
    </w:p>
    <w:p w14:paraId="3E35BAA9" w14:textId="77777777" w:rsidR="00DD3D02" w:rsidRPr="00B079E9" w:rsidRDefault="00DD3D02" w:rsidP="00DD3D02">
      <w:pPr>
        <w:rPr>
          <w:rFonts w:ascii="Times New Roman" w:hAnsi="Times New Roman" w:cs="Times New Roman"/>
          <w:b/>
          <w:bCs/>
          <w:sz w:val="28"/>
          <w:szCs w:val="28"/>
        </w:rPr>
      </w:pPr>
      <w:r w:rsidRPr="00B079E9">
        <w:rPr>
          <w:rFonts w:ascii="Times New Roman" w:hAnsi="Times New Roman" w:cs="Times New Roman"/>
          <w:b/>
          <w:bCs/>
          <w:sz w:val="28"/>
          <w:szCs w:val="28"/>
        </w:rPr>
        <w:lastRenderedPageBreak/>
        <w:t>Field Emergence and Plant Establishment</w:t>
      </w:r>
    </w:p>
    <w:p w14:paraId="0166032F" w14:textId="155EB2F8" w:rsidR="0017006E" w:rsidRPr="00635328" w:rsidRDefault="00451C05" w:rsidP="00635328">
      <w:pPr>
        <w:jc w:val="both"/>
        <w:rPr>
          <w:rFonts w:ascii="Times New Roman" w:hAnsi="Times New Roman" w:cs="Times New Roman"/>
        </w:rPr>
      </w:pPr>
      <w:r w:rsidRPr="009E74E0">
        <w:rPr>
          <w:rFonts w:ascii="Times New Roman" w:hAnsi="Times New Roman" w:cs="Times New Roman"/>
        </w:rPr>
        <w:t xml:space="preserve">The treatment </w:t>
      </w:r>
      <w:proofErr w:type="spellStart"/>
      <w:r w:rsidRPr="006D3EEC">
        <w:rPr>
          <w:rFonts w:ascii="Times New Roman" w:hAnsi="Times New Roman" w:cs="Times New Roman"/>
          <w:highlight w:val="yellow"/>
        </w:rPr>
        <w:t>Azospirillum</w:t>
      </w:r>
      <w:proofErr w:type="spellEnd"/>
      <w:r w:rsidRPr="009E74E0">
        <w:rPr>
          <w:rFonts w:ascii="Times New Roman" w:hAnsi="Times New Roman" w:cs="Times New Roman"/>
        </w:rPr>
        <w:t xml:space="preserve"> + PSB differed significantly with the control for both field emergence and final plant stand establishment/m</w:t>
      </w:r>
      <w:r w:rsidRPr="009E74E0">
        <w:rPr>
          <w:rFonts w:ascii="Times New Roman" w:hAnsi="Times New Roman" w:cs="Times New Roman"/>
          <w:vertAlign w:val="superscript"/>
        </w:rPr>
        <w:t>2</w:t>
      </w:r>
      <w:r w:rsidRPr="009E74E0">
        <w:rPr>
          <w:rFonts w:ascii="Times New Roman" w:hAnsi="Times New Roman" w:cs="Times New Roman"/>
        </w:rPr>
        <w:t>.  The h</w:t>
      </w:r>
      <w:r w:rsidR="00DD3D02" w:rsidRPr="009E74E0">
        <w:rPr>
          <w:rFonts w:ascii="Times New Roman" w:hAnsi="Times New Roman" w:cs="Times New Roman"/>
        </w:rPr>
        <w:t xml:space="preserve">ighest field emergence achieved in </w:t>
      </w:r>
      <w:proofErr w:type="spellStart"/>
      <w:r w:rsidR="00DD3D02" w:rsidRPr="006D3EEC">
        <w:rPr>
          <w:rFonts w:ascii="Times New Roman" w:hAnsi="Times New Roman" w:cs="Times New Roman"/>
          <w:highlight w:val="yellow"/>
        </w:rPr>
        <w:t>Azospirillum</w:t>
      </w:r>
      <w:proofErr w:type="spellEnd"/>
      <w:r w:rsidR="00DD3D02" w:rsidRPr="009E74E0">
        <w:rPr>
          <w:rFonts w:ascii="Times New Roman" w:hAnsi="Times New Roman" w:cs="Times New Roman"/>
        </w:rPr>
        <w:t xml:space="preserve"> + PSB (T8, 93.33%) and </w:t>
      </w:r>
      <w:proofErr w:type="spellStart"/>
      <w:r w:rsidR="00DD3D02" w:rsidRPr="006D3EEC">
        <w:rPr>
          <w:rFonts w:ascii="Times New Roman" w:hAnsi="Times New Roman" w:cs="Times New Roman"/>
          <w:highlight w:val="yellow"/>
        </w:rPr>
        <w:t>Azospirillum</w:t>
      </w:r>
      <w:proofErr w:type="spellEnd"/>
      <w:r w:rsidR="00DD3D02" w:rsidRPr="009E74E0">
        <w:rPr>
          <w:rFonts w:ascii="Times New Roman" w:hAnsi="Times New Roman" w:cs="Times New Roman"/>
        </w:rPr>
        <w:t xml:space="preserve"> + KSB (T7, 93.00%) treatments, with increased final plant establishment/m² (46.17 and 45.83, respectively) over control (87.67%, 40.5/m²)</w:t>
      </w:r>
      <w:r w:rsidR="00773FE2">
        <w:rPr>
          <w:rFonts w:ascii="Times New Roman" w:hAnsi="Times New Roman" w:cs="Times New Roman"/>
        </w:rPr>
        <w:t xml:space="preserve"> (Table 1 &amp; Fig.1)</w:t>
      </w:r>
      <w:r w:rsidR="00DD3D02" w:rsidRPr="009E74E0">
        <w:rPr>
          <w:rFonts w:ascii="Times New Roman" w:hAnsi="Times New Roman" w:cs="Times New Roman"/>
        </w:rPr>
        <w:t>.</w:t>
      </w:r>
      <w:r w:rsidRPr="009E74E0">
        <w:rPr>
          <w:rFonts w:ascii="Times New Roman" w:hAnsi="Times New Roman" w:cs="Times New Roman"/>
        </w:rPr>
        <w:t xml:space="preserve"> </w:t>
      </w:r>
      <w:r w:rsidR="00DD3D02" w:rsidRPr="009E74E0">
        <w:rPr>
          <w:rFonts w:ascii="Times New Roman" w:hAnsi="Times New Roman" w:cs="Times New Roman"/>
        </w:rPr>
        <w:t>All biofertilizer treatments surpassed Thiram and control in emergence and establishment, indicating improved s</w:t>
      </w:r>
      <w:r w:rsidR="00A46EA4" w:rsidRPr="009E74E0">
        <w:rPr>
          <w:rFonts w:ascii="Times New Roman" w:hAnsi="Times New Roman" w:cs="Times New Roman"/>
        </w:rPr>
        <w:t>eed vigor and microbial synergy</w:t>
      </w:r>
      <w:r w:rsidRPr="009E74E0">
        <w:rPr>
          <w:rFonts w:ascii="Times New Roman" w:hAnsi="Times New Roman" w:cs="Times New Roman"/>
        </w:rPr>
        <w:t xml:space="preserve">. The similar </w:t>
      </w:r>
      <w:r w:rsidR="00CA2B18" w:rsidRPr="009E74E0">
        <w:rPr>
          <w:rFonts w:ascii="Times New Roman" w:hAnsi="Times New Roman" w:cs="Times New Roman"/>
        </w:rPr>
        <w:t>findings were observed by Pathak et al., (2016) in wheat, Singh et al., (2010) in soyabean.</w:t>
      </w:r>
    </w:p>
    <w:p w14:paraId="0B374AC6" w14:textId="34A8AD90" w:rsidR="004F4981" w:rsidRPr="004F4981" w:rsidRDefault="004F4981" w:rsidP="00635328">
      <w:pPr>
        <w:ind w:left="1134" w:hanging="1134"/>
        <w:jc w:val="center"/>
        <w:rPr>
          <w:rFonts w:ascii="Times New Roman" w:hAnsi="Times New Roman" w:cs="Times New Roman"/>
          <w:b/>
          <w:bCs/>
        </w:rPr>
      </w:pPr>
      <w:r w:rsidRPr="004F4981">
        <w:rPr>
          <w:rFonts w:ascii="Times New Roman" w:hAnsi="Times New Roman" w:cs="Times New Roman"/>
          <w:b/>
          <w:bCs/>
        </w:rPr>
        <w:t xml:space="preserve">Table 1: </w:t>
      </w:r>
      <w:r>
        <w:rPr>
          <w:rFonts w:ascii="Times New Roman" w:hAnsi="Times New Roman" w:cs="Times New Roman"/>
          <w:b/>
          <w:bCs/>
        </w:rPr>
        <w:t xml:space="preserve"> </w:t>
      </w:r>
      <w:r w:rsidRPr="004F4981">
        <w:rPr>
          <w:rFonts w:ascii="Times New Roman" w:hAnsi="Times New Roman" w:cs="Times New Roman"/>
          <w:b/>
          <w:bCs/>
        </w:rPr>
        <w:t>Pooled Effect of Liquid Bio fertilizers on Field Emergence and Final Plant Establishment/m</w:t>
      </w:r>
      <w:r w:rsidRPr="004F4981">
        <w:rPr>
          <w:rFonts w:ascii="Times New Roman" w:hAnsi="Times New Roman" w:cs="Times New Roman"/>
          <w:b/>
          <w:bCs/>
          <w:vertAlign w:val="superscript"/>
        </w:rPr>
        <w:t>2</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F4981" w:rsidRPr="009249CC" w14:paraId="74CE33E5" w14:textId="77777777" w:rsidTr="0017006E">
        <w:trPr>
          <w:trHeight w:val="31"/>
        </w:trPr>
        <w:tc>
          <w:tcPr>
            <w:tcW w:w="2750" w:type="pct"/>
            <w:vAlign w:val="center"/>
          </w:tcPr>
          <w:p w14:paraId="568B5F23"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3BCD9F4D"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Field Emergence</w:t>
            </w:r>
          </w:p>
        </w:tc>
        <w:tc>
          <w:tcPr>
            <w:tcW w:w="1105" w:type="pct"/>
            <w:vAlign w:val="center"/>
          </w:tcPr>
          <w:p w14:paraId="5A6521CA" w14:textId="77777777" w:rsidR="004F4981" w:rsidRPr="009249CC" w:rsidRDefault="004F4981" w:rsidP="004F4981">
            <w:pPr>
              <w:jc w:val="center"/>
              <w:rPr>
                <w:rFonts w:ascii="Times New Roman" w:hAnsi="Times New Roman" w:cs="Times New Roman"/>
                <w:sz w:val="20"/>
                <w:szCs w:val="20"/>
              </w:rPr>
            </w:pPr>
            <w:r w:rsidRPr="009249CC">
              <w:rPr>
                <w:rFonts w:ascii="Times New Roman" w:hAnsi="Times New Roman" w:cs="Times New Roman"/>
                <w:sz w:val="20"/>
                <w:szCs w:val="20"/>
              </w:rPr>
              <w:t>Final plant Establishment/m</w:t>
            </w:r>
            <w:r w:rsidRPr="009249CC">
              <w:rPr>
                <w:rFonts w:ascii="Times New Roman" w:hAnsi="Times New Roman" w:cs="Times New Roman"/>
                <w:sz w:val="20"/>
                <w:szCs w:val="20"/>
                <w:vertAlign w:val="superscript"/>
              </w:rPr>
              <w:t>2</w:t>
            </w:r>
          </w:p>
        </w:tc>
      </w:tr>
      <w:tr w:rsidR="004F4981" w:rsidRPr="009249CC" w14:paraId="141E20D7" w14:textId="77777777" w:rsidTr="0017006E">
        <w:trPr>
          <w:trHeight w:val="31"/>
        </w:trPr>
        <w:tc>
          <w:tcPr>
            <w:tcW w:w="2750" w:type="pct"/>
            <w:vAlign w:val="center"/>
          </w:tcPr>
          <w:p w14:paraId="25A9DF84"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Control</w:t>
            </w:r>
          </w:p>
        </w:tc>
        <w:tc>
          <w:tcPr>
            <w:tcW w:w="1145" w:type="pct"/>
            <w:vAlign w:val="center"/>
          </w:tcPr>
          <w:p w14:paraId="00F0801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88.83</w:t>
            </w:r>
          </w:p>
        </w:tc>
        <w:tc>
          <w:tcPr>
            <w:tcW w:w="1105" w:type="pct"/>
            <w:vAlign w:val="center"/>
          </w:tcPr>
          <w:p w14:paraId="256E50C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40.50</w:t>
            </w:r>
          </w:p>
        </w:tc>
      </w:tr>
      <w:tr w:rsidR="004F4981" w:rsidRPr="009249CC" w14:paraId="4F3ACB72" w14:textId="77777777" w:rsidTr="0017006E">
        <w:trPr>
          <w:trHeight w:val="31"/>
        </w:trPr>
        <w:tc>
          <w:tcPr>
            <w:tcW w:w="2750" w:type="pct"/>
            <w:vAlign w:val="center"/>
          </w:tcPr>
          <w:p w14:paraId="62DE93B6"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Em Culture @ 10 ml/kg of Seed</w:t>
            </w:r>
          </w:p>
        </w:tc>
        <w:tc>
          <w:tcPr>
            <w:tcW w:w="1145" w:type="pct"/>
            <w:vAlign w:val="center"/>
          </w:tcPr>
          <w:p w14:paraId="0FD586C6"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0DA0070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42.33</w:t>
            </w:r>
          </w:p>
        </w:tc>
      </w:tr>
      <w:tr w:rsidR="004F4981" w:rsidRPr="009249CC" w14:paraId="7F1C873C" w14:textId="77777777" w:rsidTr="0017006E">
        <w:trPr>
          <w:trHeight w:val="31"/>
        </w:trPr>
        <w:tc>
          <w:tcPr>
            <w:tcW w:w="2750" w:type="pct"/>
            <w:vAlign w:val="center"/>
          </w:tcPr>
          <w:p w14:paraId="1D9BB2D3"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KSB @ 20 ml/kg of Seed</w:t>
            </w:r>
          </w:p>
        </w:tc>
        <w:tc>
          <w:tcPr>
            <w:tcW w:w="1145" w:type="pct"/>
            <w:vAlign w:val="center"/>
          </w:tcPr>
          <w:p w14:paraId="79281D6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90.17</w:t>
            </w:r>
          </w:p>
        </w:tc>
        <w:tc>
          <w:tcPr>
            <w:tcW w:w="1105" w:type="pct"/>
            <w:vAlign w:val="center"/>
          </w:tcPr>
          <w:p w14:paraId="12FC963E"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42.83</w:t>
            </w:r>
          </w:p>
        </w:tc>
      </w:tr>
      <w:tr w:rsidR="004F4981" w:rsidRPr="009249CC" w14:paraId="3EB7BC0C" w14:textId="77777777" w:rsidTr="0017006E">
        <w:trPr>
          <w:trHeight w:val="31"/>
        </w:trPr>
        <w:tc>
          <w:tcPr>
            <w:tcW w:w="2750" w:type="pct"/>
            <w:vAlign w:val="center"/>
          </w:tcPr>
          <w:p w14:paraId="047D0A47"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PSB @ 20 ml/kg of Seed</w:t>
            </w:r>
          </w:p>
        </w:tc>
        <w:tc>
          <w:tcPr>
            <w:tcW w:w="1145" w:type="pct"/>
            <w:vAlign w:val="center"/>
          </w:tcPr>
          <w:p w14:paraId="4BFFF479"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92.00</w:t>
            </w:r>
          </w:p>
        </w:tc>
        <w:tc>
          <w:tcPr>
            <w:tcW w:w="1105" w:type="pct"/>
            <w:vAlign w:val="center"/>
          </w:tcPr>
          <w:p w14:paraId="3552A6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46.00</w:t>
            </w:r>
          </w:p>
        </w:tc>
      </w:tr>
      <w:tr w:rsidR="004F4981" w:rsidRPr="009249CC" w14:paraId="4A036619" w14:textId="77777777" w:rsidTr="0017006E">
        <w:trPr>
          <w:trHeight w:val="31"/>
        </w:trPr>
        <w:tc>
          <w:tcPr>
            <w:tcW w:w="2750" w:type="pct"/>
            <w:vAlign w:val="center"/>
          </w:tcPr>
          <w:p w14:paraId="29B5F4F9"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Pseudomonas @ 20 ml/kg of Seed</w:t>
            </w:r>
          </w:p>
        </w:tc>
        <w:tc>
          <w:tcPr>
            <w:tcW w:w="1145" w:type="pct"/>
            <w:vAlign w:val="center"/>
          </w:tcPr>
          <w:p w14:paraId="4483BB6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91.33</w:t>
            </w:r>
          </w:p>
        </w:tc>
        <w:tc>
          <w:tcPr>
            <w:tcW w:w="1105" w:type="pct"/>
            <w:vAlign w:val="center"/>
          </w:tcPr>
          <w:p w14:paraId="0CB9ABE0"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45.33</w:t>
            </w:r>
          </w:p>
        </w:tc>
      </w:tr>
      <w:tr w:rsidR="004F4981" w:rsidRPr="009249CC" w14:paraId="0961A69E" w14:textId="77777777" w:rsidTr="0017006E">
        <w:trPr>
          <w:trHeight w:val="31"/>
        </w:trPr>
        <w:tc>
          <w:tcPr>
            <w:tcW w:w="2750" w:type="pct"/>
            <w:vAlign w:val="center"/>
          </w:tcPr>
          <w:p w14:paraId="7F70AFFC"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20 ml/kg of Seed</w:t>
            </w:r>
          </w:p>
        </w:tc>
        <w:tc>
          <w:tcPr>
            <w:tcW w:w="1145" w:type="pct"/>
            <w:vAlign w:val="center"/>
          </w:tcPr>
          <w:p w14:paraId="211C4DC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90.67</w:t>
            </w:r>
          </w:p>
        </w:tc>
        <w:tc>
          <w:tcPr>
            <w:tcW w:w="1105" w:type="pct"/>
            <w:vAlign w:val="center"/>
          </w:tcPr>
          <w:p w14:paraId="55DFE504"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43.33</w:t>
            </w:r>
          </w:p>
        </w:tc>
      </w:tr>
      <w:tr w:rsidR="004F4981" w:rsidRPr="009249CC" w14:paraId="167FC85F" w14:textId="77777777" w:rsidTr="0017006E">
        <w:trPr>
          <w:trHeight w:val="31"/>
        </w:trPr>
        <w:tc>
          <w:tcPr>
            <w:tcW w:w="2750" w:type="pct"/>
            <w:vAlign w:val="center"/>
          </w:tcPr>
          <w:p w14:paraId="0241BEEA"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KSB @ 20 ml/kg seed</w:t>
            </w:r>
          </w:p>
        </w:tc>
        <w:tc>
          <w:tcPr>
            <w:tcW w:w="1145" w:type="pct"/>
            <w:vAlign w:val="center"/>
          </w:tcPr>
          <w:p w14:paraId="2F45BD5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93.00</w:t>
            </w:r>
          </w:p>
        </w:tc>
        <w:tc>
          <w:tcPr>
            <w:tcW w:w="1105" w:type="pct"/>
            <w:vAlign w:val="center"/>
          </w:tcPr>
          <w:p w14:paraId="217EBF5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45.83</w:t>
            </w:r>
          </w:p>
        </w:tc>
      </w:tr>
      <w:tr w:rsidR="004F4981" w:rsidRPr="009249CC" w14:paraId="5047799B" w14:textId="77777777" w:rsidTr="0017006E">
        <w:trPr>
          <w:trHeight w:val="31"/>
        </w:trPr>
        <w:tc>
          <w:tcPr>
            <w:tcW w:w="2750" w:type="pct"/>
            <w:vAlign w:val="center"/>
          </w:tcPr>
          <w:p w14:paraId="3F36B4D6"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PSB @ 20 ml/kg seed</w:t>
            </w:r>
          </w:p>
        </w:tc>
        <w:tc>
          <w:tcPr>
            <w:tcW w:w="1145" w:type="pct"/>
            <w:vAlign w:val="center"/>
          </w:tcPr>
          <w:p w14:paraId="30C444CB"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93.33</w:t>
            </w:r>
          </w:p>
        </w:tc>
        <w:tc>
          <w:tcPr>
            <w:tcW w:w="1105" w:type="pct"/>
            <w:vAlign w:val="center"/>
          </w:tcPr>
          <w:p w14:paraId="748FEB6C"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46.17</w:t>
            </w:r>
          </w:p>
        </w:tc>
      </w:tr>
      <w:tr w:rsidR="004F4981" w:rsidRPr="009249CC" w14:paraId="4BB117C2" w14:textId="77777777" w:rsidTr="0017006E">
        <w:trPr>
          <w:trHeight w:val="31"/>
        </w:trPr>
        <w:tc>
          <w:tcPr>
            <w:tcW w:w="2750" w:type="pct"/>
            <w:vAlign w:val="center"/>
          </w:tcPr>
          <w:p w14:paraId="61111463" w14:textId="77777777" w:rsidR="004F4981" w:rsidRPr="009249CC" w:rsidRDefault="004F4981" w:rsidP="004F4981">
            <w:pPr>
              <w:rPr>
                <w:rFonts w:ascii="Times New Roman" w:hAnsi="Times New Roman" w:cs="Times New Roman"/>
                <w:sz w:val="20"/>
                <w:szCs w:val="20"/>
              </w:rPr>
            </w:pPr>
            <w:proofErr w:type="spellStart"/>
            <w:r w:rsidRPr="009249CC">
              <w:rPr>
                <w:rFonts w:ascii="Times New Roman" w:hAnsi="Times New Roman" w:cs="Times New Roman"/>
                <w:sz w:val="20"/>
                <w:szCs w:val="20"/>
              </w:rPr>
              <w:t>Azospirillum</w:t>
            </w:r>
            <w:proofErr w:type="spellEnd"/>
            <w:r w:rsidRPr="009249CC">
              <w:rPr>
                <w:rFonts w:ascii="Times New Roman" w:hAnsi="Times New Roman" w:cs="Times New Roman"/>
                <w:sz w:val="20"/>
                <w:szCs w:val="20"/>
              </w:rPr>
              <w:t xml:space="preserve"> + KSB + PSB @ 30 ml/kg seed</w:t>
            </w:r>
          </w:p>
        </w:tc>
        <w:tc>
          <w:tcPr>
            <w:tcW w:w="1145" w:type="pct"/>
            <w:vAlign w:val="center"/>
          </w:tcPr>
          <w:p w14:paraId="6747F513"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90.00</w:t>
            </w:r>
          </w:p>
        </w:tc>
        <w:tc>
          <w:tcPr>
            <w:tcW w:w="1105" w:type="pct"/>
            <w:vAlign w:val="center"/>
          </w:tcPr>
          <w:p w14:paraId="4E91D54F"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42.17</w:t>
            </w:r>
          </w:p>
        </w:tc>
      </w:tr>
      <w:tr w:rsidR="004F4981" w:rsidRPr="009249CC" w14:paraId="3657F9FD" w14:textId="77777777" w:rsidTr="0017006E">
        <w:trPr>
          <w:trHeight w:val="31"/>
        </w:trPr>
        <w:tc>
          <w:tcPr>
            <w:tcW w:w="2750" w:type="pct"/>
            <w:vAlign w:val="center"/>
          </w:tcPr>
          <w:p w14:paraId="63E94212"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Thiram @ 1.3 g/kg seed</w:t>
            </w:r>
          </w:p>
        </w:tc>
        <w:tc>
          <w:tcPr>
            <w:tcW w:w="1145" w:type="pct"/>
            <w:vAlign w:val="center"/>
          </w:tcPr>
          <w:p w14:paraId="0698892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color w:val="000000"/>
              </w:rPr>
              <w:t>89.33</w:t>
            </w:r>
          </w:p>
        </w:tc>
        <w:tc>
          <w:tcPr>
            <w:tcW w:w="1105" w:type="pct"/>
            <w:vAlign w:val="center"/>
          </w:tcPr>
          <w:p w14:paraId="24D26421"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42.50</w:t>
            </w:r>
          </w:p>
        </w:tc>
      </w:tr>
      <w:tr w:rsidR="004F4981" w:rsidRPr="009249CC" w14:paraId="244BBD83" w14:textId="77777777" w:rsidTr="0017006E">
        <w:trPr>
          <w:trHeight w:val="31"/>
        </w:trPr>
        <w:tc>
          <w:tcPr>
            <w:tcW w:w="2750" w:type="pct"/>
            <w:vAlign w:val="center"/>
          </w:tcPr>
          <w:p w14:paraId="681E3AFF"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SE (m±)</w:t>
            </w:r>
          </w:p>
        </w:tc>
        <w:tc>
          <w:tcPr>
            <w:tcW w:w="1145" w:type="pct"/>
            <w:vAlign w:val="center"/>
          </w:tcPr>
          <w:p w14:paraId="6ACA2B8A"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0.55</w:t>
            </w:r>
          </w:p>
        </w:tc>
        <w:tc>
          <w:tcPr>
            <w:tcW w:w="1105" w:type="pct"/>
            <w:vAlign w:val="center"/>
          </w:tcPr>
          <w:p w14:paraId="68F5445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0.89</w:t>
            </w:r>
          </w:p>
        </w:tc>
      </w:tr>
      <w:tr w:rsidR="004F4981" w:rsidRPr="009249CC" w14:paraId="2A653038" w14:textId="77777777" w:rsidTr="0017006E">
        <w:trPr>
          <w:trHeight w:val="31"/>
        </w:trPr>
        <w:tc>
          <w:tcPr>
            <w:tcW w:w="2750" w:type="pct"/>
            <w:vAlign w:val="center"/>
          </w:tcPr>
          <w:p w14:paraId="08B20064" w14:textId="77777777" w:rsidR="004F4981" w:rsidRPr="009249CC" w:rsidRDefault="004F4981" w:rsidP="004F4981">
            <w:pPr>
              <w:rPr>
                <w:rFonts w:ascii="Times New Roman" w:hAnsi="Times New Roman" w:cs="Times New Roman"/>
                <w:b/>
                <w:bCs/>
                <w:sz w:val="20"/>
                <w:szCs w:val="20"/>
              </w:rPr>
            </w:pPr>
            <w:r w:rsidRPr="009249CC">
              <w:rPr>
                <w:rFonts w:ascii="Times New Roman" w:hAnsi="Times New Roman" w:cs="Times New Roman"/>
                <w:b/>
                <w:bCs/>
                <w:sz w:val="20"/>
                <w:szCs w:val="20"/>
              </w:rPr>
              <w:t>CD (P=0.05)</w:t>
            </w:r>
          </w:p>
        </w:tc>
        <w:tc>
          <w:tcPr>
            <w:tcW w:w="1145" w:type="pct"/>
            <w:vAlign w:val="center"/>
          </w:tcPr>
          <w:p w14:paraId="2FC5BF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1.63</w:t>
            </w:r>
          </w:p>
        </w:tc>
        <w:tc>
          <w:tcPr>
            <w:tcW w:w="1105" w:type="pct"/>
            <w:vAlign w:val="center"/>
          </w:tcPr>
          <w:p w14:paraId="505D67D5"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b/>
                <w:bCs/>
              </w:rPr>
              <w:t>2.65</w:t>
            </w:r>
          </w:p>
        </w:tc>
      </w:tr>
      <w:tr w:rsidR="004F4981" w:rsidRPr="009249CC" w14:paraId="5657346A" w14:textId="77777777" w:rsidTr="0017006E">
        <w:trPr>
          <w:trHeight w:val="31"/>
        </w:trPr>
        <w:tc>
          <w:tcPr>
            <w:tcW w:w="2750" w:type="pct"/>
            <w:vAlign w:val="center"/>
          </w:tcPr>
          <w:p w14:paraId="06F7A605" w14:textId="77777777" w:rsidR="004F4981" w:rsidRPr="009249CC" w:rsidRDefault="004F4981" w:rsidP="004F4981">
            <w:pPr>
              <w:rPr>
                <w:rFonts w:ascii="Times New Roman" w:hAnsi="Times New Roman" w:cs="Times New Roman"/>
                <w:sz w:val="20"/>
                <w:szCs w:val="20"/>
              </w:rPr>
            </w:pPr>
            <w:r w:rsidRPr="009249CC">
              <w:rPr>
                <w:rFonts w:ascii="Times New Roman" w:hAnsi="Times New Roman" w:cs="Times New Roman"/>
                <w:sz w:val="20"/>
                <w:szCs w:val="20"/>
              </w:rPr>
              <w:t>CV (%)</w:t>
            </w:r>
          </w:p>
        </w:tc>
        <w:tc>
          <w:tcPr>
            <w:tcW w:w="1145" w:type="pct"/>
            <w:vAlign w:val="center"/>
          </w:tcPr>
          <w:p w14:paraId="65A8C0D7"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1.04</w:t>
            </w:r>
          </w:p>
        </w:tc>
        <w:tc>
          <w:tcPr>
            <w:tcW w:w="1105" w:type="pct"/>
            <w:vAlign w:val="center"/>
          </w:tcPr>
          <w:p w14:paraId="15FAECB2" w14:textId="77777777" w:rsidR="004F4981" w:rsidRPr="00465D2B" w:rsidRDefault="004F4981" w:rsidP="004F4981">
            <w:pPr>
              <w:jc w:val="center"/>
              <w:rPr>
                <w:rFonts w:ascii="Times New Roman" w:hAnsi="Times New Roman" w:cs="Times New Roman"/>
              </w:rPr>
            </w:pPr>
            <w:r w:rsidRPr="00465D2B">
              <w:rPr>
                <w:rFonts w:ascii="Times New Roman" w:hAnsi="Times New Roman" w:cs="Times New Roman"/>
              </w:rPr>
              <w:t>3.51</w:t>
            </w:r>
          </w:p>
        </w:tc>
      </w:tr>
    </w:tbl>
    <w:p w14:paraId="6BAD2E51" w14:textId="77777777" w:rsidR="004F4981" w:rsidRDefault="004F4981" w:rsidP="00451C05">
      <w:pPr>
        <w:jc w:val="both"/>
        <w:rPr>
          <w:rFonts w:ascii="Times New Roman" w:hAnsi="Times New Roman" w:cs="Times New Roman"/>
        </w:rPr>
      </w:pPr>
    </w:p>
    <w:p w14:paraId="70EC02AE" w14:textId="5EA6A4D0" w:rsidR="004F4981" w:rsidRDefault="004F4981" w:rsidP="00DD3D02">
      <w:pPr>
        <w:rPr>
          <w:rFonts w:ascii="Times New Roman" w:hAnsi="Times New Roman" w:cs="Times New Roman"/>
          <w:b/>
          <w:bCs/>
          <w:sz w:val="28"/>
          <w:szCs w:val="28"/>
        </w:rPr>
      </w:pPr>
    </w:p>
    <w:p w14:paraId="492E4393" w14:textId="77777777" w:rsidR="00465D2B" w:rsidRDefault="0017006E" w:rsidP="00DD3D02">
      <w:pPr>
        <w:rPr>
          <w:rFonts w:ascii="Times New Roman" w:hAnsi="Times New Roman" w:cs="Times New Roman"/>
          <w:b/>
          <w:bCs/>
          <w:sz w:val="28"/>
          <w:szCs w:val="28"/>
        </w:rPr>
      </w:pPr>
      <w:r>
        <w:rPr>
          <w:rFonts w:ascii="Times New Roman" w:hAnsi="Times New Roman" w:cs="Times New Roman"/>
          <w:b/>
          <w:bCs/>
          <w:noProof/>
          <w:sz w:val="28"/>
          <w:szCs w:val="28"/>
          <w:lang w:val="en-IN" w:eastAsia="en-IN" w:bidi="hi-IN"/>
        </w:rPr>
        <w:drawing>
          <wp:anchor distT="0" distB="0" distL="114300" distR="114300" simplePos="0" relativeHeight="251684864" behindDoc="1" locked="0" layoutInCell="1" allowOverlap="1" wp14:anchorId="7B742566" wp14:editId="533A5F47">
            <wp:simplePos x="0" y="0"/>
            <wp:positionH relativeFrom="column">
              <wp:posOffset>-666750</wp:posOffset>
            </wp:positionH>
            <wp:positionV relativeFrom="paragraph">
              <wp:posOffset>177800</wp:posOffset>
            </wp:positionV>
            <wp:extent cx="3566160" cy="2365375"/>
            <wp:effectExtent l="0" t="0" r="0" b="0"/>
            <wp:wrapThrough wrapText="bothSides">
              <wp:wrapPolygon edited="0">
                <wp:start x="0" y="0"/>
                <wp:lineTo x="0" y="21397"/>
                <wp:lineTo x="21462" y="21397"/>
                <wp:lineTo x="21462"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66160" cy="23653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val="en-IN" w:eastAsia="en-IN" w:bidi="hi-IN"/>
        </w:rPr>
        <w:drawing>
          <wp:anchor distT="0" distB="0" distL="114300" distR="114300" simplePos="0" relativeHeight="251683840" behindDoc="1" locked="0" layoutInCell="1" allowOverlap="1" wp14:anchorId="60556468" wp14:editId="1709BE4E">
            <wp:simplePos x="0" y="0"/>
            <wp:positionH relativeFrom="column">
              <wp:posOffset>2889250</wp:posOffset>
            </wp:positionH>
            <wp:positionV relativeFrom="paragraph">
              <wp:posOffset>227965</wp:posOffset>
            </wp:positionV>
            <wp:extent cx="4064000" cy="2364740"/>
            <wp:effectExtent l="0" t="0" r="0" b="0"/>
            <wp:wrapTight wrapText="bothSides">
              <wp:wrapPolygon edited="0">
                <wp:start x="0" y="0"/>
                <wp:lineTo x="0" y="21403"/>
                <wp:lineTo x="21465" y="21403"/>
                <wp:lineTo x="2146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64000" cy="2364740"/>
                    </a:xfrm>
                    <a:prstGeom prst="rect">
                      <a:avLst/>
                    </a:prstGeom>
                    <a:noFill/>
                  </pic:spPr>
                </pic:pic>
              </a:graphicData>
            </a:graphic>
            <wp14:sizeRelH relativeFrom="page">
              <wp14:pctWidth>0</wp14:pctWidth>
            </wp14:sizeRelH>
            <wp14:sizeRelV relativeFrom="page">
              <wp14:pctHeight>0</wp14:pctHeight>
            </wp14:sizeRelV>
          </wp:anchor>
        </w:drawing>
      </w:r>
    </w:p>
    <w:p w14:paraId="30FBB96C" w14:textId="03DF62E8" w:rsidR="0017006E" w:rsidRPr="00465D2B" w:rsidRDefault="0017006E" w:rsidP="00635328">
      <w:pPr>
        <w:jc w:val="center"/>
        <w:rPr>
          <w:rFonts w:ascii="Times New Roman" w:hAnsi="Times New Roman" w:cs="Times New Roman"/>
          <w:b/>
          <w:bCs/>
        </w:rPr>
      </w:pPr>
      <w:r w:rsidRPr="00465D2B">
        <w:rPr>
          <w:rFonts w:ascii="Times New Roman" w:hAnsi="Times New Roman" w:cs="Times New Roman"/>
          <w:b/>
          <w:bCs/>
        </w:rPr>
        <w:lastRenderedPageBreak/>
        <w:t xml:space="preserve">Fig. </w:t>
      </w:r>
      <w:r w:rsidR="00EB58CB" w:rsidRPr="00465D2B">
        <w:rPr>
          <w:rFonts w:ascii="Times New Roman" w:hAnsi="Times New Roman" w:cs="Times New Roman"/>
          <w:b/>
          <w:bCs/>
        </w:rPr>
        <w:t>1. Effect</w:t>
      </w:r>
      <w:r w:rsidRPr="00465D2B">
        <w:rPr>
          <w:rFonts w:ascii="Times New Roman" w:hAnsi="Times New Roman" w:cs="Times New Roman"/>
          <w:b/>
          <w:bCs/>
        </w:rPr>
        <w:t xml:space="preserve"> of different liquid bio fertilizers on Field Emergence and Final Plant Stand Establishment/m</w:t>
      </w:r>
      <w:r w:rsidRPr="00465D2B">
        <w:rPr>
          <w:rFonts w:ascii="Times New Roman" w:hAnsi="Times New Roman" w:cs="Times New Roman"/>
          <w:b/>
          <w:bCs/>
          <w:vertAlign w:val="superscript"/>
        </w:rPr>
        <w:t>2</w:t>
      </w:r>
    </w:p>
    <w:p w14:paraId="5298D35B" w14:textId="4BC0FD9C" w:rsidR="005B3549"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Plant Height</w:t>
      </w:r>
    </w:p>
    <w:p w14:paraId="4B16FAEE" w14:textId="7C18C166" w:rsidR="00465D2B" w:rsidRDefault="00DD3D02" w:rsidP="001E2555">
      <w:pPr>
        <w:jc w:val="both"/>
        <w:rPr>
          <w:rFonts w:ascii="Times New Roman" w:hAnsi="Times New Roman" w:cs="Times New Roman"/>
        </w:rPr>
      </w:pPr>
      <w:r w:rsidRPr="00451C05">
        <w:rPr>
          <w:rFonts w:ascii="Times New Roman" w:hAnsi="Times New Roman" w:cs="Times New Roman"/>
        </w:rPr>
        <w:t>Plant height at 30 DAS peaked in T7 (43.08 cm) and T8 (42.48 cm), compared to control (36.51 cm).</w:t>
      </w:r>
      <w:r w:rsidR="005B3549">
        <w:rPr>
          <w:rFonts w:ascii="Times New Roman" w:hAnsi="Times New Roman" w:cs="Times New Roman"/>
        </w:rPr>
        <w:t xml:space="preserve"> </w:t>
      </w:r>
      <w:r w:rsidRPr="00451C05">
        <w:rPr>
          <w:rFonts w:ascii="Times New Roman" w:hAnsi="Times New Roman" w:cs="Times New Roman"/>
        </w:rPr>
        <w:t xml:space="preserve">At harvest, maximum height recorded in </w:t>
      </w:r>
      <w:proofErr w:type="spellStart"/>
      <w:r w:rsidRPr="00EB58CB">
        <w:rPr>
          <w:rFonts w:ascii="Times New Roman" w:hAnsi="Times New Roman" w:cs="Times New Roman"/>
          <w:highlight w:val="yellow"/>
        </w:rPr>
        <w:t>Azospirillum</w:t>
      </w:r>
      <w:proofErr w:type="spellEnd"/>
      <w:r w:rsidRPr="00451C05">
        <w:rPr>
          <w:rFonts w:ascii="Times New Roman" w:hAnsi="Times New Roman" w:cs="Times New Roman"/>
        </w:rPr>
        <w:t xml:space="preserve"> + PSB (T8, </w:t>
      </w:r>
      <w:r w:rsidRPr="00773FE2">
        <w:rPr>
          <w:rFonts w:ascii="Times New Roman" w:hAnsi="Times New Roman" w:cs="Times New Roman"/>
        </w:rPr>
        <w:t>117.55 cm</w:t>
      </w:r>
      <w:r w:rsidRPr="00451C05">
        <w:rPr>
          <w:rFonts w:ascii="Times New Roman" w:hAnsi="Times New Roman" w:cs="Times New Roman"/>
        </w:rPr>
        <w:t xml:space="preserve">) and </w:t>
      </w:r>
      <w:proofErr w:type="spellStart"/>
      <w:r w:rsidRPr="00EB58CB">
        <w:rPr>
          <w:rFonts w:ascii="Times New Roman" w:hAnsi="Times New Roman" w:cs="Times New Roman"/>
          <w:highlight w:val="yellow"/>
        </w:rPr>
        <w:t>Azospirillum</w:t>
      </w:r>
      <w:proofErr w:type="spellEnd"/>
      <w:r w:rsidRPr="00451C05">
        <w:rPr>
          <w:rFonts w:ascii="Times New Roman" w:hAnsi="Times New Roman" w:cs="Times New Roman"/>
        </w:rPr>
        <w:t xml:space="preserve"> + KSB (T7, </w:t>
      </w:r>
      <w:r w:rsidRPr="00773FE2">
        <w:rPr>
          <w:rFonts w:ascii="Times New Roman" w:hAnsi="Times New Roman" w:cs="Times New Roman"/>
        </w:rPr>
        <w:t>116.82 cm</w:t>
      </w:r>
      <w:r w:rsidRPr="00451C05">
        <w:rPr>
          <w:rFonts w:ascii="Times New Roman" w:hAnsi="Times New Roman" w:cs="Times New Roman"/>
        </w:rPr>
        <w:t>), signifying sustained growth promotion</w:t>
      </w:r>
      <w:r w:rsidR="00773FE2">
        <w:rPr>
          <w:rFonts w:ascii="Times New Roman" w:hAnsi="Times New Roman" w:cs="Times New Roman"/>
        </w:rPr>
        <w:t xml:space="preserve"> (Table 2 &amp; Fig.2)</w:t>
      </w:r>
      <w:r w:rsidRPr="00451C05">
        <w:rPr>
          <w:rFonts w:ascii="Times New Roman" w:hAnsi="Times New Roman" w:cs="Times New Roman"/>
        </w:rPr>
        <w:t>.</w:t>
      </w:r>
      <w:r w:rsidR="005B3549">
        <w:rPr>
          <w:rFonts w:ascii="Times New Roman" w:hAnsi="Times New Roman" w:cs="Times New Roman"/>
        </w:rPr>
        <w:t xml:space="preserve"> At 30 DAS after sowing the treatment T8 and T7 has showed significant difference for plant height with the control whereas there was no significant difference </w:t>
      </w:r>
      <w:commentRangeStart w:id="1"/>
      <w:r w:rsidR="005B3549" w:rsidRPr="00EB58CB">
        <w:rPr>
          <w:rFonts w:ascii="Times New Roman" w:hAnsi="Times New Roman" w:cs="Times New Roman"/>
          <w:highlight w:val="yellow"/>
        </w:rPr>
        <w:t>were</w:t>
      </w:r>
      <w:commentRangeEnd w:id="1"/>
      <w:r w:rsidR="00EB58CB">
        <w:rPr>
          <w:rStyle w:val="CommentReference"/>
        </w:rPr>
        <w:commentReference w:id="1"/>
      </w:r>
      <w:r w:rsidR="005B3549">
        <w:rPr>
          <w:rFonts w:ascii="Times New Roman" w:hAnsi="Times New Roman" w:cs="Times New Roman"/>
        </w:rPr>
        <w:t xml:space="preserve"> observed at the time of harvest, sowing transfer of energy from vegetative to reproductive part. The results are in agreement with the findings of Me carty et al., (2017) in wheat</w:t>
      </w:r>
      <w:r w:rsidR="00D1667A">
        <w:rPr>
          <w:rFonts w:ascii="Times New Roman" w:hAnsi="Times New Roman" w:cs="Times New Roman"/>
        </w:rPr>
        <w:t xml:space="preserve">, Mahapatra et al., (2018) in maize, Game et al., (2020) in wheat, Sai and </w:t>
      </w:r>
      <w:proofErr w:type="spellStart"/>
      <w:r w:rsidR="00D1667A">
        <w:rPr>
          <w:rFonts w:ascii="Times New Roman" w:hAnsi="Times New Roman" w:cs="Times New Roman"/>
        </w:rPr>
        <w:t>debbarama</w:t>
      </w:r>
      <w:proofErr w:type="spellEnd"/>
      <w:r w:rsidR="00D1667A">
        <w:rPr>
          <w:rFonts w:ascii="Times New Roman" w:hAnsi="Times New Roman" w:cs="Times New Roman"/>
        </w:rPr>
        <w:t xml:space="preserve"> (2022) in wheat, Baghel and Singh (2024) in paddy.</w:t>
      </w:r>
    </w:p>
    <w:p w14:paraId="52BB3A1F" w14:textId="0A6F6CF2" w:rsidR="00465D2B" w:rsidRPr="00465D2B" w:rsidRDefault="00465D2B" w:rsidP="00635328">
      <w:pPr>
        <w:ind w:left="993" w:hanging="993"/>
        <w:jc w:val="center"/>
        <w:rPr>
          <w:rFonts w:ascii="Times New Roman" w:hAnsi="Times New Roman" w:cs="Times New Roman"/>
          <w:b/>
          <w:bCs/>
        </w:rPr>
      </w:pPr>
      <w:r>
        <w:rPr>
          <w:rFonts w:ascii="Times New Roman" w:hAnsi="Times New Roman" w:cs="Times New Roman"/>
          <w:b/>
          <w:bCs/>
        </w:rPr>
        <w:t>Table 2</w:t>
      </w:r>
      <w:r w:rsidRPr="004F4981">
        <w:rPr>
          <w:rFonts w:ascii="Times New Roman" w:hAnsi="Times New Roman" w:cs="Times New Roman"/>
          <w:b/>
          <w:bCs/>
        </w:rPr>
        <w:t xml:space="preserve">: Pooled Effect of Liquid Bio fertilizers on </w:t>
      </w:r>
      <w:r>
        <w:rPr>
          <w:rFonts w:ascii="Times New Roman" w:hAnsi="Times New Roman" w:cs="Times New Roman"/>
          <w:b/>
          <w:bCs/>
        </w:rPr>
        <w:t xml:space="preserve">Plant Height at 30 DAS and </w:t>
      </w:r>
      <w:r w:rsidRPr="004F4981">
        <w:rPr>
          <w:rFonts w:ascii="Times New Roman" w:hAnsi="Times New Roman" w:cs="Times New Roman"/>
          <w:b/>
          <w:bCs/>
        </w:rPr>
        <w:t xml:space="preserve">Plant </w:t>
      </w:r>
      <w:r w:rsidR="00635328">
        <w:rPr>
          <w:rFonts w:ascii="Times New Roman" w:hAnsi="Times New Roman" w:cs="Times New Roman"/>
          <w:b/>
          <w:bCs/>
        </w:rPr>
        <w:t xml:space="preserve">Height </w:t>
      </w:r>
      <w:r>
        <w:rPr>
          <w:rFonts w:ascii="Times New Roman" w:hAnsi="Times New Roman" w:cs="Times New Roman"/>
          <w:b/>
          <w:bCs/>
        </w:rPr>
        <w:t>at Harvest</w:t>
      </w:r>
    </w:p>
    <w:tbl>
      <w:tblPr>
        <w:tblStyle w:val="TableGrid"/>
        <w:tblpPr w:leftFromText="180" w:rightFromText="180" w:vertAnchor="text" w:horzAnchor="margin" w:tblpXSpec="center" w:tblpY="97"/>
        <w:tblW w:w="4589" w:type="pct"/>
        <w:tblLayout w:type="fixed"/>
        <w:tblLook w:val="04A0" w:firstRow="1" w:lastRow="0" w:firstColumn="1" w:lastColumn="0" w:noHBand="0" w:noVBand="1"/>
      </w:tblPr>
      <w:tblGrid>
        <w:gridCol w:w="4834"/>
        <w:gridCol w:w="2013"/>
        <w:gridCol w:w="1942"/>
      </w:tblGrid>
      <w:tr w:rsidR="00465D2B" w:rsidRPr="009249CC" w14:paraId="178E100F" w14:textId="77777777" w:rsidTr="00B21E61">
        <w:trPr>
          <w:trHeight w:val="31"/>
        </w:trPr>
        <w:tc>
          <w:tcPr>
            <w:tcW w:w="2750" w:type="pct"/>
            <w:vAlign w:val="center"/>
          </w:tcPr>
          <w:p w14:paraId="36EEFC0B" w14:textId="77777777" w:rsidR="00465D2B" w:rsidRPr="009249CC" w:rsidRDefault="00465D2B" w:rsidP="00B21E61">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09481295" w14:textId="7E5DDA47"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30 DAS</w:t>
            </w:r>
          </w:p>
        </w:tc>
        <w:tc>
          <w:tcPr>
            <w:tcW w:w="1105" w:type="pct"/>
            <w:vAlign w:val="center"/>
          </w:tcPr>
          <w:p w14:paraId="2CFD96C7" w14:textId="0D5A0D41" w:rsidR="00465D2B" w:rsidRPr="00773FE2" w:rsidRDefault="00465D2B" w:rsidP="00B21E61">
            <w:pPr>
              <w:jc w:val="center"/>
              <w:rPr>
                <w:rFonts w:ascii="Times New Roman" w:hAnsi="Times New Roman" w:cs="Times New Roman"/>
                <w:sz w:val="18"/>
                <w:szCs w:val="18"/>
              </w:rPr>
            </w:pPr>
            <w:r w:rsidRPr="00773FE2">
              <w:rPr>
                <w:rFonts w:ascii="Times New Roman" w:hAnsi="Times New Roman" w:cs="Times New Roman"/>
                <w:sz w:val="18"/>
                <w:szCs w:val="18"/>
              </w:rPr>
              <w:t>Plant Height at Harvest</w:t>
            </w:r>
          </w:p>
        </w:tc>
      </w:tr>
      <w:tr w:rsidR="00465D2B" w:rsidRPr="00465D2B" w14:paraId="10F39E0C" w14:textId="77777777" w:rsidTr="00B21E61">
        <w:trPr>
          <w:trHeight w:val="31"/>
        </w:trPr>
        <w:tc>
          <w:tcPr>
            <w:tcW w:w="2750" w:type="pct"/>
            <w:vAlign w:val="center"/>
          </w:tcPr>
          <w:p w14:paraId="400AD90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7B34C99D" w14:textId="4865F1D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36.51</w:t>
            </w:r>
          </w:p>
        </w:tc>
        <w:tc>
          <w:tcPr>
            <w:tcW w:w="1105" w:type="pct"/>
            <w:vAlign w:val="center"/>
          </w:tcPr>
          <w:p w14:paraId="332797B4" w14:textId="0122210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105.62</w:t>
            </w:r>
          </w:p>
        </w:tc>
      </w:tr>
      <w:tr w:rsidR="00465D2B" w:rsidRPr="00465D2B" w14:paraId="578C7208" w14:textId="77777777" w:rsidTr="00B21E61">
        <w:trPr>
          <w:trHeight w:val="31"/>
        </w:trPr>
        <w:tc>
          <w:tcPr>
            <w:tcW w:w="2750" w:type="pct"/>
            <w:vAlign w:val="center"/>
          </w:tcPr>
          <w:p w14:paraId="6D02FB0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Em Culture @ 10 ml/kg of Seed</w:t>
            </w:r>
          </w:p>
        </w:tc>
        <w:tc>
          <w:tcPr>
            <w:tcW w:w="1145" w:type="pct"/>
            <w:vAlign w:val="center"/>
          </w:tcPr>
          <w:p w14:paraId="26658FD1" w14:textId="1AE69E9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38.48</w:t>
            </w:r>
          </w:p>
        </w:tc>
        <w:tc>
          <w:tcPr>
            <w:tcW w:w="1105" w:type="pct"/>
            <w:vAlign w:val="center"/>
          </w:tcPr>
          <w:p w14:paraId="214B0F08" w14:textId="2B996B2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110.47</w:t>
            </w:r>
          </w:p>
        </w:tc>
      </w:tr>
      <w:tr w:rsidR="00465D2B" w:rsidRPr="00465D2B" w14:paraId="23D47E1B" w14:textId="77777777" w:rsidTr="00B21E61">
        <w:trPr>
          <w:trHeight w:val="31"/>
        </w:trPr>
        <w:tc>
          <w:tcPr>
            <w:tcW w:w="2750" w:type="pct"/>
            <w:vAlign w:val="center"/>
          </w:tcPr>
          <w:p w14:paraId="41FF8BB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03A02ADA" w14:textId="2042AEC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39.48</w:t>
            </w:r>
          </w:p>
        </w:tc>
        <w:tc>
          <w:tcPr>
            <w:tcW w:w="1105" w:type="pct"/>
            <w:vAlign w:val="center"/>
          </w:tcPr>
          <w:p w14:paraId="32989D3A" w14:textId="4C703B89"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112.83</w:t>
            </w:r>
          </w:p>
        </w:tc>
      </w:tr>
      <w:tr w:rsidR="00465D2B" w:rsidRPr="00465D2B" w14:paraId="292EFE9F" w14:textId="77777777" w:rsidTr="00B21E61">
        <w:trPr>
          <w:trHeight w:val="31"/>
        </w:trPr>
        <w:tc>
          <w:tcPr>
            <w:tcW w:w="2750" w:type="pct"/>
            <w:vAlign w:val="center"/>
          </w:tcPr>
          <w:p w14:paraId="29F6A8F4"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6BC55A1" w14:textId="5020F94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41.46</w:t>
            </w:r>
          </w:p>
        </w:tc>
        <w:tc>
          <w:tcPr>
            <w:tcW w:w="1105" w:type="pct"/>
            <w:vAlign w:val="center"/>
          </w:tcPr>
          <w:p w14:paraId="322DFC26" w14:textId="0BE51CD8"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113.27</w:t>
            </w:r>
          </w:p>
        </w:tc>
      </w:tr>
      <w:tr w:rsidR="00465D2B" w:rsidRPr="00465D2B" w14:paraId="4B910229" w14:textId="77777777" w:rsidTr="00B21E61">
        <w:trPr>
          <w:trHeight w:val="31"/>
        </w:trPr>
        <w:tc>
          <w:tcPr>
            <w:tcW w:w="2750" w:type="pct"/>
            <w:vAlign w:val="center"/>
          </w:tcPr>
          <w:p w14:paraId="0AEAD1D0"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Pseudomonas @ 20 ml/kg of Seed</w:t>
            </w:r>
          </w:p>
        </w:tc>
        <w:tc>
          <w:tcPr>
            <w:tcW w:w="1145" w:type="pct"/>
            <w:vAlign w:val="center"/>
          </w:tcPr>
          <w:p w14:paraId="6D7FC6F1" w14:textId="0CD5F0E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42.18</w:t>
            </w:r>
          </w:p>
        </w:tc>
        <w:tc>
          <w:tcPr>
            <w:tcW w:w="1105" w:type="pct"/>
            <w:vAlign w:val="center"/>
          </w:tcPr>
          <w:p w14:paraId="59FFF619" w14:textId="7872B6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114.25</w:t>
            </w:r>
          </w:p>
        </w:tc>
      </w:tr>
      <w:tr w:rsidR="00465D2B" w:rsidRPr="00465D2B" w14:paraId="7AC50AB7" w14:textId="77777777" w:rsidTr="00B21E61">
        <w:trPr>
          <w:trHeight w:val="31"/>
        </w:trPr>
        <w:tc>
          <w:tcPr>
            <w:tcW w:w="2750" w:type="pct"/>
            <w:vAlign w:val="center"/>
          </w:tcPr>
          <w:p w14:paraId="150CBA03"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20 ml/kg of Seed</w:t>
            </w:r>
          </w:p>
        </w:tc>
        <w:tc>
          <w:tcPr>
            <w:tcW w:w="1145" w:type="pct"/>
            <w:vAlign w:val="center"/>
          </w:tcPr>
          <w:p w14:paraId="2448B3C6" w14:textId="1A36BA3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37.94</w:t>
            </w:r>
          </w:p>
        </w:tc>
        <w:tc>
          <w:tcPr>
            <w:tcW w:w="1105" w:type="pct"/>
            <w:vAlign w:val="center"/>
          </w:tcPr>
          <w:p w14:paraId="14256CA1" w14:textId="41A6F3FF"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112.70</w:t>
            </w:r>
          </w:p>
        </w:tc>
      </w:tr>
      <w:tr w:rsidR="00465D2B" w:rsidRPr="00465D2B" w14:paraId="770AB463" w14:textId="77777777" w:rsidTr="00B21E61">
        <w:trPr>
          <w:trHeight w:val="31"/>
        </w:trPr>
        <w:tc>
          <w:tcPr>
            <w:tcW w:w="2750" w:type="pct"/>
            <w:vAlign w:val="center"/>
          </w:tcPr>
          <w:p w14:paraId="74391174"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20 ml/kg seed</w:t>
            </w:r>
          </w:p>
        </w:tc>
        <w:tc>
          <w:tcPr>
            <w:tcW w:w="1145" w:type="pct"/>
            <w:vAlign w:val="center"/>
          </w:tcPr>
          <w:p w14:paraId="4C5F7C76" w14:textId="2CDDC59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42.48</w:t>
            </w:r>
          </w:p>
        </w:tc>
        <w:tc>
          <w:tcPr>
            <w:tcW w:w="1105" w:type="pct"/>
            <w:vAlign w:val="center"/>
          </w:tcPr>
          <w:p w14:paraId="0636954F" w14:textId="3D24891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116.84</w:t>
            </w:r>
          </w:p>
        </w:tc>
      </w:tr>
      <w:tr w:rsidR="00465D2B" w:rsidRPr="00465D2B" w14:paraId="6C99ED95" w14:textId="77777777" w:rsidTr="00B21E61">
        <w:trPr>
          <w:trHeight w:val="31"/>
        </w:trPr>
        <w:tc>
          <w:tcPr>
            <w:tcW w:w="2750" w:type="pct"/>
            <w:vAlign w:val="center"/>
          </w:tcPr>
          <w:p w14:paraId="70B73F1C"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PSB @ 20 ml/kg seed</w:t>
            </w:r>
          </w:p>
        </w:tc>
        <w:tc>
          <w:tcPr>
            <w:tcW w:w="1145" w:type="pct"/>
            <w:vAlign w:val="center"/>
          </w:tcPr>
          <w:p w14:paraId="40FD0CD5" w14:textId="2DEEA2D1"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43.08</w:t>
            </w:r>
          </w:p>
        </w:tc>
        <w:tc>
          <w:tcPr>
            <w:tcW w:w="1105" w:type="pct"/>
            <w:vAlign w:val="center"/>
          </w:tcPr>
          <w:p w14:paraId="46E2245D" w14:textId="2486624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117.33</w:t>
            </w:r>
          </w:p>
        </w:tc>
      </w:tr>
      <w:tr w:rsidR="00465D2B" w:rsidRPr="00465D2B" w14:paraId="283739D0" w14:textId="77777777" w:rsidTr="00B21E61">
        <w:trPr>
          <w:trHeight w:val="31"/>
        </w:trPr>
        <w:tc>
          <w:tcPr>
            <w:tcW w:w="2750" w:type="pct"/>
            <w:vAlign w:val="center"/>
          </w:tcPr>
          <w:p w14:paraId="683C5940" w14:textId="77777777" w:rsidR="00465D2B" w:rsidRPr="00465D2B" w:rsidRDefault="00465D2B" w:rsidP="00465D2B">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PSB @ 30 ml/kg seed</w:t>
            </w:r>
          </w:p>
        </w:tc>
        <w:tc>
          <w:tcPr>
            <w:tcW w:w="1145" w:type="pct"/>
            <w:vAlign w:val="center"/>
          </w:tcPr>
          <w:p w14:paraId="6E38CA48" w14:textId="5BE287D2"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40.18</w:t>
            </w:r>
          </w:p>
        </w:tc>
        <w:tc>
          <w:tcPr>
            <w:tcW w:w="1105" w:type="pct"/>
            <w:vAlign w:val="center"/>
          </w:tcPr>
          <w:p w14:paraId="13B52ACA" w14:textId="295772BD"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113.33</w:t>
            </w:r>
          </w:p>
        </w:tc>
      </w:tr>
      <w:tr w:rsidR="00465D2B" w:rsidRPr="00465D2B" w14:paraId="3ACE1924" w14:textId="77777777" w:rsidTr="00B21E61">
        <w:trPr>
          <w:trHeight w:val="31"/>
        </w:trPr>
        <w:tc>
          <w:tcPr>
            <w:tcW w:w="2750" w:type="pct"/>
            <w:vAlign w:val="center"/>
          </w:tcPr>
          <w:p w14:paraId="69B19D67"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5DF06523" w14:textId="28A61BB7"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37.48</w:t>
            </w:r>
          </w:p>
        </w:tc>
        <w:tc>
          <w:tcPr>
            <w:tcW w:w="1105" w:type="pct"/>
            <w:vAlign w:val="center"/>
          </w:tcPr>
          <w:p w14:paraId="6A64DF0E" w14:textId="242B1FF4"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color w:val="000000"/>
                <w:sz w:val="20"/>
                <w:szCs w:val="20"/>
              </w:rPr>
              <w:t>108.29</w:t>
            </w:r>
          </w:p>
        </w:tc>
      </w:tr>
      <w:tr w:rsidR="00465D2B" w:rsidRPr="00465D2B" w14:paraId="17D7D79E" w14:textId="77777777" w:rsidTr="00B21E61">
        <w:trPr>
          <w:trHeight w:val="31"/>
        </w:trPr>
        <w:tc>
          <w:tcPr>
            <w:tcW w:w="2750" w:type="pct"/>
            <w:vAlign w:val="center"/>
          </w:tcPr>
          <w:p w14:paraId="0FA759FD"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22340592" w14:textId="2DE940BA"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0.83</w:t>
            </w:r>
          </w:p>
        </w:tc>
        <w:tc>
          <w:tcPr>
            <w:tcW w:w="1105" w:type="pct"/>
            <w:vAlign w:val="center"/>
          </w:tcPr>
          <w:p w14:paraId="40C67088" w14:textId="0564DB7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2.54</w:t>
            </w:r>
          </w:p>
        </w:tc>
      </w:tr>
      <w:tr w:rsidR="00465D2B" w:rsidRPr="00465D2B" w14:paraId="1E054B75" w14:textId="77777777" w:rsidTr="00B21E61">
        <w:trPr>
          <w:trHeight w:val="31"/>
        </w:trPr>
        <w:tc>
          <w:tcPr>
            <w:tcW w:w="2750" w:type="pct"/>
            <w:vAlign w:val="center"/>
          </w:tcPr>
          <w:p w14:paraId="4E778371" w14:textId="77777777" w:rsidR="00465D2B" w:rsidRPr="00465D2B" w:rsidRDefault="00465D2B" w:rsidP="00465D2B">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59FA64FC" w14:textId="7C88FE35"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2.49</w:t>
            </w:r>
          </w:p>
        </w:tc>
        <w:tc>
          <w:tcPr>
            <w:tcW w:w="1105" w:type="pct"/>
            <w:vAlign w:val="center"/>
          </w:tcPr>
          <w:p w14:paraId="7600F6B4" w14:textId="7722DCE0"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b/>
                <w:bCs/>
                <w:sz w:val="20"/>
                <w:szCs w:val="20"/>
              </w:rPr>
              <w:t>NS</w:t>
            </w:r>
          </w:p>
        </w:tc>
      </w:tr>
      <w:tr w:rsidR="00465D2B" w:rsidRPr="00465D2B" w14:paraId="19730038" w14:textId="77777777" w:rsidTr="00B21E61">
        <w:trPr>
          <w:trHeight w:val="31"/>
        </w:trPr>
        <w:tc>
          <w:tcPr>
            <w:tcW w:w="2750" w:type="pct"/>
            <w:vAlign w:val="center"/>
          </w:tcPr>
          <w:p w14:paraId="4C2C88EA" w14:textId="77777777" w:rsidR="00465D2B" w:rsidRPr="00465D2B" w:rsidRDefault="00465D2B" w:rsidP="00465D2B">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38D68CD" w14:textId="4F2D8AA3"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3.60</w:t>
            </w:r>
          </w:p>
        </w:tc>
        <w:tc>
          <w:tcPr>
            <w:tcW w:w="1105" w:type="pct"/>
            <w:vAlign w:val="center"/>
          </w:tcPr>
          <w:p w14:paraId="42FA5A9D" w14:textId="3EB5FC0B" w:rsidR="00465D2B" w:rsidRPr="00465D2B" w:rsidRDefault="00465D2B" w:rsidP="00465D2B">
            <w:pPr>
              <w:jc w:val="center"/>
              <w:rPr>
                <w:rFonts w:ascii="Times New Roman" w:hAnsi="Times New Roman" w:cs="Times New Roman"/>
                <w:sz w:val="18"/>
                <w:szCs w:val="18"/>
              </w:rPr>
            </w:pPr>
            <w:r w:rsidRPr="00465D2B">
              <w:rPr>
                <w:rFonts w:ascii="Times New Roman" w:hAnsi="Times New Roman" w:cs="Times New Roman"/>
                <w:sz w:val="20"/>
                <w:szCs w:val="20"/>
              </w:rPr>
              <w:t>3.90</w:t>
            </w:r>
          </w:p>
        </w:tc>
      </w:tr>
    </w:tbl>
    <w:p w14:paraId="27D79CEE" w14:textId="77777777" w:rsidR="00C20948" w:rsidRDefault="00C20948" w:rsidP="00465D2B">
      <w:pPr>
        <w:rPr>
          <w:rFonts w:ascii="Times New Roman" w:hAnsi="Times New Roman" w:cs="Times New Roman"/>
          <w:b/>
          <w:bCs/>
        </w:rPr>
      </w:pPr>
    </w:p>
    <w:p w14:paraId="40A4F538" w14:textId="00D962C2" w:rsidR="00465D2B" w:rsidRPr="00C20948" w:rsidRDefault="00465D2B" w:rsidP="00635328">
      <w:pPr>
        <w:jc w:val="center"/>
        <w:rPr>
          <w:rFonts w:ascii="Times New Roman" w:hAnsi="Times New Roman" w:cs="Times New Roman"/>
          <w:b/>
          <w:bCs/>
        </w:rPr>
      </w:pPr>
      <w:r>
        <w:rPr>
          <w:noProof/>
          <w:lang w:val="en-IN" w:eastAsia="en-IN" w:bidi="hi-IN"/>
        </w:rPr>
        <w:lastRenderedPageBreak/>
        <w:drawing>
          <wp:anchor distT="0" distB="0" distL="114300" distR="114300" simplePos="0" relativeHeight="251686912" behindDoc="1" locked="0" layoutInCell="1" allowOverlap="1" wp14:anchorId="305A9EE0" wp14:editId="4C911940">
            <wp:simplePos x="0" y="0"/>
            <wp:positionH relativeFrom="column">
              <wp:posOffset>-697230</wp:posOffset>
            </wp:positionH>
            <wp:positionV relativeFrom="paragraph">
              <wp:posOffset>-160655</wp:posOffset>
            </wp:positionV>
            <wp:extent cx="4008755" cy="2494915"/>
            <wp:effectExtent l="0" t="0" r="0" b="635"/>
            <wp:wrapTight wrapText="bothSides">
              <wp:wrapPolygon edited="0">
                <wp:start x="0" y="0"/>
                <wp:lineTo x="0" y="21441"/>
                <wp:lineTo x="21453" y="21441"/>
                <wp:lineTo x="21453" y="0"/>
                <wp:lineTo x="0" y="0"/>
              </wp:wrapPolygon>
            </wp:wrapTight>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lang w:val="en-IN" w:eastAsia="en-IN" w:bidi="hi-IN"/>
        </w:rPr>
        <w:drawing>
          <wp:anchor distT="0" distB="0" distL="114300" distR="114300" simplePos="0" relativeHeight="251687936" behindDoc="1" locked="0" layoutInCell="1" allowOverlap="1" wp14:anchorId="18C648E6" wp14:editId="181DDC17">
            <wp:simplePos x="0" y="0"/>
            <wp:positionH relativeFrom="column">
              <wp:posOffset>3162300</wp:posOffset>
            </wp:positionH>
            <wp:positionV relativeFrom="paragraph">
              <wp:posOffset>-222250</wp:posOffset>
            </wp:positionV>
            <wp:extent cx="3724910" cy="2438400"/>
            <wp:effectExtent l="0" t="0" r="8890" b="0"/>
            <wp:wrapThrough wrapText="bothSides">
              <wp:wrapPolygon edited="0">
                <wp:start x="0" y="0"/>
                <wp:lineTo x="0" y="21431"/>
                <wp:lineTo x="21541" y="21431"/>
                <wp:lineTo x="21541"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24910" cy="2438400"/>
                    </a:xfrm>
                    <a:prstGeom prst="rect">
                      <a:avLst/>
                    </a:prstGeom>
                    <a:noFill/>
                  </pic:spPr>
                </pic:pic>
              </a:graphicData>
            </a:graphic>
            <wp14:sizeRelH relativeFrom="page">
              <wp14:pctWidth>0</wp14:pctWidth>
            </wp14:sizeRelH>
            <wp14:sizeRelV relativeFrom="page">
              <wp14:pctHeight>0</wp14:pctHeight>
            </wp14:sizeRelV>
          </wp:anchor>
        </w:drawing>
      </w:r>
      <w:r w:rsidR="00BA7D3A">
        <w:rPr>
          <w:rFonts w:ascii="Times New Roman" w:hAnsi="Times New Roman" w:cs="Times New Roman"/>
          <w:b/>
          <w:bCs/>
        </w:rPr>
        <w:t xml:space="preserve">Fig. </w:t>
      </w:r>
      <w:proofErr w:type="gramStart"/>
      <w:r w:rsidR="00BA7D3A">
        <w:rPr>
          <w:rFonts w:ascii="Times New Roman" w:hAnsi="Times New Roman" w:cs="Times New Roman"/>
          <w:b/>
          <w:bCs/>
        </w:rPr>
        <w:t>2</w:t>
      </w:r>
      <w:r w:rsidRPr="00465D2B">
        <w:rPr>
          <w:rFonts w:ascii="Times New Roman" w:hAnsi="Times New Roman" w:cs="Times New Roman"/>
          <w:b/>
          <w:bCs/>
        </w:rPr>
        <w:t>.Effect</w:t>
      </w:r>
      <w:proofErr w:type="gramEnd"/>
      <w:r w:rsidRPr="00465D2B">
        <w:rPr>
          <w:rFonts w:ascii="Times New Roman" w:hAnsi="Times New Roman" w:cs="Times New Roman"/>
          <w:b/>
          <w:bCs/>
        </w:rPr>
        <w:t xml:space="preserve"> of different liquid bio fertilizers on </w:t>
      </w:r>
      <w:r>
        <w:rPr>
          <w:rFonts w:ascii="Times New Roman" w:hAnsi="Times New Roman" w:cs="Times New Roman"/>
          <w:b/>
          <w:bCs/>
        </w:rPr>
        <w:t>Plant Height at 30 DAS and Plant Height at Harvest</w:t>
      </w:r>
    </w:p>
    <w:p w14:paraId="1E851B6A" w14:textId="58E4077D"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Leaf Chlorophyll and LAI</w:t>
      </w:r>
    </w:p>
    <w:p w14:paraId="73796821" w14:textId="2D531BBC" w:rsidR="00DD3D02" w:rsidRDefault="00DD3D02" w:rsidP="0027156D">
      <w:pPr>
        <w:jc w:val="both"/>
        <w:rPr>
          <w:rFonts w:ascii="Times New Roman" w:hAnsi="Times New Roman" w:cs="Times New Roman"/>
        </w:rPr>
      </w:pPr>
      <w:r w:rsidRPr="00451C05">
        <w:rPr>
          <w:rFonts w:ascii="Times New Roman" w:hAnsi="Times New Roman" w:cs="Times New Roman"/>
        </w:rPr>
        <w:t>Chlorophyll content highest in T</w:t>
      </w:r>
      <w:r w:rsidRPr="00C62975">
        <w:rPr>
          <w:rFonts w:ascii="Times New Roman" w:hAnsi="Times New Roman" w:cs="Times New Roman"/>
          <w:vertAlign w:val="subscript"/>
        </w:rPr>
        <w:t xml:space="preserve">8 </w:t>
      </w:r>
      <w:r w:rsidRPr="00451C05">
        <w:rPr>
          <w:rFonts w:ascii="Times New Roman" w:hAnsi="Times New Roman" w:cs="Times New Roman"/>
        </w:rPr>
        <w:t>(46.95 SPAD) and T7 (46.45 SPAD), LAI highest in T</w:t>
      </w:r>
      <w:r w:rsidRPr="00C62975">
        <w:rPr>
          <w:rFonts w:ascii="Times New Roman" w:hAnsi="Times New Roman" w:cs="Times New Roman"/>
          <w:vertAlign w:val="subscript"/>
        </w:rPr>
        <w:t>8</w:t>
      </w:r>
      <w:r w:rsidRPr="00451C05">
        <w:rPr>
          <w:rFonts w:ascii="Times New Roman" w:hAnsi="Times New Roman" w:cs="Times New Roman"/>
        </w:rPr>
        <w:t xml:space="preserve"> (5.16) and T</w:t>
      </w:r>
      <w:r w:rsidRPr="00C62975">
        <w:rPr>
          <w:rFonts w:ascii="Times New Roman" w:hAnsi="Times New Roman" w:cs="Times New Roman"/>
          <w:vertAlign w:val="subscript"/>
        </w:rPr>
        <w:t>7</w:t>
      </w:r>
      <w:r w:rsidRPr="00451C05">
        <w:rPr>
          <w:rFonts w:ascii="Times New Roman" w:hAnsi="Times New Roman" w:cs="Times New Roman"/>
        </w:rPr>
        <w:t xml:space="preserve"> (4.97), demonstrating enhanced photosynthetic capacity and canopy development</w:t>
      </w:r>
      <w:r w:rsidR="00773FE2">
        <w:rPr>
          <w:rFonts w:ascii="Times New Roman" w:hAnsi="Times New Roman" w:cs="Times New Roman"/>
        </w:rPr>
        <w:t xml:space="preserve"> (Table 3 &amp; Fig.3)</w:t>
      </w:r>
      <w:r w:rsidRPr="00451C05">
        <w:rPr>
          <w:rFonts w:ascii="Times New Roman" w:hAnsi="Times New Roman" w:cs="Times New Roman"/>
        </w:rPr>
        <w:t>.</w:t>
      </w:r>
      <w:r w:rsidR="00D1667A">
        <w:rPr>
          <w:rFonts w:ascii="Times New Roman" w:hAnsi="Times New Roman" w:cs="Times New Roman"/>
        </w:rPr>
        <w:t xml:space="preserve"> </w:t>
      </w:r>
      <w:r w:rsidR="0027156D">
        <w:rPr>
          <w:rFonts w:ascii="Times New Roman" w:hAnsi="Times New Roman" w:cs="Times New Roman"/>
        </w:rPr>
        <w:t xml:space="preserve">There is also significant difference </w:t>
      </w:r>
      <w:commentRangeStart w:id="2"/>
      <w:r w:rsidR="0027156D" w:rsidRPr="00EB58CB">
        <w:rPr>
          <w:rFonts w:ascii="Times New Roman" w:hAnsi="Times New Roman" w:cs="Times New Roman"/>
          <w:highlight w:val="yellow"/>
        </w:rPr>
        <w:t>were</w:t>
      </w:r>
      <w:commentRangeEnd w:id="2"/>
      <w:r w:rsidR="00EB58CB">
        <w:rPr>
          <w:rStyle w:val="CommentReference"/>
        </w:rPr>
        <w:commentReference w:id="2"/>
      </w:r>
      <w:r w:rsidR="0027156D">
        <w:rPr>
          <w:rFonts w:ascii="Times New Roman" w:hAnsi="Times New Roman" w:cs="Times New Roman"/>
        </w:rPr>
        <w:t xml:space="preserve"> observed for both the treatments with respect to </w:t>
      </w:r>
      <w:r w:rsidR="002E243A">
        <w:rPr>
          <w:rFonts w:ascii="Times New Roman" w:hAnsi="Times New Roman" w:cs="Times New Roman"/>
        </w:rPr>
        <w:t xml:space="preserve">control. </w:t>
      </w:r>
      <w:r w:rsidR="00C62975">
        <w:rPr>
          <w:rFonts w:ascii="Times New Roman" w:hAnsi="Times New Roman" w:cs="Times New Roman"/>
        </w:rPr>
        <w:t>These results were also observed by</w:t>
      </w:r>
      <w:r w:rsidR="00C62975" w:rsidRPr="00E20FF7">
        <w:rPr>
          <w:rFonts w:ascii="Times New Roman" w:hAnsi="Times New Roman" w:cs="Times New Roman"/>
        </w:rPr>
        <w:t xml:space="preserve"> Tamilarasu et al., (2022) in maize</w:t>
      </w:r>
      <w:r w:rsidR="00A46EA4">
        <w:rPr>
          <w:rFonts w:ascii="Times New Roman" w:hAnsi="Times New Roman" w:cs="Times New Roman"/>
        </w:rPr>
        <w:t>.</w:t>
      </w:r>
    </w:p>
    <w:p w14:paraId="5BCA2624" w14:textId="3D71C90A" w:rsidR="00C20948" w:rsidRPr="00465D2B" w:rsidRDefault="00C20948" w:rsidP="00635328">
      <w:pPr>
        <w:ind w:left="993" w:hanging="993"/>
        <w:jc w:val="center"/>
        <w:rPr>
          <w:rFonts w:ascii="Times New Roman" w:hAnsi="Times New Roman" w:cs="Times New Roman"/>
          <w:b/>
          <w:bCs/>
        </w:rPr>
      </w:pPr>
      <w:r>
        <w:rPr>
          <w:rFonts w:ascii="Times New Roman" w:hAnsi="Times New Roman" w:cs="Times New Roman"/>
          <w:b/>
          <w:bCs/>
        </w:rPr>
        <w:t>Table 3</w:t>
      </w:r>
      <w:r w:rsidRPr="004F4981">
        <w:rPr>
          <w:rFonts w:ascii="Times New Roman" w:hAnsi="Times New Roman" w:cs="Times New Roman"/>
          <w:b/>
          <w:bCs/>
        </w:rPr>
        <w:t xml:space="preserve">: </w:t>
      </w:r>
      <w:r>
        <w:rPr>
          <w:rFonts w:ascii="Times New Roman" w:hAnsi="Times New Roman" w:cs="Times New Roman"/>
          <w:b/>
          <w:bCs/>
        </w:rPr>
        <w:t xml:space="preserve"> </w:t>
      </w:r>
      <w:r w:rsidRPr="004F4981">
        <w:rPr>
          <w:rFonts w:ascii="Times New Roman" w:hAnsi="Times New Roman" w:cs="Times New Roman"/>
          <w:b/>
          <w:bCs/>
        </w:rPr>
        <w:t xml:space="preserve">Pooled Effect of Liquid Bio fertilizers on </w:t>
      </w:r>
      <w:r>
        <w:rPr>
          <w:rFonts w:ascii="Times New Roman" w:hAnsi="Times New Roman" w:cs="Times New Roman"/>
          <w:b/>
          <w:bCs/>
        </w:rPr>
        <w:t>Leaf Chlorophyll and LAI</w:t>
      </w:r>
    </w:p>
    <w:tbl>
      <w:tblPr>
        <w:tblStyle w:val="TableGrid"/>
        <w:tblpPr w:leftFromText="180" w:rightFromText="180" w:vertAnchor="text" w:horzAnchor="margin" w:tblpXSpec="center" w:tblpY="212"/>
        <w:tblW w:w="4589" w:type="pct"/>
        <w:tblLayout w:type="fixed"/>
        <w:tblLook w:val="04A0" w:firstRow="1" w:lastRow="0" w:firstColumn="1" w:lastColumn="0" w:noHBand="0" w:noVBand="1"/>
      </w:tblPr>
      <w:tblGrid>
        <w:gridCol w:w="4834"/>
        <w:gridCol w:w="2013"/>
        <w:gridCol w:w="1942"/>
      </w:tblGrid>
      <w:tr w:rsidR="00C20948" w:rsidRPr="009249CC" w14:paraId="03297C66" w14:textId="77777777" w:rsidTr="00635328">
        <w:trPr>
          <w:trHeight w:val="31"/>
        </w:trPr>
        <w:tc>
          <w:tcPr>
            <w:tcW w:w="2750" w:type="pct"/>
            <w:vAlign w:val="center"/>
          </w:tcPr>
          <w:p w14:paraId="17DB7C4C" w14:textId="77777777" w:rsidR="00C20948" w:rsidRPr="009249CC" w:rsidRDefault="00C20948" w:rsidP="00635328">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1145" w:type="pct"/>
            <w:vAlign w:val="center"/>
          </w:tcPr>
          <w:p w14:paraId="5A3C1F7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Leaf Chlorophyll (SPAD)</w:t>
            </w:r>
          </w:p>
        </w:tc>
        <w:tc>
          <w:tcPr>
            <w:tcW w:w="1105" w:type="pct"/>
            <w:vAlign w:val="center"/>
          </w:tcPr>
          <w:p w14:paraId="4F90DAD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LAI</w:t>
            </w:r>
          </w:p>
        </w:tc>
      </w:tr>
      <w:tr w:rsidR="00C20948" w:rsidRPr="00465D2B" w14:paraId="0A30C648" w14:textId="77777777" w:rsidTr="00635328">
        <w:trPr>
          <w:trHeight w:val="31"/>
        </w:trPr>
        <w:tc>
          <w:tcPr>
            <w:tcW w:w="2750" w:type="pct"/>
            <w:vAlign w:val="center"/>
          </w:tcPr>
          <w:p w14:paraId="6996114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1145" w:type="pct"/>
            <w:vAlign w:val="center"/>
          </w:tcPr>
          <w:p w14:paraId="3D226BF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37.59</w:t>
            </w:r>
          </w:p>
        </w:tc>
        <w:tc>
          <w:tcPr>
            <w:tcW w:w="1105" w:type="pct"/>
            <w:vAlign w:val="center"/>
          </w:tcPr>
          <w:p w14:paraId="6C9423D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3.01</w:t>
            </w:r>
          </w:p>
        </w:tc>
      </w:tr>
      <w:tr w:rsidR="00C20948" w:rsidRPr="00465D2B" w14:paraId="7CAD1CD7" w14:textId="77777777" w:rsidTr="00635328">
        <w:trPr>
          <w:trHeight w:val="31"/>
        </w:trPr>
        <w:tc>
          <w:tcPr>
            <w:tcW w:w="2750" w:type="pct"/>
            <w:vAlign w:val="center"/>
          </w:tcPr>
          <w:p w14:paraId="0C336857"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Em Culture @ 10 ml/kg of Seed</w:t>
            </w:r>
          </w:p>
        </w:tc>
        <w:tc>
          <w:tcPr>
            <w:tcW w:w="1145" w:type="pct"/>
            <w:vAlign w:val="center"/>
          </w:tcPr>
          <w:p w14:paraId="2B367D37"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39.18</w:t>
            </w:r>
          </w:p>
        </w:tc>
        <w:tc>
          <w:tcPr>
            <w:tcW w:w="1105" w:type="pct"/>
            <w:vAlign w:val="center"/>
          </w:tcPr>
          <w:p w14:paraId="646E75E1"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3.42</w:t>
            </w:r>
          </w:p>
        </w:tc>
      </w:tr>
      <w:tr w:rsidR="00C20948" w:rsidRPr="00465D2B" w14:paraId="02F3B0F9" w14:textId="77777777" w:rsidTr="00635328">
        <w:trPr>
          <w:trHeight w:val="31"/>
        </w:trPr>
        <w:tc>
          <w:tcPr>
            <w:tcW w:w="2750" w:type="pct"/>
            <w:vAlign w:val="center"/>
          </w:tcPr>
          <w:p w14:paraId="183857B9"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1145" w:type="pct"/>
            <w:vAlign w:val="center"/>
          </w:tcPr>
          <w:p w14:paraId="448A122C"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43.45</w:t>
            </w:r>
          </w:p>
        </w:tc>
        <w:tc>
          <w:tcPr>
            <w:tcW w:w="1105" w:type="pct"/>
            <w:vAlign w:val="center"/>
          </w:tcPr>
          <w:p w14:paraId="7FE8042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3.90</w:t>
            </w:r>
          </w:p>
        </w:tc>
      </w:tr>
      <w:tr w:rsidR="00C20948" w:rsidRPr="00465D2B" w14:paraId="4B8ED675" w14:textId="77777777" w:rsidTr="00635328">
        <w:trPr>
          <w:trHeight w:val="31"/>
        </w:trPr>
        <w:tc>
          <w:tcPr>
            <w:tcW w:w="2750" w:type="pct"/>
            <w:vAlign w:val="center"/>
          </w:tcPr>
          <w:p w14:paraId="59D8F67B"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1145" w:type="pct"/>
            <w:vAlign w:val="center"/>
          </w:tcPr>
          <w:p w14:paraId="7374A51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42.91</w:t>
            </w:r>
          </w:p>
        </w:tc>
        <w:tc>
          <w:tcPr>
            <w:tcW w:w="1105" w:type="pct"/>
            <w:vAlign w:val="center"/>
          </w:tcPr>
          <w:p w14:paraId="5CEEADC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4.35</w:t>
            </w:r>
          </w:p>
        </w:tc>
      </w:tr>
      <w:tr w:rsidR="00C20948" w:rsidRPr="00465D2B" w14:paraId="353A24AD" w14:textId="77777777" w:rsidTr="00635328">
        <w:trPr>
          <w:trHeight w:val="31"/>
        </w:trPr>
        <w:tc>
          <w:tcPr>
            <w:tcW w:w="2750" w:type="pct"/>
            <w:vAlign w:val="center"/>
          </w:tcPr>
          <w:p w14:paraId="41C634CC" w14:textId="77777777" w:rsidR="00C20948" w:rsidRPr="00465D2B" w:rsidRDefault="00C20948" w:rsidP="00635328">
            <w:pPr>
              <w:rPr>
                <w:rFonts w:ascii="Times New Roman" w:hAnsi="Times New Roman" w:cs="Times New Roman"/>
                <w:sz w:val="18"/>
                <w:szCs w:val="18"/>
              </w:rPr>
            </w:pPr>
            <w:r w:rsidRPr="00EB58CB">
              <w:rPr>
                <w:rFonts w:ascii="Times New Roman" w:hAnsi="Times New Roman" w:cs="Times New Roman"/>
                <w:sz w:val="18"/>
                <w:szCs w:val="18"/>
                <w:highlight w:val="yellow"/>
              </w:rPr>
              <w:t>Pseudomonas</w:t>
            </w:r>
            <w:r w:rsidRPr="00465D2B">
              <w:rPr>
                <w:rFonts w:ascii="Times New Roman" w:hAnsi="Times New Roman" w:cs="Times New Roman"/>
                <w:sz w:val="18"/>
                <w:szCs w:val="18"/>
              </w:rPr>
              <w:t xml:space="preserve"> @ 20 ml/kg of Seed</w:t>
            </w:r>
          </w:p>
        </w:tc>
        <w:tc>
          <w:tcPr>
            <w:tcW w:w="1145" w:type="pct"/>
            <w:vAlign w:val="center"/>
          </w:tcPr>
          <w:p w14:paraId="6BE45E55"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43.91</w:t>
            </w:r>
          </w:p>
        </w:tc>
        <w:tc>
          <w:tcPr>
            <w:tcW w:w="1105" w:type="pct"/>
            <w:vAlign w:val="center"/>
          </w:tcPr>
          <w:p w14:paraId="3303D61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4.30</w:t>
            </w:r>
          </w:p>
        </w:tc>
      </w:tr>
      <w:tr w:rsidR="00C20948" w:rsidRPr="00465D2B" w14:paraId="32E364A2" w14:textId="77777777" w:rsidTr="00635328">
        <w:trPr>
          <w:trHeight w:val="31"/>
        </w:trPr>
        <w:tc>
          <w:tcPr>
            <w:tcW w:w="2750" w:type="pct"/>
            <w:vAlign w:val="center"/>
          </w:tcPr>
          <w:p w14:paraId="129DCA48" w14:textId="77777777" w:rsidR="00C20948" w:rsidRPr="00465D2B" w:rsidRDefault="00C20948" w:rsidP="00635328">
            <w:pPr>
              <w:rPr>
                <w:rFonts w:ascii="Times New Roman" w:hAnsi="Times New Roman" w:cs="Times New Roman"/>
                <w:sz w:val="18"/>
                <w:szCs w:val="18"/>
              </w:rPr>
            </w:pPr>
            <w:proofErr w:type="spellStart"/>
            <w:r w:rsidRPr="00EB58CB">
              <w:rPr>
                <w:rFonts w:ascii="Times New Roman" w:hAnsi="Times New Roman" w:cs="Times New Roman"/>
                <w:sz w:val="18"/>
                <w:szCs w:val="18"/>
                <w:highlight w:val="yellow"/>
              </w:rPr>
              <w:t>Azospirillum</w:t>
            </w:r>
            <w:proofErr w:type="spellEnd"/>
            <w:r w:rsidRPr="00465D2B">
              <w:rPr>
                <w:rFonts w:ascii="Times New Roman" w:hAnsi="Times New Roman" w:cs="Times New Roman"/>
                <w:sz w:val="18"/>
                <w:szCs w:val="18"/>
              </w:rPr>
              <w:t xml:space="preserve"> @ 20 ml/kg of Seed</w:t>
            </w:r>
          </w:p>
        </w:tc>
        <w:tc>
          <w:tcPr>
            <w:tcW w:w="1145" w:type="pct"/>
            <w:vAlign w:val="center"/>
          </w:tcPr>
          <w:p w14:paraId="4A65DFE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45.10</w:t>
            </w:r>
          </w:p>
        </w:tc>
        <w:tc>
          <w:tcPr>
            <w:tcW w:w="1105" w:type="pct"/>
            <w:vAlign w:val="center"/>
          </w:tcPr>
          <w:p w14:paraId="414C9B0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4.27</w:t>
            </w:r>
          </w:p>
        </w:tc>
      </w:tr>
      <w:tr w:rsidR="00C20948" w:rsidRPr="00465D2B" w14:paraId="68F67FAE" w14:textId="77777777" w:rsidTr="00635328">
        <w:trPr>
          <w:trHeight w:val="31"/>
        </w:trPr>
        <w:tc>
          <w:tcPr>
            <w:tcW w:w="2750" w:type="pct"/>
            <w:vAlign w:val="center"/>
          </w:tcPr>
          <w:p w14:paraId="58986A93" w14:textId="77777777" w:rsidR="00C20948" w:rsidRPr="00465D2B" w:rsidRDefault="00C20948" w:rsidP="00635328">
            <w:pPr>
              <w:rPr>
                <w:rFonts w:ascii="Times New Roman" w:hAnsi="Times New Roman" w:cs="Times New Roman"/>
                <w:sz w:val="18"/>
                <w:szCs w:val="18"/>
              </w:rPr>
            </w:pPr>
            <w:proofErr w:type="spellStart"/>
            <w:r w:rsidRPr="00EB58CB">
              <w:rPr>
                <w:rFonts w:ascii="Times New Roman" w:hAnsi="Times New Roman" w:cs="Times New Roman"/>
                <w:sz w:val="18"/>
                <w:szCs w:val="18"/>
                <w:highlight w:val="yellow"/>
              </w:rPr>
              <w:t>Azospirillum</w:t>
            </w:r>
            <w:proofErr w:type="spellEnd"/>
            <w:r w:rsidRPr="00465D2B">
              <w:rPr>
                <w:rFonts w:ascii="Times New Roman" w:hAnsi="Times New Roman" w:cs="Times New Roman"/>
                <w:sz w:val="18"/>
                <w:szCs w:val="18"/>
              </w:rPr>
              <w:t xml:space="preserve"> + KSB @ 20 ml/kg seed</w:t>
            </w:r>
          </w:p>
        </w:tc>
        <w:tc>
          <w:tcPr>
            <w:tcW w:w="1145" w:type="pct"/>
            <w:vAlign w:val="center"/>
          </w:tcPr>
          <w:p w14:paraId="6A3D6D6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46.45</w:t>
            </w:r>
          </w:p>
        </w:tc>
        <w:tc>
          <w:tcPr>
            <w:tcW w:w="1105" w:type="pct"/>
            <w:vAlign w:val="center"/>
          </w:tcPr>
          <w:p w14:paraId="519C019B"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4.97</w:t>
            </w:r>
          </w:p>
        </w:tc>
      </w:tr>
      <w:tr w:rsidR="00C20948" w:rsidRPr="00465D2B" w14:paraId="46B02E4E" w14:textId="77777777" w:rsidTr="00635328">
        <w:trPr>
          <w:trHeight w:val="31"/>
        </w:trPr>
        <w:tc>
          <w:tcPr>
            <w:tcW w:w="2750" w:type="pct"/>
            <w:vAlign w:val="center"/>
          </w:tcPr>
          <w:p w14:paraId="538D3763" w14:textId="77777777" w:rsidR="00C20948" w:rsidRPr="00465D2B" w:rsidRDefault="00C20948" w:rsidP="00635328">
            <w:pPr>
              <w:rPr>
                <w:rFonts w:ascii="Times New Roman" w:hAnsi="Times New Roman" w:cs="Times New Roman"/>
                <w:sz w:val="18"/>
                <w:szCs w:val="18"/>
              </w:rPr>
            </w:pPr>
            <w:proofErr w:type="spellStart"/>
            <w:r w:rsidRPr="00EB58CB">
              <w:rPr>
                <w:rFonts w:ascii="Times New Roman" w:hAnsi="Times New Roman" w:cs="Times New Roman"/>
                <w:sz w:val="18"/>
                <w:szCs w:val="18"/>
                <w:highlight w:val="yellow"/>
              </w:rPr>
              <w:t>Azospirillum</w:t>
            </w:r>
            <w:proofErr w:type="spellEnd"/>
            <w:r w:rsidRPr="00465D2B">
              <w:rPr>
                <w:rFonts w:ascii="Times New Roman" w:hAnsi="Times New Roman" w:cs="Times New Roman"/>
                <w:sz w:val="18"/>
                <w:szCs w:val="18"/>
              </w:rPr>
              <w:t xml:space="preserve"> + PSB @ 20 ml/kg seed</w:t>
            </w:r>
          </w:p>
        </w:tc>
        <w:tc>
          <w:tcPr>
            <w:tcW w:w="1145" w:type="pct"/>
            <w:vAlign w:val="center"/>
          </w:tcPr>
          <w:p w14:paraId="6B92B07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46.95</w:t>
            </w:r>
          </w:p>
        </w:tc>
        <w:tc>
          <w:tcPr>
            <w:tcW w:w="1105" w:type="pct"/>
            <w:vAlign w:val="center"/>
          </w:tcPr>
          <w:p w14:paraId="7589E8AD"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5.16</w:t>
            </w:r>
          </w:p>
        </w:tc>
      </w:tr>
      <w:tr w:rsidR="00C20948" w:rsidRPr="00465D2B" w14:paraId="4A687261" w14:textId="77777777" w:rsidTr="00635328">
        <w:trPr>
          <w:trHeight w:val="31"/>
        </w:trPr>
        <w:tc>
          <w:tcPr>
            <w:tcW w:w="2750" w:type="pct"/>
            <w:vAlign w:val="center"/>
          </w:tcPr>
          <w:p w14:paraId="6FED511B" w14:textId="77777777" w:rsidR="00C20948" w:rsidRPr="00465D2B" w:rsidRDefault="00C20948" w:rsidP="00635328">
            <w:pPr>
              <w:rPr>
                <w:rFonts w:ascii="Times New Roman" w:hAnsi="Times New Roman" w:cs="Times New Roman"/>
                <w:sz w:val="18"/>
                <w:szCs w:val="18"/>
              </w:rPr>
            </w:pPr>
            <w:proofErr w:type="spellStart"/>
            <w:r w:rsidRPr="00EB58CB">
              <w:rPr>
                <w:rFonts w:ascii="Times New Roman" w:hAnsi="Times New Roman" w:cs="Times New Roman"/>
                <w:sz w:val="18"/>
                <w:szCs w:val="18"/>
                <w:highlight w:val="yellow"/>
              </w:rPr>
              <w:t>Azospirillum</w:t>
            </w:r>
            <w:proofErr w:type="spellEnd"/>
            <w:r w:rsidRPr="00465D2B">
              <w:rPr>
                <w:rFonts w:ascii="Times New Roman" w:hAnsi="Times New Roman" w:cs="Times New Roman"/>
                <w:sz w:val="18"/>
                <w:szCs w:val="18"/>
              </w:rPr>
              <w:t xml:space="preserve"> + KSB + PSB @ 30 ml/kg seed</w:t>
            </w:r>
          </w:p>
        </w:tc>
        <w:tc>
          <w:tcPr>
            <w:tcW w:w="1145" w:type="pct"/>
            <w:vAlign w:val="center"/>
          </w:tcPr>
          <w:p w14:paraId="7E4D72CA"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44.56</w:t>
            </w:r>
          </w:p>
        </w:tc>
        <w:tc>
          <w:tcPr>
            <w:tcW w:w="1105" w:type="pct"/>
            <w:vAlign w:val="center"/>
          </w:tcPr>
          <w:p w14:paraId="7C39A47E"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3.81</w:t>
            </w:r>
          </w:p>
        </w:tc>
      </w:tr>
      <w:tr w:rsidR="00C20948" w:rsidRPr="00465D2B" w14:paraId="5878244A" w14:textId="77777777" w:rsidTr="00635328">
        <w:trPr>
          <w:trHeight w:val="31"/>
        </w:trPr>
        <w:tc>
          <w:tcPr>
            <w:tcW w:w="2750" w:type="pct"/>
            <w:vAlign w:val="center"/>
          </w:tcPr>
          <w:p w14:paraId="23F8CFC7"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1145" w:type="pct"/>
            <w:vAlign w:val="center"/>
          </w:tcPr>
          <w:p w14:paraId="1B47C549"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38.53</w:t>
            </w:r>
          </w:p>
        </w:tc>
        <w:tc>
          <w:tcPr>
            <w:tcW w:w="1105" w:type="pct"/>
            <w:vAlign w:val="center"/>
          </w:tcPr>
          <w:p w14:paraId="2B6839A4"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3.27</w:t>
            </w:r>
          </w:p>
        </w:tc>
      </w:tr>
      <w:tr w:rsidR="00C20948" w:rsidRPr="00465D2B" w14:paraId="60D67D47" w14:textId="77777777" w:rsidTr="00635328">
        <w:trPr>
          <w:trHeight w:val="31"/>
        </w:trPr>
        <w:tc>
          <w:tcPr>
            <w:tcW w:w="2750" w:type="pct"/>
            <w:vAlign w:val="center"/>
          </w:tcPr>
          <w:p w14:paraId="14151150"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SE (m±)</w:t>
            </w:r>
          </w:p>
        </w:tc>
        <w:tc>
          <w:tcPr>
            <w:tcW w:w="1145" w:type="pct"/>
            <w:vAlign w:val="center"/>
          </w:tcPr>
          <w:p w14:paraId="0745E928"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1.56</w:t>
            </w:r>
          </w:p>
        </w:tc>
        <w:tc>
          <w:tcPr>
            <w:tcW w:w="1105" w:type="pct"/>
            <w:vAlign w:val="center"/>
          </w:tcPr>
          <w:p w14:paraId="200E54C3"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0.20</w:t>
            </w:r>
          </w:p>
        </w:tc>
      </w:tr>
      <w:tr w:rsidR="00C20948" w:rsidRPr="00465D2B" w14:paraId="3BE822AA" w14:textId="77777777" w:rsidTr="00635328">
        <w:trPr>
          <w:trHeight w:val="31"/>
        </w:trPr>
        <w:tc>
          <w:tcPr>
            <w:tcW w:w="2750" w:type="pct"/>
            <w:vAlign w:val="center"/>
          </w:tcPr>
          <w:p w14:paraId="1F90EEBA" w14:textId="77777777" w:rsidR="00C20948" w:rsidRPr="00465D2B" w:rsidRDefault="00C20948" w:rsidP="00635328">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1145" w:type="pct"/>
            <w:vAlign w:val="center"/>
          </w:tcPr>
          <w:p w14:paraId="1623188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4.68</w:t>
            </w:r>
          </w:p>
        </w:tc>
        <w:tc>
          <w:tcPr>
            <w:tcW w:w="1105" w:type="pct"/>
            <w:vAlign w:val="center"/>
          </w:tcPr>
          <w:p w14:paraId="5B71E842"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b/>
                <w:bCs/>
                <w:sz w:val="18"/>
                <w:szCs w:val="18"/>
              </w:rPr>
              <w:t>0.60</w:t>
            </w:r>
          </w:p>
        </w:tc>
      </w:tr>
      <w:tr w:rsidR="00C20948" w:rsidRPr="00465D2B" w14:paraId="159C0A78" w14:textId="77777777" w:rsidTr="00635328">
        <w:trPr>
          <w:trHeight w:val="31"/>
        </w:trPr>
        <w:tc>
          <w:tcPr>
            <w:tcW w:w="2750" w:type="pct"/>
            <w:vAlign w:val="center"/>
          </w:tcPr>
          <w:p w14:paraId="5386A2CE" w14:textId="77777777" w:rsidR="00C20948" w:rsidRPr="00465D2B" w:rsidRDefault="00C20948" w:rsidP="00635328">
            <w:pPr>
              <w:rPr>
                <w:rFonts w:ascii="Times New Roman" w:hAnsi="Times New Roman" w:cs="Times New Roman"/>
                <w:sz w:val="18"/>
                <w:szCs w:val="18"/>
              </w:rPr>
            </w:pPr>
            <w:r w:rsidRPr="00465D2B">
              <w:rPr>
                <w:rFonts w:ascii="Times New Roman" w:hAnsi="Times New Roman" w:cs="Times New Roman"/>
                <w:sz w:val="18"/>
                <w:szCs w:val="18"/>
              </w:rPr>
              <w:t>CV (%)</w:t>
            </w:r>
          </w:p>
        </w:tc>
        <w:tc>
          <w:tcPr>
            <w:tcW w:w="1145" w:type="pct"/>
            <w:vAlign w:val="center"/>
          </w:tcPr>
          <w:p w14:paraId="6F20AAE0"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6.32</w:t>
            </w:r>
          </w:p>
        </w:tc>
        <w:tc>
          <w:tcPr>
            <w:tcW w:w="1105" w:type="pct"/>
            <w:vAlign w:val="center"/>
          </w:tcPr>
          <w:p w14:paraId="53483EBF" w14:textId="77777777" w:rsidR="00C20948" w:rsidRPr="00773FE2" w:rsidRDefault="00C20948" w:rsidP="00635328">
            <w:pPr>
              <w:jc w:val="center"/>
              <w:rPr>
                <w:rFonts w:ascii="Times New Roman" w:hAnsi="Times New Roman" w:cs="Times New Roman"/>
                <w:sz w:val="18"/>
                <w:szCs w:val="18"/>
              </w:rPr>
            </w:pPr>
            <w:r w:rsidRPr="00773FE2">
              <w:rPr>
                <w:rFonts w:ascii="Times New Roman" w:hAnsi="Times New Roman" w:cs="Times New Roman"/>
                <w:sz w:val="18"/>
                <w:szCs w:val="18"/>
              </w:rPr>
              <w:t>8.69</w:t>
            </w:r>
          </w:p>
        </w:tc>
      </w:tr>
    </w:tbl>
    <w:p w14:paraId="179C7B8E" w14:textId="77777777" w:rsidR="00C20948" w:rsidRDefault="00C20948" w:rsidP="0027156D">
      <w:pPr>
        <w:jc w:val="both"/>
        <w:rPr>
          <w:rFonts w:ascii="Times New Roman" w:hAnsi="Times New Roman" w:cs="Times New Roman"/>
        </w:rPr>
      </w:pPr>
    </w:p>
    <w:p w14:paraId="2445CF04" w14:textId="77777777" w:rsidR="00C20948" w:rsidRDefault="00C20948" w:rsidP="0027156D">
      <w:pPr>
        <w:jc w:val="both"/>
        <w:rPr>
          <w:rFonts w:ascii="Times New Roman" w:hAnsi="Times New Roman" w:cs="Times New Roman"/>
        </w:rPr>
      </w:pPr>
    </w:p>
    <w:p w14:paraId="25238626" w14:textId="77777777" w:rsidR="00C20948" w:rsidRDefault="00C20948" w:rsidP="0027156D">
      <w:pPr>
        <w:jc w:val="both"/>
        <w:rPr>
          <w:rFonts w:ascii="Times New Roman" w:hAnsi="Times New Roman" w:cs="Times New Roman"/>
        </w:rPr>
      </w:pPr>
    </w:p>
    <w:p w14:paraId="45692E8C" w14:textId="777743FE" w:rsidR="00C20948" w:rsidRDefault="00635328" w:rsidP="00DD3D02">
      <w:pPr>
        <w:rPr>
          <w:rFonts w:ascii="Times New Roman" w:hAnsi="Times New Roman" w:cs="Times New Roman"/>
          <w:b/>
          <w:bCs/>
          <w:sz w:val="28"/>
          <w:szCs w:val="28"/>
        </w:rPr>
      </w:pPr>
      <w:r>
        <w:rPr>
          <w:rFonts w:ascii="Times New Roman" w:hAnsi="Times New Roman" w:cs="Times New Roman"/>
          <w:b/>
          <w:bCs/>
          <w:noProof/>
          <w:sz w:val="28"/>
          <w:szCs w:val="28"/>
          <w:lang w:val="en-IN" w:eastAsia="en-IN" w:bidi="hi-IN"/>
        </w:rPr>
        <w:lastRenderedPageBreak/>
        <w:drawing>
          <wp:anchor distT="0" distB="0" distL="114300" distR="114300" simplePos="0" relativeHeight="251688960" behindDoc="1" locked="0" layoutInCell="1" allowOverlap="1" wp14:anchorId="0A1F3DAB" wp14:editId="5463BA44">
            <wp:simplePos x="0" y="0"/>
            <wp:positionH relativeFrom="column">
              <wp:posOffset>-723900</wp:posOffset>
            </wp:positionH>
            <wp:positionV relativeFrom="paragraph">
              <wp:posOffset>-222250</wp:posOffset>
            </wp:positionV>
            <wp:extent cx="4334510" cy="2097405"/>
            <wp:effectExtent l="0" t="0" r="8890" b="0"/>
            <wp:wrapThrough wrapText="bothSides">
              <wp:wrapPolygon edited="0">
                <wp:start x="0" y="0"/>
                <wp:lineTo x="0" y="21384"/>
                <wp:lineTo x="21549" y="21384"/>
                <wp:lineTo x="21549"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34510" cy="20974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noProof/>
          <w:sz w:val="28"/>
          <w:szCs w:val="28"/>
          <w:lang w:val="en-IN" w:eastAsia="en-IN" w:bidi="hi-IN"/>
        </w:rPr>
        <w:drawing>
          <wp:anchor distT="0" distB="0" distL="114300" distR="114300" simplePos="0" relativeHeight="251689984" behindDoc="1" locked="0" layoutInCell="1" allowOverlap="1" wp14:anchorId="7ABA4A01" wp14:editId="07A51F78">
            <wp:simplePos x="0" y="0"/>
            <wp:positionH relativeFrom="column">
              <wp:posOffset>3295650</wp:posOffset>
            </wp:positionH>
            <wp:positionV relativeFrom="paragraph">
              <wp:posOffset>-114300</wp:posOffset>
            </wp:positionV>
            <wp:extent cx="3562350" cy="1987550"/>
            <wp:effectExtent l="0" t="0" r="0" b="0"/>
            <wp:wrapThrough wrapText="bothSides">
              <wp:wrapPolygon edited="0">
                <wp:start x="0" y="0"/>
                <wp:lineTo x="0" y="21324"/>
                <wp:lineTo x="21484" y="21324"/>
                <wp:lineTo x="21484"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562350" cy="19875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rPr>
        <w:t xml:space="preserve">          </w:t>
      </w:r>
      <w:r w:rsidR="00BA7D3A">
        <w:rPr>
          <w:rFonts w:ascii="Times New Roman" w:hAnsi="Times New Roman" w:cs="Times New Roman"/>
          <w:b/>
          <w:bCs/>
        </w:rPr>
        <w:t xml:space="preserve">Fig. </w:t>
      </w:r>
      <w:proofErr w:type="gramStart"/>
      <w:r w:rsidR="00BA7D3A">
        <w:rPr>
          <w:rFonts w:ascii="Times New Roman" w:hAnsi="Times New Roman" w:cs="Times New Roman"/>
          <w:b/>
          <w:bCs/>
        </w:rPr>
        <w:t>3</w:t>
      </w:r>
      <w:r w:rsidRPr="00465D2B">
        <w:rPr>
          <w:rFonts w:ascii="Times New Roman" w:hAnsi="Times New Roman" w:cs="Times New Roman"/>
          <w:b/>
          <w:bCs/>
        </w:rPr>
        <w:t>.Effect</w:t>
      </w:r>
      <w:proofErr w:type="gramEnd"/>
      <w:r w:rsidRPr="00465D2B">
        <w:rPr>
          <w:rFonts w:ascii="Times New Roman" w:hAnsi="Times New Roman" w:cs="Times New Roman"/>
          <w:b/>
          <w:bCs/>
        </w:rPr>
        <w:t xml:space="preserve"> of different liquid bio fe</w:t>
      </w:r>
      <w:r>
        <w:rPr>
          <w:rFonts w:ascii="Times New Roman" w:hAnsi="Times New Roman" w:cs="Times New Roman"/>
          <w:b/>
          <w:bCs/>
        </w:rPr>
        <w:t>rtilizers on Chlorophyll content and LAI</w:t>
      </w:r>
    </w:p>
    <w:p w14:paraId="139CA3CA"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Phenology: Ear Emergence, Heading, and Maturity</w:t>
      </w:r>
    </w:p>
    <w:p w14:paraId="2BBA15BC" w14:textId="68114E39" w:rsidR="00C62975" w:rsidRDefault="00DD3D02" w:rsidP="00854B9D">
      <w:pPr>
        <w:jc w:val="both"/>
        <w:rPr>
          <w:rFonts w:ascii="Times New Roman" w:hAnsi="Times New Roman" w:cs="Times New Roman"/>
        </w:rPr>
      </w:pPr>
      <w:r w:rsidRPr="008555A1">
        <w:rPr>
          <w:rFonts w:ascii="Times New Roman" w:hAnsi="Times New Roman" w:cs="Times New Roman"/>
        </w:rPr>
        <w:t>Combined biofertilizer treatments led to earliest spike and heading (T8: 77.33 days, 89.33 days for 50% heading) and earliest maturity (T7: 118 days, T8: 118.83 days), compared to the control (131.83 days).</w:t>
      </w:r>
      <w:r w:rsidR="00C62975" w:rsidRPr="008555A1">
        <w:rPr>
          <w:rFonts w:ascii="Times New Roman" w:hAnsi="Times New Roman" w:cs="Times New Roman"/>
        </w:rPr>
        <w:t xml:space="preserve"> Significant difference with the control was observed in these two treatments T</w:t>
      </w:r>
      <w:r w:rsidR="00C62975" w:rsidRPr="008555A1">
        <w:rPr>
          <w:rFonts w:ascii="Times New Roman" w:hAnsi="Times New Roman" w:cs="Times New Roman"/>
          <w:vertAlign w:val="subscript"/>
        </w:rPr>
        <w:t xml:space="preserve">8 </w:t>
      </w:r>
      <w:r w:rsidR="00C62975" w:rsidRPr="008555A1">
        <w:rPr>
          <w:rFonts w:ascii="Times New Roman" w:hAnsi="Times New Roman" w:cs="Times New Roman"/>
        </w:rPr>
        <w:t>and T</w:t>
      </w:r>
      <w:r w:rsidR="00C62975" w:rsidRPr="008555A1">
        <w:rPr>
          <w:rFonts w:ascii="Times New Roman" w:hAnsi="Times New Roman" w:cs="Times New Roman"/>
          <w:vertAlign w:val="subscript"/>
        </w:rPr>
        <w:t>7</w:t>
      </w:r>
      <w:r w:rsidR="00773FE2">
        <w:rPr>
          <w:rFonts w:ascii="Times New Roman" w:hAnsi="Times New Roman" w:cs="Times New Roman"/>
          <w:vertAlign w:val="subscript"/>
        </w:rPr>
        <w:t xml:space="preserve"> </w:t>
      </w:r>
      <w:r w:rsidR="00773FE2">
        <w:rPr>
          <w:rFonts w:ascii="Times New Roman" w:hAnsi="Times New Roman" w:cs="Times New Roman"/>
        </w:rPr>
        <w:t>(Table 4 &amp; Fig.4)</w:t>
      </w:r>
      <w:r w:rsidR="00C62975" w:rsidRPr="008555A1">
        <w:rPr>
          <w:rFonts w:ascii="Times New Roman" w:hAnsi="Times New Roman" w:cs="Times New Roman"/>
        </w:rPr>
        <w:t xml:space="preserve">. </w:t>
      </w:r>
      <w:r w:rsidRPr="008555A1">
        <w:rPr>
          <w:rFonts w:ascii="Times New Roman" w:hAnsi="Times New Roman" w:cs="Times New Roman"/>
        </w:rPr>
        <w:t>Thiram-treated seeds showed only modest improvements over control, confirming limited physiological benefit versus microbial treatments.</w:t>
      </w:r>
      <w:r w:rsidR="00441A1B" w:rsidRPr="008555A1">
        <w:rPr>
          <w:rFonts w:ascii="Times New Roman" w:hAnsi="Times New Roman" w:cs="Times New Roman"/>
        </w:rPr>
        <w:t xml:space="preserve"> Haque et al., (2019) in Indian Spinach, Kumari et al., (2018) in Nigella sativa (black cumin) </w:t>
      </w:r>
      <w:commentRangeStart w:id="3"/>
      <w:r w:rsidR="00441A1B" w:rsidRPr="00027934">
        <w:rPr>
          <w:rFonts w:ascii="Times New Roman" w:hAnsi="Times New Roman" w:cs="Times New Roman"/>
          <w:highlight w:val="yellow"/>
        </w:rPr>
        <w:t>has</w:t>
      </w:r>
      <w:commentRangeEnd w:id="3"/>
      <w:r w:rsidR="00027934">
        <w:rPr>
          <w:rStyle w:val="CommentReference"/>
        </w:rPr>
        <w:commentReference w:id="3"/>
      </w:r>
      <w:r w:rsidR="00441A1B" w:rsidRPr="008555A1">
        <w:rPr>
          <w:rFonts w:ascii="Times New Roman" w:hAnsi="Times New Roman" w:cs="Times New Roman"/>
        </w:rPr>
        <w:t xml:space="preserve"> observed similar results.</w:t>
      </w:r>
    </w:p>
    <w:tbl>
      <w:tblPr>
        <w:tblStyle w:val="TableGrid"/>
        <w:tblpPr w:leftFromText="180" w:rightFromText="180" w:vertAnchor="text" w:horzAnchor="margin" w:tblpY="835"/>
        <w:tblW w:w="5000" w:type="pct"/>
        <w:tblLayout w:type="fixed"/>
        <w:tblLook w:val="04A0" w:firstRow="1" w:lastRow="0" w:firstColumn="1" w:lastColumn="0" w:noHBand="0" w:noVBand="1"/>
      </w:tblPr>
      <w:tblGrid>
        <w:gridCol w:w="4319"/>
        <w:gridCol w:w="1796"/>
        <w:gridCol w:w="1733"/>
        <w:gridCol w:w="1728"/>
      </w:tblGrid>
      <w:tr w:rsidR="00180460" w:rsidRPr="009249CC" w14:paraId="5A8D89CB" w14:textId="77777777" w:rsidTr="00180460">
        <w:trPr>
          <w:trHeight w:val="31"/>
        </w:trPr>
        <w:tc>
          <w:tcPr>
            <w:tcW w:w="2255" w:type="pct"/>
            <w:vAlign w:val="center"/>
          </w:tcPr>
          <w:p w14:paraId="6542FAEA" w14:textId="77777777" w:rsidR="00180460" w:rsidRPr="009249CC" w:rsidRDefault="00180460" w:rsidP="00180460">
            <w:pPr>
              <w:rPr>
                <w:rFonts w:ascii="Times New Roman" w:hAnsi="Times New Roman" w:cs="Times New Roman"/>
                <w:b/>
                <w:bCs/>
                <w:sz w:val="20"/>
                <w:szCs w:val="20"/>
              </w:rPr>
            </w:pPr>
            <w:r w:rsidRPr="009249CC">
              <w:rPr>
                <w:rFonts w:ascii="Times New Roman" w:hAnsi="Times New Roman" w:cs="Times New Roman"/>
                <w:b/>
                <w:bCs/>
                <w:sz w:val="20"/>
                <w:szCs w:val="20"/>
              </w:rPr>
              <w:t>TREATMENTS</w:t>
            </w:r>
          </w:p>
        </w:tc>
        <w:tc>
          <w:tcPr>
            <w:tcW w:w="938" w:type="pct"/>
            <w:vAlign w:val="center"/>
          </w:tcPr>
          <w:p w14:paraId="55A0D6B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Spike Emergence</w:t>
            </w:r>
          </w:p>
        </w:tc>
        <w:tc>
          <w:tcPr>
            <w:tcW w:w="905" w:type="pct"/>
            <w:vAlign w:val="center"/>
          </w:tcPr>
          <w:p w14:paraId="165955E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50 % Heading</w:t>
            </w:r>
          </w:p>
        </w:tc>
        <w:tc>
          <w:tcPr>
            <w:tcW w:w="902" w:type="pct"/>
          </w:tcPr>
          <w:p w14:paraId="7C40BC8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Days to Maturity</w:t>
            </w:r>
          </w:p>
        </w:tc>
      </w:tr>
      <w:tr w:rsidR="00180460" w:rsidRPr="00465D2B" w14:paraId="352EA0E4" w14:textId="77777777" w:rsidTr="00180460">
        <w:trPr>
          <w:trHeight w:val="31"/>
        </w:trPr>
        <w:tc>
          <w:tcPr>
            <w:tcW w:w="2255" w:type="pct"/>
            <w:vAlign w:val="center"/>
          </w:tcPr>
          <w:p w14:paraId="02EC093E"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Control</w:t>
            </w:r>
          </w:p>
        </w:tc>
        <w:tc>
          <w:tcPr>
            <w:tcW w:w="938" w:type="pct"/>
            <w:vAlign w:val="center"/>
          </w:tcPr>
          <w:p w14:paraId="342B307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87.83</w:t>
            </w:r>
          </w:p>
        </w:tc>
        <w:tc>
          <w:tcPr>
            <w:tcW w:w="905" w:type="pct"/>
            <w:vAlign w:val="center"/>
          </w:tcPr>
          <w:p w14:paraId="77F0289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96.00</w:t>
            </w:r>
          </w:p>
        </w:tc>
        <w:tc>
          <w:tcPr>
            <w:tcW w:w="902" w:type="pct"/>
            <w:vAlign w:val="center"/>
          </w:tcPr>
          <w:p w14:paraId="535313E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132.33</w:t>
            </w:r>
          </w:p>
        </w:tc>
      </w:tr>
      <w:tr w:rsidR="00180460" w:rsidRPr="00465D2B" w14:paraId="696EED26" w14:textId="77777777" w:rsidTr="00180460">
        <w:trPr>
          <w:trHeight w:val="31"/>
        </w:trPr>
        <w:tc>
          <w:tcPr>
            <w:tcW w:w="2255" w:type="pct"/>
            <w:vAlign w:val="center"/>
          </w:tcPr>
          <w:p w14:paraId="58DF11DC"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Em Culture @ 10 ml/kg of Seed</w:t>
            </w:r>
          </w:p>
        </w:tc>
        <w:tc>
          <w:tcPr>
            <w:tcW w:w="938" w:type="pct"/>
            <w:vAlign w:val="center"/>
          </w:tcPr>
          <w:p w14:paraId="00BD06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84.67</w:t>
            </w:r>
          </w:p>
        </w:tc>
        <w:tc>
          <w:tcPr>
            <w:tcW w:w="905" w:type="pct"/>
            <w:vAlign w:val="center"/>
          </w:tcPr>
          <w:p w14:paraId="6EA5C394"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92.50</w:t>
            </w:r>
          </w:p>
        </w:tc>
        <w:tc>
          <w:tcPr>
            <w:tcW w:w="902" w:type="pct"/>
            <w:vAlign w:val="center"/>
          </w:tcPr>
          <w:p w14:paraId="684CE8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126.83</w:t>
            </w:r>
          </w:p>
        </w:tc>
      </w:tr>
      <w:tr w:rsidR="00180460" w:rsidRPr="00465D2B" w14:paraId="540E4587" w14:textId="77777777" w:rsidTr="00180460">
        <w:trPr>
          <w:trHeight w:val="31"/>
        </w:trPr>
        <w:tc>
          <w:tcPr>
            <w:tcW w:w="2255" w:type="pct"/>
            <w:vAlign w:val="center"/>
          </w:tcPr>
          <w:p w14:paraId="5F8CAE02"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KSB @ 20 ml/kg of Seed</w:t>
            </w:r>
          </w:p>
        </w:tc>
        <w:tc>
          <w:tcPr>
            <w:tcW w:w="938" w:type="pct"/>
            <w:vAlign w:val="center"/>
          </w:tcPr>
          <w:p w14:paraId="32FC6F7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82.83</w:t>
            </w:r>
          </w:p>
        </w:tc>
        <w:tc>
          <w:tcPr>
            <w:tcW w:w="905" w:type="pct"/>
            <w:vAlign w:val="center"/>
          </w:tcPr>
          <w:p w14:paraId="194C57C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90.50</w:t>
            </w:r>
          </w:p>
        </w:tc>
        <w:tc>
          <w:tcPr>
            <w:tcW w:w="902" w:type="pct"/>
            <w:vAlign w:val="center"/>
          </w:tcPr>
          <w:p w14:paraId="20CF842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25B688AC" w14:textId="77777777" w:rsidTr="00180460">
        <w:trPr>
          <w:trHeight w:val="31"/>
        </w:trPr>
        <w:tc>
          <w:tcPr>
            <w:tcW w:w="2255" w:type="pct"/>
            <w:vAlign w:val="center"/>
          </w:tcPr>
          <w:p w14:paraId="428E391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PSB @ 20 ml/kg of Seed</w:t>
            </w:r>
          </w:p>
        </w:tc>
        <w:tc>
          <w:tcPr>
            <w:tcW w:w="938" w:type="pct"/>
            <w:vAlign w:val="center"/>
          </w:tcPr>
          <w:p w14:paraId="652FFFA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79.83</w:t>
            </w:r>
          </w:p>
        </w:tc>
        <w:tc>
          <w:tcPr>
            <w:tcW w:w="905" w:type="pct"/>
            <w:vAlign w:val="center"/>
          </w:tcPr>
          <w:p w14:paraId="7D700953"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4E22BCE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122.67</w:t>
            </w:r>
          </w:p>
        </w:tc>
      </w:tr>
      <w:tr w:rsidR="00180460" w:rsidRPr="00465D2B" w14:paraId="4C077DBB" w14:textId="77777777" w:rsidTr="00180460">
        <w:trPr>
          <w:trHeight w:val="31"/>
        </w:trPr>
        <w:tc>
          <w:tcPr>
            <w:tcW w:w="2255" w:type="pct"/>
            <w:vAlign w:val="center"/>
          </w:tcPr>
          <w:p w14:paraId="66A5E747"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Pseudomonas @ 20 ml/kg of Seed</w:t>
            </w:r>
          </w:p>
        </w:tc>
        <w:tc>
          <w:tcPr>
            <w:tcW w:w="938" w:type="pct"/>
            <w:vAlign w:val="center"/>
          </w:tcPr>
          <w:p w14:paraId="05A682D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79.50</w:t>
            </w:r>
          </w:p>
        </w:tc>
        <w:tc>
          <w:tcPr>
            <w:tcW w:w="905" w:type="pct"/>
            <w:vAlign w:val="center"/>
          </w:tcPr>
          <w:p w14:paraId="5FF6F34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88.17</w:t>
            </w:r>
          </w:p>
        </w:tc>
        <w:tc>
          <w:tcPr>
            <w:tcW w:w="902" w:type="pct"/>
            <w:vAlign w:val="center"/>
          </w:tcPr>
          <w:p w14:paraId="1FDF13C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121.50</w:t>
            </w:r>
          </w:p>
        </w:tc>
      </w:tr>
      <w:tr w:rsidR="00180460" w:rsidRPr="00465D2B" w14:paraId="314F6F8C" w14:textId="77777777" w:rsidTr="00180460">
        <w:trPr>
          <w:trHeight w:val="31"/>
        </w:trPr>
        <w:tc>
          <w:tcPr>
            <w:tcW w:w="2255" w:type="pct"/>
            <w:vAlign w:val="center"/>
          </w:tcPr>
          <w:p w14:paraId="566F5C1A"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20 ml/kg of Seed</w:t>
            </w:r>
          </w:p>
        </w:tc>
        <w:tc>
          <w:tcPr>
            <w:tcW w:w="938" w:type="pct"/>
            <w:vAlign w:val="center"/>
          </w:tcPr>
          <w:p w14:paraId="092D443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82.67</w:t>
            </w:r>
          </w:p>
        </w:tc>
        <w:tc>
          <w:tcPr>
            <w:tcW w:w="905" w:type="pct"/>
            <w:vAlign w:val="center"/>
          </w:tcPr>
          <w:p w14:paraId="289F962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89.67</w:t>
            </w:r>
          </w:p>
        </w:tc>
        <w:tc>
          <w:tcPr>
            <w:tcW w:w="902" w:type="pct"/>
            <w:vAlign w:val="center"/>
          </w:tcPr>
          <w:p w14:paraId="0D4F2BC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121.17</w:t>
            </w:r>
          </w:p>
        </w:tc>
      </w:tr>
      <w:tr w:rsidR="00180460" w:rsidRPr="00465D2B" w14:paraId="64308002" w14:textId="77777777" w:rsidTr="00180460">
        <w:trPr>
          <w:trHeight w:val="31"/>
        </w:trPr>
        <w:tc>
          <w:tcPr>
            <w:tcW w:w="2255" w:type="pct"/>
            <w:vAlign w:val="center"/>
          </w:tcPr>
          <w:p w14:paraId="4F772A2C"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20 ml/kg seed</w:t>
            </w:r>
          </w:p>
        </w:tc>
        <w:tc>
          <w:tcPr>
            <w:tcW w:w="938" w:type="pct"/>
            <w:vAlign w:val="center"/>
          </w:tcPr>
          <w:p w14:paraId="2999AB6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78.33</w:t>
            </w:r>
          </w:p>
        </w:tc>
        <w:tc>
          <w:tcPr>
            <w:tcW w:w="905" w:type="pct"/>
            <w:vAlign w:val="center"/>
          </w:tcPr>
          <w:p w14:paraId="075285D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88.00</w:t>
            </w:r>
          </w:p>
        </w:tc>
        <w:tc>
          <w:tcPr>
            <w:tcW w:w="902" w:type="pct"/>
            <w:vAlign w:val="center"/>
          </w:tcPr>
          <w:p w14:paraId="03E430C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119.67</w:t>
            </w:r>
          </w:p>
        </w:tc>
      </w:tr>
      <w:tr w:rsidR="00180460" w:rsidRPr="00465D2B" w14:paraId="30255AC5" w14:textId="77777777" w:rsidTr="00180460">
        <w:trPr>
          <w:trHeight w:val="31"/>
        </w:trPr>
        <w:tc>
          <w:tcPr>
            <w:tcW w:w="2255" w:type="pct"/>
            <w:vAlign w:val="center"/>
          </w:tcPr>
          <w:p w14:paraId="33ABC9A2"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PSB @ 20 ml/kg seed</w:t>
            </w:r>
          </w:p>
        </w:tc>
        <w:tc>
          <w:tcPr>
            <w:tcW w:w="938" w:type="pct"/>
            <w:vAlign w:val="center"/>
          </w:tcPr>
          <w:p w14:paraId="60631DD2"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77.33</w:t>
            </w:r>
          </w:p>
        </w:tc>
        <w:tc>
          <w:tcPr>
            <w:tcW w:w="905" w:type="pct"/>
            <w:vAlign w:val="center"/>
          </w:tcPr>
          <w:p w14:paraId="557BF68D"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89.33</w:t>
            </w:r>
          </w:p>
        </w:tc>
        <w:tc>
          <w:tcPr>
            <w:tcW w:w="902" w:type="pct"/>
            <w:vAlign w:val="center"/>
          </w:tcPr>
          <w:p w14:paraId="0FAE6355"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119.50</w:t>
            </w:r>
          </w:p>
        </w:tc>
      </w:tr>
      <w:tr w:rsidR="00180460" w:rsidRPr="00465D2B" w14:paraId="3FA18FF8" w14:textId="77777777" w:rsidTr="00180460">
        <w:trPr>
          <w:trHeight w:val="31"/>
        </w:trPr>
        <w:tc>
          <w:tcPr>
            <w:tcW w:w="2255" w:type="pct"/>
            <w:vAlign w:val="center"/>
          </w:tcPr>
          <w:p w14:paraId="2417F576" w14:textId="77777777" w:rsidR="00180460" w:rsidRPr="00465D2B" w:rsidRDefault="00180460" w:rsidP="00180460">
            <w:pPr>
              <w:rPr>
                <w:rFonts w:ascii="Times New Roman" w:hAnsi="Times New Roman" w:cs="Times New Roman"/>
                <w:sz w:val="18"/>
                <w:szCs w:val="18"/>
              </w:rPr>
            </w:pPr>
            <w:proofErr w:type="spellStart"/>
            <w:r w:rsidRPr="00465D2B">
              <w:rPr>
                <w:rFonts w:ascii="Times New Roman" w:hAnsi="Times New Roman" w:cs="Times New Roman"/>
                <w:sz w:val="18"/>
                <w:szCs w:val="18"/>
              </w:rPr>
              <w:t>Azospirillum</w:t>
            </w:r>
            <w:proofErr w:type="spellEnd"/>
            <w:r w:rsidRPr="00465D2B">
              <w:rPr>
                <w:rFonts w:ascii="Times New Roman" w:hAnsi="Times New Roman" w:cs="Times New Roman"/>
                <w:sz w:val="18"/>
                <w:szCs w:val="18"/>
              </w:rPr>
              <w:t xml:space="preserve"> + KSB + PSB @ 30 ml/kg seed</w:t>
            </w:r>
          </w:p>
        </w:tc>
        <w:tc>
          <w:tcPr>
            <w:tcW w:w="938" w:type="pct"/>
            <w:vAlign w:val="center"/>
          </w:tcPr>
          <w:p w14:paraId="463064B1"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84.33</w:t>
            </w:r>
          </w:p>
        </w:tc>
        <w:tc>
          <w:tcPr>
            <w:tcW w:w="905" w:type="pct"/>
            <w:vAlign w:val="center"/>
          </w:tcPr>
          <w:p w14:paraId="4993B65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92.83</w:t>
            </w:r>
          </w:p>
        </w:tc>
        <w:tc>
          <w:tcPr>
            <w:tcW w:w="902" w:type="pct"/>
            <w:vAlign w:val="center"/>
          </w:tcPr>
          <w:p w14:paraId="42C5F70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125.33</w:t>
            </w:r>
          </w:p>
        </w:tc>
      </w:tr>
      <w:tr w:rsidR="00180460" w:rsidRPr="00465D2B" w14:paraId="4E6BA721" w14:textId="77777777" w:rsidTr="00180460">
        <w:trPr>
          <w:trHeight w:val="31"/>
        </w:trPr>
        <w:tc>
          <w:tcPr>
            <w:tcW w:w="2255" w:type="pct"/>
            <w:vAlign w:val="center"/>
          </w:tcPr>
          <w:p w14:paraId="341CF62F"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Thiram @ 1.3 g/kg seed</w:t>
            </w:r>
          </w:p>
        </w:tc>
        <w:tc>
          <w:tcPr>
            <w:tcW w:w="938" w:type="pct"/>
            <w:vAlign w:val="center"/>
          </w:tcPr>
          <w:p w14:paraId="561D41C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86.33</w:t>
            </w:r>
          </w:p>
        </w:tc>
        <w:tc>
          <w:tcPr>
            <w:tcW w:w="905" w:type="pct"/>
            <w:vAlign w:val="center"/>
          </w:tcPr>
          <w:p w14:paraId="3B71BE9F"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94.33</w:t>
            </w:r>
          </w:p>
        </w:tc>
        <w:tc>
          <w:tcPr>
            <w:tcW w:w="902" w:type="pct"/>
            <w:vAlign w:val="center"/>
          </w:tcPr>
          <w:p w14:paraId="15AAA43E"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color w:val="000000"/>
                <w:sz w:val="18"/>
                <w:szCs w:val="18"/>
              </w:rPr>
              <w:t>129.67</w:t>
            </w:r>
          </w:p>
        </w:tc>
      </w:tr>
      <w:tr w:rsidR="00180460" w:rsidRPr="00465D2B" w14:paraId="72CFD29E" w14:textId="77777777" w:rsidTr="00180460">
        <w:trPr>
          <w:trHeight w:val="31"/>
        </w:trPr>
        <w:tc>
          <w:tcPr>
            <w:tcW w:w="2255" w:type="pct"/>
            <w:vAlign w:val="center"/>
          </w:tcPr>
          <w:p w14:paraId="12F77734"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SE (m±)</w:t>
            </w:r>
          </w:p>
        </w:tc>
        <w:tc>
          <w:tcPr>
            <w:tcW w:w="938" w:type="pct"/>
            <w:vAlign w:val="center"/>
          </w:tcPr>
          <w:p w14:paraId="3AA4D40B"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1.22</w:t>
            </w:r>
          </w:p>
        </w:tc>
        <w:tc>
          <w:tcPr>
            <w:tcW w:w="905" w:type="pct"/>
            <w:vAlign w:val="center"/>
          </w:tcPr>
          <w:p w14:paraId="60676EC7"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1.25</w:t>
            </w:r>
          </w:p>
        </w:tc>
        <w:tc>
          <w:tcPr>
            <w:tcW w:w="902" w:type="pct"/>
            <w:vAlign w:val="center"/>
          </w:tcPr>
          <w:p w14:paraId="7B11BEC0"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3.60</w:t>
            </w:r>
          </w:p>
        </w:tc>
      </w:tr>
      <w:tr w:rsidR="00180460" w:rsidRPr="00465D2B" w14:paraId="043488C6" w14:textId="77777777" w:rsidTr="00180460">
        <w:trPr>
          <w:trHeight w:val="31"/>
        </w:trPr>
        <w:tc>
          <w:tcPr>
            <w:tcW w:w="2255" w:type="pct"/>
            <w:vAlign w:val="center"/>
          </w:tcPr>
          <w:p w14:paraId="29CFF5CE" w14:textId="77777777" w:rsidR="00180460" w:rsidRPr="00465D2B" w:rsidRDefault="00180460" w:rsidP="00180460">
            <w:pPr>
              <w:rPr>
                <w:rFonts w:ascii="Times New Roman" w:hAnsi="Times New Roman" w:cs="Times New Roman"/>
                <w:b/>
                <w:bCs/>
                <w:sz w:val="18"/>
                <w:szCs w:val="18"/>
              </w:rPr>
            </w:pPr>
            <w:r w:rsidRPr="00465D2B">
              <w:rPr>
                <w:rFonts w:ascii="Times New Roman" w:hAnsi="Times New Roman" w:cs="Times New Roman"/>
                <w:b/>
                <w:bCs/>
                <w:sz w:val="18"/>
                <w:szCs w:val="18"/>
              </w:rPr>
              <w:t>CD (P=0.05)</w:t>
            </w:r>
          </w:p>
        </w:tc>
        <w:tc>
          <w:tcPr>
            <w:tcW w:w="938" w:type="pct"/>
            <w:vAlign w:val="center"/>
          </w:tcPr>
          <w:p w14:paraId="2A15A3C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3.67</w:t>
            </w:r>
          </w:p>
        </w:tc>
        <w:tc>
          <w:tcPr>
            <w:tcW w:w="905" w:type="pct"/>
            <w:vAlign w:val="center"/>
          </w:tcPr>
          <w:p w14:paraId="1B399949"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b/>
                <w:bCs/>
                <w:sz w:val="18"/>
                <w:szCs w:val="18"/>
              </w:rPr>
              <w:t>3.75</w:t>
            </w:r>
          </w:p>
        </w:tc>
        <w:tc>
          <w:tcPr>
            <w:tcW w:w="902" w:type="pct"/>
            <w:vAlign w:val="center"/>
          </w:tcPr>
          <w:p w14:paraId="0BBA46A3" w14:textId="77777777" w:rsidR="00180460" w:rsidRPr="00773FE2" w:rsidRDefault="00180460" w:rsidP="00180460">
            <w:pPr>
              <w:jc w:val="center"/>
              <w:rPr>
                <w:rFonts w:ascii="Times New Roman" w:hAnsi="Times New Roman" w:cs="Times New Roman"/>
                <w:b/>
                <w:bCs/>
                <w:sz w:val="18"/>
                <w:szCs w:val="18"/>
              </w:rPr>
            </w:pPr>
            <w:r w:rsidRPr="00773FE2">
              <w:rPr>
                <w:rFonts w:ascii="Times New Roman" w:hAnsi="Times New Roman" w:cs="Times New Roman"/>
                <w:b/>
                <w:bCs/>
                <w:sz w:val="18"/>
                <w:szCs w:val="18"/>
              </w:rPr>
              <w:t>NS</w:t>
            </w:r>
          </w:p>
        </w:tc>
      </w:tr>
      <w:tr w:rsidR="00180460" w:rsidRPr="00465D2B" w14:paraId="708D6542" w14:textId="77777777" w:rsidTr="00180460">
        <w:trPr>
          <w:trHeight w:val="31"/>
        </w:trPr>
        <w:tc>
          <w:tcPr>
            <w:tcW w:w="2255" w:type="pct"/>
            <w:vAlign w:val="center"/>
          </w:tcPr>
          <w:p w14:paraId="6E6FD830" w14:textId="77777777" w:rsidR="00180460" w:rsidRPr="00465D2B" w:rsidRDefault="00180460" w:rsidP="00180460">
            <w:pPr>
              <w:rPr>
                <w:rFonts w:ascii="Times New Roman" w:hAnsi="Times New Roman" w:cs="Times New Roman"/>
                <w:sz w:val="18"/>
                <w:szCs w:val="18"/>
              </w:rPr>
            </w:pPr>
            <w:r w:rsidRPr="00465D2B">
              <w:rPr>
                <w:rFonts w:ascii="Times New Roman" w:hAnsi="Times New Roman" w:cs="Times New Roman"/>
                <w:sz w:val="18"/>
                <w:szCs w:val="18"/>
              </w:rPr>
              <w:t>CV (%)</w:t>
            </w:r>
          </w:p>
        </w:tc>
        <w:tc>
          <w:tcPr>
            <w:tcW w:w="938" w:type="pct"/>
            <w:vAlign w:val="center"/>
          </w:tcPr>
          <w:p w14:paraId="53C5957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2.58</w:t>
            </w:r>
          </w:p>
        </w:tc>
        <w:tc>
          <w:tcPr>
            <w:tcW w:w="905" w:type="pct"/>
            <w:vAlign w:val="center"/>
          </w:tcPr>
          <w:p w14:paraId="5E048D0A"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2.38</w:t>
            </w:r>
          </w:p>
        </w:tc>
        <w:tc>
          <w:tcPr>
            <w:tcW w:w="902" w:type="pct"/>
            <w:vAlign w:val="center"/>
          </w:tcPr>
          <w:p w14:paraId="6FA38E0C" w14:textId="77777777" w:rsidR="00180460" w:rsidRPr="00773FE2" w:rsidRDefault="00180460" w:rsidP="00180460">
            <w:pPr>
              <w:jc w:val="center"/>
              <w:rPr>
                <w:rFonts w:ascii="Times New Roman" w:hAnsi="Times New Roman" w:cs="Times New Roman"/>
                <w:sz w:val="18"/>
                <w:szCs w:val="18"/>
              </w:rPr>
            </w:pPr>
            <w:r w:rsidRPr="00773FE2">
              <w:rPr>
                <w:rFonts w:ascii="Times New Roman" w:hAnsi="Times New Roman" w:cs="Times New Roman"/>
                <w:sz w:val="18"/>
                <w:szCs w:val="18"/>
              </w:rPr>
              <w:t>5.01</w:t>
            </w:r>
          </w:p>
        </w:tc>
      </w:tr>
    </w:tbl>
    <w:p w14:paraId="41091BBE" w14:textId="51BBE0B5" w:rsidR="00180460" w:rsidRPr="00465D2B" w:rsidRDefault="00180460" w:rsidP="00180460">
      <w:pPr>
        <w:ind w:left="993" w:hanging="993"/>
        <w:jc w:val="center"/>
        <w:rPr>
          <w:rFonts w:ascii="Times New Roman" w:hAnsi="Times New Roman" w:cs="Times New Roman"/>
          <w:b/>
          <w:bCs/>
        </w:rPr>
      </w:pPr>
      <w:r>
        <w:rPr>
          <w:rFonts w:ascii="Times New Roman" w:hAnsi="Times New Roman" w:cs="Times New Roman"/>
          <w:b/>
          <w:bCs/>
        </w:rPr>
        <w:t>Table 4</w:t>
      </w:r>
      <w:r w:rsidRPr="004F4981">
        <w:rPr>
          <w:rFonts w:ascii="Times New Roman" w:hAnsi="Times New Roman" w:cs="Times New Roman"/>
          <w:b/>
          <w:bCs/>
        </w:rPr>
        <w:t xml:space="preserve">: Pooled Effect of Liquid Bio fertilizers on </w:t>
      </w:r>
      <w:r>
        <w:rPr>
          <w:rFonts w:ascii="Times New Roman" w:hAnsi="Times New Roman" w:cs="Times New Roman"/>
          <w:b/>
          <w:bCs/>
        </w:rPr>
        <w:t>Days to Spike Emergence, Days to 50 % Heading and Days to Maturity</w:t>
      </w:r>
    </w:p>
    <w:p w14:paraId="0411D506" w14:textId="77777777" w:rsidR="00180460" w:rsidRDefault="00180460" w:rsidP="00854B9D">
      <w:pPr>
        <w:jc w:val="both"/>
        <w:rPr>
          <w:rFonts w:ascii="Times New Roman" w:hAnsi="Times New Roman" w:cs="Times New Roman"/>
        </w:rPr>
      </w:pPr>
    </w:p>
    <w:p w14:paraId="31A13249" w14:textId="77777777" w:rsidR="00635328" w:rsidRDefault="00635328" w:rsidP="00854B9D">
      <w:pPr>
        <w:jc w:val="both"/>
        <w:rPr>
          <w:rFonts w:ascii="Times New Roman" w:hAnsi="Times New Roman" w:cs="Times New Roman"/>
        </w:rPr>
      </w:pPr>
    </w:p>
    <w:p w14:paraId="6FB343B9" w14:textId="77777777" w:rsidR="00635328" w:rsidRDefault="00635328" w:rsidP="00854B9D">
      <w:pPr>
        <w:jc w:val="both"/>
        <w:rPr>
          <w:rFonts w:ascii="Times New Roman" w:hAnsi="Times New Roman" w:cs="Times New Roman"/>
        </w:rPr>
      </w:pPr>
    </w:p>
    <w:p w14:paraId="42E1CD50" w14:textId="63C550EF" w:rsidR="00180460" w:rsidRDefault="00BA7D3A" w:rsidP="00854B9D">
      <w:pPr>
        <w:jc w:val="both"/>
        <w:rPr>
          <w:rFonts w:ascii="Times New Roman" w:hAnsi="Times New Roman" w:cs="Times New Roman"/>
        </w:rPr>
      </w:pPr>
      <w:r>
        <w:rPr>
          <w:noProof/>
          <w:lang w:val="en-IN" w:eastAsia="en-IN" w:bidi="hi-IN"/>
        </w:rPr>
        <w:lastRenderedPageBreak/>
        <w:drawing>
          <wp:anchor distT="0" distB="0" distL="114300" distR="114300" simplePos="0" relativeHeight="251696128" behindDoc="1" locked="0" layoutInCell="1" allowOverlap="1" wp14:anchorId="2FD7A456" wp14:editId="3EE729F9">
            <wp:simplePos x="0" y="0"/>
            <wp:positionH relativeFrom="column">
              <wp:posOffset>1158240</wp:posOffset>
            </wp:positionH>
            <wp:positionV relativeFrom="paragraph">
              <wp:posOffset>2331720</wp:posOffset>
            </wp:positionV>
            <wp:extent cx="3699510" cy="1985645"/>
            <wp:effectExtent l="0" t="0" r="0" b="0"/>
            <wp:wrapThrough wrapText="bothSides">
              <wp:wrapPolygon edited="0">
                <wp:start x="0" y="0"/>
                <wp:lineTo x="0" y="21344"/>
                <wp:lineTo x="21467" y="21344"/>
                <wp:lineTo x="21467" y="0"/>
                <wp:lineTo x="0" y="0"/>
              </wp:wrapPolygon>
            </wp:wrapThrough>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r w:rsidR="00180460">
        <w:rPr>
          <w:noProof/>
          <w:lang w:val="en-IN" w:eastAsia="en-IN" w:bidi="hi-IN"/>
        </w:rPr>
        <w:drawing>
          <wp:anchor distT="0" distB="0" distL="114300" distR="114300" simplePos="0" relativeHeight="251694080" behindDoc="1" locked="0" layoutInCell="1" allowOverlap="1" wp14:anchorId="65244993" wp14:editId="181CF1B1">
            <wp:simplePos x="0" y="0"/>
            <wp:positionH relativeFrom="column">
              <wp:posOffset>3143250</wp:posOffset>
            </wp:positionH>
            <wp:positionV relativeFrom="paragraph">
              <wp:posOffset>36195</wp:posOffset>
            </wp:positionV>
            <wp:extent cx="3693795" cy="2179955"/>
            <wp:effectExtent l="0" t="0" r="1905" b="0"/>
            <wp:wrapThrough wrapText="bothSides">
              <wp:wrapPolygon edited="0">
                <wp:start x="0" y="0"/>
                <wp:lineTo x="0" y="21329"/>
                <wp:lineTo x="21500" y="21329"/>
                <wp:lineTo x="21500" y="0"/>
                <wp:lineTo x="0" y="0"/>
              </wp:wrapPolygon>
            </wp:wrapThrough>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r w:rsidR="00180460">
        <w:rPr>
          <w:noProof/>
          <w:lang w:val="en-IN" w:eastAsia="en-IN" w:bidi="hi-IN"/>
        </w:rPr>
        <w:drawing>
          <wp:anchor distT="0" distB="0" distL="114300" distR="114300" simplePos="0" relativeHeight="251692032" behindDoc="1" locked="0" layoutInCell="1" allowOverlap="1" wp14:anchorId="557AF322" wp14:editId="12316F73">
            <wp:simplePos x="0" y="0"/>
            <wp:positionH relativeFrom="column">
              <wp:posOffset>-561975</wp:posOffset>
            </wp:positionH>
            <wp:positionV relativeFrom="paragraph">
              <wp:posOffset>106680</wp:posOffset>
            </wp:positionV>
            <wp:extent cx="3584575" cy="1949450"/>
            <wp:effectExtent l="0" t="0" r="0" b="0"/>
            <wp:wrapThrough wrapText="bothSides">
              <wp:wrapPolygon edited="0">
                <wp:start x="0" y="0"/>
                <wp:lineTo x="0" y="21319"/>
                <wp:lineTo x="21466" y="21319"/>
                <wp:lineTo x="21466" y="0"/>
                <wp:lineTo x="0" y="0"/>
              </wp:wrapPolygon>
            </wp:wrapThrough>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14:paraId="6B8E5658" w14:textId="5E3B931D" w:rsidR="00180460" w:rsidRDefault="00180460" w:rsidP="00854B9D">
      <w:pPr>
        <w:jc w:val="both"/>
        <w:rPr>
          <w:rFonts w:ascii="Times New Roman" w:hAnsi="Times New Roman" w:cs="Times New Roman"/>
        </w:rPr>
      </w:pPr>
    </w:p>
    <w:p w14:paraId="4E935778" w14:textId="426625CF" w:rsidR="00180460" w:rsidRDefault="00180460" w:rsidP="00854B9D">
      <w:pPr>
        <w:jc w:val="both"/>
        <w:rPr>
          <w:rFonts w:ascii="Times New Roman" w:hAnsi="Times New Roman" w:cs="Times New Roman"/>
        </w:rPr>
      </w:pPr>
    </w:p>
    <w:p w14:paraId="058F66D9" w14:textId="16B1E739" w:rsidR="00180460" w:rsidRDefault="00180460" w:rsidP="00854B9D">
      <w:pPr>
        <w:jc w:val="both"/>
        <w:rPr>
          <w:rFonts w:ascii="Times New Roman" w:hAnsi="Times New Roman" w:cs="Times New Roman"/>
        </w:rPr>
      </w:pPr>
    </w:p>
    <w:p w14:paraId="6969348C" w14:textId="77777777" w:rsidR="00180460" w:rsidRDefault="00180460" w:rsidP="00854B9D">
      <w:pPr>
        <w:jc w:val="both"/>
        <w:rPr>
          <w:rFonts w:ascii="Times New Roman" w:hAnsi="Times New Roman" w:cs="Times New Roman"/>
        </w:rPr>
      </w:pPr>
    </w:p>
    <w:p w14:paraId="2FA85B51" w14:textId="77777777" w:rsidR="00180460" w:rsidRDefault="00180460" w:rsidP="00854B9D">
      <w:pPr>
        <w:jc w:val="both"/>
        <w:rPr>
          <w:rFonts w:ascii="Times New Roman" w:hAnsi="Times New Roman" w:cs="Times New Roman"/>
        </w:rPr>
      </w:pPr>
    </w:p>
    <w:p w14:paraId="68C40AEA" w14:textId="77777777" w:rsidR="00180460" w:rsidRDefault="00180460" w:rsidP="00854B9D">
      <w:pPr>
        <w:jc w:val="both"/>
        <w:rPr>
          <w:rFonts w:ascii="Times New Roman" w:hAnsi="Times New Roman" w:cs="Times New Roman"/>
        </w:rPr>
      </w:pPr>
    </w:p>
    <w:p w14:paraId="30B4025F" w14:textId="7E7A8A40" w:rsidR="00180460" w:rsidRDefault="00773FE2" w:rsidP="00773FE2">
      <w:pPr>
        <w:jc w:val="center"/>
        <w:rPr>
          <w:rFonts w:ascii="Times New Roman" w:hAnsi="Times New Roman" w:cs="Times New Roman"/>
        </w:rPr>
      </w:pPr>
      <w:r>
        <w:rPr>
          <w:rFonts w:ascii="Times New Roman" w:hAnsi="Times New Roman" w:cs="Times New Roman"/>
          <w:b/>
          <w:bCs/>
        </w:rPr>
        <w:t>Fig.4</w:t>
      </w:r>
      <w:r w:rsidR="00BA7D3A" w:rsidRPr="00465D2B">
        <w:rPr>
          <w:rFonts w:ascii="Times New Roman" w:hAnsi="Times New Roman" w:cs="Times New Roman"/>
          <w:b/>
          <w:bCs/>
        </w:rPr>
        <w:t xml:space="preserve">.Effect of different liquid bio fertilizers on </w:t>
      </w:r>
      <w:r w:rsidR="00BA7D3A">
        <w:rPr>
          <w:rFonts w:ascii="Times New Roman" w:hAnsi="Times New Roman" w:cs="Times New Roman"/>
          <w:b/>
          <w:bCs/>
        </w:rPr>
        <w:t>Days to Spike Emergence, Days to 50 % Heading and Days to Maturity</w:t>
      </w:r>
    </w:p>
    <w:p w14:paraId="7F62CC9D" w14:textId="77777777" w:rsidR="00DD3D02" w:rsidRPr="008555A1" w:rsidRDefault="00DD3D02" w:rsidP="00DD3D02">
      <w:pPr>
        <w:rPr>
          <w:rFonts w:ascii="Times New Roman" w:hAnsi="Times New Roman" w:cs="Times New Roman"/>
          <w:b/>
          <w:bCs/>
          <w:sz w:val="28"/>
          <w:szCs w:val="28"/>
        </w:rPr>
      </w:pPr>
      <w:r w:rsidRPr="008555A1">
        <w:rPr>
          <w:rFonts w:ascii="Times New Roman" w:hAnsi="Times New Roman" w:cs="Times New Roman"/>
          <w:b/>
          <w:bCs/>
          <w:sz w:val="28"/>
          <w:szCs w:val="28"/>
        </w:rPr>
        <w:t>Discussion</w:t>
      </w:r>
    </w:p>
    <w:p w14:paraId="0363BBA1" w14:textId="77777777" w:rsidR="00B079E9" w:rsidRPr="002D0292" w:rsidRDefault="00B079E9" w:rsidP="00B079E9">
      <w:pPr>
        <w:rPr>
          <w:rFonts w:ascii="Times New Roman" w:hAnsi="Times New Roman" w:cs="Times New Roman"/>
          <w:b/>
          <w:bCs/>
        </w:rPr>
      </w:pPr>
      <w:r w:rsidRPr="002D0292">
        <w:rPr>
          <w:rFonts w:ascii="Times New Roman" w:hAnsi="Times New Roman" w:cs="Times New Roman"/>
          <w:b/>
          <w:bCs/>
        </w:rPr>
        <w:t>Field Emergence and Plant Establishment</w:t>
      </w:r>
    </w:p>
    <w:p w14:paraId="616B18AF" w14:textId="18A0CB8A" w:rsidR="009249CC" w:rsidRPr="00767A6B" w:rsidRDefault="00B079E9" w:rsidP="00B079E9">
      <w:pPr>
        <w:jc w:val="both"/>
        <w:rPr>
          <w:rFonts w:ascii="Times New Roman" w:hAnsi="Times New Roman" w:cs="Times New Roman"/>
        </w:rPr>
      </w:pPr>
      <w:r w:rsidRPr="00767A6B">
        <w:rPr>
          <w:rFonts w:ascii="Times New Roman" w:hAnsi="Times New Roman" w:cs="Times New Roman"/>
        </w:rPr>
        <w:t xml:space="preserve">All biological seed treatments particularly combinations involving </w:t>
      </w:r>
      <w:proofErr w:type="spellStart"/>
      <w:r w:rsidRPr="00027934">
        <w:rPr>
          <w:rFonts w:ascii="Times New Roman" w:hAnsi="Times New Roman" w:cs="Times New Roman"/>
          <w:highlight w:val="yellow"/>
        </w:rPr>
        <w:t>Azospirillum</w:t>
      </w:r>
      <w:proofErr w:type="spellEnd"/>
      <w:r w:rsidRPr="00767A6B">
        <w:rPr>
          <w:rFonts w:ascii="Times New Roman" w:hAnsi="Times New Roman" w:cs="Times New Roman"/>
        </w:rPr>
        <w:t xml:space="preserve"> and other functional microbes exceeded both the control and the chemical fungicide Thiram treatment in improving early seedling vigor and field establishment. This enhancement is attributable to improved nutrient mobilization (nitrogen and phosphorus) and symbiotic microbial synergy, which collectively foster a more favorable rhizosphere environment for wheat seedlings. Similar positive impacts have been substantiated in previous studies, such as Pathak et al. (2016) for wheat and Singh et al. (2010) for soybean, indicating the reproducibility and reliability of biofertilizer-mediated increases in germination and stand establishment across crops. These results affirm that microbial seed priming strategies incorporating </w:t>
      </w:r>
      <w:proofErr w:type="spellStart"/>
      <w:r w:rsidRPr="00767A6B">
        <w:rPr>
          <w:rFonts w:ascii="Times New Roman" w:hAnsi="Times New Roman" w:cs="Times New Roman"/>
        </w:rPr>
        <w:t>Azospirillum</w:t>
      </w:r>
      <w:proofErr w:type="spellEnd"/>
      <w:r w:rsidRPr="00767A6B">
        <w:rPr>
          <w:rFonts w:ascii="Times New Roman" w:hAnsi="Times New Roman" w:cs="Times New Roman"/>
        </w:rPr>
        <w:t xml:space="preserve"> and PSB represent a scientifically validated approach to enhancing wheat seed vigor and securing robust crop stands under field conditions.</w:t>
      </w:r>
    </w:p>
    <w:p w14:paraId="7AF2C781" w14:textId="77777777" w:rsidR="00773FE2" w:rsidRDefault="00773FE2" w:rsidP="001E2555">
      <w:pPr>
        <w:rPr>
          <w:rFonts w:ascii="Times New Roman" w:hAnsi="Times New Roman" w:cs="Times New Roman"/>
          <w:b/>
          <w:bCs/>
          <w:sz w:val="28"/>
          <w:szCs w:val="28"/>
        </w:rPr>
      </w:pPr>
    </w:p>
    <w:p w14:paraId="44C74907" w14:textId="77777777" w:rsidR="001E2555" w:rsidRPr="002D0292" w:rsidRDefault="001E2555" w:rsidP="001E2555">
      <w:pPr>
        <w:rPr>
          <w:rFonts w:ascii="Times New Roman" w:hAnsi="Times New Roman" w:cs="Times New Roman"/>
          <w:b/>
          <w:bCs/>
        </w:rPr>
      </w:pPr>
      <w:r w:rsidRPr="002D0292">
        <w:rPr>
          <w:rFonts w:ascii="Times New Roman" w:hAnsi="Times New Roman" w:cs="Times New Roman"/>
          <w:b/>
          <w:bCs/>
        </w:rPr>
        <w:lastRenderedPageBreak/>
        <w:t>Plant Height</w:t>
      </w:r>
    </w:p>
    <w:p w14:paraId="2C496F94" w14:textId="77777777" w:rsidR="001E2555" w:rsidRPr="001E2555" w:rsidRDefault="001E2555" w:rsidP="001E2555">
      <w:pPr>
        <w:jc w:val="both"/>
        <w:rPr>
          <w:rFonts w:ascii="Times New Roman" w:hAnsi="Times New Roman" w:cs="Times New Roman"/>
        </w:rPr>
      </w:pPr>
      <w:r w:rsidRPr="001E2555">
        <w:rPr>
          <w:rFonts w:ascii="Times New Roman" w:hAnsi="Times New Roman" w:cs="Times New Roman"/>
        </w:rPr>
        <w:t xml:space="preserve">The observed increase in plant height at 30 days after sowing (DAS) in the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 KSB (T7) and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xml:space="preserve"> + PSB (T8) treatments indicates enhanced early vegetative growth compared to the untreated control, which recorded a lower height (36.51 cm). This early vigor is likely due to the synergistic effects of </w:t>
      </w:r>
      <w:proofErr w:type="spellStart"/>
      <w:r w:rsidRPr="001E2555">
        <w:rPr>
          <w:rFonts w:ascii="Times New Roman" w:hAnsi="Times New Roman" w:cs="Times New Roman"/>
        </w:rPr>
        <w:t>Azospirillum</w:t>
      </w:r>
      <w:proofErr w:type="spellEnd"/>
      <w:r w:rsidRPr="001E2555">
        <w:rPr>
          <w:rFonts w:ascii="Times New Roman" w:hAnsi="Times New Roman" w:cs="Times New Roman"/>
        </w:rPr>
        <w:t>, known for its nitrogen-fixing ability and phytohormone (e.g., auxin) production that stimulates root and shoot elongation, combined with potassium- or phosphate-solubilizing bacteria that improve nutrient availability critical for cell expansion and biomass accumulation during initial growth stages (Bashan et al., 2013; Verma et al., 2016).</w:t>
      </w:r>
    </w:p>
    <w:p w14:paraId="184A5909" w14:textId="1138AFC0" w:rsidR="001E2555" w:rsidRDefault="001E2555" w:rsidP="001E2555">
      <w:pPr>
        <w:jc w:val="both"/>
        <w:rPr>
          <w:rFonts w:ascii="Times New Roman" w:hAnsi="Times New Roman" w:cs="Times New Roman"/>
        </w:rPr>
      </w:pPr>
      <w:r w:rsidRPr="001E2555">
        <w:rPr>
          <w:rFonts w:ascii="Times New Roman" w:hAnsi="Times New Roman" w:cs="Times New Roman"/>
        </w:rPr>
        <w:t>At harvest, although the maximum plant height was still observed in T7 and T8 treatments (117.55 cm and 116.82 cm, respectively), the differences were not statistically significant compared to the control. This suggests that while biofertilizer treatments accelerate early growth, subsequent plant development may equilibrate as plants transition from vegetative to reproductive stages. Nutrient and energy partitioning during this phase often shift towards grain filling and reproductive organs rather than further vegetative elongation, potentially reducing height differences accumulated in early stages (Kumar et al., 2018).</w:t>
      </w:r>
      <w:r>
        <w:rPr>
          <w:rFonts w:ascii="Times New Roman" w:hAnsi="Times New Roman" w:cs="Times New Roman"/>
        </w:rPr>
        <w:t xml:space="preserve"> </w:t>
      </w:r>
      <w:r w:rsidRPr="001E2555">
        <w:rPr>
          <w:rFonts w:ascii="Times New Roman" w:hAnsi="Times New Roman" w:cs="Times New Roman"/>
        </w:rPr>
        <w:t xml:space="preserve">Similar trends have been documented in wheat and other cereals where </w:t>
      </w:r>
      <w:proofErr w:type="spellStart"/>
      <w:r w:rsidRPr="00667AE1">
        <w:rPr>
          <w:rFonts w:ascii="Times New Roman" w:hAnsi="Times New Roman" w:cs="Times New Roman"/>
          <w:highlight w:val="yellow"/>
        </w:rPr>
        <w:t>Azospirillum</w:t>
      </w:r>
      <w:proofErr w:type="spellEnd"/>
      <w:r w:rsidRPr="001E2555">
        <w:rPr>
          <w:rFonts w:ascii="Times New Roman" w:hAnsi="Times New Roman" w:cs="Times New Roman"/>
        </w:rPr>
        <w:t xml:space="preserve"> inoculation enhanced seedling growth and early biomass but showed diminishing differences at maturity, implying that early growth stimulation does not always translate to proportionally taller plants at harvest (Pathak et al., 2016; Singh et al., 2010). The sustained growth promotion during early stages, however, is critical for establishing robust plants capable of supporting later yield </w:t>
      </w:r>
      <w:r w:rsidR="00667AE1" w:rsidRPr="001E2555">
        <w:rPr>
          <w:rFonts w:ascii="Times New Roman" w:hAnsi="Times New Roman" w:cs="Times New Roman"/>
        </w:rPr>
        <w:t>components. Thus</w:t>
      </w:r>
      <w:r w:rsidRPr="001E2555">
        <w:rPr>
          <w:rFonts w:ascii="Times New Roman" w:hAnsi="Times New Roman" w:cs="Times New Roman"/>
        </w:rPr>
        <w:t xml:space="preserve">, this data highlights the effectiveness of </w:t>
      </w:r>
      <w:proofErr w:type="spellStart"/>
      <w:r w:rsidRPr="00667AE1">
        <w:rPr>
          <w:rFonts w:ascii="Times New Roman" w:hAnsi="Times New Roman" w:cs="Times New Roman"/>
          <w:highlight w:val="yellow"/>
        </w:rPr>
        <w:t>Azospirillum</w:t>
      </w:r>
      <w:proofErr w:type="spellEnd"/>
      <w:r w:rsidRPr="001E2555">
        <w:rPr>
          <w:rFonts w:ascii="Times New Roman" w:hAnsi="Times New Roman" w:cs="Times New Roman"/>
        </w:rPr>
        <w:t xml:space="preserve"> combined with KSB or PSB in promoting early vegetative growth in wheat, with implications for improved nutrient use efficiency and crop establishment, even though ultimate final plant height may stabilize irrespective of treatment due to physiological growth transitions.</w:t>
      </w:r>
    </w:p>
    <w:p w14:paraId="2156453C" w14:textId="77777777" w:rsidR="00854B9D" w:rsidRPr="002D0292" w:rsidRDefault="00854B9D" w:rsidP="00854B9D">
      <w:pPr>
        <w:rPr>
          <w:rFonts w:ascii="Times New Roman" w:hAnsi="Times New Roman" w:cs="Times New Roman"/>
          <w:b/>
          <w:bCs/>
        </w:rPr>
      </w:pPr>
      <w:r w:rsidRPr="002D0292">
        <w:rPr>
          <w:rFonts w:ascii="Times New Roman" w:hAnsi="Times New Roman" w:cs="Times New Roman"/>
          <w:b/>
          <w:bCs/>
        </w:rPr>
        <w:t>Leaf Chlorophyll and LAI</w:t>
      </w:r>
    </w:p>
    <w:p w14:paraId="4DC3B5D7" w14:textId="12D0D8F2" w:rsidR="00854B9D" w:rsidRPr="001E2555" w:rsidRDefault="00854B9D" w:rsidP="00854B9D">
      <w:pPr>
        <w:jc w:val="both"/>
        <w:rPr>
          <w:rFonts w:ascii="Times New Roman" w:hAnsi="Times New Roman" w:cs="Times New Roman"/>
        </w:rPr>
      </w:pPr>
      <w:r w:rsidRPr="001E2555">
        <w:rPr>
          <w:rFonts w:ascii="Times New Roman" w:hAnsi="Times New Roman" w:cs="Times New Roman"/>
        </w:rPr>
        <w:t>The significantly higher chlorophyll content measured by SPAD values in treatments T8 (</w:t>
      </w:r>
      <w:proofErr w:type="spellStart"/>
      <w:r w:rsidRPr="00667AE1">
        <w:rPr>
          <w:rFonts w:ascii="Times New Roman" w:hAnsi="Times New Roman" w:cs="Times New Roman"/>
          <w:highlight w:val="yellow"/>
        </w:rPr>
        <w:t>Azospirillum</w:t>
      </w:r>
      <w:proofErr w:type="spellEnd"/>
      <w:r w:rsidRPr="001E2555">
        <w:rPr>
          <w:rFonts w:ascii="Times New Roman" w:hAnsi="Times New Roman" w:cs="Times New Roman"/>
        </w:rPr>
        <w:t xml:space="preserve"> + PSB, 46.95 SPAD) and T7 (</w:t>
      </w:r>
      <w:proofErr w:type="spellStart"/>
      <w:r w:rsidRPr="00667AE1">
        <w:rPr>
          <w:rFonts w:ascii="Times New Roman" w:hAnsi="Times New Roman" w:cs="Times New Roman"/>
          <w:highlight w:val="yellow"/>
        </w:rPr>
        <w:t>Azospirillum</w:t>
      </w:r>
      <w:proofErr w:type="spellEnd"/>
      <w:r w:rsidRPr="001E2555">
        <w:rPr>
          <w:rFonts w:ascii="Times New Roman" w:hAnsi="Times New Roman" w:cs="Times New Roman"/>
        </w:rPr>
        <w:t xml:space="preserve"> + KSB, 46.45 SPAD) relative to the control indicates enhanced photosynthetic pigment accumulation. This increase in chlorophyll concentration is a direct indicator of improved photosynthetic capacity, which is further supported by the greater leaf area index (LAI) values observed in these treatments (5.16 for T8 and 4.97 for T7). Elevated LAI signifies </w:t>
      </w:r>
      <w:r w:rsidR="003E0F02" w:rsidRPr="001E2555">
        <w:rPr>
          <w:rFonts w:ascii="Times New Roman" w:hAnsi="Times New Roman" w:cs="Times New Roman"/>
        </w:rPr>
        <w:t>more</w:t>
      </w:r>
      <w:r w:rsidRPr="001E2555">
        <w:rPr>
          <w:rFonts w:ascii="Times New Roman" w:hAnsi="Times New Roman" w:cs="Times New Roman"/>
        </w:rPr>
        <w:t xml:space="preserve"> developed canopy architecture, contributing to greater light interception and higher potential biomass production.</w:t>
      </w:r>
      <w:r w:rsidR="00DC7E2A">
        <w:rPr>
          <w:rFonts w:ascii="Times New Roman" w:hAnsi="Times New Roman" w:cs="Times New Roman"/>
        </w:rPr>
        <w:t xml:space="preserve"> </w:t>
      </w:r>
      <w:r w:rsidRPr="001E2555">
        <w:rPr>
          <w:rFonts w:ascii="Times New Roman" w:hAnsi="Times New Roman" w:cs="Times New Roman"/>
        </w:rPr>
        <w:t xml:space="preserve">The collaborative action of </w:t>
      </w:r>
      <w:proofErr w:type="spellStart"/>
      <w:r w:rsidRPr="00667AE1">
        <w:rPr>
          <w:rFonts w:ascii="Times New Roman" w:hAnsi="Times New Roman" w:cs="Times New Roman"/>
          <w:highlight w:val="yellow"/>
        </w:rPr>
        <w:t>Azospirillum</w:t>
      </w:r>
      <w:proofErr w:type="spellEnd"/>
      <w:r w:rsidRPr="001E2555">
        <w:rPr>
          <w:rFonts w:ascii="Times New Roman" w:hAnsi="Times New Roman" w:cs="Times New Roman"/>
        </w:rPr>
        <w:t>, known for producing phytohormones that stimulate leaf expansion and chlorophyll biosynthesis, combined with potassium- and phosphate-solubilizing bacteria that improve nutrient availability, particularly macronutrients critical for photosynthesis, likely underpin these physiological improvements (Verma et al., 2016; Bashan et al., 2013). Enhanced nutrient uptake through biofertilization improves nitrogen and magnesium availability</w:t>
      </w:r>
      <w:r>
        <w:rPr>
          <w:rFonts w:ascii="Times New Roman" w:hAnsi="Times New Roman" w:cs="Times New Roman"/>
        </w:rPr>
        <w:t xml:space="preserve"> </w:t>
      </w:r>
      <w:r w:rsidRPr="001E2555">
        <w:rPr>
          <w:rFonts w:ascii="Times New Roman" w:hAnsi="Times New Roman" w:cs="Times New Roman"/>
        </w:rPr>
        <w:t xml:space="preserve">key elements for </w:t>
      </w:r>
      <w:r w:rsidRPr="001E2555">
        <w:rPr>
          <w:rFonts w:ascii="Times New Roman" w:hAnsi="Times New Roman" w:cs="Times New Roman"/>
        </w:rPr>
        <w:lastRenderedPageBreak/>
        <w:t>chlorophyll synthesis and leaf development—thus directly boosting plant photosynthetic efficiency and yield potential.</w:t>
      </w:r>
      <w:r w:rsidR="00DC7E2A">
        <w:rPr>
          <w:rFonts w:ascii="Times New Roman" w:hAnsi="Times New Roman" w:cs="Times New Roman"/>
        </w:rPr>
        <w:t xml:space="preserve"> </w:t>
      </w:r>
      <w:r w:rsidRPr="001E2555">
        <w:rPr>
          <w:rFonts w:ascii="Times New Roman" w:hAnsi="Times New Roman" w:cs="Times New Roman"/>
        </w:rPr>
        <w:t xml:space="preserve">These findings are consistent with Tamilarasu et al. (2022), who reported similar increases in chlorophyll content and LAI in maize following seed treatments combining </w:t>
      </w:r>
      <w:proofErr w:type="spellStart"/>
      <w:r w:rsidRPr="004970FF">
        <w:rPr>
          <w:rFonts w:ascii="Times New Roman" w:hAnsi="Times New Roman" w:cs="Times New Roman"/>
          <w:highlight w:val="yellow"/>
        </w:rPr>
        <w:t>Azospirillum</w:t>
      </w:r>
      <w:proofErr w:type="spellEnd"/>
      <w:r w:rsidRPr="001E2555">
        <w:rPr>
          <w:rFonts w:ascii="Times New Roman" w:hAnsi="Times New Roman" w:cs="Times New Roman"/>
        </w:rPr>
        <w:t xml:space="preserve"> and phosphate-solubilizing bacteria, emphasizing the positive role of microbial inoculants in enhancing photosynthetic capacity and canopy formation across crop species. Such physiological enhancements are crucial for improved crop growth and productivity by optimizing energy capture and assimilation during the growing season.</w:t>
      </w:r>
    </w:p>
    <w:p w14:paraId="6BA51A23" w14:textId="6830413A" w:rsidR="002B4E05" w:rsidRPr="002D0292" w:rsidRDefault="002B4E05" w:rsidP="002B4E05">
      <w:pPr>
        <w:rPr>
          <w:rFonts w:ascii="Times New Roman" w:hAnsi="Times New Roman" w:cs="Times New Roman"/>
          <w:b/>
          <w:bCs/>
        </w:rPr>
      </w:pPr>
      <w:r w:rsidRPr="002D0292">
        <w:rPr>
          <w:rFonts w:ascii="Times New Roman" w:hAnsi="Times New Roman" w:cs="Times New Roman"/>
          <w:b/>
          <w:bCs/>
        </w:rPr>
        <w:t>Ear Emergence, Heading, and Maturity</w:t>
      </w:r>
    </w:p>
    <w:p w14:paraId="37E8A2C2" w14:textId="77777777" w:rsidR="002B4E05" w:rsidRPr="002B4E05" w:rsidRDefault="002B4E05" w:rsidP="002B4E05">
      <w:pPr>
        <w:jc w:val="both"/>
        <w:rPr>
          <w:rFonts w:ascii="Times New Roman" w:hAnsi="Times New Roman" w:cs="Times New Roman"/>
        </w:rPr>
      </w:pPr>
      <w:r w:rsidRPr="002B4E05">
        <w:rPr>
          <w:rFonts w:ascii="Times New Roman" w:hAnsi="Times New Roman" w:cs="Times New Roman"/>
        </w:rPr>
        <w:t>The reported result that combined biofertilizer treatments (T7 and T8) led to earlier ear emergence, heading, and maturity compared to the control aligns well with existing knowledge on the beneficial impacts of biofertilizers on crop phenology and growth. Biofertilizers enhance plant growth by natural mechanisms such as nitrogen fixation, phosphorus solubilization, and the production of growth-promoting phytohormones (auxins, gibberellins), which collectively accelerate developmental stages like ear emergence and heading. Their use often results in earlier maturity due to improved nutrient availability and uptake, which supports faster physiological development in plants compared to uninoculated controls.</w:t>
      </w:r>
      <w:r>
        <w:rPr>
          <w:rFonts w:ascii="Times New Roman" w:hAnsi="Times New Roman" w:cs="Times New Roman"/>
        </w:rPr>
        <w:t xml:space="preserve"> </w:t>
      </w:r>
      <w:r w:rsidRPr="002B4E05">
        <w:rPr>
          <w:rFonts w:ascii="Times New Roman" w:hAnsi="Times New Roman" w:cs="Times New Roman"/>
        </w:rPr>
        <w:t>Specifically, seed inoculation with biofertilizers has demonstrated positive influences on phenological characteristics including spike initiation and heading time, potentially due to enhanced nitrogen and other nutrient content in the plants during critical growth phases. This can lead to significant advancement in flowering and maturity dates, consistent with the observations for treatments T7 (118 days) and T8 (118.83 days) versus the control (131.83 days).</w:t>
      </w:r>
      <w:r>
        <w:rPr>
          <w:rFonts w:ascii="Times New Roman" w:hAnsi="Times New Roman" w:cs="Times New Roman"/>
        </w:rPr>
        <w:t xml:space="preserve"> </w:t>
      </w:r>
      <w:r w:rsidRPr="002B4E05">
        <w:rPr>
          <w:rFonts w:ascii="Times New Roman" w:hAnsi="Times New Roman" w:cs="Times New Roman"/>
        </w:rPr>
        <w:t>In contrast, the modest benefits observed with Thiram-treated seeds can be explained by its fungicidal mode of action primarily targeting seed-borne pathogens without directly promoting plant physiological processes. Thiram is effective as a contact fungicide but does not provide nutrient or growth hormone benefits that biofertilizers do. Moreover, fungicides like Thiram may have limited or even negative effects on beneficial soil and rhizosphere microorganisms, including nitrogen-fixing bacteria essential for early plant development. Studies report that Thiram can inhibit some microbial symbioses and nitrogen fixation activities, which may explain the limited improvement in phenological traits compared to microbial biofertilizers.</w:t>
      </w:r>
      <w:r>
        <w:rPr>
          <w:rFonts w:ascii="Times New Roman" w:hAnsi="Times New Roman" w:cs="Times New Roman"/>
        </w:rPr>
        <w:t xml:space="preserve"> </w:t>
      </w:r>
      <w:r w:rsidRPr="002B4E05">
        <w:rPr>
          <w:rFonts w:ascii="Times New Roman" w:hAnsi="Times New Roman" w:cs="Times New Roman"/>
        </w:rPr>
        <w:t>In summary, combined biofertilizer treatments significantly advance phenological stages such as ear emergence, heading, and maturity by enhancing nutrient availability and promoting plant growth hormones, while Thiram seed treatment shows limited physiological benefits beyond pathogen control. This underscores the advantage of microbial inoculants in stimulating earlier crop development stages over conventional chemical seed treatments.</w:t>
      </w:r>
    </w:p>
    <w:p w14:paraId="5FE90469" w14:textId="211C0701" w:rsidR="003B7664" w:rsidRDefault="003B7664" w:rsidP="00C62975">
      <w:pPr>
        <w:jc w:val="both"/>
        <w:rPr>
          <w:rFonts w:ascii="Times New Roman" w:hAnsi="Times New Roman" w:cs="Times New Roman"/>
        </w:rPr>
      </w:pPr>
    </w:p>
    <w:p w14:paraId="04CBB2D5" w14:textId="77777777" w:rsidR="00180460" w:rsidRDefault="00180460" w:rsidP="00C62975">
      <w:pPr>
        <w:jc w:val="both"/>
        <w:rPr>
          <w:rFonts w:ascii="Times New Roman" w:hAnsi="Times New Roman" w:cs="Times New Roman"/>
        </w:rPr>
      </w:pPr>
    </w:p>
    <w:p w14:paraId="15985153" w14:textId="77777777" w:rsidR="00180460" w:rsidRDefault="00180460" w:rsidP="00C62975">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275"/>
        <w:gridCol w:w="1418"/>
        <w:gridCol w:w="1559"/>
        <w:gridCol w:w="4002"/>
      </w:tblGrid>
      <w:tr w:rsidR="00785D48" w:rsidRPr="00785D48" w14:paraId="11E71496" w14:textId="77777777" w:rsidTr="00AF1175">
        <w:trPr>
          <w:trHeight w:val="288"/>
        </w:trPr>
        <w:tc>
          <w:tcPr>
            <w:tcW w:w="1101" w:type="dxa"/>
            <w:noWrap/>
            <w:hideMark/>
          </w:tcPr>
          <w:p w14:paraId="0FC2B11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lastRenderedPageBreak/>
              <w:t>Treatment Code</w:t>
            </w:r>
          </w:p>
        </w:tc>
        <w:tc>
          <w:tcPr>
            <w:tcW w:w="1275" w:type="dxa"/>
            <w:noWrap/>
            <w:hideMark/>
          </w:tcPr>
          <w:p w14:paraId="3B1093BA"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Seed Treatment &amp; Dose</w:t>
            </w:r>
          </w:p>
        </w:tc>
        <w:tc>
          <w:tcPr>
            <w:tcW w:w="1418" w:type="dxa"/>
            <w:noWrap/>
            <w:hideMark/>
          </w:tcPr>
          <w:p w14:paraId="06000E48"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Active Ingredient/Organism(s)</w:t>
            </w:r>
          </w:p>
        </w:tc>
        <w:tc>
          <w:tcPr>
            <w:tcW w:w="1559" w:type="dxa"/>
            <w:noWrap/>
            <w:hideMark/>
          </w:tcPr>
          <w:p w14:paraId="4B308D1D" w14:textId="77777777" w:rsidR="00773FE2" w:rsidRPr="00785D48" w:rsidRDefault="00773FE2" w:rsidP="00AF1175">
            <w:pPr>
              <w:spacing w:after="0" w:line="240" w:lineRule="auto"/>
              <w:jc w:val="center"/>
              <w:rPr>
                <w:rFonts w:ascii="Times New Roman" w:eastAsia="Times New Roman" w:hAnsi="Times New Roman" w:cs="Times New Roman"/>
                <w:b/>
                <w:bCs/>
                <w:color w:val="000000"/>
                <w:kern w:val="0"/>
                <w:sz w:val="16"/>
                <w:szCs w:val="16"/>
                <w14:ligatures w14:val="none"/>
              </w:rPr>
            </w:pPr>
            <w:r w:rsidRPr="00785D48">
              <w:rPr>
                <w:rFonts w:ascii="Times New Roman" w:eastAsia="Times New Roman" w:hAnsi="Times New Roman" w:cs="Times New Roman"/>
                <w:b/>
                <w:bCs/>
                <w:color w:val="000000"/>
                <w:kern w:val="0"/>
                <w:sz w:val="16"/>
                <w:szCs w:val="16"/>
                <w14:ligatures w14:val="none"/>
              </w:rPr>
              <w:t>Mode of Action</w:t>
            </w:r>
          </w:p>
        </w:tc>
        <w:tc>
          <w:tcPr>
            <w:tcW w:w="4002" w:type="dxa"/>
            <w:noWrap/>
            <w:hideMark/>
          </w:tcPr>
          <w:p w14:paraId="20A26AC7" w14:textId="5BD2F5A7" w:rsidR="00773FE2" w:rsidRPr="00785D48" w:rsidRDefault="002D0292" w:rsidP="00AF1175">
            <w:pPr>
              <w:spacing w:after="0" w:line="240" w:lineRule="auto"/>
              <w:jc w:val="center"/>
              <w:rPr>
                <w:rFonts w:ascii="Times New Roman" w:eastAsia="Times New Roman" w:hAnsi="Times New Roman" w:cs="Times New Roman"/>
                <w:b/>
                <w:bCs/>
                <w:color w:val="000000"/>
                <w:kern w:val="0"/>
                <w:sz w:val="16"/>
                <w:szCs w:val="16"/>
                <w14:ligatures w14:val="none"/>
              </w:rPr>
            </w:pPr>
            <w:r>
              <w:rPr>
                <w:rFonts w:ascii="Times New Roman" w:eastAsia="Times New Roman" w:hAnsi="Times New Roman" w:cs="Times New Roman"/>
                <w:b/>
                <w:bCs/>
                <w:color w:val="000000"/>
                <w:kern w:val="0"/>
                <w:sz w:val="16"/>
                <w:szCs w:val="16"/>
                <w14:ligatures w14:val="none"/>
              </w:rPr>
              <w:t>Reference</w:t>
            </w:r>
          </w:p>
        </w:tc>
      </w:tr>
      <w:tr w:rsidR="00785D48" w:rsidRPr="00785D48" w14:paraId="5DE834F8" w14:textId="77777777" w:rsidTr="00AF1175">
        <w:trPr>
          <w:trHeight w:val="288"/>
        </w:trPr>
        <w:tc>
          <w:tcPr>
            <w:tcW w:w="1101" w:type="dxa"/>
            <w:noWrap/>
            <w:hideMark/>
          </w:tcPr>
          <w:p w14:paraId="690D6C1F"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w:t>
            </w:r>
          </w:p>
        </w:tc>
        <w:tc>
          <w:tcPr>
            <w:tcW w:w="1275" w:type="dxa"/>
            <w:noWrap/>
            <w:hideMark/>
          </w:tcPr>
          <w:p w14:paraId="42F9D2D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Control (untreated)</w:t>
            </w:r>
          </w:p>
        </w:tc>
        <w:tc>
          <w:tcPr>
            <w:tcW w:w="1418" w:type="dxa"/>
            <w:noWrap/>
            <w:hideMark/>
          </w:tcPr>
          <w:p w14:paraId="051ADD20"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None</w:t>
            </w:r>
          </w:p>
        </w:tc>
        <w:tc>
          <w:tcPr>
            <w:tcW w:w="1559" w:type="dxa"/>
            <w:noWrap/>
            <w:hideMark/>
          </w:tcPr>
          <w:p w14:paraId="72A1C5A0"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No treatment; baseline for comparison</w:t>
            </w:r>
          </w:p>
        </w:tc>
        <w:tc>
          <w:tcPr>
            <w:tcW w:w="4002" w:type="dxa"/>
            <w:noWrap/>
            <w:hideMark/>
          </w:tcPr>
          <w:p w14:paraId="43278363" w14:textId="2275E9AD"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1" w:history="1">
              <w:r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p>
        </w:tc>
      </w:tr>
      <w:tr w:rsidR="00785D48" w:rsidRPr="00785D48" w14:paraId="14C4AD9B" w14:textId="77777777" w:rsidTr="00AF1175">
        <w:trPr>
          <w:trHeight w:val="288"/>
        </w:trPr>
        <w:tc>
          <w:tcPr>
            <w:tcW w:w="1101" w:type="dxa"/>
            <w:noWrap/>
            <w:hideMark/>
          </w:tcPr>
          <w:p w14:paraId="3044FD4A"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T2</w:t>
            </w:r>
          </w:p>
        </w:tc>
        <w:tc>
          <w:tcPr>
            <w:tcW w:w="1275" w:type="dxa"/>
            <w:noWrap/>
            <w:hideMark/>
          </w:tcPr>
          <w:p w14:paraId="61B5C8A3"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EM culture @ 10 ml/kg seed</w:t>
            </w:r>
          </w:p>
        </w:tc>
        <w:tc>
          <w:tcPr>
            <w:tcW w:w="1418" w:type="dxa"/>
            <w:noWrap/>
            <w:hideMark/>
          </w:tcPr>
          <w:p w14:paraId="15DEFD5E" w14:textId="77777777" w:rsidR="00773FE2" w:rsidRPr="00785D48" w:rsidRDefault="00773FE2" w:rsidP="00AF1175">
            <w:pPr>
              <w:spacing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Consortium of beneficial microbes</w:t>
            </w:r>
          </w:p>
        </w:tc>
        <w:tc>
          <w:tcPr>
            <w:tcW w:w="1559" w:type="dxa"/>
            <w:noWrap/>
            <w:hideMark/>
          </w:tcPr>
          <w:p w14:paraId="26AAC50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Enhances </w:t>
            </w:r>
            <w:proofErr w:type="spellStart"/>
            <w:r w:rsidRPr="00785D48">
              <w:rPr>
                <w:rFonts w:ascii="Times New Roman" w:eastAsia="Times New Roman" w:hAnsi="Times New Roman" w:cs="Times New Roman"/>
                <w:color w:val="000000"/>
                <w:kern w:val="0"/>
                <w:sz w:val="16"/>
                <w:szCs w:val="16"/>
                <w14:ligatures w14:val="none"/>
              </w:rPr>
              <w:t>rhizospheric</w:t>
            </w:r>
            <w:proofErr w:type="spellEnd"/>
            <w:r w:rsidRPr="00785D48">
              <w:rPr>
                <w:rFonts w:ascii="Times New Roman" w:eastAsia="Times New Roman" w:hAnsi="Times New Roman" w:cs="Times New Roman"/>
                <w:color w:val="000000"/>
                <w:kern w:val="0"/>
                <w:sz w:val="16"/>
                <w:szCs w:val="16"/>
                <w14:ligatures w14:val="none"/>
              </w:rPr>
              <w:t xml:space="preserve"> microbial activity, accelerates organic matter turnover, releases plant growth-promoting substances</w:t>
            </w:r>
          </w:p>
        </w:tc>
        <w:tc>
          <w:tcPr>
            <w:tcW w:w="4002" w:type="dxa"/>
            <w:noWrap/>
            <w:hideMark/>
          </w:tcPr>
          <w:p w14:paraId="005695FD"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2" w:history="1">
              <w:r w:rsidRPr="00785D48">
                <w:rPr>
                  <w:rStyle w:val="Hyperlink"/>
                  <w:rFonts w:ascii="Times New Roman" w:eastAsia="Times New Roman" w:hAnsi="Times New Roman" w:cs="Times New Roman"/>
                  <w:kern w:val="0"/>
                  <w:sz w:val="16"/>
                  <w:szCs w:val="16"/>
                  <w14:ligatures w14:val="none"/>
                </w:rPr>
                <w:t>https://yadda.icm.edu.pl/baztech/element/bwmeta1.element.baztech-b2565513-13d5-440a-88ee 8280cde6d576/c/48_piotrowska_analysis_ROS_2021.pdf</w:t>
              </w:r>
            </w:hyperlink>
            <w:r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00CD5260" w14:textId="77777777" w:rsidTr="00AF1175">
        <w:trPr>
          <w:trHeight w:val="288"/>
        </w:trPr>
        <w:tc>
          <w:tcPr>
            <w:tcW w:w="1101" w:type="dxa"/>
            <w:noWrap/>
            <w:hideMark/>
          </w:tcPr>
          <w:p w14:paraId="5844CA9B"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T3</w:t>
            </w:r>
          </w:p>
        </w:tc>
        <w:tc>
          <w:tcPr>
            <w:tcW w:w="1275" w:type="dxa"/>
            <w:noWrap/>
            <w:hideMark/>
          </w:tcPr>
          <w:p w14:paraId="621D867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KSB @ 20 ml/kg seed</w:t>
            </w:r>
          </w:p>
        </w:tc>
        <w:tc>
          <w:tcPr>
            <w:tcW w:w="1418" w:type="dxa"/>
            <w:noWrap/>
            <w:hideMark/>
          </w:tcPr>
          <w:p w14:paraId="21BC4D56"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Potassium-solubilizing bacteria</w:t>
            </w:r>
          </w:p>
        </w:tc>
        <w:tc>
          <w:tcPr>
            <w:tcW w:w="1559" w:type="dxa"/>
            <w:noWrap/>
            <w:hideMark/>
          </w:tcPr>
          <w:p w14:paraId="4FEFA85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Solubilizes mineral potassium, increases K availability in rhizosphere</w:t>
            </w:r>
          </w:p>
        </w:tc>
        <w:tc>
          <w:tcPr>
            <w:tcW w:w="4002" w:type="dxa"/>
            <w:noWrap/>
            <w:hideMark/>
          </w:tcPr>
          <w:p w14:paraId="381B0CF8"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3" w:history="1">
              <w:r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DEF4162" w14:textId="77777777" w:rsidTr="00AF1175">
        <w:trPr>
          <w:trHeight w:val="288"/>
        </w:trPr>
        <w:tc>
          <w:tcPr>
            <w:tcW w:w="1101" w:type="dxa"/>
            <w:noWrap/>
            <w:hideMark/>
          </w:tcPr>
          <w:p w14:paraId="5FDDDCE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T4</w:t>
            </w:r>
          </w:p>
        </w:tc>
        <w:tc>
          <w:tcPr>
            <w:tcW w:w="1275" w:type="dxa"/>
            <w:noWrap/>
            <w:hideMark/>
          </w:tcPr>
          <w:p w14:paraId="5D70745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PSB @ 20 ml/kg seed</w:t>
            </w:r>
          </w:p>
        </w:tc>
        <w:tc>
          <w:tcPr>
            <w:tcW w:w="1418" w:type="dxa"/>
            <w:noWrap/>
            <w:hideMark/>
          </w:tcPr>
          <w:p w14:paraId="3E2B2A08"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Phosphate-solubilizing bacteria</w:t>
            </w:r>
          </w:p>
        </w:tc>
        <w:tc>
          <w:tcPr>
            <w:tcW w:w="1559" w:type="dxa"/>
            <w:noWrap/>
            <w:hideMark/>
          </w:tcPr>
          <w:p w14:paraId="18F8503F"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Releases insoluble soil phosphates through production of organic acids</w:t>
            </w:r>
          </w:p>
        </w:tc>
        <w:tc>
          <w:tcPr>
            <w:tcW w:w="4002" w:type="dxa"/>
            <w:noWrap/>
            <w:hideMark/>
          </w:tcPr>
          <w:p w14:paraId="5BEEA9A7" w14:textId="13F3B0D7"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w:t>
            </w:r>
            <w:r w:rsidR="00773FE2" w:rsidRPr="00785D48">
              <w:rPr>
                <w:rFonts w:ascii="Times New Roman" w:eastAsia="Times New Roman" w:hAnsi="Times New Roman" w:cs="Times New Roman"/>
                <w:color w:val="000000"/>
                <w:kern w:val="0"/>
                <w:sz w:val="16"/>
                <w:szCs w:val="16"/>
                <w14:ligatures w14:val="none"/>
              </w:rPr>
              <w:t>2023).</w:t>
            </w:r>
          </w:p>
        </w:tc>
      </w:tr>
      <w:tr w:rsidR="00785D48" w:rsidRPr="00785D48" w14:paraId="2E7D17A4" w14:textId="77777777" w:rsidTr="00AF1175">
        <w:trPr>
          <w:trHeight w:val="288"/>
        </w:trPr>
        <w:tc>
          <w:tcPr>
            <w:tcW w:w="1101" w:type="dxa"/>
            <w:noWrap/>
            <w:hideMark/>
          </w:tcPr>
          <w:p w14:paraId="0EAC4504"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T5</w:t>
            </w:r>
          </w:p>
        </w:tc>
        <w:tc>
          <w:tcPr>
            <w:tcW w:w="1275" w:type="dxa"/>
            <w:noWrap/>
            <w:hideMark/>
          </w:tcPr>
          <w:p w14:paraId="01E05A09"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E244C8">
              <w:rPr>
                <w:rFonts w:ascii="Times New Roman" w:eastAsia="Times New Roman" w:hAnsi="Times New Roman" w:cs="Times New Roman"/>
                <w:color w:val="000000"/>
                <w:kern w:val="0"/>
                <w:sz w:val="16"/>
                <w:szCs w:val="16"/>
                <w:highlight w:val="yellow"/>
                <w14:ligatures w14:val="none"/>
              </w:rPr>
              <w:t>Pseudomonas</w:t>
            </w:r>
            <w:r w:rsidRPr="00785D48">
              <w:rPr>
                <w:rFonts w:ascii="Times New Roman" w:eastAsia="Times New Roman" w:hAnsi="Times New Roman" w:cs="Times New Roman"/>
                <w:color w:val="000000"/>
                <w:kern w:val="0"/>
                <w:sz w:val="16"/>
                <w:szCs w:val="16"/>
                <w14:ligatures w14:val="none"/>
              </w:rPr>
              <w:t xml:space="preserve"> @ 20 ml/kg seed</w:t>
            </w:r>
          </w:p>
        </w:tc>
        <w:tc>
          <w:tcPr>
            <w:tcW w:w="1418" w:type="dxa"/>
            <w:noWrap/>
            <w:hideMark/>
          </w:tcPr>
          <w:p w14:paraId="16EACBDC"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Pseudomonas fluorescens</w:t>
            </w:r>
          </w:p>
        </w:tc>
        <w:tc>
          <w:tcPr>
            <w:tcW w:w="1559" w:type="dxa"/>
            <w:noWrap/>
            <w:hideMark/>
          </w:tcPr>
          <w:p w14:paraId="489B806E"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Suppresses seed/soil-borne pathogens, produces phytohormones, induces systemic resistance</w:t>
            </w:r>
          </w:p>
        </w:tc>
        <w:tc>
          <w:tcPr>
            <w:tcW w:w="4002" w:type="dxa"/>
            <w:noWrap/>
            <w:hideMark/>
          </w:tcPr>
          <w:p w14:paraId="1DD2791D" w14:textId="44DF52C4" w:rsidR="00773FE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785D48">
              <w:rPr>
                <w:rFonts w:ascii="Times New Roman" w:eastAsia="Times New Roman" w:hAnsi="Times New Roman" w:cs="Times New Roman"/>
                <w:color w:val="000000"/>
                <w:kern w:val="0"/>
                <w:sz w:val="16"/>
                <w:szCs w:val="16"/>
                <w14:ligatures w14:val="none"/>
              </w:rPr>
              <w:t>Dasila</w:t>
            </w:r>
            <w:proofErr w:type="spellEnd"/>
            <w:r w:rsidRPr="00785D48">
              <w:rPr>
                <w:rFonts w:ascii="Times New Roman" w:eastAsia="Times New Roman" w:hAnsi="Times New Roman" w:cs="Times New Roman"/>
                <w:color w:val="000000"/>
                <w:kern w:val="0"/>
                <w:sz w:val="16"/>
                <w:szCs w:val="16"/>
                <w14:ligatures w14:val="none"/>
              </w:rPr>
              <w:t>,</w:t>
            </w:r>
            <w:r>
              <w:rPr>
                <w:rFonts w:ascii="Times New Roman" w:eastAsia="Times New Roman" w:hAnsi="Times New Roman" w:cs="Times New Roman"/>
                <w:color w:val="000000"/>
                <w:kern w:val="0"/>
                <w:sz w:val="16"/>
                <w:szCs w:val="16"/>
                <w14:ligatures w14:val="none"/>
              </w:rPr>
              <w:t xml:space="preserve"> et al.,</w:t>
            </w:r>
            <w:r w:rsidRPr="00785D48">
              <w:rPr>
                <w:rFonts w:ascii="Times New Roman" w:eastAsia="Times New Roman" w:hAnsi="Times New Roman" w:cs="Times New Roman"/>
                <w:color w:val="000000"/>
                <w:kern w:val="0"/>
                <w:sz w:val="16"/>
                <w:szCs w:val="16"/>
                <w14:ligatures w14:val="none"/>
              </w:rPr>
              <w:t xml:space="preserve"> (2023).</w:t>
            </w:r>
            <w:r w:rsidR="00773FE2"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3E4402F" w14:textId="77777777" w:rsidTr="00AF1175">
        <w:trPr>
          <w:trHeight w:val="288"/>
        </w:trPr>
        <w:tc>
          <w:tcPr>
            <w:tcW w:w="1101" w:type="dxa"/>
            <w:noWrap/>
            <w:hideMark/>
          </w:tcPr>
          <w:p w14:paraId="1000BAB5"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T6</w:t>
            </w:r>
          </w:p>
        </w:tc>
        <w:tc>
          <w:tcPr>
            <w:tcW w:w="1275" w:type="dxa"/>
            <w:noWrap/>
            <w:hideMark/>
          </w:tcPr>
          <w:p w14:paraId="07077A3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20 ml/kg seed</w:t>
            </w:r>
          </w:p>
        </w:tc>
        <w:tc>
          <w:tcPr>
            <w:tcW w:w="1418" w:type="dxa"/>
            <w:noWrap/>
            <w:hideMark/>
          </w:tcPr>
          <w:p w14:paraId="44E835E5"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spp.</w:t>
            </w:r>
          </w:p>
        </w:tc>
        <w:tc>
          <w:tcPr>
            <w:tcW w:w="1559" w:type="dxa"/>
            <w:noWrap/>
            <w:hideMark/>
          </w:tcPr>
          <w:p w14:paraId="1B686896"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Biological nitrogen fixation, stimulates root growth and development</w:t>
            </w:r>
          </w:p>
        </w:tc>
        <w:tc>
          <w:tcPr>
            <w:tcW w:w="4002" w:type="dxa"/>
            <w:noWrap/>
            <w:hideMark/>
          </w:tcPr>
          <w:p w14:paraId="0F810688"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hyperlink r:id="rId24" w:history="1">
              <w:r w:rsidRPr="00785D48">
                <w:rPr>
                  <w:rStyle w:val="Hyperlink"/>
                  <w:rFonts w:ascii="Times New Roman" w:eastAsia="Times New Roman" w:hAnsi="Times New Roman" w:cs="Times New Roman"/>
                  <w:kern w:val="0"/>
                  <w:sz w:val="16"/>
                  <w:szCs w:val="16"/>
                  <w14:ligatures w14:val="none"/>
                </w:rPr>
                <w:t>https://agritech.tnau.ac.in/org_farm/orgfarm_faq's_bioferti.html</w:t>
              </w:r>
            </w:hyperlink>
            <w:r w:rsidRPr="00785D48">
              <w:rPr>
                <w:rFonts w:ascii="Times New Roman" w:eastAsia="Times New Roman" w:hAnsi="Times New Roman" w:cs="Times New Roman"/>
                <w:color w:val="000000"/>
                <w:kern w:val="0"/>
                <w:sz w:val="16"/>
                <w:szCs w:val="16"/>
                <w14:ligatures w14:val="none"/>
              </w:rPr>
              <w:t xml:space="preserve"> </w:t>
            </w:r>
          </w:p>
        </w:tc>
      </w:tr>
      <w:tr w:rsidR="00785D48" w:rsidRPr="00785D48" w14:paraId="6BF42AC1" w14:textId="77777777" w:rsidTr="00AF1175">
        <w:trPr>
          <w:trHeight w:val="288"/>
        </w:trPr>
        <w:tc>
          <w:tcPr>
            <w:tcW w:w="1101" w:type="dxa"/>
            <w:noWrap/>
            <w:hideMark/>
          </w:tcPr>
          <w:p w14:paraId="467F2E6E"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T7</w:t>
            </w:r>
          </w:p>
        </w:tc>
        <w:tc>
          <w:tcPr>
            <w:tcW w:w="1275" w:type="dxa"/>
            <w:noWrap/>
            <w:hideMark/>
          </w:tcPr>
          <w:p w14:paraId="18250642"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Azospirillm</w:t>
            </w:r>
            <w:proofErr w:type="spellEnd"/>
            <w:r w:rsidRPr="00785D48">
              <w:rPr>
                <w:rFonts w:ascii="Times New Roman" w:eastAsia="Times New Roman" w:hAnsi="Times New Roman" w:cs="Times New Roman"/>
                <w:color w:val="000000"/>
                <w:kern w:val="0"/>
                <w:sz w:val="16"/>
                <w:szCs w:val="16"/>
                <w14:ligatures w14:val="none"/>
              </w:rPr>
              <w:t xml:space="preserve"> + KSB @ 20 ml/kg seed</w:t>
            </w:r>
          </w:p>
        </w:tc>
        <w:tc>
          <w:tcPr>
            <w:tcW w:w="1418" w:type="dxa"/>
            <w:noWrap/>
            <w:hideMark/>
          </w:tcPr>
          <w:p w14:paraId="5F6DD2B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potassium-solubilizer</w:t>
            </w:r>
          </w:p>
        </w:tc>
        <w:tc>
          <w:tcPr>
            <w:tcW w:w="1559" w:type="dxa"/>
            <w:noWrap/>
            <w:hideMark/>
          </w:tcPr>
          <w:p w14:paraId="13398DED"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action: N-fixation and K-solubilization</w:t>
            </w:r>
          </w:p>
        </w:tc>
        <w:tc>
          <w:tcPr>
            <w:tcW w:w="4002" w:type="dxa"/>
            <w:noWrap/>
            <w:hideMark/>
          </w:tcPr>
          <w:p w14:paraId="22066F9A"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 xml:space="preserve">Optimizes N and K supply for balanced seedling nutrition </w:t>
            </w:r>
          </w:p>
        </w:tc>
      </w:tr>
      <w:tr w:rsidR="002D0292" w:rsidRPr="00785D48" w14:paraId="25E8FE77" w14:textId="77777777" w:rsidTr="00AF1175">
        <w:trPr>
          <w:trHeight w:val="288"/>
        </w:trPr>
        <w:tc>
          <w:tcPr>
            <w:tcW w:w="1101" w:type="dxa"/>
            <w:noWrap/>
            <w:hideMark/>
          </w:tcPr>
          <w:p w14:paraId="111916B7"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T8</w:t>
            </w:r>
          </w:p>
        </w:tc>
        <w:tc>
          <w:tcPr>
            <w:tcW w:w="1275" w:type="dxa"/>
            <w:noWrap/>
            <w:hideMark/>
          </w:tcPr>
          <w:p w14:paraId="0A8933D7"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PSB @ 20 ml/kg seed</w:t>
            </w:r>
          </w:p>
        </w:tc>
        <w:tc>
          <w:tcPr>
            <w:tcW w:w="1418" w:type="dxa"/>
            <w:noWrap/>
            <w:hideMark/>
          </w:tcPr>
          <w:p w14:paraId="4C966BEA"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phosphate-solubilizer</w:t>
            </w:r>
          </w:p>
        </w:tc>
        <w:tc>
          <w:tcPr>
            <w:tcW w:w="1559" w:type="dxa"/>
            <w:noWrap/>
            <w:hideMark/>
          </w:tcPr>
          <w:p w14:paraId="41B6BB50"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Synergistic: N-fixation and P-solubilization</w:t>
            </w:r>
          </w:p>
        </w:tc>
        <w:tc>
          <w:tcPr>
            <w:tcW w:w="4002" w:type="dxa"/>
            <w:noWrap/>
            <w:hideMark/>
          </w:tcPr>
          <w:p w14:paraId="1A3CB499" w14:textId="68E5CF96"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2D0292" w:rsidRPr="00785D48" w14:paraId="7CA5F951" w14:textId="77777777" w:rsidTr="00AF1175">
        <w:trPr>
          <w:trHeight w:val="288"/>
        </w:trPr>
        <w:tc>
          <w:tcPr>
            <w:tcW w:w="1101" w:type="dxa"/>
            <w:noWrap/>
            <w:hideMark/>
          </w:tcPr>
          <w:p w14:paraId="7676ED80"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T9</w:t>
            </w:r>
          </w:p>
        </w:tc>
        <w:tc>
          <w:tcPr>
            <w:tcW w:w="1275" w:type="dxa"/>
            <w:noWrap/>
            <w:hideMark/>
          </w:tcPr>
          <w:p w14:paraId="4B823246"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KSB + PSB @ 30 ml/kg</w:t>
            </w:r>
          </w:p>
        </w:tc>
        <w:tc>
          <w:tcPr>
            <w:tcW w:w="1418" w:type="dxa"/>
            <w:noWrap/>
            <w:hideMark/>
          </w:tcPr>
          <w:p w14:paraId="5CCF7B20" w14:textId="77777777" w:rsidR="002D0292" w:rsidRPr="00785D48" w:rsidRDefault="002D0292" w:rsidP="00AF1175">
            <w:pPr>
              <w:spacing w:after="0" w:line="240" w:lineRule="auto"/>
              <w:rPr>
                <w:rFonts w:ascii="Times New Roman" w:eastAsia="Times New Roman" w:hAnsi="Times New Roman" w:cs="Times New Roman"/>
                <w:color w:val="000000"/>
                <w:kern w:val="0"/>
                <w:sz w:val="16"/>
                <w:szCs w:val="16"/>
                <w14:ligatures w14:val="none"/>
              </w:rPr>
            </w:pPr>
            <w:proofErr w:type="spellStart"/>
            <w:r w:rsidRPr="00E244C8">
              <w:rPr>
                <w:rFonts w:ascii="Times New Roman" w:eastAsia="Times New Roman" w:hAnsi="Times New Roman" w:cs="Times New Roman"/>
                <w:color w:val="000000"/>
                <w:kern w:val="0"/>
                <w:sz w:val="16"/>
                <w:szCs w:val="16"/>
                <w:highlight w:val="yellow"/>
                <w14:ligatures w14:val="none"/>
              </w:rPr>
              <w:t>Azospirillum</w:t>
            </w:r>
            <w:proofErr w:type="spellEnd"/>
            <w:r w:rsidRPr="00785D48">
              <w:rPr>
                <w:rFonts w:ascii="Times New Roman" w:eastAsia="Times New Roman" w:hAnsi="Times New Roman" w:cs="Times New Roman"/>
                <w:color w:val="000000"/>
                <w:kern w:val="0"/>
                <w:sz w:val="16"/>
                <w:szCs w:val="16"/>
                <w14:ligatures w14:val="none"/>
              </w:rPr>
              <w:t xml:space="preserve"> + KSB + PSB</w:t>
            </w:r>
          </w:p>
        </w:tc>
        <w:tc>
          <w:tcPr>
            <w:tcW w:w="1559" w:type="dxa"/>
            <w:noWrap/>
            <w:hideMark/>
          </w:tcPr>
          <w:p w14:paraId="1EB35058" w14:textId="77777777"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Multiplex nutrient mobilization: N-fixation, P- and K-solubilization</w:t>
            </w:r>
          </w:p>
        </w:tc>
        <w:tc>
          <w:tcPr>
            <w:tcW w:w="4002" w:type="dxa"/>
            <w:noWrap/>
            <w:hideMark/>
          </w:tcPr>
          <w:p w14:paraId="601E1203" w14:textId="2D0B5528" w:rsidR="002D0292" w:rsidRPr="00785D48" w:rsidRDefault="002D0292" w:rsidP="00AF1175">
            <w:pPr>
              <w:spacing w:after="0" w:line="240" w:lineRule="auto"/>
              <w:jc w:val="both"/>
              <w:rPr>
                <w:rFonts w:ascii="Times New Roman" w:eastAsia="Times New Roman" w:hAnsi="Times New Roman" w:cs="Times New Roman"/>
                <w:color w:val="000000"/>
                <w:kern w:val="0"/>
                <w:sz w:val="16"/>
                <w:szCs w:val="16"/>
                <w14:ligatures w14:val="none"/>
              </w:rPr>
            </w:pPr>
            <w:proofErr w:type="spellStart"/>
            <w:r w:rsidRPr="00BA37DC">
              <w:rPr>
                <w:rFonts w:ascii="Times New Roman" w:eastAsia="Times New Roman" w:hAnsi="Times New Roman" w:cs="Times New Roman"/>
                <w:color w:val="000000"/>
                <w:kern w:val="0"/>
                <w:sz w:val="16"/>
                <w:szCs w:val="16"/>
                <w14:ligatures w14:val="none"/>
              </w:rPr>
              <w:t>Dasila</w:t>
            </w:r>
            <w:proofErr w:type="spellEnd"/>
            <w:r w:rsidRPr="00BA37DC">
              <w:rPr>
                <w:rFonts w:ascii="Times New Roman" w:eastAsia="Times New Roman" w:hAnsi="Times New Roman" w:cs="Times New Roman"/>
                <w:color w:val="000000"/>
                <w:kern w:val="0"/>
                <w:sz w:val="16"/>
                <w:szCs w:val="16"/>
                <w14:ligatures w14:val="none"/>
              </w:rPr>
              <w:t>, et al., (2023).</w:t>
            </w:r>
          </w:p>
        </w:tc>
      </w:tr>
      <w:tr w:rsidR="00785D48" w:rsidRPr="00785D48" w14:paraId="1D21C3C1" w14:textId="77777777" w:rsidTr="00AF1175">
        <w:trPr>
          <w:trHeight w:val="288"/>
        </w:trPr>
        <w:tc>
          <w:tcPr>
            <w:tcW w:w="1101" w:type="dxa"/>
            <w:noWrap/>
            <w:hideMark/>
          </w:tcPr>
          <w:p w14:paraId="065A9EC7"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T10</w:t>
            </w:r>
          </w:p>
        </w:tc>
        <w:tc>
          <w:tcPr>
            <w:tcW w:w="1275" w:type="dxa"/>
            <w:noWrap/>
            <w:hideMark/>
          </w:tcPr>
          <w:p w14:paraId="5D89DFA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 1.3 g/kg seed</w:t>
            </w:r>
          </w:p>
        </w:tc>
        <w:tc>
          <w:tcPr>
            <w:tcW w:w="1418" w:type="dxa"/>
            <w:noWrap/>
            <w:hideMark/>
          </w:tcPr>
          <w:p w14:paraId="0D550B31" w14:textId="77777777" w:rsidR="00773FE2" w:rsidRPr="00785D48" w:rsidRDefault="00773FE2" w:rsidP="00AF1175">
            <w:pPr>
              <w:spacing w:after="0" w:line="240" w:lineRule="auto"/>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Thiram (fungicide)</w:t>
            </w:r>
          </w:p>
        </w:tc>
        <w:tc>
          <w:tcPr>
            <w:tcW w:w="1559" w:type="dxa"/>
            <w:noWrap/>
            <w:hideMark/>
          </w:tcPr>
          <w:p w14:paraId="129B1944" w14:textId="77777777"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eastAsia="Times New Roman" w:hAnsi="Times New Roman" w:cs="Times New Roman"/>
                <w:color w:val="000000"/>
                <w:kern w:val="0"/>
                <w:sz w:val="16"/>
                <w:szCs w:val="16"/>
                <w14:ligatures w14:val="none"/>
              </w:rPr>
              <w:t>Broad-spectrum contact action against seed- and soil-borne fungi via enzyme inhibition and protective coating</w:t>
            </w:r>
          </w:p>
        </w:tc>
        <w:tc>
          <w:tcPr>
            <w:tcW w:w="4002" w:type="dxa"/>
            <w:noWrap/>
          </w:tcPr>
          <w:p w14:paraId="6324FD99" w14:textId="26CE9FE6" w:rsidR="00773FE2" w:rsidRPr="00785D48" w:rsidRDefault="00773FE2" w:rsidP="00AF1175">
            <w:pPr>
              <w:spacing w:after="0" w:line="240" w:lineRule="auto"/>
              <w:jc w:val="both"/>
              <w:rPr>
                <w:rFonts w:ascii="Times New Roman" w:eastAsia="Times New Roman" w:hAnsi="Times New Roman" w:cs="Times New Roman"/>
                <w:color w:val="000000"/>
                <w:kern w:val="0"/>
                <w:sz w:val="16"/>
                <w:szCs w:val="16"/>
                <w14:ligatures w14:val="none"/>
              </w:rPr>
            </w:pPr>
            <w:r w:rsidRPr="00785D48">
              <w:rPr>
                <w:rFonts w:ascii="Times New Roman" w:hAnsi="Times New Roman" w:cs="Times New Roman"/>
                <w:sz w:val="16"/>
                <w:szCs w:val="16"/>
              </w:rPr>
              <w:t xml:space="preserve">FAO/WHO. (1996). </w:t>
            </w:r>
          </w:p>
        </w:tc>
      </w:tr>
    </w:tbl>
    <w:p w14:paraId="55595CC2" w14:textId="1672E522" w:rsidR="00AF1175" w:rsidRDefault="00AF1175" w:rsidP="00DD3D02">
      <w:pPr>
        <w:rPr>
          <w:rFonts w:ascii="Times New Roman" w:hAnsi="Times New Roman" w:cs="Times New Roman"/>
          <w:b/>
          <w:bCs/>
          <w:sz w:val="28"/>
          <w:szCs w:val="28"/>
        </w:rPr>
      </w:pPr>
      <w:r>
        <w:rPr>
          <w:rFonts w:ascii="Times New Roman" w:hAnsi="Times New Roman" w:cs="Times New Roman"/>
          <w:b/>
          <w:bCs/>
          <w:sz w:val="28"/>
          <w:szCs w:val="28"/>
        </w:rPr>
        <w:t>Table 5-</w:t>
      </w:r>
      <w:r w:rsidR="00247E25">
        <w:rPr>
          <w:rFonts w:ascii="Times New Roman" w:hAnsi="Times New Roman" w:cs="Times New Roman"/>
          <w:b/>
          <w:bCs/>
          <w:sz w:val="28"/>
          <w:szCs w:val="28"/>
        </w:rPr>
        <w:t xml:space="preserve"> </w:t>
      </w:r>
      <w:r w:rsidR="00247E25" w:rsidRPr="00247E25">
        <w:rPr>
          <w:rFonts w:ascii="Times New Roman" w:hAnsi="Times New Roman" w:cs="Times New Roman"/>
          <w:b/>
          <w:bCs/>
          <w:sz w:val="28"/>
          <w:szCs w:val="28"/>
        </w:rPr>
        <w:t>Seed treatments, active ingredients, modes of action, and references</w:t>
      </w:r>
    </w:p>
    <w:p w14:paraId="7F3BBA3B" w14:textId="530080C8" w:rsidR="00DD3D02" w:rsidRPr="00CB2539" w:rsidRDefault="00DD3D02" w:rsidP="00DD3D02">
      <w:pPr>
        <w:rPr>
          <w:rFonts w:ascii="Times New Roman" w:hAnsi="Times New Roman" w:cs="Times New Roman"/>
          <w:b/>
          <w:bCs/>
          <w:sz w:val="28"/>
          <w:szCs w:val="28"/>
        </w:rPr>
      </w:pPr>
      <w:r w:rsidRPr="00CB2539">
        <w:rPr>
          <w:rFonts w:ascii="Times New Roman" w:hAnsi="Times New Roman" w:cs="Times New Roman"/>
          <w:b/>
          <w:bCs/>
          <w:sz w:val="28"/>
          <w:szCs w:val="28"/>
        </w:rPr>
        <w:t>Conclusion</w:t>
      </w:r>
    </w:p>
    <w:p w14:paraId="31646225" w14:textId="02AA1AF3" w:rsidR="00DD3D02" w:rsidRPr="00451C05" w:rsidRDefault="002B4E05" w:rsidP="00DD3D02">
      <w:pPr>
        <w:jc w:val="both"/>
        <w:rPr>
          <w:rFonts w:ascii="Times New Roman" w:hAnsi="Times New Roman" w:cs="Times New Roman"/>
        </w:rPr>
      </w:pPr>
      <w:r w:rsidRPr="00CB2539">
        <w:rPr>
          <w:rFonts w:ascii="Times New Roman" w:hAnsi="Times New Roman" w:cs="Times New Roman"/>
        </w:rPr>
        <w:t xml:space="preserve">The co-inoculation of wheat seeds with </w:t>
      </w:r>
      <w:proofErr w:type="spellStart"/>
      <w:r w:rsidRPr="00E244C8">
        <w:rPr>
          <w:rFonts w:ascii="Times New Roman" w:hAnsi="Times New Roman" w:cs="Times New Roman"/>
          <w:highlight w:val="yellow"/>
        </w:rPr>
        <w:t>Azospirillum</w:t>
      </w:r>
      <w:proofErr w:type="spellEnd"/>
      <w:r w:rsidRPr="00CB2539">
        <w:rPr>
          <w:rFonts w:ascii="Times New Roman" w:hAnsi="Times New Roman" w:cs="Times New Roman"/>
        </w:rPr>
        <w:t xml:space="preserve"> and PSB or KSB resulted in pronounced improvements across all measured traits, outperforming both single-strain and chemical (Thiram) treatments. The synergistic effects of nitrogen-fixing </w:t>
      </w:r>
      <w:proofErr w:type="spellStart"/>
      <w:r w:rsidRPr="00E244C8">
        <w:rPr>
          <w:rFonts w:ascii="Times New Roman" w:hAnsi="Times New Roman" w:cs="Times New Roman"/>
          <w:highlight w:val="yellow"/>
        </w:rPr>
        <w:t>Azospirillum</w:t>
      </w:r>
      <w:proofErr w:type="spellEnd"/>
      <w:r w:rsidRPr="00CB2539">
        <w:rPr>
          <w:rFonts w:ascii="Times New Roman" w:hAnsi="Times New Roman" w:cs="Times New Roman"/>
        </w:rPr>
        <w:t xml:space="preserve"> and pho</w:t>
      </w:r>
      <w:r w:rsidRPr="00451C05">
        <w:rPr>
          <w:rFonts w:ascii="Times New Roman" w:hAnsi="Times New Roman" w:cs="Times New Roman"/>
        </w:rPr>
        <w:t xml:space="preserve">sphate/potassium solubilizers enhanced root development, nutrient uptake, and early vigor, reflected by the highest emergence, establishment, and photosynthetic parameters. These treatments also promoted faster heading and significantly shortened crop maturity period, thereby offering greater flexibility in cropping systems. Thiram, although effective for disease control, did not support physiological or phenological advancement to the extent of biofertilizer applications. The increase in leaf area </w:t>
      </w:r>
      <w:r w:rsidRPr="00451C05">
        <w:rPr>
          <w:rFonts w:ascii="Times New Roman" w:hAnsi="Times New Roman" w:cs="Times New Roman"/>
        </w:rPr>
        <w:lastRenderedPageBreak/>
        <w:t>and chlorophyll content indicates improved translocation and assimilation, which could contribute to better resource-use efficiency and yield sustainability.</w:t>
      </w:r>
      <w:r>
        <w:rPr>
          <w:rFonts w:ascii="Times New Roman" w:hAnsi="Times New Roman" w:cs="Times New Roman"/>
        </w:rPr>
        <w:t xml:space="preserve"> </w:t>
      </w:r>
      <w:r w:rsidR="00DD3D02" w:rsidRPr="00451C05">
        <w:rPr>
          <w:rFonts w:ascii="Times New Roman" w:hAnsi="Times New Roman" w:cs="Times New Roman"/>
        </w:rPr>
        <w:t xml:space="preserve">Liquid biofertilizer seed treatments, especially combinations of </w:t>
      </w:r>
      <w:proofErr w:type="spellStart"/>
      <w:r w:rsidR="00DD3D02" w:rsidRPr="00B11C04">
        <w:rPr>
          <w:rFonts w:ascii="Times New Roman" w:hAnsi="Times New Roman" w:cs="Times New Roman"/>
          <w:highlight w:val="yellow"/>
        </w:rPr>
        <w:t>Azospirillum</w:t>
      </w:r>
      <w:proofErr w:type="spellEnd"/>
      <w:r w:rsidR="00DD3D02" w:rsidRPr="00451C05">
        <w:rPr>
          <w:rFonts w:ascii="Times New Roman" w:hAnsi="Times New Roman" w:cs="Times New Roman"/>
        </w:rPr>
        <w:t xml:space="preserve"> with PSB or KSB, provide substantial agronomic benefits for wheat cultivation. These include improved emergence, early vigor, robust vegetative growth, and accelerated crop maturity, far exceeding the effects of traditional chemical seed treatments. The results strongly advocate integrating liquid biofertilizer co-inoculations into wheat seed management practices for higher productivity and resource-use efficiency in modern agriculture.</w:t>
      </w:r>
    </w:p>
    <w:p w14:paraId="50CC52D5" w14:textId="77777777" w:rsidR="00925D74" w:rsidRDefault="00925D74" w:rsidP="00773FE2">
      <w:pPr>
        <w:rPr>
          <w:rFonts w:ascii="Times New Roman" w:hAnsi="Times New Roman" w:cs="Times New Roman"/>
          <w:b/>
          <w:bCs/>
          <w:sz w:val="28"/>
          <w:szCs w:val="28"/>
        </w:rPr>
      </w:pPr>
    </w:p>
    <w:p w14:paraId="0385A04A" w14:textId="6E33B5A4" w:rsidR="00773FE2" w:rsidRPr="00773FE2" w:rsidRDefault="00D87BD0" w:rsidP="00773FE2">
      <w:pPr>
        <w:rPr>
          <w:rFonts w:ascii="Times New Roman" w:hAnsi="Times New Roman" w:cs="Times New Roman"/>
          <w:b/>
          <w:bCs/>
          <w:sz w:val="28"/>
          <w:szCs w:val="28"/>
        </w:rPr>
      </w:pPr>
      <w:r w:rsidRPr="008555A1">
        <w:rPr>
          <w:rFonts w:ascii="Times New Roman" w:hAnsi="Times New Roman" w:cs="Times New Roman"/>
          <w:b/>
          <w:bCs/>
          <w:sz w:val="28"/>
          <w:szCs w:val="28"/>
        </w:rPr>
        <w:t>References</w:t>
      </w:r>
    </w:p>
    <w:p w14:paraId="3862E80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Baghel, S., &amp; Singh, A. K. (2025). Effect of Different Bio-Fertilizer on Plant and Soil in Different Stages of Rice in </w:t>
      </w:r>
      <w:proofErr w:type="spellStart"/>
      <w:r w:rsidRPr="0003251C">
        <w:rPr>
          <w:rFonts w:ascii="Times New Roman" w:hAnsi="Times New Roman" w:cs="Times New Roman"/>
          <w:color w:val="222222"/>
          <w:shd w:val="clear" w:color="auto" w:fill="FFFFFF"/>
        </w:rPr>
        <w:t>Vertisol</w:t>
      </w:r>
      <w:proofErr w:type="spellEnd"/>
      <w:r w:rsidRPr="0003251C">
        <w:rPr>
          <w:rFonts w:ascii="Times New Roman" w:hAnsi="Times New Roman" w:cs="Times New Roman"/>
          <w:color w:val="222222"/>
          <w:shd w:val="clear" w:color="auto" w:fill="FFFFFF"/>
        </w:rPr>
        <w:t xml:space="preserve"> of Chhattisgarh Plain, India.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37</w:t>
      </w:r>
      <w:r w:rsidRPr="0003251C">
        <w:rPr>
          <w:rFonts w:ascii="Times New Roman" w:hAnsi="Times New Roman" w:cs="Times New Roman"/>
          <w:color w:val="222222"/>
          <w:shd w:val="clear" w:color="auto" w:fill="FFFFFF"/>
        </w:rPr>
        <w:t>(5), 10-9734.</w:t>
      </w:r>
    </w:p>
    <w:p w14:paraId="456C811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Bashan, Y., de-Bashan, L. E., Prabhu, S. R., &amp; Hernandez, J.-P. (2013). Advances in plant growth-promoting bacterial inoculant technology: formulations and practical perspectives (1998–2013). </w:t>
      </w:r>
      <w:r w:rsidRPr="0003251C">
        <w:rPr>
          <w:rFonts w:ascii="Times New Roman" w:hAnsi="Times New Roman" w:cs="Times New Roman"/>
          <w:i/>
          <w:iCs/>
        </w:rPr>
        <w:t>Plant and Soil, 378</w:t>
      </w:r>
      <w:r w:rsidRPr="0003251C">
        <w:rPr>
          <w:rFonts w:ascii="Times New Roman" w:hAnsi="Times New Roman" w:cs="Times New Roman"/>
        </w:rPr>
        <w:t>(1-2), 1–33.</w:t>
      </w:r>
    </w:p>
    <w:p w14:paraId="6EA1A87F" w14:textId="77777777" w:rsidR="00773FE2" w:rsidRPr="0003251C" w:rsidRDefault="00773FE2" w:rsidP="0003251C">
      <w:pPr>
        <w:pStyle w:val="ListParagraph"/>
        <w:numPr>
          <w:ilvl w:val="0"/>
          <w:numId w:val="11"/>
        </w:numPr>
        <w:jc w:val="both"/>
        <w:rPr>
          <w:rFonts w:ascii="Times New Roman" w:hAnsi="Times New Roman" w:cs="Times New Roman"/>
        </w:rPr>
      </w:pPr>
      <w:proofErr w:type="spellStart"/>
      <w:r w:rsidRPr="0003251C">
        <w:rPr>
          <w:rFonts w:ascii="Times New Roman" w:eastAsia="Times New Roman" w:hAnsi="Times New Roman" w:cs="Times New Roman"/>
          <w:color w:val="000000"/>
          <w:kern w:val="0"/>
          <w:sz w:val="22"/>
          <w:szCs w:val="22"/>
          <w14:ligatures w14:val="none"/>
        </w:rPr>
        <w:t>Dasila</w:t>
      </w:r>
      <w:proofErr w:type="spellEnd"/>
      <w:r w:rsidRPr="0003251C">
        <w:rPr>
          <w:rFonts w:ascii="Times New Roman" w:eastAsia="Times New Roman" w:hAnsi="Times New Roman" w:cs="Times New Roman"/>
          <w:color w:val="000000"/>
          <w:kern w:val="0"/>
          <w:sz w:val="22"/>
          <w:szCs w:val="22"/>
          <w14:ligatures w14:val="none"/>
        </w:rPr>
        <w:t xml:space="preserve">, H., Sah, V.K., Jaggi, V., Kumar, A., Tewari, L., Taj, G., Chaturvedi, S., Perveen, K., Bukhari, N.A., Siang, T.C. and Sahgal, M. (2023). Cold-tolerant phosphate-solubilizing Pseudomonas strains promote wheat growth and yield by improving soil phosphorous (P) nutrition status. </w:t>
      </w:r>
      <w:r w:rsidRPr="0003251C">
        <w:rPr>
          <w:rFonts w:ascii="Times New Roman" w:eastAsia="Times New Roman" w:hAnsi="Times New Roman" w:cs="Times New Roman"/>
          <w:i/>
          <w:iCs/>
          <w:color w:val="000000"/>
          <w:kern w:val="0"/>
          <w:sz w:val="22"/>
          <w:szCs w:val="22"/>
          <w14:ligatures w14:val="none"/>
        </w:rPr>
        <w:t>Frontiers in Microbiology</w:t>
      </w:r>
      <w:r w:rsidRPr="0003251C">
        <w:rPr>
          <w:rFonts w:ascii="Times New Roman" w:eastAsia="Times New Roman" w:hAnsi="Times New Roman" w:cs="Times New Roman"/>
          <w:color w:val="000000"/>
          <w:kern w:val="0"/>
          <w:sz w:val="22"/>
          <w:szCs w:val="22"/>
          <w14:ligatures w14:val="none"/>
        </w:rPr>
        <w:t>, 14: 1135693</w:t>
      </w:r>
    </w:p>
    <w:p w14:paraId="4AC9F91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FAO/WHO. (1996). Thiram. Pesticide residues in food – 1996: Evaluations, Part II – Toxicological and environmental, Joint FAO/WHO Meeting on Pesticide Residues (JMPR), FAO, Rome, pp. 319–364.</w:t>
      </w:r>
    </w:p>
    <w:p w14:paraId="416693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Game, B. C., </w:t>
      </w:r>
      <w:proofErr w:type="spellStart"/>
      <w:r w:rsidRPr="0003251C">
        <w:rPr>
          <w:rFonts w:ascii="Times New Roman" w:hAnsi="Times New Roman" w:cs="Times New Roman"/>
          <w:color w:val="222222"/>
          <w:shd w:val="clear" w:color="auto" w:fill="FFFFFF"/>
        </w:rPr>
        <w:t>Ilhe</w:t>
      </w:r>
      <w:proofErr w:type="spellEnd"/>
      <w:r w:rsidRPr="0003251C">
        <w:rPr>
          <w:rFonts w:ascii="Times New Roman" w:hAnsi="Times New Roman" w:cs="Times New Roman"/>
          <w:color w:val="222222"/>
          <w:shd w:val="clear" w:color="auto" w:fill="FFFFFF"/>
        </w:rPr>
        <w:t xml:space="preserve">, B. M., Pawar, V. S., &amp; </w:t>
      </w:r>
      <w:proofErr w:type="spellStart"/>
      <w:r w:rsidRPr="0003251C">
        <w:rPr>
          <w:rFonts w:ascii="Times New Roman" w:hAnsi="Times New Roman" w:cs="Times New Roman"/>
          <w:color w:val="222222"/>
          <w:shd w:val="clear" w:color="auto" w:fill="FFFFFF"/>
        </w:rPr>
        <w:t>Khandagale</w:t>
      </w:r>
      <w:proofErr w:type="spellEnd"/>
      <w:r w:rsidRPr="0003251C">
        <w:rPr>
          <w:rFonts w:ascii="Times New Roman" w:hAnsi="Times New Roman" w:cs="Times New Roman"/>
          <w:color w:val="222222"/>
          <w:shd w:val="clear" w:color="auto" w:fill="FFFFFF"/>
        </w:rPr>
        <w:t xml:space="preserve">, P. P. (2020). Effect of Azotobacter, phosphate </w:t>
      </w:r>
      <w:proofErr w:type="spellStart"/>
      <w:r w:rsidRPr="0003251C">
        <w:rPr>
          <w:rFonts w:ascii="Times New Roman" w:hAnsi="Times New Roman" w:cs="Times New Roman"/>
          <w:color w:val="222222"/>
          <w:shd w:val="clear" w:color="auto" w:fill="FFFFFF"/>
        </w:rPr>
        <w:t>solubilising</w:t>
      </w:r>
      <w:proofErr w:type="spellEnd"/>
      <w:r w:rsidRPr="0003251C">
        <w:rPr>
          <w:rFonts w:ascii="Times New Roman" w:hAnsi="Times New Roman" w:cs="Times New Roman"/>
          <w:color w:val="222222"/>
          <w:shd w:val="clear" w:color="auto" w:fill="FFFFFF"/>
        </w:rPr>
        <w:t xml:space="preserve"> bacteria and potash </w:t>
      </w:r>
      <w:proofErr w:type="spellStart"/>
      <w:r w:rsidRPr="0003251C">
        <w:rPr>
          <w:rFonts w:ascii="Times New Roman" w:hAnsi="Times New Roman" w:cs="Times New Roman"/>
          <w:color w:val="222222"/>
          <w:shd w:val="clear" w:color="auto" w:fill="FFFFFF"/>
        </w:rPr>
        <w:t>mobilising</w:t>
      </w:r>
      <w:proofErr w:type="spellEnd"/>
      <w:r w:rsidRPr="0003251C">
        <w:rPr>
          <w:rFonts w:ascii="Times New Roman" w:hAnsi="Times New Roman" w:cs="Times New Roman"/>
          <w:color w:val="222222"/>
          <w:shd w:val="clear" w:color="auto" w:fill="FFFFFF"/>
        </w:rPr>
        <w:t xml:space="preserve"> bacteria inoculants on productivity of wheat (Triticum aestivum L.). </w:t>
      </w:r>
      <w:r w:rsidRPr="0003251C">
        <w:rPr>
          <w:rFonts w:ascii="Times New Roman" w:hAnsi="Times New Roman" w:cs="Times New Roman"/>
          <w:i/>
          <w:iCs/>
          <w:color w:val="222222"/>
          <w:shd w:val="clear" w:color="auto" w:fill="FFFFFF"/>
        </w:rPr>
        <w:t>Intern. J. Curr. Microbiol. Appl. Sci</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9</w:t>
      </w:r>
      <w:r w:rsidRPr="0003251C">
        <w:rPr>
          <w:rFonts w:ascii="Times New Roman" w:hAnsi="Times New Roman" w:cs="Times New Roman"/>
          <w:color w:val="222222"/>
          <w:shd w:val="clear" w:color="auto" w:fill="FFFFFF"/>
        </w:rPr>
        <w:t>(3), 2800-2807.</w:t>
      </w:r>
    </w:p>
    <w:p w14:paraId="173341F3"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Haque, M.A., Ali, M.Y., Rahman, M.M. (2019). Effect of biofertilizers on growth and yield of Indian spinach. </w:t>
      </w:r>
      <w:r w:rsidRPr="0003251C">
        <w:rPr>
          <w:rFonts w:ascii="Times New Roman" w:hAnsi="Times New Roman" w:cs="Times New Roman"/>
          <w:i/>
          <w:iCs/>
        </w:rPr>
        <w:t>Asian Journal of Medical and Biological Research, 5</w:t>
      </w:r>
      <w:r w:rsidRPr="0003251C">
        <w:rPr>
          <w:rFonts w:ascii="Times New Roman" w:hAnsi="Times New Roman" w:cs="Times New Roman"/>
        </w:rPr>
        <w:t>(2): 132–138.</w:t>
      </w:r>
    </w:p>
    <w:p w14:paraId="2475D056"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Kumar, S., Singh, R., &amp; Pandey, A. (2018). Growth and yield attributes of wheat as influenced by biofertilizers and nutrient management. </w:t>
      </w:r>
      <w:r w:rsidRPr="0003251C">
        <w:rPr>
          <w:rFonts w:ascii="Times New Roman" w:hAnsi="Times New Roman" w:cs="Times New Roman"/>
          <w:i/>
          <w:iCs/>
        </w:rPr>
        <w:t>Journal of Plant Nutrition, 41</w:t>
      </w:r>
      <w:r w:rsidRPr="0003251C">
        <w:rPr>
          <w:rFonts w:ascii="Times New Roman" w:hAnsi="Times New Roman" w:cs="Times New Roman"/>
        </w:rPr>
        <w:t>(2), 255-265.</w:t>
      </w:r>
    </w:p>
    <w:p w14:paraId="56C62A8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Kumari, S., Meena, K.K., Meena, R.K. (2018). Response of Nigella sativa to integrated use of biofertilizers and phosphorus. </w:t>
      </w:r>
      <w:r w:rsidRPr="0003251C">
        <w:rPr>
          <w:rFonts w:ascii="Times New Roman" w:hAnsi="Times New Roman" w:cs="Times New Roman"/>
          <w:i/>
          <w:iCs/>
        </w:rPr>
        <w:t>International Journal of Chemical Studies, 6</w:t>
      </w:r>
      <w:r w:rsidRPr="0003251C">
        <w:rPr>
          <w:rFonts w:ascii="Times New Roman" w:hAnsi="Times New Roman" w:cs="Times New Roman"/>
        </w:rPr>
        <w:t>(2): 2345–234</w:t>
      </w:r>
    </w:p>
    <w:p w14:paraId="0B5ACBE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Kushwaha, P., Kashyap, P. L., Pandiyan, K., &amp; Bhardwaj, A. K. (2020). Zinc-solubilizing microbes for sustainable crop production: Current understanding, opportunities, and challenges. </w:t>
      </w:r>
      <w:proofErr w:type="spellStart"/>
      <w:r w:rsidRPr="0003251C">
        <w:rPr>
          <w:rFonts w:ascii="Times New Roman" w:hAnsi="Times New Roman" w:cs="Times New Roman"/>
          <w:i/>
          <w:iCs/>
        </w:rPr>
        <w:t>Phytobiomes</w:t>
      </w:r>
      <w:proofErr w:type="spellEnd"/>
      <w:r w:rsidRPr="0003251C">
        <w:rPr>
          <w:rFonts w:ascii="Times New Roman" w:hAnsi="Times New Roman" w:cs="Times New Roman"/>
        </w:rPr>
        <w:t xml:space="preserve">, 281–298. </w:t>
      </w:r>
      <w:hyperlink r:id="rId25" w:history="1">
        <w:r w:rsidRPr="0003251C">
          <w:rPr>
            <w:rStyle w:val="Hyperlink"/>
            <w:rFonts w:ascii="Times New Roman" w:hAnsi="Times New Roman" w:cs="Times New Roman"/>
          </w:rPr>
          <w:t>https://doi.org/10.1007/978-981-15-3151-4_11</w:t>
        </w:r>
      </w:hyperlink>
    </w:p>
    <w:p w14:paraId="354DE3C4"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lastRenderedPageBreak/>
        <w:t>Mahapatra, A., Barik, A. K., &amp; Mishra, G. C. (2018). Effect of integrated nutrient management (INM) on growth and yield of baby corn (Zea mays L.). </w:t>
      </w:r>
      <w:r w:rsidRPr="0003251C">
        <w:rPr>
          <w:rFonts w:ascii="Times New Roman" w:hAnsi="Times New Roman" w:cs="Times New Roman"/>
          <w:i/>
          <w:iCs/>
          <w:color w:val="222222"/>
          <w:shd w:val="clear" w:color="auto" w:fill="FFFFFF"/>
        </w:rPr>
        <w:t>Environment and Ecology</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36</w:t>
      </w:r>
      <w:r w:rsidRPr="0003251C">
        <w:rPr>
          <w:rFonts w:ascii="Times New Roman" w:hAnsi="Times New Roman" w:cs="Times New Roman"/>
          <w:color w:val="222222"/>
          <w:shd w:val="clear" w:color="auto" w:fill="FFFFFF"/>
        </w:rPr>
        <w:t>(1A), 338-342.</w:t>
      </w:r>
    </w:p>
    <w:p w14:paraId="0827B78A"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 xml:space="preserve">Me Carty, S. C., Chauhan, D. S., </w:t>
      </w:r>
      <w:proofErr w:type="spellStart"/>
      <w:r w:rsidRPr="0003251C">
        <w:rPr>
          <w:rFonts w:ascii="Times New Roman" w:hAnsi="Times New Roman" w:cs="Times New Roman"/>
          <w:color w:val="222222"/>
          <w:shd w:val="clear" w:color="auto" w:fill="FFFFFF"/>
        </w:rPr>
        <w:t>MeCarty</w:t>
      </w:r>
      <w:proofErr w:type="spellEnd"/>
      <w:r w:rsidRPr="0003251C">
        <w:rPr>
          <w:rFonts w:ascii="Times New Roman" w:hAnsi="Times New Roman" w:cs="Times New Roman"/>
          <w:color w:val="222222"/>
          <w:shd w:val="clear" w:color="auto" w:fill="FFFFFF"/>
        </w:rPr>
        <w:t xml:space="preserve">, A. D., Tripathi, K. M., Selvan, T., &amp; Dubey, S. K. (2017). Effect of Azotobacter and </w:t>
      </w:r>
      <w:proofErr w:type="spellStart"/>
      <w:r w:rsidRPr="0003251C">
        <w:rPr>
          <w:rFonts w:ascii="Times New Roman" w:hAnsi="Times New Roman" w:cs="Times New Roman"/>
          <w:color w:val="222222"/>
          <w:shd w:val="clear" w:color="auto" w:fill="FFFFFF"/>
        </w:rPr>
        <w:t>phosphobacteria</w:t>
      </w:r>
      <w:proofErr w:type="spellEnd"/>
      <w:r w:rsidRPr="0003251C">
        <w:rPr>
          <w:rFonts w:ascii="Times New Roman" w:hAnsi="Times New Roman" w:cs="Times New Roman"/>
          <w:color w:val="222222"/>
          <w:shd w:val="clear" w:color="auto" w:fill="FFFFFF"/>
        </w:rPr>
        <w:t xml:space="preserve"> on yield of wheat (Triticum aestivum). </w:t>
      </w:r>
      <w:proofErr w:type="spellStart"/>
      <w:r w:rsidRPr="0003251C">
        <w:rPr>
          <w:rFonts w:ascii="Times New Roman" w:hAnsi="Times New Roman" w:cs="Times New Roman"/>
          <w:i/>
          <w:iCs/>
          <w:color w:val="222222"/>
          <w:shd w:val="clear" w:color="auto" w:fill="FFFFFF"/>
        </w:rPr>
        <w:t>Vegetos</w:t>
      </w:r>
      <w:proofErr w:type="spellEnd"/>
      <w:r w:rsidRPr="0003251C">
        <w:rPr>
          <w:rFonts w:ascii="Times New Roman" w:hAnsi="Times New Roman" w:cs="Times New Roman"/>
          <w:i/>
          <w:iCs/>
          <w:color w:val="222222"/>
          <w:shd w:val="clear" w:color="auto" w:fill="FFFFFF"/>
        </w:rPr>
        <w:t>-An International journal of plant research</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30</w:t>
      </w:r>
      <w:r w:rsidRPr="0003251C">
        <w:rPr>
          <w:rFonts w:ascii="Times New Roman" w:hAnsi="Times New Roman" w:cs="Times New Roman"/>
          <w:color w:val="222222"/>
          <w:shd w:val="clear" w:color="auto" w:fill="FFFFFF"/>
        </w:rPr>
        <w:t>(2).</w:t>
      </w:r>
    </w:p>
    <w:p w14:paraId="76B8DABB"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A., Chakrabarti, S. K., Das, R., &amp; Mandal, M. K. (2016). Response of different wheat varieties towards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 solubilizing bacteria (PSB) seed inoculation. </w:t>
      </w:r>
      <w:r w:rsidRPr="0003251C">
        <w:rPr>
          <w:rFonts w:ascii="Times New Roman" w:hAnsi="Times New Roman" w:cs="Times New Roman"/>
          <w:i/>
          <w:iCs/>
        </w:rPr>
        <w:t xml:space="preserve">Journal of Applied and Natural Science, </w:t>
      </w:r>
      <w:r w:rsidRPr="0003251C">
        <w:rPr>
          <w:rFonts w:ascii="Times New Roman" w:hAnsi="Times New Roman" w:cs="Times New Roman"/>
        </w:rPr>
        <w:t>8(1), 213.</w:t>
      </w:r>
    </w:p>
    <w:p w14:paraId="2CAC4194"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75C982A"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Pathak, D., Singh, R., &amp; Sangeeta. (2016). Response of different wheat varieties towards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phosphate-solubilizing bacteria (PSB) as seed inoculation for enhancing seed storability and seedling growth. </w:t>
      </w:r>
      <w:r w:rsidRPr="0003251C">
        <w:rPr>
          <w:rFonts w:ascii="Times New Roman" w:hAnsi="Times New Roman" w:cs="Times New Roman"/>
          <w:i/>
          <w:iCs/>
        </w:rPr>
        <w:t>Journal of Applied and Natural Science, 8</w:t>
      </w:r>
      <w:r w:rsidRPr="0003251C">
        <w:rPr>
          <w:rFonts w:ascii="Times New Roman" w:hAnsi="Times New Roman" w:cs="Times New Roman"/>
        </w:rPr>
        <w:t>(1), 408–412.</w:t>
      </w:r>
    </w:p>
    <w:p w14:paraId="6646757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Rajani, K., Parihar, S. S., Lal, S. K., Kumar, R. R., &amp; Kumar, A. Enhancement of Seed Quality of Black Cumin (Nigella sativa L.) through Seed Priming. </w:t>
      </w:r>
      <w:r w:rsidRPr="0003251C">
        <w:rPr>
          <w:rFonts w:ascii="Times New Roman" w:hAnsi="Times New Roman" w:cs="Times New Roman"/>
          <w:i/>
          <w:iCs/>
          <w:color w:val="222222"/>
          <w:shd w:val="clear" w:color="auto" w:fill="FFFFFF"/>
        </w:rPr>
        <w:t>Int. J. Curr. Microbiol, special</w:t>
      </w:r>
      <w:r w:rsidRPr="0003251C">
        <w:rPr>
          <w:rFonts w:ascii="Times New Roman" w:hAnsi="Times New Roman" w:cs="Times New Roman"/>
          <w:color w:val="222222"/>
          <w:shd w:val="clear" w:color="auto" w:fill="FFFFFF"/>
        </w:rPr>
        <w:t>, (2018), 7.</w:t>
      </w:r>
    </w:p>
    <w:p w14:paraId="38148FB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proofErr w:type="spellStart"/>
      <w:r w:rsidRPr="0003251C">
        <w:rPr>
          <w:rFonts w:ascii="Times New Roman" w:hAnsi="Times New Roman" w:cs="Times New Roman"/>
          <w:color w:val="222222"/>
          <w:shd w:val="clear" w:color="auto" w:fill="FFFFFF"/>
        </w:rPr>
        <w:t>Rokhzadi</w:t>
      </w:r>
      <w:proofErr w:type="spellEnd"/>
      <w:r w:rsidRPr="0003251C">
        <w:rPr>
          <w:rFonts w:ascii="Times New Roman" w:hAnsi="Times New Roman" w:cs="Times New Roman"/>
          <w:color w:val="222222"/>
          <w:shd w:val="clear" w:color="auto" w:fill="FFFFFF"/>
        </w:rPr>
        <w:t>, A., Asgharzadeh, A., Darvish, F., Nour-Mohammadi, G., &amp; Majidi, E. (2008). Influence of plant growth-promoting rhizobacteria on dry matter accumulation and yield of chickpea (Cicer arietinum L.) under field conditions</w:t>
      </w:r>
    </w:p>
    <w:p w14:paraId="07DA88F9"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Sai, G. D., &amp; Debbarma, V. (2022). Effect of Zinc and Bio-fertilizers on Growth and Yield of Wheat (Triticum aestivum L.). </w:t>
      </w:r>
      <w:r w:rsidRPr="0003251C">
        <w:rPr>
          <w:rFonts w:ascii="Times New Roman" w:hAnsi="Times New Roman" w:cs="Times New Roman"/>
          <w:i/>
          <w:iCs/>
          <w:color w:val="222222"/>
          <w:shd w:val="clear" w:color="auto" w:fill="FFFFFF"/>
        </w:rPr>
        <w:t>International Journal of Plant &amp; Soil Science</w:t>
      </w:r>
      <w:r w:rsidRPr="0003251C">
        <w:rPr>
          <w:rFonts w:ascii="Times New Roman" w:hAnsi="Times New Roman" w:cs="Times New Roman"/>
          <w:color w:val="222222"/>
          <w:shd w:val="clear" w:color="auto" w:fill="FFFFFF"/>
        </w:rPr>
        <w:t>, </w:t>
      </w:r>
      <w:r w:rsidRPr="0003251C">
        <w:rPr>
          <w:rFonts w:ascii="Times New Roman" w:hAnsi="Times New Roman" w:cs="Times New Roman"/>
          <w:i/>
          <w:iCs/>
          <w:color w:val="222222"/>
          <w:shd w:val="clear" w:color="auto" w:fill="FFFFFF"/>
        </w:rPr>
        <w:t>34</w:t>
      </w:r>
      <w:r w:rsidRPr="0003251C">
        <w:rPr>
          <w:rFonts w:ascii="Times New Roman" w:hAnsi="Times New Roman" w:cs="Times New Roman"/>
          <w:color w:val="222222"/>
          <w:shd w:val="clear" w:color="auto" w:fill="FFFFFF"/>
        </w:rPr>
        <w:t>(22), 1624-1632.</w:t>
      </w:r>
    </w:p>
    <w:p w14:paraId="65C566FC"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V., Shah, S., &amp; Prasad, B. (2010). Effect of phosphate solubilizing bacteria on plant growth promotion and nodulation in soybean (Glycine max (L.) </w:t>
      </w:r>
      <w:proofErr w:type="spellStart"/>
      <w:r w:rsidRPr="0003251C">
        <w:rPr>
          <w:rFonts w:ascii="Times New Roman" w:hAnsi="Times New Roman" w:cs="Times New Roman"/>
        </w:rPr>
        <w:t>Merr</w:t>
      </w:r>
      <w:proofErr w:type="spellEnd"/>
      <w:r w:rsidRPr="0003251C">
        <w:rPr>
          <w:rFonts w:ascii="Times New Roman" w:hAnsi="Times New Roman" w:cs="Times New Roman"/>
        </w:rPr>
        <w:t>.). </w:t>
      </w:r>
      <w:r w:rsidRPr="0003251C">
        <w:rPr>
          <w:rFonts w:ascii="Times New Roman" w:hAnsi="Times New Roman" w:cs="Times New Roman"/>
          <w:i/>
          <w:iCs/>
        </w:rPr>
        <w:t>Journal of Hill agriculture</w:t>
      </w:r>
      <w:r w:rsidRPr="0003251C">
        <w:rPr>
          <w:rFonts w:ascii="Times New Roman" w:hAnsi="Times New Roman" w:cs="Times New Roman"/>
        </w:rPr>
        <w:t>, </w:t>
      </w:r>
      <w:r w:rsidRPr="0003251C">
        <w:rPr>
          <w:rFonts w:ascii="Times New Roman" w:hAnsi="Times New Roman" w:cs="Times New Roman"/>
          <w:i/>
          <w:iCs/>
        </w:rPr>
        <w:t>1</w:t>
      </w:r>
      <w:r w:rsidRPr="0003251C">
        <w:rPr>
          <w:rFonts w:ascii="Times New Roman" w:hAnsi="Times New Roman" w:cs="Times New Roman"/>
        </w:rPr>
        <w:t>(1), 35-39.</w:t>
      </w:r>
    </w:p>
    <w:p w14:paraId="610CCA08"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w:t>
      </w:r>
      <w:r w:rsidRPr="0003251C">
        <w:rPr>
          <w:rFonts w:ascii="Times New Roman" w:hAnsi="Times New Roman" w:cs="Times New Roman"/>
        </w:rPr>
        <w:t xml:space="preserve">, 5(3), 245–250.   </w:t>
      </w:r>
    </w:p>
    <w:p w14:paraId="42AF71BE"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Singh, A., Kumar, V., &amp; Sharma, P. (2010). Effect of </w:t>
      </w:r>
      <w:proofErr w:type="spellStart"/>
      <w:r w:rsidRPr="0003251C">
        <w:rPr>
          <w:rFonts w:ascii="Times New Roman" w:hAnsi="Times New Roman" w:cs="Times New Roman"/>
        </w:rPr>
        <w:t>Azospirillum</w:t>
      </w:r>
      <w:proofErr w:type="spellEnd"/>
      <w:r w:rsidRPr="0003251C">
        <w:rPr>
          <w:rFonts w:ascii="Times New Roman" w:hAnsi="Times New Roman" w:cs="Times New Roman"/>
        </w:rPr>
        <w:t xml:space="preserve"> and phosphate solubilizing bacteria inoculation on growth and yield of soybean (Glycine max L.). </w:t>
      </w:r>
      <w:r w:rsidRPr="0003251C">
        <w:rPr>
          <w:rFonts w:ascii="Times New Roman" w:hAnsi="Times New Roman" w:cs="Times New Roman"/>
          <w:i/>
          <w:iCs/>
        </w:rPr>
        <w:t>Journal of Agricultural Science, 5</w:t>
      </w:r>
      <w:r w:rsidRPr="0003251C">
        <w:rPr>
          <w:rFonts w:ascii="Times New Roman" w:hAnsi="Times New Roman" w:cs="Times New Roman"/>
        </w:rPr>
        <w:t>(3), 245–250.</w:t>
      </w:r>
    </w:p>
    <w:p w14:paraId="5FAB61E2" w14:textId="77777777" w:rsidR="00773FE2" w:rsidRPr="0003251C" w:rsidRDefault="00773FE2" w:rsidP="0003251C">
      <w:pPr>
        <w:pStyle w:val="ListParagraph"/>
        <w:numPr>
          <w:ilvl w:val="0"/>
          <w:numId w:val="11"/>
        </w:numPr>
        <w:jc w:val="both"/>
        <w:rPr>
          <w:rFonts w:ascii="Times New Roman" w:hAnsi="Times New Roman" w:cs="Times New Roman"/>
          <w:color w:val="222222"/>
          <w:shd w:val="clear" w:color="auto" w:fill="FFFFFF"/>
        </w:rPr>
      </w:pPr>
      <w:r w:rsidRPr="0003251C">
        <w:rPr>
          <w:rFonts w:ascii="Times New Roman" w:hAnsi="Times New Roman" w:cs="Times New Roman"/>
          <w:color w:val="222222"/>
          <w:shd w:val="clear" w:color="auto" w:fill="FFFFFF"/>
        </w:rPr>
        <w:t>Tamilarasu, S., Thamizhiniyan, P., &amp; Manikandan, S. Biofertilizers effects on the germination and photosynthetic pigments of maize (Zea mays L.).</w:t>
      </w:r>
    </w:p>
    <w:p w14:paraId="4CD70F77" w14:textId="77777777" w:rsidR="00773FE2" w:rsidRPr="0003251C" w:rsidRDefault="00773FE2" w:rsidP="0003251C">
      <w:pPr>
        <w:pStyle w:val="ListParagraph"/>
        <w:numPr>
          <w:ilvl w:val="0"/>
          <w:numId w:val="11"/>
        </w:numPr>
        <w:jc w:val="both"/>
        <w:rPr>
          <w:rFonts w:ascii="Times New Roman" w:hAnsi="Times New Roman" w:cs="Times New Roman"/>
        </w:rPr>
      </w:pPr>
      <w:r w:rsidRPr="0003251C">
        <w:rPr>
          <w:rFonts w:ascii="Times New Roman" w:hAnsi="Times New Roman" w:cs="Times New Roman"/>
        </w:rPr>
        <w:t xml:space="preserve">Verma, J. P., Yadav, J., Tiwari, S., &amp; Singh, D. P. (2016). Plant growth-promoting rhizobacteria (PGPR): Current and future prospects for development of sustainable agriculture. </w:t>
      </w:r>
      <w:r w:rsidRPr="0003251C">
        <w:rPr>
          <w:rFonts w:ascii="Times New Roman" w:hAnsi="Times New Roman" w:cs="Times New Roman"/>
          <w:i/>
          <w:iCs/>
        </w:rPr>
        <w:t>Journal of Microbial &amp; Biochemical Technology, 8</w:t>
      </w:r>
      <w:r w:rsidRPr="0003251C">
        <w:rPr>
          <w:rFonts w:ascii="Times New Roman" w:hAnsi="Times New Roman" w:cs="Times New Roman"/>
        </w:rPr>
        <w:t>(3), 207-217.</w:t>
      </w:r>
    </w:p>
    <w:p w14:paraId="5EAC907A" w14:textId="77777777" w:rsidR="00773FE2" w:rsidRPr="00773FE2" w:rsidRDefault="00773FE2" w:rsidP="00773FE2">
      <w:pPr>
        <w:rPr>
          <w:rFonts w:ascii="Times New Roman" w:hAnsi="Times New Roman" w:cs="Times New Roman"/>
        </w:rPr>
      </w:pPr>
    </w:p>
    <w:p w14:paraId="444ED19F" w14:textId="77777777" w:rsidR="00773FE2" w:rsidRPr="00773FE2" w:rsidRDefault="00773FE2" w:rsidP="00773FE2">
      <w:pPr>
        <w:rPr>
          <w:rFonts w:ascii="Times New Roman" w:hAnsi="Times New Roman" w:cs="Times New Roman"/>
        </w:rPr>
      </w:pPr>
    </w:p>
    <w:p w14:paraId="2A4B3802" w14:textId="77777777" w:rsidR="00773FE2" w:rsidRPr="00773FE2" w:rsidRDefault="00773FE2" w:rsidP="00773FE2">
      <w:pPr>
        <w:rPr>
          <w:rFonts w:ascii="Times New Roman" w:hAnsi="Times New Roman" w:cs="Times New Roman"/>
        </w:rPr>
      </w:pPr>
    </w:p>
    <w:p w14:paraId="2B1F1AFE" w14:textId="22B0641E" w:rsidR="00773FE2" w:rsidRDefault="00773FE2" w:rsidP="00773FE2">
      <w:pPr>
        <w:rPr>
          <w:rFonts w:ascii="Times New Roman" w:hAnsi="Times New Roman" w:cs="Times New Roman"/>
        </w:rPr>
      </w:pPr>
    </w:p>
    <w:p w14:paraId="2124D6FC" w14:textId="77777777" w:rsidR="00773FE2" w:rsidRDefault="00773FE2" w:rsidP="00773FE2">
      <w:pPr>
        <w:tabs>
          <w:tab w:val="left" w:pos="2700"/>
        </w:tabs>
        <w:rPr>
          <w:rFonts w:ascii="Times New Roman" w:hAnsi="Times New Roman" w:cs="Times New Roman"/>
        </w:rPr>
        <w:sectPr w:rsidR="00773FE2" w:rsidSect="00451C05">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440" w:left="1440" w:header="720" w:footer="720" w:gutter="0"/>
          <w:cols w:space="720"/>
          <w:docGrid w:linePitch="360"/>
        </w:sectPr>
      </w:pPr>
      <w:r>
        <w:rPr>
          <w:rFonts w:ascii="Times New Roman" w:hAnsi="Times New Roman" w:cs="Times New Roman"/>
        </w:rPr>
        <w:tab/>
      </w:r>
    </w:p>
    <w:p w14:paraId="63FD9FFF" w14:textId="2A5BDC72" w:rsidR="00773FE2" w:rsidRDefault="00773FE2" w:rsidP="00773FE2">
      <w:pPr>
        <w:tabs>
          <w:tab w:val="left" w:pos="2700"/>
        </w:tabs>
        <w:rPr>
          <w:rFonts w:ascii="Times New Roman" w:hAnsi="Times New Roman" w:cs="Times New Roman"/>
        </w:rPr>
      </w:pPr>
    </w:p>
    <w:p w14:paraId="77C964DA" w14:textId="042F00D3" w:rsidR="00773FE2" w:rsidRDefault="00773FE2" w:rsidP="00773FE2">
      <w:pPr>
        <w:rPr>
          <w:rFonts w:ascii="Times New Roman" w:hAnsi="Times New Roman" w:cs="Times New Roman"/>
        </w:rPr>
      </w:pPr>
    </w:p>
    <w:p w14:paraId="1A3F5B46" w14:textId="77777777" w:rsidR="00CB2539" w:rsidRPr="00773FE2" w:rsidRDefault="00CB2539" w:rsidP="00773FE2">
      <w:pPr>
        <w:rPr>
          <w:rFonts w:ascii="Times New Roman" w:hAnsi="Times New Roman" w:cs="Times New Roman"/>
        </w:rPr>
        <w:sectPr w:rsidR="00CB2539" w:rsidRPr="00773FE2" w:rsidSect="00451C05">
          <w:pgSz w:w="12240" w:h="15840"/>
          <w:pgMar w:top="1440" w:right="1440" w:bottom="1440" w:left="1440" w:header="720" w:footer="720" w:gutter="0"/>
          <w:cols w:space="720"/>
          <w:docGrid w:linePitch="360"/>
        </w:sectPr>
      </w:pPr>
    </w:p>
    <w:p w14:paraId="1C24C9C1" w14:textId="7116FA65" w:rsidR="00C61D2B" w:rsidRPr="00465D2B" w:rsidRDefault="00C61D2B" w:rsidP="0027156D">
      <w:pPr>
        <w:rPr>
          <w:rFonts w:ascii="Times New Roman" w:hAnsi="Times New Roman" w:cs="Times New Roman"/>
          <w:b/>
          <w:bCs/>
        </w:rPr>
        <w:sectPr w:rsidR="00C61D2B" w:rsidRPr="00465D2B" w:rsidSect="009223A5">
          <w:pgSz w:w="15840" w:h="12240" w:orient="landscape"/>
          <w:pgMar w:top="1440" w:right="1440" w:bottom="1440" w:left="1440" w:header="720" w:footer="720" w:gutter="0"/>
          <w:cols w:space="720"/>
          <w:docGrid w:linePitch="360"/>
        </w:sectPr>
      </w:pPr>
    </w:p>
    <w:p w14:paraId="287EB700" w14:textId="10F33C8B" w:rsidR="00C61D2B" w:rsidRDefault="00C61D2B" w:rsidP="0027156D">
      <w:pPr>
        <w:rPr>
          <w:rFonts w:ascii="Times New Roman" w:hAnsi="Times New Roman" w:cs="Times New Roman"/>
        </w:rPr>
      </w:pPr>
    </w:p>
    <w:p w14:paraId="3907F7C7" w14:textId="3E6DDF63" w:rsidR="009223A5" w:rsidRDefault="009223A5" w:rsidP="0027156D">
      <w:pPr>
        <w:rPr>
          <w:rFonts w:ascii="Times New Roman" w:hAnsi="Times New Roman" w:cs="Times New Roman"/>
        </w:rPr>
      </w:pPr>
    </w:p>
    <w:p w14:paraId="01B95142" w14:textId="26E55FE4" w:rsidR="009223A5" w:rsidRDefault="009223A5" w:rsidP="0027156D">
      <w:pPr>
        <w:rPr>
          <w:rFonts w:ascii="Times New Roman" w:hAnsi="Times New Roman" w:cs="Times New Roman"/>
        </w:rPr>
      </w:pPr>
    </w:p>
    <w:p w14:paraId="3D6EFAC9" w14:textId="7BF48B32" w:rsidR="009223A5" w:rsidRDefault="009223A5" w:rsidP="0027156D">
      <w:pPr>
        <w:rPr>
          <w:rFonts w:ascii="Times New Roman" w:hAnsi="Times New Roman" w:cs="Times New Roman"/>
        </w:rPr>
      </w:pPr>
    </w:p>
    <w:p w14:paraId="6597D87F" w14:textId="38975E11" w:rsidR="009223A5" w:rsidRDefault="009223A5" w:rsidP="0027156D">
      <w:pPr>
        <w:rPr>
          <w:rFonts w:ascii="Times New Roman" w:hAnsi="Times New Roman" w:cs="Times New Roman"/>
        </w:rPr>
      </w:pPr>
    </w:p>
    <w:p w14:paraId="0D596B10" w14:textId="2AA27101" w:rsidR="009223A5" w:rsidRDefault="009223A5" w:rsidP="0027156D">
      <w:pPr>
        <w:rPr>
          <w:rFonts w:ascii="Times New Roman" w:hAnsi="Times New Roman" w:cs="Times New Roman"/>
        </w:rPr>
      </w:pPr>
    </w:p>
    <w:p w14:paraId="3A6D0002" w14:textId="38D8FA3A" w:rsidR="009223A5" w:rsidRDefault="009223A5" w:rsidP="0027156D">
      <w:pPr>
        <w:rPr>
          <w:rFonts w:ascii="Times New Roman" w:hAnsi="Times New Roman" w:cs="Times New Roman"/>
        </w:rPr>
      </w:pPr>
    </w:p>
    <w:p w14:paraId="02A6133D" w14:textId="52A30D12" w:rsidR="009223A5" w:rsidRDefault="009223A5" w:rsidP="0027156D">
      <w:pPr>
        <w:rPr>
          <w:rFonts w:ascii="Times New Roman" w:hAnsi="Times New Roman" w:cs="Times New Roman"/>
        </w:rPr>
      </w:pPr>
    </w:p>
    <w:p w14:paraId="383CBBB7" w14:textId="1D85210B" w:rsidR="009223A5" w:rsidRDefault="009223A5" w:rsidP="0027156D">
      <w:pPr>
        <w:rPr>
          <w:rFonts w:ascii="Times New Roman" w:hAnsi="Times New Roman" w:cs="Times New Roman"/>
        </w:rPr>
      </w:pPr>
    </w:p>
    <w:p w14:paraId="0CFA29F0" w14:textId="77777777" w:rsidR="009223A5" w:rsidRDefault="009223A5" w:rsidP="0027156D">
      <w:pPr>
        <w:rPr>
          <w:rFonts w:ascii="Times New Roman" w:hAnsi="Times New Roman" w:cs="Times New Roman"/>
        </w:rPr>
      </w:pPr>
    </w:p>
    <w:p w14:paraId="7427871E" w14:textId="60E423C5" w:rsidR="009223A5" w:rsidRDefault="009223A5" w:rsidP="0027156D">
      <w:pPr>
        <w:rPr>
          <w:rFonts w:ascii="Times New Roman" w:hAnsi="Times New Roman" w:cs="Times New Roman"/>
        </w:rPr>
      </w:pPr>
    </w:p>
    <w:p w14:paraId="2B778D2D" w14:textId="66A7E8CD" w:rsidR="009223A5" w:rsidRDefault="009223A5" w:rsidP="0027156D">
      <w:pPr>
        <w:rPr>
          <w:rFonts w:ascii="Times New Roman" w:hAnsi="Times New Roman" w:cs="Times New Roman"/>
        </w:rPr>
      </w:pPr>
    </w:p>
    <w:p w14:paraId="246FB3D1" w14:textId="2B6525BB" w:rsidR="009223A5" w:rsidRDefault="009223A5" w:rsidP="0027156D">
      <w:pPr>
        <w:rPr>
          <w:rFonts w:ascii="Times New Roman" w:hAnsi="Times New Roman" w:cs="Times New Roman"/>
        </w:rPr>
      </w:pPr>
    </w:p>
    <w:p w14:paraId="057F0222" w14:textId="77777777" w:rsidR="009223A5" w:rsidRDefault="009223A5" w:rsidP="0027156D">
      <w:pPr>
        <w:rPr>
          <w:rFonts w:ascii="Times New Roman" w:hAnsi="Times New Roman" w:cs="Times New Roman"/>
        </w:rPr>
      </w:pPr>
    </w:p>
    <w:p w14:paraId="0F7A4D00" w14:textId="77777777" w:rsidR="002430CD" w:rsidRDefault="002430CD" w:rsidP="0027156D">
      <w:pPr>
        <w:rPr>
          <w:rFonts w:ascii="Times New Roman" w:hAnsi="Times New Roman" w:cs="Times New Roman"/>
        </w:rPr>
      </w:pPr>
    </w:p>
    <w:p w14:paraId="61E8B88A" w14:textId="5737648C" w:rsidR="002430CD" w:rsidRDefault="002430CD" w:rsidP="0027156D">
      <w:pPr>
        <w:rPr>
          <w:rFonts w:ascii="Times New Roman" w:hAnsi="Times New Roman" w:cs="Times New Roman"/>
        </w:rPr>
      </w:pPr>
    </w:p>
    <w:p w14:paraId="38F355B3" w14:textId="77777777" w:rsidR="005327A4" w:rsidRDefault="005327A4" w:rsidP="0027156D">
      <w:pPr>
        <w:rPr>
          <w:rFonts w:ascii="Times New Roman" w:hAnsi="Times New Roman" w:cs="Times New Roman"/>
        </w:rPr>
      </w:pPr>
    </w:p>
    <w:p w14:paraId="6A2B7FDA" w14:textId="6D6271E1" w:rsidR="005327A4" w:rsidRDefault="005327A4" w:rsidP="0027156D">
      <w:pPr>
        <w:rPr>
          <w:rFonts w:ascii="Times New Roman" w:hAnsi="Times New Roman" w:cs="Times New Roman"/>
        </w:rPr>
      </w:pPr>
    </w:p>
    <w:p w14:paraId="21D4C782" w14:textId="77777777" w:rsidR="005327A4" w:rsidRDefault="005327A4" w:rsidP="0027156D">
      <w:pPr>
        <w:rPr>
          <w:rFonts w:ascii="Times New Roman" w:hAnsi="Times New Roman" w:cs="Times New Roman"/>
        </w:rPr>
      </w:pPr>
    </w:p>
    <w:p w14:paraId="7AF67C9F" w14:textId="5CC6E9FE" w:rsidR="005327A4" w:rsidRDefault="005327A4" w:rsidP="0027156D">
      <w:pPr>
        <w:rPr>
          <w:rFonts w:ascii="Times New Roman" w:hAnsi="Times New Roman" w:cs="Times New Roman"/>
        </w:rPr>
      </w:pPr>
    </w:p>
    <w:p w14:paraId="37FC612C" w14:textId="1D2F719E" w:rsidR="002430CD" w:rsidRPr="00451C05" w:rsidRDefault="002430CD" w:rsidP="0027156D">
      <w:pPr>
        <w:rPr>
          <w:rFonts w:ascii="Times New Roman" w:hAnsi="Times New Roman" w:cs="Times New Roman"/>
        </w:rPr>
      </w:pPr>
    </w:p>
    <w:p w14:paraId="74817E1B" w14:textId="2E4A2AF6" w:rsidR="009223A5" w:rsidRPr="00451C05" w:rsidRDefault="009223A5" w:rsidP="0027156D">
      <w:pPr>
        <w:rPr>
          <w:rFonts w:ascii="Times New Roman" w:hAnsi="Times New Roman" w:cs="Times New Roman"/>
          <w:i/>
          <w:iCs/>
          <w:u w:val="single"/>
        </w:rPr>
      </w:pPr>
    </w:p>
    <w:p w14:paraId="1690F44A" w14:textId="15A5EB23" w:rsidR="00244E06" w:rsidRDefault="00244E06">
      <w:pPr>
        <w:rPr>
          <w:rFonts w:ascii="Times New Roman" w:hAnsi="Times New Roman" w:cs="Times New Roman"/>
        </w:rPr>
      </w:pPr>
    </w:p>
    <w:p w14:paraId="2E3B3C3C" w14:textId="4A8CA0AE" w:rsidR="0027156D" w:rsidRDefault="0027156D">
      <w:pPr>
        <w:rPr>
          <w:rFonts w:ascii="Times New Roman" w:hAnsi="Times New Roman" w:cs="Times New Roman"/>
        </w:rPr>
      </w:pPr>
    </w:p>
    <w:p w14:paraId="3531F5D2" w14:textId="77777777" w:rsidR="001B5364" w:rsidRDefault="001B5364">
      <w:pPr>
        <w:rPr>
          <w:rFonts w:ascii="Times New Roman" w:hAnsi="Times New Roman" w:cs="Times New Roman"/>
        </w:rPr>
      </w:pPr>
    </w:p>
    <w:p w14:paraId="58B04318" w14:textId="77777777" w:rsidR="001B5364" w:rsidRDefault="001B5364">
      <w:pPr>
        <w:rPr>
          <w:rFonts w:ascii="Times New Roman" w:hAnsi="Times New Roman" w:cs="Times New Roman"/>
        </w:rPr>
      </w:pPr>
    </w:p>
    <w:p w14:paraId="7D0AC655" w14:textId="77777777" w:rsidR="001B5364" w:rsidRDefault="001B5364">
      <w:pPr>
        <w:rPr>
          <w:rFonts w:ascii="Times New Roman" w:hAnsi="Times New Roman" w:cs="Times New Roman"/>
        </w:rPr>
      </w:pPr>
    </w:p>
    <w:p w14:paraId="2167AA2F" w14:textId="77777777" w:rsidR="001B5364" w:rsidRPr="00451C05" w:rsidRDefault="001B5364">
      <w:pPr>
        <w:rPr>
          <w:rFonts w:ascii="Times New Roman" w:hAnsi="Times New Roman" w:cs="Times New Roman"/>
        </w:rPr>
      </w:pPr>
    </w:p>
    <w:sectPr w:rsidR="001B5364" w:rsidRPr="00451C05" w:rsidSect="00C61D2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ragati Abhyankar" w:date="2025-09-23T16:09:00Z" w:initials="PA">
    <w:p w14:paraId="7024BC23" w14:textId="463D7EE9" w:rsidR="00B93F02" w:rsidRDefault="00B93F02">
      <w:pPr>
        <w:pStyle w:val="CommentText"/>
      </w:pPr>
      <w:r>
        <w:rPr>
          <w:rStyle w:val="CommentReference"/>
        </w:rPr>
        <w:annotationRef/>
      </w:r>
      <w:r>
        <w:t>italics</w:t>
      </w:r>
    </w:p>
  </w:comment>
  <w:comment w:id="1" w:author="Pragati Abhyankar" w:date="2025-09-24T12:13:00Z" w:initials="PA">
    <w:p w14:paraId="6FBA2EA5" w14:textId="1A481A41" w:rsidR="00EB58CB" w:rsidRDefault="00EB58CB">
      <w:pPr>
        <w:pStyle w:val="CommentText"/>
      </w:pPr>
      <w:r>
        <w:rPr>
          <w:rStyle w:val="CommentReference"/>
        </w:rPr>
        <w:annotationRef/>
      </w:r>
      <w:r>
        <w:t>delete</w:t>
      </w:r>
    </w:p>
  </w:comment>
  <w:comment w:id="2" w:author="Pragati Abhyankar" w:date="2025-09-24T12:16:00Z" w:initials="PA">
    <w:p w14:paraId="79C79754" w14:textId="3206334C" w:rsidR="00EB58CB" w:rsidRDefault="00EB58CB">
      <w:pPr>
        <w:pStyle w:val="CommentText"/>
      </w:pPr>
      <w:r>
        <w:rPr>
          <w:rStyle w:val="CommentReference"/>
        </w:rPr>
        <w:annotationRef/>
      </w:r>
      <w:r>
        <w:t>delete</w:t>
      </w:r>
    </w:p>
  </w:comment>
  <w:comment w:id="3" w:author="Pragati Abhyankar" w:date="2025-09-24T12:18:00Z" w:initials="PA">
    <w:p w14:paraId="4EB1CD2A" w14:textId="0531DDC2" w:rsidR="00027934" w:rsidRDefault="00027934">
      <w:pPr>
        <w:pStyle w:val="CommentText"/>
      </w:pPr>
      <w:r>
        <w:rPr>
          <w:rStyle w:val="CommentReference"/>
        </w:rPr>
        <w:annotationRef/>
      </w:r>
      <w:r>
        <w:t>have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24BC23" w15:done="0"/>
  <w15:commentEx w15:paraId="6FBA2EA5" w15:done="0"/>
  <w15:commentEx w15:paraId="79C79754" w15:done="0"/>
  <w15:commentEx w15:paraId="4EB1CD2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64C099" w16cex:dateUtc="2025-09-23T10:39:00Z"/>
  <w16cex:commentExtensible w16cex:durableId="51783CF2" w16cex:dateUtc="2025-09-24T06:43:00Z"/>
  <w16cex:commentExtensible w16cex:durableId="7CEA9788" w16cex:dateUtc="2025-09-24T06:46:00Z"/>
  <w16cex:commentExtensible w16cex:durableId="27A804BF" w16cex:dateUtc="2025-09-24T0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24BC23" w16cid:durableId="3464C099"/>
  <w16cid:commentId w16cid:paraId="6FBA2EA5" w16cid:durableId="51783CF2"/>
  <w16cid:commentId w16cid:paraId="79C79754" w16cid:durableId="7CEA9788"/>
  <w16cid:commentId w16cid:paraId="4EB1CD2A" w16cid:durableId="27A804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FB2E0" w14:textId="77777777" w:rsidR="00AF0AA1" w:rsidRDefault="00AF0AA1" w:rsidP="00C61D2B">
      <w:pPr>
        <w:spacing w:after="0" w:line="240" w:lineRule="auto"/>
      </w:pPr>
      <w:r>
        <w:separator/>
      </w:r>
    </w:p>
  </w:endnote>
  <w:endnote w:type="continuationSeparator" w:id="0">
    <w:p w14:paraId="1AFA7EF0" w14:textId="77777777" w:rsidR="00AF0AA1" w:rsidRDefault="00AF0AA1" w:rsidP="00C61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768DF" w14:textId="77777777" w:rsidR="00925D74" w:rsidRDefault="00925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39DAB" w14:textId="77777777" w:rsidR="00925D74" w:rsidRDefault="00925D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3E899" w14:textId="77777777" w:rsidR="00925D74" w:rsidRDefault="00925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69DCE" w14:textId="77777777" w:rsidR="00AF0AA1" w:rsidRDefault="00AF0AA1" w:rsidP="00C61D2B">
      <w:pPr>
        <w:spacing w:after="0" w:line="240" w:lineRule="auto"/>
      </w:pPr>
      <w:r>
        <w:separator/>
      </w:r>
    </w:p>
  </w:footnote>
  <w:footnote w:type="continuationSeparator" w:id="0">
    <w:p w14:paraId="2E6A50DD" w14:textId="77777777" w:rsidR="00AF0AA1" w:rsidRDefault="00AF0AA1" w:rsidP="00C61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2EE5" w14:textId="5437FBC4" w:rsidR="00925D74" w:rsidRDefault="00000000">
    <w:pPr>
      <w:pStyle w:val="Header"/>
    </w:pPr>
    <w:r>
      <w:rPr>
        <w:noProof/>
      </w:rPr>
      <w:pict w14:anchorId="4EC0C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5"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3BC68" w14:textId="354DA265" w:rsidR="00925D74" w:rsidRDefault="00000000">
    <w:pPr>
      <w:pStyle w:val="Header"/>
    </w:pPr>
    <w:r>
      <w:rPr>
        <w:noProof/>
      </w:rPr>
      <w:pict w14:anchorId="2C1ED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6"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A1FFC" w14:textId="194F69AB" w:rsidR="00925D74" w:rsidRDefault="00000000">
    <w:pPr>
      <w:pStyle w:val="Header"/>
    </w:pPr>
    <w:r>
      <w:rPr>
        <w:noProof/>
      </w:rPr>
      <w:pict w14:anchorId="72D2B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524234"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24258"/>
    <w:multiLevelType w:val="multilevel"/>
    <w:tmpl w:val="B380C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F3506"/>
    <w:multiLevelType w:val="multilevel"/>
    <w:tmpl w:val="E028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242A14"/>
    <w:multiLevelType w:val="multilevel"/>
    <w:tmpl w:val="D80CB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C14A6"/>
    <w:multiLevelType w:val="multilevel"/>
    <w:tmpl w:val="CDFE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ED4C1C"/>
    <w:multiLevelType w:val="multilevel"/>
    <w:tmpl w:val="403EF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55F44"/>
    <w:multiLevelType w:val="multilevel"/>
    <w:tmpl w:val="1AF453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D9038D"/>
    <w:multiLevelType w:val="hybridMultilevel"/>
    <w:tmpl w:val="D648FF84"/>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F92C5F"/>
    <w:multiLevelType w:val="multilevel"/>
    <w:tmpl w:val="E05CD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8436A9"/>
    <w:multiLevelType w:val="multilevel"/>
    <w:tmpl w:val="80F00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C120BF"/>
    <w:multiLevelType w:val="multilevel"/>
    <w:tmpl w:val="D060A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E154573"/>
    <w:multiLevelType w:val="hybridMultilevel"/>
    <w:tmpl w:val="FA5AEEF4"/>
    <w:lvl w:ilvl="0" w:tplc="1C8C8472">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8238091">
    <w:abstractNumId w:val="5"/>
  </w:num>
  <w:num w:numId="2" w16cid:durableId="896863310">
    <w:abstractNumId w:val="0"/>
  </w:num>
  <w:num w:numId="3" w16cid:durableId="1827939309">
    <w:abstractNumId w:val="9"/>
  </w:num>
  <w:num w:numId="4" w16cid:durableId="1549800740">
    <w:abstractNumId w:val="2"/>
  </w:num>
  <w:num w:numId="5" w16cid:durableId="2109353408">
    <w:abstractNumId w:val="1"/>
  </w:num>
  <w:num w:numId="6" w16cid:durableId="2083525470">
    <w:abstractNumId w:val="7"/>
  </w:num>
  <w:num w:numId="7" w16cid:durableId="663358198">
    <w:abstractNumId w:val="3"/>
  </w:num>
  <w:num w:numId="8" w16cid:durableId="1436360179">
    <w:abstractNumId w:val="6"/>
  </w:num>
  <w:num w:numId="9" w16cid:durableId="1150053247">
    <w:abstractNumId w:val="4"/>
  </w:num>
  <w:num w:numId="10" w16cid:durableId="982849109">
    <w:abstractNumId w:val="8"/>
  </w:num>
  <w:num w:numId="11" w16cid:durableId="197147706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ragati Abhyankar">
    <w15:presenceInfo w15:providerId="Windows Live" w15:userId="f522a16bb228b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wMjU1MDYzNjQ3NzJV0lEKTi0uzszPAykwrAUA38hI3CwAAAA="/>
  </w:docVars>
  <w:rsids>
    <w:rsidRoot w:val="00DD3D02"/>
    <w:rsid w:val="00027934"/>
    <w:rsid w:val="0003251C"/>
    <w:rsid w:val="00061C44"/>
    <w:rsid w:val="000B37CF"/>
    <w:rsid w:val="000E2698"/>
    <w:rsid w:val="000F36C6"/>
    <w:rsid w:val="00103449"/>
    <w:rsid w:val="00116EA5"/>
    <w:rsid w:val="00137461"/>
    <w:rsid w:val="0017006E"/>
    <w:rsid w:val="001706A8"/>
    <w:rsid w:val="00180460"/>
    <w:rsid w:val="00180FB9"/>
    <w:rsid w:val="001B5364"/>
    <w:rsid w:val="001C29F5"/>
    <w:rsid w:val="001E2555"/>
    <w:rsid w:val="001F7B3D"/>
    <w:rsid w:val="002416BC"/>
    <w:rsid w:val="002430CD"/>
    <w:rsid w:val="00244E06"/>
    <w:rsid w:val="00247E25"/>
    <w:rsid w:val="0027156D"/>
    <w:rsid w:val="002B4E05"/>
    <w:rsid w:val="002D0292"/>
    <w:rsid w:val="002D74D4"/>
    <w:rsid w:val="002E243A"/>
    <w:rsid w:val="002F61EA"/>
    <w:rsid w:val="0030472D"/>
    <w:rsid w:val="00305D81"/>
    <w:rsid w:val="003075A2"/>
    <w:rsid w:val="0036004F"/>
    <w:rsid w:val="003B59CF"/>
    <w:rsid w:val="003B7664"/>
    <w:rsid w:val="003D6344"/>
    <w:rsid w:val="003E0F02"/>
    <w:rsid w:val="004361C7"/>
    <w:rsid w:val="00441A1B"/>
    <w:rsid w:val="00450FDE"/>
    <w:rsid w:val="00451C05"/>
    <w:rsid w:val="00461128"/>
    <w:rsid w:val="00461752"/>
    <w:rsid w:val="00465D2B"/>
    <w:rsid w:val="00473146"/>
    <w:rsid w:val="004970FF"/>
    <w:rsid w:val="004A2C36"/>
    <w:rsid w:val="004A37A0"/>
    <w:rsid w:val="004D22A6"/>
    <w:rsid w:val="004F4981"/>
    <w:rsid w:val="00525AFE"/>
    <w:rsid w:val="005327A4"/>
    <w:rsid w:val="00532BBF"/>
    <w:rsid w:val="00585BAE"/>
    <w:rsid w:val="005A1620"/>
    <w:rsid w:val="005B3549"/>
    <w:rsid w:val="005B4A76"/>
    <w:rsid w:val="005C690D"/>
    <w:rsid w:val="0062181F"/>
    <w:rsid w:val="00635328"/>
    <w:rsid w:val="00667AE1"/>
    <w:rsid w:val="0067602D"/>
    <w:rsid w:val="00684A05"/>
    <w:rsid w:val="00697718"/>
    <w:rsid w:val="006D3EEC"/>
    <w:rsid w:val="006F03A1"/>
    <w:rsid w:val="00767A6B"/>
    <w:rsid w:val="00773FE2"/>
    <w:rsid w:val="0077466D"/>
    <w:rsid w:val="00785D48"/>
    <w:rsid w:val="007D0CE6"/>
    <w:rsid w:val="00816610"/>
    <w:rsid w:val="00854B9D"/>
    <w:rsid w:val="008555A1"/>
    <w:rsid w:val="00881FB1"/>
    <w:rsid w:val="008E6696"/>
    <w:rsid w:val="008F30D5"/>
    <w:rsid w:val="009223A5"/>
    <w:rsid w:val="009249CC"/>
    <w:rsid w:val="00925D74"/>
    <w:rsid w:val="0096193E"/>
    <w:rsid w:val="009C48C3"/>
    <w:rsid w:val="009E74E0"/>
    <w:rsid w:val="00A46EA4"/>
    <w:rsid w:val="00AB2B57"/>
    <w:rsid w:val="00AB58E8"/>
    <w:rsid w:val="00AD4597"/>
    <w:rsid w:val="00AE400D"/>
    <w:rsid w:val="00AF0AA1"/>
    <w:rsid w:val="00AF1175"/>
    <w:rsid w:val="00AF13A4"/>
    <w:rsid w:val="00B079E9"/>
    <w:rsid w:val="00B11C04"/>
    <w:rsid w:val="00B62602"/>
    <w:rsid w:val="00B657CB"/>
    <w:rsid w:val="00B921E8"/>
    <w:rsid w:val="00B93F02"/>
    <w:rsid w:val="00BA7D3A"/>
    <w:rsid w:val="00C16A46"/>
    <w:rsid w:val="00C20948"/>
    <w:rsid w:val="00C43421"/>
    <w:rsid w:val="00C471CE"/>
    <w:rsid w:val="00C61D2B"/>
    <w:rsid w:val="00C62975"/>
    <w:rsid w:val="00C972DF"/>
    <w:rsid w:val="00CA2B18"/>
    <w:rsid w:val="00CA56EA"/>
    <w:rsid w:val="00CB2539"/>
    <w:rsid w:val="00CC6701"/>
    <w:rsid w:val="00D1667A"/>
    <w:rsid w:val="00D45DE5"/>
    <w:rsid w:val="00D63330"/>
    <w:rsid w:val="00D86E5A"/>
    <w:rsid w:val="00D87BD0"/>
    <w:rsid w:val="00DC7E2A"/>
    <w:rsid w:val="00DD3D02"/>
    <w:rsid w:val="00DF6E06"/>
    <w:rsid w:val="00E05C26"/>
    <w:rsid w:val="00E20FF7"/>
    <w:rsid w:val="00E2127C"/>
    <w:rsid w:val="00E244C8"/>
    <w:rsid w:val="00E34C82"/>
    <w:rsid w:val="00E36117"/>
    <w:rsid w:val="00EA0284"/>
    <w:rsid w:val="00EA0DEA"/>
    <w:rsid w:val="00EB4533"/>
    <w:rsid w:val="00EB58CB"/>
    <w:rsid w:val="00EE6A5E"/>
    <w:rsid w:val="00F06FA2"/>
    <w:rsid w:val="00FB4B3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8DEA06"/>
  <w15:docId w15:val="{6406D9FB-D4DE-4225-A54A-88227DB1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460"/>
  </w:style>
  <w:style w:type="paragraph" w:styleId="Heading1">
    <w:name w:val="heading 1"/>
    <w:basedOn w:val="Normal"/>
    <w:next w:val="Normal"/>
    <w:link w:val="Heading1Char"/>
    <w:uiPriority w:val="9"/>
    <w:qFormat/>
    <w:rsid w:val="00DD3D0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D3D0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D3D0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D3D0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D3D0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D3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D0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3D0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3D0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D3D0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D3D0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D3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D02"/>
    <w:rPr>
      <w:rFonts w:eastAsiaTheme="majorEastAsia" w:cstheme="majorBidi"/>
      <w:color w:val="272727" w:themeColor="text1" w:themeTint="D8"/>
    </w:rPr>
  </w:style>
  <w:style w:type="paragraph" w:styleId="Title">
    <w:name w:val="Title"/>
    <w:basedOn w:val="Normal"/>
    <w:next w:val="Normal"/>
    <w:link w:val="TitleChar"/>
    <w:uiPriority w:val="10"/>
    <w:qFormat/>
    <w:rsid w:val="00DD3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D02"/>
    <w:pPr>
      <w:spacing w:before="160"/>
      <w:jc w:val="center"/>
    </w:pPr>
    <w:rPr>
      <w:i/>
      <w:iCs/>
      <w:color w:val="404040" w:themeColor="text1" w:themeTint="BF"/>
    </w:rPr>
  </w:style>
  <w:style w:type="character" w:customStyle="1" w:styleId="QuoteChar">
    <w:name w:val="Quote Char"/>
    <w:basedOn w:val="DefaultParagraphFont"/>
    <w:link w:val="Quote"/>
    <w:uiPriority w:val="29"/>
    <w:rsid w:val="00DD3D02"/>
    <w:rPr>
      <w:i/>
      <w:iCs/>
      <w:color w:val="404040" w:themeColor="text1" w:themeTint="BF"/>
    </w:rPr>
  </w:style>
  <w:style w:type="paragraph" w:styleId="ListParagraph">
    <w:name w:val="List Paragraph"/>
    <w:basedOn w:val="Normal"/>
    <w:uiPriority w:val="34"/>
    <w:qFormat/>
    <w:rsid w:val="00DD3D02"/>
    <w:pPr>
      <w:ind w:left="720"/>
      <w:contextualSpacing/>
    </w:pPr>
  </w:style>
  <w:style w:type="character" w:styleId="IntenseEmphasis">
    <w:name w:val="Intense Emphasis"/>
    <w:basedOn w:val="DefaultParagraphFont"/>
    <w:uiPriority w:val="21"/>
    <w:qFormat/>
    <w:rsid w:val="00DD3D02"/>
    <w:rPr>
      <w:i/>
      <w:iCs/>
      <w:color w:val="2F5496" w:themeColor="accent1" w:themeShade="BF"/>
    </w:rPr>
  </w:style>
  <w:style w:type="paragraph" w:styleId="IntenseQuote">
    <w:name w:val="Intense Quote"/>
    <w:basedOn w:val="Normal"/>
    <w:next w:val="Normal"/>
    <w:link w:val="IntenseQuoteChar"/>
    <w:uiPriority w:val="30"/>
    <w:qFormat/>
    <w:rsid w:val="00DD3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D3D02"/>
    <w:rPr>
      <w:i/>
      <w:iCs/>
      <w:color w:val="2F5496" w:themeColor="accent1" w:themeShade="BF"/>
    </w:rPr>
  </w:style>
  <w:style w:type="character" w:styleId="IntenseReference">
    <w:name w:val="Intense Reference"/>
    <w:basedOn w:val="DefaultParagraphFont"/>
    <w:uiPriority w:val="32"/>
    <w:qFormat/>
    <w:rsid w:val="00DD3D02"/>
    <w:rPr>
      <w:b/>
      <w:bCs/>
      <w:smallCaps/>
      <w:color w:val="2F5496" w:themeColor="accent1" w:themeShade="BF"/>
      <w:spacing w:val="5"/>
    </w:rPr>
  </w:style>
  <w:style w:type="character" w:styleId="Hyperlink">
    <w:name w:val="Hyperlink"/>
    <w:basedOn w:val="DefaultParagraphFont"/>
    <w:uiPriority w:val="99"/>
    <w:unhideWhenUsed/>
    <w:rsid w:val="00DD3D02"/>
    <w:rPr>
      <w:color w:val="0563C1" w:themeColor="hyperlink"/>
      <w:u w:val="single"/>
    </w:rPr>
  </w:style>
  <w:style w:type="character" w:customStyle="1" w:styleId="UnresolvedMention1">
    <w:name w:val="Unresolved Mention1"/>
    <w:basedOn w:val="DefaultParagraphFont"/>
    <w:uiPriority w:val="99"/>
    <w:semiHidden/>
    <w:unhideWhenUsed/>
    <w:rsid w:val="00DD3D02"/>
    <w:rPr>
      <w:color w:val="605E5C"/>
      <w:shd w:val="clear" w:color="auto" w:fill="E1DFDD"/>
    </w:rPr>
  </w:style>
  <w:style w:type="table" w:styleId="TableGrid">
    <w:name w:val="Table Grid"/>
    <w:basedOn w:val="TableNormal"/>
    <w:uiPriority w:val="39"/>
    <w:rsid w:val="009223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1D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1D2B"/>
  </w:style>
  <w:style w:type="paragraph" w:styleId="Footer">
    <w:name w:val="footer"/>
    <w:basedOn w:val="Normal"/>
    <w:link w:val="FooterChar"/>
    <w:uiPriority w:val="99"/>
    <w:unhideWhenUsed/>
    <w:rsid w:val="00C61D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1D2B"/>
  </w:style>
  <w:style w:type="paragraph" w:styleId="BalloonText">
    <w:name w:val="Balloon Text"/>
    <w:basedOn w:val="Normal"/>
    <w:link w:val="BalloonTextChar"/>
    <w:uiPriority w:val="99"/>
    <w:semiHidden/>
    <w:unhideWhenUsed/>
    <w:rsid w:val="00C61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1D2B"/>
    <w:rPr>
      <w:rFonts w:ascii="Tahoma" w:hAnsi="Tahoma" w:cs="Tahoma"/>
      <w:sz w:val="16"/>
      <w:szCs w:val="16"/>
    </w:rPr>
  </w:style>
  <w:style w:type="character" w:customStyle="1" w:styleId="UnresolvedMention2">
    <w:name w:val="Unresolved Mention2"/>
    <w:basedOn w:val="DefaultParagraphFont"/>
    <w:uiPriority w:val="99"/>
    <w:semiHidden/>
    <w:unhideWhenUsed/>
    <w:rsid w:val="0096193E"/>
    <w:rPr>
      <w:color w:val="605E5C"/>
      <w:shd w:val="clear" w:color="auto" w:fill="E1DFDD"/>
    </w:rPr>
  </w:style>
  <w:style w:type="character" w:styleId="FollowedHyperlink">
    <w:name w:val="FollowedHyperlink"/>
    <w:basedOn w:val="DefaultParagraphFont"/>
    <w:uiPriority w:val="99"/>
    <w:semiHidden/>
    <w:unhideWhenUsed/>
    <w:rsid w:val="00137461"/>
    <w:rPr>
      <w:color w:val="954F72" w:themeColor="followedHyperlink"/>
      <w:u w:val="single"/>
    </w:rPr>
  </w:style>
  <w:style w:type="character" w:styleId="UnresolvedMention">
    <w:name w:val="Unresolved Mention"/>
    <w:basedOn w:val="DefaultParagraphFont"/>
    <w:uiPriority w:val="99"/>
    <w:semiHidden/>
    <w:unhideWhenUsed/>
    <w:rsid w:val="00585BAE"/>
    <w:rPr>
      <w:color w:val="605E5C"/>
      <w:shd w:val="clear" w:color="auto" w:fill="E1DFDD"/>
    </w:rPr>
  </w:style>
  <w:style w:type="character" w:styleId="CommentReference">
    <w:name w:val="annotation reference"/>
    <w:basedOn w:val="DefaultParagraphFont"/>
    <w:uiPriority w:val="99"/>
    <w:semiHidden/>
    <w:unhideWhenUsed/>
    <w:rsid w:val="00B93F02"/>
    <w:rPr>
      <w:sz w:val="16"/>
      <w:szCs w:val="16"/>
    </w:rPr>
  </w:style>
  <w:style w:type="paragraph" w:styleId="CommentText">
    <w:name w:val="annotation text"/>
    <w:basedOn w:val="Normal"/>
    <w:link w:val="CommentTextChar"/>
    <w:uiPriority w:val="99"/>
    <w:semiHidden/>
    <w:unhideWhenUsed/>
    <w:rsid w:val="00B93F02"/>
    <w:pPr>
      <w:spacing w:line="240" w:lineRule="auto"/>
    </w:pPr>
    <w:rPr>
      <w:sz w:val="20"/>
      <w:szCs w:val="20"/>
    </w:rPr>
  </w:style>
  <w:style w:type="character" w:customStyle="1" w:styleId="CommentTextChar">
    <w:name w:val="Comment Text Char"/>
    <w:basedOn w:val="DefaultParagraphFont"/>
    <w:link w:val="CommentText"/>
    <w:uiPriority w:val="99"/>
    <w:semiHidden/>
    <w:rsid w:val="00B93F02"/>
    <w:rPr>
      <w:sz w:val="20"/>
      <w:szCs w:val="20"/>
    </w:rPr>
  </w:style>
  <w:style w:type="paragraph" w:styleId="CommentSubject">
    <w:name w:val="annotation subject"/>
    <w:basedOn w:val="CommentText"/>
    <w:next w:val="CommentText"/>
    <w:link w:val="CommentSubjectChar"/>
    <w:uiPriority w:val="99"/>
    <w:semiHidden/>
    <w:unhideWhenUsed/>
    <w:rsid w:val="00B93F02"/>
    <w:rPr>
      <w:b/>
      <w:bCs/>
    </w:rPr>
  </w:style>
  <w:style w:type="character" w:customStyle="1" w:styleId="CommentSubjectChar">
    <w:name w:val="Comment Subject Char"/>
    <w:basedOn w:val="CommentTextChar"/>
    <w:link w:val="CommentSubject"/>
    <w:uiPriority w:val="99"/>
    <w:semiHidden/>
    <w:rsid w:val="00B93F0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chart" Target="charts/chart2.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agritech.tnau.ac.in/org_farm/orgfarm_faq's_bioferti.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hyperlink" Target="https://doi.org/10.1007/978-981-15-3151-4_11"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chart" Target="charts/chart4.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agritech.tnau.ac.in/org_farm/orgfarm_faq's_bioferti.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agritech.tnau.ac.in/org_farm/orgfarm_faq's_bioferti.html"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chart" Target="charts/chart3.xm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yperlink" Target="https://yadda.icm.edu.pl/baztech/element/bwmeta1.element.baztech-b2565513-13d5-440a-88ee%208280cde6d576/c/48_piotrowska_analysis_ROS_2021.pdf"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Sheet1!$B$46</c:f>
              <c:strCache>
                <c:ptCount val="1"/>
                <c:pt idx="0">
                  <c:v>HIGHEST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Sheet1!$B$47:$B$56</c:f>
              <c:numCache>
                <c:formatCode>General</c:formatCode>
                <c:ptCount val="10"/>
                <c:pt idx="7">
                  <c:v>43.08</c:v>
                </c:pt>
              </c:numCache>
            </c:numRef>
          </c:val>
          <c:extLst>
            <c:ext xmlns:c16="http://schemas.microsoft.com/office/drawing/2014/chart" uri="{C3380CC4-5D6E-409C-BE32-E72D297353CC}">
              <c16:uniqueId val="{00000000-26DF-42DE-988C-9C1D2779EF42}"/>
            </c:ext>
          </c:extLst>
        </c:ser>
        <c:ser>
          <c:idx val="1"/>
          <c:order val="1"/>
          <c:tx>
            <c:strRef>
              <c:f>Sheet1!$C$46</c:f>
              <c:strCache>
                <c:ptCount val="1"/>
                <c:pt idx="0">
                  <c:v>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Sheet1!$C$47:$C$56</c:f>
              <c:numCache>
                <c:formatCode>General</c:formatCode>
                <c:ptCount val="10"/>
                <c:pt idx="0">
                  <c:v>36.51</c:v>
                </c:pt>
                <c:pt idx="1">
                  <c:v>38.479999999999997</c:v>
                </c:pt>
                <c:pt idx="2">
                  <c:v>39.479999999999997</c:v>
                </c:pt>
                <c:pt idx="5">
                  <c:v>37.94</c:v>
                </c:pt>
                <c:pt idx="8">
                  <c:v>40.18</c:v>
                </c:pt>
                <c:pt idx="9">
                  <c:v>37.479999999999997</c:v>
                </c:pt>
              </c:numCache>
            </c:numRef>
          </c:val>
          <c:extLst>
            <c:ext xmlns:c16="http://schemas.microsoft.com/office/drawing/2014/chart" uri="{C3380CC4-5D6E-409C-BE32-E72D297353CC}">
              <c16:uniqueId val="{00000001-26DF-42DE-988C-9C1D2779EF42}"/>
            </c:ext>
          </c:extLst>
        </c:ser>
        <c:ser>
          <c:idx val="2"/>
          <c:order val="2"/>
          <c:tx>
            <c:strRef>
              <c:f>Sheet1!$D$46</c:f>
              <c:strCache>
                <c:ptCount val="1"/>
                <c:pt idx="0">
                  <c:v>NON SIGNIFICANT</c:v>
                </c:pt>
              </c:strCache>
            </c:strRef>
          </c:tx>
          <c:invertIfNegative val="0"/>
          <c:cat>
            <c:strRef>
              <c:f>Sheet1!$A$47:$A$56</c:f>
              <c:strCache>
                <c:ptCount val="10"/>
                <c:pt idx="0">
                  <c:v>T1</c:v>
                </c:pt>
                <c:pt idx="1">
                  <c:v>T2</c:v>
                </c:pt>
                <c:pt idx="2">
                  <c:v>T3</c:v>
                </c:pt>
                <c:pt idx="3">
                  <c:v>T4</c:v>
                </c:pt>
                <c:pt idx="4">
                  <c:v>T5</c:v>
                </c:pt>
                <c:pt idx="5">
                  <c:v>T6</c:v>
                </c:pt>
                <c:pt idx="6">
                  <c:v>T7</c:v>
                </c:pt>
                <c:pt idx="7">
                  <c:v>T8</c:v>
                </c:pt>
                <c:pt idx="8">
                  <c:v>T9</c:v>
                </c:pt>
                <c:pt idx="9">
                  <c:v>T10</c:v>
                </c:pt>
              </c:strCache>
            </c:strRef>
          </c:cat>
          <c:val>
            <c:numRef>
              <c:f>Sheet1!$D$47:$D$56</c:f>
              <c:numCache>
                <c:formatCode>General</c:formatCode>
                <c:ptCount val="10"/>
                <c:pt idx="3">
                  <c:v>41.45</c:v>
                </c:pt>
                <c:pt idx="4">
                  <c:v>42.18</c:v>
                </c:pt>
                <c:pt idx="6">
                  <c:v>42.48</c:v>
                </c:pt>
              </c:numCache>
            </c:numRef>
          </c:val>
          <c:extLst>
            <c:ext xmlns:c16="http://schemas.microsoft.com/office/drawing/2014/chart" uri="{C3380CC4-5D6E-409C-BE32-E72D297353CC}">
              <c16:uniqueId val="{00000002-26DF-42DE-988C-9C1D2779EF42}"/>
            </c:ext>
          </c:extLst>
        </c:ser>
        <c:dLbls>
          <c:showLegendKey val="0"/>
          <c:showVal val="0"/>
          <c:showCatName val="0"/>
          <c:showSerName val="0"/>
          <c:showPercent val="0"/>
          <c:showBubbleSize val="0"/>
        </c:dLbls>
        <c:gapWidth val="300"/>
        <c:shape val="box"/>
        <c:axId val="218385792"/>
        <c:axId val="218392064"/>
        <c:axId val="0"/>
      </c:bar3DChart>
      <c:catAx>
        <c:axId val="218385792"/>
        <c:scaling>
          <c:orientation val="minMax"/>
        </c:scaling>
        <c:delete val="0"/>
        <c:axPos val="b"/>
        <c:title>
          <c:tx>
            <c:rich>
              <a:bodyPr/>
              <a:lstStyle/>
              <a:p>
                <a:pPr>
                  <a:defRPr/>
                </a:pPr>
                <a:r>
                  <a:rPr lang="en-IN" sz="800"/>
                  <a:t>TREATMENTS</a:t>
                </a:r>
              </a:p>
            </c:rich>
          </c:tx>
          <c:overlay val="0"/>
        </c:title>
        <c:numFmt formatCode="General" sourceLinked="0"/>
        <c:majorTickMark val="none"/>
        <c:minorTickMark val="none"/>
        <c:tickLblPos val="nextTo"/>
        <c:crossAx val="218392064"/>
        <c:crosses val="autoZero"/>
        <c:auto val="1"/>
        <c:lblAlgn val="ctr"/>
        <c:lblOffset val="100"/>
        <c:noMultiLvlLbl val="0"/>
      </c:catAx>
      <c:valAx>
        <c:axId val="218392064"/>
        <c:scaling>
          <c:orientation val="minMax"/>
        </c:scaling>
        <c:delete val="0"/>
        <c:axPos val="l"/>
        <c:majorGridlines/>
        <c:minorGridlines/>
        <c:title>
          <c:tx>
            <c:rich>
              <a:bodyPr/>
              <a:lstStyle/>
              <a:p>
                <a:pPr>
                  <a:defRPr/>
                </a:pPr>
                <a:r>
                  <a:rPr lang="en-IN" sz="800"/>
                  <a:t>PLANT</a:t>
                </a:r>
                <a:r>
                  <a:rPr lang="en-IN" sz="800" baseline="0"/>
                  <a:t> HEIGHT AT 30 DAS</a:t>
                </a:r>
                <a:endParaRPr lang="en-IN" sz="800"/>
              </a:p>
            </c:rich>
          </c:tx>
          <c:overlay val="0"/>
        </c:title>
        <c:numFmt formatCode="General" sourceLinked="1"/>
        <c:majorTickMark val="out"/>
        <c:minorTickMark val="none"/>
        <c:tickLblPos val="nextTo"/>
        <c:crossAx val="218385792"/>
        <c:crosses val="autoZero"/>
        <c:crossBetween val="between"/>
      </c:valAx>
    </c:plotArea>
    <c:legend>
      <c:legendPos val="r"/>
      <c:layout>
        <c:manualLayout>
          <c:xMode val="edge"/>
          <c:yMode val="edge"/>
          <c:x val="0.75748893757618274"/>
          <c:y val="0.33557455865229879"/>
          <c:w val="0.17232948783136307"/>
          <c:h val="0.22151364409751537"/>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408079706951206"/>
          <c:y val="7.0965290412523932E-2"/>
          <c:w val="0.63672951118738097"/>
          <c:h val="0.72691700826584416"/>
        </c:manualLayout>
      </c:layout>
      <c:bar3DChart>
        <c:barDir val="col"/>
        <c:grouping val="clustered"/>
        <c:varyColors val="0"/>
        <c:ser>
          <c:idx val="0"/>
          <c:order val="0"/>
          <c:tx>
            <c:strRef>
              <c:f>Sheet1!$B$155</c:f>
              <c:strCache>
                <c:ptCount val="1"/>
                <c:pt idx="0">
                  <c:v>LOWEST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Sheet1!$B$156:$B$165</c:f>
              <c:numCache>
                <c:formatCode>General</c:formatCode>
                <c:ptCount val="10"/>
                <c:pt idx="7">
                  <c:v>119.5</c:v>
                </c:pt>
              </c:numCache>
            </c:numRef>
          </c:val>
          <c:extLst>
            <c:ext xmlns:c16="http://schemas.microsoft.com/office/drawing/2014/chart" uri="{C3380CC4-5D6E-409C-BE32-E72D297353CC}">
              <c16:uniqueId val="{00000000-B084-4CFF-A110-1711C49810D3}"/>
            </c:ext>
          </c:extLst>
        </c:ser>
        <c:ser>
          <c:idx val="1"/>
          <c:order val="1"/>
          <c:tx>
            <c:strRef>
              <c:f>Sheet1!$C$155</c:f>
              <c:strCache>
                <c:ptCount val="1"/>
                <c:pt idx="0">
                  <c:v>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Sheet1!$C$156:$C$165</c:f>
              <c:numCache>
                <c:formatCode>General</c:formatCode>
                <c:ptCount val="10"/>
              </c:numCache>
            </c:numRef>
          </c:val>
          <c:extLst>
            <c:ext xmlns:c16="http://schemas.microsoft.com/office/drawing/2014/chart" uri="{C3380CC4-5D6E-409C-BE32-E72D297353CC}">
              <c16:uniqueId val="{00000001-B084-4CFF-A110-1711C49810D3}"/>
            </c:ext>
          </c:extLst>
        </c:ser>
        <c:ser>
          <c:idx val="2"/>
          <c:order val="2"/>
          <c:tx>
            <c:strRef>
              <c:f>Sheet1!$D$155</c:f>
              <c:strCache>
                <c:ptCount val="1"/>
                <c:pt idx="0">
                  <c:v>NON SIGNIFICANT</c:v>
                </c:pt>
              </c:strCache>
            </c:strRef>
          </c:tx>
          <c:invertIfNegative val="0"/>
          <c:cat>
            <c:strRef>
              <c:f>Sheet1!$A$156:$A$165</c:f>
              <c:strCache>
                <c:ptCount val="10"/>
                <c:pt idx="0">
                  <c:v>T1</c:v>
                </c:pt>
                <c:pt idx="1">
                  <c:v>T2</c:v>
                </c:pt>
                <c:pt idx="2">
                  <c:v>T3</c:v>
                </c:pt>
                <c:pt idx="3">
                  <c:v>T4</c:v>
                </c:pt>
                <c:pt idx="4">
                  <c:v>T5</c:v>
                </c:pt>
                <c:pt idx="5">
                  <c:v>T6</c:v>
                </c:pt>
                <c:pt idx="6">
                  <c:v>T7</c:v>
                </c:pt>
                <c:pt idx="7">
                  <c:v>T8</c:v>
                </c:pt>
                <c:pt idx="8">
                  <c:v>T9</c:v>
                </c:pt>
                <c:pt idx="9">
                  <c:v>T10</c:v>
                </c:pt>
              </c:strCache>
            </c:strRef>
          </c:cat>
          <c:val>
            <c:numRef>
              <c:f>Sheet1!$D$156:$D$165</c:f>
              <c:numCache>
                <c:formatCode>General</c:formatCode>
                <c:ptCount val="10"/>
                <c:pt idx="0">
                  <c:v>132.33000000000001</c:v>
                </c:pt>
                <c:pt idx="1">
                  <c:v>126.83</c:v>
                </c:pt>
                <c:pt idx="2">
                  <c:v>125.33</c:v>
                </c:pt>
                <c:pt idx="3">
                  <c:v>122.67</c:v>
                </c:pt>
                <c:pt idx="4">
                  <c:v>121.5</c:v>
                </c:pt>
                <c:pt idx="5">
                  <c:v>121.17</c:v>
                </c:pt>
                <c:pt idx="6">
                  <c:v>119.67</c:v>
                </c:pt>
                <c:pt idx="8">
                  <c:v>125.33</c:v>
                </c:pt>
                <c:pt idx="9">
                  <c:v>129.66999999999999</c:v>
                </c:pt>
              </c:numCache>
            </c:numRef>
          </c:val>
          <c:extLst>
            <c:ext xmlns:c16="http://schemas.microsoft.com/office/drawing/2014/chart" uri="{C3380CC4-5D6E-409C-BE32-E72D297353CC}">
              <c16:uniqueId val="{00000002-B084-4CFF-A110-1711C49810D3}"/>
            </c:ext>
          </c:extLst>
        </c:ser>
        <c:dLbls>
          <c:showLegendKey val="0"/>
          <c:showVal val="0"/>
          <c:showCatName val="0"/>
          <c:showSerName val="0"/>
          <c:showPercent val="0"/>
          <c:showBubbleSize val="0"/>
        </c:dLbls>
        <c:gapWidth val="300"/>
        <c:shape val="box"/>
        <c:axId val="140329728"/>
        <c:axId val="140331648"/>
        <c:axId val="0"/>
      </c:bar3DChart>
      <c:catAx>
        <c:axId val="140329728"/>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140331648"/>
        <c:crosses val="autoZero"/>
        <c:auto val="1"/>
        <c:lblAlgn val="ctr"/>
        <c:lblOffset val="100"/>
        <c:noMultiLvlLbl val="0"/>
      </c:catAx>
      <c:valAx>
        <c:axId val="140331648"/>
        <c:scaling>
          <c:orientation val="minMax"/>
        </c:scaling>
        <c:delete val="0"/>
        <c:axPos val="l"/>
        <c:majorGridlines/>
        <c:minorGridlines/>
        <c:title>
          <c:tx>
            <c:rich>
              <a:bodyPr/>
              <a:lstStyle/>
              <a:p>
                <a:pPr>
                  <a:defRPr sz="800"/>
                </a:pPr>
                <a:r>
                  <a:rPr lang="en-IN" sz="800"/>
                  <a:t>DAYS</a:t>
                </a:r>
                <a:r>
                  <a:rPr lang="en-IN" sz="800" baseline="0"/>
                  <a:t> TO MATURITY</a:t>
                </a:r>
                <a:endParaRPr lang="en-IN" sz="800"/>
              </a:p>
            </c:rich>
          </c:tx>
          <c:overlay val="0"/>
        </c:title>
        <c:numFmt formatCode="General" sourceLinked="1"/>
        <c:majorTickMark val="out"/>
        <c:minorTickMark val="none"/>
        <c:tickLblPos val="nextTo"/>
        <c:crossAx val="140329728"/>
        <c:crosses val="autoZero"/>
        <c:crossBetween val="between"/>
      </c:valAx>
    </c:plotArea>
    <c:legend>
      <c:legendPos val="r"/>
      <c:legendEntry>
        <c:idx val="1"/>
        <c:delete val="1"/>
      </c:legendEntry>
      <c:layout>
        <c:manualLayout>
          <c:xMode val="edge"/>
          <c:yMode val="edge"/>
          <c:x val="0.73632474213128873"/>
          <c:y val="0.39991388188724569"/>
          <c:w val="0.2597933239807434"/>
          <c:h val="0.20041346766415952"/>
        </c:manualLayout>
      </c:layout>
      <c:overlay val="0"/>
      <c:txPr>
        <a:bodyPr/>
        <a:lstStyle/>
        <a:p>
          <a:pPr>
            <a:defRPr sz="700"/>
          </a:pPr>
          <a:endParaRPr lang="en-US"/>
        </a:p>
      </c:txPr>
    </c:legend>
    <c:plotVisOnly val="1"/>
    <c:dispBlanksAs val="gap"/>
    <c:showDLblsOverMax val="0"/>
  </c:chart>
  <c:spPr>
    <a:ln>
      <a:noFill/>
    </a:ln>
  </c:sp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rAngAx val="1"/>
    </c:view3D>
    <c:floor>
      <c:thickness val="0"/>
    </c:floor>
    <c:sideWall>
      <c:thickness val="0"/>
    </c:sideWall>
    <c:backWall>
      <c:thickness val="0"/>
    </c:backWall>
    <c:plotArea>
      <c:layout>
        <c:manualLayout>
          <c:layoutTarget val="inner"/>
          <c:xMode val="edge"/>
          <c:yMode val="edge"/>
          <c:x val="0.15018727352221767"/>
          <c:y val="3.5563578147255331E-2"/>
          <c:w val="0.63395559309598937"/>
          <c:h val="0.70448425844462403"/>
        </c:manualLayout>
      </c:layout>
      <c:bar3DChart>
        <c:barDir val="col"/>
        <c:grouping val="clustered"/>
        <c:varyColors val="0"/>
        <c:ser>
          <c:idx val="0"/>
          <c:order val="0"/>
          <c:tx>
            <c:strRef>
              <c:f>Sheet1!$B$141</c:f>
              <c:strCache>
                <c:ptCount val="1"/>
                <c:pt idx="0">
                  <c:v>LOWEST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Sheet1!$B$142:$B$151</c:f>
              <c:numCache>
                <c:formatCode>General</c:formatCode>
                <c:ptCount val="10"/>
                <c:pt idx="6">
                  <c:v>88</c:v>
                </c:pt>
              </c:numCache>
            </c:numRef>
          </c:val>
          <c:extLst>
            <c:ext xmlns:c16="http://schemas.microsoft.com/office/drawing/2014/chart" uri="{C3380CC4-5D6E-409C-BE32-E72D297353CC}">
              <c16:uniqueId val="{00000000-8C66-47F6-A350-82C668B42B14}"/>
            </c:ext>
          </c:extLst>
        </c:ser>
        <c:ser>
          <c:idx val="1"/>
          <c:order val="1"/>
          <c:tx>
            <c:strRef>
              <c:f>Sheet1!$C$141</c:f>
              <c:strCache>
                <c:ptCount val="1"/>
                <c:pt idx="0">
                  <c:v>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Sheet1!$C$142:$C$151</c:f>
              <c:numCache>
                <c:formatCode>General</c:formatCode>
                <c:ptCount val="10"/>
                <c:pt idx="0">
                  <c:v>96</c:v>
                </c:pt>
                <c:pt idx="1">
                  <c:v>92.5</c:v>
                </c:pt>
                <c:pt idx="8">
                  <c:v>92.83</c:v>
                </c:pt>
                <c:pt idx="9">
                  <c:v>94.33</c:v>
                </c:pt>
              </c:numCache>
            </c:numRef>
          </c:val>
          <c:extLst>
            <c:ext xmlns:c16="http://schemas.microsoft.com/office/drawing/2014/chart" uri="{C3380CC4-5D6E-409C-BE32-E72D297353CC}">
              <c16:uniqueId val="{00000001-8C66-47F6-A350-82C668B42B14}"/>
            </c:ext>
          </c:extLst>
        </c:ser>
        <c:ser>
          <c:idx val="2"/>
          <c:order val="2"/>
          <c:tx>
            <c:strRef>
              <c:f>Sheet1!$D$141</c:f>
              <c:strCache>
                <c:ptCount val="1"/>
                <c:pt idx="0">
                  <c:v>NON SIGNIFICANT</c:v>
                </c:pt>
              </c:strCache>
            </c:strRef>
          </c:tx>
          <c:invertIfNegative val="0"/>
          <c:cat>
            <c:strRef>
              <c:f>Sheet1!$A$142:$A$151</c:f>
              <c:strCache>
                <c:ptCount val="10"/>
                <c:pt idx="0">
                  <c:v>T1</c:v>
                </c:pt>
                <c:pt idx="1">
                  <c:v>T2</c:v>
                </c:pt>
                <c:pt idx="2">
                  <c:v>T3</c:v>
                </c:pt>
                <c:pt idx="3">
                  <c:v>T4</c:v>
                </c:pt>
                <c:pt idx="4">
                  <c:v>T5</c:v>
                </c:pt>
                <c:pt idx="5">
                  <c:v>T6</c:v>
                </c:pt>
                <c:pt idx="6">
                  <c:v>T7</c:v>
                </c:pt>
                <c:pt idx="7">
                  <c:v>T8</c:v>
                </c:pt>
                <c:pt idx="8">
                  <c:v>T9</c:v>
                </c:pt>
                <c:pt idx="9">
                  <c:v>T10</c:v>
                </c:pt>
              </c:strCache>
            </c:strRef>
          </c:cat>
          <c:val>
            <c:numRef>
              <c:f>Sheet1!$D$142:$D$151</c:f>
              <c:numCache>
                <c:formatCode>General</c:formatCode>
                <c:ptCount val="10"/>
                <c:pt idx="2">
                  <c:v>90.5</c:v>
                </c:pt>
                <c:pt idx="3">
                  <c:v>89.33</c:v>
                </c:pt>
                <c:pt idx="4">
                  <c:v>88.17</c:v>
                </c:pt>
                <c:pt idx="5">
                  <c:v>89.67</c:v>
                </c:pt>
                <c:pt idx="7">
                  <c:v>89.33</c:v>
                </c:pt>
              </c:numCache>
            </c:numRef>
          </c:val>
          <c:extLst>
            <c:ext xmlns:c16="http://schemas.microsoft.com/office/drawing/2014/chart" uri="{C3380CC4-5D6E-409C-BE32-E72D297353CC}">
              <c16:uniqueId val="{00000002-8C66-47F6-A350-82C668B42B14}"/>
            </c:ext>
          </c:extLst>
        </c:ser>
        <c:dLbls>
          <c:showLegendKey val="0"/>
          <c:showVal val="0"/>
          <c:showCatName val="0"/>
          <c:showSerName val="0"/>
          <c:showPercent val="0"/>
          <c:showBubbleSize val="0"/>
        </c:dLbls>
        <c:gapWidth val="300"/>
        <c:shape val="box"/>
        <c:axId val="218368256"/>
        <c:axId val="218374528"/>
        <c:axId val="0"/>
      </c:bar3DChart>
      <c:catAx>
        <c:axId val="218368256"/>
        <c:scaling>
          <c:orientation val="minMax"/>
        </c:scaling>
        <c:delete val="0"/>
        <c:axPos val="b"/>
        <c:title>
          <c:tx>
            <c:rich>
              <a:bodyPr/>
              <a:lstStyle/>
              <a:p>
                <a:pPr>
                  <a:defRPr sz="800"/>
                </a:pPr>
                <a:r>
                  <a:rPr lang="en-IN" sz="800"/>
                  <a:t>TREATMENTS</a:t>
                </a:r>
              </a:p>
            </c:rich>
          </c:tx>
          <c:overlay val="0"/>
        </c:title>
        <c:numFmt formatCode="General" sourceLinked="0"/>
        <c:majorTickMark val="none"/>
        <c:minorTickMark val="none"/>
        <c:tickLblPos val="nextTo"/>
        <c:crossAx val="218374528"/>
        <c:crosses val="autoZero"/>
        <c:auto val="1"/>
        <c:lblAlgn val="ctr"/>
        <c:lblOffset val="100"/>
        <c:noMultiLvlLbl val="0"/>
      </c:catAx>
      <c:valAx>
        <c:axId val="218374528"/>
        <c:scaling>
          <c:orientation val="minMax"/>
        </c:scaling>
        <c:delete val="0"/>
        <c:axPos val="l"/>
        <c:majorGridlines/>
        <c:minorGridlines/>
        <c:title>
          <c:tx>
            <c:rich>
              <a:bodyPr/>
              <a:lstStyle/>
              <a:p>
                <a:pPr>
                  <a:defRPr sz="800"/>
                </a:pPr>
                <a:r>
                  <a:rPr lang="en-IN" sz="800"/>
                  <a:t>DAYS</a:t>
                </a:r>
                <a:r>
                  <a:rPr lang="en-IN" sz="800" baseline="0"/>
                  <a:t> TO 50% HEADING</a:t>
                </a:r>
                <a:endParaRPr lang="en-IN" sz="800"/>
              </a:p>
            </c:rich>
          </c:tx>
          <c:layout>
            <c:manualLayout>
              <c:xMode val="edge"/>
              <c:yMode val="edge"/>
              <c:x val="2.440839495237327E-2"/>
              <c:y val="0.17769311751848088"/>
            </c:manualLayout>
          </c:layout>
          <c:overlay val="0"/>
        </c:title>
        <c:numFmt formatCode="General" sourceLinked="1"/>
        <c:majorTickMark val="out"/>
        <c:minorTickMark val="none"/>
        <c:tickLblPos val="nextTo"/>
        <c:crossAx val="218368256"/>
        <c:crosses val="autoZero"/>
        <c:crossBetween val="between"/>
      </c:valAx>
    </c:plotArea>
    <c:legend>
      <c:legendPos val="r"/>
      <c:layout>
        <c:manualLayout>
          <c:xMode val="edge"/>
          <c:yMode val="edge"/>
          <c:x val="0.74630833600673563"/>
          <c:y val="0.25825854203412457"/>
          <c:w val="0.25369166399326437"/>
          <c:h val="0.27382445967921354"/>
        </c:manualLayout>
      </c:layout>
      <c:overlay val="0"/>
      <c:txPr>
        <a:bodyPr/>
        <a:lstStyle/>
        <a:p>
          <a:pPr>
            <a:defRPr sz="800"/>
          </a:pPr>
          <a:endParaRPr lang="en-US"/>
        </a:p>
      </c:txPr>
    </c:legend>
    <c:plotVisOnly val="1"/>
    <c:dispBlanksAs val="gap"/>
    <c:showDLblsOverMax val="0"/>
  </c:chart>
  <c:spPr>
    <a:ln>
      <a:noFill/>
    </a:ln>
  </c:sp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15"/>
      <c:rotY val="20"/>
      <c:rAngAx val="1"/>
    </c:view3D>
    <c:floor>
      <c:thickness val="0"/>
    </c:floor>
    <c:sideWall>
      <c:thickness val="0"/>
    </c:sideWall>
    <c:backWall>
      <c:thickness val="0"/>
    </c:backWall>
    <c:plotArea>
      <c:layout>
        <c:manualLayout>
          <c:layoutTarget val="inner"/>
          <c:xMode val="edge"/>
          <c:yMode val="edge"/>
          <c:x val="0.122029058841546"/>
          <c:y val="4.5697504424324811E-2"/>
          <c:w val="0.57713229601835647"/>
          <c:h val="0.77145493157899869"/>
        </c:manualLayout>
      </c:layout>
      <c:bar3DChart>
        <c:barDir val="col"/>
        <c:grouping val="clustered"/>
        <c:varyColors val="0"/>
        <c:ser>
          <c:idx val="0"/>
          <c:order val="0"/>
          <c:tx>
            <c:strRef>
              <c:f>Sheet1!$B$128</c:f>
              <c:strCache>
                <c:ptCount val="1"/>
                <c:pt idx="0">
                  <c:v>LOWEST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Sheet1!$B$129:$B$138</c:f>
              <c:numCache>
                <c:formatCode>General</c:formatCode>
                <c:ptCount val="10"/>
                <c:pt idx="6">
                  <c:v>77.33</c:v>
                </c:pt>
              </c:numCache>
            </c:numRef>
          </c:val>
          <c:extLst>
            <c:ext xmlns:c16="http://schemas.microsoft.com/office/drawing/2014/chart" uri="{C3380CC4-5D6E-409C-BE32-E72D297353CC}">
              <c16:uniqueId val="{00000000-18B3-4F93-9E25-8D1CFE03EDD3}"/>
            </c:ext>
          </c:extLst>
        </c:ser>
        <c:ser>
          <c:idx val="1"/>
          <c:order val="1"/>
          <c:tx>
            <c:strRef>
              <c:f>Sheet1!$C$128</c:f>
              <c:strCache>
                <c:ptCount val="1"/>
                <c:pt idx="0">
                  <c:v>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Sheet1!$C$129:$C$138</c:f>
              <c:numCache>
                <c:formatCode>General</c:formatCode>
                <c:ptCount val="10"/>
                <c:pt idx="0">
                  <c:v>87.83</c:v>
                </c:pt>
                <c:pt idx="1">
                  <c:v>84.67</c:v>
                </c:pt>
                <c:pt idx="2">
                  <c:v>82.83</c:v>
                </c:pt>
                <c:pt idx="4">
                  <c:v>82.67</c:v>
                </c:pt>
                <c:pt idx="8">
                  <c:v>84.33</c:v>
                </c:pt>
                <c:pt idx="9">
                  <c:v>86.33</c:v>
                </c:pt>
              </c:numCache>
            </c:numRef>
          </c:val>
          <c:extLst>
            <c:ext xmlns:c16="http://schemas.microsoft.com/office/drawing/2014/chart" uri="{C3380CC4-5D6E-409C-BE32-E72D297353CC}">
              <c16:uniqueId val="{00000001-18B3-4F93-9E25-8D1CFE03EDD3}"/>
            </c:ext>
          </c:extLst>
        </c:ser>
        <c:ser>
          <c:idx val="2"/>
          <c:order val="2"/>
          <c:tx>
            <c:strRef>
              <c:f>Sheet1!$D$128</c:f>
              <c:strCache>
                <c:ptCount val="1"/>
                <c:pt idx="0">
                  <c:v>NON SIGNIFICANT</c:v>
                </c:pt>
              </c:strCache>
            </c:strRef>
          </c:tx>
          <c:invertIfNegative val="0"/>
          <c:cat>
            <c:strRef>
              <c:f>Sheet1!$A$129:$A$138</c:f>
              <c:strCache>
                <c:ptCount val="10"/>
                <c:pt idx="0">
                  <c:v>T1</c:v>
                </c:pt>
                <c:pt idx="1">
                  <c:v>T2</c:v>
                </c:pt>
                <c:pt idx="2">
                  <c:v>T3</c:v>
                </c:pt>
                <c:pt idx="3">
                  <c:v>T4</c:v>
                </c:pt>
                <c:pt idx="4">
                  <c:v>T5</c:v>
                </c:pt>
                <c:pt idx="5">
                  <c:v>T6</c:v>
                </c:pt>
                <c:pt idx="6">
                  <c:v>T7</c:v>
                </c:pt>
                <c:pt idx="7">
                  <c:v>T8</c:v>
                </c:pt>
                <c:pt idx="8">
                  <c:v>T9</c:v>
                </c:pt>
                <c:pt idx="9">
                  <c:v>T10</c:v>
                </c:pt>
              </c:strCache>
            </c:strRef>
          </c:cat>
          <c:val>
            <c:numRef>
              <c:f>Sheet1!$D$129:$D$138</c:f>
              <c:numCache>
                <c:formatCode>General</c:formatCode>
                <c:ptCount val="10"/>
                <c:pt idx="3">
                  <c:v>79.83</c:v>
                </c:pt>
                <c:pt idx="4">
                  <c:v>79.5</c:v>
                </c:pt>
                <c:pt idx="5">
                  <c:v>78.33</c:v>
                </c:pt>
                <c:pt idx="6">
                  <c:v>88</c:v>
                </c:pt>
              </c:numCache>
            </c:numRef>
          </c:val>
          <c:extLst>
            <c:ext xmlns:c16="http://schemas.microsoft.com/office/drawing/2014/chart" uri="{C3380CC4-5D6E-409C-BE32-E72D297353CC}">
              <c16:uniqueId val="{00000002-18B3-4F93-9E25-8D1CFE03EDD3}"/>
            </c:ext>
          </c:extLst>
        </c:ser>
        <c:dLbls>
          <c:showLegendKey val="0"/>
          <c:showVal val="0"/>
          <c:showCatName val="0"/>
          <c:showSerName val="0"/>
          <c:showPercent val="0"/>
          <c:showBubbleSize val="0"/>
        </c:dLbls>
        <c:gapWidth val="300"/>
        <c:shape val="box"/>
        <c:axId val="140328320"/>
        <c:axId val="241649152"/>
        <c:axId val="0"/>
      </c:bar3DChart>
      <c:catAx>
        <c:axId val="140328320"/>
        <c:scaling>
          <c:orientation val="minMax"/>
        </c:scaling>
        <c:delete val="0"/>
        <c:axPos val="b"/>
        <c:title>
          <c:tx>
            <c:rich>
              <a:bodyPr/>
              <a:lstStyle/>
              <a:p>
                <a:pPr>
                  <a:defRPr sz="700"/>
                </a:pPr>
                <a:r>
                  <a:rPr lang="en-IN" sz="700"/>
                  <a:t>TREATMENTS</a:t>
                </a:r>
              </a:p>
            </c:rich>
          </c:tx>
          <c:overlay val="0"/>
        </c:title>
        <c:numFmt formatCode="General" sourceLinked="0"/>
        <c:majorTickMark val="none"/>
        <c:minorTickMark val="none"/>
        <c:tickLblPos val="nextTo"/>
        <c:crossAx val="241649152"/>
        <c:crosses val="autoZero"/>
        <c:auto val="1"/>
        <c:lblAlgn val="ctr"/>
        <c:lblOffset val="100"/>
        <c:noMultiLvlLbl val="0"/>
      </c:catAx>
      <c:valAx>
        <c:axId val="241649152"/>
        <c:scaling>
          <c:orientation val="minMax"/>
        </c:scaling>
        <c:delete val="0"/>
        <c:axPos val="l"/>
        <c:majorGridlines/>
        <c:minorGridlines/>
        <c:title>
          <c:tx>
            <c:rich>
              <a:bodyPr/>
              <a:lstStyle/>
              <a:p>
                <a:pPr>
                  <a:defRPr sz="800"/>
                </a:pPr>
                <a:r>
                  <a:rPr lang="en-IN" sz="800"/>
                  <a:t>DAYS</a:t>
                </a:r>
                <a:r>
                  <a:rPr lang="en-IN" sz="800" baseline="0"/>
                  <a:t> TO SPIKE EMERGENCE</a:t>
                </a:r>
                <a:endParaRPr lang="en-IN" sz="800"/>
              </a:p>
            </c:rich>
          </c:tx>
          <c:layout>
            <c:manualLayout>
              <c:xMode val="edge"/>
              <c:yMode val="edge"/>
              <c:x val="8.205174266855195E-3"/>
              <c:y val="7.8973556644181694E-2"/>
            </c:manualLayout>
          </c:layout>
          <c:overlay val="0"/>
        </c:title>
        <c:numFmt formatCode="General" sourceLinked="1"/>
        <c:majorTickMark val="out"/>
        <c:minorTickMark val="none"/>
        <c:tickLblPos val="nextTo"/>
        <c:crossAx val="140328320"/>
        <c:crosses val="autoZero"/>
        <c:crossBetween val="between"/>
      </c:valAx>
    </c:plotArea>
    <c:legend>
      <c:legendPos val="r"/>
      <c:layout>
        <c:manualLayout>
          <c:xMode val="edge"/>
          <c:yMode val="edge"/>
          <c:x val="0.69985144682423994"/>
          <c:y val="0.27086152504552569"/>
          <c:w val="0.29660080118652149"/>
          <c:h val="0.31152376745125637"/>
        </c:manualLayout>
      </c:layout>
      <c:overlay val="0"/>
      <c:txPr>
        <a:bodyPr/>
        <a:lstStyle/>
        <a:p>
          <a:pPr>
            <a:defRPr sz="800">
              <a:latin typeface="Times New Roman" panose="02020603050405020304" pitchFamily="18" charset="0"/>
              <a:cs typeface="Times New Roman" panose="02020603050405020304" pitchFamily="18" charset="0"/>
            </a:defRPr>
          </a:pPr>
          <a:endParaRPr lang="en-US"/>
        </a:p>
      </c:txPr>
    </c:legend>
    <c:plotVisOnly val="1"/>
    <c:dispBlanksAs val="gap"/>
    <c:showDLblsOverMax val="0"/>
  </c:chart>
  <c:spPr>
    <a:solidFill>
      <a:sysClr val="window" lastClr="FFFFFF"/>
    </a:solidFill>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43C66C0-1ED4-44B3-9821-20EE7593F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18</Pages>
  <Words>4535</Words>
  <Characters>25854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Pragati Abhyankar</cp:lastModifiedBy>
  <cp:revision>45</cp:revision>
  <dcterms:created xsi:type="dcterms:W3CDTF">2025-09-11T08:07:00Z</dcterms:created>
  <dcterms:modified xsi:type="dcterms:W3CDTF">2025-09-24T08:01:00Z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27e5bf59-39d1-4642-8495-7e89f161af9f</vt:lpwstr>
  </property>
</Properties>
</file>