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C1A95" w14:textId="77777777" w:rsidR="00454D48" w:rsidRPr="00454D48" w:rsidRDefault="00454D48" w:rsidP="00454D48">
      <w:pPr>
        <w:spacing w:line="240" w:lineRule="auto"/>
        <w:jc w:val="right"/>
        <w:rPr>
          <w:rFonts w:ascii="Arial" w:hAnsi="Arial" w:cs="Arial"/>
          <w:b/>
          <w:i/>
          <w:sz w:val="32"/>
          <w:szCs w:val="20"/>
          <w:u w:val="single"/>
        </w:rPr>
      </w:pPr>
      <w:r w:rsidRPr="00454D48">
        <w:rPr>
          <w:rFonts w:ascii="Arial" w:hAnsi="Arial" w:cs="Arial"/>
          <w:b/>
          <w:i/>
          <w:sz w:val="32"/>
          <w:szCs w:val="20"/>
          <w:u w:val="single"/>
        </w:rPr>
        <w:t>Review Article</w:t>
      </w:r>
    </w:p>
    <w:p w14:paraId="31E4BAA5" w14:textId="77777777" w:rsidR="007F0272" w:rsidRPr="00454D48" w:rsidRDefault="001A0174" w:rsidP="00454D48">
      <w:pPr>
        <w:spacing w:line="240" w:lineRule="auto"/>
        <w:jc w:val="right"/>
        <w:rPr>
          <w:rFonts w:ascii="Arial" w:hAnsi="Arial" w:cs="Arial"/>
          <w:b/>
          <w:sz w:val="32"/>
          <w:szCs w:val="20"/>
        </w:rPr>
      </w:pPr>
      <w:r w:rsidRPr="00454D48">
        <w:rPr>
          <w:rFonts w:ascii="Arial" w:hAnsi="Arial" w:cs="Arial"/>
          <w:b/>
          <w:sz w:val="32"/>
          <w:szCs w:val="20"/>
        </w:rPr>
        <w:t xml:space="preserve">Leaf </w:t>
      </w:r>
      <w:r w:rsidR="00454D48" w:rsidRPr="00454D48">
        <w:rPr>
          <w:rFonts w:ascii="Arial" w:hAnsi="Arial" w:cs="Arial"/>
          <w:b/>
          <w:sz w:val="32"/>
          <w:szCs w:val="20"/>
        </w:rPr>
        <w:t>Colour</w:t>
      </w:r>
      <w:r w:rsidRPr="00454D48">
        <w:rPr>
          <w:rFonts w:ascii="Arial" w:hAnsi="Arial" w:cs="Arial"/>
          <w:b/>
          <w:sz w:val="32"/>
          <w:szCs w:val="20"/>
        </w:rPr>
        <w:t xml:space="preserve"> Chart (LCC) A Reliable Tool for Nitrogen Management</w:t>
      </w:r>
      <w:r w:rsidR="00D8602B" w:rsidRPr="00454D48">
        <w:rPr>
          <w:rFonts w:ascii="Arial" w:hAnsi="Arial" w:cs="Arial"/>
          <w:b/>
          <w:sz w:val="32"/>
          <w:szCs w:val="20"/>
        </w:rPr>
        <w:t>: A</w:t>
      </w:r>
      <w:r w:rsidRPr="00454D48">
        <w:rPr>
          <w:rFonts w:ascii="Arial" w:hAnsi="Arial" w:cs="Arial"/>
          <w:b/>
          <w:sz w:val="32"/>
          <w:szCs w:val="20"/>
        </w:rPr>
        <w:t xml:space="preserve"> </w:t>
      </w:r>
      <w:r w:rsidR="00D8602B" w:rsidRPr="00454D48">
        <w:rPr>
          <w:rFonts w:ascii="Arial" w:hAnsi="Arial" w:cs="Arial"/>
          <w:b/>
          <w:sz w:val="32"/>
          <w:szCs w:val="20"/>
        </w:rPr>
        <w:t xml:space="preserve">Comprehensive </w:t>
      </w:r>
      <w:r w:rsidRPr="00454D48">
        <w:rPr>
          <w:rFonts w:ascii="Arial" w:hAnsi="Arial" w:cs="Arial"/>
          <w:b/>
          <w:sz w:val="32"/>
          <w:szCs w:val="20"/>
        </w:rPr>
        <w:t>review</w:t>
      </w:r>
    </w:p>
    <w:p w14:paraId="2ED910CD" w14:textId="106C2E8D" w:rsidR="009A16A5" w:rsidRPr="00454D48" w:rsidRDefault="009A16A5" w:rsidP="00454D48">
      <w:pPr>
        <w:spacing w:line="240" w:lineRule="auto"/>
        <w:jc w:val="center"/>
        <w:rPr>
          <w:rFonts w:ascii="Arial" w:hAnsi="Arial" w:cs="Arial"/>
          <w:b/>
          <w:sz w:val="20"/>
          <w:szCs w:val="20"/>
        </w:rPr>
      </w:pPr>
    </w:p>
    <w:p w14:paraId="63E9DA06" w14:textId="77777777" w:rsidR="001A0174" w:rsidRPr="00454D48" w:rsidRDefault="001A0174" w:rsidP="00454D48">
      <w:pPr>
        <w:spacing w:line="240" w:lineRule="auto"/>
        <w:rPr>
          <w:rFonts w:ascii="Arial" w:hAnsi="Arial" w:cs="Arial"/>
          <w:b/>
          <w:i/>
          <w:sz w:val="20"/>
          <w:szCs w:val="20"/>
        </w:rPr>
      </w:pPr>
    </w:p>
    <w:p w14:paraId="1D5E1457" w14:textId="77777777" w:rsidR="001A0174" w:rsidRPr="00454D48" w:rsidRDefault="00454D48" w:rsidP="00454D48">
      <w:pPr>
        <w:spacing w:line="240" w:lineRule="auto"/>
        <w:jc w:val="center"/>
        <w:rPr>
          <w:rFonts w:ascii="Arial" w:hAnsi="Arial" w:cs="Arial"/>
          <w:b/>
          <w:sz w:val="24"/>
          <w:szCs w:val="20"/>
        </w:rPr>
      </w:pPr>
      <w:commentRangeStart w:id="0"/>
      <w:r w:rsidRPr="00454D48">
        <w:rPr>
          <w:rFonts w:ascii="Arial" w:hAnsi="Arial" w:cs="Arial"/>
          <w:b/>
          <w:sz w:val="24"/>
          <w:szCs w:val="20"/>
        </w:rPr>
        <w:t>ABSTRACT</w:t>
      </w:r>
      <w:commentRangeEnd w:id="0"/>
      <w:r w:rsidR="006E493A">
        <w:rPr>
          <w:rStyle w:val="CommentReference"/>
        </w:rPr>
        <w:commentReference w:id="0"/>
      </w:r>
    </w:p>
    <w:p w14:paraId="3D3F0042"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Effective nitrogen (N) management is fundamental for enhancing crop productivity while minimizing environmental degradation.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has emerged as a practical, low-cost, and non-destructive diagnostic tool for assessing crop nitrogen status and guiding site-specific nitrogen management (SSNM). Originally developed and widely adopted in rice systems, the utility of LCC has now extended to other cereals and millets, including sorghum, pearl millet, and finger millet. By visually comparing leaf greenness with standardized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xml:space="preserve"> panels, the LC</w:t>
      </w:r>
      <w:bookmarkStart w:id="1" w:name="_GoBack"/>
      <w:bookmarkEnd w:id="1"/>
      <w:r w:rsidRPr="009943C9">
        <w:rPr>
          <w:rFonts w:ascii="Arial" w:eastAsia="Times New Roman" w:hAnsi="Arial" w:cs="Arial"/>
          <w:sz w:val="20"/>
          <w:szCs w:val="24"/>
          <w:lang w:eastAsia="en-IN"/>
        </w:rPr>
        <w:t xml:space="preserve">C enables real-time adjustments of N fertilizer application, thereby improving nitrogen use efficiency (NUE), sustaining yields, and reducing losses through leaching and greenhouse gas emissions. Evidence from field studies and review analyses indicates that LCC-based strategies not only maintain or enhance yields across diverse cereal and millet production environments but also contribute significantly to lowering production costs and promoting climate-resilient agriculture. This review synthesizes the available literature on LCC calibration, crop-specific threshold values, and correlations with chlorophyll content and leaf nitrogen concentration. It also discusses practical applications across different crops and agro-ecological regions, highlighting the benefits of LCC over conventional blanket fertilizer recommendations. Furthermore, the review evaluates limitations such as subjectivity in visual scoring, varietal differences in leaf </w:t>
      </w:r>
      <w:proofErr w:type="spellStart"/>
      <w:r w:rsidRPr="009943C9">
        <w:rPr>
          <w:rFonts w:ascii="Arial" w:eastAsia="Times New Roman" w:hAnsi="Arial" w:cs="Arial"/>
          <w:sz w:val="20"/>
          <w:szCs w:val="24"/>
          <w:lang w:eastAsia="en-IN"/>
        </w:rPr>
        <w:t>color</w:t>
      </w:r>
      <w:proofErr w:type="spellEnd"/>
      <w:r w:rsidRPr="009943C9">
        <w:rPr>
          <w:rFonts w:ascii="Arial" w:eastAsia="Times New Roman" w:hAnsi="Arial" w:cs="Arial"/>
          <w:sz w:val="20"/>
          <w:szCs w:val="24"/>
          <w:lang w:eastAsia="en-IN"/>
        </w:rPr>
        <w:t>, and the influence of environmental factors, while pointing to technological innovations and integration with digital tools to overcome these challenges. Overall, the synthesis demonstrates that LCC is a reliable, adaptable, and sustainable tool for precision nitrogen management not only in rice but also in millets and other cereals, offering valuable guidance for researchers, extension workers, and farmers aiming to optimize nutrient use efficiency and ensure environmental sustainability.</w:t>
      </w:r>
    </w:p>
    <w:p w14:paraId="34F9B5B9" w14:textId="77777777" w:rsidR="00FD6D86" w:rsidRPr="00454D48" w:rsidRDefault="00FD6D86" w:rsidP="00454D48">
      <w:pPr>
        <w:spacing w:line="240" w:lineRule="auto"/>
        <w:jc w:val="both"/>
        <w:rPr>
          <w:rFonts w:ascii="Arial" w:hAnsi="Arial" w:cs="Arial"/>
          <w:sz w:val="20"/>
          <w:szCs w:val="20"/>
        </w:rPr>
      </w:pPr>
      <w:r w:rsidRPr="00454D48">
        <w:rPr>
          <w:rFonts w:ascii="Arial" w:hAnsi="Arial" w:cs="Arial"/>
          <w:b/>
          <w:sz w:val="20"/>
          <w:szCs w:val="20"/>
        </w:rPr>
        <w:t xml:space="preserve">Keywords: </w:t>
      </w:r>
      <w:r w:rsidRPr="00454D48">
        <w:rPr>
          <w:rFonts w:ascii="Arial" w:hAnsi="Arial" w:cs="Arial"/>
          <w:i/>
          <w:sz w:val="20"/>
          <w:szCs w:val="20"/>
        </w:rPr>
        <w:t xml:space="preserve">Leaf </w:t>
      </w:r>
      <w:proofErr w:type="spellStart"/>
      <w:r w:rsidR="00737F69" w:rsidRPr="00454D48">
        <w:rPr>
          <w:rFonts w:ascii="Arial" w:hAnsi="Arial" w:cs="Arial"/>
          <w:i/>
          <w:sz w:val="20"/>
          <w:szCs w:val="20"/>
        </w:rPr>
        <w:t>Color</w:t>
      </w:r>
      <w:proofErr w:type="spellEnd"/>
      <w:r w:rsidRPr="00454D48">
        <w:rPr>
          <w:rFonts w:ascii="Arial" w:hAnsi="Arial" w:cs="Arial"/>
          <w:i/>
          <w:sz w:val="20"/>
          <w:szCs w:val="20"/>
        </w:rPr>
        <w:t xml:space="preserve"> Chart</w:t>
      </w:r>
      <w:r w:rsidR="009943C9">
        <w:rPr>
          <w:rFonts w:ascii="Arial" w:hAnsi="Arial" w:cs="Arial"/>
          <w:i/>
          <w:sz w:val="20"/>
          <w:szCs w:val="20"/>
        </w:rPr>
        <w:t>;</w:t>
      </w:r>
      <w:r w:rsidRPr="00454D48">
        <w:rPr>
          <w:rFonts w:ascii="Arial" w:hAnsi="Arial" w:cs="Arial"/>
          <w:i/>
          <w:sz w:val="20"/>
          <w:szCs w:val="20"/>
        </w:rPr>
        <w:t xml:space="preserve"> Nitrogen </w:t>
      </w:r>
      <w:r w:rsidRPr="009943C9">
        <w:rPr>
          <w:rFonts w:ascii="Arial" w:hAnsi="Arial" w:cs="Arial"/>
          <w:i/>
          <w:sz w:val="20"/>
          <w:szCs w:val="20"/>
        </w:rPr>
        <w:t>management</w:t>
      </w:r>
      <w:r w:rsidR="009943C9" w:rsidRPr="009943C9">
        <w:rPr>
          <w:rFonts w:ascii="Arial" w:hAnsi="Arial" w:cs="Arial"/>
          <w:i/>
          <w:sz w:val="20"/>
          <w:szCs w:val="20"/>
        </w:rPr>
        <w:t>;</w:t>
      </w:r>
      <w:r w:rsidRPr="009943C9">
        <w:rPr>
          <w:rFonts w:ascii="Arial" w:hAnsi="Arial" w:cs="Arial"/>
          <w:i/>
          <w:sz w:val="20"/>
          <w:szCs w:val="20"/>
        </w:rPr>
        <w:t xml:space="preserve"> </w:t>
      </w:r>
      <w:r w:rsidR="009943C9" w:rsidRPr="009943C9">
        <w:rPr>
          <w:rFonts w:ascii="Arial" w:eastAsia="Times New Roman" w:hAnsi="Arial" w:cs="Arial"/>
          <w:i/>
          <w:sz w:val="20"/>
          <w:szCs w:val="24"/>
          <w:lang w:eastAsia="en-IN"/>
        </w:rPr>
        <w:t>Nitrogen use efficiency; greenhouse gas</w:t>
      </w:r>
      <w:r w:rsidRPr="009943C9">
        <w:rPr>
          <w:rFonts w:ascii="Arial" w:hAnsi="Arial" w:cs="Arial"/>
          <w:i/>
          <w:sz w:val="20"/>
          <w:szCs w:val="20"/>
        </w:rPr>
        <w:t>.</w:t>
      </w:r>
      <w:r w:rsidRPr="00454D48">
        <w:rPr>
          <w:rFonts w:ascii="Arial" w:hAnsi="Arial" w:cs="Arial"/>
          <w:sz w:val="20"/>
          <w:szCs w:val="20"/>
        </w:rPr>
        <w:t xml:space="preserve"> </w:t>
      </w:r>
    </w:p>
    <w:p w14:paraId="6ABD5A90" w14:textId="77777777" w:rsidR="00FD6D86" w:rsidRPr="00454D48" w:rsidRDefault="00701D90"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INTRODUCTION</w:t>
      </w:r>
    </w:p>
    <w:p w14:paraId="7D4836C7" w14:textId="7E7F6C12" w:rsidR="00FD6D86" w:rsidRPr="004B46AF" w:rsidRDefault="00FD6D86" w:rsidP="001075EB">
      <w:pPr>
        <w:jc w:val="both"/>
        <w:pPrChange w:id="2" w:author="Nazar Gul" w:date="2025-09-09T12:40:00Z">
          <w:pPr/>
        </w:pPrChange>
      </w:pPr>
      <w:r w:rsidRPr="00454D48">
        <w:rPr>
          <w:rFonts w:ascii="Arial" w:hAnsi="Arial" w:cs="Arial"/>
          <w:sz w:val="20"/>
          <w:szCs w:val="20"/>
        </w:rPr>
        <w:t>Nitrogen is a vital nutrient that significantly influences rice growth, development, and yield. However, improper nitrogen management can lead to yield losses, environmental pollution through nitrogen runoff or leaching, and increased production costs. Traditionally, nitrogen management in rice cultivation has been based on agronomic practices, such as farmers' experience, soil testing, and crop growth stage-based fertilizer application</w:t>
      </w:r>
      <w:r w:rsidR="00E34258">
        <w:rPr>
          <w:rFonts w:ascii="Arial" w:hAnsi="Arial" w:cs="Arial"/>
          <w:sz w:val="20"/>
          <w:szCs w:val="20"/>
        </w:rPr>
        <w:t xml:space="preserve"> (</w:t>
      </w:r>
      <w:r w:rsidR="00E34258" w:rsidRPr="00551902">
        <w:rPr>
          <w:rFonts w:ascii="Times New Roman" w:eastAsia="Times New Roman" w:hAnsi="Times New Roman" w:cs="Times New Roman"/>
          <w:sz w:val="24"/>
          <w:szCs w:val="24"/>
        </w:rPr>
        <w:t>Bhatt</w:t>
      </w:r>
      <w:r w:rsidR="00E34258">
        <w:rPr>
          <w:rFonts w:ascii="Times New Roman" w:eastAsia="Times New Roman" w:hAnsi="Times New Roman" w:cs="Times New Roman"/>
          <w:sz w:val="24"/>
          <w:szCs w:val="24"/>
        </w:rPr>
        <w:t xml:space="preserve"> &amp; </w:t>
      </w:r>
      <w:r w:rsidR="00E34258" w:rsidRPr="00551902">
        <w:rPr>
          <w:rFonts w:ascii="Times New Roman" w:eastAsia="Times New Roman" w:hAnsi="Times New Roman" w:cs="Times New Roman"/>
          <w:sz w:val="24"/>
          <w:szCs w:val="24"/>
        </w:rPr>
        <w:t>Kunal</w:t>
      </w:r>
      <w:r w:rsidR="00E34258">
        <w:rPr>
          <w:rFonts w:ascii="Times New Roman" w:eastAsia="Times New Roman" w:hAnsi="Times New Roman" w:cs="Times New Roman"/>
          <w:sz w:val="24"/>
          <w:szCs w:val="24"/>
        </w:rPr>
        <w:t>, 2024)</w:t>
      </w:r>
      <w:r w:rsidRPr="00454D48">
        <w:rPr>
          <w:rFonts w:ascii="Arial" w:hAnsi="Arial" w:cs="Arial"/>
          <w:sz w:val="20"/>
          <w:szCs w:val="20"/>
        </w:rPr>
        <w:t>. However, these methods often lack precision and fail to account for dynamic changes in crop nitrogen requirements throughout the growing season</w:t>
      </w:r>
      <w:r w:rsidR="002E74EF">
        <w:rPr>
          <w:rFonts w:ascii="Arial" w:hAnsi="Arial" w:cs="Arial"/>
          <w:sz w:val="20"/>
          <w:szCs w:val="20"/>
        </w:rPr>
        <w:t xml:space="preserve"> (</w:t>
      </w:r>
      <w:proofErr w:type="spellStart"/>
      <w:r w:rsidR="00D5270A">
        <w:t>Shekara</w:t>
      </w:r>
      <w:proofErr w:type="spellEnd"/>
      <w:r w:rsidR="00D5270A">
        <w:t xml:space="preserve"> </w:t>
      </w:r>
      <w:r w:rsidR="00D5270A">
        <w:rPr>
          <w:rFonts w:ascii="Arial" w:hAnsi="Arial" w:cs="Arial"/>
          <w:color w:val="222222"/>
          <w:sz w:val="20"/>
          <w:szCs w:val="20"/>
          <w:shd w:val="clear" w:color="auto" w:fill="FFFFFF"/>
        </w:rPr>
        <w:t>et al., 2025</w:t>
      </w:r>
      <w:r w:rsidR="002E74EF">
        <w:rPr>
          <w:rFonts w:ascii="Arial" w:hAnsi="Arial" w:cs="Arial"/>
          <w:color w:val="222222"/>
          <w:sz w:val="20"/>
          <w:szCs w:val="20"/>
          <w:shd w:val="clear" w:color="auto" w:fill="FFFFFF"/>
        </w:rPr>
        <w:t>)</w:t>
      </w:r>
      <w:r w:rsidRPr="00454D48">
        <w:rPr>
          <w:rFonts w:ascii="Arial" w:hAnsi="Arial" w:cs="Arial"/>
          <w:sz w:val="20"/>
          <w:szCs w:val="20"/>
        </w:rPr>
        <w:t xml:space="preserve">. Consequently, there is a growing need for reliable and efficient tools to optimize nitrogen management in </w:t>
      </w:r>
      <w:r w:rsidR="00FA3815">
        <w:rPr>
          <w:rFonts w:ascii="Arial" w:hAnsi="Arial" w:cs="Arial"/>
          <w:sz w:val="20"/>
          <w:szCs w:val="20"/>
        </w:rPr>
        <w:t xml:space="preserve">cereal and millet </w:t>
      </w:r>
      <w:r w:rsidR="009943C9">
        <w:rPr>
          <w:rFonts w:ascii="Arial" w:hAnsi="Arial" w:cs="Arial"/>
          <w:sz w:val="20"/>
          <w:szCs w:val="20"/>
        </w:rPr>
        <w:t>crops</w:t>
      </w:r>
      <w:r w:rsidRPr="00454D48">
        <w:rPr>
          <w:rFonts w:ascii="Arial" w:hAnsi="Arial" w:cs="Arial"/>
          <w:sz w:val="20"/>
          <w:szCs w:val="20"/>
        </w:rPr>
        <w:t>.</w:t>
      </w:r>
      <w:r w:rsidR="009943C9">
        <w:rPr>
          <w:rFonts w:ascii="Arial" w:hAnsi="Arial" w:cs="Arial"/>
          <w:sz w:val="20"/>
          <w:szCs w:val="20"/>
        </w:rPr>
        <w:t xml:space="preserve"> </w:t>
      </w:r>
      <w:r w:rsidR="00FA3815">
        <w:rPr>
          <w:rFonts w:ascii="Arial" w:hAnsi="Arial" w:cs="Arial"/>
          <w:sz w:val="20"/>
          <w:szCs w:val="20"/>
        </w:rPr>
        <w:t xml:space="preserve"> </w:t>
      </w:r>
      <w:r w:rsidRPr="00454D48">
        <w:rPr>
          <w:rFonts w:ascii="Arial" w:hAnsi="Arial" w:cs="Arial"/>
          <w:sz w:val="20"/>
          <w:szCs w:val="20"/>
        </w:rPr>
        <w:t xml:space="preserve">In recent years, the Leaf </w:t>
      </w:r>
      <w:r w:rsidR="00737F69" w:rsidRPr="00454D48">
        <w:rPr>
          <w:rFonts w:ascii="Arial" w:hAnsi="Arial" w:cs="Arial"/>
          <w:sz w:val="20"/>
          <w:szCs w:val="20"/>
        </w:rPr>
        <w:t>Color</w:t>
      </w:r>
      <w:r w:rsidRPr="00454D48">
        <w:rPr>
          <w:rFonts w:ascii="Arial" w:hAnsi="Arial" w:cs="Arial"/>
          <w:sz w:val="20"/>
          <w:szCs w:val="20"/>
        </w:rPr>
        <w:t xml:space="preserve"> Chart (LCC) has emerged as a promising tool for nitrogen management in rice</w:t>
      </w:r>
      <w:r w:rsidR="002E74EF">
        <w:rPr>
          <w:rFonts w:ascii="Arial" w:hAnsi="Arial" w:cs="Arial"/>
          <w:sz w:val="20"/>
          <w:szCs w:val="20"/>
        </w:rPr>
        <w:t xml:space="preserve"> (</w:t>
      </w:r>
      <w:proofErr w:type="spellStart"/>
      <w:r w:rsidR="002E74EF">
        <w:rPr>
          <w:rFonts w:ascii="Arial" w:hAnsi="Arial" w:cs="Arial"/>
          <w:color w:val="222222"/>
          <w:sz w:val="20"/>
          <w:szCs w:val="20"/>
          <w:shd w:val="clear" w:color="auto" w:fill="FFFFFF"/>
        </w:rPr>
        <w:t>Varinderpal</w:t>
      </w:r>
      <w:proofErr w:type="spellEnd"/>
      <w:r w:rsidR="002E74EF">
        <w:rPr>
          <w:rFonts w:ascii="Arial" w:hAnsi="Arial" w:cs="Arial"/>
          <w:color w:val="222222"/>
          <w:sz w:val="20"/>
          <w:szCs w:val="20"/>
          <w:shd w:val="clear" w:color="auto" w:fill="FFFFFF"/>
        </w:rPr>
        <w:t>-Singh et al., 2023)</w:t>
      </w:r>
      <w:r w:rsidRPr="00454D48">
        <w:rPr>
          <w:rFonts w:ascii="Arial" w:hAnsi="Arial" w:cs="Arial"/>
          <w:sz w:val="20"/>
          <w:szCs w:val="20"/>
        </w:rPr>
        <w:t xml:space="preserve">. The LCC method relies on visual assessment of leaf </w:t>
      </w:r>
      <w:r w:rsidR="00737F69" w:rsidRPr="00454D48">
        <w:rPr>
          <w:rFonts w:ascii="Arial" w:hAnsi="Arial" w:cs="Arial"/>
          <w:sz w:val="20"/>
          <w:szCs w:val="20"/>
        </w:rPr>
        <w:t>color</w:t>
      </w:r>
      <w:r w:rsidRPr="00454D48">
        <w:rPr>
          <w:rFonts w:ascii="Arial" w:hAnsi="Arial" w:cs="Arial"/>
          <w:sz w:val="20"/>
          <w:szCs w:val="20"/>
        </w:rPr>
        <w:t xml:space="preserve"> as an indicator of plant nitrogen status</w:t>
      </w:r>
      <w:r w:rsidR="003221F6">
        <w:rPr>
          <w:rFonts w:ascii="Arial" w:hAnsi="Arial" w:cs="Arial"/>
          <w:sz w:val="20"/>
          <w:szCs w:val="20"/>
        </w:rPr>
        <w:t xml:space="preserve"> (</w:t>
      </w:r>
      <w:r w:rsidR="003221F6" w:rsidRPr="002C2AD3">
        <w:rPr>
          <w:rFonts w:ascii="Arial" w:hAnsi="Arial" w:cs="Arial"/>
          <w:color w:val="222222"/>
          <w:sz w:val="20"/>
          <w:szCs w:val="20"/>
        </w:rPr>
        <w:t>Tang</w:t>
      </w:r>
      <w:r w:rsidR="003221F6">
        <w:rPr>
          <w:rFonts w:ascii="Arial" w:hAnsi="Arial" w:cs="Arial"/>
          <w:color w:val="222222"/>
          <w:sz w:val="20"/>
          <w:szCs w:val="20"/>
        </w:rPr>
        <w:t xml:space="preserve"> et al., 2025</w:t>
      </w:r>
      <w:r w:rsidR="004B46AF">
        <w:rPr>
          <w:rFonts w:ascii="Arial" w:hAnsi="Arial" w:cs="Arial"/>
          <w:color w:val="222222"/>
          <w:sz w:val="20"/>
          <w:szCs w:val="20"/>
        </w:rPr>
        <w:t xml:space="preserve">; </w:t>
      </w:r>
      <w:proofErr w:type="spellStart"/>
      <w:r w:rsidR="004B46AF" w:rsidRPr="00242EC8">
        <w:rPr>
          <w:rFonts w:ascii="Arial" w:hAnsi="Arial" w:cs="Arial"/>
          <w:sz w:val="20"/>
          <w:szCs w:val="16"/>
          <w:shd w:val="clear" w:color="auto" w:fill="FFFFFF"/>
        </w:rPr>
        <w:t>Timilsina</w:t>
      </w:r>
      <w:proofErr w:type="spellEnd"/>
      <w:r w:rsidR="004B46AF">
        <w:rPr>
          <w:rFonts w:ascii="Arial" w:hAnsi="Arial" w:cs="Arial"/>
          <w:sz w:val="20"/>
          <w:szCs w:val="16"/>
          <w:shd w:val="clear" w:color="auto" w:fill="FFFFFF"/>
        </w:rPr>
        <w:t xml:space="preserve"> &amp; </w:t>
      </w:r>
      <w:proofErr w:type="spellStart"/>
      <w:r w:rsidR="004B46AF" w:rsidRPr="00242EC8">
        <w:rPr>
          <w:rFonts w:ascii="Arial" w:hAnsi="Arial" w:cs="Arial"/>
          <w:sz w:val="20"/>
          <w:szCs w:val="16"/>
          <w:shd w:val="clear" w:color="auto" w:fill="FFFFFF"/>
        </w:rPr>
        <w:t>Marahatta</w:t>
      </w:r>
      <w:proofErr w:type="spellEnd"/>
      <w:r w:rsidR="004B46AF">
        <w:rPr>
          <w:rFonts w:ascii="Arial" w:hAnsi="Arial" w:cs="Arial"/>
          <w:sz w:val="20"/>
          <w:szCs w:val="16"/>
          <w:shd w:val="clear" w:color="auto" w:fill="FFFFFF"/>
        </w:rPr>
        <w:t>, 2025)</w:t>
      </w:r>
      <w:r w:rsidRPr="00454D48">
        <w:rPr>
          <w:rFonts w:ascii="Arial" w:hAnsi="Arial" w:cs="Arial"/>
          <w:sz w:val="20"/>
          <w:szCs w:val="20"/>
        </w:rPr>
        <w:t xml:space="preserve">. By comparing the leaf </w:t>
      </w:r>
      <w:r w:rsidR="00737F69" w:rsidRPr="00454D48">
        <w:rPr>
          <w:rFonts w:ascii="Arial" w:hAnsi="Arial" w:cs="Arial"/>
          <w:sz w:val="20"/>
          <w:szCs w:val="20"/>
        </w:rPr>
        <w:t>color</w:t>
      </w:r>
      <w:r w:rsidRPr="00454D48">
        <w:rPr>
          <w:rFonts w:ascii="Arial" w:hAnsi="Arial" w:cs="Arial"/>
          <w:sz w:val="20"/>
          <w:szCs w:val="20"/>
        </w:rPr>
        <w:t xml:space="preserve"> with a standardized </w:t>
      </w:r>
      <w:r w:rsidR="00737F69" w:rsidRPr="00454D48">
        <w:rPr>
          <w:rFonts w:ascii="Arial" w:hAnsi="Arial" w:cs="Arial"/>
          <w:sz w:val="20"/>
          <w:szCs w:val="20"/>
        </w:rPr>
        <w:t>color</w:t>
      </w:r>
      <w:r w:rsidRPr="00454D48">
        <w:rPr>
          <w:rFonts w:ascii="Arial" w:hAnsi="Arial" w:cs="Arial"/>
          <w:sz w:val="20"/>
          <w:szCs w:val="20"/>
        </w:rPr>
        <w:t xml:space="preserve"> chart, farmers and agronomists can make informed decisions regarding nitrogen fertilizer application rates and timings. The LCC method offers several advantages, including simplicity, cost-effectiveness, non-destructive sampling, and real-time monitoring of crop nitrogen status</w:t>
      </w:r>
      <w:r w:rsidR="002E74EF">
        <w:rPr>
          <w:rFonts w:ascii="Arial" w:hAnsi="Arial" w:cs="Arial"/>
          <w:sz w:val="20"/>
          <w:szCs w:val="20"/>
        </w:rPr>
        <w:t xml:space="preserve"> (</w:t>
      </w:r>
      <w:r w:rsidR="008F65AB">
        <w:rPr>
          <w:rFonts w:ascii="Arial" w:hAnsi="Arial" w:cs="Arial"/>
          <w:color w:val="222222"/>
          <w:sz w:val="20"/>
          <w:szCs w:val="20"/>
          <w:shd w:val="clear" w:color="auto" w:fill="FFFFFF"/>
        </w:rPr>
        <w:t xml:space="preserve">Ali &amp; Salem, </w:t>
      </w:r>
      <w:r w:rsidR="002E74EF">
        <w:rPr>
          <w:rFonts w:ascii="Arial" w:hAnsi="Arial" w:cs="Arial"/>
          <w:color w:val="222222"/>
          <w:sz w:val="20"/>
          <w:szCs w:val="20"/>
          <w:shd w:val="clear" w:color="auto" w:fill="FFFFFF"/>
        </w:rPr>
        <w:t>2024</w:t>
      </w:r>
      <w:r w:rsidR="008F65AB">
        <w:rPr>
          <w:rFonts w:ascii="Arial" w:hAnsi="Arial" w:cs="Arial"/>
          <w:color w:val="222222"/>
          <w:sz w:val="20"/>
          <w:szCs w:val="20"/>
          <w:shd w:val="clear" w:color="auto" w:fill="FFFFFF"/>
        </w:rPr>
        <w:t xml:space="preserve">; </w:t>
      </w:r>
      <w:proofErr w:type="spellStart"/>
      <w:r w:rsidR="008F65AB" w:rsidRPr="006A4BD9">
        <w:rPr>
          <w:rFonts w:ascii="Arial" w:hAnsi="Arial" w:cs="Arial"/>
          <w:color w:val="222222"/>
          <w:sz w:val="20"/>
          <w:szCs w:val="18"/>
        </w:rPr>
        <w:t>Fayaz</w:t>
      </w:r>
      <w:proofErr w:type="spellEnd"/>
      <w:r w:rsidR="004A209B">
        <w:rPr>
          <w:rFonts w:ascii="Arial" w:hAnsi="Arial" w:cs="Arial"/>
          <w:color w:val="222222"/>
          <w:sz w:val="20"/>
          <w:szCs w:val="18"/>
        </w:rPr>
        <w:t xml:space="preserve"> et al., 2022</w:t>
      </w:r>
      <w:r w:rsidR="002E74EF">
        <w:rPr>
          <w:rFonts w:ascii="Arial" w:hAnsi="Arial" w:cs="Arial"/>
          <w:color w:val="222222"/>
          <w:sz w:val="20"/>
          <w:szCs w:val="20"/>
          <w:shd w:val="clear" w:color="auto" w:fill="FFFFFF"/>
        </w:rPr>
        <w:t>)</w:t>
      </w:r>
      <w:r w:rsidRPr="00454D48">
        <w:rPr>
          <w:rFonts w:ascii="Arial" w:hAnsi="Arial" w:cs="Arial"/>
          <w:sz w:val="20"/>
          <w:szCs w:val="20"/>
        </w:rPr>
        <w:t>.</w:t>
      </w:r>
    </w:p>
    <w:p w14:paraId="566A62C8" w14:textId="77777777" w:rsidR="00FD6D86" w:rsidRPr="00454D48" w:rsidRDefault="00FD6D86" w:rsidP="00454D48">
      <w:pPr>
        <w:spacing w:line="240" w:lineRule="auto"/>
        <w:ind w:firstLine="720"/>
        <w:jc w:val="both"/>
        <w:rPr>
          <w:rFonts w:ascii="Arial" w:hAnsi="Arial" w:cs="Arial"/>
          <w:sz w:val="20"/>
          <w:szCs w:val="20"/>
        </w:rPr>
      </w:pPr>
      <w:r w:rsidRPr="00454D48">
        <w:rPr>
          <w:rFonts w:ascii="Arial" w:hAnsi="Arial" w:cs="Arial"/>
          <w:sz w:val="20"/>
          <w:szCs w:val="20"/>
        </w:rPr>
        <w:t xml:space="preserve">This review aims to provide a comprehensive evaluation of the LCC tool for nitrogen management in </w:t>
      </w:r>
      <w:r w:rsidR="00FA3815">
        <w:rPr>
          <w:rFonts w:ascii="Arial" w:hAnsi="Arial" w:cs="Arial"/>
          <w:sz w:val="20"/>
          <w:szCs w:val="20"/>
        </w:rPr>
        <w:t xml:space="preserve">crop </w:t>
      </w:r>
      <w:r w:rsidRPr="00454D48">
        <w:rPr>
          <w:rFonts w:ascii="Arial" w:hAnsi="Arial" w:cs="Arial"/>
          <w:sz w:val="20"/>
          <w:szCs w:val="20"/>
        </w:rPr>
        <w:t xml:space="preserve">cultivation. We will explore the scientific evidence supporting the use of LCC, including its calibration, threshold values for different growth stages, and its correlation with leaf nitrogen content. Additionally, we will examine the practical application of LCC in diverse rice-growing regions and its compatibility with different rice varieties. Moreover, we will discuss the advantages of </w:t>
      </w:r>
      <w:r w:rsidRPr="00454D48">
        <w:rPr>
          <w:rFonts w:ascii="Arial" w:hAnsi="Arial" w:cs="Arial"/>
          <w:sz w:val="20"/>
          <w:szCs w:val="20"/>
        </w:rPr>
        <w:lastRenderedPageBreak/>
        <w:t>LCC over conventional nitrogen management approaches, such as the potential for improved nitrogen use efficiency, enhanced yield, and reduced environmental impact. We will also address the challenges and limitations associated with LCC, including subjective interpretation and potential confounding factors influencing leaf color.</w:t>
      </w:r>
    </w:p>
    <w:p w14:paraId="4A5C817A" w14:textId="77777777" w:rsidR="00454D48" w:rsidRPr="00454D48" w:rsidRDefault="00454D48" w:rsidP="00454D48">
      <w:pPr>
        <w:spacing w:line="240" w:lineRule="auto"/>
        <w:jc w:val="both"/>
        <w:rPr>
          <w:rFonts w:ascii="Arial" w:hAnsi="Arial" w:cs="Arial"/>
          <w:sz w:val="20"/>
          <w:szCs w:val="20"/>
        </w:rPr>
      </w:pPr>
    </w:p>
    <w:p w14:paraId="59DFF199" w14:textId="77777777" w:rsidR="00701D90" w:rsidRPr="00454D48" w:rsidRDefault="00701D90"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sz w:val="24"/>
          <w:szCs w:val="20"/>
        </w:rPr>
        <w:t xml:space="preserve">THE LEAF </w:t>
      </w:r>
      <w:r w:rsidR="00737F69" w:rsidRPr="00454D48">
        <w:rPr>
          <w:rFonts w:ascii="Arial" w:hAnsi="Arial" w:cs="Arial"/>
          <w:b/>
          <w:sz w:val="24"/>
          <w:szCs w:val="20"/>
        </w:rPr>
        <w:t>COLOR</w:t>
      </w:r>
      <w:r w:rsidRPr="00454D48">
        <w:rPr>
          <w:rFonts w:ascii="Arial" w:hAnsi="Arial" w:cs="Arial"/>
          <w:b/>
          <w:sz w:val="24"/>
          <w:szCs w:val="20"/>
        </w:rPr>
        <w:t xml:space="preserve"> CHART (LCC)</w:t>
      </w:r>
      <w:r w:rsidRPr="00454D48">
        <w:rPr>
          <w:rFonts w:ascii="Arial" w:hAnsi="Arial" w:cs="Arial"/>
          <w:sz w:val="24"/>
          <w:szCs w:val="20"/>
        </w:rPr>
        <w:t xml:space="preserve"> </w:t>
      </w:r>
    </w:p>
    <w:p w14:paraId="7F4450F9" w14:textId="5E3A8C5D"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is an inexpensive and user-friendly tool utilized for nitrogen management in rice cultivation. It consists of a </w:t>
      </w:r>
      <w:r w:rsidR="00454D48" w:rsidRPr="00454D48">
        <w:rPr>
          <w:rFonts w:ascii="Arial" w:hAnsi="Arial" w:cs="Arial"/>
          <w:sz w:val="20"/>
          <w:szCs w:val="20"/>
        </w:rPr>
        <w:t>12-15-inch-long</w:t>
      </w:r>
      <w:r w:rsidRPr="00454D48">
        <w:rPr>
          <w:rFonts w:ascii="Arial" w:hAnsi="Arial" w:cs="Arial"/>
          <w:sz w:val="20"/>
          <w:szCs w:val="20"/>
        </w:rPr>
        <w:t xml:space="preserve"> chart with several shades of green. The chart is made of durable, sunlight-resistant plastic and features multiple </w:t>
      </w:r>
      <w:r w:rsidR="00737F69" w:rsidRPr="00454D48">
        <w:rPr>
          <w:rFonts w:ascii="Arial" w:hAnsi="Arial" w:cs="Arial"/>
          <w:sz w:val="20"/>
          <w:szCs w:val="20"/>
        </w:rPr>
        <w:t>color</w:t>
      </w:r>
      <w:r w:rsidRPr="00454D48">
        <w:rPr>
          <w:rFonts w:ascii="Arial" w:hAnsi="Arial" w:cs="Arial"/>
          <w:sz w:val="20"/>
          <w:szCs w:val="20"/>
        </w:rPr>
        <w:t xml:space="preserve"> lines arranged like leaf veins. The lightest shade is </w:t>
      </w:r>
      <w:proofErr w:type="spellStart"/>
      <w:r w:rsidRPr="00454D48">
        <w:rPr>
          <w:rFonts w:ascii="Arial" w:hAnsi="Arial" w:cs="Arial"/>
          <w:sz w:val="20"/>
          <w:szCs w:val="20"/>
        </w:rPr>
        <w:t>labeled</w:t>
      </w:r>
      <w:proofErr w:type="spellEnd"/>
      <w:r w:rsidRPr="00454D48">
        <w:rPr>
          <w:rFonts w:ascii="Arial" w:hAnsi="Arial" w:cs="Arial"/>
          <w:sz w:val="20"/>
          <w:szCs w:val="20"/>
        </w:rPr>
        <w:t xml:space="preserve"> -1, while the darkest green shade is labelled 8. Originally, the LCC had eight shades of unnamed green, but later versions </w:t>
      </w:r>
      <w:r w:rsidRPr="002E74EF">
        <w:rPr>
          <w:rFonts w:ascii="Arial" w:hAnsi="Arial" w:cs="Arial"/>
          <w:b/>
          <w:sz w:val="20"/>
          <w:szCs w:val="20"/>
        </w:rPr>
        <w:t>developed by Furuya (1987) and the</w:t>
      </w:r>
      <w:r w:rsidRPr="00454D48">
        <w:rPr>
          <w:rFonts w:ascii="Arial" w:hAnsi="Arial" w:cs="Arial"/>
          <w:sz w:val="20"/>
          <w:szCs w:val="20"/>
        </w:rPr>
        <w:t xml:space="preserve"> International Rice Research Institute </w:t>
      </w:r>
      <w:r w:rsidRPr="002E74EF">
        <w:rPr>
          <w:rFonts w:ascii="Arial" w:hAnsi="Arial" w:cs="Arial"/>
          <w:sz w:val="20"/>
          <w:szCs w:val="20"/>
        </w:rPr>
        <w:t>(IRRI, 1996)</w:t>
      </w:r>
      <w:r w:rsidRPr="00454D48">
        <w:rPr>
          <w:rFonts w:ascii="Arial" w:hAnsi="Arial" w:cs="Arial"/>
          <w:sz w:val="20"/>
          <w:szCs w:val="20"/>
        </w:rPr>
        <w:t xml:space="preserve"> featured seven or six shades of green. The LCC is calibrated with a chlorophyll meter and serves as a guide for nitrogen top dressing in rice crops</w:t>
      </w:r>
      <w:r w:rsidR="00E34258">
        <w:rPr>
          <w:rFonts w:ascii="Arial" w:hAnsi="Arial" w:cs="Arial"/>
          <w:sz w:val="20"/>
          <w:szCs w:val="20"/>
        </w:rPr>
        <w:t xml:space="preserve"> (</w:t>
      </w:r>
      <w:r w:rsidR="00E34258">
        <w:t>Wu et al., 2024)</w:t>
      </w:r>
      <w:r w:rsidRPr="00454D48">
        <w:rPr>
          <w:rFonts w:ascii="Arial" w:hAnsi="Arial" w:cs="Arial"/>
          <w:sz w:val="20"/>
          <w:szCs w:val="20"/>
        </w:rPr>
        <w:t xml:space="preserve">. It comes with a construction sheet in the local language, explaining how farmers can determine the optimal time for nitrogen application. The LCC is a versatile tool that can be used regardless of the nitrogen source applied, including inorganic, organic, or biofertilizers. It enables the assessment of canopy greenness as well as the green </w:t>
      </w:r>
      <w:r w:rsidR="00737F69" w:rsidRPr="00454D48">
        <w:rPr>
          <w:rFonts w:ascii="Arial" w:hAnsi="Arial" w:cs="Arial"/>
          <w:sz w:val="20"/>
          <w:szCs w:val="20"/>
        </w:rPr>
        <w:t>color</w:t>
      </w:r>
      <w:r w:rsidRPr="00454D48">
        <w:rPr>
          <w:rFonts w:ascii="Arial" w:hAnsi="Arial" w:cs="Arial"/>
          <w:sz w:val="20"/>
          <w:szCs w:val="20"/>
        </w:rPr>
        <w:t xml:space="preserve"> of individual leaves. By comparing leaf </w:t>
      </w:r>
      <w:r w:rsidR="00737F69" w:rsidRPr="00454D48">
        <w:rPr>
          <w:rFonts w:ascii="Arial" w:hAnsi="Arial" w:cs="Arial"/>
          <w:sz w:val="20"/>
          <w:szCs w:val="20"/>
        </w:rPr>
        <w:t>color</w:t>
      </w:r>
      <w:r w:rsidRPr="00454D48">
        <w:rPr>
          <w:rFonts w:ascii="Arial" w:hAnsi="Arial" w:cs="Arial"/>
          <w:sz w:val="20"/>
          <w:szCs w:val="20"/>
        </w:rPr>
        <w:t xml:space="preserve"> with the LCC, critical </w:t>
      </w:r>
      <w:r w:rsidR="00737F69" w:rsidRPr="00454D48">
        <w:rPr>
          <w:rFonts w:ascii="Arial" w:hAnsi="Arial" w:cs="Arial"/>
          <w:sz w:val="20"/>
          <w:szCs w:val="20"/>
        </w:rPr>
        <w:t>color</w:t>
      </w:r>
      <w:r w:rsidRPr="00454D48">
        <w:rPr>
          <w:rFonts w:ascii="Arial" w:hAnsi="Arial" w:cs="Arial"/>
          <w:sz w:val="20"/>
          <w:szCs w:val="20"/>
        </w:rPr>
        <w:t xml:space="preserve"> grades or LCC values can be determined to guide nitrogen application</w:t>
      </w:r>
      <w:r w:rsidR="002E74EF">
        <w:rPr>
          <w:rFonts w:ascii="Arial" w:hAnsi="Arial" w:cs="Arial"/>
          <w:sz w:val="20"/>
          <w:szCs w:val="20"/>
        </w:rPr>
        <w:t xml:space="preserve"> (Bhat et al., 2022)</w:t>
      </w:r>
      <w:r w:rsidRPr="00454D48">
        <w:rPr>
          <w:rFonts w:ascii="Arial" w:hAnsi="Arial" w:cs="Arial"/>
          <w:sz w:val="20"/>
          <w:szCs w:val="20"/>
        </w:rPr>
        <w:t>.</w:t>
      </w:r>
    </w:p>
    <w:p w14:paraId="7AE34ADA" w14:textId="77777777" w:rsidR="00701D90" w:rsidRPr="00454D48" w:rsidRDefault="00701D90" w:rsidP="00454D48">
      <w:pPr>
        <w:spacing w:line="240" w:lineRule="auto"/>
        <w:ind w:firstLine="720"/>
        <w:jc w:val="both"/>
        <w:rPr>
          <w:rFonts w:ascii="Arial" w:hAnsi="Arial" w:cs="Arial"/>
          <w:sz w:val="20"/>
          <w:szCs w:val="20"/>
        </w:rPr>
      </w:pPr>
      <w:r w:rsidRPr="00454D48">
        <w:rPr>
          <w:rFonts w:ascii="Arial" w:hAnsi="Arial" w:cs="Arial"/>
          <w:sz w:val="20"/>
          <w:szCs w:val="20"/>
        </w:rPr>
        <w:t xml:space="preserve">According to the LCC, if a reading of 4 or above is obtained at panicle initiation, nitrogen application can be skipped. The critical leaf </w:t>
      </w:r>
      <w:r w:rsidR="00737F69" w:rsidRPr="00454D48">
        <w:rPr>
          <w:rFonts w:ascii="Arial" w:hAnsi="Arial" w:cs="Arial"/>
          <w:sz w:val="20"/>
          <w:szCs w:val="20"/>
        </w:rPr>
        <w:t>color</w:t>
      </w:r>
      <w:r w:rsidRPr="00454D48">
        <w:rPr>
          <w:rFonts w:ascii="Arial" w:hAnsi="Arial" w:cs="Arial"/>
          <w:sz w:val="20"/>
          <w:szCs w:val="20"/>
        </w:rPr>
        <w:t xml:space="preserve"> reading for nitrogen top dressing varies, ranging from 3 for varieties with light green foliage (e.g., scented to aromatic rice varieties) to 4 for other varieties and hybrids. In the case of transplanted rice, the critical LCC grade is 4, while for direct wet-seeded rice, it is 3. Crops exhibiting leaf </w:t>
      </w:r>
      <w:proofErr w:type="spellStart"/>
      <w:r w:rsidR="00737F69" w:rsidRPr="00454D48">
        <w:rPr>
          <w:rFonts w:ascii="Arial" w:hAnsi="Arial" w:cs="Arial"/>
          <w:sz w:val="20"/>
          <w:szCs w:val="20"/>
        </w:rPr>
        <w:t>color</w:t>
      </w:r>
      <w:r w:rsidRPr="00454D48">
        <w:rPr>
          <w:rFonts w:ascii="Arial" w:hAnsi="Arial" w:cs="Arial"/>
          <w:sz w:val="20"/>
          <w:szCs w:val="20"/>
        </w:rPr>
        <w:t>s</w:t>
      </w:r>
      <w:proofErr w:type="spellEnd"/>
      <w:r w:rsidRPr="00454D48">
        <w:rPr>
          <w:rFonts w:ascii="Arial" w:hAnsi="Arial" w:cs="Arial"/>
          <w:sz w:val="20"/>
          <w:szCs w:val="20"/>
        </w:rPr>
        <w:t xml:space="preserve"> below the critical values indicate nitrogen deficiency and require immediate application of nitrogen fertilizer to prevent yield losses. It is worth noting that for locally important rice varieties and specific crop establishment methods, the critical LCC values may need to be redefined after conducting one or two test seasons. Overall, the Leaf </w:t>
      </w:r>
      <w:r w:rsidR="00737F69" w:rsidRPr="00454D48">
        <w:rPr>
          <w:rFonts w:ascii="Arial" w:hAnsi="Arial" w:cs="Arial"/>
          <w:sz w:val="20"/>
          <w:szCs w:val="20"/>
        </w:rPr>
        <w:t>Color</w:t>
      </w:r>
      <w:r w:rsidRPr="00454D48">
        <w:rPr>
          <w:rFonts w:ascii="Arial" w:hAnsi="Arial" w:cs="Arial"/>
          <w:sz w:val="20"/>
          <w:szCs w:val="20"/>
        </w:rPr>
        <w:t xml:space="preserve"> Chart (LCC) serves as an invaluable tool in optimizing nitrogen use in rice cultivation. It provides a simple and effective means of assessing nitrogen status, guiding fertilizer application decisions, and ultimately contributing to improved crop productivity and sustainability.</w:t>
      </w:r>
    </w:p>
    <w:p w14:paraId="7CBB8AB2" w14:textId="77777777" w:rsidR="00454D48" w:rsidRPr="00454D48" w:rsidRDefault="00454D48" w:rsidP="00454D48">
      <w:pPr>
        <w:pStyle w:val="ListParagraph"/>
        <w:numPr>
          <w:ilvl w:val="0"/>
          <w:numId w:val="7"/>
        </w:numPr>
        <w:spacing w:before="100" w:beforeAutospacing="1" w:after="100" w:afterAutospacing="1" w:line="240" w:lineRule="auto"/>
        <w:jc w:val="both"/>
        <w:outlineLvl w:val="1"/>
        <w:rPr>
          <w:rFonts w:ascii="Arial" w:eastAsia="Times New Roman" w:hAnsi="Arial" w:cs="Arial"/>
          <w:b/>
          <w:bCs/>
          <w:sz w:val="24"/>
          <w:szCs w:val="20"/>
          <w:lang w:eastAsia="en-IN"/>
        </w:rPr>
      </w:pPr>
      <w:r w:rsidRPr="00454D48">
        <w:rPr>
          <w:rFonts w:ascii="Arial" w:eastAsia="Times New Roman" w:hAnsi="Arial" w:cs="Arial"/>
          <w:b/>
          <w:bCs/>
          <w:sz w:val="24"/>
          <w:szCs w:val="20"/>
          <w:lang w:eastAsia="en-IN"/>
        </w:rPr>
        <w:t xml:space="preserve">Role of Leaf </w:t>
      </w:r>
      <w:proofErr w:type="spellStart"/>
      <w:r w:rsidRPr="00454D48">
        <w:rPr>
          <w:rFonts w:ascii="Arial" w:eastAsia="Times New Roman" w:hAnsi="Arial" w:cs="Arial"/>
          <w:b/>
          <w:bCs/>
          <w:sz w:val="24"/>
          <w:szCs w:val="20"/>
          <w:lang w:eastAsia="en-IN"/>
        </w:rPr>
        <w:t>Color</w:t>
      </w:r>
      <w:proofErr w:type="spellEnd"/>
      <w:r w:rsidRPr="00454D48">
        <w:rPr>
          <w:rFonts w:ascii="Arial" w:eastAsia="Times New Roman" w:hAnsi="Arial" w:cs="Arial"/>
          <w:b/>
          <w:bCs/>
          <w:sz w:val="24"/>
          <w:szCs w:val="20"/>
          <w:lang w:eastAsia="en-IN"/>
        </w:rPr>
        <w:t xml:space="preserve"> Chart (LCC) in Nitrogen Management of Millets</w:t>
      </w:r>
    </w:p>
    <w:p w14:paraId="41C4D875" w14:textId="17E603DD" w:rsidR="00454D48" w:rsidRPr="00454D48" w:rsidRDefault="00454D48" w:rsidP="002E74EF">
      <w:pPr>
        <w:spacing w:before="100" w:beforeAutospacing="1" w:after="100" w:afterAutospacing="1" w:line="240" w:lineRule="auto"/>
        <w:ind w:left="360"/>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Efficient nitrogen (N) management is one of the most crucial aspects of crop production, as nitrogen is directly associated with chlorophyll synthesis, photosynthetic activity, and biomass accumulation</w:t>
      </w:r>
      <w:r w:rsidR="005D2D5F">
        <w:rPr>
          <w:rFonts w:ascii="Arial" w:eastAsia="Times New Roman" w:hAnsi="Arial" w:cs="Arial"/>
          <w:sz w:val="20"/>
          <w:szCs w:val="20"/>
          <w:lang w:eastAsia="en-IN"/>
        </w:rPr>
        <w:t xml:space="preserve"> (</w:t>
      </w:r>
      <w:proofErr w:type="spellStart"/>
      <w:r w:rsidR="005D2D5F" w:rsidRPr="00980C27">
        <w:rPr>
          <w:rFonts w:ascii="Times New Roman" w:hAnsi="Times New Roman" w:cs="Times New Roman"/>
          <w:sz w:val="20"/>
          <w:szCs w:val="18"/>
        </w:rPr>
        <w:t>Govindasamy</w:t>
      </w:r>
      <w:proofErr w:type="spellEnd"/>
      <w:r w:rsidR="005D2D5F">
        <w:rPr>
          <w:rFonts w:ascii="Times New Roman" w:hAnsi="Times New Roman" w:cs="Times New Roman"/>
          <w:sz w:val="20"/>
          <w:szCs w:val="18"/>
        </w:rPr>
        <w:t xml:space="preserve"> et al., 2023)</w:t>
      </w:r>
      <w:r w:rsidRPr="00454D48">
        <w:rPr>
          <w:rFonts w:ascii="Arial" w:eastAsia="Times New Roman" w:hAnsi="Arial" w:cs="Arial"/>
          <w:sz w:val="20"/>
          <w:szCs w:val="20"/>
          <w:lang w:eastAsia="en-IN"/>
        </w:rPr>
        <w:t>. In cereal and millet-based systems, imbalanced or blanket application of nitrogen fertilizers often leads to low nitrogen use efficiency (NUE), high production costs, and environmental pollution through leaching and gaseous losses</w:t>
      </w:r>
      <w:r w:rsidR="005D2D5F">
        <w:rPr>
          <w:rFonts w:ascii="Arial" w:eastAsia="Times New Roman" w:hAnsi="Arial" w:cs="Arial"/>
          <w:sz w:val="20"/>
          <w:szCs w:val="20"/>
          <w:lang w:eastAsia="en-IN"/>
        </w:rPr>
        <w:t xml:space="preserve"> (</w:t>
      </w:r>
      <w:proofErr w:type="spellStart"/>
      <w:r w:rsidR="005D2D5F" w:rsidRPr="00980C27">
        <w:t>Karnot</w:t>
      </w:r>
      <w:proofErr w:type="spellEnd"/>
      <w:r w:rsidR="005D2D5F">
        <w:t xml:space="preserve"> et al., 2024)</w:t>
      </w:r>
      <w:r w:rsidRPr="00454D48">
        <w:rPr>
          <w:rFonts w:ascii="Arial" w:eastAsia="Times New Roman" w:hAnsi="Arial" w:cs="Arial"/>
          <w:sz w:val="20"/>
          <w:szCs w:val="20"/>
          <w:lang w:eastAsia="en-IN"/>
        </w:rPr>
        <w:t xml:space="preserve">. To address these challenges,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has been widely promoted as a </w:t>
      </w:r>
      <w:r w:rsidRPr="00454D48">
        <w:rPr>
          <w:rFonts w:ascii="Arial" w:eastAsia="Times New Roman" w:hAnsi="Arial" w:cs="Arial"/>
          <w:bCs/>
          <w:sz w:val="20"/>
          <w:szCs w:val="20"/>
          <w:lang w:eastAsia="en-IN"/>
        </w:rPr>
        <w:t>simple, farmer-friendly, and cost-effective tool</w:t>
      </w:r>
      <w:r w:rsidRPr="00454D48">
        <w:rPr>
          <w:rFonts w:ascii="Arial" w:eastAsia="Times New Roman" w:hAnsi="Arial" w:cs="Arial"/>
          <w:sz w:val="20"/>
          <w:szCs w:val="20"/>
          <w:lang w:eastAsia="en-IN"/>
        </w:rPr>
        <w:t xml:space="preserve"> for real-time monitoring of crop nitrogen status. Unlike laboratory-based analytical methods, the LCC allows farmers to make </w:t>
      </w:r>
      <w:r w:rsidRPr="00454D48">
        <w:rPr>
          <w:rFonts w:ascii="Arial" w:eastAsia="Times New Roman" w:hAnsi="Arial" w:cs="Arial"/>
          <w:bCs/>
          <w:sz w:val="20"/>
          <w:szCs w:val="20"/>
          <w:lang w:eastAsia="en-IN"/>
        </w:rPr>
        <w:t>site-specific nitrogen management (SSNM)</w:t>
      </w:r>
      <w:r w:rsidRPr="00454D48">
        <w:rPr>
          <w:rFonts w:ascii="Arial" w:eastAsia="Times New Roman" w:hAnsi="Arial" w:cs="Arial"/>
          <w:sz w:val="20"/>
          <w:szCs w:val="20"/>
          <w:lang w:eastAsia="en-IN"/>
        </w:rPr>
        <w:t xml:space="preserve"> decisions at the field level, ensuring timely and need-based fertilizer application</w:t>
      </w:r>
      <w:r w:rsidR="002E74EF">
        <w:rPr>
          <w:rFonts w:ascii="Arial" w:eastAsia="Times New Roman" w:hAnsi="Arial" w:cs="Arial"/>
          <w:sz w:val="20"/>
          <w:szCs w:val="20"/>
          <w:lang w:eastAsia="en-IN"/>
        </w:rPr>
        <w:t xml:space="preserve"> (Malhi et al., 2022)</w:t>
      </w:r>
      <w:r w:rsidRPr="00454D48">
        <w:rPr>
          <w:rFonts w:ascii="Arial" w:eastAsia="Times New Roman" w:hAnsi="Arial" w:cs="Arial"/>
          <w:sz w:val="20"/>
          <w:szCs w:val="20"/>
          <w:lang w:eastAsia="en-IN"/>
        </w:rPr>
        <w:t>.</w:t>
      </w:r>
    </w:p>
    <w:p w14:paraId="37B0DBD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3.1 </w:t>
      </w:r>
      <w:r w:rsidRPr="00454D48">
        <w:rPr>
          <w:rFonts w:ascii="Arial" w:eastAsia="Times New Roman" w:hAnsi="Arial" w:cs="Arial"/>
          <w:b/>
          <w:bCs/>
          <w:sz w:val="20"/>
          <w:szCs w:val="20"/>
          <w:lang w:eastAsia="en-IN"/>
        </w:rPr>
        <w:t>Principle and Application of LCC</w:t>
      </w:r>
    </w:p>
    <w:p w14:paraId="16EEB10F" w14:textId="7B441D8C"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 xml:space="preserve">The LCC is a standardized chart consisting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strips that represent different shades corresponding to the relative chlorophyll content in leaves</w:t>
      </w:r>
      <w:r w:rsidR="009873D3">
        <w:rPr>
          <w:rFonts w:ascii="Arial" w:eastAsia="Times New Roman" w:hAnsi="Arial" w:cs="Arial"/>
          <w:sz w:val="20"/>
          <w:szCs w:val="20"/>
          <w:lang w:eastAsia="en-IN"/>
        </w:rPr>
        <w:t xml:space="preserve"> (</w:t>
      </w:r>
      <w:r w:rsidR="009873D3">
        <w:t>Kulkarni &amp; Das, 2023)</w:t>
      </w:r>
      <w:r w:rsidRPr="00454D48">
        <w:rPr>
          <w:rFonts w:ascii="Arial" w:eastAsia="Times New Roman" w:hAnsi="Arial" w:cs="Arial"/>
          <w:sz w:val="20"/>
          <w:szCs w:val="20"/>
          <w:lang w:eastAsia="en-IN"/>
        </w:rPr>
        <w:t xml:space="preserve">. The intensity of green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in a crop leaf is an indicator of its nitrogen status since chlorophyll molecules contain nitrogen at their core. By comparing the greenness of the top fully expanded leaf with the shades of the LCC, farmers can determine whether the crop requires additional nitrogen fertilizer. Typically, if the leaf </w:t>
      </w:r>
      <w:proofErr w:type="spellStart"/>
      <w:r w:rsidRPr="00454D48">
        <w:rPr>
          <w:rFonts w:ascii="Arial" w:eastAsia="Times New Roman" w:hAnsi="Arial" w:cs="Arial"/>
          <w:sz w:val="20"/>
          <w:szCs w:val="20"/>
          <w:lang w:eastAsia="en-IN"/>
        </w:rPr>
        <w:t>color</w:t>
      </w:r>
      <w:proofErr w:type="spellEnd"/>
      <w:r w:rsidRPr="00454D48">
        <w:rPr>
          <w:rFonts w:ascii="Arial" w:eastAsia="Times New Roman" w:hAnsi="Arial" w:cs="Arial"/>
          <w:sz w:val="20"/>
          <w:szCs w:val="20"/>
          <w:lang w:eastAsia="en-IN"/>
        </w:rPr>
        <w:t xml:space="preserve"> is lighter than the threshold value (commonly 4 or 5 in cereals), a top-dressing of nitrogen is recommended. This decision-making process reduces unnecessary nitrogen use, improves NUE, and prevents yield penalties associated with nitrogen deficiency.</w:t>
      </w:r>
    </w:p>
    <w:p w14:paraId="5E0B39C8"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lastRenderedPageBreak/>
        <w:t xml:space="preserve">3.2 </w:t>
      </w:r>
      <w:r w:rsidRPr="00454D48">
        <w:rPr>
          <w:rFonts w:ascii="Arial" w:eastAsia="Times New Roman" w:hAnsi="Arial" w:cs="Arial"/>
          <w:b/>
          <w:bCs/>
          <w:sz w:val="20"/>
          <w:szCs w:val="20"/>
          <w:lang w:eastAsia="en-IN"/>
        </w:rPr>
        <w:t>LCC in Millets: Sorghum, Bajra, and Finger Millet</w:t>
      </w:r>
    </w:p>
    <w:p w14:paraId="6FB4835F"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 xml:space="preserve">The use of LCC in </w:t>
      </w:r>
      <w:r w:rsidRPr="00454D48">
        <w:rPr>
          <w:rFonts w:ascii="Arial" w:eastAsia="Times New Roman" w:hAnsi="Arial" w:cs="Arial"/>
          <w:bCs/>
          <w:sz w:val="20"/>
          <w:szCs w:val="20"/>
          <w:lang w:eastAsia="en-IN"/>
        </w:rPr>
        <w:t>sorghum millet, bajra (pearl millet), and finger millet</w:t>
      </w:r>
      <w:r w:rsidRPr="00454D48">
        <w:rPr>
          <w:rFonts w:ascii="Arial" w:eastAsia="Times New Roman" w:hAnsi="Arial" w:cs="Arial"/>
          <w:sz w:val="20"/>
          <w:szCs w:val="20"/>
          <w:lang w:eastAsia="en-IN"/>
        </w:rPr>
        <w:t xml:space="preserve"> has gained importance due to their predominance in rainfed and resource-poor farming systems. These crops are highly adaptive to marginal environments but are often cultivated with minimal fertilizer inputs, resulting in lower productivity. The image highlights the practical field application of LCC in these millet species.</w:t>
      </w:r>
    </w:p>
    <w:p w14:paraId="7B20CBEB" w14:textId="63BC1689"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Sorghum Millet:</w:t>
      </w:r>
      <w:r w:rsidRPr="00454D48">
        <w:rPr>
          <w:rFonts w:ascii="Arial" w:eastAsia="Times New Roman" w:hAnsi="Arial" w:cs="Arial"/>
          <w:sz w:val="20"/>
          <w:szCs w:val="20"/>
          <w:lang w:eastAsia="en-IN"/>
        </w:rPr>
        <w:t xml:space="preserve"> Sorghum leaves exhibit distinct variation in greenness depending on nitrogen availability</w:t>
      </w:r>
      <w:r w:rsidR="005D2D5F">
        <w:rPr>
          <w:rFonts w:ascii="Arial" w:eastAsia="Times New Roman" w:hAnsi="Arial" w:cs="Arial"/>
          <w:sz w:val="20"/>
          <w:szCs w:val="20"/>
          <w:lang w:eastAsia="en-IN"/>
        </w:rPr>
        <w:t xml:space="preserve"> (</w:t>
      </w:r>
      <w:proofErr w:type="spellStart"/>
      <w:r w:rsidR="005D2D5F" w:rsidRPr="00E9784B">
        <w:t>Bollam</w:t>
      </w:r>
      <w:proofErr w:type="spellEnd"/>
      <w:r w:rsidR="005D2D5F">
        <w:t xml:space="preserve"> et al., 2021)</w:t>
      </w:r>
      <w:r w:rsidRPr="00454D48">
        <w:rPr>
          <w:rFonts w:ascii="Arial" w:eastAsia="Times New Roman" w:hAnsi="Arial" w:cs="Arial"/>
          <w:sz w:val="20"/>
          <w:szCs w:val="20"/>
          <w:lang w:eastAsia="en-IN"/>
        </w:rPr>
        <w:t>. Using LCC in sorghum enables precise nitrogen application, thereby improving grain filling, panicle size, and stover yield, which are critical for both food and fodder purposes</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Ostmeyer et al., 2022</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343BF2AE" w14:textId="2D4783B0"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Bajra Millet:</w:t>
      </w:r>
      <w:r w:rsidRPr="00454D48">
        <w:rPr>
          <w:rFonts w:ascii="Arial" w:eastAsia="Times New Roman" w:hAnsi="Arial" w:cs="Arial"/>
          <w:sz w:val="20"/>
          <w:szCs w:val="20"/>
          <w:lang w:eastAsia="en-IN"/>
        </w:rPr>
        <w:t xml:space="preserve"> Bajra is widely grown in semi-arid tropics and is often subjected to nutrient stress</w:t>
      </w:r>
      <w:r w:rsidR="00354903">
        <w:rPr>
          <w:rFonts w:ascii="Arial" w:eastAsia="Times New Roman" w:hAnsi="Arial" w:cs="Arial"/>
          <w:sz w:val="20"/>
          <w:szCs w:val="20"/>
          <w:lang w:eastAsia="en-IN"/>
        </w:rPr>
        <w:t xml:space="preserve"> (</w:t>
      </w:r>
      <w:r w:rsidR="00354903" w:rsidRPr="00915B99">
        <w:t>Shashikala</w:t>
      </w:r>
      <w:r w:rsidR="00354903">
        <w:t xml:space="preserve"> et al., 2023)</w:t>
      </w:r>
      <w:r w:rsidRPr="00454D48">
        <w:rPr>
          <w:rFonts w:ascii="Arial" w:eastAsia="Times New Roman" w:hAnsi="Arial" w:cs="Arial"/>
          <w:sz w:val="20"/>
          <w:szCs w:val="20"/>
          <w:lang w:eastAsia="en-IN"/>
        </w:rPr>
        <w:t>. Employing LCC ensures nitrogen supplementation at the right growth stages (tillering and panicle initiation), which enhances tiller survival, panicle emergence, and overall productivity</w:t>
      </w:r>
      <w:r w:rsidR="002E74EF">
        <w:rPr>
          <w:rFonts w:ascii="Arial" w:eastAsia="Times New Roman" w:hAnsi="Arial" w:cs="Arial"/>
          <w:sz w:val="20"/>
          <w:szCs w:val="20"/>
          <w:lang w:eastAsia="en-IN"/>
        </w:rPr>
        <w:t xml:space="preserve"> (</w:t>
      </w:r>
      <w:r w:rsidR="002E74EF">
        <w:rPr>
          <w:rFonts w:ascii="Arial" w:hAnsi="Arial" w:cs="Arial"/>
          <w:color w:val="222222"/>
          <w:sz w:val="20"/>
          <w:szCs w:val="20"/>
          <w:shd w:val="clear" w:color="auto" w:fill="FFFFFF"/>
        </w:rPr>
        <w:t>Al-</w:t>
      </w:r>
      <w:proofErr w:type="spellStart"/>
      <w:r w:rsidR="002E74EF">
        <w:rPr>
          <w:rFonts w:ascii="Arial" w:hAnsi="Arial" w:cs="Arial"/>
          <w:color w:val="222222"/>
          <w:sz w:val="20"/>
          <w:szCs w:val="20"/>
          <w:shd w:val="clear" w:color="auto" w:fill="FFFFFF"/>
        </w:rPr>
        <w:t>Tawaha</w:t>
      </w:r>
      <w:proofErr w:type="spellEnd"/>
      <w:r w:rsidR="002E74EF">
        <w:rPr>
          <w:rFonts w:ascii="Arial" w:hAnsi="Arial" w:cs="Arial"/>
          <w:color w:val="222222"/>
          <w:sz w:val="20"/>
          <w:szCs w:val="20"/>
          <w:shd w:val="clear" w:color="auto" w:fill="FFFFFF"/>
        </w:rPr>
        <w:t xml:space="preserve"> et al., 2020</w:t>
      </w:r>
      <w:r w:rsidR="002E74EF">
        <w:rPr>
          <w:rFonts w:ascii="Arial" w:eastAsia="Times New Roman" w:hAnsi="Arial" w:cs="Arial"/>
          <w:sz w:val="20"/>
          <w:szCs w:val="20"/>
          <w:lang w:eastAsia="en-IN"/>
        </w:rPr>
        <w:t>)</w:t>
      </w:r>
      <w:r w:rsidRPr="00454D48">
        <w:rPr>
          <w:rFonts w:ascii="Arial" w:eastAsia="Times New Roman" w:hAnsi="Arial" w:cs="Arial"/>
          <w:sz w:val="20"/>
          <w:szCs w:val="20"/>
          <w:lang w:eastAsia="en-IN"/>
        </w:rPr>
        <w:t>.</w:t>
      </w:r>
    </w:p>
    <w:p w14:paraId="7AD9BDDF" w14:textId="00CE05B1" w:rsidR="00454D48" w:rsidRPr="00454D48" w:rsidRDefault="00454D48" w:rsidP="00454D48">
      <w:pPr>
        <w:numPr>
          <w:ilvl w:val="0"/>
          <w:numId w:val="5"/>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LCC in Finger Millet:</w:t>
      </w:r>
      <w:r w:rsidRPr="00454D48">
        <w:rPr>
          <w:rFonts w:ascii="Arial" w:eastAsia="Times New Roman" w:hAnsi="Arial" w:cs="Arial"/>
          <w:sz w:val="20"/>
          <w:szCs w:val="20"/>
          <w:lang w:eastAsia="en-IN"/>
        </w:rPr>
        <w:t xml:space="preserve"> Finger millet is nutritionally rich but generally cultivated in low-input systems</w:t>
      </w:r>
      <w:r w:rsidR="003368A6">
        <w:rPr>
          <w:rFonts w:ascii="Arial" w:eastAsia="Times New Roman" w:hAnsi="Arial" w:cs="Arial"/>
          <w:sz w:val="20"/>
          <w:szCs w:val="20"/>
          <w:lang w:eastAsia="en-IN"/>
        </w:rPr>
        <w:t xml:space="preserve"> (</w:t>
      </w:r>
      <w:r w:rsidR="003368A6" w:rsidRPr="00101F7C">
        <w:t>Sneha</w:t>
      </w:r>
      <w:r w:rsidR="003368A6">
        <w:t xml:space="preserve"> et al., 2025)</w:t>
      </w:r>
      <w:r w:rsidRPr="00454D48">
        <w:rPr>
          <w:rFonts w:ascii="Arial" w:eastAsia="Times New Roman" w:hAnsi="Arial" w:cs="Arial"/>
          <w:sz w:val="20"/>
          <w:szCs w:val="20"/>
          <w:lang w:eastAsia="en-IN"/>
        </w:rPr>
        <w:t>. LCC-based nitrogen management in finger millet helps in balancing vegetative and reproductive growth, leading to improved seed setting and grain yield without over-fertilization.</w:t>
      </w:r>
    </w:p>
    <w:p w14:paraId="0E560ADA" w14:textId="77777777" w:rsidR="00454D48" w:rsidRPr="00454D48" w:rsidRDefault="00454D48" w:rsidP="00454D48">
      <w:pPr>
        <w:spacing w:before="100" w:beforeAutospacing="1" w:after="100" w:afterAutospacing="1" w:line="240" w:lineRule="auto"/>
        <w:jc w:val="both"/>
        <w:outlineLvl w:val="2"/>
        <w:rPr>
          <w:rFonts w:ascii="Arial" w:eastAsia="Times New Roman" w:hAnsi="Arial" w:cs="Arial"/>
          <w:b/>
          <w:bCs/>
          <w:sz w:val="20"/>
          <w:szCs w:val="20"/>
          <w:lang w:eastAsia="en-IN"/>
        </w:rPr>
      </w:pPr>
      <w:r>
        <w:rPr>
          <w:rFonts w:ascii="Arial" w:eastAsia="Times New Roman" w:hAnsi="Arial" w:cs="Arial"/>
          <w:b/>
          <w:bCs/>
          <w:sz w:val="20"/>
          <w:szCs w:val="20"/>
          <w:lang w:eastAsia="en-IN"/>
        </w:rPr>
        <w:t xml:space="preserve">3.3 </w:t>
      </w:r>
      <w:r w:rsidRPr="00454D48">
        <w:rPr>
          <w:rFonts w:ascii="Arial" w:eastAsia="Times New Roman" w:hAnsi="Arial" w:cs="Arial"/>
          <w:b/>
          <w:bCs/>
          <w:sz w:val="20"/>
          <w:szCs w:val="20"/>
          <w:lang w:eastAsia="en-IN"/>
        </w:rPr>
        <w:t>Benefits and Sustainability Aspects</w:t>
      </w:r>
    </w:p>
    <w:p w14:paraId="15EB03F9" w14:textId="77777777" w:rsidR="00454D48" w:rsidRPr="00454D48" w:rsidRDefault="00454D48" w:rsidP="00454D48">
      <w:p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sz w:val="20"/>
          <w:szCs w:val="20"/>
          <w:lang w:eastAsia="en-IN"/>
        </w:rPr>
        <w:t>Adopting LCC-based nitrogen management in millet cultivation brings several agronomic and environmental benefits:</w:t>
      </w:r>
    </w:p>
    <w:p w14:paraId="74041277"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Enhanced Nitrogen Use Efficiency (NUE):</w:t>
      </w:r>
      <w:r w:rsidRPr="00454D48">
        <w:rPr>
          <w:rFonts w:ascii="Arial" w:eastAsia="Times New Roman" w:hAnsi="Arial" w:cs="Arial"/>
          <w:sz w:val="20"/>
          <w:szCs w:val="20"/>
          <w:lang w:eastAsia="en-IN"/>
        </w:rPr>
        <w:t xml:space="preserve"> Ensures nitrogen is used by the plant when needed, minimizing wastage.</w:t>
      </w:r>
    </w:p>
    <w:p w14:paraId="5B45431C"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Yield Stability:</w:t>
      </w:r>
      <w:r w:rsidRPr="00454D48">
        <w:rPr>
          <w:rFonts w:ascii="Arial" w:eastAsia="Times New Roman" w:hAnsi="Arial" w:cs="Arial"/>
          <w:sz w:val="20"/>
          <w:szCs w:val="20"/>
          <w:lang w:eastAsia="en-IN"/>
        </w:rPr>
        <w:t xml:space="preserve"> Maintains optimum chlorophyll content and photosynthetic efficiency, which directly supports yield stability.</w:t>
      </w:r>
    </w:p>
    <w:p w14:paraId="0B2C67F6"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Cost-Effectiveness:</w:t>
      </w:r>
      <w:r w:rsidRPr="00454D48">
        <w:rPr>
          <w:rFonts w:ascii="Arial" w:eastAsia="Times New Roman" w:hAnsi="Arial" w:cs="Arial"/>
          <w:sz w:val="20"/>
          <w:szCs w:val="20"/>
          <w:lang w:eastAsia="en-IN"/>
        </w:rPr>
        <w:t xml:space="preserve"> Reduces excess fertilizer use, lowering input costs for smallholder farmers.</w:t>
      </w:r>
    </w:p>
    <w:p w14:paraId="419CF33A"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Environmental Safety:</w:t>
      </w:r>
      <w:r w:rsidRPr="00454D48">
        <w:rPr>
          <w:rFonts w:ascii="Arial" w:eastAsia="Times New Roman" w:hAnsi="Arial" w:cs="Arial"/>
          <w:sz w:val="20"/>
          <w:szCs w:val="20"/>
          <w:lang w:eastAsia="en-IN"/>
        </w:rPr>
        <w:t xml:space="preserve"> Minimizes nitrate leaching and nitrous oxide emissions, thus supporting climate-smart agriculture.</w:t>
      </w:r>
    </w:p>
    <w:p w14:paraId="3D2BCE03" w14:textId="77777777" w:rsidR="00454D48" w:rsidRPr="00454D48" w:rsidRDefault="00454D48" w:rsidP="00454D48">
      <w:pPr>
        <w:numPr>
          <w:ilvl w:val="0"/>
          <w:numId w:val="6"/>
        </w:numPr>
        <w:spacing w:before="100" w:beforeAutospacing="1" w:after="100" w:afterAutospacing="1" w:line="240" w:lineRule="auto"/>
        <w:jc w:val="both"/>
        <w:rPr>
          <w:rFonts w:ascii="Arial" w:eastAsia="Times New Roman" w:hAnsi="Arial" w:cs="Arial"/>
          <w:sz w:val="20"/>
          <w:szCs w:val="20"/>
          <w:lang w:eastAsia="en-IN"/>
        </w:rPr>
      </w:pPr>
      <w:r w:rsidRPr="00454D48">
        <w:rPr>
          <w:rFonts w:ascii="Arial" w:eastAsia="Times New Roman" w:hAnsi="Arial" w:cs="Arial"/>
          <w:b/>
          <w:bCs/>
          <w:sz w:val="20"/>
          <w:szCs w:val="20"/>
          <w:lang w:eastAsia="en-IN"/>
        </w:rPr>
        <w:t>Suitability for Resource-Poor Farmers:</w:t>
      </w:r>
      <w:r w:rsidRPr="00454D48">
        <w:rPr>
          <w:rFonts w:ascii="Arial" w:eastAsia="Times New Roman" w:hAnsi="Arial" w:cs="Arial"/>
          <w:sz w:val="20"/>
          <w:szCs w:val="20"/>
          <w:lang w:eastAsia="en-IN"/>
        </w:rPr>
        <w:t xml:space="preserve"> As a low-cost tool, the LCC is particularly beneficial for smallholders in developing regions where soil testing and advanced diagnostic tools are not accessible.</w:t>
      </w:r>
    </w:p>
    <w:p w14:paraId="548B300A" w14:textId="77777777" w:rsidR="002E74EF" w:rsidRPr="002E74EF" w:rsidRDefault="00454D48" w:rsidP="002E74EF">
      <w:pPr>
        <w:spacing w:line="240" w:lineRule="auto"/>
        <w:jc w:val="both"/>
        <w:rPr>
          <w:rFonts w:ascii="Arial" w:hAnsi="Arial" w:cs="Arial"/>
          <w:b/>
          <w:sz w:val="20"/>
          <w:szCs w:val="20"/>
        </w:rPr>
      </w:pPr>
      <w:r w:rsidRPr="00454D48">
        <w:rPr>
          <w:rFonts w:ascii="Arial" w:eastAsia="Times New Roman" w:hAnsi="Arial" w:cs="Arial"/>
          <w:sz w:val="20"/>
          <w:szCs w:val="20"/>
          <w:lang w:eastAsia="en-IN"/>
        </w:rPr>
        <w:t xml:space="preserve">The integration of the </w:t>
      </w:r>
      <w:r w:rsidRPr="00454D48">
        <w:rPr>
          <w:rFonts w:ascii="Arial" w:eastAsia="Times New Roman" w:hAnsi="Arial" w:cs="Arial"/>
          <w:bCs/>
          <w:sz w:val="20"/>
          <w:szCs w:val="20"/>
          <w:lang w:eastAsia="en-IN"/>
        </w:rPr>
        <w:t xml:space="preserve">Leaf </w:t>
      </w:r>
      <w:proofErr w:type="spellStart"/>
      <w:r w:rsidRPr="00454D48">
        <w:rPr>
          <w:rFonts w:ascii="Arial" w:eastAsia="Times New Roman" w:hAnsi="Arial" w:cs="Arial"/>
          <w:bCs/>
          <w:sz w:val="20"/>
          <w:szCs w:val="20"/>
          <w:lang w:eastAsia="en-IN"/>
        </w:rPr>
        <w:t>Color</w:t>
      </w:r>
      <w:proofErr w:type="spellEnd"/>
      <w:r w:rsidRPr="00454D48">
        <w:rPr>
          <w:rFonts w:ascii="Arial" w:eastAsia="Times New Roman" w:hAnsi="Arial" w:cs="Arial"/>
          <w:bCs/>
          <w:sz w:val="20"/>
          <w:szCs w:val="20"/>
          <w:lang w:eastAsia="en-IN"/>
        </w:rPr>
        <w:t xml:space="preserve"> Chart (LCC)</w:t>
      </w:r>
      <w:r w:rsidRPr="00454D48">
        <w:rPr>
          <w:rFonts w:ascii="Arial" w:eastAsia="Times New Roman" w:hAnsi="Arial" w:cs="Arial"/>
          <w:sz w:val="20"/>
          <w:szCs w:val="20"/>
          <w:lang w:eastAsia="en-IN"/>
        </w:rPr>
        <w:t xml:space="preserve"> into millet-based farming systems is a promising strategy to bridge the gap between low-input traditional practices and modern precision nutrient management. Its application in sorghum, bajra, and finger millet not only improves productivity and profitability but also contributes to </w:t>
      </w:r>
      <w:r w:rsidRPr="00454D48">
        <w:rPr>
          <w:rFonts w:ascii="Arial" w:eastAsia="Times New Roman" w:hAnsi="Arial" w:cs="Arial"/>
          <w:bCs/>
          <w:sz w:val="20"/>
          <w:szCs w:val="20"/>
          <w:lang w:eastAsia="en-IN"/>
        </w:rPr>
        <w:t>sustainable intensification</w:t>
      </w:r>
      <w:r w:rsidRPr="00454D48">
        <w:rPr>
          <w:rFonts w:ascii="Arial" w:eastAsia="Times New Roman" w:hAnsi="Arial" w:cs="Arial"/>
          <w:sz w:val="20"/>
          <w:szCs w:val="20"/>
          <w:lang w:eastAsia="en-IN"/>
        </w:rPr>
        <w:t xml:space="preserve"> of millet cultivation. As millets gain global recognition for their resilience and nutritional value, LCC-based nitrogen management can play a pivotal role in ensuring both </w:t>
      </w:r>
      <w:r w:rsidRPr="00454D48">
        <w:rPr>
          <w:rFonts w:ascii="Arial" w:eastAsia="Times New Roman" w:hAnsi="Arial" w:cs="Arial"/>
          <w:bCs/>
          <w:sz w:val="20"/>
          <w:szCs w:val="20"/>
          <w:lang w:eastAsia="en-IN"/>
        </w:rPr>
        <w:t>food security and environmental sustainability</w:t>
      </w:r>
      <w:r w:rsidRPr="00454D48">
        <w:rPr>
          <w:rFonts w:ascii="Arial" w:eastAsia="Times New Roman" w:hAnsi="Arial" w:cs="Arial"/>
          <w:sz w:val="20"/>
          <w:szCs w:val="20"/>
          <w:lang w:eastAsia="en-IN"/>
        </w:rPr>
        <w:t>.</w:t>
      </w:r>
      <w:r w:rsidR="002E74EF" w:rsidRPr="002E74EF">
        <w:rPr>
          <w:rFonts w:ascii="Arial" w:hAnsi="Arial" w:cs="Arial"/>
          <w:b/>
          <w:sz w:val="20"/>
          <w:szCs w:val="20"/>
        </w:rPr>
        <w:t xml:space="preserve"> </w:t>
      </w:r>
      <w:r w:rsidR="002E74EF" w:rsidRPr="002E74EF">
        <w:rPr>
          <w:rFonts w:ascii="Arial" w:hAnsi="Arial" w:cs="Arial"/>
          <w:sz w:val="20"/>
          <w:szCs w:val="20"/>
        </w:rPr>
        <w:t xml:space="preserve">Application of Leaf </w:t>
      </w:r>
      <w:proofErr w:type="spellStart"/>
      <w:r w:rsidR="002E74EF" w:rsidRPr="002E74EF">
        <w:rPr>
          <w:rFonts w:ascii="Arial" w:hAnsi="Arial" w:cs="Arial"/>
          <w:sz w:val="20"/>
          <w:szCs w:val="20"/>
        </w:rPr>
        <w:t>Color</w:t>
      </w:r>
      <w:proofErr w:type="spellEnd"/>
      <w:r w:rsidR="002E74EF" w:rsidRPr="002E74EF">
        <w:rPr>
          <w:rFonts w:ascii="Arial" w:hAnsi="Arial" w:cs="Arial"/>
          <w:sz w:val="20"/>
          <w:szCs w:val="20"/>
        </w:rPr>
        <w:t xml:space="preserve"> Chart (LCC) in Millets for Nitrogen Management illustrated in Fig. 1.</w:t>
      </w:r>
    </w:p>
    <w:p w14:paraId="7ABEDF7F" w14:textId="77777777" w:rsidR="00454D48" w:rsidRPr="00454D48" w:rsidRDefault="00454D48" w:rsidP="00454D48">
      <w:pPr>
        <w:pStyle w:val="NoSpacing"/>
        <w:rPr>
          <w:rFonts w:ascii="Arial" w:hAnsi="Arial" w:cs="Arial"/>
          <w:sz w:val="20"/>
          <w:szCs w:val="20"/>
        </w:rPr>
      </w:pPr>
      <w:r w:rsidRPr="00454D48">
        <w:rPr>
          <w:rFonts w:ascii="Arial" w:hAnsi="Arial" w:cs="Arial"/>
          <w:noProof/>
          <w:sz w:val="20"/>
          <w:szCs w:val="20"/>
          <w:lang w:val="en-US"/>
        </w:rPr>
        <w:drawing>
          <wp:inline distT="0" distB="0" distL="0" distR="0" wp14:anchorId="34151B38" wp14:editId="28C2150D">
            <wp:extent cx="5731510" cy="1687195"/>
            <wp:effectExtent l="19050" t="19050" r="21590" b="27305"/>
            <wp:docPr id="4" name="Picture 4" descr="https://www.nitrogenparameters.com/assets/images/slides/3cro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itrogenparameters.com/assets/images/slides/3crop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687195"/>
                    </a:xfrm>
                    <a:prstGeom prst="rect">
                      <a:avLst/>
                    </a:prstGeom>
                    <a:noFill/>
                    <a:ln w="6350">
                      <a:solidFill>
                        <a:schemeClr val="tx1"/>
                      </a:solidFill>
                    </a:ln>
                  </pic:spPr>
                </pic:pic>
              </a:graphicData>
            </a:graphic>
          </wp:inline>
        </w:drawing>
      </w:r>
    </w:p>
    <w:p w14:paraId="0791129C" w14:textId="77777777" w:rsidR="00454D48" w:rsidRPr="002E74EF" w:rsidRDefault="00454D48" w:rsidP="002E74EF">
      <w:pPr>
        <w:spacing w:line="240" w:lineRule="auto"/>
        <w:jc w:val="center"/>
        <w:rPr>
          <w:rFonts w:ascii="Arial" w:hAnsi="Arial" w:cs="Arial"/>
          <w:b/>
          <w:sz w:val="20"/>
          <w:szCs w:val="20"/>
        </w:rPr>
      </w:pPr>
      <w:r w:rsidRPr="002E74EF">
        <w:rPr>
          <w:rFonts w:ascii="Arial" w:hAnsi="Arial" w:cs="Arial"/>
          <w:b/>
          <w:sz w:val="20"/>
          <w:szCs w:val="20"/>
        </w:rPr>
        <w:t xml:space="preserve">Fig. 1.  </w:t>
      </w:r>
      <w:r w:rsidR="002E74EF" w:rsidRPr="002E74EF">
        <w:rPr>
          <w:rFonts w:ascii="Arial" w:hAnsi="Arial" w:cs="Arial"/>
          <w:b/>
          <w:sz w:val="20"/>
          <w:szCs w:val="20"/>
        </w:rPr>
        <w:t xml:space="preserve">Application of Leaf </w:t>
      </w:r>
      <w:proofErr w:type="spellStart"/>
      <w:r w:rsidR="002E74EF" w:rsidRPr="002E74EF">
        <w:rPr>
          <w:rFonts w:ascii="Arial" w:hAnsi="Arial" w:cs="Arial"/>
          <w:b/>
          <w:sz w:val="20"/>
          <w:szCs w:val="20"/>
        </w:rPr>
        <w:t>Color</w:t>
      </w:r>
      <w:proofErr w:type="spellEnd"/>
      <w:r w:rsidR="002E74EF" w:rsidRPr="002E74EF">
        <w:rPr>
          <w:rFonts w:ascii="Arial" w:hAnsi="Arial" w:cs="Arial"/>
          <w:b/>
          <w:sz w:val="20"/>
          <w:szCs w:val="20"/>
        </w:rPr>
        <w:t xml:space="preserve"> Chart (LCC) in Millets for Nitrogen Management</w:t>
      </w:r>
    </w:p>
    <w:p w14:paraId="6383ADBB" w14:textId="77777777" w:rsidR="00454D48" w:rsidRPr="00454D48" w:rsidRDefault="00454D48" w:rsidP="00454D48">
      <w:pPr>
        <w:spacing w:line="240" w:lineRule="auto"/>
        <w:ind w:firstLine="720"/>
        <w:jc w:val="both"/>
        <w:rPr>
          <w:rFonts w:ascii="Arial" w:hAnsi="Arial" w:cs="Arial"/>
          <w:sz w:val="20"/>
          <w:szCs w:val="20"/>
        </w:rPr>
      </w:pPr>
    </w:p>
    <w:p w14:paraId="4DACCE94" w14:textId="77777777" w:rsidR="00701D90" w:rsidRPr="00454D48" w:rsidRDefault="00701D90" w:rsidP="00454D48">
      <w:pPr>
        <w:pStyle w:val="ListParagraph"/>
        <w:numPr>
          <w:ilvl w:val="0"/>
          <w:numId w:val="7"/>
        </w:numPr>
        <w:spacing w:line="240" w:lineRule="auto"/>
        <w:rPr>
          <w:rFonts w:ascii="Arial" w:hAnsi="Arial" w:cs="Arial"/>
          <w:b/>
          <w:sz w:val="24"/>
          <w:szCs w:val="20"/>
        </w:rPr>
      </w:pPr>
      <w:r w:rsidRPr="00454D48">
        <w:rPr>
          <w:rFonts w:ascii="Arial" w:hAnsi="Arial" w:cs="Arial"/>
          <w:b/>
          <w:sz w:val="24"/>
          <w:szCs w:val="20"/>
        </w:rPr>
        <w:t xml:space="preserve">CRITICAL </w:t>
      </w:r>
      <w:r w:rsidR="00737F69" w:rsidRPr="00454D48">
        <w:rPr>
          <w:rFonts w:ascii="Arial" w:hAnsi="Arial" w:cs="Arial"/>
          <w:b/>
          <w:sz w:val="24"/>
          <w:szCs w:val="20"/>
        </w:rPr>
        <w:t>COLOR</w:t>
      </w:r>
      <w:r w:rsidRPr="00454D48">
        <w:rPr>
          <w:rFonts w:ascii="Arial" w:hAnsi="Arial" w:cs="Arial"/>
          <w:b/>
          <w:sz w:val="24"/>
          <w:szCs w:val="20"/>
        </w:rPr>
        <w:t xml:space="preserve"> GRADES OR LCC VALUES </w:t>
      </w:r>
    </w:p>
    <w:p w14:paraId="797DCFF7" w14:textId="77777777" w:rsidR="00701D90" w:rsidRPr="00454D48" w:rsidRDefault="00701D90" w:rsidP="00454D48">
      <w:pPr>
        <w:spacing w:line="240" w:lineRule="auto"/>
        <w:jc w:val="both"/>
        <w:rPr>
          <w:rFonts w:ascii="Arial" w:hAnsi="Arial" w:cs="Arial"/>
          <w:sz w:val="20"/>
          <w:szCs w:val="20"/>
        </w:rPr>
      </w:pPr>
      <w:r w:rsidRPr="00454D48">
        <w:rPr>
          <w:rFonts w:ascii="Arial" w:hAnsi="Arial" w:cs="Arial"/>
          <w:sz w:val="20"/>
          <w:szCs w:val="20"/>
        </w:rPr>
        <w:t xml:space="preserve">The determination of critical </w:t>
      </w:r>
      <w:r w:rsidR="00737F69" w:rsidRPr="00454D48">
        <w:rPr>
          <w:rFonts w:ascii="Arial" w:hAnsi="Arial" w:cs="Arial"/>
          <w:sz w:val="20"/>
          <w:szCs w:val="20"/>
        </w:rPr>
        <w:t>color</w:t>
      </w:r>
      <w:r w:rsidRPr="00454D48">
        <w:rPr>
          <w:rFonts w:ascii="Arial" w:hAnsi="Arial" w:cs="Arial"/>
          <w:sz w:val="20"/>
          <w:szCs w:val="20"/>
        </w:rPr>
        <w:t xml:space="preserve"> grades or Leaf </w:t>
      </w:r>
      <w:r w:rsidR="00737F69" w:rsidRPr="00454D48">
        <w:rPr>
          <w:rFonts w:ascii="Arial" w:hAnsi="Arial" w:cs="Arial"/>
          <w:sz w:val="20"/>
          <w:szCs w:val="20"/>
        </w:rPr>
        <w:t>Color</w:t>
      </w:r>
      <w:r w:rsidRPr="00454D48">
        <w:rPr>
          <w:rFonts w:ascii="Arial" w:hAnsi="Arial" w:cs="Arial"/>
          <w:sz w:val="20"/>
          <w:szCs w:val="20"/>
        </w:rPr>
        <w:t xml:space="preserve"> Chart (LCC) values is crucial for effective nitrogen management in rice cultivation. By utilizing the LCC tool, nitrogen application decisions can be made based on specific readings obtained. For instance, if a reading of 4 or above is obtained at panicle initiation, nitrogen application can be skipped. The critical LCC values for nitrogen top dressing vary depending on the characteristics of rice varieties. For varieties with light green foliage, such as scented to aromatic rice varieties, a leaf </w:t>
      </w:r>
      <w:r w:rsidR="00737F69" w:rsidRPr="00454D48">
        <w:rPr>
          <w:rFonts w:ascii="Arial" w:hAnsi="Arial" w:cs="Arial"/>
          <w:sz w:val="20"/>
          <w:szCs w:val="20"/>
        </w:rPr>
        <w:t>color</w:t>
      </w:r>
      <w:r w:rsidRPr="00454D48">
        <w:rPr>
          <w:rFonts w:ascii="Arial" w:hAnsi="Arial" w:cs="Arial"/>
          <w:sz w:val="20"/>
          <w:szCs w:val="20"/>
        </w:rPr>
        <w:t xml:space="preserve"> reading of 3 is considered critical. For other varieties and hybrids, a reading of 4 is deemed critical. Similarly, in the case of transplanted rice, the critical LCC grade is 4, while for direct wet-seeded rice, it is 3. Crops displaying a leaf </w:t>
      </w:r>
      <w:r w:rsidR="00737F69" w:rsidRPr="00454D48">
        <w:rPr>
          <w:rFonts w:ascii="Arial" w:hAnsi="Arial" w:cs="Arial"/>
          <w:sz w:val="20"/>
          <w:szCs w:val="20"/>
        </w:rPr>
        <w:t>color</w:t>
      </w:r>
      <w:r w:rsidRPr="00454D48">
        <w:rPr>
          <w:rFonts w:ascii="Arial" w:hAnsi="Arial" w:cs="Arial"/>
          <w:sz w:val="20"/>
          <w:szCs w:val="20"/>
        </w:rPr>
        <w:t xml:space="preserve"> below the critical values indicate nitrogen deficiency and require immediate nitrogen fertilizer application to prevent yield losses. However, it is important to note that critical LCC values can vary for locally important varieties and different crop establishment methods. Therefore, it may be necessary to redefine the critical LCC values after conducting one or two test seasons specific to the local context. By identifying and applying the critical LCC values, farmers and agronomists can effectively manage nitrogen fertilization, optimizing crop yield and reducing the risk of nitrogen deficiency. Continuous monitoring and adjustment of nitrogen application based on LCC readings can significantly contribute to improved nitrogen use efficiency and sustainable rice production.</w:t>
      </w:r>
    </w:p>
    <w:p w14:paraId="6AA02C84" w14:textId="77777777" w:rsidR="00454D48" w:rsidRDefault="00454D48" w:rsidP="00454D48">
      <w:pPr>
        <w:spacing w:line="240" w:lineRule="auto"/>
        <w:jc w:val="both"/>
        <w:rPr>
          <w:rFonts w:ascii="Arial" w:hAnsi="Arial" w:cs="Arial"/>
          <w:b/>
          <w:bCs/>
          <w:i/>
          <w:sz w:val="20"/>
          <w:szCs w:val="20"/>
        </w:rPr>
      </w:pPr>
    </w:p>
    <w:p w14:paraId="1DD8B27A" w14:textId="77777777" w:rsidR="00F144A1" w:rsidRPr="00454D48" w:rsidRDefault="00F144A1" w:rsidP="00454D48">
      <w:pPr>
        <w:pStyle w:val="ListParagraph"/>
        <w:numPr>
          <w:ilvl w:val="0"/>
          <w:numId w:val="7"/>
        </w:numPr>
        <w:spacing w:line="240" w:lineRule="auto"/>
        <w:jc w:val="both"/>
        <w:rPr>
          <w:rFonts w:ascii="Arial" w:hAnsi="Arial" w:cs="Arial"/>
          <w:sz w:val="24"/>
          <w:szCs w:val="20"/>
        </w:rPr>
      </w:pPr>
      <w:r w:rsidRPr="00454D48">
        <w:rPr>
          <w:rFonts w:ascii="Arial" w:hAnsi="Arial" w:cs="Arial"/>
          <w:b/>
          <w:bCs/>
          <w:sz w:val="24"/>
          <w:szCs w:val="20"/>
        </w:rPr>
        <w:t>GUIDELINES FOR USING LCC</w:t>
      </w:r>
    </w:p>
    <w:p w14:paraId="1D43A2BA"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 xml:space="preserve">When using the Leaf </w:t>
      </w:r>
      <w:r w:rsidR="00737F69" w:rsidRPr="00454D48">
        <w:rPr>
          <w:rFonts w:ascii="Arial" w:hAnsi="Arial" w:cs="Arial"/>
          <w:sz w:val="20"/>
          <w:szCs w:val="20"/>
        </w:rPr>
        <w:t>Color</w:t>
      </w:r>
      <w:r w:rsidRPr="00454D48">
        <w:rPr>
          <w:rFonts w:ascii="Arial" w:hAnsi="Arial" w:cs="Arial"/>
          <w:sz w:val="20"/>
          <w:szCs w:val="20"/>
        </w:rPr>
        <w:t xml:space="preserve"> Chart (LCC) for assessing leaf nitrogen status and determining nitrogen top dressing in rice, it is important to follow the established guidelines:</w:t>
      </w:r>
    </w:p>
    <w:p w14:paraId="46C67A1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Selection:</w:t>
      </w:r>
      <w:r w:rsidRPr="00454D48">
        <w:rPr>
          <w:rFonts w:ascii="Arial" w:hAnsi="Arial" w:cs="Arial"/>
          <w:sz w:val="20"/>
          <w:szCs w:val="20"/>
        </w:rPr>
        <w:t xml:space="preserve"> Choose the topmost fully expanded leaf for leaf </w:t>
      </w:r>
      <w:r w:rsidR="00737F69" w:rsidRPr="00454D48">
        <w:rPr>
          <w:rFonts w:ascii="Arial" w:hAnsi="Arial" w:cs="Arial"/>
          <w:sz w:val="20"/>
          <w:szCs w:val="20"/>
        </w:rPr>
        <w:t>color</w:t>
      </w:r>
      <w:r w:rsidRPr="00454D48">
        <w:rPr>
          <w:rFonts w:ascii="Arial" w:hAnsi="Arial" w:cs="Arial"/>
          <w:sz w:val="20"/>
          <w:szCs w:val="20"/>
        </w:rPr>
        <w:t xml:space="preserve"> measurement, as it is highly correlated with the nitrogen status of rice plants. According to </w:t>
      </w:r>
      <w:r w:rsidRPr="00454D48">
        <w:rPr>
          <w:rFonts w:ascii="Arial" w:hAnsi="Arial" w:cs="Arial"/>
          <w:b/>
          <w:sz w:val="20"/>
          <w:szCs w:val="20"/>
        </w:rPr>
        <w:t>Tanno et al. (1982),</w:t>
      </w:r>
      <w:r w:rsidRPr="00454D48">
        <w:rPr>
          <w:rFonts w:ascii="Arial" w:hAnsi="Arial" w:cs="Arial"/>
          <w:sz w:val="20"/>
          <w:szCs w:val="20"/>
        </w:rPr>
        <w:t xml:space="preserve"> the reading by the </w:t>
      </w:r>
      <w:r w:rsidR="00737F69" w:rsidRPr="00454D48">
        <w:rPr>
          <w:rFonts w:ascii="Arial" w:hAnsi="Arial" w:cs="Arial"/>
          <w:sz w:val="20"/>
          <w:szCs w:val="20"/>
        </w:rPr>
        <w:t>color</w:t>
      </w:r>
      <w:r w:rsidRPr="00454D48">
        <w:rPr>
          <w:rFonts w:ascii="Arial" w:hAnsi="Arial" w:cs="Arial"/>
          <w:sz w:val="20"/>
          <w:szCs w:val="20"/>
        </w:rPr>
        <w:t xml:space="preserve"> scale of the canopy green is more closely correlated with the average chlorophyll content of the three topmost leaves than the reading on a single leaf.</w:t>
      </w:r>
    </w:p>
    <w:p w14:paraId="47466087"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Measurement Technique:</w:t>
      </w:r>
      <w:r w:rsidRPr="00454D48">
        <w:rPr>
          <w:rFonts w:ascii="Arial" w:hAnsi="Arial" w:cs="Arial"/>
          <w:sz w:val="20"/>
          <w:szCs w:val="20"/>
        </w:rPr>
        <w:t xml:space="preserve"> Hold the LCC vertically and place the middle part of the selected leaf approximately 1 cm in front of a color strip on the chart. Compare the leaf color with the shades on the chart to determine the corresponding score.</w:t>
      </w:r>
    </w:p>
    <w:p w14:paraId="71F20045"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Leaf Integrity:</w:t>
      </w:r>
      <w:r w:rsidRPr="00454D48">
        <w:rPr>
          <w:rFonts w:ascii="Arial" w:hAnsi="Arial" w:cs="Arial"/>
          <w:sz w:val="20"/>
          <w:szCs w:val="20"/>
        </w:rPr>
        <w:t xml:space="preserve"> Ensure that the leaf is neither detached nor destroyed during the measurement process. The leaf should remain intact and undamaged.</w:t>
      </w:r>
    </w:p>
    <w:p w14:paraId="6C01401D"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Sunlight and Angle:</w:t>
      </w:r>
      <w:r w:rsidRPr="00454D48">
        <w:rPr>
          <w:rFonts w:ascii="Arial" w:hAnsi="Arial" w:cs="Arial"/>
          <w:sz w:val="20"/>
          <w:szCs w:val="20"/>
        </w:rPr>
        <w:t xml:space="preserve"> Shield the leaf with your body while taking the LCC reading, as the leaf color chart reading can be affected by the angle of the sun and sunlight intensity. This helps minimize any interference from external lighting conditions.</w:t>
      </w:r>
    </w:p>
    <w:p w14:paraId="07058BDB"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Timing of Readings:</w:t>
      </w:r>
      <w:r w:rsidRPr="00454D48">
        <w:rPr>
          <w:rFonts w:ascii="Arial" w:hAnsi="Arial" w:cs="Arial"/>
          <w:sz w:val="20"/>
          <w:szCs w:val="20"/>
        </w:rPr>
        <w:t xml:space="preserve"> Take readings between 8-10 am when there is less glare from the sun. Avoid taking readings very early in the morning when dew drops may make it difficult to obtain accurate readings.</w:t>
      </w:r>
    </w:p>
    <w:p w14:paraId="7AD2F2A6"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Consistency:</w:t>
      </w:r>
      <w:r w:rsidRPr="00454D48">
        <w:rPr>
          <w:rFonts w:ascii="Arial" w:hAnsi="Arial" w:cs="Arial"/>
          <w:sz w:val="20"/>
          <w:szCs w:val="20"/>
        </w:rPr>
        <w:t xml:space="preserve"> Ensure that the same person takes the color measurements at the same time of the day consistently. This helps maintain consistency in the readings and reduces variability.</w:t>
      </w:r>
    </w:p>
    <w:p w14:paraId="09B3BCF3" w14:textId="77777777" w:rsidR="00F144A1" w:rsidRPr="00454D48" w:rsidRDefault="00F144A1" w:rsidP="00454D48">
      <w:pPr>
        <w:pStyle w:val="ListParagraph"/>
        <w:numPr>
          <w:ilvl w:val="0"/>
          <w:numId w:val="3"/>
        </w:numPr>
        <w:spacing w:line="240" w:lineRule="auto"/>
        <w:jc w:val="both"/>
        <w:rPr>
          <w:rFonts w:ascii="Arial" w:hAnsi="Arial" w:cs="Arial"/>
          <w:sz w:val="20"/>
          <w:szCs w:val="20"/>
        </w:rPr>
      </w:pPr>
      <w:r w:rsidRPr="00454D48">
        <w:rPr>
          <w:rFonts w:ascii="Arial" w:hAnsi="Arial" w:cs="Arial"/>
          <w:b/>
          <w:i/>
          <w:sz w:val="20"/>
          <w:szCs w:val="20"/>
        </w:rPr>
        <w:t>Sampling Size:</w:t>
      </w:r>
      <w:r w:rsidRPr="00454D48">
        <w:rPr>
          <w:rFonts w:ascii="Arial" w:hAnsi="Arial" w:cs="Arial"/>
          <w:sz w:val="20"/>
          <w:szCs w:val="20"/>
        </w:rPr>
        <w:t xml:space="preserve"> Take readings for ten leaves at random from each plot. Calculate the average score and compare it to determine the need for nitrogen top dressing.</w:t>
      </w:r>
    </w:p>
    <w:p w14:paraId="4F646675" w14:textId="77777777" w:rsidR="00F144A1" w:rsidRPr="00454D48" w:rsidRDefault="00F144A1" w:rsidP="00454D48">
      <w:pPr>
        <w:spacing w:line="240" w:lineRule="auto"/>
        <w:jc w:val="both"/>
        <w:rPr>
          <w:rFonts w:ascii="Arial" w:hAnsi="Arial" w:cs="Arial"/>
          <w:sz w:val="20"/>
          <w:szCs w:val="20"/>
        </w:rPr>
      </w:pPr>
      <w:r w:rsidRPr="00454D48">
        <w:rPr>
          <w:rFonts w:ascii="Arial" w:hAnsi="Arial" w:cs="Arial"/>
          <w:sz w:val="20"/>
          <w:szCs w:val="20"/>
        </w:rPr>
        <w:t>Frequency of Readings: Take LCC readings once a week, starting from 14 days after transplanting for transplanted rice or 21 days after seeding for wet-seeded rice</w:t>
      </w:r>
      <w:r w:rsidR="0007559A" w:rsidRPr="00454D48">
        <w:rPr>
          <w:rFonts w:ascii="Arial" w:hAnsi="Arial" w:cs="Arial"/>
          <w:sz w:val="20"/>
          <w:szCs w:val="20"/>
        </w:rPr>
        <w:t xml:space="preserve"> </w:t>
      </w:r>
      <w:r w:rsidR="0007559A" w:rsidRPr="00454D48">
        <w:rPr>
          <w:rFonts w:ascii="Arial" w:hAnsi="Arial" w:cs="Arial"/>
          <w:b/>
          <w:sz w:val="20"/>
          <w:szCs w:val="20"/>
        </w:rPr>
        <w:t>(Fig</w:t>
      </w:r>
      <w:r w:rsidR="00814006" w:rsidRPr="00454D48">
        <w:rPr>
          <w:rFonts w:ascii="Arial" w:hAnsi="Arial" w:cs="Arial"/>
          <w:b/>
          <w:sz w:val="20"/>
          <w:szCs w:val="20"/>
        </w:rPr>
        <w:t>.</w:t>
      </w:r>
      <w:r w:rsidR="0007559A" w:rsidRPr="00454D48">
        <w:rPr>
          <w:rFonts w:ascii="Arial" w:hAnsi="Arial" w:cs="Arial"/>
          <w:b/>
          <w:sz w:val="20"/>
          <w:szCs w:val="20"/>
        </w:rPr>
        <w:t xml:space="preserve"> </w:t>
      </w:r>
      <w:r w:rsidR="00E8432F">
        <w:rPr>
          <w:rFonts w:ascii="Arial" w:hAnsi="Arial" w:cs="Arial"/>
          <w:b/>
          <w:sz w:val="20"/>
          <w:szCs w:val="20"/>
        </w:rPr>
        <w:t>2</w:t>
      </w:r>
      <w:r w:rsidR="0007559A" w:rsidRPr="00454D48">
        <w:rPr>
          <w:rFonts w:ascii="Arial" w:hAnsi="Arial" w:cs="Arial"/>
          <w:b/>
          <w:sz w:val="20"/>
          <w:szCs w:val="20"/>
        </w:rPr>
        <w:t>)</w:t>
      </w:r>
      <w:r w:rsidRPr="00454D48">
        <w:rPr>
          <w:rFonts w:ascii="Arial" w:hAnsi="Arial" w:cs="Arial"/>
          <w:b/>
          <w:sz w:val="20"/>
          <w:szCs w:val="20"/>
        </w:rPr>
        <w:t>.</w:t>
      </w:r>
      <w:r w:rsidRPr="00454D48">
        <w:rPr>
          <w:rFonts w:ascii="Arial" w:hAnsi="Arial" w:cs="Arial"/>
          <w:sz w:val="20"/>
          <w:szCs w:val="20"/>
        </w:rPr>
        <w:t xml:space="preserve"> Continue taking readings once every 7-10 days until the first flowering stage.</w:t>
      </w:r>
      <w:r w:rsidR="0007559A" w:rsidRPr="00454D48">
        <w:rPr>
          <w:rFonts w:ascii="Arial" w:hAnsi="Arial" w:cs="Arial"/>
          <w:sz w:val="20"/>
          <w:szCs w:val="20"/>
        </w:rPr>
        <w:t xml:space="preserve"> </w:t>
      </w:r>
      <w:r w:rsidRPr="00454D48">
        <w:rPr>
          <w:rFonts w:ascii="Arial" w:hAnsi="Arial" w:cs="Arial"/>
          <w:sz w:val="20"/>
          <w:szCs w:val="20"/>
        </w:rPr>
        <w:t>These guidelines, based on scientific research, will help ensure standardized and accurate measurements using the LCC, facilitating effective nitrogen management in rice crops (Tanno et al., 1982).</w:t>
      </w:r>
    </w:p>
    <w:p w14:paraId="59BB6879" w14:textId="77777777" w:rsidR="00F144A1" w:rsidRPr="00454D48" w:rsidRDefault="00230301" w:rsidP="00454D48">
      <w:pPr>
        <w:pStyle w:val="NoSpacing"/>
        <w:rPr>
          <w:rFonts w:ascii="Arial" w:hAnsi="Arial" w:cs="Arial"/>
          <w:sz w:val="20"/>
          <w:szCs w:val="20"/>
        </w:rPr>
      </w:pPr>
      <w:r w:rsidRPr="00454D48">
        <w:rPr>
          <w:rFonts w:ascii="Arial" w:hAnsi="Arial" w:cs="Arial"/>
          <w:noProof/>
          <w:sz w:val="20"/>
          <w:szCs w:val="20"/>
          <w:lang w:val="en-US"/>
        </w:rPr>
        <w:lastRenderedPageBreak/>
        <w:drawing>
          <wp:inline distT="0" distB="0" distL="0" distR="0" wp14:anchorId="38AE682B" wp14:editId="2C0C32F4">
            <wp:extent cx="5729184" cy="2279650"/>
            <wp:effectExtent l="19050" t="19050" r="24130" b="25400"/>
            <wp:docPr id="3" name="Picture 3" descr="https://precisiondev.org/wp-content/uploads/2023/11/LCC-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cisiondev.org/wp-content/uploads/2023/11/LCC-header-.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8870" b="20356"/>
                    <a:stretch/>
                  </pic:blipFill>
                  <pic:spPr bwMode="auto">
                    <a:xfrm>
                      <a:off x="0" y="0"/>
                      <a:ext cx="5731510" cy="2280576"/>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14:paraId="05A3DF39" w14:textId="77777777" w:rsidR="0007559A" w:rsidRPr="00E8432F" w:rsidRDefault="00EE4E69" w:rsidP="00454D48">
      <w:pPr>
        <w:spacing w:line="240" w:lineRule="auto"/>
        <w:jc w:val="center"/>
        <w:rPr>
          <w:rFonts w:ascii="Arial" w:hAnsi="Arial" w:cs="Arial"/>
          <w:b/>
          <w:sz w:val="20"/>
          <w:szCs w:val="20"/>
        </w:rPr>
      </w:pPr>
      <w:r w:rsidRPr="00E8432F">
        <w:rPr>
          <w:rFonts w:ascii="Arial" w:hAnsi="Arial" w:cs="Arial"/>
          <w:b/>
          <w:sz w:val="20"/>
          <w:szCs w:val="20"/>
        </w:rPr>
        <w:t>Fig</w:t>
      </w:r>
      <w:r w:rsidR="00814006" w:rsidRPr="00E8432F">
        <w:rPr>
          <w:rFonts w:ascii="Arial" w:hAnsi="Arial" w:cs="Arial"/>
          <w:b/>
          <w:sz w:val="20"/>
          <w:szCs w:val="20"/>
        </w:rPr>
        <w:t>.</w:t>
      </w:r>
      <w:r w:rsidRPr="00E8432F">
        <w:rPr>
          <w:rFonts w:ascii="Arial" w:hAnsi="Arial" w:cs="Arial"/>
          <w:b/>
          <w:sz w:val="20"/>
          <w:szCs w:val="20"/>
        </w:rPr>
        <w:t xml:space="preserve"> </w:t>
      </w:r>
      <w:r w:rsidR="00E8432F" w:rsidRPr="00E8432F">
        <w:rPr>
          <w:rFonts w:ascii="Arial" w:hAnsi="Arial" w:cs="Arial"/>
          <w:b/>
          <w:sz w:val="20"/>
          <w:szCs w:val="20"/>
        </w:rPr>
        <w:t>2</w:t>
      </w:r>
      <w:r w:rsidRPr="00E8432F">
        <w:rPr>
          <w:rFonts w:ascii="Arial" w:hAnsi="Arial" w:cs="Arial"/>
          <w:b/>
          <w:sz w:val="20"/>
          <w:szCs w:val="20"/>
        </w:rPr>
        <w:t xml:space="preserve">. A standardized leaf </w:t>
      </w:r>
      <w:r w:rsidR="00737F69" w:rsidRPr="00E8432F">
        <w:rPr>
          <w:rFonts w:ascii="Arial" w:hAnsi="Arial" w:cs="Arial"/>
          <w:b/>
          <w:sz w:val="20"/>
          <w:szCs w:val="20"/>
        </w:rPr>
        <w:t>color</w:t>
      </w:r>
      <w:r w:rsidRPr="00E8432F">
        <w:rPr>
          <w:rFonts w:ascii="Arial" w:hAnsi="Arial" w:cs="Arial"/>
          <w:b/>
          <w:sz w:val="20"/>
          <w:szCs w:val="20"/>
        </w:rPr>
        <w:t xml:space="preserve"> chart for assessing leaf N statu</w:t>
      </w:r>
      <w:r w:rsidR="00814006" w:rsidRPr="00E8432F">
        <w:rPr>
          <w:rFonts w:ascii="Arial" w:hAnsi="Arial" w:cs="Arial"/>
          <w:b/>
          <w:sz w:val="20"/>
          <w:szCs w:val="20"/>
        </w:rPr>
        <w:t>s</w:t>
      </w:r>
      <w:r w:rsidRPr="00E8432F">
        <w:rPr>
          <w:rFonts w:ascii="Arial" w:hAnsi="Arial" w:cs="Arial"/>
          <w:b/>
          <w:sz w:val="20"/>
          <w:szCs w:val="20"/>
        </w:rPr>
        <w:t>.</w:t>
      </w:r>
    </w:p>
    <w:p w14:paraId="7AB74B72" w14:textId="77777777" w:rsidR="009943C9" w:rsidRDefault="009943C9" w:rsidP="009943C9">
      <w:pPr>
        <w:spacing w:after="0" w:line="240" w:lineRule="auto"/>
        <w:rPr>
          <w:rFonts w:ascii="Times New Roman" w:eastAsia="Times New Roman" w:hAnsi="Times New Roman" w:cs="Times New Roman"/>
          <w:b/>
          <w:sz w:val="24"/>
          <w:szCs w:val="24"/>
          <w:lang w:eastAsia="en-IN"/>
        </w:rPr>
      </w:pPr>
    </w:p>
    <w:p w14:paraId="64D64807" w14:textId="77777777" w:rsidR="009943C9" w:rsidRPr="009943C9" w:rsidRDefault="009943C9" w:rsidP="009943C9">
      <w:pPr>
        <w:pStyle w:val="ListParagraph"/>
        <w:numPr>
          <w:ilvl w:val="0"/>
          <w:numId w:val="7"/>
        </w:numPr>
        <w:spacing w:after="0" w:line="240" w:lineRule="auto"/>
        <w:rPr>
          <w:rFonts w:ascii="Arial" w:eastAsia="Times New Roman" w:hAnsi="Arial" w:cs="Arial"/>
          <w:b/>
          <w:sz w:val="24"/>
          <w:szCs w:val="24"/>
          <w:lang w:eastAsia="en-IN"/>
        </w:rPr>
      </w:pPr>
      <w:r w:rsidRPr="009943C9">
        <w:rPr>
          <w:rFonts w:ascii="Arial" w:eastAsia="Times New Roman" w:hAnsi="Arial" w:cs="Arial"/>
          <w:b/>
          <w:sz w:val="24"/>
          <w:szCs w:val="24"/>
          <w:lang w:eastAsia="en-IN"/>
        </w:rPr>
        <w:t>LCC-Based Nitrogen Management in Millets and Cereals</w:t>
      </w:r>
    </w:p>
    <w:p w14:paraId="0B9618E0" w14:textId="77777777" w:rsidR="009943C9" w:rsidRPr="009943C9" w:rsidRDefault="009943C9" w:rsidP="009943C9">
      <w:pPr>
        <w:spacing w:before="100" w:beforeAutospacing="1" w:after="100" w:afterAutospacing="1" w:line="240" w:lineRule="auto"/>
        <w:jc w:val="both"/>
        <w:rPr>
          <w:rFonts w:ascii="Arial" w:eastAsia="Times New Roman" w:hAnsi="Arial" w:cs="Arial"/>
          <w:sz w:val="20"/>
          <w:szCs w:val="24"/>
          <w:lang w:eastAsia="en-IN"/>
        </w:rPr>
      </w:pPr>
      <w:r w:rsidRPr="009943C9">
        <w:rPr>
          <w:rFonts w:ascii="Arial" w:eastAsia="Times New Roman" w:hAnsi="Arial" w:cs="Arial"/>
          <w:sz w:val="20"/>
          <w:szCs w:val="24"/>
          <w:lang w:eastAsia="en-IN"/>
        </w:rPr>
        <w:t xml:space="preserve">The application of the </w:t>
      </w:r>
      <w:r w:rsidRPr="009943C9">
        <w:rPr>
          <w:rFonts w:ascii="Arial" w:eastAsia="Times New Roman" w:hAnsi="Arial" w:cs="Arial"/>
          <w:bCs/>
          <w:sz w:val="20"/>
          <w:szCs w:val="24"/>
          <w:lang w:eastAsia="en-IN"/>
        </w:rPr>
        <w:t xml:space="preserve">Leaf </w:t>
      </w:r>
      <w:proofErr w:type="spellStart"/>
      <w:r w:rsidRPr="009943C9">
        <w:rPr>
          <w:rFonts w:ascii="Arial" w:eastAsia="Times New Roman" w:hAnsi="Arial" w:cs="Arial"/>
          <w:bCs/>
          <w:sz w:val="20"/>
          <w:szCs w:val="24"/>
          <w:lang w:eastAsia="en-IN"/>
        </w:rPr>
        <w:t>Color</w:t>
      </w:r>
      <w:proofErr w:type="spellEnd"/>
      <w:r w:rsidRPr="009943C9">
        <w:rPr>
          <w:rFonts w:ascii="Arial" w:eastAsia="Times New Roman" w:hAnsi="Arial" w:cs="Arial"/>
          <w:bCs/>
          <w:sz w:val="20"/>
          <w:szCs w:val="24"/>
          <w:lang w:eastAsia="en-IN"/>
        </w:rPr>
        <w:t xml:space="preserve"> Chart (LCC)</w:t>
      </w:r>
      <w:r w:rsidRPr="009943C9">
        <w:rPr>
          <w:rFonts w:ascii="Arial" w:eastAsia="Times New Roman" w:hAnsi="Arial" w:cs="Arial"/>
          <w:sz w:val="20"/>
          <w:szCs w:val="24"/>
          <w:lang w:eastAsia="en-IN"/>
        </w:rPr>
        <w:t xml:space="preserve"> as a diagnostic tool for nitrogen management has been extensively studied across cereals and millet-based systems. Research evidence indicates that LCC provides a reliable, low-cost, and farmer-friendly approach for optimizing nitrogen application by linking leaf greenness with chlorophyll and nitrogen content. Crop-specific calibration of LCCs has been successfully carried out in sorghum, pearl millet, and finger millet, enabling site-specific nitrogen management under rainfed and low-input production conditions. Studies in sorghum confirmed a positive correlation between LCC scores and grain yield, while calibration trials in finger millet established threshold values for real-time fertilizer application. Similarly, pearl millet was included in institutional calibration programs, highlighting the importance of LCC adoption in resource-poor farming systems. Beyond millets, several reviews and on-farm trials in rice, wheat, and maize have provided strong evidence for LCC in improving nitrogen use efficiency (NUE), reducing fertilizer input without compromising yield, and supporting climate-smart agriculture. A synthesis of key findings from both research and review studies on LCC application in millets and related cereals is presented in </w:t>
      </w:r>
      <w:r w:rsidRPr="009943C9">
        <w:rPr>
          <w:rFonts w:ascii="Arial" w:eastAsia="Times New Roman" w:hAnsi="Arial" w:cs="Arial"/>
          <w:b/>
          <w:bCs/>
          <w:sz w:val="20"/>
          <w:szCs w:val="24"/>
          <w:lang w:eastAsia="en-IN"/>
        </w:rPr>
        <w:t>Table 1</w:t>
      </w:r>
      <w:r w:rsidRPr="009943C9">
        <w:rPr>
          <w:rFonts w:ascii="Arial" w:eastAsia="Times New Roman" w:hAnsi="Arial" w:cs="Arial"/>
          <w:sz w:val="20"/>
          <w:szCs w:val="24"/>
          <w:lang w:eastAsia="en-IN"/>
        </w:rPr>
        <w:t>, which highlights the scope, threshold values, yield responses, and sustainability benefits reported across different crop systems.</w:t>
      </w:r>
    </w:p>
    <w:p w14:paraId="1845052C" w14:textId="77777777" w:rsidR="009943C9" w:rsidRDefault="009943C9" w:rsidP="009943C9">
      <w:pPr>
        <w:spacing w:line="240" w:lineRule="auto"/>
        <w:jc w:val="both"/>
        <w:rPr>
          <w:rFonts w:ascii="Arial" w:hAnsi="Arial" w:cs="Arial"/>
          <w:sz w:val="20"/>
          <w:szCs w:val="20"/>
        </w:rPr>
        <w:sectPr w:rsidR="009943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AE41A83" w14:textId="77777777" w:rsidR="009943C9" w:rsidRPr="009943C9" w:rsidRDefault="009943C9" w:rsidP="009943C9">
      <w:pPr>
        <w:pStyle w:val="NoSpacing"/>
        <w:spacing w:line="360" w:lineRule="auto"/>
        <w:jc w:val="center"/>
        <w:rPr>
          <w:rFonts w:ascii="Arial" w:hAnsi="Arial" w:cs="Arial"/>
          <w:b/>
          <w:sz w:val="20"/>
        </w:rPr>
      </w:pPr>
      <w:r w:rsidRPr="009943C9">
        <w:rPr>
          <w:rFonts w:ascii="Arial" w:hAnsi="Arial" w:cs="Arial"/>
          <w:b/>
          <w:sz w:val="20"/>
        </w:rPr>
        <w:lastRenderedPageBreak/>
        <w:t>Table 1:</w:t>
      </w:r>
      <w:r w:rsidRPr="009943C9">
        <w:t xml:space="preserve"> </w:t>
      </w:r>
      <w:r w:rsidRPr="009943C9">
        <w:rPr>
          <w:rFonts w:ascii="Arial" w:hAnsi="Arial" w:cs="Arial"/>
          <w:b/>
          <w:sz w:val="20"/>
        </w:rPr>
        <w:t>Research Evidence on the Use of Leaf Colour Chart (LCC) for Nitrogen Management in Millets and Related Cereal Systems</w:t>
      </w:r>
    </w:p>
    <w:tbl>
      <w:tblPr>
        <w:tblStyle w:val="TableGrid"/>
        <w:tblW w:w="14087" w:type="dxa"/>
        <w:tblInd w:w="279" w:type="dxa"/>
        <w:tblLook w:val="04A0" w:firstRow="1" w:lastRow="0" w:firstColumn="1" w:lastColumn="0" w:noHBand="0" w:noVBand="1"/>
      </w:tblPr>
      <w:tblGrid>
        <w:gridCol w:w="1748"/>
        <w:gridCol w:w="2421"/>
        <w:gridCol w:w="3018"/>
        <w:gridCol w:w="3450"/>
        <w:gridCol w:w="3450"/>
      </w:tblGrid>
      <w:tr w:rsidR="009943C9" w:rsidRPr="009943C9" w14:paraId="046C2BC2" w14:textId="77777777" w:rsidTr="008A41B1">
        <w:trPr>
          <w:trHeight w:val="255"/>
        </w:trPr>
        <w:tc>
          <w:tcPr>
            <w:tcW w:w="1748" w:type="dxa"/>
            <w:vAlign w:val="center"/>
          </w:tcPr>
          <w:p w14:paraId="0BD9EFE8"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Crop/System</w:t>
            </w:r>
          </w:p>
        </w:tc>
        <w:tc>
          <w:tcPr>
            <w:tcW w:w="2421" w:type="dxa"/>
            <w:vAlign w:val="center"/>
          </w:tcPr>
          <w:p w14:paraId="42D5425D"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Study type &amp; context</w:t>
            </w:r>
          </w:p>
        </w:tc>
        <w:tc>
          <w:tcPr>
            <w:tcW w:w="3018" w:type="dxa"/>
            <w:vAlign w:val="center"/>
          </w:tcPr>
          <w:p w14:paraId="0A5FD4A3"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LCC threshold/approach reported</w:t>
            </w:r>
          </w:p>
        </w:tc>
        <w:tc>
          <w:tcPr>
            <w:tcW w:w="3450" w:type="dxa"/>
            <w:vAlign w:val="center"/>
          </w:tcPr>
          <w:p w14:paraId="196D2571"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Main findings (yield/NUE/management)</w:t>
            </w:r>
          </w:p>
        </w:tc>
        <w:tc>
          <w:tcPr>
            <w:tcW w:w="3450" w:type="dxa"/>
            <w:vAlign w:val="center"/>
          </w:tcPr>
          <w:p w14:paraId="0B422AAF" w14:textId="77777777" w:rsidR="009943C9" w:rsidRPr="00F947FF" w:rsidRDefault="009943C9" w:rsidP="008A41B1">
            <w:pPr>
              <w:jc w:val="center"/>
              <w:rPr>
                <w:rFonts w:ascii="Arial" w:eastAsia="Times New Roman" w:hAnsi="Arial" w:cs="Arial"/>
                <w:b/>
                <w:bCs/>
                <w:sz w:val="20"/>
                <w:szCs w:val="20"/>
                <w:lang w:eastAsia="en-IN"/>
              </w:rPr>
            </w:pPr>
            <w:r w:rsidRPr="00F947FF">
              <w:rPr>
                <w:rFonts w:ascii="Arial" w:eastAsia="Times New Roman" w:hAnsi="Arial" w:cs="Arial"/>
                <w:b/>
                <w:bCs/>
                <w:sz w:val="20"/>
                <w:szCs w:val="20"/>
                <w:lang w:eastAsia="en-IN"/>
              </w:rPr>
              <w:t>Notes for practice</w:t>
            </w:r>
          </w:p>
        </w:tc>
      </w:tr>
      <w:tr w:rsidR="009943C9" w:rsidRPr="009943C9" w14:paraId="26CE29B9" w14:textId="77777777" w:rsidTr="008A41B1">
        <w:trPr>
          <w:trHeight w:val="511"/>
        </w:trPr>
        <w:tc>
          <w:tcPr>
            <w:tcW w:w="1748" w:type="dxa"/>
            <w:vAlign w:val="center"/>
          </w:tcPr>
          <w:p w14:paraId="44D75D16"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Millets (general)</w:t>
            </w:r>
          </w:p>
        </w:tc>
        <w:tc>
          <w:tcPr>
            <w:tcW w:w="2421" w:type="dxa"/>
            <w:vAlign w:val="center"/>
          </w:tcPr>
          <w:p w14:paraId="151AE3E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of nutrient management in millets (ICAR)</w:t>
            </w:r>
          </w:p>
        </w:tc>
        <w:tc>
          <w:tcPr>
            <w:tcW w:w="3018" w:type="dxa"/>
            <w:vAlign w:val="center"/>
          </w:tcPr>
          <w:p w14:paraId="43A585E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Recommends SPAD/LCC for real-time N scheduling within SSNM</w:t>
            </w:r>
          </w:p>
        </w:tc>
        <w:tc>
          <w:tcPr>
            <w:tcW w:w="3450" w:type="dxa"/>
            <w:vAlign w:val="center"/>
          </w:tcPr>
          <w:p w14:paraId="400FEF13"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LCC/SPAD support precision N, integrated with soil–plant analysis and decision tools to raise productivity and recovery efficiency in millets.</w:t>
            </w:r>
          </w:p>
        </w:tc>
        <w:tc>
          <w:tcPr>
            <w:tcW w:w="3450" w:type="dxa"/>
            <w:vAlign w:val="center"/>
          </w:tcPr>
          <w:p w14:paraId="3E53902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 xml:space="preserve">Use LCC alongside SSNM targets (≥80% of </w:t>
            </w:r>
            <w:proofErr w:type="spellStart"/>
            <w:r w:rsidRPr="00F947FF">
              <w:rPr>
                <w:rFonts w:ascii="Arial" w:eastAsia="Times New Roman" w:hAnsi="Arial" w:cs="Arial"/>
                <w:sz w:val="20"/>
                <w:szCs w:val="20"/>
                <w:lang w:eastAsia="en-IN"/>
              </w:rPr>
              <w:t>Ymax</w:t>
            </w:r>
            <w:proofErr w:type="spellEnd"/>
            <w:r w:rsidRPr="00F947FF">
              <w:rPr>
                <w:rFonts w:ascii="Arial" w:eastAsia="Times New Roman" w:hAnsi="Arial" w:cs="Arial"/>
                <w:sz w:val="20"/>
                <w:szCs w:val="20"/>
                <w:lang w:eastAsia="en-IN"/>
              </w:rPr>
              <w:t>) and recovery efficiency metrics.</w:t>
            </w:r>
          </w:p>
        </w:tc>
      </w:tr>
      <w:tr w:rsidR="009943C9" w:rsidRPr="009943C9" w14:paraId="4B92AC4E" w14:textId="77777777" w:rsidTr="008A41B1">
        <w:trPr>
          <w:trHeight w:val="426"/>
        </w:trPr>
        <w:tc>
          <w:tcPr>
            <w:tcW w:w="1748" w:type="dxa"/>
            <w:vAlign w:val="center"/>
          </w:tcPr>
          <w:p w14:paraId="4E2353DB"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Finger millet</w:t>
            </w:r>
          </w:p>
        </w:tc>
        <w:tc>
          <w:tcPr>
            <w:tcW w:w="2421" w:type="dxa"/>
            <w:vAlign w:val="center"/>
          </w:tcPr>
          <w:p w14:paraId="3C54D47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SPAD–LCC calibration/field evaluation</w:t>
            </w:r>
          </w:p>
        </w:tc>
        <w:tc>
          <w:tcPr>
            <w:tcW w:w="3018" w:type="dxa"/>
            <w:vAlign w:val="center"/>
          </w:tcPr>
          <w:p w14:paraId="1D68E11C"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SPAD values used to develop finger-millet LCC ranges</w:t>
            </w:r>
          </w:p>
        </w:tc>
        <w:tc>
          <w:tcPr>
            <w:tcW w:w="3450" w:type="dxa"/>
            <w:vAlign w:val="center"/>
          </w:tcPr>
          <w:p w14:paraId="5B90A1E6"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Establishes greenness–N relationship enabling crop-specific LCC thresholds in finger millet.</w:t>
            </w:r>
          </w:p>
        </w:tc>
        <w:tc>
          <w:tcPr>
            <w:tcW w:w="3450" w:type="dxa"/>
            <w:vAlign w:val="center"/>
          </w:tcPr>
          <w:p w14:paraId="569FCD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Useful where crop-specific LCC is available; reduces subjectivity vs generic charts.</w:t>
            </w:r>
          </w:p>
        </w:tc>
      </w:tr>
      <w:tr w:rsidR="009943C9" w:rsidRPr="009943C9" w14:paraId="3F5224D8" w14:textId="77777777" w:rsidTr="008A41B1">
        <w:trPr>
          <w:trHeight w:val="426"/>
        </w:trPr>
        <w:tc>
          <w:tcPr>
            <w:tcW w:w="1748" w:type="dxa"/>
            <w:vAlign w:val="center"/>
          </w:tcPr>
          <w:p w14:paraId="54E8F6D0"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Sorghum</w:t>
            </w:r>
          </w:p>
        </w:tc>
        <w:tc>
          <w:tcPr>
            <w:tcW w:w="2421" w:type="dxa"/>
            <w:vAlign w:val="center"/>
          </w:tcPr>
          <w:p w14:paraId="0851788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Dissertation with LCC analysis</w:t>
            </w:r>
          </w:p>
        </w:tc>
        <w:tc>
          <w:tcPr>
            <w:tcW w:w="3018" w:type="dxa"/>
            <w:vAlign w:val="center"/>
          </w:tcPr>
          <w:p w14:paraId="3889D39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Positive relation between LCC score and grain yield</w:t>
            </w:r>
          </w:p>
        </w:tc>
        <w:tc>
          <w:tcPr>
            <w:tcW w:w="3450" w:type="dxa"/>
            <w:vAlign w:val="center"/>
          </w:tcPr>
          <w:p w14:paraId="1A8848E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Higher LCC scores aligned with higher sorghum yield, supporting LCC as an indicator for top-dress timing.</w:t>
            </w:r>
          </w:p>
        </w:tc>
        <w:tc>
          <w:tcPr>
            <w:tcW w:w="3450" w:type="dxa"/>
            <w:vAlign w:val="center"/>
          </w:tcPr>
          <w:p w14:paraId="7961FDC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Apply N when leaf shade falls below calibrated threshold for the variety/stage.</w:t>
            </w:r>
          </w:p>
        </w:tc>
      </w:tr>
      <w:tr w:rsidR="009943C9" w:rsidRPr="009943C9" w14:paraId="2483E377" w14:textId="77777777" w:rsidTr="008A41B1">
        <w:trPr>
          <w:trHeight w:val="596"/>
        </w:trPr>
        <w:tc>
          <w:tcPr>
            <w:tcW w:w="1748" w:type="dxa"/>
            <w:vAlign w:val="center"/>
          </w:tcPr>
          <w:p w14:paraId="4D5C530D"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Pearl millet (and other millets)</w:t>
            </w:r>
          </w:p>
        </w:tc>
        <w:tc>
          <w:tcPr>
            <w:tcW w:w="2421" w:type="dxa"/>
            <w:vAlign w:val="center"/>
          </w:tcPr>
          <w:p w14:paraId="69EAF8B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Manufacturer–institute calibration summary (IRRI/ICAR partners incl. IIMR)</w:t>
            </w:r>
          </w:p>
        </w:tc>
        <w:tc>
          <w:tcPr>
            <w:tcW w:w="3018" w:type="dxa"/>
            <w:vAlign w:val="center"/>
          </w:tcPr>
          <w:p w14:paraId="7655040F"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Crop-specific LCCs available (Sorghum, Pearl millet, Finger millet)</w:t>
            </w:r>
          </w:p>
        </w:tc>
        <w:tc>
          <w:tcPr>
            <w:tcW w:w="3450" w:type="dxa"/>
            <w:vAlign w:val="center"/>
          </w:tcPr>
          <w:p w14:paraId="3689A36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Field-calibrated LCCs produced for multiple millet crops to guide need-based N.</w:t>
            </w:r>
          </w:p>
        </w:tc>
        <w:tc>
          <w:tcPr>
            <w:tcW w:w="3450" w:type="dxa"/>
            <w:vAlign w:val="center"/>
          </w:tcPr>
          <w:p w14:paraId="594E1B8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Confirms availability and institutional calibration of millet LCC tools.</w:t>
            </w:r>
          </w:p>
        </w:tc>
      </w:tr>
      <w:tr w:rsidR="009943C9" w:rsidRPr="009943C9" w14:paraId="07A9382C" w14:textId="77777777" w:rsidTr="008A41B1">
        <w:trPr>
          <w:trHeight w:val="511"/>
        </w:trPr>
        <w:tc>
          <w:tcPr>
            <w:tcW w:w="1748" w:type="dxa"/>
            <w:vAlign w:val="center"/>
          </w:tcPr>
          <w:p w14:paraId="72BA0DA4"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Cereals (South Asia: rice, wheat, maize)</w:t>
            </w:r>
          </w:p>
        </w:tc>
        <w:tc>
          <w:tcPr>
            <w:tcW w:w="2421" w:type="dxa"/>
            <w:vAlign w:val="center"/>
          </w:tcPr>
          <w:p w14:paraId="66AA3C5E"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article</w:t>
            </w:r>
          </w:p>
        </w:tc>
        <w:tc>
          <w:tcPr>
            <w:tcW w:w="3018" w:type="dxa"/>
            <w:vAlign w:val="center"/>
          </w:tcPr>
          <w:p w14:paraId="2BDAE2A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Three LCC modes: real-time adjustable dose/time; fixed time adjustable dose; fixed dose adjustable time</w:t>
            </w:r>
          </w:p>
        </w:tc>
        <w:tc>
          <w:tcPr>
            <w:tcW w:w="3450" w:type="dxa"/>
            <w:vAlign w:val="center"/>
          </w:tcPr>
          <w:p w14:paraId="0735E7DB"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improves NUE vs blanket recommendations across cereals; operational frameworks adaptable to farmers’ capacity.</w:t>
            </w:r>
          </w:p>
        </w:tc>
        <w:tc>
          <w:tcPr>
            <w:tcW w:w="3450" w:type="dxa"/>
            <w:vAlign w:val="center"/>
          </w:tcPr>
          <w:p w14:paraId="3A0C5F1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Adopt mode suited to extension capacity; supports scaling to millets.</w:t>
            </w:r>
          </w:p>
        </w:tc>
      </w:tr>
      <w:tr w:rsidR="009943C9" w:rsidRPr="009943C9" w14:paraId="55D9ABBA" w14:textId="77777777" w:rsidTr="008A41B1">
        <w:trPr>
          <w:trHeight w:val="426"/>
        </w:trPr>
        <w:tc>
          <w:tcPr>
            <w:tcW w:w="1748" w:type="dxa"/>
            <w:vAlign w:val="center"/>
          </w:tcPr>
          <w:p w14:paraId="01DCADA8"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09FEA5F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CGIAR on-farm trials</w:t>
            </w:r>
          </w:p>
        </w:tc>
        <w:tc>
          <w:tcPr>
            <w:tcW w:w="3018" w:type="dxa"/>
            <w:vAlign w:val="center"/>
          </w:tcPr>
          <w:p w14:paraId="093143A9"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Typical threshold 4–5 (top, fully expanded leaf)</w:t>
            </w:r>
          </w:p>
        </w:tc>
        <w:tc>
          <w:tcPr>
            <w:tcW w:w="3450" w:type="dxa"/>
            <w:vAlign w:val="center"/>
          </w:tcPr>
          <w:p w14:paraId="41FD4F7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improved timing/rate of N use under farmer conditions, sustaining yield with less N.</w:t>
            </w:r>
          </w:p>
        </w:tc>
        <w:tc>
          <w:tcPr>
            <w:tcW w:w="3450" w:type="dxa"/>
            <w:vAlign w:val="center"/>
          </w:tcPr>
          <w:p w14:paraId="2DDEC28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Protocol transferable to millet stages (e.g., tillering/panicle initiation) after calibration.</w:t>
            </w:r>
          </w:p>
        </w:tc>
      </w:tr>
      <w:tr w:rsidR="009943C9" w:rsidRPr="009943C9" w14:paraId="3FC897C8" w14:textId="77777777" w:rsidTr="008A41B1">
        <w:trPr>
          <w:trHeight w:val="426"/>
        </w:trPr>
        <w:tc>
          <w:tcPr>
            <w:tcW w:w="1748" w:type="dxa"/>
            <w:vAlign w:val="center"/>
          </w:tcPr>
          <w:p w14:paraId="1A9DF3FC"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Rice (benchmark for LCC)</w:t>
            </w:r>
          </w:p>
        </w:tc>
        <w:tc>
          <w:tcPr>
            <w:tcW w:w="2421" w:type="dxa"/>
            <w:vAlign w:val="center"/>
          </w:tcPr>
          <w:p w14:paraId="38A5D63A"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Agronomy Journal + multi-crop literature</w:t>
            </w:r>
          </w:p>
        </w:tc>
        <w:tc>
          <w:tcPr>
            <w:tcW w:w="3018" w:type="dxa"/>
            <w:vAlign w:val="center"/>
          </w:tcPr>
          <w:p w14:paraId="4D183414"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Need-based N via LCC/SPAD</w:t>
            </w:r>
          </w:p>
        </w:tc>
        <w:tc>
          <w:tcPr>
            <w:tcW w:w="3450" w:type="dxa"/>
            <w:vAlign w:val="center"/>
          </w:tcPr>
          <w:p w14:paraId="3492C84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Reduced N by ~12.5–25% without yield loss; enhances NUE—evidence base for LCC approach.</w:t>
            </w:r>
          </w:p>
        </w:tc>
        <w:tc>
          <w:tcPr>
            <w:tcW w:w="3450" w:type="dxa"/>
            <w:vAlign w:val="center"/>
          </w:tcPr>
          <w:p w14:paraId="7E19D335"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Provides quantitative expectation for similar SSNM in millets after calibration.</w:t>
            </w:r>
          </w:p>
        </w:tc>
      </w:tr>
      <w:tr w:rsidR="009943C9" w:rsidRPr="009943C9" w14:paraId="1023C02C" w14:textId="77777777" w:rsidTr="008A41B1">
        <w:trPr>
          <w:trHeight w:val="426"/>
        </w:trPr>
        <w:tc>
          <w:tcPr>
            <w:tcW w:w="1748" w:type="dxa"/>
            <w:vAlign w:val="center"/>
          </w:tcPr>
          <w:p w14:paraId="0D73B37E" w14:textId="77777777" w:rsidR="009943C9" w:rsidRPr="00F947FF" w:rsidRDefault="009943C9" w:rsidP="008A41B1">
            <w:pPr>
              <w:rPr>
                <w:rFonts w:ascii="Arial" w:eastAsia="Times New Roman" w:hAnsi="Arial" w:cs="Arial"/>
                <w:b/>
                <w:sz w:val="20"/>
                <w:szCs w:val="20"/>
                <w:lang w:eastAsia="en-IN"/>
              </w:rPr>
            </w:pPr>
            <w:r w:rsidRPr="00F947FF">
              <w:rPr>
                <w:rFonts w:ascii="Arial" w:eastAsia="Times New Roman" w:hAnsi="Arial" w:cs="Arial"/>
                <w:b/>
                <w:sz w:val="20"/>
                <w:szCs w:val="20"/>
                <w:lang w:eastAsia="en-IN"/>
              </w:rPr>
              <w:t>Cross-cereal synthesis</w:t>
            </w:r>
          </w:p>
        </w:tc>
        <w:tc>
          <w:tcPr>
            <w:tcW w:w="2421" w:type="dxa"/>
            <w:vAlign w:val="center"/>
          </w:tcPr>
          <w:p w14:paraId="2AB9A877"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Review (T&amp;F / MDPI Agronomy)</w:t>
            </w:r>
          </w:p>
        </w:tc>
        <w:tc>
          <w:tcPr>
            <w:tcW w:w="3018" w:type="dxa"/>
            <w:vAlign w:val="center"/>
          </w:tcPr>
          <w:p w14:paraId="2F809FD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LCC: low-cost, portable, user-friendly; 6–8 shade panels</w:t>
            </w:r>
          </w:p>
        </w:tc>
        <w:tc>
          <w:tcPr>
            <w:tcW w:w="3450" w:type="dxa"/>
            <w:vAlign w:val="center"/>
          </w:tcPr>
          <w:p w14:paraId="7480E74D"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Summarizes mechanisms, device design, and field results; highlights gains in NUE and sustainability.</w:t>
            </w:r>
          </w:p>
        </w:tc>
        <w:tc>
          <w:tcPr>
            <w:tcW w:w="3450" w:type="dxa"/>
            <w:vAlign w:val="center"/>
          </w:tcPr>
          <w:p w14:paraId="103659E8" w14:textId="77777777" w:rsidR="009943C9" w:rsidRPr="00F947FF" w:rsidRDefault="009943C9" w:rsidP="008A41B1">
            <w:pPr>
              <w:rPr>
                <w:rFonts w:ascii="Arial" w:eastAsia="Times New Roman" w:hAnsi="Arial" w:cs="Arial"/>
                <w:sz w:val="20"/>
                <w:szCs w:val="20"/>
                <w:lang w:eastAsia="en-IN"/>
              </w:rPr>
            </w:pPr>
            <w:r w:rsidRPr="00F947FF">
              <w:rPr>
                <w:rFonts w:ascii="Arial" w:eastAsia="Times New Roman" w:hAnsi="Arial" w:cs="Arial"/>
                <w:sz w:val="20"/>
                <w:szCs w:val="20"/>
                <w:lang w:eastAsia="en-IN"/>
              </w:rPr>
              <w:t>Good for methods/background and discussion on limitations (subjectivity, light).</w:t>
            </w:r>
          </w:p>
        </w:tc>
      </w:tr>
    </w:tbl>
    <w:p w14:paraId="469015E0" w14:textId="77777777" w:rsidR="009943C9" w:rsidRDefault="009943C9" w:rsidP="009943C9">
      <w:pPr>
        <w:spacing w:before="100" w:beforeAutospacing="1" w:after="100" w:afterAutospacing="1" w:line="240" w:lineRule="auto"/>
        <w:rPr>
          <w:rFonts w:ascii="Times New Roman" w:eastAsia="Times New Roman" w:hAnsi="Times New Roman" w:cs="Times New Roman"/>
          <w:sz w:val="24"/>
          <w:szCs w:val="24"/>
          <w:lang w:eastAsia="en-IN"/>
        </w:rPr>
        <w:sectPr w:rsidR="009943C9" w:rsidSect="009943C9">
          <w:pgSz w:w="16838" w:h="11906" w:orient="landscape"/>
          <w:pgMar w:top="1440" w:right="1440" w:bottom="1440" w:left="1440" w:header="708" w:footer="708" w:gutter="0"/>
          <w:cols w:space="708"/>
          <w:docGrid w:linePitch="360"/>
        </w:sectPr>
      </w:pPr>
    </w:p>
    <w:p w14:paraId="20A40D91" w14:textId="77777777" w:rsidR="00AD498E"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lastRenderedPageBreak/>
        <w:t>MERITS OF USING LCC</w:t>
      </w:r>
    </w:p>
    <w:p w14:paraId="50A92953"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offers several advantages and merits over alternative methods for assessing leaf nitrogen status and determining the timing of nitrogen top dressing in rice cultivation:</w:t>
      </w:r>
    </w:p>
    <w:p w14:paraId="04A33118"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Simplicity and Ease of Use:</w:t>
      </w:r>
      <w:r w:rsidRPr="00454D48">
        <w:rPr>
          <w:rFonts w:ascii="Arial" w:hAnsi="Arial" w:cs="Arial"/>
          <w:sz w:val="20"/>
          <w:szCs w:val="20"/>
        </w:rPr>
        <w:t xml:space="preserve"> The LCC is designed to be user-friendly, allowing farmers to easily assess the leaf nitrogen status and make informed decisions regarding nitrogen application. It involves a simple process of matching the </w:t>
      </w:r>
      <w:r w:rsidR="00737F69" w:rsidRPr="00454D48">
        <w:rPr>
          <w:rFonts w:ascii="Arial" w:hAnsi="Arial" w:cs="Arial"/>
          <w:sz w:val="20"/>
          <w:szCs w:val="20"/>
        </w:rPr>
        <w:t>color</w:t>
      </w:r>
      <w:r w:rsidRPr="00454D48">
        <w:rPr>
          <w:rFonts w:ascii="Arial" w:hAnsi="Arial" w:cs="Arial"/>
          <w:sz w:val="20"/>
          <w:szCs w:val="20"/>
        </w:rPr>
        <w:t xml:space="preserve"> scores of the leaf with the standard chart, requiring minimal technical skill or expertise.</w:t>
      </w:r>
    </w:p>
    <w:p w14:paraId="039F1454" w14:textId="77777777" w:rsidR="00B315C2" w:rsidRPr="00454D48" w:rsidRDefault="00B315C2" w:rsidP="00454D48">
      <w:pPr>
        <w:pStyle w:val="ListParagraph"/>
        <w:spacing w:line="240" w:lineRule="auto"/>
        <w:jc w:val="both"/>
        <w:rPr>
          <w:rFonts w:ascii="Arial" w:hAnsi="Arial" w:cs="Arial"/>
          <w:sz w:val="20"/>
          <w:szCs w:val="20"/>
        </w:rPr>
      </w:pPr>
    </w:p>
    <w:p w14:paraId="08DB8D3F"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Cost-Effectiveness:</w:t>
      </w:r>
      <w:r w:rsidRPr="00454D48">
        <w:rPr>
          <w:rFonts w:ascii="Arial" w:hAnsi="Arial" w:cs="Arial"/>
          <w:sz w:val="20"/>
          <w:szCs w:val="20"/>
        </w:rPr>
        <w:t xml:space="preserve"> Compared to other tools like the SPAD meter, the LCC is relatively inexpensive. This affordability makes it accessible to a wider range of farmers, including those with limited financial resources.</w:t>
      </w:r>
    </w:p>
    <w:p w14:paraId="69C65C3C" w14:textId="77777777" w:rsidR="00B315C2" w:rsidRPr="00454D48" w:rsidRDefault="00B315C2" w:rsidP="00454D48">
      <w:pPr>
        <w:pStyle w:val="ListParagraph"/>
        <w:spacing w:line="240" w:lineRule="auto"/>
        <w:jc w:val="both"/>
        <w:rPr>
          <w:rFonts w:ascii="Arial" w:hAnsi="Arial" w:cs="Arial"/>
          <w:sz w:val="20"/>
          <w:szCs w:val="20"/>
        </w:rPr>
      </w:pPr>
    </w:p>
    <w:p w14:paraId="79CD6C65" w14:textId="77777777" w:rsidR="00B315C2"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Eliminates Laboratory Analysis:</w:t>
      </w:r>
      <w:r w:rsidRPr="00454D48">
        <w:rPr>
          <w:rFonts w:ascii="Arial" w:hAnsi="Arial" w:cs="Arial"/>
          <w:sz w:val="20"/>
          <w:szCs w:val="20"/>
        </w:rPr>
        <w:t xml:space="preserve"> With the LCC, there is no need to collect leaf samples, process them, or send them to a laboratory for analysis. This eliminates the time and cost associated with laboratory procedures, providing real-time results and allowing for immediate decision-making.</w:t>
      </w:r>
    </w:p>
    <w:p w14:paraId="58C44F88" w14:textId="77777777" w:rsidR="00B315C2" w:rsidRPr="00454D48" w:rsidRDefault="00B315C2" w:rsidP="00454D48">
      <w:pPr>
        <w:pStyle w:val="ListParagraph"/>
        <w:spacing w:line="240" w:lineRule="auto"/>
        <w:jc w:val="both"/>
        <w:rPr>
          <w:rFonts w:ascii="Arial" w:hAnsi="Arial" w:cs="Arial"/>
          <w:sz w:val="20"/>
          <w:szCs w:val="20"/>
        </w:rPr>
      </w:pPr>
    </w:p>
    <w:p w14:paraId="7E2C0385" w14:textId="77777777" w:rsidR="00AD498E" w:rsidRPr="00454D48" w:rsidRDefault="00AD498E" w:rsidP="00454D48">
      <w:pPr>
        <w:pStyle w:val="ListParagraph"/>
        <w:numPr>
          <w:ilvl w:val="0"/>
          <w:numId w:val="1"/>
        </w:numPr>
        <w:spacing w:line="240" w:lineRule="auto"/>
        <w:jc w:val="both"/>
        <w:rPr>
          <w:rFonts w:ascii="Arial" w:hAnsi="Arial" w:cs="Arial"/>
          <w:sz w:val="20"/>
          <w:szCs w:val="20"/>
        </w:rPr>
      </w:pPr>
      <w:r w:rsidRPr="00454D48">
        <w:rPr>
          <w:rFonts w:ascii="Arial" w:hAnsi="Arial" w:cs="Arial"/>
          <w:b/>
          <w:i/>
          <w:sz w:val="20"/>
          <w:szCs w:val="20"/>
        </w:rPr>
        <w:t>Minimal Technical Skill Required:</w:t>
      </w:r>
      <w:r w:rsidRPr="00454D48">
        <w:rPr>
          <w:rFonts w:ascii="Arial" w:hAnsi="Arial" w:cs="Arial"/>
          <w:sz w:val="20"/>
          <w:szCs w:val="20"/>
        </w:rPr>
        <w:t xml:space="preserve"> Unlike the SPAD meter, which may require technical knowledge and expertise to operate accurately, the LCC is straightforward and does not demand specialized training. Farmers can easily adopt and utilize the tool without the need for extensive training or technical assistance.</w:t>
      </w:r>
    </w:p>
    <w:p w14:paraId="799013D4" w14:textId="77777777" w:rsidR="00AD498E" w:rsidRPr="00454D48" w:rsidRDefault="00AD498E" w:rsidP="00454D48">
      <w:pPr>
        <w:spacing w:line="240" w:lineRule="auto"/>
        <w:jc w:val="both"/>
        <w:rPr>
          <w:rFonts w:ascii="Arial" w:hAnsi="Arial" w:cs="Arial"/>
          <w:sz w:val="20"/>
          <w:szCs w:val="20"/>
        </w:rPr>
      </w:pPr>
      <w:r w:rsidRPr="00454D48">
        <w:rPr>
          <w:rFonts w:ascii="Arial" w:hAnsi="Arial" w:cs="Arial"/>
          <w:sz w:val="20"/>
          <w:szCs w:val="20"/>
        </w:rPr>
        <w:t>Overall, the LCC's merits lie in its simplicity, cost-effectiveness, and user-friendly nature. It empowers farmers with a practical and efficient means of assessing leaf nitrogen status and determining the optimal timing for nitrogen top dressing in rice crops. By eliminating the need for laboratory analysis and technical expertise, the LCC facilitates widespread adoption and usage, ultimately contributing to improved nitrogen management and enhanced crop productivity.</w:t>
      </w:r>
    </w:p>
    <w:p w14:paraId="27559870" w14:textId="77777777" w:rsidR="00BC69CC" w:rsidRPr="00454D48" w:rsidRDefault="00BC69CC" w:rsidP="00454D48">
      <w:pPr>
        <w:spacing w:line="240" w:lineRule="auto"/>
        <w:jc w:val="both"/>
        <w:rPr>
          <w:rFonts w:ascii="Arial" w:hAnsi="Arial" w:cs="Arial"/>
          <w:sz w:val="20"/>
          <w:szCs w:val="20"/>
        </w:rPr>
      </w:pPr>
    </w:p>
    <w:p w14:paraId="19C5D43C" w14:textId="77777777" w:rsidR="00B315C2" w:rsidRPr="00454D48" w:rsidRDefault="00B315C2"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DEMERITS OF USING LCC</w:t>
      </w:r>
    </w:p>
    <w:p w14:paraId="556BC994" w14:textId="77777777" w:rsidR="00B315C2" w:rsidRPr="00454D48" w:rsidRDefault="00B315C2" w:rsidP="00454D48">
      <w:pPr>
        <w:spacing w:line="240" w:lineRule="auto"/>
        <w:jc w:val="both"/>
        <w:rPr>
          <w:rFonts w:ascii="Arial" w:hAnsi="Arial" w:cs="Arial"/>
          <w:sz w:val="20"/>
          <w:szCs w:val="20"/>
        </w:rPr>
      </w:pPr>
      <w:r w:rsidRPr="00454D48">
        <w:rPr>
          <w:rFonts w:ascii="Arial" w:hAnsi="Arial" w:cs="Arial"/>
          <w:sz w:val="20"/>
          <w:szCs w:val="20"/>
        </w:rPr>
        <w:t xml:space="preserve">The Leaf </w:t>
      </w:r>
      <w:r w:rsidR="00737F69" w:rsidRPr="00454D48">
        <w:rPr>
          <w:rFonts w:ascii="Arial" w:hAnsi="Arial" w:cs="Arial"/>
          <w:sz w:val="20"/>
          <w:szCs w:val="20"/>
        </w:rPr>
        <w:t>Color</w:t>
      </w:r>
      <w:r w:rsidRPr="00454D48">
        <w:rPr>
          <w:rFonts w:ascii="Arial" w:hAnsi="Arial" w:cs="Arial"/>
          <w:sz w:val="20"/>
          <w:szCs w:val="20"/>
        </w:rPr>
        <w:t xml:space="preserve"> Chart (LCC) also has some limitations and demerits that should be considered:</w:t>
      </w:r>
    </w:p>
    <w:p w14:paraId="23210D0E"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 xml:space="preserve">Limited Sensitivity: </w:t>
      </w:r>
      <w:r w:rsidRPr="00454D48">
        <w:rPr>
          <w:rFonts w:ascii="Arial" w:hAnsi="Arial" w:cs="Arial"/>
          <w:sz w:val="20"/>
          <w:szCs w:val="20"/>
        </w:rPr>
        <w:t>The LCC may not be able to indicate smaller differences in leaf greenness accurately. As the color shades of the LCC fall in between two shades, the mean of the two scores is often taken, which can result in less precision and accuracy. This limitation may affect the ability to detect subtle variations in leaf nitrogen status.</w:t>
      </w:r>
    </w:p>
    <w:p w14:paraId="45FEA734" w14:textId="77777777" w:rsidR="00B315C2" w:rsidRPr="00454D48" w:rsidRDefault="00B315C2" w:rsidP="00454D48">
      <w:pPr>
        <w:pStyle w:val="ListParagraph"/>
        <w:spacing w:line="240" w:lineRule="auto"/>
        <w:jc w:val="both"/>
        <w:rPr>
          <w:rFonts w:ascii="Arial" w:hAnsi="Arial" w:cs="Arial"/>
          <w:sz w:val="20"/>
          <w:szCs w:val="20"/>
        </w:rPr>
      </w:pPr>
    </w:p>
    <w:p w14:paraId="55615CEB"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Correlation and Calibration:</w:t>
      </w:r>
      <w:r w:rsidRPr="00454D48">
        <w:rPr>
          <w:rFonts w:ascii="Arial" w:hAnsi="Arial" w:cs="Arial"/>
          <w:sz w:val="20"/>
          <w:szCs w:val="20"/>
        </w:rPr>
        <w:t xml:space="preserve"> The relative accuracy of the LCC in assessing leaf nitrogen status can only be determined when it is compared and correlated with readings from more precise instruments like chlorophyll meters. Additionally, calibration of the LCC with specific cultivar groups (such as semi-dwarf, local tall, or hybrid varieties) is necessary for accurate interpretation of results.</w:t>
      </w:r>
    </w:p>
    <w:p w14:paraId="133673D9" w14:textId="77777777" w:rsidR="00B315C2" w:rsidRPr="00454D48" w:rsidRDefault="00B315C2" w:rsidP="00454D48">
      <w:pPr>
        <w:pStyle w:val="ListParagraph"/>
        <w:spacing w:line="240" w:lineRule="auto"/>
        <w:jc w:val="both"/>
        <w:rPr>
          <w:rFonts w:ascii="Arial" w:hAnsi="Arial" w:cs="Arial"/>
          <w:sz w:val="20"/>
          <w:szCs w:val="20"/>
        </w:rPr>
      </w:pPr>
    </w:p>
    <w:p w14:paraId="2B070275"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Limited Application for Basal Nitrogen:</w:t>
      </w:r>
      <w:r w:rsidRPr="00454D48">
        <w:rPr>
          <w:rFonts w:ascii="Arial" w:hAnsi="Arial" w:cs="Arial"/>
          <w:sz w:val="20"/>
          <w:szCs w:val="20"/>
        </w:rPr>
        <w:t xml:space="preserve"> The LCC is primarily used to fine-tune top-dressed nitrogen application. It is not suitable for determining basal nitrogen application. Other methods or considerations may be needed to determine the appropriate initial nitrogen application for rice crops.</w:t>
      </w:r>
    </w:p>
    <w:p w14:paraId="46F605F0" w14:textId="77777777" w:rsidR="00B315C2" w:rsidRPr="00454D48" w:rsidRDefault="00B315C2" w:rsidP="00454D48">
      <w:pPr>
        <w:pStyle w:val="ListParagraph"/>
        <w:spacing w:line="240" w:lineRule="auto"/>
        <w:jc w:val="both"/>
        <w:rPr>
          <w:rFonts w:ascii="Arial" w:hAnsi="Arial" w:cs="Arial"/>
          <w:sz w:val="20"/>
          <w:szCs w:val="20"/>
        </w:rPr>
      </w:pPr>
    </w:p>
    <w:p w14:paraId="674EB44F"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Dependency on Integrated Nutrient Management:</w:t>
      </w:r>
      <w:r w:rsidRPr="00454D48">
        <w:rPr>
          <w:rFonts w:ascii="Arial" w:hAnsi="Arial" w:cs="Arial"/>
          <w:sz w:val="20"/>
          <w:szCs w:val="20"/>
        </w:rPr>
        <w:t xml:space="preserve"> The effectiveness of the LCC in assessing leaf nitrogen status depends on the integrated site-specific nutrient management strategy. For optimum response to nitrogen fertilizer, it is important that other essential nutrients like phosphorus (P), potassium (K), </w:t>
      </w:r>
      <w:proofErr w:type="spellStart"/>
      <w:r w:rsidRPr="00454D48">
        <w:rPr>
          <w:rFonts w:ascii="Arial" w:hAnsi="Arial" w:cs="Arial"/>
          <w:sz w:val="20"/>
          <w:szCs w:val="20"/>
        </w:rPr>
        <w:t>sulfur</w:t>
      </w:r>
      <w:proofErr w:type="spellEnd"/>
      <w:r w:rsidRPr="00454D48">
        <w:rPr>
          <w:rFonts w:ascii="Arial" w:hAnsi="Arial" w:cs="Arial"/>
          <w:sz w:val="20"/>
          <w:szCs w:val="20"/>
        </w:rPr>
        <w:t xml:space="preserve"> (S), and zinc (Zn) are not limiting. The LCC may not provide accurate results in cases where these nutrients are deficient or imbalanced.</w:t>
      </w:r>
    </w:p>
    <w:p w14:paraId="516818A9" w14:textId="77777777" w:rsidR="00B315C2" w:rsidRPr="00454D48" w:rsidRDefault="00B315C2" w:rsidP="00454D48">
      <w:pPr>
        <w:pStyle w:val="ListParagraph"/>
        <w:spacing w:line="240" w:lineRule="auto"/>
        <w:jc w:val="both"/>
        <w:rPr>
          <w:rFonts w:ascii="Arial" w:hAnsi="Arial" w:cs="Arial"/>
          <w:sz w:val="20"/>
          <w:szCs w:val="20"/>
        </w:rPr>
      </w:pPr>
    </w:p>
    <w:p w14:paraId="2186DCB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Influence of Other Deficiencies:</w:t>
      </w:r>
      <w:r w:rsidRPr="00454D48">
        <w:rPr>
          <w:rFonts w:ascii="Arial" w:hAnsi="Arial" w:cs="Arial"/>
          <w:sz w:val="20"/>
          <w:szCs w:val="20"/>
        </w:rPr>
        <w:t xml:space="preserve"> LCC values can be affected by deficiencies of other nutrients, particularly phosphorus (P) or potassium (K), which may lead to darker leaf </w:t>
      </w:r>
      <w:r w:rsidRPr="00454D48">
        <w:rPr>
          <w:rFonts w:ascii="Arial" w:hAnsi="Arial" w:cs="Arial"/>
          <w:sz w:val="20"/>
          <w:szCs w:val="20"/>
        </w:rPr>
        <w:lastRenderedPageBreak/>
        <w:t>coloration and potentially result in erroneous LCC readings. This highlights the need for local calibration of the LCC and careful interpretation of results. In comparison, the SPAD meter is less affected by such deficiencies.</w:t>
      </w:r>
    </w:p>
    <w:p w14:paraId="4DCD4F36" w14:textId="77777777" w:rsidR="00B315C2" w:rsidRPr="00454D48" w:rsidRDefault="00B315C2" w:rsidP="00454D48">
      <w:pPr>
        <w:pStyle w:val="ListParagraph"/>
        <w:spacing w:line="240" w:lineRule="auto"/>
        <w:jc w:val="both"/>
        <w:rPr>
          <w:rFonts w:ascii="Arial" w:hAnsi="Arial" w:cs="Arial"/>
          <w:sz w:val="20"/>
          <w:szCs w:val="20"/>
        </w:rPr>
      </w:pPr>
    </w:p>
    <w:p w14:paraId="5864AD72" w14:textId="77777777" w:rsidR="00B315C2" w:rsidRPr="00454D48" w:rsidRDefault="00B315C2" w:rsidP="00454D48">
      <w:pPr>
        <w:pStyle w:val="ListParagraph"/>
        <w:numPr>
          <w:ilvl w:val="0"/>
          <w:numId w:val="2"/>
        </w:numPr>
        <w:spacing w:line="240" w:lineRule="auto"/>
        <w:jc w:val="both"/>
        <w:rPr>
          <w:rFonts w:ascii="Arial" w:hAnsi="Arial" w:cs="Arial"/>
          <w:sz w:val="20"/>
          <w:szCs w:val="20"/>
        </w:rPr>
      </w:pPr>
      <w:r w:rsidRPr="00454D48">
        <w:rPr>
          <w:rFonts w:ascii="Arial" w:hAnsi="Arial" w:cs="Arial"/>
          <w:b/>
          <w:i/>
          <w:sz w:val="20"/>
          <w:szCs w:val="20"/>
        </w:rPr>
        <w:t>Calibration for Variations:</w:t>
      </w:r>
      <w:r w:rsidRPr="00454D48">
        <w:rPr>
          <w:rFonts w:ascii="Arial" w:hAnsi="Arial" w:cs="Arial"/>
          <w:sz w:val="20"/>
          <w:szCs w:val="20"/>
        </w:rPr>
        <w:t xml:space="preserve"> LCC values can be influenced by diurnal variations within a day, variations among different rice varieties, and seasonal changes. Therefore, regular calibration of the LCC specific to the local conditions, rice varieties, and growing seasons is necessary to ensure accurate and reliable results.</w:t>
      </w:r>
    </w:p>
    <w:p w14:paraId="295EDEA9" w14:textId="77777777" w:rsidR="009943C9" w:rsidRDefault="00B315C2" w:rsidP="00454D48">
      <w:pPr>
        <w:spacing w:line="240" w:lineRule="auto"/>
        <w:jc w:val="both"/>
        <w:rPr>
          <w:rFonts w:ascii="Arial" w:hAnsi="Arial" w:cs="Arial"/>
          <w:sz w:val="20"/>
          <w:szCs w:val="20"/>
        </w:rPr>
      </w:pPr>
      <w:r w:rsidRPr="00454D48">
        <w:rPr>
          <w:rFonts w:ascii="Arial" w:hAnsi="Arial" w:cs="Arial"/>
          <w:sz w:val="20"/>
          <w:szCs w:val="20"/>
        </w:rPr>
        <w:t>It is essential to be aware of these limitations and consider them while using the LCC as a tool for nitrogen management in rice cultivation. Proper calibration, correlation with more precise instruments, and integration with comprehensive nutrient management strategies can help mitigate these demerits and improve the accuracy and usefulness of the LCC.</w:t>
      </w:r>
    </w:p>
    <w:p w14:paraId="3790B09E" w14:textId="77777777" w:rsidR="009943C9" w:rsidRDefault="009943C9" w:rsidP="00454D48">
      <w:pPr>
        <w:spacing w:line="240" w:lineRule="auto"/>
        <w:jc w:val="both"/>
        <w:rPr>
          <w:rFonts w:ascii="Arial" w:hAnsi="Arial" w:cs="Arial"/>
          <w:sz w:val="20"/>
          <w:szCs w:val="20"/>
        </w:rPr>
      </w:pPr>
    </w:p>
    <w:p w14:paraId="44D47238" w14:textId="77777777" w:rsidR="00534621" w:rsidRPr="00454D48" w:rsidRDefault="00534621"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 xml:space="preserve">FUTURE RESEARCH DIRECTIONS AND POTENTIAL ADVANCEMENTS IN LCC-BASED NITROGEN MANAGEMENT </w:t>
      </w:r>
    </w:p>
    <w:p w14:paraId="252E9980"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t>While the Leaf Colour Chart (LCC) has proven to be a valuable tool for nitrogen management in rice, there are several areas of future research that can further enhance its effectiveness and broaden its application. Some potential advancements and research directions for LCC-based nitrogen management are:</w:t>
      </w:r>
    </w:p>
    <w:p w14:paraId="07C37E1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Refining LCC Calibration:</w:t>
      </w:r>
      <w:r w:rsidRPr="00454D48">
        <w:rPr>
          <w:rFonts w:ascii="Arial" w:hAnsi="Arial" w:cs="Arial"/>
          <w:sz w:val="20"/>
          <w:szCs w:val="20"/>
        </w:rPr>
        <w:t xml:space="preserve"> Continuous efforts should be made to refine and update the calibration of LCC scores with actual nitrogen content in rice plants. This can be achieved through extensive field trials and correlation studies between LCC readings and precise measurements of nitrogen content, such as chlorophyll meter readings or laboratory analysis.</w:t>
      </w:r>
    </w:p>
    <w:p w14:paraId="71C93A34" w14:textId="77777777" w:rsidR="00534621" w:rsidRPr="00454D48" w:rsidRDefault="00534621" w:rsidP="00454D48">
      <w:pPr>
        <w:pStyle w:val="ListParagraph"/>
        <w:spacing w:line="240" w:lineRule="auto"/>
        <w:jc w:val="both"/>
        <w:rPr>
          <w:rFonts w:ascii="Arial" w:hAnsi="Arial" w:cs="Arial"/>
          <w:sz w:val="20"/>
          <w:szCs w:val="20"/>
        </w:rPr>
      </w:pPr>
    </w:p>
    <w:p w14:paraId="4FCAD4C6"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Precision Agriculture Technologies:</w:t>
      </w:r>
      <w:r w:rsidRPr="00454D48">
        <w:rPr>
          <w:rFonts w:ascii="Arial" w:hAnsi="Arial" w:cs="Arial"/>
          <w:sz w:val="20"/>
          <w:szCs w:val="20"/>
        </w:rPr>
        <w:t xml:space="preserve"> Exploring the integration of LCC with precision agriculture technologies, such as remote sensing, unmanned aerial vehicles (UAVs), and satellite imagery, can enhance the spatial and temporal monitoring of rice crops. This integration can provide real-time information on nitrogen status, enabling site-specific nitrogen management and timely interventions.</w:t>
      </w:r>
    </w:p>
    <w:p w14:paraId="3351A1BF" w14:textId="77777777" w:rsidR="00534621" w:rsidRPr="00454D48" w:rsidRDefault="00534621" w:rsidP="00454D48">
      <w:pPr>
        <w:pStyle w:val="ListParagraph"/>
        <w:spacing w:line="240" w:lineRule="auto"/>
        <w:jc w:val="both"/>
        <w:rPr>
          <w:rFonts w:ascii="Arial" w:hAnsi="Arial" w:cs="Arial"/>
          <w:sz w:val="20"/>
          <w:szCs w:val="20"/>
        </w:rPr>
      </w:pPr>
    </w:p>
    <w:p w14:paraId="5DB6F2DA"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Development of Digital Tools and Mobile Applications:</w:t>
      </w:r>
      <w:r w:rsidRPr="00454D48">
        <w:rPr>
          <w:rFonts w:ascii="Arial" w:hAnsi="Arial" w:cs="Arial"/>
          <w:sz w:val="20"/>
          <w:szCs w:val="20"/>
        </w:rPr>
        <w:t xml:space="preserve"> Creating digital tools and mobile applications that leverage LCC data can simplify data collection, analysis, and interpretation. These tools can automate LCC scoring, store historical data, provide real-time recommendations for nitrogen top dressing, and enable data sharing among farmers, extension workers, and researchers.</w:t>
      </w:r>
    </w:p>
    <w:p w14:paraId="4E8F8690" w14:textId="77777777" w:rsidR="00534621" w:rsidRPr="00454D48" w:rsidRDefault="00534621" w:rsidP="00454D48">
      <w:pPr>
        <w:pStyle w:val="ListParagraph"/>
        <w:spacing w:line="240" w:lineRule="auto"/>
        <w:jc w:val="both"/>
        <w:rPr>
          <w:rFonts w:ascii="Arial" w:hAnsi="Arial" w:cs="Arial"/>
          <w:sz w:val="20"/>
          <w:szCs w:val="20"/>
        </w:rPr>
      </w:pPr>
    </w:p>
    <w:p w14:paraId="732A1555"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Expansion to Other Crops and Agroecosystems:</w:t>
      </w:r>
      <w:r w:rsidRPr="00454D48">
        <w:rPr>
          <w:rFonts w:ascii="Arial" w:hAnsi="Arial" w:cs="Arial"/>
          <w:sz w:val="20"/>
          <w:szCs w:val="20"/>
        </w:rPr>
        <w:t xml:space="preserve"> While LCC has primarily been used in rice cultivation, exploring its applicability in other crops and agroecosystems can be a promising research direction. Evaluating the feasibility, accuracy, and cost-effectiveness of LCC-based nitrogen management in different crops and farming systems will broaden its practical use.</w:t>
      </w:r>
    </w:p>
    <w:p w14:paraId="3081419C" w14:textId="77777777" w:rsidR="00534621" w:rsidRPr="00454D48" w:rsidRDefault="00534621" w:rsidP="00454D48">
      <w:pPr>
        <w:pStyle w:val="ListParagraph"/>
        <w:spacing w:line="240" w:lineRule="auto"/>
        <w:jc w:val="both"/>
        <w:rPr>
          <w:rFonts w:ascii="Arial" w:hAnsi="Arial" w:cs="Arial"/>
          <w:sz w:val="20"/>
          <w:szCs w:val="20"/>
        </w:rPr>
      </w:pPr>
    </w:p>
    <w:p w14:paraId="69BECE84"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Integration with Nutrient Management Decision Support Systems (DSS):</w:t>
      </w:r>
      <w:r w:rsidRPr="00454D48">
        <w:rPr>
          <w:rFonts w:ascii="Arial" w:hAnsi="Arial" w:cs="Arial"/>
          <w:sz w:val="20"/>
          <w:szCs w:val="20"/>
        </w:rPr>
        <w:t xml:space="preserve"> Integrating LCC data into existing nutrient management decision support systems can enhance their accuracy and precision. This integration can provide a holistic approach to nitrogen management by considering multiple factors, such as soil properties, climate conditions, crop growth stage, and LCC readings.</w:t>
      </w:r>
    </w:p>
    <w:p w14:paraId="58059DC8" w14:textId="77777777" w:rsidR="00534621" w:rsidRPr="00454D48" w:rsidRDefault="00534621" w:rsidP="00454D48">
      <w:pPr>
        <w:pStyle w:val="ListParagraph"/>
        <w:spacing w:line="240" w:lineRule="auto"/>
        <w:jc w:val="both"/>
        <w:rPr>
          <w:rFonts w:ascii="Arial" w:hAnsi="Arial" w:cs="Arial"/>
          <w:sz w:val="20"/>
          <w:szCs w:val="20"/>
        </w:rPr>
      </w:pPr>
    </w:p>
    <w:p w14:paraId="6A82D6D9" w14:textId="77777777" w:rsidR="00534621" w:rsidRPr="00454D48" w:rsidRDefault="00534621" w:rsidP="00454D48">
      <w:pPr>
        <w:pStyle w:val="ListParagraph"/>
        <w:numPr>
          <w:ilvl w:val="0"/>
          <w:numId w:val="4"/>
        </w:numPr>
        <w:spacing w:line="240" w:lineRule="auto"/>
        <w:jc w:val="both"/>
        <w:rPr>
          <w:rFonts w:ascii="Arial" w:hAnsi="Arial" w:cs="Arial"/>
          <w:sz w:val="20"/>
          <w:szCs w:val="20"/>
        </w:rPr>
      </w:pPr>
      <w:r w:rsidRPr="00454D48">
        <w:rPr>
          <w:rFonts w:ascii="Arial" w:hAnsi="Arial" w:cs="Arial"/>
          <w:b/>
          <w:i/>
          <w:sz w:val="20"/>
          <w:szCs w:val="20"/>
        </w:rPr>
        <w:t>Assessing Economic and Environmental Impacts:</w:t>
      </w:r>
      <w:r w:rsidRPr="00454D48">
        <w:rPr>
          <w:rFonts w:ascii="Arial" w:hAnsi="Arial" w:cs="Arial"/>
          <w:sz w:val="20"/>
          <w:szCs w:val="20"/>
        </w:rPr>
        <w:t xml:space="preserve"> Conducting comprehensive economic and environmental assessments of LCC-based nitrogen management can provide insights into the cost-effectiveness, profitability, and sustainability aspects. Evaluating the impact on crop yield, nitrogen use efficiency, greenhouse gas emissions, and water quality can support evidence-based decision-making and policy development.</w:t>
      </w:r>
    </w:p>
    <w:p w14:paraId="387930D4" w14:textId="77777777" w:rsidR="00534621" w:rsidRPr="00454D48" w:rsidRDefault="00534621" w:rsidP="00454D48">
      <w:pPr>
        <w:spacing w:line="240" w:lineRule="auto"/>
        <w:jc w:val="both"/>
        <w:rPr>
          <w:rFonts w:ascii="Arial" w:hAnsi="Arial" w:cs="Arial"/>
          <w:sz w:val="20"/>
          <w:szCs w:val="20"/>
        </w:rPr>
      </w:pPr>
      <w:r w:rsidRPr="00454D48">
        <w:rPr>
          <w:rFonts w:ascii="Arial" w:hAnsi="Arial" w:cs="Arial"/>
          <w:sz w:val="20"/>
          <w:szCs w:val="20"/>
        </w:rPr>
        <w:lastRenderedPageBreak/>
        <w:t>By focusing on these research directions, the potential advancements in LCC-based nitrogen management can lead to improved nitrogen use efficiency, reduced environmental impacts, and enhanced profitability for farmers.</w:t>
      </w:r>
    </w:p>
    <w:p w14:paraId="1C53015F" w14:textId="77777777" w:rsidR="00534621" w:rsidRPr="00454D48" w:rsidRDefault="00534621" w:rsidP="00454D48">
      <w:pPr>
        <w:spacing w:line="240" w:lineRule="auto"/>
        <w:jc w:val="both"/>
        <w:rPr>
          <w:rFonts w:ascii="Arial" w:hAnsi="Arial" w:cs="Arial"/>
          <w:b/>
          <w:bCs/>
          <w:i/>
          <w:sz w:val="20"/>
          <w:szCs w:val="20"/>
        </w:rPr>
      </w:pPr>
    </w:p>
    <w:p w14:paraId="37685083" w14:textId="77777777" w:rsidR="00454D48" w:rsidRPr="00454D48" w:rsidRDefault="00454D48" w:rsidP="00454D48">
      <w:pPr>
        <w:pStyle w:val="ListParagraph"/>
        <w:numPr>
          <w:ilvl w:val="0"/>
          <w:numId w:val="7"/>
        </w:numPr>
        <w:spacing w:line="240" w:lineRule="auto"/>
        <w:jc w:val="both"/>
        <w:rPr>
          <w:rFonts w:ascii="Arial" w:hAnsi="Arial" w:cs="Arial"/>
          <w:b/>
          <w:sz w:val="24"/>
          <w:szCs w:val="20"/>
        </w:rPr>
      </w:pPr>
      <w:r w:rsidRPr="00454D48">
        <w:rPr>
          <w:rFonts w:ascii="Arial" w:hAnsi="Arial" w:cs="Arial"/>
          <w:b/>
          <w:sz w:val="24"/>
          <w:szCs w:val="20"/>
        </w:rPr>
        <w:t>CONCLUSION</w:t>
      </w:r>
    </w:p>
    <w:p w14:paraId="37E57181" w14:textId="77777777" w:rsidR="00E8432F" w:rsidRPr="00E8432F" w:rsidRDefault="00E8432F" w:rsidP="00E8432F">
      <w:pPr>
        <w:spacing w:before="100" w:beforeAutospacing="1" w:after="100" w:afterAutospacing="1" w:line="240" w:lineRule="auto"/>
        <w:jc w:val="both"/>
        <w:rPr>
          <w:rFonts w:ascii="Arial" w:eastAsia="Times New Roman" w:hAnsi="Arial" w:cs="Arial"/>
          <w:sz w:val="20"/>
          <w:szCs w:val="24"/>
          <w:lang w:eastAsia="en-IN"/>
        </w:rPr>
      </w:pPr>
      <w:r w:rsidRPr="00E8432F">
        <w:rPr>
          <w:rFonts w:ascii="Arial" w:eastAsia="Times New Roman" w:hAnsi="Arial" w:cs="Arial"/>
          <w:sz w:val="20"/>
          <w:szCs w:val="24"/>
          <w:lang w:eastAsia="en-IN"/>
        </w:rPr>
        <w:t xml:space="preserve">The synthesis of available studies demonstrates that the Leaf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Chart (LCC) is a reliable, low-cost, and farmer-friendly tool for real-time nitrogen management in millets, with strong evidence drawn from rice and other cereals. Field-calibrated, crop-specific LCCs are now available for sorghum, pearl millet, and finger millet, enabling precision nutrient management aligned with site-specific nutrient management (SSNM) frameworks. Studies confirm that higher LCC scores are positively associated with yield and nitrogen use efficiency (NUE), while timely N application guided by threshold values can reduce fertilizer use without yield penalty. Benchmark evidence from rice and wheat shows that LCC-based management typically saves 12–25% nitrogen, suggesting similar potential in millet systems after proper calibration. Despite some limitations such as subjectivity in </w:t>
      </w:r>
      <w:proofErr w:type="spellStart"/>
      <w:r w:rsidRPr="00E8432F">
        <w:rPr>
          <w:rFonts w:ascii="Arial" w:eastAsia="Times New Roman" w:hAnsi="Arial" w:cs="Arial"/>
          <w:sz w:val="20"/>
          <w:szCs w:val="24"/>
          <w:lang w:eastAsia="en-IN"/>
        </w:rPr>
        <w:t>color</w:t>
      </w:r>
      <w:proofErr w:type="spellEnd"/>
      <w:r w:rsidRPr="00E8432F">
        <w:rPr>
          <w:rFonts w:ascii="Arial" w:eastAsia="Times New Roman" w:hAnsi="Arial" w:cs="Arial"/>
          <w:sz w:val="20"/>
          <w:szCs w:val="24"/>
          <w:lang w:eastAsia="en-IN"/>
        </w:rPr>
        <w:t xml:space="preserve"> assessment and sensitivity to light conditions, integration of LCC with SPAD readings and digital decision tools can improve accuracy and scalability. Overall, LCC represents a practical and scalable approach for enhancing productivity, profitability, and sustainability in millet-based cropping systems, especially under resource-constrained smallholder conditions.</w:t>
      </w:r>
    </w:p>
    <w:p w14:paraId="78403960" w14:textId="77777777" w:rsidR="00E8432F" w:rsidRPr="00E8432F" w:rsidRDefault="00E8432F" w:rsidP="00E8432F">
      <w:pPr>
        <w:pStyle w:val="NoSpacing"/>
        <w:rPr>
          <w:lang w:eastAsia="en-IN"/>
        </w:rPr>
      </w:pPr>
    </w:p>
    <w:p w14:paraId="52E61E12" w14:textId="77777777" w:rsidR="00454D48" w:rsidRPr="00454D48" w:rsidRDefault="00454D48" w:rsidP="00454D48">
      <w:pPr>
        <w:pStyle w:val="NoSpacing"/>
        <w:rPr>
          <w:rFonts w:ascii="Arial" w:hAnsi="Arial" w:cs="Arial"/>
          <w:b/>
          <w:sz w:val="24"/>
        </w:rPr>
      </w:pPr>
      <w:r w:rsidRPr="00454D48">
        <w:rPr>
          <w:rFonts w:ascii="Arial" w:hAnsi="Arial" w:cs="Arial"/>
          <w:b/>
          <w:sz w:val="24"/>
        </w:rPr>
        <w:t>DISCLAIMER (ARTIFICIAL INTELLIGENCE)</w:t>
      </w:r>
    </w:p>
    <w:p w14:paraId="611C7EAA" w14:textId="77777777" w:rsidR="00454D48" w:rsidRPr="00765332" w:rsidRDefault="00454D48" w:rsidP="00454D48">
      <w:pPr>
        <w:spacing w:after="0" w:line="240" w:lineRule="auto"/>
        <w:rPr>
          <w:rFonts w:ascii="Arial" w:eastAsia="Calibri" w:hAnsi="Arial" w:cs="Arial"/>
          <w:b/>
          <w:sz w:val="12"/>
          <w:szCs w:val="12"/>
        </w:rPr>
      </w:pPr>
    </w:p>
    <w:p w14:paraId="1D342FB4" w14:textId="77777777" w:rsidR="00454D48" w:rsidRPr="00765332" w:rsidRDefault="00454D48" w:rsidP="00454D48">
      <w:pPr>
        <w:spacing w:after="0" w:line="240" w:lineRule="auto"/>
        <w:jc w:val="both"/>
        <w:rPr>
          <w:rFonts w:ascii="Arial" w:eastAsia="Calibri" w:hAnsi="Arial" w:cs="Arial"/>
          <w:sz w:val="20"/>
          <w:szCs w:val="20"/>
        </w:rPr>
      </w:pPr>
      <w:r w:rsidRPr="00765332">
        <w:rPr>
          <w:rFonts w:ascii="Arial" w:eastAsia="Calibri" w:hAnsi="Arial" w:cs="Arial"/>
          <w:sz w:val="20"/>
          <w:szCs w:val="20"/>
        </w:rPr>
        <w:t xml:space="preserve">Author(s) hereby declare that NO generative AI technologies such as Large Language Models (ChatGPT, COPILOT, etc.) and text-to-image generators have been used during the writing or editing of this manuscript. </w:t>
      </w:r>
    </w:p>
    <w:p w14:paraId="7616CE1A" w14:textId="77777777" w:rsidR="00454D48" w:rsidRPr="0025190E" w:rsidRDefault="00454D48" w:rsidP="00454D48">
      <w:pPr>
        <w:spacing w:after="0" w:line="240" w:lineRule="auto"/>
        <w:jc w:val="both"/>
        <w:rPr>
          <w:rFonts w:ascii="Arial" w:eastAsia="Calibri" w:hAnsi="Arial" w:cs="Arial"/>
          <w:b/>
          <w:sz w:val="12"/>
          <w:szCs w:val="12"/>
        </w:rPr>
      </w:pPr>
    </w:p>
    <w:p w14:paraId="63EDA0BF" w14:textId="77777777" w:rsidR="00454D48" w:rsidRDefault="00454D48" w:rsidP="00454D48">
      <w:pPr>
        <w:pStyle w:val="ReferHead"/>
        <w:spacing w:after="0"/>
        <w:rPr>
          <w:rFonts w:ascii="Arial" w:hAnsi="Arial" w:cs="Arial"/>
          <w:bCs/>
        </w:rPr>
      </w:pPr>
    </w:p>
    <w:p w14:paraId="2E3CAF68" w14:textId="77777777" w:rsidR="00454D48" w:rsidRPr="00454D48" w:rsidRDefault="00454D48" w:rsidP="00454D48">
      <w:pPr>
        <w:pStyle w:val="ReferHead"/>
        <w:spacing w:after="0"/>
        <w:rPr>
          <w:rFonts w:ascii="Arial" w:hAnsi="Arial" w:cs="Arial"/>
          <w:bCs/>
          <w:sz w:val="24"/>
        </w:rPr>
      </w:pPr>
      <w:r w:rsidRPr="00454D48">
        <w:rPr>
          <w:rFonts w:ascii="Arial" w:hAnsi="Arial" w:cs="Arial"/>
          <w:bCs/>
          <w:sz w:val="24"/>
        </w:rPr>
        <w:t>Competing interests</w:t>
      </w:r>
    </w:p>
    <w:p w14:paraId="6921F176" w14:textId="77777777" w:rsidR="00454D48" w:rsidRPr="0025190E" w:rsidRDefault="00454D48" w:rsidP="00454D48">
      <w:pPr>
        <w:pStyle w:val="ReferHead"/>
        <w:spacing w:after="0"/>
        <w:rPr>
          <w:rFonts w:ascii="Arial" w:hAnsi="Arial" w:cs="Arial"/>
          <w:sz w:val="14"/>
          <w:szCs w:val="12"/>
        </w:rPr>
      </w:pPr>
    </w:p>
    <w:p w14:paraId="56391D0C" w14:textId="77777777" w:rsidR="00454D48" w:rsidRPr="0025190E" w:rsidRDefault="00454D48" w:rsidP="00454D48">
      <w:pPr>
        <w:pStyle w:val="ReferHead"/>
        <w:spacing w:after="0"/>
        <w:jc w:val="both"/>
        <w:rPr>
          <w:rFonts w:ascii="Arial" w:hAnsi="Arial" w:cs="Arial"/>
          <w:b w:val="0"/>
          <w:caps w:val="0"/>
          <w:sz w:val="20"/>
        </w:rPr>
      </w:pPr>
      <w:r w:rsidRPr="0025190E">
        <w:rPr>
          <w:rFonts w:ascii="Arial" w:hAnsi="Arial" w:cs="Arial"/>
          <w:b w:val="0"/>
          <w:caps w:val="0"/>
          <w:sz w:val="20"/>
        </w:rPr>
        <w:t>Authors have declared that no competing interests exist.</w:t>
      </w:r>
    </w:p>
    <w:p w14:paraId="681C45C0" w14:textId="77777777" w:rsidR="00454D48" w:rsidRDefault="00454D48" w:rsidP="00454D48">
      <w:pPr>
        <w:spacing w:line="240" w:lineRule="auto"/>
        <w:jc w:val="both"/>
        <w:rPr>
          <w:rFonts w:ascii="Arial" w:hAnsi="Arial" w:cs="Arial"/>
          <w:b/>
          <w:sz w:val="24"/>
          <w:szCs w:val="20"/>
        </w:rPr>
      </w:pPr>
    </w:p>
    <w:p w14:paraId="1FACC246" w14:textId="77777777" w:rsidR="00F144A1" w:rsidRDefault="00F144A1" w:rsidP="00454D48">
      <w:pPr>
        <w:spacing w:line="240" w:lineRule="auto"/>
        <w:jc w:val="both"/>
        <w:rPr>
          <w:rFonts w:ascii="Arial" w:hAnsi="Arial" w:cs="Arial"/>
          <w:b/>
          <w:sz w:val="24"/>
          <w:szCs w:val="20"/>
        </w:rPr>
      </w:pPr>
      <w:r w:rsidRPr="00454D48">
        <w:rPr>
          <w:rFonts w:ascii="Arial" w:hAnsi="Arial" w:cs="Arial"/>
          <w:b/>
          <w:sz w:val="24"/>
          <w:szCs w:val="20"/>
        </w:rPr>
        <w:t>REFERENCE</w:t>
      </w:r>
    </w:p>
    <w:p w14:paraId="41A5C40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Ali, A. M., &amp; Salem, H. M. (2024). Site-specific nitrogen fertilizer management using canopy reflectance sensors, chlorophyll meters and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charts: A review. </w:t>
      </w:r>
      <w:r w:rsidRPr="00B77696">
        <w:rPr>
          <w:rFonts w:ascii="Arial" w:hAnsi="Arial" w:cs="Arial"/>
          <w:i/>
          <w:iCs/>
          <w:color w:val="222222"/>
          <w:sz w:val="20"/>
          <w:szCs w:val="20"/>
          <w:shd w:val="clear" w:color="auto" w:fill="FFFFFF"/>
        </w:rPr>
        <w:t>Nitrogen</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5</w:t>
      </w:r>
      <w:r w:rsidRPr="00B77696">
        <w:rPr>
          <w:rFonts w:ascii="Arial" w:hAnsi="Arial" w:cs="Arial"/>
          <w:color w:val="222222"/>
          <w:sz w:val="20"/>
          <w:szCs w:val="20"/>
          <w:shd w:val="clear" w:color="auto" w:fill="FFFFFF"/>
        </w:rPr>
        <w:t>(4), 828-856.</w:t>
      </w:r>
    </w:p>
    <w:p w14:paraId="0F5D4CA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Al-</w:t>
      </w:r>
      <w:proofErr w:type="spellStart"/>
      <w:r w:rsidRPr="00B77696">
        <w:rPr>
          <w:rFonts w:ascii="Arial" w:hAnsi="Arial" w:cs="Arial"/>
          <w:color w:val="222222"/>
          <w:sz w:val="20"/>
          <w:szCs w:val="20"/>
          <w:shd w:val="clear" w:color="auto" w:fill="FFFFFF"/>
        </w:rPr>
        <w:t>Tawaha</w:t>
      </w:r>
      <w:proofErr w:type="spellEnd"/>
      <w:r w:rsidRPr="00B77696">
        <w:rPr>
          <w:rFonts w:ascii="Arial" w:hAnsi="Arial" w:cs="Arial"/>
          <w:color w:val="222222"/>
          <w:sz w:val="20"/>
          <w:szCs w:val="20"/>
          <w:shd w:val="clear" w:color="auto" w:fill="FFFFFF"/>
        </w:rPr>
        <w:t xml:space="preserve">, A. R. M. S., Singh, S., Singh, V., Kafeel, U., </w:t>
      </w:r>
      <w:proofErr w:type="spellStart"/>
      <w:r w:rsidRPr="00B77696">
        <w:rPr>
          <w:rFonts w:ascii="Arial" w:hAnsi="Arial" w:cs="Arial"/>
          <w:color w:val="222222"/>
          <w:sz w:val="20"/>
          <w:szCs w:val="20"/>
          <w:shd w:val="clear" w:color="auto" w:fill="FFFFFF"/>
        </w:rPr>
        <w:t>Naikoo</w:t>
      </w:r>
      <w:proofErr w:type="spellEnd"/>
      <w:r w:rsidRPr="00B77696">
        <w:rPr>
          <w:rFonts w:ascii="Arial" w:hAnsi="Arial" w:cs="Arial"/>
          <w:color w:val="222222"/>
          <w:sz w:val="20"/>
          <w:szCs w:val="20"/>
          <w:shd w:val="clear" w:color="auto" w:fill="FFFFFF"/>
        </w:rPr>
        <w:t>, M. I., Kumari, A., ... &amp; Torrents Serra, E. (2020). Improving water use efficiency and nitrogen use efficiency in rice through breeding and genomics approaches. In </w:t>
      </w:r>
      <w:r w:rsidRPr="00B77696">
        <w:rPr>
          <w:rFonts w:ascii="Arial" w:hAnsi="Arial" w:cs="Arial"/>
          <w:i/>
          <w:iCs/>
          <w:color w:val="222222"/>
          <w:sz w:val="20"/>
          <w:szCs w:val="20"/>
          <w:shd w:val="clear" w:color="auto" w:fill="FFFFFF"/>
        </w:rPr>
        <w:t>Rice Research for Quality Improvement: Genomics and Genetic Engineering: Volume 2: Nutrient Biofortification and Herbicide and Biotic Stress Resistance in Rice</w:t>
      </w:r>
      <w:r w:rsidRPr="00B77696">
        <w:rPr>
          <w:rFonts w:ascii="Arial" w:hAnsi="Arial" w:cs="Arial"/>
          <w:color w:val="222222"/>
          <w:sz w:val="20"/>
          <w:szCs w:val="20"/>
          <w:shd w:val="clear" w:color="auto" w:fill="FFFFFF"/>
        </w:rPr>
        <w:t> (pp. 307-337). Singapore: Springer Singapore.</w:t>
      </w:r>
    </w:p>
    <w:p w14:paraId="0951966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Bhat, T. A., Kanth, R. H., Jan, B., Nazir, A., </w:t>
      </w:r>
      <w:proofErr w:type="spellStart"/>
      <w:r w:rsidRPr="00B77696">
        <w:rPr>
          <w:rFonts w:ascii="Arial" w:hAnsi="Arial" w:cs="Arial"/>
          <w:color w:val="222222"/>
          <w:sz w:val="20"/>
          <w:szCs w:val="20"/>
          <w:shd w:val="clear" w:color="auto" w:fill="FFFFFF"/>
        </w:rPr>
        <w:t>Ahanger</w:t>
      </w:r>
      <w:proofErr w:type="spellEnd"/>
      <w:r w:rsidRPr="00B77696">
        <w:rPr>
          <w:rFonts w:ascii="Arial" w:hAnsi="Arial" w:cs="Arial"/>
          <w:color w:val="222222"/>
          <w:sz w:val="20"/>
          <w:szCs w:val="20"/>
          <w:shd w:val="clear" w:color="auto" w:fill="FFFFFF"/>
        </w:rPr>
        <w:t>, S. A., Mir, M. S., ... &amp; El Sabagh, A. (2022). Real-Time nitrogen application of rice varieties based on leaf colour chart under system of rice intensification in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(9), 2229.</w:t>
      </w:r>
    </w:p>
    <w:p w14:paraId="1A03C610"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Fayaz, S., Kanth, R. H., Bhat, T. A., Valipour, M., Iqbal, R., Munir, A., ... &amp; Sabagh, A. E. (2022).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xml:space="preserve"> chart (LCC)-based precision nitrogen management for assessing phenology, agrometeorological indices and sustainable yield of hybrid maize genotypes under temperate climate. </w:t>
      </w:r>
      <w:r w:rsidRPr="00B77696">
        <w:rPr>
          <w:rFonts w:ascii="Arial" w:hAnsi="Arial" w:cs="Arial"/>
          <w:i/>
          <w:iCs/>
          <w:color w:val="222222"/>
          <w:sz w:val="20"/>
          <w:szCs w:val="20"/>
          <w:shd w:val="clear" w:color="auto" w:fill="FFFFFF"/>
        </w:rPr>
        <w:t>Agronomy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12</w:t>
      </w:r>
      <w:r w:rsidRPr="00B77696">
        <w:rPr>
          <w:rFonts w:ascii="Arial" w:hAnsi="Arial" w:cs="Arial"/>
          <w:color w:val="222222"/>
          <w:sz w:val="20"/>
          <w:szCs w:val="20"/>
          <w:shd w:val="clear" w:color="auto" w:fill="FFFFFF"/>
        </w:rPr>
        <w:t>(12), 2981.</w:t>
      </w:r>
    </w:p>
    <w:p w14:paraId="1DD202B8"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 xml:space="preserve">Furuya, S. (1987). Growth diagnosis of rice plants by means of leaf </w:t>
      </w:r>
      <w:proofErr w:type="spellStart"/>
      <w:r w:rsidRPr="00B77696">
        <w:rPr>
          <w:rFonts w:ascii="Arial" w:hAnsi="Arial" w:cs="Arial"/>
          <w:color w:val="222222"/>
          <w:sz w:val="20"/>
          <w:szCs w:val="20"/>
          <w:shd w:val="clear" w:color="auto" w:fill="FFFFFF"/>
        </w:rPr>
        <w:t>color</w:t>
      </w:r>
      <w:proofErr w:type="spellEnd"/>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Japan Agricultural Research Quarterly</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20</w:t>
      </w:r>
      <w:r w:rsidRPr="00B77696">
        <w:rPr>
          <w:rFonts w:ascii="Arial" w:hAnsi="Arial" w:cs="Arial"/>
          <w:color w:val="222222"/>
          <w:sz w:val="20"/>
          <w:szCs w:val="20"/>
          <w:shd w:val="clear" w:color="auto" w:fill="FFFFFF"/>
        </w:rPr>
        <w:t>, 147-153.</w:t>
      </w:r>
    </w:p>
    <w:p w14:paraId="1CBF1B72"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lastRenderedPageBreak/>
        <w:t>Malhi, G. S., Kaur, M., Singh, A., Singh, V. K., Saini, S. P., &amp; Jatav, H. S. (2022). Agronomic and economic assessment of site-specific nutrient management in crop production. </w:t>
      </w:r>
      <w:r w:rsidRPr="00B77696">
        <w:rPr>
          <w:rFonts w:ascii="Arial" w:hAnsi="Arial" w:cs="Arial"/>
          <w:i/>
          <w:iCs/>
          <w:color w:val="222222"/>
          <w:sz w:val="20"/>
          <w:szCs w:val="20"/>
          <w:shd w:val="clear" w:color="auto" w:fill="FFFFFF"/>
        </w:rPr>
        <w:t>Ecosystem services: types, management and benefits. Nova Science Publishers, USA</w:t>
      </w:r>
      <w:r w:rsidRPr="00B77696">
        <w:rPr>
          <w:rFonts w:ascii="Arial" w:hAnsi="Arial" w:cs="Arial"/>
          <w:color w:val="222222"/>
          <w:sz w:val="20"/>
          <w:szCs w:val="20"/>
          <w:shd w:val="clear" w:color="auto" w:fill="FFFFFF"/>
        </w:rPr>
        <w:t>.</w:t>
      </w:r>
    </w:p>
    <w:p w14:paraId="6A8CACA5" w14:textId="77777777" w:rsidR="00856270" w:rsidRPr="00B77696" w:rsidRDefault="00856270" w:rsidP="00856270">
      <w:pPr>
        <w:ind w:left="720" w:hanging="720"/>
        <w:jc w:val="both"/>
        <w:rPr>
          <w:rFonts w:ascii="Arial" w:hAnsi="Arial" w:cs="Arial"/>
          <w:color w:val="222222"/>
          <w:sz w:val="20"/>
          <w:szCs w:val="20"/>
          <w:shd w:val="clear" w:color="auto" w:fill="FFFFFF"/>
        </w:rPr>
      </w:pPr>
      <w:r w:rsidRPr="00B77696">
        <w:rPr>
          <w:rFonts w:ascii="Arial" w:hAnsi="Arial" w:cs="Arial"/>
          <w:color w:val="222222"/>
          <w:sz w:val="20"/>
          <w:szCs w:val="20"/>
          <w:shd w:val="clear" w:color="auto" w:fill="FFFFFF"/>
        </w:rPr>
        <w:t>Ostmeyer, T. J., Bahuguna, R. N., Kirkham, M. B., Bean, S., &amp; Jagadish, S. K. (2022). Enhancing sorghum yield through efficient use of nitrogen–challenges and opportunities. </w:t>
      </w:r>
      <w:r w:rsidRPr="00B77696">
        <w:rPr>
          <w:rFonts w:ascii="Arial" w:hAnsi="Arial" w:cs="Arial"/>
          <w:i/>
          <w:iCs/>
          <w:color w:val="222222"/>
          <w:sz w:val="20"/>
          <w:szCs w:val="20"/>
          <w:shd w:val="clear" w:color="auto" w:fill="FFFFFF"/>
        </w:rPr>
        <w:t>Frontiers in plant science</w:t>
      </w:r>
      <w:r w:rsidRPr="00B77696">
        <w:rPr>
          <w:rFonts w:ascii="Arial" w:hAnsi="Arial" w:cs="Arial"/>
          <w:color w:val="222222"/>
          <w:sz w:val="20"/>
          <w:szCs w:val="20"/>
          <w:shd w:val="clear" w:color="auto" w:fill="FFFFFF"/>
        </w:rPr>
        <w:t>, </w:t>
      </w:r>
      <w:r w:rsidRPr="00B77696">
        <w:rPr>
          <w:rFonts w:ascii="Arial" w:hAnsi="Arial" w:cs="Arial"/>
          <w:i/>
          <w:iCs/>
          <w:color w:val="222222"/>
          <w:sz w:val="20"/>
          <w:szCs w:val="20"/>
          <w:shd w:val="clear" w:color="auto" w:fill="FFFFFF"/>
        </w:rPr>
        <w:t>13</w:t>
      </w:r>
      <w:r w:rsidRPr="00B77696">
        <w:rPr>
          <w:rFonts w:ascii="Arial" w:hAnsi="Arial" w:cs="Arial"/>
          <w:color w:val="222222"/>
          <w:sz w:val="20"/>
          <w:szCs w:val="20"/>
          <w:shd w:val="clear" w:color="auto" w:fill="FFFFFF"/>
        </w:rPr>
        <w:t>, 845443.</w:t>
      </w:r>
    </w:p>
    <w:p w14:paraId="31C813AE" w14:textId="77777777" w:rsidR="00856270" w:rsidRPr="00B77696" w:rsidRDefault="00856270" w:rsidP="00856270">
      <w:pPr>
        <w:spacing w:line="276" w:lineRule="auto"/>
        <w:ind w:left="720" w:hanging="720"/>
        <w:jc w:val="both"/>
        <w:rPr>
          <w:rFonts w:ascii="Arial" w:hAnsi="Arial" w:cs="Arial"/>
          <w:sz w:val="20"/>
          <w:szCs w:val="20"/>
        </w:rPr>
      </w:pPr>
      <w:r w:rsidRPr="00B77696">
        <w:rPr>
          <w:rFonts w:ascii="Arial" w:hAnsi="Arial" w:cs="Arial"/>
          <w:sz w:val="20"/>
          <w:szCs w:val="20"/>
        </w:rPr>
        <w:t>Tanno, F., Masunaga, T., &amp; Ito, O. (1982). A visual method for estimating nitrogen status of rice plants. Soil Science and Plant Nutrition, 28(4), 541-549.</w:t>
      </w:r>
    </w:p>
    <w:p w14:paraId="63A7B69A" w14:textId="27D46666" w:rsidR="00856270" w:rsidRPr="00CA0D5B" w:rsidRDefault="00856270" w:rsidP="00856270">
      <w:pPr>
        <w:ind w:left="720" w:hanging="720"/>
        <w:jc w:val="both"/>
        <w:rPr>
          <w:rFonts w:ascii="Arial" w:hAnsi="Arial" w:cs="Arial"/>
          <w:color w:val="222222"/>
          <w:sz w:val="20"/>
          <w:szCs w:val="20"/>
          <w:highlight w:val="yellow"/>
          <w:shd w:val="clear" w:color="auto" w:fill="FFFFFF"/>
        </w:rPr>
      </w:pPr>
      <w:r w:rsidRPr="00CA0D5B">
        <w:rPr>
          <w:rFonts w:ascii="Arial" w:hAnsi="Arial" w:cs="Arial"/>
          <w:color w:val="222222"/>
          <w:sz w:val="20"/>
          <w:szCs w:val="20"/>
          <w:highlight w:val="yellow"/>
          <w:shd w:val="clear" w:color="auto" w:fill="FFFFFF"/>
        </w:rPr>
        <w:t>Varinderpal-Singh, Kunal, Kaur, J., Bhatt, R., Kaur, S., Dhillon, B. S., ... &amp; Bijay-Singh. (2023). Site-specific fertilizer nitrogen management in less and high N responsive basmati rice varieties using newly developed PAU-leaf colour chart. </w:t>
      </w:r>
      <w:r w:rsidRPr="00CA0D5B">
        <w:rPr>
          <w:rFonts w:ascii="Arial" w:hAnsi="Arial" w:cs="Arial"/>
          <w:i/>
          <w:iCs/>
          <w:color w:val="222222"/>
          <w:sz w:val="20"/>
          <w:szCs w:val="20"/>
          <w:highlight w:val="yellow"/>
          <w:shd w:val="clear" w:color="auto" w:fill="FFFFFF"/>
        </w:rPr>
        <w:t>Communications in Soil Science and Plant Analysis</w:t>
      </w:r>
      <w:r w:rsidRPr="00CA0D5B">
        <w:rPr>
          <w:rFonts w:ascii="Arial" w:hAnsi="Arial" w:cs="Arial"/>
          <w:color w:val="222222"/>
          <w:sz w:val="20"/>
          <w:szCs w:val="20"/>
          <w:highlight w:val="yellow"/>
          <w:shd w:val="clear" w:color="auto" w:fill="FFFFFF"/>
        </w:rPr>
        <w:t>, </w:t>
      </w:r>
      <w:r w:rsidRPr="00CA0D5B">
        <w:rPr>
          <w:rFonts w:ascii="Arial" w:hAnsi="Arial" w:cs="Arial"/>
          <w:i/>
          <w:iCs/>
          <w:color w:val="222222"/>
          <w:sz w:val="20"/>
          <w:szCs w:val="20"/>
          <w:highlight w:val="yellow"/>
          <w:shd w:val="clear" w:color="auto" w:fill="FFFFFF"/>
        </w:rPr>
        <w:t>54</w:t>
      </w:r>
      <w:r w:rsidRPr="00CA0D5B">
        <w:rPr>
          <w:rFonts w:ascii="Arial" w:hAnsi="Arial" w:cs="Arial"/>
          <w:color w:val="222222"/>
          <w:sz w:val="20"/>
          <w:szCs w:val="20"/>
          <w:highlight w:val="yellow"/>
          <w:shd w:val="clear" w:color="auto" w:fill="FFFFFF"/>
        </w:rPr>
        <w:t>(10), 1334-1349.</w:t>
      </w:r>
    </w:p>
    <w:p w14:paraId="7E6AF72B" w14:textId="14B1C083" w:rsidR="002C2AD3" w:rsidRPr="00CA0D5B" w:rsidRDefault="002C2AD3" w:rsidP="00D9715D">
      <w:pPr>
        <w:pStyle w:val="NormalWeb"/>
        <w:shd w:val="clear" w:color="auto" w:fill="FFFFFF"/>
        <w:spacing w:before="0" w:beforeAutospacing="0" w:after="150" w:afterAutospacing="0"/>
        <w:ind w:left="720" w:hanging="720"/>
        <w:rPr>
          <w:rFonts w:ascii="Arial" w:hAnsi="Arial" w:cs="Arial"/>
          <w:color w:val="222222"/>
          <w:sz w:val="20"/>
          <w:szCs w:val="20"/>
          <w:highlight w:val="yellow"/>
        </w:rPr>
      </w:pPr>
      <w:r w:rsidRPr="00CA0D5B">
        <w:rPr>
          <w:rFonts w:ascii="Arial" w:hAnsi="Arial" w:cs="Arial"/>
          <w:color w:val="222222"/>
          <w:sz w:val="20"/>
          <w:szCs w:val="20"/>
          <w:highlight w:val="yellow"/>
        </w:rPr>
        <w:t xml:space="preserve">Tang, J., Zhang, W., </w:t>
      </w:r>
      <w:proofErr w:type="spellStart"/>
      <w:r w:rsidRPr="00CA0D5B">
        <w:rPr>
          <w:rFonts w:ascii="Arial" w:hAnsi="Arial" w:cs="Arial"/>
          <w:color w:val="222222"/>
          <w:sz w:val="20"/>
          <w:szCs w:val="20"/>
          <w:highlight w:val="yellow"/>
        </w:rPr>
        <w:t>Niu</w:t>
      </w:r>
      <w:proofErr w:type="spellEnd"/>
      <w:r w:rsidRPr="00CA0D5B">
        <w:rPr>
          <w:rFonts w:ascii="Arial" w:hAnsi="Arial" w:cs="Arial"/>
          <w:color w:val="222222"/>
          <w:sz w:val="20"/>
          <w:szCs w:val="20"/>
          <w:highlight w:val="yellow"/>
        </w:rPr>
        <w:t xml:space="preserve">, X., Li, C., Cao, C., </w:t>
      </w:r>
      <w:proofErr w:type="spellStart"/>
      <w:r w:rsidRPr="00CA0D5B">
        <w:rPr>
          <w:rFonts w:ascii="Arial" w:hAnsi="Arial" w:cs="Arial"/>
          <w:color w:val="222222"/>
          <w:sz w:val="20"/>
          <w:szCs w:val="20"/>
          <w:highlight w:val="yellow"/>
        </w:rPr>
        <w:t>Xiong</w:t>
      </w:r>
      <w:proofErr w:type="spellEnd"/>
      <w:r w:rsidRPr="00CA0D5B">
        <w:rPr>
          <w:rFonts w:ascii="Arial" w:hAnsi="Arial" w:cs="Arial"/>
          <w:color w:val="222222"/>
          <w:sz w:val="20"/>
          <w:szCs w:val="20"/>
          <w:highlight w:val="yellow"/>
        </w:rPr>
        <w:t xml:space="preserve">, D., Zhang, Y., Qu, J., Wang, B., &amp; Liu, T. (2025). Leaf </w:t>
      </w:r>
      <w:proofErr w:type="spellStart"/>
      <w:r w:rsidRPr="00CA0D5B">
        <w:rPr>
          <w:rFonts w:ascii="Arial" w:hAnsi="Arial" w:cs="Arial"/>
          <w:color w:val="222222"/>
          <w:sz w:val="20"/>
          <w:szCs w:val="20"/>
          <w:highlight w:val="yellow"/>
        </w:rPr>
        <w:t>Color</w:t>
      </w:r>
      <w:proofErr w:type="spellEnd"/>
      <w:r w:rsidRPr="00CA0D5B">
        <w:rPr>
          <w:rFonts w:ascii="Arial" w:hAnsi="Arial" w:cs="Arial"/>
          <w:color w:val="222222"/>
          <w:sz w:val="20"/>
          <w:szCs w:val="20"/>
          <w:highlight w:val="yellow"/>
        </w:rPr>
        <w:t xml:space="preserve"> Chart-Based Nitrogen Management Affects Rice Enzyme Activities and Maintains Soil Nitrogen Balance. </w:t>
      </w:r>
      <w:r w:rsidRPr="00CA0D5B">
        <w:rPr>
          <w:rStyle w:val="Emphasis"/>
          <w:rFonts w:ascii="Arial" w:hAnsi="Arial" w:cs="Arial"/>
          <w:color w:val="222222"/>
          <w:sz w:val="20"/>
          <w:szCs w:val="20"/>
          <w:highlight w:val="yellow"/>
        </w:rPr>
        <w:t>Agriculture</w:t>
      </w:r>
      <w:r w:rsidRPr="00CA0D5B">
        <w:rPr>
          <w:rFonts w:ascii="Arial" w:hAnsi="Arial" w:cs="Arial"/>
          <w:color w:val="222222"/>
          <w:sz w:val="20"/>
          <w:szCs w:val="20"/>
          <w:highlight w:val="yellow"/>
        </w:rPr>
        <w:t>, </w:t>
      </w:r>
      <w:r w:rsidRPr="00CA0D5B">
        <w:rPr>
          <w:rStyle w:val="Emphasis"/>
          <w:rFonts w:ascii="Arial" w:hAnsi="Arial" w:cs="Arial"/>
          <w:color w:val="222222"/>
          <w:sz w:val="20"/>
          <w:szCs w:val="20"/>
          <w:highlight w:val="yellow"/>
        </w:rPr>
        <w:t>15</w:t>
      </w:r>
      <w:r w:rsidRPr="00CA0D5B">
        <w:rPr>
          <w:rFonts w:ascii="Arial" w:hAnsi="Arial" w:cs="Arial"/>
          <w:color w:val="222222"/>
          <w:sz w:val="20"/>
          <w:szCs w:val="20"/>
          <w:highlight w:val="yellow"/>
        </w:rPr>
        <w:t xml:space="preserve">(17), 1861. </w:t>
      </w:r>
      <w:hyperlink r:id="rId17" w:history="1">
        <w:r w:rsidRPr="00CA0D5B">
          <w:rPr>
            <w:rStyle w:val="Hyperlink"/>
            <w:rFonts w:ascii="Arial" w:hAnsi="Arial" w:cs="Arial"/>
            <w:sz w:val="20"/>
            <w:szCs w:val="20"/>
            <w:highlight w:val="yellow"/>
          </w:rPr>
          <w:t>https://doi.org/10.3390/agriculture15171861</w:t>
        </w:r>
      </w:hyperlink>
    </w:p>
    <w:p w14:paraId="02331CF0" w14:textId="0306C768" w:rsidR="00A65160" w:rsidRPr="00CA0D5B" w:rsidRDefault="00242EC8" w:rsidP="00D9715D">
      <w:pPr>
        <w:pStyle w:val="NormalWeb"/>
        <w:shd w:val="clear" w:color="auto" w:fill="FFFFFF"/>
        <w:spacing w:before="0" w:beforeAutospacing="0" w:after="150" w:afterAutospacing="0"/>
        <w:ind w:left="720" w:hanging="720"/>
        <w:rPr>
          <w:rFonts w:ascii="Arial" w:hAnsi="Arial" w:cs="Arial"/>
          <w:sz w:val="20"/>
          <w:szCs w:val="20"/>
          <w:highlight w:val="yellow"/>
          <w:shd w:val="clear" w:color="auto" w:fill="FFFFFF"/>
        </w:rPr>
      </w:pPr>
      <w:proofErr w:type="spellStart"/>
      <w:r w:rsidRPr="00CA0D5B">
        <w:rPr>
          <w:rFonts w:ascii="Arial" w:hAnsi="Arial" w:cs="Arial"/>
          <w:sz w:val="20"/>
          <w:szCs w:val="20"/>
          <w:highlight w:val="yellow"/>
          <w:shd w:val="clear" w:color="auto" w:fill="FFFFFF"/>
        </w:rPr>
        <w:t>Timilsina</w:t>
      </w:r>
      <w:proofErr w:type="spellEnd"/>
      <w:r w:rsidRPr="00CA0D5B">
        <w:rPr>
          <w:rFonts w:ascii="Arial" w:hAnsi="Arial" w:cs="Arial"/>
          <w:sz w:val="20"/>
          <w:szCs w:val="20"/>
          <w:highlight w:val="yellow"/>
          <w:shd w:val="clear" w:color="auto" w:fill="FFFFFF"/>
        </w:rPr>
        <w:t xml:space="preserve">, D., &amp; </w:t>
      </w:r>
      <w:proofErr w:type="spellStart"/>
      <w:r w:rsidRPr="00CA0D5B">
        <w:rPr>
          <w:rFonts w:ascii="Arial" w:hAnsi="Arial" w:cs="Arial"/>
          <w:sz w:val="20"/>
          <w:szCs w:val="20"/>
          <w:highlight w:val="yellow"/>
          <w:shd w:val="clear" w:color="auto" w:fill="FFFFFF"/>
        </w:rPr>
        <w:t>Marahatta</w:t>
      </w:r>
      <w:proofErr w:type="spellEnd"/>
      <w:r w:rsidRPr="00CA0D5B">
        <w:rPr>
          <w:rFonts w:ascii="Arial" w:hAnsi="Arial" w:cs="Arial"/>
          <w:sz w:val="20"/>
          <w:szCs w:val="20"/>
          <w:highlight w:val="yellow"/>
          <w:shd w:val="clear" w:color="auto" w:fill="FFFFFF"/>
        </w:rPr>
        <w:t xml:space="preserve">, S. (2025). Evaluating Leaf </w:t>
      </w:r>
      <w:proofErr w:type="spellStart"/>
      <w:r w:rsidRPr="00CA0D5B">
        <w:rPr>
          <w:rFonts w:ascii="Arial" w:hAnsi="Arial" w:cs="Arial"/>
          <w:sz w:val="20"/>
          <w:szCs w:val="20"/>
          <w:highlight w:val="yellow"/>
          <w:shd w:val="clear" w:color="auto" w:fill="FFFFFF"/>
        </w:rPr>
        <w:t>Color</w:t>
      </w:r>
      <w:proofErr w:type="spellEnd"/>
      <w:r w:rsidRPr="00CA0D5B">
        <w:rPr>
          <w:rFonts w:ascii="Arial" w:hAnsi="Arial" w:cs="Arial"/>
          <w:sz w:val="20"/>
          <w:szCs w:val="20"/>
          <w:highlight w:val="yellow"/>
          <w:shd w:val="clear" w:color="auto" w:fill="FFFFFF"/>
        </w:rPr>
        <w:t xml:space="preserve"> Chart-Based Nitrogen Management and Tillage Methods for Improved Maize Yield, Nitrogen Use Efficiency and Economic Returns in Chitwan, </w:t>
      </w:r>
      <w:proofErr w:type="gramStart"/>
      <w:r w:rsidRPr="00CA0D5B">
        <w:rPr>
          <w:rFonts w:ascii="Arial" w:hAnsi="Arial" w:cs="Arial"/>
          <w:sz w:val="20"/>
          <w:szCs w:val="20"/>
          <w:highlight w:val="yellow"/>
          <w:shd w:val="clear" w:color="auto" w:fill="FFFFFF"/>
        </w:rPr>
        <w:t>Nepal . </w:t>
      </w:r>
      <w:proofErr w:type="gramEnd"/>
      <w:r w:rsidRPr="00CA0D5B">
        <w:rPr>
          <w:rFonts w:ascii="Arial" w:hAnsi="Arial" w:cs="Arial"/>
          <w:i/>
          <w:iCs/>
          <w:sz w:val="20"/>
          <w:szCs w:val="20"/>
          <w:highlight w:val="yellow"/>
          <w:shd w:val="clear" w:color="auto" w:fill="FFFFFF"/>
        </w:rPr>
        <w:t>Turkish Journal of Agriculture - Food Science and Technology</w:t>
      </w:r>
      <w:r w:rsidRPr="00CA0D5B">
        <w:rPr>
          <w:rFonts w:ascii="Arial" w:hAnsi="Arial" w:cs="Arial"/>
          <w:sz w:val="20"/>
          <w:szCs w:val="20"/>
          <w:highlight w:val="yellow"/>
          <w:shd w:val="clear" w:color="auto" w:fill="FFFFFF"/>
        </w:rPr>
        <w:t>, </w:t>
      </w:r>
      <w:r w:rsidRPr="00CA0D5B">
        <w:rPr>
          <w:rFonts w:ascii="Arial" w:hAnsi="Arial" w:cs="Arial"/>
          <w:i/>
          <w:iCs/>
          <w:sz w:val="20"/>
          <w:szCs w:val="20"/>
          <w:highlight w:val="yellow"/>
          <w:shd w:val="clear" w:color="auto" w:fill="FFFFFF"/>
        </w:rPr>
        <w:t>13</w:t>
      </w:r>
      <w:r w:rsidRPr="00CA0D5B">
        <w:rPr>
          <w:rFonts w:ascii="Arial" w:hAnsi="Arial" w:cs="Arial"/>
          <w:sz w:val="20"/>
          <w:szCs w:val="20"/>
          <w:highlight w:val="yellow"/>
          <w:shd w:val="clear" w:color="auto" w:fill="FFFFFF"/>
        </w:rPr>
        <w:t xml:space="preserve">(8), 2048–2055. </w:t>
      </w:r>
      <w:hyperlink r:id="rId18" w:history="1">
        <w:r w:rsidR="00604156" w:rsidRPr="00CA0D5B">
          <w:rPr>
            <w:rStyle w:val="Hyperlink"/>
            <w:rFonts w:ascii="Arial" w:hAnsi="Arial" w:cs="Arial"/>
            <w:sz w:val="20"/>
            <w:szCs w:val="20"/>
            <w:highlight w:val="yellow"/>
            <w:shd w:val="clear" w:color="auto" w:fill="FFFFFF"/>
          </w:rPr>
          <w:t>https://doi.org/10.24925/turjaf.v13i8.2048-2055.7625</w:t>
        </w:r>
      </w:hyperlink>
      <w:r w:rsidR="003221F6" w:rsidRPr="00CA0D5B">
        <w:rPr>
          <w:rFonts w:ascii="Arial" w:hAnsi="Arial" w:cs="Arial"/>
          <w:sz w:val="20"/>
          <w:szCs w:val="20"/>
          <w:highlight w:val="yellow"/>
          <w:shd w:val="clear" w:color="auto" w:fill="FFFFFF"/>
        </w:rPr>
        <w:t xml:space="preserve"> </w:t>
      </w:r>
    </w:p>
    <w:p w14:paraId="1E6E47C7" w14:textId="30657368" w:rsidR="00E90765" w:rsidRPr="00CA0D5B" w:rsidRDefault="00E90765" w:rsidP="00221DC3">
      <w:pPr>
        <w:spacing w:after="0" w:line="276" w:lineRule="auto"/>
        <w:ind w:left="720" w:hanging="720"/>
        <w:rPr>
          <w:highlight w:val="yellow"/>
        </w:rPr>
      </w:pPr>
      <w:proofErr w:type="spellStart"/>
      <w:r w:rsidRPr="00CA0D5B">
        <w:rPr>
          <w:highlight w:val="yellow"/>
        </w:rPr>
        <w:t>Shekara</w:t>
      </w:r>
      <w:proofErr w:type="spellEnd"/>
      <w:r w:rsidRPr="00CA0D5B">
        <w:rPr>
          <w:highlight w:val="yellow"/>
        </w:rPr>
        <w:t xml:space="preserve">, B. G., </w:t>
      </w:r>
      <w:proofErr w:type="spellStart"/>
      <w:r w:rsidRPr="00CA0D5B">
        <w:rPr>
          <w:highlight w:val="yellow"/>
        </w:rPr>
        <w:t>Chikkarugi</w:t>
      </w:r>
      <w:proofErr w:type="spellEnd"/>
      <w:r w:rsidRPr="00CA0D5B">
        <w:rPr>
          <w:highlight w:val="yellow"/>
        </w:rPr>
        <w:t xml:space="preserve">, N. M., </w:t>
      </w:r>
      <w:proofErr w:type="spellStart"/>
      <w:r w:rsidRPr="00CA0D5B">
        <w:rPr>
          <w:highlight w:val="yellow"/>
        </w:rPr>
        <w:t>Sannagoudar</w:t>
      </w:r>
      <w:proofErr w:type="spellEnd"/>
      <w:r w:rsidRPr="00CA0D5B">
        <w:rPr>
          <w:highlight w:val="yellow"/>
        </w:rPr>
        <w:t xml:space="preserve">, M. S., </w:t>
      </w:r>
      <w:proofErr w:type="spellStart"/>
      <w:r w:rsidRPr="00CA0D5B">
        <w:rPr>
          <w:highlight w:val="yellow"/>
        </w:rPr>
        <w:t>Jinger</w:t>
      </w:r>
      <w:proofErr w:type="spellEnd"/>
      <w:r w:rsidRPr="00CA0D5B">
        <w:rPr>
          <w:highlight w:val="yellow"/>
        </w:rPr>
        <w:t xml:space="preserve">, D., </w:t>
      </w:r>
      <w:proofErr w:type="spellStart"/>
      <w:r w:rsidRPr="00CA0D5B">
        <w:rPr>
          <w:highlight w:val="yellow"/>
        </w:rPr>
        <w:t>Halli</w:t>
      </w:r>
      <w:proofErr w:type="spellEnd"/>
      <w:r w:rsidRPr="00CA0D5B">
        <w:rPr>
          <w:highlight w:val="yellow"/>
        </w:rPr>
        <w:t xml:space="preserve">, H. M., Gupta, G., Chand, S., Paramesh, V., </w:t>
      </w:r>
      <w:proofErr w:type="spellStart"/>
      <w:r w:rsidRPr="00CA0D5B">
        <w:rPr>
          <w:highlight w:val="yellow"/>
        </w:rPr>
        <w:t>Rajanna</w:t>
      </w:r>
      <w:proofErr w:type="spellEnd"/>
      <w:r w:rsidRPr="00CA0D5B">
        <w:rPr>
          <w:highlight w:val="yellow"/>
        </w:rPr>
        <w:t xml:space="preserve">, G. A., Aravindan, S., &amp; </w:t>
      </w:r>
      <w:proofErr w:type="spellStart"/>
      <w:r w:rsidRPr="00CA0D5B">
        <w:rPr>
          <w:highlight w:val="yellow"/>
        </w:rPr>
        <w:t>Mahesha</w:t>
      </w:r>
      <w:proofErr w:type="spellEnd"/>
      <w:r w:rsidRPr="00CA0D5B">
        <w:rPr>
          <w:highlight w:val="yellow"/>
        </w:rPr>
        <w:t xml:space="preserve">, H. S. (2025). Optimizing yield, quality, and nitrogen use efficiency in fodder maize through precision N-management. </w:t>
      </w:r>
      <w:r w:rsidRPr="00CA0D5B">
        <w:rPr>
          <w:rStyle w:val="Emphasis"/>
          <w:highlight w:val="yellow"/>
        </w:rPr>
        <w:t>Discover Applied Sciences, 7,</w:t>
      </w:r>
      <w:r w:rsidRPr="00CA0D5B">
        <w:rPr>
          <w:highlight w:val="yellow"/>
        </w:rPr>
        <w:t xml:space="preserve"> 812. </w:t>
      </w:r>
      <w:hyperlink r:id="rId19" w:history="1">
        <w:r w:rsidRPr="00CA0D5B">
          <w:rPr>
            <w:rStyle w:val="Hyperlink"/>
            <w:highlight w:val="yellow"/>
          </w:rPr>
          <w:t>https://doi.org/10.1007/sXXXX-025-0812</w:t>
        </w:r>
      </w:hyperlink>
    </w:p>
    <w:p w14:paraId="326696A7" w14:textId="27E88620"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Govindasamy</w:t>
      </w:r>
      <w:proofErr w:type="spellEnd"/>
      <w:r w:rsidRPr="00CA0D5B">
        <w:rPr>
          <w:rFonts w:ascii="Arial" w:hAnsi="Arial" w:cs="Arial"/>
          <w:sz w:val="20"/>
          <w:szCs w:val="20"/>
          <w:highlight w:val="yellow"/>
        </w:rPr>
        <w:t xml:space="preserve">, P., Muthusamy, S. K., </w:t>
      </w:r>
      <w:proofErr w:type="spellStart"/>
      <w:r w:rsidRPr="00CA0D5B">
        <w:rPr>
          <w:rFonts w:ascii="Arial" w:hAnsi="Arial" w:cs="Arial"/>
          <w:sz w:val="20"/>
          <w:szCs w:val="20"/>
          <w:highlight w:val="yellow"/>
        </w:rPr>
        <w:t>Bagavathiannan</w:t>
      </w:r>
      <w:proofErr w:type="spellEnd"/>
      <w:r w:rsidRPr="00CA0D5B">
        <w:rPr>
          <w:rFonts w:ascii="Arial" w:hAnsi="Arial" w:cs="Arial"/>
          <w:sz w:val="20"/>
          <w:szCs w:val="20"/>
          <w:highlight w:val="yellow"/>
        </w:rPr>
        <w:t xml:space="preserve">, M., Mowrer, J., </w:t>
      </w:r>
      <w:proofErr w:type="spellStart"/>
      <w:r w:rsidRPr="00CA0D5B">
        <w:rPr>
          <w:rFonts w:ascii="Arial" w:hAnsi="Arial" w:cs="Arial"/>
          <w:sz w:val="20"/>
          <w:szCs w:val="20"/>
          <w:highlight w:val="yellow"/>
        </w:rPr>
        <w:t>Jagannadham</w:t>
      </w:r>
      <w:proofErr w:type="spellEnd"/>
      <w:r w:rsidRPr="00CA0D5B">
        <w:rPr>
          <w:rFonts w:ascii="Arial" w:hAnsi="Arial" w:cs="Arial"/>
          <w:sz w:val="20"/>
          <w:szCs w:val="20"/>
          <w:highlight w:val="yellow"/>
        </w:rPr>
        <w:t xml:space="preserve">, P. T. K., </w:t>
      </w:r>
      <w:proofErr w:type="spellStart"/>
      <w:r w:rsidRPr="00CA0D5B">
        <w:rPr>
          <w:rFonts w:ascii="Arial" w:hAnsi="Arial" w:cs="Arial"/>
          <w:sz w:val="20"/>
          <w:szCs w:val="20"/>
          <w:highlight w:val="yellow"/>
        </w:rPr>
        <w:t>Maity</w:t>
      </w:r>
      <w:proofErr w:type="spellEnd"/>
      <w:r w:rsidRPr="00CA0D5B">
        <w:rPr>
          <w:rFonts w:ascii="Arial" w:hAnsi="Arial" w:cs="Arial"/>
          <w:sz w:val="20"/>
          <w:szCs w:val="20"/>
          <w:highlight w:val="yellow"/>
        </w:rPr>
        <w:t xml:space="preserve">, A., </w:t>
      </w:r>
      <w:proofErr w:type="spellStart"/>
      <w:r w:rsidRPr="00CA0D5B">
        <w:rPr>
          <w:rFonts w:ascii="Arial" w:hAnsi="Arial" w:cs="Arial"/>
          <w:sz w:val="20"/>
          <w:szCs w:val="20"/>
          <w:highlight w:val="yellow"/>
        </w:rPr>
        <w:t>Halli</w:t>
      </w:r>
      <w:proofErr w:type="spellEnd"/>
      <w:r w:rsidRPr="00CA0D5B">
        <w:rPr>
          <w:rFonts w:ascii="Arial" w:hAnsi="Arial" w:cs="Arial"/>
          <w:sz w:val="20"/>
          <w:szCs w:val="20"/>
          <w:highlight w:val="yellow"/>
        </w:rPr>
        <w:t xml:space="preserve">, H. M., G K, S., Vadivel, R., T K, D., Raj, R., </w:t>
      </w:r>
      <w:proofErr w:type="spellStart"/>
      <w:r w:rsidRPr="00CA0D5B">
        <w:rPr>
          <w:rFonts w:ascii="Arial" w:hAnsi="Arial" w:cs="Arial"/>
          <w:sz w:val="20"/>
          <w:szCs w:val="20"/>
          <w:highlight w:val="yellow"/>
        </w:rPr>
        <w:t>Pooniya</w:t>
      </w:r>
      <w:proofErr w:type="spellEnd"/>
      <w:r w:rsidRPr="00CA0D5B">
        <w:rPr>
          <w:rFonts w:ascii="Arial" w:hAnsi="Arial" w:cs="Arial"/>
          <w:sz w:val="20"/>
          <w:szCs w:val="20"/>
          <w:highlight w:val="yellow"/>
        </w:rPr>
        <w:t xml:space="preserve">, V., </w:t>
      </w:r>
      <w:proofErr w:type="spellStart"/>
      <w:r w:rsidRPr="00CA0D5B">
        <w:rPr>
          <w:rFonts w:ascii="Arial" w:hAnsi="Arial" w:cs="Arial"/>
          <w:sz w:val="20"/>
          <w:szCs w:val="20"/>
          <w:highlight w:val="yellow"/>
        </w:rPr>
        <w:t>Babu</w:t>
      </w:r>
      <w:proofErr w:type="spellEnd"/>
      <w:r w:rsidRPr="00CA0D5B">
        <w:rPr>
          <w:rFonts w:ascii="Arial" w:hAnsi="Arial" w:cs="Arial"/>
          <w:sz w:val="20"/>
          <w:szCs w:val="20"/>
          <w:highlight w:val="yellow"/>
        </w:rPr>
        <w:t xml:space="preserve">, S., Rathore, S. S., L, M., &amp; Tiwari, G. (2023). Nitrogen use efficiency-a key to enhance crop productivity under a changing climate. Frontiers in plant science, 14, 1121073. </w:t>
      </w:r>
      <w:hyperlink r:id="rId20" w:history="1">
        <w:r w:rsidRPr="00CA0D5B">
          <w:rPr>
            <w:rStyle w:val="Hyperlink"/>
            <w:rFonts w:ascii="Arial" w:hAnsi="Arial" w:cs="Arial"/>
            <w:sz w:val="20"/>
            <w:szCs w:val="20"/>
            <w:highlight w:val="yellow"/>
          </w:rPr>
          <w:t>https://doi.org/10.3389/fpls.2023.1121073</w:t>
        </w:r>
      </w:hyperlink>
    </w:p>
    <w:p w14:paraId="24AE408A"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Karnot</w:t>
      </w:r>
      <w:proofErr w:type="spellEnd"/>
      <w:r w:rsidRPr="00CA0D5B">
        <w:rPr>
          <w:rFonts w:ascii="Arial" w:hAnsi="Arial" w:cs="Arial"/>
          <w:sz w:val="20"/>
          <w:szCs w:val="20"/>
          <w:highlight w:val="yellow"/>
        </w:rPr>
        <w:t xml:space="preserve">, M. K., </w:t>
      </w:r>
      <w:proofErr w:type="spellStart"/>
      <w:r w:rsidRPr="00CA0D5B">
        <w:rPr>
          <w:rFonts w:ascii="Arial" w:hAnsi="Arial" w:cs="Arial"/>
          <w:sz w:val="20"/>
          <w:szCs w:val="20"/>
          <w:highlight w:val="yellow"/>
        </w:rPr>
        <w:t>Debbarma</w:t>
      </w:r>
      <w:proofErr w:type="spellEnd"/>
      <w:r w:rsidRPr="00CA0D5B">
        <w:rPr>
          <w:rFonts w:ascii="Arial" w:hAnsi="Arial" w:cs="Arial"/>
          <w:sz w:val="20"/>
          <w:szCs w:val="20"/>
          <w:highlight w:val="yellow"/>
        </w:rPr>
        <w:t xml:space="preserve">, V., Kumar, R., &amp; </w:t>
      </w:r>
      <w:proofErr w:type="spellStart"/>
      <w:r w:rsidRPr="00CA0D5B">
        <w:rPr>
          <w:rFonts w:ascii="Arial" w:hAnsi="Arial" w:cs="Arial"/>
          <w:sz w:val="20"/>
          <w:szCs w:val="20"/>
          <w:highlight w:val="yellow"/>
        </w:rPr>
        <w:t>Pareek</w:t>
      </w:r>
      <w:proofErr w:type="spellEnd"/>
      <w:r w:rsidRPr="00CA0D5B">
        <w:rPr>
          <w:rFonts w:ascii="Arial" w:hAnsi="Arial" w:cs="Arial"/>
          <w:sz w:val="20"/>
          <w:szCs w:val="20"/>
          <w:highlight w:val="yellow"/>
        </w:rPr>
        <w:t>, D. (2024). Effect of nitrogen management on growth and yield of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Journal of Advances in Biology &amp; Biotechnology, 27</w:t>
      </w:r>
      <w:r w:rsidRPr="00CA0D5B">
        <w:rPr>
          <w:rFonts w:ascii="Arial" w:hAnsi="Arial" w:cs="Arial"/>
          <w:sz w:val="20"/>
          <w:szCs w:val="20"/>
          <w:highlight w:val="yellow"/>
        </w:rPr>
        <w:t xml:space="preserve">(7), 318–325. </w:t>
      </w:r>
      <w:hyperlink r:id="rId21" w:tgtFrame="_new" w:history="1">
        <w:r w:rsidRPr="00CA0D5B">
          <w:rPr>
            <w:rFonts w:ascii="Arial" w:hAnsi="Arial" w:cs="Arial"/>
            <w:color w:val="0000FF"/>
            <w:sz w:val="20"/>
            <w:szCs w:val="20"/>
            <w:highlight w:val="yellow"/>
            <w:u w:val="single"/>
          </w:rPr>
          <w:t>https://doi.org/10.9734/jabb/2024/v27i7991</w:t>
        </w:r>
      </w:hyperlink>
    </w:p>
    <w:p w14:paraId="1D7B46AE" w14:textId="77777777" w:rsidR="009873D3" w:rsidRPr="00CA0D5B" w:rsidRDefault="009873D3" w:rsidP="00221DC3">
      <w:pPr>
        <w:spacing w:after="0" w:line="276" w:lineRule="auto"/>
        <w:ind w:left="720" w:hanging="720"/>
        <w:rPr>
          <w:rFonts w:ascii="Arial" w:hAnsi="Arial" w:cs="Arial"/>
          <w:sz w:val="20"/>
          <w:szCs w:val="20"/>
          <w:highlight w:val="yellow"/>
        </w:rPr>
      </w:pPr>
      <w:proofErr w:type="spellStart"/>
      <w:r w:rsidRPr="00CA0D5B">
        <w:rPr>
          <w:rFonts w:ascii="Arial" w:hAnsi="Arial" w:cs="Arial"/>
          <w:sz w:val="20"/>
          <w:szCs w:val="20"/>
          <w:highlight w:val="yellow"/>
        </w:rPr>
        <w:t>Bollam</w:t>
      </w:r>
      <w:proofErr w:type="spellEnd"/>
      <w:r w:rsidRPr="00CA0D5B">
        <w:rPr>
          <w:rFonts w:ascii="Arial" w:hAnsi="Arial" w:cs="Arial"/>
          <w:sz w:val="20"/>
          <w:szCs w:val="20"/>
          <w:highlight w:val="yellow"/>
        </w:rPr>
        <w:t xml:space="preserve">, S., Romana, K. K., </w:t>
      </w:r>
      <w:proofErr w:type="spellStart"/>
      <w:r w:rsidRPr="00CA0D5B">
        <w:rPr>
          <w:rFonts w:ascii="Arial" w:hAnsi="Arial" w:cs="Arial"/>
          <w:sz w:val="20"/>
          <w:szCs w:val="20"/>
          <w:highlight w:val="yellow"/>
        </w:rPr>
        <w:t>Rayaprolu</w:t>
      </w:r>
      <w:proofErr w:type="spellEnd"/>
      <w:r w:rsidRPr="00CA0D5B">
        <w:rPr>
          <w:rFonts w:ascii="Arial" w:hAnsi="Arial" w:cs="Arial"/>
          <w:sz w:val="20"/>
          <w:szCs w:val="20"/>
          <w:highlight w:val="yellow"/>
        </w:rPr>
        <w:t xml:space="preserve">, L., </w:t>
      </w:r>
      <w:proofErr w:type="spellStart"/>
      <w:r w:rsidRPr="00CA0D5B">
        <w:rPr>
          <w:rFonts w:ascii="Arial" w:hAnsi="Arial" w:cs="Arial"/>
          <w:sz w:val="20"/>
          <w:szCs w:val="20"/>
          <w:highlight w:val="yellow"/>
        </w:rPr>
        <w:t>Vemula</w:t>
      </w:r>
      <w:proofErr w:type="spellEnd"/>
      <w:r w:rsidRPr="00CA0D5B">
        <w:rPr>
          <w:rFonts w:ascii="Arial" w:hAnsi="Arial" w:cs="Arial"/>
          <w:sz w:val="20"/>
          <w:szCs w:val="20"/>
          <w:highlight w:val="yellow"/>
        </w:rPr>
        <w:t xml:space="preserve">, A., Das, R. R., Rathore, A., </w:t>
      </w:r>
      <w:proofErr w:type="spellStart"/>
      <w:r w:rsidRPr="00CA0D5B">
        <w:rPr>
          <w:rFonts w:ascii="Arial" w:hAnsi="Arial" w:cs="Arial"/>
          <w:sz w:val="20"/>
          <w:szCs w:val="20"/>
          <w:highlight w:val="yellow"/>
        </w:rPr>
        <w:t>Gandham</w:t>
      </w:r>
      <w:proofErr w:type="spellEnd"/>
      <w:r w:rsidRPr="00CA0D5B">
        <w:rPr>
          <w:rFonts w:ascii="Arial" w:hAnsi="Arial" w:cs="Arial"/>
          <w:sz w:val="20"/>
          <w:szCs w:val="20"/>
          <w:highlight w:val="yellow"/>
        </w:rPr>
        <w:t xml:space="preserve">, P., </w:t>
      </w:r>
      <w:proofErr w:type="spellStart"/>
      <w:r w:rsidRPr="00CA0D5B">
        <w:rPr>
          <w:rFonts w:ascii="Arial" w:hAnsi="Arial" w:cs="Arial"/>
          <w:sz w:val="20"/>
          <w:szCs w:val="20"/>
          <w:highlight w:val="yellow"/>
        </w:rPr>
        <w:t>Chander</w:t>
      </w:r>
      <w:proofErr w:type="spellEnd"/>
      <w:r w:rsidRPr="00CA0D5B">
        <w:rPr>
          <w:rFonts w:ascii="Arial" w:hAnsi="Arial" w:cs="Arial"/>
          <w:sz w:val="20"/>
          <w:szCs w:val="20"/>
          <w:highlight w:val="yellow"/>
        </w:rPr>
        <w:t xml:space="preserve">, G., Deshpande, S. P., &amp; Gupta, R. (2021). Nitrogen use efficiency in sorghum: Exploring native variability for traits under variable N-regimes. </w:t>
      </w:r>
      <w:r w:rsidRPr="00CA0D5B">
        <w:rPr>
          <w:rFonts w:ascii="Arial" w:hAnsi="Arial" w:cs="Arial"/>
          <w:i/>
          <w:iCs/>
          <w:sz w:val="20"/>
          <w:szCs w:val="20"/>
          <w:highlight w:val="yellow"/>
        </w:rPr>
        <w:t>Frontiers in Plant Science, 12,</w:t>
      </w:r>
      <w:r w:rsidRPr="00CA0D5B">
        <w:rPr>
          <w:rFonts w:ascii="Arial" w:hAnsi="Arial" w:cs="Arial"/>
          <w:sz w:val="20"/>
          <w:szCs w:val="20"/>
          <w:highlight w:val="yellow"/>
        </w:rPr>
        <w:t xml:space="preserve"> 643192. </w:t>
      </w:r>
      <w:hyperlink r:id="rId22" w:tgtFrame="_new" w:history="1">
        <w:r w:rsidRPr="00CA0D5B">
          <w:rPr>
            <w:rFonts w:ascii="Arial" w:hAnsi="Arial" w:cs="Arial"/>
            <w:color w:val="0000FF"/>
            <w:sz w:val="20"/>
            <w:szCs w:val="20"/>
            <w:highlight w:val="yellow"/>
            <w:u w:val="single"/>
          </w:rPr>
          <w:t>https://doi.org/10.3389/fpls.2021.643192</w:t>
        </w:r>
      </w:hyperlink>
    </w:p>
    <w:p w14:paraId="1D535309"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Shashikala, T., </w:t>
      </w:r>
      <w:proofErr w:type="spellStart"/>
      <w:r w:rsidRPr="00CA0D5B">
        <w:rPr>
          <w:rFonts w:ascii="Arial" w:hAnsi="Arial" w:cs="Arial"/>
          <w:sz w:val="20"/>
          <w:szCs w:val="20"/>
          <w:highlight w:val="yellow"/>
        </w:rPr>
        <w:t>Naaiik</w:t>
      </w:r>
      <w:proofErr w:type="spellEnd"/>
      <w:r w:rsidRPr="00CA0D5B">
        <w:rPr>
          <w:rFonts w:ascii="Arial" w:hAnsi="Arial" w:cs="Arial"/>
          <w:sz w:val="20"/>
          <w:szCs w:val="20"/>
          <w:highlight w:val="yellow"/>
        </w:rPr>
        <w:t>, R. B., &amp; Kumar, T. S. (2023). Exploring the impact of varying nitrogen levels and cutting management on fodder yield and nutritional quality in fodder pearl millet (</w:t>
      </w:r>
      <w:proofErr w:type="spellStart"/>
      <w:r w:rsidRPr="00CA0D5B">
        <w:rPr>
          <w:rFonts w:ascii="Arial" w:hAnsi="Arial" w:cs="Arial"/>
          <w:i/>
          <w:iCs/>
          <w:sz w:val="20"/>
          <w:szCs w:val="20"/>
          <w:highlight w:val="yellow"/>
        </w:rPr>
        <w:t>Pennisetum</w:t>
      </w:r>
      <w:proofErr w:type="spellEnd"/>
      <w:r w:rsidRPr="00CA0D5B">
        <w:rPr>
          <w:rFonts w:ascii="Arial" w:hAnsi="Arial" w:cs="Arial"/>
          <w:i/>
          <w:iCs/>
          <w:sz w:val="20"/>
          <w:szCs w:val="20"/>
          <w:highlight w:val="yellow"/>
        </w:rPr>
        <w:t xml:space="preserve"> </w:t>
      </w:r>
      <w:proofErr w:type="spellStart"/>
      <w:r w:rsidRPr="00CA0D5B">
        <w:rPr>
          <w:rFonts w:ascii="Arial" w:hAnsi="Arial" w:cs="Arial"/>
          <w:i/>
          <w:iCs/>
          <w:sz w:val="20"/>
          <w:szCs w:val="20"/>
          <w:highlight w:val="yellow"/>
        </w:rPr>
        <w:t>glaucum</w:t>
      </w:r>
      <w:proofErr w:type="spellEnd"/>
      <w:r w:rsidRPr="00CA0D5B">
        <w:rPr>
          <w:rFonts w:ascii="Arial" w:hAnsi="Arial" w:cs="Arial"/>
          <w:sz w:val="20"/>
          <w:szCs w:val="20"/>
          <w:highlight w:val="yellow"/>
        </w:rPr>
        <w:t xml:space="preserve"> L.). </w:t>
      </w:r>
      <w:r w:rsidRPr="00CA0D5B">
        <w:rPr>
          <w:rFonts w:ascii="Arial" w:hAnsi="Arial" w:cs="Arial"/>
          <w:i/>
          <w:iCs/>
          <w:sz w:val="20"/>
          <w:szCs w:val="20"/>
          <w:highlight w:val="yellow"/>
        </w:rPr>
        <w:t>International Journal of Environment and Climate Change, 13</w:t>
      </w:r>
      <w:r w:rsidRPr="00CA0D5B">
        <w:rPr>
          <w:rFonts w:ascii="Arial" w:hAnsi="Arial" w:cs="Arial"/>
          <w:sz w:val="20"/>
          <w:szCs w:val="20"/>
          <w:highlight w:val="yellow"/>
        </w:rPr>
        <w:t xml:space="preserve">(11), 3799–3804. </w:t>
      </w:r>
      <w:hyperlink r:id="rId23" w:tgtFrame="_new" w:history="1">
        <w:r w:rsidRPr="00CA0D5B">
          <w:rPr>
            <w:rFonts w:ascii="Arial" w:hAnsi="Arial" w:cs="Arial"/>
            <w:color w:val="0000FF"/>
            <w:sz w:val="20"/>
            <w:szCs w:val="20"/>
            <w:highlight w:val="yellow"/>
            <w:u w:val="single"/>
          </w:rPr>
          <w:t>https://doi.org/10.9734/ijecc/2023/v13i113559</w:t>
        </w:r>
      </w:hyperlink>
    </w:p>
    <w:p w14:paraId="20A5413C"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Sneha, M. A., </w:t>
      </w:r>
      <w:proofErr w:type="spellStart"/>
      <w:r w:rsidRPr="00CA0D5B">
        <w:rPr>
          <w:rFonts w:ascii="Arial" w:hAnsi="Arial" w:cs="Arial"/>
          <w:sz w:val="20"/>
          <w:szCs w:val="20"/>
          <w:highlight w:val="yellow"/>
        </w:rPr>
        <w:t>Mudalagiriyappa</w:t>
      </w:r>
      <w:proofErr w:type="spellEnd"/>
      <w:r w:rsidRPr="00CA0D5B">
        <w:rPr>
          <w:rFonts w:ascii="Arial" w:hAnsi="Arial" w:cs="Arial"/>
          <w:sz w:val="20"/>
          <w:szCs w:val="20"/>
          <w:highlight w:val="yellow"/>
        </w:rPr>
        <w:t xml:space="preserve">, </w:t>
      </w:r>
      <w:proofErr w:type="spellStart"/>
      <w:r w:rsidRPr="00CA0D5B">
        <w:rPr>
          <w:rFonts w:ascii="Arial" w:hAnsi="Arial" w:cs="Arial"/>
          <w:sz w:val="20"/>
          <w:szCs w:val="20"/>
          <w:highlight w:val="yellow"/>
        </w:rPr>
        <w:t>Vasanthi</w:t>
      </w:r>
      <w:proofErr w:type="spellEnd"/>
      <w:r w:rsidRPr="00CA0D5B">
        <w:rPr>
          <w:rFonts w:ascii="Arial" w:hAnsi="Arial" w:cs="Arial"/>
          <w:sz w:val="20"/>
          <w:szCs w:val="20"/>
          <w:highlight w:val="yellow"/>
        </w:rPr>
        <w:t xml:space="preserve">, B. G., Gopinath, K. A., </w:t>
      </w:r>
      <w:proofErr w:type="spellStart"/>
      <w:r w:rsidRPr="00CA0D5B">
        <w:rPr>
          <w:rFonts w:ascii="Arial" w:hAnsi="Arial" w:cs="Arial"/>
          <w:sz w:val="20"/>
          <w:szCs w:val="20"/>
          <w:highlight w:val="yellow"/>
        </w:rPr>
        <w:t>Latha</w:t>
      </w:r>
      <w:proofErr w:type="spellEnd"/>
      <w:r w:rsidRPr="00CA0D5B">
        <w:rPr>
          <w:rFonts w:ascii="Arial" w:hAnsi="Arial" w:cs="Arial"/>
          <w:sz w:val="20"/>
          <w:szCs w:val="20"/>
          <w:highlight w:val="yellow"/>
        </w:rPr>
        <w:t xml:space="preserve">, H. S., </w:t>
      </w:r>
      <w:proofErr w:type="spellStart"/>
      <w:r w:rsidRPr="00CA0D5B">
        <w:rPr>
          <w:rFonts w:ascii="Arial" w:hAnsi="Arial" w:cs="Arial"/>
          <w:sz w:val="20"/>
          <w:szCs w:val="20"/>
          <w:highlight w:val="yellow"/>
        </w:rPr>
        <w:t>Devaraja</w:t>
      </w:r>
      <w:proofErr w:type="spellEnd"/>
      <w:r w:rsidRPr="00CA0D5B">
        <w:rPr>
          <w:rFonts w:ascii="Arial" w:hAnsi="Arial" w:cs="Arial"/>
          <w:sz w:val="20"/>
          <w:szCs w:val="20"/>
          <w:highlight w:val="yellow"/>
        </w:rPr>
        <w:t xml:space="preserve">, K., Kumari, V. V., </w:t>
      </w:r>
      <w:proofErr w:type="spellStart"/>
      <w:r w:rsidRPr="00CA0D5B">
        <w:rPr>
          <w:rFonts w:ascii="Arial" w:hAnsi="Arial" w:cs="Arial"/>
          <w:sz w:val="20"/>
          <w:szCs w:val="20"/>
          <w:highlight w:val="yellow"/>
        </w:rPr>
        <w:t>Roopashree</w:t>
      </w:r>
      <w:proofErr w:type="spellEnd"/>
      <w:r w:rsidRPr="00CA0D5B">
        <w:rPr>
          <w:rFonts w:ascii="Arial" w:hAnsi="Arial" w:cs="Arial"/>
          <w:sz w:val="20"/>
          <w:szCs w:val="20"/>
          <w:highlight w:val="yellow"/>
        </w:rPr>
        <w:t xml:space="preserve">, D. H., Singh, T., </w:t>
      </w:r>
      <w:proofErr w:type="spellStart"/>
      <w:r w:rsidRPr="00CA0D5B">
        <w:rPr>
          <w:rFonts w:ascii="Arial" w:hAnsi="Arial" w:cs="Arial"/>
          <w:sz w:val="20"/>
          <w:szCs w:val="20"/>
          <w:highlight w:val="yellow"/>
        </w:rPr>
        <w:t>Krupashankar</w:t>
      </w:r>
      <w:proofErr w:type="spellEnd"/>
      <w:r w:rsidRPr="00CA0D5B">
        <w:rPr>
          <w:rFonts w:ascii="Arial" w:hAnsi="Arial" w:cs="Arial"/>
          <w:sz w:val="20"/>
          <w:szCs w:val="20"/>
          <w:highlight w:val="yellow"/>
        </w:rPr>
        <w:t xml:space="preserve">, M. R., &amp; Singh, V. K. (2025). Effect of optimized nitrogen management through conventional and </w:t>
      </w:r>
      <w:proofErr w:type="spellStart"/>
      <w:r w:rsidRPr="00CA0D5B">
        <w:rPr>
          <w:rFonts w:ascii="Arial" w:hAnsi="Arial" w:cs="Arial"/>
          <w:sz w:val="20"/>
          <w:szCs w:val="20"/>
          <w:highlight w:val="yellow"/>
        </w:rPr>
        <w:t>nano</w:t>
      </w:r>
      <w:proofErr w:type="spellEnd"/>
      <w:r w:rsidRPr="00CA0D5B">
        <w:rPr>
          <w:rFonts w:ascii="Arial" w:hAnsi="Arial" w:cs="Arial"/>
          <w:sz w:val="20"/>
          <w:szCs w:val="20"/>
          <w:highlight w:val="yellow"/>
        </w:rPr>
        <w:t xml:space="preserve">-fertilizers on nutrient dynamics and finger millet yield. </w:t>
      </w:r>
      <w:r w:rsidRPr="00CA0D5B">
        <w:rPr>
          <w:rFonts w:ascii="Arial" w:hAnsi="Arial" w:cs="Arial"/>
          <w:i/>
          <w:iCs/>
          <w:sz w:val="20"/>
          <w:szCs w:val="20"/>
          <w:highlight w:val="yellow"/>
        </w:rPr>
        <w:t>Frontiers in Nanotechnology, 7,</w:t>
      </w:r>
      <w:r w:rsidRPr="00CA0D5B">
        <w:rPr>
          <w:rFonts w:ascii="Arial" w:hAnsi="Arial" w:cs="Arial"/>
          <w:sz w:val="20"/>
          <w:szCs w:val="20"/>
          <w:highlight w:val="yellow"/>
        </w:rPr>
        <w:t xml:space="preserve"> 1627830. </w:t>
      </w:r>
      <w:hyperlink r:id="rId24" w:tgtFrame="_new" w:history="1">
        <w:r w:rsidRPr="00CA0D5B">
          <w:rPr>
            <w:rFonts w:ascii="Arial" w:hAnsi="Arial" w:cs="Arial"/>
            <w:color w:val="0000FF"/>
            <w:sz w:val="20"/>
            <w:szCs w:val="20"/>
            <w:highlight w:val="yellow"/>
            <w:u w:val="single"/>
          </w:rPr>
          <w:t>https://doi.org/10.3389/fnano.2025.1627830</w:t>
        </w:r>
      </w:hyperlink>
    </w:p>
    <w:p w14:paraId="7EC460C7" w14:textId="77777777" w:rsidR="009873D3" w:rsidRPr="00CA0D5B" w:rsidRDefault="009873D3" w:rsidP="00221DC3">
      <w:pPr>
        <w:spacing w:after="0" w:line="276" w:lineRule="auto"/>
        <w:ind w:left="720" w:hanging="720"/>
        <w:rPr>
          <w:rFonts w:ascii="Arial" w:eastAsia="Times New Roman" w:hAnsi="Arial" w:cs="Arial"/>
          <w:sz w:val="20"/>
          <w:szCs w:val="20"/>
          <w:highlight w:val="yellow"/>
        </w:rPr>
      </w:pPr>
      <w:r w:rsidRPr="00551902">
        <w:rPr>
          <w:rFonts w:ascii="Arial" w:eastAsia="Times New Roman" w:hAnsi="Arial" w:cs="Arial"/>
          <w:sz w:val="20"/>
          <w:szCs w:val="20"/>
          <w:highlight w:val="yellow"/>
        </w:rPr>
        <w:t xml:space="preserve">Bhatt, R., &amp; Kunal. (2024). Leaf </w:t>
      </w:r>
      <w:proofErr w:type="spellStart"/>
      <w:r w:rsidRPr="00551902">
        <w:rPr>
          <w:rFonts w:ascii="Arial" w:eastAsia="Times New Roman" w:hAnsi="Arial" w:cs="Arial"/>
          <w:sz w:val="20"/>
          <w:szCs w:val="20"/>
          <w:highlight w:val="yellow"/>
        </w:rPr>
        <w:t>Color</w:t>
      </w:r>
      <w:proofErr w:type="spellEnd"/>
      <w:r w:rsidRPr="00551902">
        <w:rPr>
          <w:rFonts w:ascii="Arial" w:eastAsia="Times New Roman" w:hAnsi="Arial" w:cs="Arial"/>
          <w:sz w:val="20"/>
          <w:szCs w:val="20"/>
          <w:highlight w:val="yellow"/>
        </w:rPr>
        <w:t xml:space="preserve"> Chart for Sustainable Nitrogen Utilization - Concept and Ways Forward. </w:t>
      </w:r>
      <w:r w:rsidRPr="00551902">
        <w:rPr>
          <w:rFonts w:ascii="Arial" w:eastAsia="Times New Roman" w:hAnsi="Arial" w:cs="Arial"/>
          <w:i/>
          <w:iCs/>
          <w:sz w:val="20"/>
          <w:szCs w:val="20"/>
          <w:highlight w:val="yellow"/>
        </w:rPr>
        <w:t>Communications in Soil Science and Plant Analysis</w:t>
      </w:r>
      <w:r w:rsidRPr="00551902">
        <w:rPr>
          <w:rFonts w:ascii="Arial" w:eastAsia="Times New Roman" w:hAnsi="Arial" w:cs="Arial"/>
          <w:sz w:val="20"/>
          <w:szCs w:val="20"/>
          <w:highlight w:val="yellow"/>
        </w:rPr>
        <w:t>, </w:t>
      </w:r>
      <w:r w:rsidRPr="00551902">
        <w:rPr>
          <w:rFonts w:ascii="Arial" w:eastAsia="Times New Roman" w:hAnsi="Arial" w:cs="Arial"/>
          <w:i/>
          <w:iCs/>
          <w:sz w:val="20"/>
          <w:szCs w:val="20"/>
          <w:highlight w:val="yellow"/>
        </w:rPr>
        <w:t>55</w:t>
      </w:r>
      <w:r w:rsidRPr="00551902">
        <w:rPr>
          <w:rFonts w:ascii="Arial" w:eastAsia="Times New Roman" w:hAnsi="Arial" w:cs="Arial"/>
          <w:sz w:val="20"/>
          <w:szCs w:val="20"/>
          <w:highlight w:val="yellow"/>
        </w:rPr>
        <w:t xml:space="preserve">(20), 3133–3144. </w:t>
      </w:r>
      <w:hyperlink r:id="rId25" w:history="1">
        <w:r w:rsidRPr="00CA0D5B">
          <w:rPr>
            <w:rStyle w:val="Hyperlink"/>
            <w:rFonts w:ascii="Arial" w:eastAsia="Times New Roman" w:hAnsi="Arial" w:cs="Arial"/>
            <w:sz w:val="20"/>
            <w:szCs w:val="20"/>
            <w:highlight w:val="yellow"/>
          </w:rPr>
          <w:t>https://doi.org/10.1080/00103624.2024.2380793</w:t>
        </w:r>
      </w:hyperlink>
    </w:p>
    <w:p w14:paraId="75E9DAE7" w14:textId="77777777" w:rsidR="009873D3" w:rsidRPr="00CA0D5B" w:rsidRDefault="009873D3" w:rsidP="00221DC3">
      <w:pPr>
        <w:spacing w:after="0" w:line="276" w:lineRule="auto"/>
        <w:ind w:left="720" w:hanging="720"/>
        <w:rPr>
          <w:rFonts w:ascii="Arial" w:hAnsi="Arial" w:cs="Arial"/>
          <w:sz w:val="20"/>
          <w:szCs w:val="20"/>
          <w:highlight w:val="yellow"/>
        </w:rPr>
      </w:pPr>
      <w:r w:rsidRPr="00CA0D5B">
        <w:rPr>
          <w:rFonts w:ascii="Arial" w:hAnsi="Arial" w:cs="Arial"/>
          <w:sz w:val="20"/>
          <w:szCs w:val="20"/>
          <w:highlight w:val="yellow"/>
        </w:rPr>
        <w:t xml:space="preserve">Wu, G., Chen, X., Zang, Y., Ye, Y., Qian, X., Zhang, W., Zhang, H., Liu, L., Zhang, Z., Wang, Z., Gu, J., &amp; Yang, J. (2024). An optimized strategy of nitrogen-split application based on the leaf </w:t>
      </w:r>
      <w:r w:rsidRPr="00CA0D5B">
        <w:rPr>
          <w:rFonts w:ascii="Arial" w:hAnsi="Arial" w:cs="Arial"/>
          <w:sz w:val="20"/>
          <w:szCs w:val="20"/>
          <w:highlight w:val="yellow"/>
        </w:rPr>
        <w:lastRenderedPageBreak/>
        <w:t xml:space="preserve">positional differences in chlorophyll meter readings. </w:t>
      </w:r>
      <w:r w:rsidRPr="00CA0D5B">
        <w:rPr>
          <w:rStyle w:val="Emphasis"/>
          <w:rFonts w:ascii="Arial" w:hAnsi="Arial" w:cs="Arial"/>
          <w:sz w:val="20"/>
          <w:szCs w:val="20"/>
          <w:highlight w:val="yellow"/>
        </w:rPr>
        <w:t>Journal of Integrative Agriculture, 23</w:t>
      </w:r>
      <w:r w:rsidRPr="00CA0D5B">
        <w:rPr>
          <w:rFonts w:ascii="Arial" w:hAnsi="Arial" w:cs="Arial"/>
          <w:sz w:val="20"/>
          <w:szCs w:val="20"/>
          <w:highlight w:val="yellow"/>
        </w:rPr>
        <w:t xml:space="preserve">(8), 2605–2617. </w:t>
      </w:r>
      <w:hyperlink r:id="rId26" w:history="1">
        <w:r w:rsidRPr="00CA0D5B">
          <w:rPr>
            <w:rStyle w:val="Hyperlink"/>
            <w:rFonts w:ascii="Arial" w:hAnsi="Arial" w:cs="Arial"/>
            <w:sz w:val="20"/>
            <w:szCs w:val="20"/>
            <w:highlight w:val="yellow"/>
          </w:rPr>
          <w:t>https://doi.org/10.1016/S2095-3119(23)00690-6</w:t>
        </w:r>
      </w:hyperlink>
    </w:p>
    <w:p w14:paraId="694C95E0" w14:textId="0094D9DC" w:rsidR="009873D3" w:rsidRPr="00551902" w:rsidRDefault="009873D3" w:rsidP="00221DC3">
      <w:pPr>
        <w:spacing w:after="0" w:line="276" w:lineRule="auto"/>
        <w:ind w:left="720" w:hanging="720"/>
        <w:rPr>
          <w:rFonts w:ascii="Arial" w:eastAsia="Times New Roman" w:hAnsi="Arial" w:cs="Arial"/>
          <w:sz w:val="20"/>
          <w:szCs w:val="20"/>
        </w:rPr>
      </w:pPr>
      <w:r w:rsidRPr="00CA0D5B">
        <w:rPr>
          <w:rFonts w:ascii="Arial" w:hAnsi="Arial" w:cs="Arial"/>
          <w:sz w:val="20"/>
          <w:szCs w:val="20"/>
          <w:highlight w:val="yellow"/>
        </w:rPr>
        <w:t xml:space="preserve">Kulkarni, G. R., &amp; Das, N. K. (2023). Leaf </w:t>
      </w:r>
      <w:proofErr w:type="spellStart"/>
      <w:r w:rsidRPr="00CA0D5B">
        <w:rPr>
          <w:rFonts w:ascii="Arial" w:hAnsi="Arial" w:cs="Arial"/>
          <w:sz w:val="20"/>
          <w:szCs w:val="20"/>
          <w:highlight w:val="yellow"/>
        </w:rPr>
        <w:t>color</w:t>
      </w:r>
      <w:proofErr w:type="spellEnd"/>
      <w:r w:rsidRPr="00CA0D5B">
        <w:rPr>
          <w:rFonts w:ascii="Arial" w:hAnsi="Arial" w:cs="Arial"/>
          <w:sz w:val="20"/>
          <w:szCs w:val="20"/>
          <w:highlight w:val="yellow"/>
        </w:rPr>
        <w:t xml:space="preserve"> chart (LCC): A reliable tool for nitrogen management in dry-seeded rice and transplanted rice – A review. </w:t>
      </w:r>
      <w:r w:rsidRPr="00CA0D5B">
        <w:rPr>
          <w:rStyle w:val="Emphasis"/>
          <w:rFonts w:ascii="Arial" w:hAnsi="Arial" w:cs="Arial"/>
          <w:sz w:val="20"/>
          <w:szCs w:val="20"/>
          <w:highlight w:val="yellow"/>
        </w:rPr>
        <w:t>The Pharma Innovation Journal, 12</w:t>
      </w:r>
      <w:r w:rsidRPr="00CA0D5B">
        <w:rPr>
          <w:rFonts w:ascii="Arial" w:hAnsi="Arial" w:cs="Arial"/>
          <w:sz w:val="20"/>
          <w:szCs w:val="20"/>
          <w:highlight w:val="yellow"/>
        </w:rPr>
        <w:t xml:space="preserve">(6), 3974–3979. </w:t>
      </w:r>
      <w:hyperlink r:id="rId27" w:history="1">
        <w:r w:rsidR="00882254" w:rsidRPr="00CA0D5B">
          <w:rPr>
            <w:rStyle w:val="Hyperlink"/>
            <w:rFonts w:ascii="Arial" w:hAnsi="Arial" w:cs="Arial"/>
            <w:sz w:val="20"/>
            <w:szCs w:val="20"/>
            <w:highlight w:val="yellow"/>
          </w:rPr>
          <w:t>https://www.thepharmajournal.com</w:t>
        </w:r>
      </w:hyperlink>
      <w:r w:rsidR="00882254">
        <w:rPr>
          <w:rFonts w:ascii="Arial" w:hAnsi="Arial" w:cs="Arial"/>
          <w:sz w:val="20"/>
          <w:szCs w:val="20"/>
        </w:rPr>
        <w:t xml:space="preserve"> </w:t>
      </w:r>
    </w:p>
    <w:p w14:paraId="74B0818B" w14:textId="77777777" w:rsidR="009873D3" w:rsidRPr="00B77696" w:rsidRDefault="009873D3" w:rsidP="00B77696">
      <w:pPr>
        <w:pStyle w:val="NormalWeb"/>
        <w:shd w:val="clear" w:color="auto" w:fill="FFFFFF"/>
        <w:spacing w:before="0" w:beforeAutospacing="0" w:after="150" w:afterAutospacing="0"/>
        <w:ind w:left="720" w:hanging="720"/>
        <w:rPr>
          <w:rFonts w:ascii="Arial" w:hAnsi="Arial" w:cs="Arial"/>
          <w:color w:val="222222"/>
          <w:sz w:val="20"/>
          <w:szCs w:val="20"/>
        </w:rPr>
      </w:pPr>
    </w:p>
    <w:p w14:paraId="0FC46B94" w14:textId="77777777" w:rsidR="0088733E" w:rsidRDefault="0088733E"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70AE543F" w14:textId="77777777" w:rsidR="00604156" w:rsidRDefault="00604156" w:rsidP="00B77696">
      <w:pPr>
        <w:pStyle w:val="NormalWeb"/>
        <w:shd w:val="clear" w:color="auto" w:fill="FFFFFF"/>
        <w:spacing w:before="0" w:beforeAutospacing="0" w:after="150" w:afterAutospacing="0"/>
        <w:ind w:left="720" w:hanging="720"/>
        <w:rPr>
          <w:rFonts w:ascii="Arial" w:hAnsi="Arial" w:cs="Arial"/>
          <w:sz w:val="20"/>
          <w:szCs w:val="16"/>
          <w:shd w:val="clear" w:color="auto" w:fill="FFFFFF"/>
        </w:rPr>
      </w:pPr>
    </w:p>
    <w:p w14:paraId="38B975DE" w14:textId="77777777" w:rsidR="00604156" w:rsidRPr="00242EC8" w:rsidRDefault="00604156" w:rsidP="00B77696">
      <w:pPr>
        <w:pStyle w:val="NormalWeb"/>
        <w:shd w:val="clear" w:color="auto" w:fill="FFFFFF"/>
        <w:spacing w:before="0" w:beforeAutospacing="0" w:after="150" w:afterAutospacing="0"/>
        <w:ind w:left="720" w:hanging="720"/>
        <w:rPr>
          <w:rFonts w:ascii="Arial" w:hAnsi="Arial" w:cs="Arial"/>
          <w:color w:val="222222"/>
          <w:szCs w:val="20"/>
        </w:rPr>
      </w:pPr>
    </w:p>
    <w:p w14:paraId="2D0B73AE" w14:textId="77777777" w:rsidR="002C2AD3" w:rsidRPr="002C2AD3" w:rsidRDefault="002C2AD3" w:rsidP="002C2AD3">
      <w:pPr>
        <w:pStyle w:val="NormalWeb"/>
        <w:shd w:val="clear" w:color="auto" w:fill="FFFFFF"/>
        <w:spacing w:before="0" w:beforeAutospacing="0" w:after="150" w:afterAutospacing="0"/>
        <w:rPr>
          <w:rFonts w:ascii="Arial" w:hAnsi="Arial" w:cs="Arial"/>
          <w:color w:val="222222"/>
          <w:sz w:val="20"/>
          <w:szCs w:val="20"/>
        </w:rPr>
      </w:pPr>
    </w:p>
    <w:p w14:paraId="1A691805" w14:textId="77777777" w:rsidR="008A7549" w:rsidRDefault="008A7549" w:rsidP="00856270">
      <w:pPr>
        <w:ind w:left="720" w:hanging="720"/>
        <w:jc w:val="both"/>
        <w:rPr>
          <w:rFonts w:ascii="Arial" w:hAnsi="Arial" w:cs="Arial"/>
          <w:color w:val="222222"/>
          <w:sz w:val="20"/>
          <w:szCs w:val="20"/>
          <w:shd w:val="clear" w:color="auto" w:fill="FFFFFF"/>
        </w:rPr>
      </w:pPr>
    </w:p>
    <w:sectPr w:rsidR="008A75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zar Gul" w:date="2025-09-09T12:43:00Z" w:initials="D">
    <w:p w14:paraId="3770EA5D" w14:textId="0F2CF70F" w:rsidR="006E493A" w:rsidRPr="006E493A" w:rsidRDefault="006E493A">
      <w:pPr>
        <w:pStyle w:val="CommentText"/>
        <w:rPr>
          <w:rFonts w:ascii="Arial" w:hAnsi="Arial" w:cs="Arial"/>
          <w:color w:val="000000" w:themeColor="text1"/>
          <w:shd w:val="clear" w:color="auto" w:fill="FFFFFF"/>
        </w:rPr>
      </w:pPr>
      <w:r w:rsidRPr="006E493A">
        <w:rPr>
          <w:rStyle w:val="CommentReference"/>
          <w:rFonts w:ascii="Arial" w:hAnsi="Arial" w:cs="Arial"/>
          <w:sz w:val="20"/>
          <w:szCs w:val="20"/>
        </w:rPr>
        <w:annotationRef/>
      </w:r>
      <w:r w:rsidRPr="006E493A">
        <w:rPr>
          <w:rFonts w:ascii="Arial" w:hAnsi="Arial" w:cs="Arial"/>
          <w:color w:val="001D35"/>
          <w:shd w:val="clear" w:color="auto" w:fill="FFFFFF"/>
        </w:rPr>
        <w:t xml:space="preserve">Can I request the authors to kindly answer the following questions in this wonderful review work. This will enhance the quality of the manuscript. </w:t>
      </w:r>
      <w:r w:rsidRPr="006E493A">
        <w:rPr>
          <w:rFonts w:ascii="Arial" w:hAnsi="Arial" w:cs="Arial"/>
          <w:color w:val="001D35"/>
          <w:shd w:val="clear" w:color="auto" w:fill="FFFFFF"/>
        </w:rPr>
        <w:t>How does the LCC accurately measure leaf nitrogen content? </w:t>
      </w:r>
      <w:proofErr w:type="gramStart"/>
      <w:r w:rsidRPr="006E493A">
        <w:rPr>
          <w:rFonts w:ascii="Arial" w:hAnsi="Arial" w:cs="Arial"/>
          <w:color w:val="001D35"/>
          <w:shd w:val="clear" w:color="auto" w:fill="FFFFFF"/>
        </w:rPr>
        <w:t>and</w:t>
      </w:r>
      <w:proofErr w:type="gramEnd"/>
      <w:r w:rsidRPr="006E493A">
        <w:rPr>
          <w:rFonts w:ascii="Arial" w:hAnsi="Arial" w:cs="Arial"/>
          <w:color w:val="001D35"/>
          <w:shd w:val="clear" w:color="auto" w:fill="FFFFFF"/>
        </w:rPr>
        <w:t xml:space="preserve"> How do varying environmental conditions and crop types affect LCC-based nitrogen management? Additional questions revolve around optimal LCC values, the most effective timing for readings and fertilizer application, and how LCC use compares to other methods for maximizing crop yield and nitrogen use efficiency</w:t>
      </w:r>
      <w:r w:rsidRPr="006E493A">
        <w:rPr>
          <w:rFonts w:ascii="Arial" w:hAnsi="Arial" w:cs="Arial"/>
          <w:color w:val="001D35"/>
          <w:shd w:val="clear" w:color="auto" w:fill="FFFFFF"/>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4AE7E" w14:textId="77777777" w:rsidR="004E5421" w:rsidRDefault="004E5421" w:rsidP="001F57B8">
      <w:pPr>
        <w:spacing w:after="0" w:line="240" w:lineRule="auto"/>
      </w:pPr>
      <w:r>
        <w:separator/>
      </w:r>
    </w:p>
  </w:endnote>
  <w:endnote w:type="continuationSeparator" w:id="0">
    <w:p w14:paraId="60BC59B2" w14:textId="77777777" w:rsidR="004E5421" w:rsidRDefault="004E5421" w:rsidP="001F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0B515" w14:textId="77777777" w:rsidR="001F57B8" w:rsidRDefault="001F57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2B179" w14:textId="77777777" w:rsidR="001F57B8" w:rsidRDefault="001F57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6802F" w14:textId="77777777" w:rsidR="001F57B8" w:rsidRDefault="001F57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42749" w14:textId="77777777" w:rsidR="004E5421" w:rsidRDefault="004E5421" w:rsidP="001F57B8">
      <w:pPr>
        <w:spacing w:after="0" w:line="240" w:lineRule="auto"/>
      </w:pPr>
      <w:r>
        <w:separator/>
      </w:r>
    </w:p>
  </w:footnote>
  <w:footnote w:type="continuationSeparator" w:id="0">
    <w:p w14:paraId="7C088122" w14:textId="77777777" w:rsidR="004E5421" w:rsidRDefault="004E5421" w:rsidP="001F5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A7D32" w14:textId="16BCE938" w:rsidR="001F57B8" w:rsidRDefault="004E5421">
    <w:pPr>
      <w:pStyle w:val="Header"/>
    </w:pPr>
    <w:r>
      <w:rPr>
        <w:noProof/>
      </w:rPr>
      <w:pict w14:anchorId="695C5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5CA52" w14:textId="49A546CA" w:rsidR="001F57B8" w:rsidRDefault="004E5421">
    <w:pPr>
      <w:pStyle w:val="Header"/>
    </w:pPr>
    <w:r>
      <w:rPr>
        <w:noProof/>
      </w:rPr>
      <w:pict w14:anchorId="20467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A053E" w14:textId="6A56895C" w:rsidR="001F57B8" w:rsidRDefault="004E5421">
    <w:pPr>
      <w:pStyle w:val="Header"/>
    </w:pPr>
    <w:r>
      <w:rPr>
        <w:noProof/>
      </w:rPr>
      <w:pict w14:anchorId="71627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160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624A1"/>
    <w:multiLevelType w:val="multilevel"/>
    <w:tmpl w:val="FB9C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51FEA"/>
    <w:multiLevelType w:val="hybridMultilevel"/>
    <w:tmpl w:val="96D63E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AFC513D"/>
    <w:multiLevelType w:val="hybridMultilevel"/>
    <w:tmpl w:val="EDACA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B10D198"/>
    <w:multiLevelType w:val="singleLevel"/>
    <w:tmpl w:val="3B10D198"/>
    <w:lvl w:ilvl="0">
      <w:start w:val="1"/>
      <w:numFmt w:val="decimal"/>
      <w:suff w:val="space"/>
      <w:lvlText w:val="%1."/>
      <w:lvlJc w:val="left"/>
    </w:lvl>
  </w:abstractNum>
  <w:abstractNum w:abstractNumId="4">
    <w:nsid w:val="3E8F2517"/>
    <w:multiLevelType w:val="hybridMultilevel"/>
    <w:tmpl w:val="89480E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33503AF"/>
    <w:multiLevelType w:val="multilevel"/>
    <w:tmpl w:val="E79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1054D"/>
    <w:multiLevelType w:val="hybridMultilevel"/>
    <w:tmpl w:val="EA66EB88"/>
    <w:lvl w:ilvl="0" w:tplc="86B43140">
      <w:start w:val="1"/>
      <w:numFmt w:val="decimal"/>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EC86C51"/>
    <w:multiLevelType w:val="multilevel"/>
    <w:tmpl w:val="5E7C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7A320B"/>
    <w:multiLevelType w:val="hybridMultilevel"/>
    <w:tmpl w:val="96DCD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0"/>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QzsjA3MDMztjAzMbJQ0lEKTi0uzszPAykwrAUAcHrV+SwAAAA="/>
  </w:docVars>
  <w:rsids>
    <w:rsidRoot w:val="00E542FD"/>
    <w:rsid w:val="000568C4"/>
    <w:rsid w:val="0007559A"/>
    <w:rsid w:val="001075EB"/>
    <w:rsid w:val="001A0174"/>
    <w:rsid w:val="001F57B8"/>
    <w:rsid w:val="00221DC3"/>
    <w:rsid w:val="00230301"/>
    <w:rsid w:val="00231A87"/>
    <w:rsid w:val="00242EC8"/>
    <w:rsid w:val="00296659"/>
    <w:rsid w:val="002C2AD3"/>
    <w:rsid w:val="002E74EF"/>
    <w:rsid w:val="002F3E52"/>
    <w:rsid w:val="003221F6"/>
    <w:rsid w:val="003368A6"/>
    <w:rsid w:val="00354903"/>
    <w:rsid w:val="00396758"/>
    <w:rsid w:val="00454D48"/>
    <w:rsid w:val="004A209B"/>
    <w:rsid w:val="004A2CCD"/>
    <w:rsid w:val="004B46AF"/>
    <w:rsid w:val="004E5421"/>
    <w:rsid w:val="00534621"/>
    <w:rsid w:val="005D2D10"/>
    <w:rsid w:val="005D2D5F"/>
    <w:rsid w:val="00604156"/>
    <w:rsid w:val="006A4BD9"/>
    <w:rsid w:val="006E493A"/>
    <w:rsid w:val="006E5AA3"/>
    <w:rsid w:val="006F5A3F"/>
    <w:rsid w:val="00701D90"/>
    <w:rsid w:val="00737F69"/>
    <w:rsid w:val="00747193"/>
    <w:rsid w:val="007F0272"/>
    <w:rsid w:val="00814006"/>
    <w:rsid w:val="00856270"/>
    <w:rsid w:val="00870C35"/>
    <w:rsid w:val="00882254"/>
    <w:rsid w:val="0088733E"/>
    <w:rsid w:val="008A7549"/>
    <w:rsid w:val="008E7DD0"/>
    <w:rsid w:val="008F65AB"/>
    <w:rsid w:val="009039A5"/>
    <w:rsid w:val="009873D3"/>
    <w:rsid w:val="009943C9"/>
    <w:rsid w:val="009A16A5"/>
    <w:rsid w:val="00A65160"/>
    <w:rsid w:val="00A92FFA"/>
    <w:rsid w:val="00AD498E"/>
    <w:rsid w:val="00B315C2"/>
    <w:rsid w:val="00B77696"/>
    <w:rsid w:val="00BC69CC"/>
    <w:rsid w:val="00C82A2B"/>
    <w:rsid w:val="00CA0D5B"/>
    <w:rsid w:val="00D5270A"/>
    <w:rsid w:val="00D8602B"/>
    <w:rsid w:val="00D9715D"/>
    <w:rsid w:val="00DC038B"/>
    <w:rsid w:val="00E34258"/>
    <w:rsid w:val="00E542FD"/>
    <w:rsid w:val="00E7135F"/>
    <w:rsid w:val="00E809F1"/>
    <w:rsid w:val="00E8432F"/>
    <w:rsid w:val="00E90765"/>
    <w:rsid w:val="00EE4E69"/>
    <w:rsid w:val="00F144A1"/>
    <w:rsid w:val="00F81AD2"/>
    <w:rsid w:val="00F91D87"/>
    <w:rsid w:val="00F947FF"/>
    <w:rsid w:val="00FA3815"/>
    <w:rsid w:val="00FD6D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A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4D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54D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8E"/>
    <w:pPr>
      <w:ind w:left="720"/>
      <w:contextualSpacing/>
    </w:pPr>
  </w:style>
  <w:style w:type="paragraph" w:customStyle="1" w:styleId="Default">
    <w:name w:val="Default"/>
    <w:rsid w:val="00F91D8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4006"/>
    <w:pPr>
      <w:spacing w:after="0" w:line="240" w:lineRule="auto"/>
    </w:pPr>
  </w:style>
  <w:style w:type="character" w:customStyle="1" w:styleId="Heading2Char">
    <w:name w:val="Heading 2 Char"/>
    <w:basedOn w:val="DefaultParagraphFont"/>
    <w:link w:val="Heading2"/>
    <w:uiPriority w:val="9"/>
    <w:rsid w:val="00454D4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54D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54D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4D48"/>
    <w:rPr>
      <w:b/>
      <w:bCs/>
    </w:rPr>
  </w:style>
  <w:style w:type="paragraph" w:customStyle="1" w:styleId="ReferHead">
    <w:name w:val="Refer Head"/>
    <w:basedOn w:val="Normal"/>
    <w:rsid w:val="00454D4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947FF"/>
    <w:rPr>
      <w:color w:val="0000FF"/>
      <w:u w:val="single"/>
    </w:rPr>
  </w:style>
  <w:style w:type="table" w:styleId="TableGrid">
    <w:name w:val="Table Grid"/>
    <w:basedOn w:val="TableNormal"/>
    <w:uiPriority w:val="39"/>
    <w:rsid w:val="00994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31A87"/>
    <w:rPr>
      <w:color w:val="605E5C"/>
      <w:shd w:val="clear" w:color="auto" w:fill="E1DFDD"/>
    </w:rPr>
  </w:style>
  <w:style w:type="character" w:styleId="Emphasis">
    <w:name w:val="Emphasis"/>
    <w:basedOn w:val="DefaultParagraphFont"/>
    <w:uiPriority w:val="20"/>
    <w:qFormat/>
    <w:rsid w:val="002C2AD3"/>
    <w:rPr>
      <w:i/>
      <w:iCs/>
    </w:rPr>
  </w:style>
  <w:style w:type="paragraph" w:styleId="Header">
    <w:name w:val="header"/>
    <w:basedOn w:val="Normal"/>
    <w:link w:val="HeaderChar"/>
    <w:uiPriority w:val="99"/>
    <w:unhideWhenUsed/>
    <w:rsid w:val="001F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B8"/>
  </w:style>
  <w:style w:type="paragraph" w:styleId="Footer">
    <w:name w:val="footer"/>
    <w:basedOn w:val="Normal"/>
    <w:link w:val="FooterChar"/>
    <w:uiPriority w:val="99"/>
    <w:unhideWhenUsed/>
    <w:rsid w:val="001F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B8"/>
  </w:style>
  <w:style w:type="paragraph" w:styleId="BalloonText">
    <w:name w:val="Balloon Text"/>
    <w:basedOn w:val="Normal"/>
    <w:link w:val="BalloonTextChar"/>
    <w:uiPriority w:val="99"/>
    <w:semiHidden/>
    <w:unhideWhenUsed/>
    <w:rsid w:val="00107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EB"/>
    <w:rPr>
      <w:rFonts w:ascii="Tahoma" w:hAnsi="Tahoma" w:cs="Tahoma"/>
      <w:sz w:val="16"/>
      <w:szCs w:val="16"/>
    </w:rPr>
  </w:style>
  <w:style w:type="character" w:styleId="CommentReference">
    <w:name w:val="annotation reference"/>
    <w:basedOn w:val="DefaultParagraphFont"/>
    <w:uiPriority w:val="99"/>
    <w:semiHidden/>
    <w:unhideWhenUsed/>
    <w:rsid w:val="006E493A"/>
    <w:rPr>
      <w:sz w:val="16"/>
      <w:szCs w:val="16"/>
    </w:rPr>
  </w:style>
  <w:style w:type="paragraph" w:styleId="CommentText">
    <w:name w:val="annotation text"/>
    <w:basedOn w:val="Normal"/>
    <w:link w:val="CommentTextChar"/>
    <w:uiPriority w:val="99"/>
    <w:semiHidden/>
    <w:unhideWhenUsed/>
    <w:rsid w:val="006E493A"/>
    <w:pPr>
      <w:spacing w:line="240" w:lineRule="auto"/>
    </w:pPr>
    <w:rPr>
      <w:sz w:val="20"/>
      <w:szCs w:val="20"/>
    </w:rPr>
  </w:style>
  <w:style w:type="character" w:customStyle="1" w:styleId="CommentTextChar">
    <w:name w:val="Comment Text Char"/>
    <w:basedOn w:val="DefaultParagraphFont"/>
    <w:link w:val="CommentText"/>
    <w:uiPriority w:val="99"/>
    <w:semiHidden/>
    <w:rsid w:val="006E493A"/>
    <w:rPr>
      <w:sz w:val="20"/>
      <w:szCs w:val="20"/>
    </w:rPr>
  </w:style>
  <w:style w:type="paragraph" w:styleId="CommentSubject">
    <w:name w:val="annotation subject"/>
    <w:basedOn w:val="CommentText"/>
    <w:next w:val="CommentText"/>
    <w:link w:val="CommentSubjectChar"/>
    <w:uiPriority w:val="99"/>
    <w:semiHidden/>
    <w:unhideWhenUsed/>
    <w:rsid w:val="006E493A"/>
    <w:rPr>
      <w:b/>
      <w:bCs/>
    </w:rPr>
  </w:style>
  <w:style w:type="character" w:customStyle="1" w:styleId="CommentSubjectChar">
    <w:name w:val="Comment Subject Char"/>
    <w:basedOn w:val="CommentTextChar"/>
    <w:link w:val="CommentSubject"/>
    <w:uiPriority w:val="99"/>
    <w:semiHidden/>
    <w:rsid w:val="006E493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54D4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454D4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98E"/>
    <w:pPr>
      <w:ind w:left="720"/>
      <w:contextualSpacing/>
    </w:pPr>
  </w:style>
  <w:style w:type="paragraph" w:customStyle="1" w:styleId="Default">
    <w:name w:val="Default"/>
    <w:rsid w:val="00F91D8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14006"/>
    <w:pPr>
      <w:spacing w:after="0" w:line="240" w:lineRule="auto"/>
    </w:pPr>
  </w:style>
  <w:style w:type="character" w:customStyle="1" w:styleId="Heading2Char">
    <w:name w:val="Heading 2 Char"/>
    <w:basedOn w:val="DefaultParagraphFont"/>
    <w:link w:val="Heading2"/>
    <w:uiPriority w:val="9"/>
    <w:rsid w:val="00454D48"/>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54D4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454D4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54D48"/>
    <w:rPr>
      <w:b/>
      <w:bCs/>
    </w:rPr>
  </w:style>
  <w:style w:type="paragraph" w:customStyle="1" w:styleId="ReferHead">
    <w:name w:val="Refer Head"/>
    <w:basedOn w:val="Normal"/>
    <w:rsid w:val="00454D48"/>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F947FF"/>
    <w:rPr>
      <w:color w:val="0000FF"/>
      <w:u w:val="single"/>
    </w:rPr>
  </w:style>
  <w:style w:type="table" w:styleId="TableGrid">
    <w:name w:val="Table Grid"/>
    <w:basedOn w:val="TableNormal"/>
    <w:uiPriority w:val="39"/>
    <w:rsid w:val="00994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31A87"/>
    <w:rPr>
      <w:color w:val="605E5C"/>
      <w:shd w:val="clear" w:color="auto" w:fill="E1DFDD"/>
    </w:rPr>
  </w:style>
  <w:style w:type="character" w:styleId="Emphasis">
    <w:name w:val="Emphasis"/>
    <w:basedOn w:val="DefaultParagraphFont"/>
    <w:uiPriority w:val="20"/>
    <w:qFormat/>
    <w:rsid w:val="002C2AD3"/>
    <w:rPr>
      <w:i/>
      <w:iCs/>
    </w:rPr>
  </w:style>
  <w:style w:type="paragraph" w:styleId="Header">
    <w:name w:val="header"/>
    <w:basedOn w:val="Normal"/>
    <w:link w:val="HeaderChar"/>
    <w:uiPriority w:val="99"/>
    <w:unhideWhenUsed/>
    <w:rsid w:val="001F5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7B8"/>
  </w:style>
  <w:style w:type="paragraph" w:styleId="Footer">
    <w:name w:val="footer"/>
    <w:basedOn w:val="Normal"/>
    <w:link w:val="FooterChar"/>
    <w:uiPriority w:val="99"/>
    <w:unhideWhenUsed/>
    <w:rsid w:val="001F5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7B8"/>
  </w:style>
  <w:style w:type="paragraph" w:styleId="BalloonText">
    <w:name w:val="Balloon Text"/>
    <w:basedOn w:val="Normal"/>
    <w:link w:val="BalloonTextChar"/>
    <w:uiPriority w:val="99"/>
    <w:semiHidden/>
    <w:unhideWhenUsed/>
    <w:rsid w:val="00107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EB"/>
    <w:rPr>
      <w:rFonts w:ascii="Tahoma" w:hAnsi="Tahoma" w:cs="Tahoma"/>
      <w:sz w:val="16"/>
      <w:szCs w:val="16"/>
    </w:rPr>
  </w:style>
  <w:style w:type="character" w:styleId="CommentReference">
    <w:name w:val="annotation reference"/>
    <w:basedOn w:val="DefaultParagraphFont"/>
    <w:uiPriority w:val="99"/>
    <w:semiHidden/>
    <w:unhideWhenUsed/>
    <w:rsid w:val="006E493A"/>
    <w:rPr>
      <w:sz w:val="16"/>
      <w:szCs w:val="16"/>
    </w:rPr>
  </w:style>
  <w:style w:type="paragraph" w:styleId="CommentText">
    <w:name w:val="annotation text"/>
    <w:basedOn w:val="Normal"/>
    <w:link w:val="CommentTextChar"/>
    <w:uiPriority w:val="99"/>
    <w:semiHidden/>
    <w:unhideWhenUsed/>
    <w:rsid w:val="006E493A"/>
    <w:pPr>
      <w:spacing w:line="240" w:lineRule="auto"/>
    </w:pPr>
    <w:rPr>
      <w:sz w:val="20"/>
      <w:szCs w:val="20"/>
    </w:rPr>
  </w:style>
  <w:style w:type="character" w:customStyle="1" w:styleId="CommentTextChar">
    <w:name w:val="Comment Text Char"/>
    <w:basedOn w:val="DefaultParagraphFont"/>
    <w:link w:val="CommentText"/>
    <w:uiPriority w:val="99"/>
    <w:semiHidden/>
    <w:rsid w:val="006E493A"/>
    <w:rPr>
      <w:sz w:val="20"/>
      <w:szCs w:val="20"/>
    </w:rPr>
  </w:style>
  <w:style w:type="paragraph" w:styleId="CommentSubject">
    <w:name w:val="annotation subject"/>
    <w:basedOn w:val="CommentText"/>
    <w:next w:val="CommentText"/>
    <w:link w:val="CommentSubjectChar"/>
    <w:uiPriority w:val="99"/>
    <w:semiHidden/>
    <w:unhideWhenUsed/>
    <w:rsid w:val="006E493A"/>
    <w:rPr>
      <w:b/>
      <w:bCs/>
    </w:rPr>
  </w:style>
  <w:style w:type="character" w:customStyle="1" w:styleId="CommentSubjectChar">
    <w:name w:val="Comment Subject Char"/>
    <w:basedOn w:val="CommentTextChar"/>
    <w:link w:val="CommentSubject"/>
    <w:uiPriority w:val="99"/>
    <w:semiHidden/>
    <w:rsid w:val="006E49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2589">
      <w:bodyDiv w:val="1"/>
      <w:marLeft w:val="0"/>
      <w:marRight w:val="0"/>
      <w:marTop w:val="0"/>
      <w:marBottom w:val="0"/>
      <w:divBdr>
        <w:top w:val="none" w:sz="0" w:space="0" w:color="auto"/>
        <w:left w:val="none" w:sz="0" w:space="0" w:color="auto"/>
        <w:bottom w:val="none" w:sz="0" w:space="0" w:color="auto"/>
        <w:right w:val="none" w:sz="0" w:space="0" w:color="auto"/>
      </w:divBdr>
    </w:div>
    <w:div w:id="988166851">
      <w:bodyDiv w:val="1"/>
      <w:marLeft w:val="0"/>
      <w:marRight w:val="0"/>
      <w:marTop w:val="0"/>
      <w:marBottom w:val="0"/>
      <w:divBdr>
        <w:top w:val="none" w:sz="0" w:space="0" w:color="auto"/>
        <w:left w:val="none" w:sz="0" w:space="0" w:color="auto"/>
        <w:bottom w:val="none" w:sz="0" w:space="0" w:color="auto"/>
        <w:right w:val="none" w:sz="0" w:space="0" w:color="auto"/>
      </w:divBdr>
      <w:divsChild>
        <w:div w:id="1822303663">
          <w:marLeft w:val="0"/>
          <w:marRight w:val="0"/>
          <w:marTop w:val="0"/>
          <w:marBottom w:val="0"/>
          <w:divBdr>
            <w:top w:val="none" w:sz="0" w:space="0" w:color="auto"/>
            <w:left w:val="none" w:sz="0" w:space="0" w:color="auto"/>
            <w:bottom w:val="none" w:sz="0" w:space="0" w:color="auto"/>
            <w:right w:val="none" w:sz="0" w:space="0" w:color="auto"/>
          </w:divBdr>
          <w:divsChild>
            <w:div w:id="2946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2025">
      <w:bodyDiv w:val="1"/>
      <w:marLeft w:val="0"/>
      <w:marRight w:val="0"/>
      <w:marTop w:val="0"/>
      <w:marBottom w:val="0"/>
      <w:divBdr>
        <w:top w:val="none" w:sz="0" w:space="0" w:color="auto"/>
        <w:left w:val="none" w:sz="0" w:space="0" w:color="auto"/>
        <w:bottom w:val="none" w:sz="0" w:space="0" w:color="auto"/>
        <w:right w:val="none" w:sz="0" w:space="0" w:color="auto"/>
      </w:divBdr>
    </w:div>
    <w:div w:id="1319964388">
      <w:bodyDiv w:val="1"/>
      <w:marLeft w:val="0"/>
      <w:marRight w:val="0"/>
      <w:marTop w:val="0"/>
      <w:marBottom w:val="0"/>
      <w:divBdr>
        <w:top w:val="none" w:sz="0" w:space="0" w:color="auto"/>
        <w:left w:val="none" w:sz="0" w:space="0" w:color="auto"/>
        <w:bottom w:val="none" w:sz="0" w:space="0" w:color="auto"/>
        <w:right w:val="none" w:sz="0" w:space="0" w:color="auto"/>
      </w:divBdr>
    </w:div>
    <w:div w:id="1353341281">
      <w:bodyDiv w:val="1"/>
      <w:marLeft w:val="0"/>
      <w:marRight w:val="0"/>
      <w:marTop w:val="0"/>
      <w:marBottom w:val="0"/>
      <w:divBdr>
        <w:top w:val="none" w:sz="0" w:space="0" w:color="auto"/>
        <w:left w:val="none" w:sz="0" w:space="0" w:color="auto"/>
        <w:bottom w:val="none" w:sz="0" w:space="0" w:color="auto"/>
        <w:right w:val="none" w:sz="0" w:space="0" w:color="auto"/>
      </w:divBdr>
      <w:divsChild>
        <w:div w:id="1104693795">
          <w:marLeft w:val="0"/>
          <w:marRight w:val="0"/>
          <w:marTop w:val="0"/>
          <w:marBottom w:val="0"/>
          <w:divBdr>
            <w:top w:val="none" w:sz="0" w:space="0" w:color="auto"/>
            <w:left w:val="none" w:sz="0" w:space="0" w:color="auto"/>
            <w:bottom w:val="none" w:sz="0" w:space="0" w:color="auto"/>
            <w:right w:val="none" w:sz="0" w:space="0" w:color="auto"/>
          </w:divBdr>
          <w:divsChild>
            <w:div w:id="2126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5722">
      <w:bodyDiv w:val="1"/>
      <w:marLeft w:val="0"/>
      <w:marRight w:val="0"/>
      <w:marTop w:val="0"/>
      <w:marBottom w:val="0"/>
      <w:divBdr>
        <w:top w:val="none" w:sz="0" w:space="0" w:color="auto"/>
        <w:left w:val="none" w:sz="0" w:space="0" w:color="auto"/>
        <w:bottom w:val="none" w:sz="0" w:space="0" w:color="auto"/>
        <w:right w:val="none" w:sz="0" w:space="0" w:color="auto"/>
      </w:divBdr>
      <w:divsChild>
        <w:div w:id="82648121">
          <w:marLeft w:val="0"/>
          <w:marRight w:val="0"/>
          <w:marTop w:val="0"/>
          <w:marBottom w:val="0"/>
          <w:divBdr>
            <w:top w:val="none" w:sz="0" w:space="0" w:color="auto"/>
            <w:left w:val="none" w:sz="0" w:space="0" w:color="auto"/>
            <w:bottom w:val="none" w:sz="0" w:space="0" w:color="auto"/>
            <w:right w:val="none" w:sz="0" w:space="0" w:color="auto"/>
          </w:divBdr>
          <w:divsChild>
            <w:div w:id="14717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2593">
      <w:bodyDiv w:val="1"/>
      <w:marLeft w:val="0"/>
      <w:marRight w:val="0"/>
      <w:marTop w:val="0"/>
      <w:marBottom w:val="0"/>
      <w:divBdr>
        <w:top w:val="none" w:sz="0" w:space="0" w:color="auto"/>
        <w:left w:val="none" w:sz="0" w:space="0" w:color="auto"/>
        <w:bottom w:val="none" w:sz="0" w:space="0" w:color="auto"/>
        <w:right w:val="none" w:sz="0" w:space="0" w:color="auto"/>
      </w:divBdr>
      <w:divsChild>
        <w:div w:id="922764652">
          <w:marLeft w:val="0"/>
          <w:marRight w:val="0"/>
          <w:marTop w:val="0"/>
          <w:marBottom w:val="0"/>
          <w:divBdr>
            <w:top w:val="none" w:sz="0" w:space="0" w:color="auto"/>
            <w:left w:val="none" w:sz="0" w:space="0" w:color="auto"/>
            <w:bottom w:val="none" w:sz="0" w:space="0" w:color="auto"/>
            <w:right w:val="none" w:sz="0" w:space="0" w:color="auto"/>
          </w:divBdr>
          <w:divsChild>
            <w:div w:id="1595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7227">
      <w:bodyDiv w:val="1"/>
      <w:marLeft w:val="0"/>
      <w:marRight w:val="0"/>
      <w:marTop w:val="0"/>
      <w:marBottom w:val="0"/>
      <w:divBdr>
        <w:top w:val="none" w:sz="0" w:space="0" w:color="auto"/>
        <w:left w:val="none" w:sz="0" w:space="0" w:color="auto"/>
        <w:bottom w:val="none" w:sz="0" w:space="0" w:color="auto"/>
        <w:right w:val="none" w:sz="0" w:space="0" w:color="auto"/>
      </w:divBdr>
    </w:div>
    <w:div w:id="1601529233">
      <w:bodyDiv w:val="1"/>
      <w:marLeft w:val="0"/>
      <w:marRight w:val="0"/>
      <w:marTop w:val="0"/>
      <w:marBottom w:val="0"/>
      <w:divBdr>
        <w:top w:val="none" w:sz="0" w:space="0" w:color="auto"/>
        <w:left w:val="none" w:sz="0" w:space="0" w:color="auto"/>
        <w:bottom w:val="none" w:sz="0" w:space="0" w:color="auto"/>
        <w:right w:val="none" w:sz="0" w:space="0" w:color="auto"/>
      </w:divBdr>
    </w:div>
    <w:div w:id="1883319890">
      <w:bodyDiv w:val="1"/>
      <w:marLeft w:val="0"/>
      <w:marRight w:val="0"/>
      <w:marTop w:val="0"/>
      <w:marBottom w:val="0"/>
      <w:divBdr>
        <w:top w:val="none" w:sz="0" w:space="0" w:color="auto"/>
        <w:left w:val="none" w:sz="0" w:space="0" w:color="auto"/>
        <w:bottom w:val="none" w:sz="0" w:space="0" w:color="auto"/>
        <w:right w:val="none" w:sz="0" w:space="0" w:color="auto"/>
      </w:divBdr>
    </w:div>
    <w:div w:id="189557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doi.org/10.24925/turjaf.v13i8.2048-2055.7625" TargetMode="External"/><Relationship Id="rId26" Type="http://schemas.openxmlformats.org/officeDocument/2006/relationships/hyperlink" Target="https://doi.org/10.1016/S2095-3119(23)00690-6" TargetMode="External"/><Relationship Id="rId3" Type="http://schemas.microsoft.com/office/2007/relationships/stylesWithEffects" Target="stylesWithEffects.xml"/><Relationship Id="rId21" Type="http://schemas.openxmlformats.org/officeDocument/2006/relationships/hyperlink" Target="https://doi.org/10.9734/jabb/2024/v27i7991"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i.org/10.3390/agriculture15171861" TargetMode="External"/><Relationship Id="rId25" Type="http://schemas.openxmlformats.org/officeDocument/2006/relationships/hyperlink" Target="https://doi.org/10.1080/00103624.2024.2380793"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s://doi.org/10.3389/fpls.2023.11210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doi.org/10.3389/fnano.2025.1627830"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9734/ijecc/2023/v13i113559"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doi.org/10.1007/sXXXX-025-081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yperlink" Target="https://doi.org/10.3389/fpls.2021.643192" TargetMode="External"/><Relationship Id="rId27" Type="http://schemas.openxmlformats.org/officeDocument/2006/relationships/hyperlink" Target="https://www.thepharma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5257</Words>
  <Characters>29966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Nazar Gul</cp:lastModifiedBy>
  <cp:revision>44</cp:revision>
  <dcterms:created xsi:type="dcterms:W3CDTF">2025-06-24T06:17:00Z</dcterms:created>
  <dcterms:modified xsi:type="dcterms:W3CDTF">2025-09-09T07:44:00Z</dcterms:modified>
</cp:coreProperties>
</file>