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8FD15A" w14:textId="77777777" w:rsidR="00F71253" w:rsidRDefault="00F71253" w:rsidP="00C22A5E">
      <w:pPr>
        <w:spacing w:line="360" w:lineRule="auto"/>
        <w:jc w:val="both"/>
        <w:rPr>
          <w:b/>
          <w:bCs/>
        </w:rPr>
      </w:pPr>
      <w:r w:rsidRPr="003252E6">
        <w:rPr>
          <w:rFonts w:ascii="Arial" w:eastAsia="Times New Roman" w:hAnsi="Arial" w:cs="Arial"/>
          <w:color w:val="000000"/>
          <w:sz w:val="28"/>
          <w:szCs w:val="28"/>
        </w:rPr>
        <w:t>Review Article</w:t>
      </w:r>
      <w:r w:rsidRPr="00BF3525">
        <w:rPr>
          <w:b/>
          <w:bCs/>
        </w:rPr>
        <w:t xml:space="preserve"> </w:t>
      </w:r>
    </w:p>
    <w:p w14:paraId="29540FF3" w14:textId="101AD5FC" w:rsidR="00BF3525" w:rsidRDefault="00BF3525" w:rsidP="00C22A5E">
      <w:pPr>
        <w:spacing w:line="360" w:lineRule="auto"/>
        <w:jc w:val="both"/>
        <w:rPr>
          <w:b/>
          <w:bCs/>
        </w:rPr>
      </w:pPr>
      <w:r w:rsidRPr="00BF3525">
        <w:rPr>
          <w:b/>
          <w:bCs/>
        </w:rPr>
        <w:t>Raspberry Ketone: A Multidisciplinary Review of its Chemistry, Pharmacology, Toxicology, and Emerging Technologies (2015–2025)</w:t>
      </w:r>
    </w:p>
    <w:p w14:paraId="0370F30E" w14:textId="28F7395D" w:rsidR="00C57CE9" w:rsidRPr="002B440F" w:rsidRDefault="002B440F" w:rsidP="00C22A5E">
      <w:pPr>
        <w:spacing w:line="360" w:lineRule="auto"/>
        <w:jc w:val="both"/>
        <w:rPr>
          <w:b/>
          <w:bCs/>
          <w:color w:val="FF0000"/>
        </w:rPr>
      </w:pPr>
      <w:r>
        <w:rPr>
          <w:b/>
          <w:bCs/>
          <w:color w:val="FF0000"/>
        </w:rPr>
        <w:t>Please note that review articles need a certain format. In methodology you have described data collection and interpretation but in your discussion you have not compared and contrasted the results from</w:t>
      </w:r>
      <w:r w:rsidR="00D20AE2">
        <w:rPr>
          <w:b/>
          <w:bCs/>
          <w:color w:val="FF0000"/>
        </w:rPr>
        <w:t xml:space="preserve"> different studies</w:t>
      </w:r>
      <w:r w:rsidR="00A327EE">
        <w:rPr>
          <w:b/>
          <w:bCs/>
          <w:color w:val="FF0000"/>
        </w:rPr>
        <w:t>: this shall be the main focu</w:t>
      </w:r>
      <w:bookmarkStart w:id="0" w:name="_GoBack"/>
      <w:bookmarkEnd w:id="0"/>
      <w:r w:rsidR="00A327EE">
        <w:rPr>
          <w:b/>
          <w:bCs/>
          <w:color w:val="FF0000"/>
        </w:rPr>
        <w:t>s of any review</w:t>
      </w:r>
      <w:r w:rsidR="00D20AE2">
        <w:rPr>
          <w:b/>
          <w:bCs/>
          <w:color w:val="FF0000"/>
        </w:rPr>
        <w:t xml:space="preserve">. Your main focus has been on chemical nature and properties. You should have probed more on clinical applications as the ultimate goal for exploring its potentials and marketability. Your focus should have been on animal and human studies, you need to focus more on it. </w:t>
      </w:r>
      <w:r w:rsidR="008046C0">
        <w:rPr>
          <w:b/>
          <w:bCs/>
          <w:color w:val="FF0000"/>
        </w:rPr>
        <w:t xml:space="preserve">For a review you shall provide comparative evidence for absorption, bioavailability, stability, pH stability, excretion </w:t>
      </w:r>
      <w:proofErr w:type="spellStart"/>
      <w:r w:rsidR="008046C0">
        <w:rPr>
          <w:b/>
          <w:bCs/>
          <w:color w:val="FF0000"/>
        </w:rPr>
        <w:t>etc.etc</w:t>
      </w:r>
      <w:proofErr w:type="spellEnd"/>
      <w:r w:rsidR="008046C0">
        <w:rPr>
          <w:b/>
          <w:bCs/>
          <w:color w:val="FF0000"/>
        </w:rPr>
        <w:t xml:space="preserve"> rather than just giving your conclusions/opinion.</w:t>
      </w:r>
    </w:p>
    <w:p w14:paraId="51D5C74D" w14:textId="77777777" w:rsidR="004855E8" w:rsidRDefault="004855E8" w:rsidP="008E1E0C">
      <w:pPr>
        <w:spacing w:line="360" w:lineRule="auto"/>
        <w:rPr>
          <w:b/>
          <w:bCs/>
        </w:rPr>
      </w:pPr>
    </w:p>
    <w:p w14:paraId="363C5C78" w14:textId="1900E173" w:rsidR="008B2301" w:rsidRPr="00B70D33" w:rsidRDefault="008B2301" w:rsidP="008E1E0C">
      <w:pPr>
        <w:spacing w:line="360" w:lineRule="auto"/>
        <w:rPr>
          <w:b/>
          <w:bCs/>
        </w:rPr>
      </w:pPr>
      <w:r w:rsidRPr="00B70D33">
        <w:rPr>
          <w:b/>
          <w:bCs/>
        </w:rPr>
        <w:t xml:space="preserve">Abstract </w:t>
      </w:r>
    </w:p>
    <w:p w14:paraId="44B429C1" w14:textId="524221F5" w:rsidR="008B2301" w:rsidRDefault="008B2301" w:rsidP="00C22A5E">
      <w:pPr>
        <w:spacing w:line="360" w:lineRule="auto"/>
        <w:jc w:val="both"/>
      </w:pPr>
      <w:r w:rsidRPr="00B70D33">
        <w:rPr>
          <w:b/>
          <w:bCs/>
        </w:rPr>
        <w:t>Background:</w:t>
      </w:r>
      <w:r>
        <w:t xml:space="preserve"> Raspberry Ketone (RK, </w:t>
      </w:r>
      <w:r w:rsidRPr="00B70D33">
        <w:rPr>
          <w:i/>
          <w:iCs/>
        </w:rPr>
        <w:t>4-(4-hydroxyphenyl</w:t>
      </w:r>
      <w:proofErr w:type="gramStart"/>
      <w:r w:rsidRPr="00B70D33">
        <w:rPr>
          <w:i/>
          <w:iCs/>
        </w:rPr>
        <w:t>)butan</w:t>
      </w:r>
      <w:proofErr w:type="gramEnd"/>
      <w:r w:rsidRPr="00B70D33">
        <w:rPr>
          <w:i/>
          <w:iCs/>
        </w:rPr>
        <w:t>-2-one</w:t>
      </w:r>
      <w:r>
        <w:t>) is a naturally occurring phenolic compound in various fruits (e.g., raspberry, peach). Recent years have seen multidisciplinary research interests into its chemical properties, mechanistic pharmacology, safety profile, and technological applications.</w:t>
      </w:r>
    </w:p>
    <w:p w14:paraId="4EB2B9DD" w14:textId="77777777" w:rsidR="008B2301" w:rsidRDefault="008B2301" w:rsidP="00C22A5E">
      <w:pPr>
        <w:spacing w:line="360" w:lineRule="auto"/>
        <w:jc w:val="both"/>
      </w:pPr>
      <w:r w:rsidRPr="00B70D33">
        <w:rPr>
          <w:b/>
          <w:bCs/>
        </w:rPr>
        <w:t>Methods:</w:t>
      </w:r>
      <w:r>
        <w:t xml:space="preserve"> We summarize about 50 primary studies (2015–2025) from high-impact journals, covering chemical characterization (X-ray diffraction, NMR, DFT modeling), pharmacological mechanism investigations (in silico docking, omics, CRISPR), toxicological evaluations (ADME, dose-response, computational toxicity), and novel formulation/production technologies for the raspberry ketone.</w:t>
      </w:r>
    </w:p>
    <w:p w14:paraId="39912A94" w14:textId="77777777" w:rsidR="008B2301" w:rsidRDefault="008B2301" w:rsidP="00C22A5E">
      <w:pPr>
        <w:spacing w:line="360" w:lineRule="auto"/>
        <w:jc w:val="both"/>
      </w:pPr>
      <w:r w:rsidRPr="00B70D33">
        <w:rPr>
          <w:b/>
          <w:bCs/>
        </w:rPr>
        <w:t>Results:</w:t>
      </w:r>
      <w:r>
        <w:t xml:space="preserve"> Key advances include detailed physicochemical profiling (e.g., geometry optimization and solubility ~2.5 mg/mL by DFT), identification of molecular targets (notably PPAR-α activation for metabolic effects), evidence of therapeutic potential in metabolic diseases (anti-obesity, </w:t>
      </w:r>
      <w:proofErr w:type="spellStart"/>
      <w:r>
        <w:t>hepatoprotection</w:t>
      </w:r>
      <w:proofErr w:type="spellEnd"/>
      <w:r>
        <w:t xml:space="preserve">, </w:t>
      </w:r>
      <w:proofErr w:type="spellStart"/>
      <w:r>
        <w:t>cardioprotection</w:t>
      </w:r>
      <w:proofErr w:type="spellEnd"/>
      <w:r>
        <w:t>) in preclinical models, and initial toxicity assessments indicating rapid metabolism to a benign alcohol metabolite but sparse human safety data. Technological innovations such as nanocarriers have improved RK bioavailability, and sustainable biosynthesis methods have emerged to meet demand.</w:t>
      </w:r>
    </w:p>
    <w:p w14:paraId="111B3AB2" w14:textId="77777777" w:rsidR="008B2301" w:rsidRDefault="008B2301" w:rsidP="00C22A5E">
      <w:pPr>
        <w:spacing w:line="360" w:lineRule="auto"/>
        <w:jc w:val="both"/>
      </w:pPr>
      <w:r w:rsidRPr="00D94ABB">
        <w:rPr>
          <w:b/>
          <w:bCs/>
        </w:rPr>
        <w:lastRenderedPageBreak/>
        <w:t>Conclusions:</w:t>
      </w:r>
      <w:r>
        <w:t xml:space="preserve"> Although the </w:t>
      </w:r>
      <w:r w:rsidRPr="003B4CD6">
        <w:rPr>
          <w:i/>
          <w:iCs/>
        </w:rPr>
        <w:t>in</w:t>
      </w:r>
      <w:r>
        <w:t xml:space="preserve"> </w:t>
      </w:r>
      <w:r w:rsidRPr="00D94ABB">
        <w:rPr>
          <w:i/>
          <w:iCs/>
        </w:rPr>
        <w:t>vivo</w:t>
      </w:r>
      <w:r>
        <w:t xml:space="preserve"> studies suggest multi-target benefits of RK, but human evidence remains limited and safety at high supplemental doses is not fully established. The ongoing efforts in advanced screening and formulation technologies may address current gaps. Therefore, rigorous clinical validation and toxicological profiling are needed before RK can be considered for therapeutic use.</w:t>
      </w:r>
    </w:p>
    <w:p w14:paraId="5CA78AB7" w14:textId="77777777" w:rsidR="008B2301" w:rsidRDefault="008B2301" w:rsidP="008E1E0C">
      <w:pPr>
        <w:spacing w:line="360" w:lineRule="auto"/>
      </w:pPr>
    </w:p>
    <w:p w14:paraId="22817655" w14:textId="16A5A326" w:rsidR="00D94ABB" w:rsidRDefault="008B2301" w:rsidP="008E1E0C">
      <w:pPr>
        <w:spacing w:line="360" w:lineRule="auto"/>
      </w:pPr>
      <w:r w:rsidRPr="00D94ABB">
        <w:rPr>
          <w:b/>
          <w:bCs/>
        </w:rPr>
        <w:t>Keywords:</w:t>
      </w:r>
      <w:r>
        <w:t xml:space="preserve"> Raspberry Ketone; PPAR-α; Anti-obesity; Antioxidant; ADME; Nanotechnology</w:t>
      </w:r>
    </w:p>
    <w:p w14:paraId="6B70AD70" w14:textId="77777777" w:rsidR="00D94ABB" w:rsidRDefault="00D94ABB" w:rsidP="008E1E0C">
      <w:pPr>
        <w:spacing w:after="160" w:line="360" w:lineRule="auto"/>
      </w:pPr>
      <w:r>
        <w:br w:type="page"/>
      </w:r>
    </w:p>
    <w:p w14:paraId="0840D5D6" w14:textId="77777777" w:rsidR="00D94ABB" w:rsidRPr="00D94ABB" w:rsidRDefault="00D94ABB" w:rsidP="00E51E50">
      <w:pPr>
        <w:spacing w:line="360" w:lineRule="auto"/>
        <w:jc w:val="both"/>
        <w:rPr>
          <w:b/>
          <w:bCs/>
        </w:rPr>
      </w:pPr>
      <w:r w:rsidRPr="00D94ABB">
        <w:rPr>
          <w:b/>
          <w:bCs/>
        </w:rPr>
        <w:lastRenderedPageBreak/>
        <w:t>1. Introduction</w:t>
      </w:r>
    </w:p>
    <w:p w14:paraId="3D0BD135" w14:textId="77777777" w:rsidR="00B37E0A" w:rsidRDefault="00B37E0A" w:rsidP="00E51E50">
      <w:pPr>
        <w:spacing w:line="360" w:lineRule="auto"/>
        <w:jc w:val="both"/>
      </w:pPr>
    </w:p>
    <w:p w14:paraId="6B8C9119" w14:textId="605BF589" w:rsidR="00B37E0A" w:rsidRDefault="00B37E0A" w:rsidP="00B37E0A">
      <w:pPr>
        <w:spacing w:line="360" w:lineRule="auto"/>
        <w:jc w:val="both"/>
      </w:pPr>
      <w:r>
        <w:t xml:space="preserve">Raspberry ketone, initially being used mainly as a flavoring in the perfume and food industries, was first identified around 1900 as a component of red raspberry aroma. </w:t>
      </w:r>
      <w:r w:rsidR="0029047D">
        <w:t>It</w:t>
      </w:r>
      <w:r w:rsidRPr="00B37E0A">
        <w:t xml:space="preserve"> is naturally present in very small quantities in fruits</w:t>
      </w:r>
      <w:r>
        <w:t xml:space="preserve">, </w:t>
      </w:r>
      <w:r w:rsidR="0029047D">
        <w:t>so</w:t>
      </w:r>
      <w:r>
        <w:t xml:space="preserve"> it</w:t>
      </w:r>
      <w:r w:rsidR="0029047D">
        <w:t xml:space="preserve"> is</w:t>
      </w:r>
      <w:r>
        <w:t xml:space="preserve"> one of the most expensive natural flavor compounds</w:t>
      </w:r>
      <w:r>
        <w:fldChar w:fldCharType="begin"/>
      </w:r>
      <w:r>
        <w:instrText xml:space="preserve"> ADDIN ZOTERO_ITEM CSL_CITATION {"citationID":"ScjTpK7M","properties":{"formattedCitation":"[1]","plainCitation":"[1]","noteIndex":0},"citationItems":[{"id":30,"uris":["http://zotero.org/users/16306459/items/TXGY4ZEC"],"itemData":{"id":30,"type":"article-journal","abstract":"The odour thresholds of ten aroma compounds in raspberries, including the character impact compound 4-(4-hydroxyphenyl)-butan-2-one (raspberry ketone), were determined using a modified duo-trio test. These thresholds were compared with the concentrations of the aroma compounds in ten raspberry varieties to show which aroma compounds were the most important in contributing to the flavour.","container-title":"Zeitschrift für Lebensmittel-Untersuchung und Forschung","DOI":"10.1007/BF01202638","ISSN":"1438-2385","issue":"2","journalAbbreviation":"Z Lebensm Unters Forch","language":"en","page":"129-131","source":"Springer Link","title":"Odour thresholds of some important aroma compounds in raspberries","volume":"191","author":[{"family":"Larsen","given":"Mette"},{"family":"Poll","given":"Leif"}],"issued":{"date-parts":[["1990",8,1]]}}}],"schema":"https://github.com/citation-style-language/schema/raw/master/csl-citation.json"} </w:instrText>
      </w:r>
      <w:r>
        <w:fldChar w:fldCharType="separate"/>
      </w:r>
      <w:r w:rsidRPr="00E51E50">
        <w:rPr>
          <w:rFonts w:cs="Times New Roman"/>
        </w:rPr>
        <w:t>[1]</w:t>
      </w:r>
      <w:r>
        <w:fldChar w:fldCharType="end"/>
      </w:r>
      <w:r>
        <w:t xml:space="preserve">. </w:t>
      </w:r>
      <w:r w:rsidR="0029047D" w:rsidRPr="0029047D">
        <w:t xml:space="preserve">As a result, commercial supplies are progressively dependent on synthetic production methods, particularly biotechnological approaches that employ engineered </w:t>
      </w:r>
      <w:r w:rsidR="0029047D" w:rsidRPr="0029047D">
        <w:rPr>
          <w:i/>
          <w:iCs/>
        </w:rPr>
        <w:t>Escherichia coli</w:t>
      </w:r>
      <w:r w:rsidR="0029047D" w:rsidRPr="0029047D">
        <w:t xml:space="preserve"> strains to convert glucose into raspberry ketone (RK), producing a compound that is "nature-identical."</w:t>
      </w:r>
      <w:r>
        <w:fldChar w:fldCharType="begin"/>
      </w:r>
      <w:r>
        <w:instrText xml:space="preserve"> ADDIN ZOTERO_ITEM CSL_CITATION {"citationID":"FKFmgipI","properties":{"formattedCitation":"[2]","plainCitation":"[2]","noteIndex":0},"citationItems":[{"id":7,"uris":["http://zotero.org/users/16306459/items/W7AP4XET"],"itemData":{"id":7,"type":"article-journal","abstract":"The demand for raspberry ketone (RK) as a plant-based natural flavoring agent is high, but natural RK is one of the most expensive flavor compounds due to its limited content in plants. Here, we produced RK\n              de novo\n              from simple carbon sources in\n              Escherichia coli.\n              We genetically engineered\n              E. coli\n              metabolism to overproduce the metabolic precursors tyrosine and\n              p\n              -coumaric acid and increase RK production. The engineered\n              E. coli\n              produced 19.3- and 1.9 g/L of tyrosine and\n              p\n              -coumaric acid from glucose, respectively. The\n              p\n              -coumaric acid CoA ligase from\n              Agrobacterium tumefaciens\n              and amino acid substituted benzalacetone synthase of\n              Rhemu palmatum\n              (Chinese rhubarb) were overexpressed in\n              E. coli\n              overproducing\n              p\n              -coumaric acid\n              .\n              The overexpression of\n              fabF\n              , encoding β-ketoacyl-acyl carrier protein synthetase II increased intracellular malonyl-CoA, the precursor of benzalacetone synthase for RK biosynthesis, and improved RK production. Fed-batch cultures given glucose as a carbon source produced 62 mg/L of RK under optimized conditions. Our production system is inexpensive and does not rely on plant extraction; thus, it should significantly contribute to the flavor and fragrance industries.","container-title":"Frontiers in Bioengineering and Biotechnology","DOI":"10.3389/fbioe.2022.843843","ISSN":"2296-4185","journalAbbreviation":"Front. Bioeng. Biotechnol.","page":"843843","source":"DOI.org (Crossref)","title":"Glucose-Derived Raspberry Ketone Produced via Engineered Escherichia coli Metabolism","volume":"10","author":[{"family":"Masuo","given":"Shunsuke"},{"family":"Saga","given":"Chisa"},{"family":"Usui","given":"Kurumi"},{"family":"Sasakura","given":"Yuma"},{"family":"Kawasaki","given":"Yukie"},{"family":"Takaya","given":"Naoki"}],"issued":{"date-parts":[["2022",2,14]]}}}],"schema":"https://github.com/citation-style-language/schema/raw/master/csl-citation.json"} </w:instrText>
      </w:r>
      <w:r>
        <w:fldChar w:fldCharType="separate"/>
      </w:r>
      <w:r w:rsidRPr="00E51E50">
        <w:rPr>
          <w:rFonts w:cs="Times New Roman"/>
        </w:rPr>
        <w:t>[2]</w:t>
      </w:r>
      <w:r>
        <w:fldChar w:fldCharType="end"/>
      </w:r>
      <w:r>
        <w:t xml:space="preserve">. </w:t>
      </w:r>
    </w:p>
    <w:p w14:paraId="64AD6DC5" w14:textId="1C0DB1C6" w:rsidR="00D94ABB" w:rsidRDefault="00D94ABB" w:rsidP="00E51E50">
      <w:pPr>
        <w:spacing w:line="360" w:lineRule="auto"/>
        <w:jc w:val="both"/>
      </w:pPr>
      <w:r>
        <w:t xml:space="preserve">RK is a </w:t>
      </w:r>
      <w:r w:rsidRPr="00D94ABB">
        <w:rPr>
          <w:b/>
          <w:bCs/>
        </w:rPr>
        <w:t>phenylpropanoid</w:t>
      </w:r>
      <w:r>
        <w:t xml:space="preserve"> (aromatic phenolic ketone) with molecular formula C</w:t>
      </w:r>
      <w:r w:rsidRPr="001B6BE4">
        <w:rPr>
          <w:vertAlign w:val="subscript"/>
        </w:rPr>
        <w:t>10</w:t>
      </w:r>
      <w:r>
        <w:t>H</w:t>
      </w:r>
      <w:r w:rsidRPr="001B6BE4">
        <w:rPr>
          <w:vertAlign w:val="subscript"/>
        </w:rPr>
        <w:t>12</w:t>
      </w:r>
      <w:r>
        <w:t>O</w:t>
      </w:r>
      <w:r w:rsidRPr="001B6BE4">
        <w:rPr>
          <w:vertAlign w:val="subscript"/>
        </w:rPr>
        <w:t xml:space="preserve">2 </w:t>
      </w:r>
      <w:r>
        <w:t xml:space="preserve">and molar mass ~164.2 g/mol. </w:t>
      </w:r>
      <w:r w:rsidR="00A84282" w:rsidRPr="00A84282">
        <w:t>It is a significant component of the aroma of red raspberries (</w:t>
      </w:r>
      <w:proofErr w:type="spellStart"/>
      <w:r w:rsidR="00A84282" w:rsidRPr="003F0AB2">
        <w:rPr>
          <w:i/>
          <w:iCs/>
        </w:rPr>
        <w:t>Rubus</w:t>
      </w:r>
      <w:proofErr w:type="spellEnd"/>
      <w:r w:rsidR="00A84282" w:rsidRPr="003F0AB2">
        <w:rPr>
          <w:i/>
          <w:iCs/>
        </w:rPr>
        <w:t xml:space="preserve"> </w:t>
      </w:r>
      <w:proofErr w:type="spellStart"/>
      <w:r w:rsidR="00A84282" w:rsidRPr="003F0AB2">
        <w:rPr>
          <w:i/>
          <w:iCs/>
        </w:rPr>
        <w:t>idaeus</w:t>
      </w:r>
      <w:proofErr w:type="spellEnd"/>
      <w:r w:rsidR="00A84282" w:rsidRPr="00A84282">
        <w:t xml:space="preserve">), and it is also present in smaller amounts in kiwifruit, peaches, and apples. </w:t>
      </w:r>
      <w:r w:rsidR="00E51E50">
        <w:fldChar w:fldCharType="begin"/>
      </w:r>
      <w:r w:rsidR="00E51E50">
        <w:instrText xml:space="preserve"> ADDIN ZOTERO_ITEM CSL_CITATION {"citationID":"teai4VEY","properties":{"formattedCitation":"[3]","plainCitation":"[3]","noteIndex":0},"citationItems":[{"id":31,"uris":["http://zotero.org/users/16306459/items/HB4TJT7D"],"itemData":{"id":31,"type":"article-journal","abstract":"Abstract\n            \n              Raspberry ketone is an important compound for the flavour industry. It is frequently used in products such as soft drinks, sweets, puddings and ice creams. The compound can be produced by organic synthesis. Demand for “natural” raspberry ketone is growing considerably. However, this product is extremely expensive. Consequently, there is a remaining desire to better understand how raspberry ketone is synthesized\n              in vivo\n              , and which genes and enzymes are involved. With this information we will then be in a better position to design alternative production strategies such as microbial fermentation. This article focuses on the identification and application of genes potentially linked to raspberry ketone synthesis. We have isolated candidate genes from both raspberry and other plants, and these have been introduced into bacterial and yeast expression systems. Conditions have been determined that result in significant levels of raspberry ketone, up to 5 mg/L. These results therefore lay a strong foundation for a potentially renewable source of “natural” flavour compounds making use of plant genes.","container-title":"Biotechnology Journal","DOI":"10.1002/biot.200700076","ISSN":"1860-6768, 1860-7314","issue":"10","journalAbbreviation":"Biotechnology Journal","language":"en","license":"http://onlinelibrary.wiley.com/termsAndConditions#vor","page":"1270-1279","source":"DOI.org (Crossref)","title":"Microbial production of natural raspberry ketone","volume":"2","author":[{"family":"Beekwilder","given":"Jules"},{"family":"Van Der Meer","given":"Ingrid M."},{"family":"Sibbesen","given":"Ole"},{"family":"Broekgaarden","given":"Mans"},{"family":"Qvist","given":"Ingmar"},{"family":"Mikkelsen","given":"Joern D."},{"family":"Hall","given":"Robert D."}],"issued":{"date-parts":[["2007",10]]}}}],"schema":"https://github.com/citation-style-language/schema/raw/master/csl-citation.json"} </w:instrText>
      </w:r>
      <w:r w:rsidR="00E51E50">
        <w:fldChar w:fldCharType="separate"/>
      </w:r>
      <w:r w:rsidR="00E51E50" w:rsidRPr="00E51E50">
        <w:rPr>
          <w:rFonts w:cs="Times New Roman"/>
        </w:rPr>
        <w:t>[3]</w:t>
      </w:r>
      <w:r w:rsidR="00E51E50">
        <w:fldChar w:fldCharType="end"/>
      </w:r>
      <w:r>
        <w:t xml:space="preserve">. In plants, it is biosynthesized via the phenylalanine/tyrosine pathway as a </w:t>
      </w:r>
      <w:r w:rsidRPr="001B6BE4">
        <w:rPr>
          <w:b/>
          <w:bCs/>
        </w:rPr>
        <w:t>volatile attractant</w:t>
      </w:r>
      <w:r>
        <w:t xml:space="preserve"> for pollinators and fruit-dispersing insects</w:t>
      </w:r>
      <w:r w:rsidR="00E51E50">
        <w:fldChar w:fldCharType="begin"/>
      </w:r>
      <w:r w:rsidR="00E51E50">
        <w:instrText xml:space="preserve"> ADDIN ZOTERO_ITEM CSL_CITATION {"citationID":"difLdDje","properties":{"formattedCitation":"[4]","plainCitation":"[4]","noteIndex":0},"citationItems":[{"id":24,"uris":["http://zotero.org/users/16306459/items/MVSK5APV"],"itemData":{"id":24,"type":"article-journal","container-title":"Metabolic Engineering Communications","DOI":"10.1016/j.mec.2021.e00180","ISSN":"22140301","journalAbbreviation":"Metabolic Engineering Communications","language":"en","page":"e00180","source":"DOI.org (Crossref)","title":"Production of raspberry ketone by redirecting the metabolic flux to the phenylpropanoid pathway in tobacco plants","volume":"13","author":[{"family":"Koeduka","given":"Takao"},{"family":"Takarada","given":"Sachiho"},{"family":"Fujii","given":"Koya"},{"family":"Sugiyama","given":"Akifumi"},{"family":"Yazaki","given":"Kazufumi"},{"family":"Nishihara","given":"Masahiro"},{"family":"Matsui","given":"Kenji"}],"issued":{"date-parts":[["2021",12]]}}}],"schema":"https://github.com/citation-style-language/schema/raw/master/csl-citation.json"} </w:instrText>
      </w:r>
      <w:r w:rsidR="00E51E50">
        <w:fldChar w:fldCharType="separate"/>
      </w:r>
      <w:r w:rsidR="00E51E50" w:rsidRPr="00E51E50">
        <w:rPr>
          <w:rFonts w:cs="Times New Roman"/>
        </w:rPr>
        <w:t>[4]</w:t>
      </w:r>
      <w:r w:rsidR="00E51E50">
        <w:fldChar w:fldCharType="end"/>
      </w:r>
      <w:r>
        <w:t xml:space="preserve">. Chemically, it is also known as </w:t>
      </w:r>
      <w:proofErr w:type="spellStart"/>
      <w:r w:rsidRPr="001B6BE4">
        <w:rPr>
          <w:b/>
          <w:bCs/>
        </w:rPr>
        <w:t>rheosmin</w:t>
      </w:r>
      <w:proofErr w:type="spellEnd"/>
      <w:r>
        <w:t xml:space="preserve"> or </w:t>
      </w:r>
      <w:proofErr w:type="spellStart"/>
      <w:r w:rsidRPr="001B6BE4">
        <w:rPr>
          <w:b/>
          <w:bCs/>
        </w:rPr>
        <w:t>frambinone</w:t>
      </w:r>
      <w:proofErr w:type="spellEnd"/>
      <w:r>
        <w:t xml:space="preserve"> in older literature.</w:t>
      </w:r>
    </w:p>
    <w:p w14:paraId="53EF192D" w14:textId="5F249E6D" w:rsidR="008B2301" w:rsidRDefault="00D94ABB" w:rsidP="00E51E50">
      <w:pPr>
        <w:spacing w:line="360" w:lineRule="auto"/>
        <w:jc w:val="both"/>
      </w:pPr>
      <w:r>
        <w:t>Beyond its use as a flavor (GRAS status as a food additive</w:t>
      </w:r>
      <w:r w:rsidR="00E51E50">
        <w:fldChar w:fldCharType="begin"/>
      </w:r>
      <w:r w:rsidR="00E51E50">
        <w:instrText xml:space="preserve"> ADDIN ZOTERO_ITEM CSL_CITATION {"citationID":"lBUFlnPe","properties":{"formattedCitation":"[5]","plainCitation":"[5]","noteIndex":0},"citationItems":[{"id":39,"uris":["http://zotero.org/users/16306459/items/L4RZ9KNE"],"itemData":{"id":39,"type":"document","language":"English","publisher":"U.S. National Archives and Records Administration","title":"21 CFR 172.515: Synthetic flavoring substances and adjuvants.","title-short":"Electronic Code of Federal Regulations (eCFR)","URL":"https://www.ecfr.gov/cgi-bin/ECFR?page=browse","author":[{"literal":"U.S. Food and Drug Administration (FDA)"}],"accessed":{"date-parts":[["2025",5,8]]},"issued":{"date-parts":[["2014",3,17]]}}}],"schema":"https://github.com/citation-style-language/schema/raw/master/csl-citation.json"} </w:instrText>
      </w:r>
      <w:r w:rsidR="00E51E50">
        <w:fldChar w:fldCharType="separate"/>
      </w:r>
      <w:r w:rsidR="00E51E50" w:rsidRPr="00E51E50">
        <w:rPr>
          <w:rFonts w:cs="Times New Roman"/>
        </w:rPr>
        <w:t>[5]</w:t>
      </w:r>
      <w:r w:rsidR="00E51E50">
        <w:fldChar w:fldCharType="end"/>
      </w:r>
      <w:r>
        <w:t>), RK gained widespread public attention in the early 2010s due to claims of its weight-loss benefits</w:t>
      </w:r>
      <w:r w:rsidR="00892809">
        <w:fldChar w:fldCharType="begin"/>
      </w:r>
      <w:r w:rsidR="00892809">
        <w:instrText xml:space="preserve"> ADDIN ZOTERO_ITEM CSL_CITATION {"citationID":"RX812IiA","properties":{"formattedCitation":"[6]","plainCitation":"[6]","noteIndex":0},"citationItems":[{"id":33,"uris":["http://zotero.org/users/16306459/items/NG56QL8B"],"itemData":{"id":33,"type":"article-journal","container-title":"Life Sciences","DOI":"10.1016/j.lfs.2004.12.029","ISSN":"00243205","issue":"2","journalAbbreviation":"Life Sciences","language":"en","license":"https://www.elsevier.com/tdm/userlicense/1.0/","page":"194-204","source":"DOI.org (Crossref)","title":"Anti-obese action of raspberry ketone","volume":"77","author":[{"family":"Morimoto","given":"Chie"},{"family":"Satoh","given":"Yurie"},{"family":"Hara","given":"Mariko"},{"family":"Inoue","given":"Shintaro"},{"family":"Tsujita","given":"Takahiro"},{"family":"Okuda","given":"Hiromichi"}],"issued":{"date-parts":[["2005",5]]}}}],"schema":"https://github.com/citation-style-language/schema/raw/master/csl-citation.json"} </w:instrText>
      </w:r>
      <w:r w:rsidR="00892809">
        <w:fldChar w:fldCharType="separate"/>
      </w:r>
      <w:r w:rsidR="00892809" w:rsidRPr="00892809">
        <w:rPr>
          <w:rFonts w:cs="Times New Roman"/>
        </w:rPr>
        <w:t>[6]</w:t>
      </w:r>
      <w:r w:rsidR="00892809">
        <w:fldChar w:fldCharType="end"/>
      </w:r>
      <w:r>
        <w:t xml:space="preserve">. This popularization (including media and supplement marketing) spurred a surge in scientific investigations into RK’s biological activities. </w:t>
      </w:r>
      <w:r w:rsidRPr="001B6BE4">
        <w:rPr>
          <w:i/>
          <w:iCs/>
        </w:rPr>
        <w:t>Figure 1</w:t>
      </w:r>
      <w:r>
        <w:t xml:space="preserve"> shows the chemical structure and conformation of RK</w:t>
      </w:r>
      <w:r w:rsidR="00892809">
        <w:fldChar w:fldCharType="begin"/>
      </w:r>
      <w:r w:rsidR="00892809">
        <w:instrText xml:space="preserve"> ADDIN ZOTERO_ITEM CSL_CITATION {"citationID":"xdcSKxDp","properties":{"formattedCitation":"[7]","plainCitation":"[7]","noteIndex":0},"citationItems":[{"id":1,"uris":["http://zotero.org/users/16306459/items/396QDHDR"],"itemData":{"id":1,"type":"article-journal","container-title":"ACS Omega","DOI":"10.1021/acsomega.4c02293","ISSN":"2470-1343, 2470-1343","issue":"22","journalAbbreviation":"ACS Omega","language":"en","license":"https://creativecommons.org/licenses/by/4.0/","page":"23963-23970","source":"DOI.org (Crossref)","title":"Physicochemical Properties of 4-(4-Hydroxyphenyl)-butan-2-one (“Raspberry Ketone”) Evaluated Using a Computational Chemistry Approach","volume":"9","author":[{"family":"McPherson","given":"Peter A. C."},{"family":"McKenna","given":"Niamh"},{"family":"Johnston","given":"Ben M."}],"issued":{"date-parts":[["2024",6,4]]}}}],"schema":"https://github.com/citation-style-language/schema/raw/master/csl-citation.json"} </w:instrText>
      </w:r>
      <w:r w:rsidR="00892809">
        <w:fldChar w:fldCharType="separate"/>
      </w:r>
      <w:r w:rsidR="00892809" w:rsidRPr="00892809">
        <w:rPr>
          <w:rFonts w:cs="Times New Roman"/>
        </w:rPr>
        <w:t>[7]</w:t>
      </w:r>
      <w:r w:rsidR="00892809">
        <w:fldChar w:fldCharType="end"/>
      </w:r>
      <w:r>
        <w:t>, highlighting its aromatic ring and butanone side chain, which underpin its reactivity and interactions.</w:t>
      </w:r>
    </w:p>
    <w:p w14:paraId="58EFA98A" w14:textId="135D3DD5" w:rsidR="001B6BE4" w:rsidRDefault="006446CD" w:rsidP="006446CD">
      <w:pPr>
        <w:spacing w:line="360" w:lineRule="auto"/>
        <w:jc w:val="center"/>
      </w:pPr>
      <w:r>
        <w:rPr>
          <w:rFonts w:cs="Times New Roman"/>
          <w:noProof/>
          <w:kern w:val="0"/>
          <w14:ligatures w14:val="none"/>
        </w:rPr>
        <mc:AlternateContent>
          <mc:Choice Requires="wps">
            <w:drawing>
              <wp:anchor distT="45720" distB="45720" distL="114300" distR="114300" simplePos="0" relativeHeight="251659264" behindDoc="0" locked="0" layoutInCell="1" allowOverlap="1" wp14:anchorId="11EB4E19" wp14:editId="64FD5905">
                <wp:simplePos x="0" y="0"/>
                <wp:positionH relativeFrom="column">
                  <wp:posOffset>235503</wp:posOffset>
                </wp:positionH>
                <wp:positionV relativeFrom="paragraph">
                  <wp:posOffset>45720</wp:posOffset>
                </wp:positionV>
                <wp:extent cx="412750" cy="292100"/>
                <wp:effectExtent l="0" t="0" r="6350" b="0"/>
                <wp:wrapNone/>
                <wp:docPr id="124746028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 cy="292100"/>
                        </a:xfrm>
                        <a:prstGeom prst="rect">
                          <a:avLst/>
                        </a:prstGeom>
                        <a:solidFill>
                          <a:srgbClr val="FFFFFF"/>
                        </a:solidFill>
                        <a:ln w="9525">
                          <a:noFill/>
                          <a:miter lim="800000"/>
                          <a:headEnd/>
                          <a:tailEnd/>
                        </a:ln>
                      </wps:spPr>
                      <wps:txbx>
                        <w:txbxContent>
                          <w:p w14:paraId="0B1FD12E" w14:textId="77777777" w:rsidR="006446CD" w:rsidRDefault="006446CD" w:rsidP="006446CD">
                            <w:pPr>
                              <w:rPr>
                                <w:rFonts w:cs="Times New Roman"/>
                              </w:rPr>
                            </w:pPr>
                            <w:r>
                              <w:rPr>
                                <w:rFonts w:cs="Times New Roman"/>
                              </w:rPr>
                              <w:t>[A]</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1EB4E19" id="_x0000_t202" coordsize="21600,21600" o:spt="202" path="m,l,21600r21600,l21600,xe">
                <v:stroke joinstyle="miter"/>
                <v:path gradientshapeok="t" o:connecttype="rect"/>
              </v:shapetype>
              <v:shape id="Text Box 1" o:spid="_x0000_s1026" type="#_x0000_t202" style="position:absolute;left:0;text-align:left;margin-left:18.55pt;margin-top:3.6pt;width:32.5pt;height:2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" stroked="f">
                <v:textbox>
                  <w:txbxContent>
                    <w:p w14:paraId="0B1FD12E" w14:textId="77777777" w:rsidR="006446CD" w:rsidRDefault="006446CD" w:rsidP="006446CD">
                      <w:pPr>
                        <w:rPr>
                          <w:rFonts w:cs="Times New Roman"/>
                        </w:rPr>
                      </w:pPr>
                      <w:r>
                        <w:rPr>
                          <w:rFonts w:cs="Times New Roman"/>
                        </w:rPr>
                        <w:t>[A]</w:t>
                      </w:r>
                    </w:p>
                  </w:txbxContent>
                </v:textbox>
              </v:shape>
            </w:pict>
          </mc:Fallback>
        </mc:AlternateContent>
      </w:r>
      <w:r>
        <w:rPr>
          <w:rFonts w:cs="Times New Roman"/>
          <w:noProof/>
          <w:kern w:val="0"/>
          <w14:ligatures w14:val="none"/>
        </w:rPr>
        <mc:AlternateContent>
          <mc:Choice Requires="wps">
            <w:drawing>
              <wp:anchor distT="45720" distB="45720" distL="114300" distR="114300" simplePos="0" relativeHeight="251661312" behindDoc="0" locked="0" layoutInCell="1" allowOverlap="1" wp14:anchorId="53C34E19" wp14:editId="7B19CC46">
                <wp:simplePos x="0" y="0"/>
                <wp:positionH relativeFrom="column">
                  <wp:posOffset>2114632</wp:posOffset>
                </wp:positionH>
                <wp:positionV relativeFrom="paragraph">
                  <wp:posOffset>41910</wp:posOffset>
                </wp:positionV>
                <wp:extent cx="412750" cy="292100"/>
                <wp:effectExtent l="0" t="0" r="0" b="0"/>
                <wp:wrapNone/>
                <wp:docPr id="19995127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 cy="292100"/>
                        </a:xfrm>
                        <a:prstGeom prst="rect">
                          <a:avLst/>
                        </a:prstGeom>
                        <a:noFill/>
                        <a:ln w="9525">
                          <a:noFill/>
                          <a:miter lim="800000"/>
                          <a:headEnd/>
                          <a:tailEnd/>
                        </a:ln>
                      </wps:spPr>
                      <wps:txbx>
                        <w:txbxContent>
                          <w:p w14:paraId="0697EA34" w14:textId="281676BF" w:rsidR="006446CD" w:rsidRDefault="006446CD" w:rsidP="006446CD">
                            <w:pPr>
                              <w:rPr>
                                <w:rFonts w:cs="Times New Roman"/>
                              </w:rPr>
                            </w:pPr>
                            <w:r>
                              <w:rPr>
                                <w:rFonts w:cs="Times New Roman"/>
                              </w:rPr>
                              <w:t>[B]</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C34E19" id="Text Box 2" o:spid="_x0000_s1027" type="#_x0000_t202" style="position:absolute;left:0;text-align:left;margin-left:166.5pt;margin-top:3.3pt;width:32.5pt;height:23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" filled="f" stroked="f">
                <v:textbox>
                  <w:txbxContent>
                    <w:p w14:paraId="0697EA34" w14:textId="281676BF" w:rsidR="006446CD" w:rsidRDefault="006446CD" w:rsidP="006446CD">
                      <w:pPr>
                        <w:rPr>
                          <w:rFonts w:cs="Times New Roman"/>
                        </w:rPr>
                      </w:pPr>
                      <w:r>
                        <w:rPr>
                          <w:rFonts w:cs="Times New Roman"/>
                        </w:rPr>
                        <w:t>[B]</w:t>
                      </w:r>
                    </w:p>
                  </w:txbxContent>
                </v:textbox>
              </v:shape>
            </w:pict>
          </mc:Fallback>
        </mc:AlternateContent>
      </w:r>
      <w:r>
        <w:rPr>
          <w:noProof/>
        </w:rPr>
        <w:drawing>
          <wp:inline distT="0" distB="0" distL="0" distR="0" wp14:anchorId="10563498" wp14:editId="33701A47">
            <wp:extent cx="920750" cy="1964055"/>
            <wp:effectExtent l="0" t="0" r="0" b="0"/>
            <wp:docPr id="3589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9543" name="Picture 1"/>
                    <pic:cNvPicPr>
                      <a:picLocks noChangeAspect="1"/>
                    </pic:cNvPicPr>
                  </pic:nvPicPr>
                  <pic:blipFill>
                    <a:blip r:embed="rId8"/>
                    <a:stretch>
                      <a:fillRect/>
                    </a:stretch>
                  </pic:blipFill>
                  <pic:spPr>
                    <a:xfrm>
                      <a:off x="0" y="0"/>
                      <a:ext cx="920750" cy="1964055"/>
                    </a:xfrm>
                    <a:prstGeom prst="rect">
                      <a:avLst/>
                    </a:prstGeom>
                  </pic:spPr>
                </pic:pic>
              </a:graphicData>
            </a:graphic>
          </wp:inline>
        </w:drawing>
      </w:r>
      <w:r>
        <w:t xml:space="preserve">      </w:t>
      </w:r>
      <w:r>
        <w:rPr>
          <w:noProof/>
        </w:rPr>
        <w:drawing>
          <wp:inline distT="0" distB="0" distL="0" distR="0" wp14:anchorId="2C8FF95E" wp14:editId="2A5E6630">
            <wp:extent cx="3289300" cy="2045970"/>
            <wp:effectExtent l="0" t="0" r="0" b="0"/>
            <wp:docPr id="5482824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282430" name="Picture 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89300" cy="2045970"/>
                    </a:xfrm>
                    <a:prstGeom prst="rect">
                      <a:avLst/>
                    </a:prstGeom>
                    <a:noFill/>
                    <a:ln>
                      <a:noFill/>
                    </a:ln>
                  </pic:spPr>
                </pic:pic>
              </a:graphicData>
            </a:graphic>
          </wp:inline>
        </w:drawing>
      </w:r>
    </w:p>
    <w:p w14:paraId="33D9B4D1" w14:textId="60434802" w:rsidR="001B6BE4" w:rsidRDefault="001B6BE4" w:rsidP="009406FC">
      <w:pPr>
        <w:spacing w:line="360" w:lineRule="auto"/>
        <w:jc w:val="both"/>
        <w:rPr>
          <w:b/>
          <w:bCs/>
        </w:rPr>
      </w:pPr>
      <w:r w:rsidRPr="001B6BE4">
        <w:rPr>
          <w:b/>
          <w:bCs/>
        </w:rPr>
        <w:t xml:space="preserve">Figure 1. </w:t>
      </w:r>
      <w:r w:rsidRPr="001740E0">
        <w:t>Molecular structure of Raspberry Ketone (RK):</w:t>
      </w:r>
      <w:r w:rsidRPr="001B6BE4">
        <w:rPr>
          <w:b/>
          <w:bCs/>
        </w:rPr>
        <w:t xml:space="preserve"> </w:t>
      </w:r>
      <w:r w:rsidRPr="00E07734">
        <w:t>([A]) 2D structure and ([B]) 3D structure, highlighting the characteristic phenyl ring and the 4-(4-hydroxyphenyl)butan-2-one scaffold</w:t>
      </w:r>
      <w:r w:rsidR="006446CD">
        <w:fldChar w:fldCharType="begin"/>
      </w:r>
      <w:r w:rsidR="006446CD">
        <w:instrText xml:space="preserve"> ADDIN ZOTERO_ITEM CSL_CITATION {"citationID":"krbcA8hz","properties":{"formattedCitation":"[7]","plainCitation":"[7]","noteIndex":0},"citationItems":[{"id":1,"uris":["http://zotero.org/users/16306459/items/396QDHDR"],"itemData":{"id":1,"type":"article-journal","container-title":"ACS Omega","DOI":"10.1021/acsomega.4c02293","ISSN":"2470-1343, 2470-1343","issue":"22","journalAbbreviation":"ACS Omega","language":"en","license":"https://creativecommons.org/licenses/by/4.0/","page":"23963-23970","source":"DOI.org (Crossref)","title":"Physicochemical Properties of 4-(4-Hydroxyphenyl)-butan-2-one (“Raspberry Ketone”) Evaluated Using a Computational Chemistry Approach","volume":"9","author":[{"family":"McPherson","given":"Peter A. C."},{"family":"McKenna","given":"Niamh"},{"family":"Johnston","given":"Ben M."}],"issued":{"date-parts":[["2024",6,4]]}}}],"schema":"https://github.com/citation-style-language/schema/raw/master/csl-citation.json"} </w:instrText>
      </w:r>
      <w:r w:rsidR="006446CD">
        <w:fldChar w:fldCharType="separate"/>
      </w:r>
      <w:r w:rsidR="006446CD" w:rsidRPr="006446CD">
        <w:rPr>
          <w:rFonts w:cs="Times New Roman"/>
        </w:rPr>
        <w:t>[7]</w:t>
      </w:r>
      <w:r w:rsidR="006446CD">
        <w:fldChar w:fldCharType="end"/>
      </w:r>
      <w:r w:rsidRPr="00E07734">
        <w:t>.</w:t>
      </w:r>
    </w:p>
    <w:p w14:paraId="3277C66F" w14:textId="54DE4F0D" w:rsidR="001B6BE4" w:rsidRDefault="00AA137E" w:rsidP="006446CD">
      <w:pPr>
        <w:spacing w:line="360" w:lineRule="auto"/>
        <w:jc w:val="both"/>
      </w:pPr>
      <w:r w:rsidRPr="00AA137E">
        <w:lastRenderedPageBreak/>
        <w:t xml:space="preserve">Including </w:t>
      </w:r>
      <w:r w:rsidR="00AA3D2F">
        <w:t xml:space="preserve">(a) </w:t>
      </w:r>
      <w:r w:rsidR="00AA3D2F" w:rsidRPr="00156251">
        <w:t>latest updates on chemical and physicochemical characterizations</w:t>
      </w:r>
      <w:r w:rsidR="00AA3D2F">
        <w:t xml:space="preserve"> (b) pharmacological mechanisms and therapeutic evaluations in metabolic and various models in other diseases (c) toxicological and safety studies, including metabolism and computational predictions; (d) emerging applications in formulation technology and green synthesis; (e) critical analysis of current evidence, limitations, and replicability issues; and (f) </w:t>
      </w:r>
      <w:r w:rsidR="00AA3D2F" w:rsidRPr="00AA3D2F">
        <w:t>prospects for future research and development</w:t>
      </w:r>
      <w:r w:rsidRPr="00AA137E">
        <w:t>, this study offers a thorough description of RK research from 2015–2025.</w:t>
      </w:r>
      <w:r w:rsidR="00AA3D2F">
        <w:t xml:space="preserve"> </w:t>
      </w:r>
      <w:r w:rsidRPr="00AA137E">
        <w:t>Our goal is to bring together data from several fields to help both basic research and practical ideas for RK as a potential nutraceutical or medication lead.</w:t>
      </w:r>
    </w:p>
    <w:p w14:paraId="38046F8F" w14:textId="212C2ACE" w:rsidR="001B6BE4" w:rsidRDefault="001B6BE4" w:rsidP="006446CD">
      <w:pPr>
        <w:spacing w:line="360" w:lineRule="auto"/>
        <w:jc w:val="both"/>
      </w:pPr>
      <w:r w:rsidRPr="001B6BE4">
        <w:rPr>
          <w:b/>
          <w:bCs/>
        </w:rPr>
        <w:t>1.1. Bibliometric Trend (2015–2025):</w:t>
      </w:r>
      <w:r>
        <w:t xml:space="preserve"> </w:t>
      </w:r>
      <w:r w:rsidR="002F4BEF" w:rsidRPr="002F4BEF">
        <w:t>Publications pertaining to RK have significantly increased during the last ten years, indicating a diversification of research areas. Since 2015 research has broadened, after initially concentrating on the effects of anti-obesity interventions,</w:t>
      </w:r>
      <w:proofErr w:type="gramStart"/>
      <w:r w:rsidR="002F4BEF" w:rsidRPr="002F4BEF">
        <w:t>  to</w:t>
      </w:r>
      <w:proofErr w:type="gramEnd"/>
      <w:r w:rsidR="002F4BEF" w:rsidRPr="002F4BEF">
        <w:t xml:space="preserve"> include </w:t>
      </w:r>
      <w:proofErr w:type="spellStart"/>
      <w:r w:rsidR="002F4BEF" w:rsidRPr="002F4BEF">
        <w:t>hepatoprotection</w:t>
      </w:r>
      <w:proofErr w:type="spellEnd"/>
      <w:r w:rsidR="002F4BEF" w:rsidRPr="002F4BEF">
        <w:t xml:space="preserve">, </w:t>
      </w:r>
      <w:proofErr w:type="spellStart"/>
      <w:r w:rsidR="002F4BEF" w:rsidRPr="002F4BEF">
        <w:t>cardioprotection</w:t>
      </w:r>
      <w:proofErr w:type="spellEnd"/>
      <w:r w:rsidR="002F4BEF" w:rsidRPr="002F4BEF">
        <w:t>, dermatology (skin lightening), and even entomology.</w:t>
      </w:r>
    </w:p>
    <w:p w14:paraId="1D38959F" w14:textId="77777777" w:rsidR="001B6BE4" w:rsidRPr="001B6BE4" w:rsidRDefault="001B6BE4" w:rsidP="008E1E0C">
      <w:pPr>
        <w:spacing w:line="360" w:lineRule="auto"/>
        <w:rPr>
          <w:b/>
          <w:bCs/>
        </w:rPr>
      </w:pPr>
      <w:r w:rsidRPr="001B6BE4">
        <w:rPr>
          <w:b/>
          <w:bCs/>
        </w:rPr>
        <w:t>2. Physicochemical Properties</w:t>
      </w:r>
    </w:p>
    <w:p w14:paraId="1ED0B1FB" w14:textId="235B97BD" w:rsidR="001B6BE4" w:rsidRDefault="002F4BEF" w:rsidP="006446CD">
      <w:pPr>
        <w:spacing w:line="360" w:lineRule="auto"/>
        <w:jc w:val="both"/>
      </w:pPr>
      <w:r w:rsidRPr="002F4BEF">
        <w:t xml:space="preserve">To determine a drug's solubility, stability, pharmacokinetics, and therapeutic action, the knowledge of physicochemical properties of the substance or chemical is </w:t>
      </w:r>
      <w:r w:rsidR="00D76D01">
        <w:t xml:space="preserve">very </w:t>
      </w:r>
      <w:r w:rsidRPr="002F4BEF">
        <w:t xml:space="preserve">essential. </w:t>
      </w:r>
      <w:r w:rsidR="006446CD">
        <w:fldChar w:fldCharType="begin"/>
      </w:r>
      <w:r w:rsidR="006446CD">
        <w:instrText xml:space="preserve"> ADDIN ZOTERO_ITEM CSL_CITATION {"citationID":"MJsUQaRd","properties":{"formattedCitation":"[8]","plainCitation":"[8]","noteIndex":0},"citationItems":[{"id":108,"uris":["http://zotero.org/users/16306459/items/8SWQ6EJH"],"itemData":{"id":108,"type":"article-journal","container-title":"Asian Journal of Pharmacy and Technology","DOI":"10.5958/2231-5713.2019.00010.2","ISSN":"2231-5705, 2231-5713","issue":"1","journalAbbreviation":"Asian Jour. Pharm. and Technol.","language":"en","page":"53","source":"DOI.org (Crossref)","title":"Physico-chemical Properties of Solid Drugs: A Review","title-short":"Physico-chemical Properties of Solid Drugs","volume":"9","author":[{"family":"Kengar","given":"Manohar D."},{"family":"Howal","given":"Rohit S."},{"family":"Aundhakar","given":"Dattatray B."},{"family":"Nikam","given":"Amit V."},{"family":"Hasabe","given":"Priyajit S."}],"issued":{"date-parts":[["2019"]]}}}],"schema":"https://github.com/citation-style-language/schema/raw/master/csl-citation.json"} </w:instrText>
      </w:r>
      <w:r w:rsidR="006446CD">
        <w:fldChar w:fldCharType="separate"/>
      </w:r>
      <w:r w:rsidR="006446CD" w:rsidRPr="006446CD">
        <w:rPr>
          <w:rFonts w:cs="Times New Roman"/>
        </w:rPr>
        <w:t>[8]</w:t>
      </w:r>
      <w:r w:rsidR="006446CD">
        <w:fldChar w:fldCharType="end"/>
      </w:r>
      <w:r w:rsidR="001B6BE4">
        <w:t xml:space="preserve">. </w:t>
      </w:r>
      <w:r>
        <w:t xml:space="preserve">They </w:t>
      </w:r>
      <w:r w:rsidR="001B6BE4">
        <w:t>also</w:t>
      </w:r>
      <w:r>
        <w:t xml:space="preserve"> constitute a</w:t>
      </w:r>
      <w:r w:rsidR="001B6BE4">
        <w:t xml:space="preserve"> very important factor while deciding a delivery system and designing dosage form of particular molecule. Physicochemical parameters are related to the structure and molecular mass of the molecule and </w:t>
      </w:r>
      <w:r w:rsidR="00D76D01" w:rsidRPr="00D76D01">
        <w:t xml:space="preserve">drug design involves the synthesis of a stable and therapeutically active molecule through the optimization of </w:t>
      </w:r>
      <w:r w:rsidR="00D76D01">
        <w:t>these</w:t>
      </w:r>
      <w:r w:rsidR="00D76D01" w:rsidRPr="00D76D01">
        <w:t xml:space="preserve"> parameters.</w:t>
      </w:r>
      <w:r w:rsidR="00D76D01">
        <w:t xml:space="preserve"> </w:t>
      </w:r>
      <w:r>
        <w:t>Some</w:t>
      </w:r>
      <w:r w:rsidR="001B6BE4">
        <w:t xml:space="preserve"> of these parameters are discussed below:</w:t>
      </w:r>
    </w:p>
    <w:p w14:paraId="15C08DB5" w14:textId="7E6BAF77" w:rsidR="00EB3537" w:rsidRDefault="001B6BE4" w:rsidP="006446CD">
      <w:pPr>
        <w:spacing w:line="360" w:lineRule="auto"/>
        <w:jc w:val="both"/>
      </w:pPr>
      <w:r w:rsidRPr="001B6BE4">
        <w:rPr>
          <w:b/>
          <w:bCs/>
        </w:rPr>
        <w:t>2.1. Molecular Structure and Characterization:</w:t>
      </w:r>
      <w:r>
        <w:t xml:space="preserve"> Raspberry ketone’s structure consists of a para-hydroxyphenyl ring attached to a butan-2-one (β-ketone) moiety. </w:t>
      </w:r>
      <w:r w:rsidR="00EB3537">
        <w:t>While advanced spectroscopic techniques including NMR and IR verified the functional groups (aromatic OH, ketone C=O), single-crystal X-ray diffraction analysis confirmed a twisted conformation: the aromatic ring is tilted ~52° out of plane from the carbonyl-bearing side chain which is further reported from DFT (Density Functional Theory) study on RK’s geometry showing</w:t>
      </w:r>
      <w:r w:rsidR="00EB3537" w:rsidRPr="00EB3537">
        <w:t xml:space="preserve"> </w:t>
      </w:r>
      <w:r w:rsidR="00EB3537">
        <w:t>a key dihedral angle of ~55°</w:t>
      </w:r>
      <w:r w:rsidR="00EB3537">
        <w:fldChar w:fldCharType="begin"/>
      </w:r>
      <w:r w:rsidR="00EB3537">
        <w:instrText xml:space="preserve"> ADDIN ZOTERO_ITEM CSL_CITATION {"citationID":"Lng4yjNu","properties":{"formattedCitation":"[7]","plainCitation":"[7]","noteIndex":0},"citationItems":[{"id":1,"uris":["http://zotero.org/users/16306459/items/396QDHDR"],"itemData":{"id":1,"type":"article-journal","container-title":"ACS Omega","DOI":"10.1021/acsomega.4c02293","ISSN":"2470-1343, 2470-1343","issue":"22","journalAbbreviation":"ACS Omega","language":"en","license":"https://creativecommons.org/licenses/by/4.0/","page":"23963-23970","source":"DOI.org (Crossref)","title":"Physicochemical Properties of 4-(4-Hydroxyphenyl)-butan-2-one (“Raspberry Ketone”) Evaluated Using a Computational Chemistry Approach","volume":"9","author":[{"family":"McPherson","given":"Peter A. C."},{"family":"McKenna","given":"Niamh"},{"family":"Johnston","given":"Ben M."}],"issued":{"date-parts":[["2024",6,4]]}}}],"schema":"https://github.com/citation-style-language/schema/raw/master/csl-citation.json"} </w:instrText>
      </w:r>
      <w:r w:rsidR="00EB3537">
        <w:fldChar w:fldCharType="separate"/>
      </w:r>
      <w:r w:rsidR="00EB3537" w:rsidRPr="006446CD">
        <w:rPr>
          <w:rFonts w:cs="Times New Roman"/>
        </w:rPr>
        <w:t>[7]</w:t>
      </w:r>
      <w:r w:rsidR="00EB3537">
        <w:fldChar w:fldCharType="end"/>
      </w:r>
      <w:r w:rsidR="00EB3537">
        <w:t>.</w:t>
      </w:r>
    </w:p>
    <w:p w14:paraId="54BEDBB8" w14:textId="77777777" w:rsidR="00EB3537" w:rsidRDefault="00EB3537" w:rsidP="006446CD">
      <w:pPr>
        <w:spacing w:line="360" w:lineRule="auto"/>
        <w:jc w:val="both"/>
      </w:pPr>
    </w:p>
    <w:p w14:paraId="6119CAF3" w14:textId="77777777" w:rsidR="00393ABB" w:rsidRDefault="001B6BE4" w:rsidP="006446CD">
      <w:pPr>
        <w:spacing w:line="360" w:lineRule="auto"/>
        <w:jc w:val="both"/>
      </w:pPr>
      <w:r w:rsidRPr="001B6BE4">
        <w:rPr>
          <w:b/>
          <w:bCs/>
        </w:rPr>
        <w:t>2.2. Electronic and Thermodynamic Properties:</w:t>
      </w:r>
      <w:r>
        <w:t xml:space="preserve"> </w:t>
      </w:r>
      <w:bookmarkStart w:id="1" w:name="_Hlk208188574"/>
    </w:p>
    <w:p w14:paraId="4B9B659C" w14:textId="2F7ECC46" w:rsidR="00393ABB" w:rsidRDefault="00393ABB" w:rsidP="006446CD">
      <w:pPr>
        <w:spacing w:line="360" w:lineRule="auto"/>
        <w:jc w:val="both"/>
      </w:pPr>
      <w:r w:rsidRPr="00DD62CE">
        <w:lastRenderedPageBreak/>
        <w:t xml:space="preserve">DFT calculations </w:t>
      </w:r>
      <w:r>
        <w:t xml:space="preserve">(using high-level composite thermochemical methods) </w:t>
      </w:r>
      <w:r w:rsidRPr="00DD62CE">
        <w:t>reveal RK’s electronic structure, showing a moderate HOMO</w:t>
      </w:r>
      <w:r>
        <w:t>-</w:t>
      </w:r>
      <w:r w:rsidRPr="00DD62CE">
        <w:t>LUMO gap</w:t>
      </w:r>
      <w:r>
        <w:t xml:space="preserve"> (~7.8 eV in aqueous phase)</w:t>
      </w:r>
      <w:r w:rsidRPr="00DD62CE">
        <w:t xml:space="preserve"> consistent with its stability and reactivity</w:t>
      </w:r>
      <w:r>
        <w:fldChar w:fldCharType="begin"/>
      </w:r>
      <w:r>
        <w:instrText xml:space="preserve"> ADDIN ZOTERO_ITEM CSL_CITATION {"citationID":"GJAO6oW2","properties":{"formattedCitation":"[9]","plainCitation":"[9]","noteIndex":0},"citationItems":[{"id":109,"uris":["http://zotero.org/users/16306459/items/SVFM55NY"],"itemData":{"id":109,"type":"article-journal","container-title":"The Journal of Physical Chemistry A","DOI":"10.1021/jp990092i","ISSN":"1089-5639, 1520-5215","issue":"37","journalAbbreviation":"J. Phys. Chem. A","language":"en","page":"7487-7495","source":"DOI.org (Crossref)","title":"Reduced HOMO−LUMO Gap as an Index of Kinetic Stability for Polycyclic Aromatic Hydrocarbons","volume":"103","author":[{"family":"Aihara","given":"Jun-ichi"}],"issued":{"date-parts":[["1999",9,1]]}}}],"schema":"https://github.com/citation-style-language/schema/raw/master/csl-citation.json"} </w:instrText>
      </w:r>
      <w:r>
        <w:fldChar w:fldCharType="separate"/>
      </w:r>
      <w:r w:rsidRPr="006446CD">
        <w:rPr>
          <w:rFonts w:cs="Times New Roman"/>
        </w:rPr>
        <w:t>[9]</w:t>
      </w:r>
      <w:r>
        <w:fldChar w:fldCharType="end"/>
      </w:r>
      <w:r w:rsidRPr="00DD62CE">
        <w:t>. Theoretical values for enthalpy of formation</w:t>
      </w:r>
      <w:r>
        <w:t xml:space="preserve"> </w:t>
      </w:r>
      <w:r w:rsidRPr="00E07734">
        <w:t>(∆</w:t>
      </w:r>
      <w:proofErr w:type="spellStart"/>
      <w:r w:rsidRPr="00E07734">
        <w:rPr>
          <w:vertAlign w:val="subscript"/>
        </w:rPr>
        <w:t>f</w:t>
      </w:r>
      <w:r w:rsidRPr="00E07734">
        <w:t>H</w:t>
      </w:r>
      <w:proofErr w:type="spellEnd"/>
      <w:r w:rsidRPr="00E07734">
        <w:t xml:space="preserve">° </w:t>
      </w:r>
      <w:r>
        <w:t>~</w:t>
      </w:r>
      <w:r w:rsidRPr="00E07734">
        <w:t xml:space="preserve"> </w:t>
      </w:r>
      <w:r>
        <w:t>-</w:t>
      </w:r>
      <w:r w:rsidRPr="00E07734">
        <w:t>299.4 kJ/</w:t>
      </w:r>
      <w:proofErr w:type="spellStart"/>
      <w:r w:rsidRPr="00E07734">
        <w:t>mol</w:t>
      </w:r>
      <w:proofErr w:type="spellEnd"/>
      <w:proofErr w:type="gramStart"/>
      <w:r w:rsidRPr="00E07734">
        <w:t xml:space="preserve">) </w:t>
      </w:r>
      <w:r w:rsidRPr="00DD62CE">
        <w:t xml:space="preserve"> and</w:t>
      </w:r>
      <w:proofErr w:type="gramEnd"/>
      <w:r w:rsidRPr="00DD62CE">
        <w:t xml:space="preserve"> melting point</w:t>
      </w:r>
      <w:r>
        <w:t xml:space="preserve"> </w:t>
      </w:r>
      <w:r w:rsidRPr="00E07734">
        <w:t>(</w:t>
      </w:r>
      <w:r>
        <w:t>~</w:t>
      </w:r>
      <w:r w:rsidRPr="00E07734">
        <w:t>82 °C)</w:t>
      </w:r>
      <w:r w:rsidRPr="00DD62CE">
        <w:t xml:space="preserve"> agree with experimental data. Conceptual DFT indices</w:t>
      </w:r>
      <w:r>
        <w:t xml:space="preserve"> </w:t>
      </w:r>
      <w:r w:rsidRPr="00E07734">
        <w:t xml:space="preserve">(chemical hardness ~7.8 eV, electrophilicity ~1.6) </w:t>
      </w:r>
      <w:r w:rsidRPr="00DD62CE">
        <w:t>suggest likely nucleophilic attack at the carbonyl and electrophilic substitution on the aromatic ring, in line with its known metabolic pathways.</w:t>
      </w:r>
    </w:p>
    <w:bookmarkEnd w:id="1"/>
    <w:p w14:paraId="1E2D2EEB" w14:textId="5782BDEB" w:rsidR="008B2301" w:rsidRDefault="008B2301" w:rsidP="006446CD">
      <w:pPr>
        <w:spacing w:line="360" w:lineRule="auto"/>
        <w:jc w:val="both"/>
      </w:pPr>
    </w:p>
    <w:p w14:paraId="0D10C5E6" w14:textId="73C35D45" w:rsidR="00E07734" w:rsidRDefault="002329C9" w:rsidP="00126652">
      <w:pPr>
        <w:spacing w:line="360" w:lineRule="auto"/>
        <w:jc w:val="center"/>
      </w:pPr>
      <w:r>
        <w:rPr>
          <w:noProof/>
        </w:rPr>
        <w:drawing>
          <wp:inline distT="0" distB="0" distL="0" distR="0" wp14:anchorId="28DE1362" wp14:editId="6A9A5F0E">
            <wp:extent cx="5642610" cy="2965450"/>
            <wp:effectExtent l="0" t="0" r="0" b="6350"/>
            <wp:docPr id="47402899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028993" name="Picture 10"/>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42610" cy="2965450"/>
                    </a:xfrm>
                    <a:prstGeom prst="rect">
                      <a:avLst/>
                    </a:prstGeom>
                    <a:noFill/>
                    <a:ln>
                      <a:noFill/>
                    </a:ln>
                  </pic:spPr>
                </pic:pic>
              </a:graphicData>
            </a:graphic>
          </wp:inline>
        </w:drawing>
      </w:r>
    </w:p>
    <w:p w14:paraId="1A734D7A" w14:textId="434E2527" w:rsidR="00E07734" w:rsidRDefault="00E07734" w:rsidP="009406FC">
      <w:pPr>
        <w:spacing w:line="360" w:lineRule="auto"/>
        <w:jc w:val="both"/>
      </w:pPr>
      <w:r w:rsidRPr="00E07734">
        <w:rPr>
          <w:b/>
          <w:bCs/>
        </w:rPr>
        <w:t>Figure 2.</w:t>
      </w:r>
      <w:r w:rsidRPr="00E07734">
        <w:t xml:space="preserve"> Density of states analysis for RK. Abbreviations: TDOS, total density of states; PDOS, partial density of states; HOMO, Highest Occupied Molecular Orbital; LUMO, Lowest Unoccupied Molecular Orbital. Actual figure would show a 3D electron density map or electrostatic potential surface. (adopted from McPherson et al., 2024) </w:t>
      </w:r>
      <w:r w:rsidR="002329C9">
        <w:fldChar w:fldCharType="begin"/>
      </w:r>
      <w:r w:rsidR="002329C9">
        <w:instrText xml:space="preserve"> ADDIN ZOTERO_ITEM CSL_CITATION {"citationID":"7UmQFIkT","properties":{"formattedCitation":"[7]","plainCitation":"[7]","noteIndex":0},"citationItems":[{"id":1,"uris":["http://zotero.org/users/16306459/items/396QDHDR"],"itemData":{"id":1,"type":"article-journal","container-title":"ACS Omega","DOI":"10.1021/acsomega.4c02293","ISSN":"2470-1343, 2470-1343","issue":"22","journalAbbreviation":"ACS Omega","language":"en","license":"https://creativecommons.org/licenses/by/4.0/","page":"23963-23970","source":"DOI.org (Crossref)","title":"Physicochemical Properties of 4-(4-Hydroxyphenyl)-butan-2-one (“Raspberry Ketone”) Evaluated Using a Computational Chemistry Approach","volume":"9","author":[{"family":"McPherson","given":"Peter A. C."},{"family":"McKenna","given":"Niamh"},{"family":"Johnston","given":"Ben M."}],"issued":{"date-parts":[["2024",6,4]]}}}],"schema":"https://github.com/citation-style-language/schema/raw/master/csl-citation.json"} </w:instrText>
      </w:r>
      <w:r w:rsidR="002329C9">
        <w:fldChar w:fldCharType="separate"/>
      </w:r>
      <w:r w:rsidR="002329C9" w:rsidRPr="002329C9">
        <w:rPr>
          <w:rFonts w:cs="Times New Roman"/>
        </w:rPr>
        <w:t>[7]</w:t>
      </w:r>
      <w:r w:rsidR="002329C9">
        <w:fldChar w:fldCharType="end"/>
      </w:r>
    </w:p>
    <w:p w14:paraId="754A622F" w14:textId="77777777" w:rsidR="00356385" w:rsidRDefault="00356385" w:rsidP="008E1E0C">
      <w:pPr>
        <w:spacing w:line="360" w:lineRule="auto"/>
      </w:pPr>
    </w:p>
    <w:p w14:paraId="651A1B18" w14:textId="45497CDF" w:rsidR="00C3230D" w:rsidRDefault="00356385" w:rsidP="002329C9">
      <w:pPr>
        <w:spacing w:line="360" w:lineRule="auto"/>
        <w:jc w:val="both"/>
      </w:pPr>
      <w:r w:rsidRPr="006A6AB7">
        <w:rPr>
          <w:b/>
          <w:bCs/>
        </w:rPr>
        <w:t>2.3. Solubility and Stability:</w:t>
      </w:r>
      <w:r>
        <w:t xml:space="preserve"> </w:t>
      </w:r>
      <w:r w:rsidR="00985BAD" w:rsidRPr="00985BAD">
        <w:t>Raspberry ketone (RK) is sparingly soluble in water, with reported aqueous solubility values of approximately 2–3 mg/mL at ambient temperature. This experimental range aligns well with a calculated solubility of ~2.5 mg/mL derived from its melting point and fusion enthalpy parameters</w:t>
      </w:r>
      <w:r w:rsidR="00985BAD">
        <w:fldChar w:fldCharType="begin"/>
      </w:r>
      <w:r w:rsidR="00985BAD">
        <w:instrText xml:space="preserve"> ADDIN ZOTERO_ITEM CSL_CITATION {"citationID":"hOM0QFNs","properties":{"formattedCitation":"[7]","plainCitation":"[7]","noteIndex":0},"citationItems":[{"id":1,"uris":["http://zotero.org/users/16306459/items/396QDHDR"],"itemData":{"id":1,"type":"article-journal","container-title":"ACS Omega","DOI":"10.1021/acsomega.4c02293","ISSN":"2470-1343, 2470-1343","issue":"22","journalAbbreviation":"ACS Omega","language":"en","license":"https://creativecommons.org/licenses/by/4.0/","page":"23963-23970","source":"DOI.org (Crossref)","title":"Physicochemical Properties of 4-(4-Hydroxyphenyl)-butan-2-one (“Raspberry Ketone”) Evaluated Using a Computational Chemistry Approach","volume":"9","author":[{"family":"McPherson","given":"Peter A. C."},{"family":"McKenna","given":"Niamh"},{"family":"Johnston","given":"Ben M."}],"issued":{"date-parts":[["2024",6,4]]}}}],"schema":"https://github.com/citation-style-language/schema/raw/master/csl-citation.json"} </w:instrText>
      </w:r>
      <w:r w:rsidR="00985BAD">
        <w:fldChar w:fldCharType="separate"/>
      </w:r>
      <w:r w:rsidR="00985BAD" w:rsidRPr="002329C9">
        <w:rPr>
          <w:rFonts w:cs="Times New Roman"/>
        </w:rPr>
        <w:t>[7]</w:t>
      </w:r>
      <w:r w:rsidR="00985BAD">
        <w:fldChar w:fldCharType="end"/>
      </w:r>
      <w:r w:rsidR="00985BAD" w:rsidRPr="00985BAD">
        <w:t>. By contrast, RK dissolves readily in organic solvents such as ethanol and acetone</w:t>
      </w:r>
      <w:r w:rsidR="003714A8" w:rsidRPr="009D594D">
        <w:t>[10]</w:t>
      </w:r>
      <w:r w:rsidR="00985BAD" w:rsidRPr="00985BAD">
        <w:t>, consistent with its log P value of 1.5–1.8, a profile that denotes moderate lipophilicity</w:t>
      </w:r>
      <w:r w:rsidR="003714A8">
        <w:fldChar w:fldCharType="begin"/>
      </w:r>
      <w:r w:rsidR="003714A8">
        <w:instrText xml:space="preserve"> ADDIN ZOTERO_ITEM CSL_CITATION {"citationID":"hOM0QFNs","properties":{"formattedCitation":"[7]","plainCitation":"[7]","noteIndex":0},"citationItems":[{"id":1,"uris":["http://zotero.org/users/16306459/items/396QDHDR"],"itemData":{"id":1,"type":"article-journal","container-title":"ACS Omega","DOI":"10.1021/acsomega.4c02293","ISSN":"2470-1343, 2470-1343","issue":"22","journalAbbreviation":"ACS Omega","language":"en","license":"https://creativecommons.org/licenses/by/4.0/","page":"23963-23970","source":"DOI.org (Crossref)","title":"Physicochemical Properties of 4-(4-Hydroxyphenyl)-butan-2-one (“Raspberry Ketone”) Evaluated Using a Computational Chemistry Approach","volume":"9","author":[{"family":"McPherson","given":"Peter A. C."},{"family":"McKenna","given":"Niamh"},{"family":"Johnston","given":"Ben M."}],"issued":{"date-parts":[["2024",6,4]]}}}],"schema":"https://github.com/citation-style-language/schema/raw/master/csl-citation.json"} </w:instrText>
      </w:r>
      <w:r w:rsidR="003714A8">
        <w:fldChar w:fldCharType="separate"/>
      </w:r>
      <w:r w:rsidR="003714A8" w:rsidRPr="002329C9">
        <w:rPr>
          <w:rFonts w:cs="Times New Roman"/>
        </w:rPr>
        <w:t>[7]</w:t>
      </w:r>
      <w:r w:rsidR="003714A8">
        <w:fldChar w:fldCharType="end"/>
      </w:r>
      <w:r w:rsidR="00985BAD" w:rsidRPr="00985BAD">
        <w:t>.</w:t>
      </w:r>
      <w:r w:rsidR="00C52382">
        <w:t xml:space="preserve"> </w:t>
      </w:r>
      <w:r w:rsidR="00C52382" w:rsidRPr="00C52382">
        <w:t xml:space="preserve">Although RK remains stable under neutral to mildly acidic conditions—making it suitable for recrystallization from alcohol solvents without decomposition—it may undergo degradation when exposed to extreme pH or prolonged heating. </w:t>
      </w:r>
      <w:r w:rsidR="00C52382" w:rsidRPr="00C52382">
        <w:lastRenderedPageBreak/>
        <w:t>In such cases, its phenolic OH group can be susceptible to oxidation, and under strongly basic conditions, the ketone moiety may condense, leading to possible structural alterations.</w:t>
      </w:r>
      <w:r>
        <w:t xml:space="preserve"> Stability studies under physiological conditions are still sparse, but one study indicated RK remained intact during short-term exposure to gastric pH in vitro</w:t>
      </w:r>
      <w:r w:rsidR="002329C9">
        <w:t xml:space="preserve"> </w:t>
      </w:r>
      <w:r w:rsidR="002329C9">
        <w:fldChar w:fldCharType="begin"/>
      </w:r>
      <w:r w:rsidR="002329C9">
        <w:instrText xml:space="preserve"> ADDIN ZOTERO_ITEM CSL_CITATION {"citationID":"89I34UUX","properties":{"formattedCitation":"[11]","plainCitation":"[11]","noteIndex":0},"citationItems":[{"id":27,"uris":["http://zotero.org/users/16306459/items/CZKT75LA"],"itemData":{"id":27,"type":"article-journal","container-title":"Journal of Drug Delivery Science and Technology","DOI":"10.1016/j.jddst.2024.105937","ISSN":"17732247","journalAbbreviation":"Journal of Drug Delivery Science and Technology","language":"en","page":"105937","source":"DOI.org (Crossref)","title":"Raspberry ketone loaded self nanoemulsifying system of cardamom oil: Assessment of phase behavior, dissolution rate and anti-hyperlipidemic activity","title-short":"Raspberry ketone loaded self nanoemulsifying system of cardamom oil","volume":"99","author":[{"family":"Kumar","given":"Anoop"},{"family":"Shipam","given":"Kumari"},{"family":"Kumar","given":"Shobhit"}],"issued":{"date-parts":[["2024",9]]}}}],"schema":"https://github.com/citation-style-language/schema/raw/master/csl-citation.json"} </w:instrText>
      </w:r>
      <w:r w:rsidR="002329C9">
        <w:fldChar w:fldCharType="separate"/>
      </w:r>
      <w:r w:rsidR="002329C9" w:rsidRPr="002329C9">
        <w:rPr>
          <w:rFonts w:cs="Times New Roman"/>
        </w:rPr>
        <w:t>[11]</w:t>
      </w:r>
      <w:r w:rsidR="002329C9">
        <w:fldChar w:fldCharType="end"/>
      </w:r>
      <w:r>
        <w:t>.</w:t>
      </w:r>
    </w:p>
    <w:p w14:paraId="45670F50" w14:textId="6B536B21" w:rsidR="00A30D7F" w:rsidRDefault="00A30D7F" w:rsidP="002329C9">
      <w:pPr>
        <w:spacing w:line="360" w:lineRule="auto"/>
        <w:jc w:val="both"/>
      </w:pPr>
      <w:r>
        <w:t>Critically</w:t>
      </w:r>
      <w:r w:rsidR="00821995">
        <w:t>,</w:t>
      </w:r>
      <w:r>
        <w:t xml:space="preserve"> </w:t>
      </w:r>
      <w:r w:rsidR="00821995">
        <w:t xml:space="preserve">being no published </w:t>
      </w:r>
      <w:proofErr w:type="spellStart"/>
      <w:r w:rsidR="00821995">
        <w:t>pKa</w:t>
      </w:r>
      <w:proofErr w:type="spellEnd"/>
      <w:r w:rsidR="00821995">
        <w:t xml:space="preserve"> titrations and very limited solubility studies on RK</w:t>
      </w:r>
      <w:r w:rsidR="00821995">
        <w:fldChar w:fldCharType="begin"/>
      </w:r>
      <w:r w:rsidR="00821995">
        <w:instrText xml:space="preserve"> ADDIN ZOTERO_ITEM CSL_CITATION {"citationID":"aenWoRkb","properties":{"formattedCitation":"[7]","plainCitation":"[7]","noteIndex":0},"citationItems":[{"id":1,"uris":["http://zotero.org/users/16306459/items/396QDHDR"],"itemData":{"id":1,"type":"article-journal","container-title":"ACS Omega","DOI":"10.1021/acsomega.4c02293","ISSN":"2470-1343, 2470-1343","issue":"22","journalAbbreviation":"ACS Omega","language":"en","license":"https://creativecommons.org/licenses/by/4.0/","page":"23963-23970","source":"DOI.org (Crossref)","title":"Physicochemical Properties of 4-(4-Hydroxyphenyl)-butan-2-one (“Raspberry Ketone”) Evaluated Using a Computational Chemistry Approach","volume":"9","author":[{"family":"McPherson","given":"Peter A. C."},{"family":"McKenna","given":"Niamh"},{"family":"Johnston","given":"Ben M."}],"issued":{"date-parts":[["2024",6,4]]}}}],"schema":"https://github.com/citation-style-language/schema/raw/master/csl-citation.json"} </w:instrText>
      </w:r>
      <w:r w:rsidR="00821995">
        <w:fldChar w:fldCharType="separate"/>
      </w:r>
      <w:r w:rsidR="00821995" w:rsidRPr="002329C9">
        <w:rPr>
          <w:rFonts w:cs="Times New Roman"/>
        </w:rPr>
        <w:t>[7]</w:t>
      </w:r>
      <w:r w:rsidR="00821995">
        <w:fldChar w:fldCharType="end"/>
      </w:r>
      <w:r w:rsidR="00821995">
        <w:t xml:space="preserve"> shows that </w:t>
      </w:r>
      <w:r>
        <w:t xml:space="preserve">there is a large gap between the in-silico </w:t>
      </w:r>
      <w:r w:rsidR="00821995">
        <w:t>and experimental physiochemical. So, the need for basic characterization (thermodynamic stability, polymorphism, etc.) to be addressed in future research.</w:t>
      </w:r>
    </w:p>
    <w:p w14:paraId="632D7F59" w14:textId="77777777" w:rsidR="00356385" w:rsidRPr="00C3230D" w:rsidRDefault="00356385" w:rsidP="008E1E0C">
      <w:pPr>
        <w:spacing w:line="360" w:lineRule="auto"/>
        <w:rPr>
          <w:b/>
          <w:bCs/>
        </w:rPr>
      </w:pPr>
      <w:r w:rsidRPr="00C3230D">
        <w:rPr>
          <w:b/>
          <w:bCs/>
        </w:rPr>
        <w:t>3. Pharmacological Research</w:t>
      </w:r>
    </w:p>
    <w:p w14:paraId="637B5BC9" w14:textId="178EC35D" w:rsidR="00356385" w:rsidRDefault="00356385" w:rsidP="002329C9">
      <w:pPr>
        <w:spacing w:line="360" w:lineRule="auto"/>
        <w:jc w:val="both"/>
      </w:pPr>
      <w:r>
        <w:t>The pharmacological effect of drug largely depends on how a drug molecule interact with the biological environment of the human body. Apart from drug action, the safety and efficacy of the drug is a critical factor related to its physicochemical nature of the drug</w:t>
      </w:r>
      <w:r w:rsidR="002329C9">
        <w:fldChar w:fldCharType="begin"/>
      </w:r>
      <w:r w:rsidR="002329C9">
        <w:instrText xml:space="preserve"> ADDIN ZOTERO_ITEM CSL_CITATION {"citationID":"iEy8uAUB","properties":{"formattedCitation":"[12]","plainCitation":"[12]","noteIndex":0},"citationItems":[{"id":110,"uris":["http://zotero.org/users/16306459/items/WLV29ENR"],"itemData":{"id":110,"type":"article-journal","container-title":"Expert Opinion on Drug Metabolism &amp; Toxicology","DOI":"10.1517/17425250903042318","ISSN":"1742-5255, 1744-7607","issue":"8","journalAbbreviation":"Expert Opinion on Drug Metabolism &amp; Toxicology","language":"en","page":"921-931","source":"DOI.org (Crossref)","title":"Physicochemical drug properties associated with &lt;i&gt;in vivo&lt;/i&gt; toxicological outcomes: a review","title-short":"Physicochemical drug properties associated with &lt;i&gt;in vivo&lt;/i&gt; toxicological outcomes","volume":"5","author":[{"family":"Price","given":"David A"},{"family":"Blagg","given":"Julian"},{"family":"Jones","given":"Lyn"},{"family":"Greene","given":"Nigel"},{"family":"Wager","given":"Travis"}],"issued":{"date-parts":[["2009",8]]}}}],"schema":"https://github.com/citation-style-language/schema/raw/master/csl-citation.json"} </w:instrText>
      </w:r>
      <w:r w:rsidR="002329C9">
        <w:fldChar w:fldCharType="separate"/>
      </w:r>
      <w:r w:rsidR="002329C9" w:rsidRPr="002329C9">
        <w:rPr>
          <w:rFonts w:cs="Times New Roman"/>
        </w:rPr>
        <w:t>[12]</w:t>
      </w:r>
      <w:r w:rsidR="002329C9">
        <w:fldChar w:fldCharType="end"/>
      </w:r>
      <w:r>
        <w:t>. Therefore, better understanding of molecular structure of the drug can be help in the drug designing for the improvement of its pharmacological activity. For concluding the pharmacology of RK we have gone through various published literature.</w:t>
      </w:r>
    </w:p>
    <w:p w14:paraId="0E7D21C9" w14:textId="77777777" w:rsidR="00356385" w:rsidRPr="00C3230D" w:rsidRDefault="00356385" w:rsidP="008E1E0C">
      <w:pPr>
        <w:spacing w:line="360" w:lineRule="auto"/>
        <w:rPr>
          <w:b/>
          <w:bCs/>
        </w:rPr>
      </w:pPr>
      <w:r w:rsidRPr="00C3230D">
        <w:rPr>
          <w:b/>
          <w:bCs/>
        </w:rPr>
        <w:t>3.1. Mechanistic Studies (Molecular Targets &amp; Pathways)</w:t>
      </w:r>
    </w:p>
    <w:p w14:paraId="7185E7D8" w14:textId="6F4EBC78" w:rsidR="00356385" w:rsidRDefault="00356385" w:rsidP="002329C9">
      <w:pPr>
        <w:spacing w:line="360" w:lineRule="auto"/>
        <w:jc w:val="both"/>
      </w:pPr>
      <w:r>
        <w:t xml:space="preserve">In silico </w:t>
      </w:r>
      <w:r w:rsidRPr="00F97D29">
        <w:t>docking</w:t>
      </w:r>
      <w:r>
        <w:t xml:space="preserve"> and reporter assays suggest RK directly binds and activates </w:t>
      </w:r>
      <w:r w:rsidRPr="00F97D29">
        <w:t>Peroxisome</w:t>
      </w:r>
      <w:r>
        <w:t xml:space="preserve"> </w:t>
      </w:r>
      <w:r w:rsidRPr="00F97D29">
        <w:t>Proliferator-Activated Receptor alpha (PPAR-α)</w:t>
      </w:r>
      <w:r w:rsidR="002329C9">
        <w:rPr>
          <w:b/>
          <w:bCs/>
        </w:rPr>
        <w:t xml:space="preserve"> </w:t>
      </w:r>
      <w:r w:rsidR="002329C9">
        <w:rPr>
          <w:b/>
          <w:bCs/>
        </w:rPr>
        <w:fldChar w:fldCharType="begin"/>
      </w:r>
      <w:r w:rsidR="002329C9">
        <w:rPr>
          <w:b/>
          <w:bCs/>
        </w:rPr>
        <w:instrText xml:space="preserve"> ADDIN ZOTERO_ITEM CSL_CITATION {"citationID":"p1Jhd6DM","properties":{"formattedCitation":"[13]","plainCitation":"[13]","noteIndex":0},"citationItems":[{"id":41,"uris":["http://zotero.org/users/16306459/items/89CBCP2B"],"itemData":{"id":41,"type":"article-journal","container-title":"Life Sciences","DOI":"10.1016/j.lfs.2017.12.013","ISSN":"00243205","journalAbbreviation":"Life Sciences","language":"en","page":"205-212","source":"DOI.org (Crossref)","title":"Raspberry ketone protects against isoproterenol-induced myocardial infarction in rats","volume":"194","author":[{"family":"Khan","given":"Vasim"},{"family":"Sharma","given":"Sumit"},{"family":"Bhandari","given":"Uma"},{"family":"Ali","given":"Syed Mansoor"},{"family":"Haque","given":"Syed Ehtaishamul"}],"issued":{"date-parts":[["2018",2]]}}}],"schema":"https://github.com/citation-style-language/schema/raw/master/csl-citation.json"} </w:instrText>
      </w:r>
      <w:r w:rsidR="002329C9">
        <w:rPr>
          <w:b/>
          <w:bCs/>
        </w:rPr>
        <w:fldChar w:fldCharType="separate"/>
      </w:r>
      <w:r w:rsidR="002329C9" w:rsidRPr="002329C9">
        <w:rPr>
          <w:rFonts w:cs="Times New Roman"/>
        </w:rPr>
        <w:t>[13]</w:t>
      </w:r>
      <w:r w:rsidR="002329C9">
        <w:rPr>
          <w:b/>
          <w:bCs/>
        </w:rPr>
        <w:fldChar w:fldCharType="end"/>
      </w:r>
      <w:r>
        <w:t xml:space="preserve">, a nuclear receptor </w:t>
      </w:r>
      <w:r w:rsidR="00EA3FD2">
        <w:t>that regulates</w:t>
      </w:r>
      <w:r>
        <w:t xml:space="preserve"> fatty acid oxidation. </w:t>
      </w:r>
      <w:r w:rsidR="003E7661" w:rsidRPr="003E7661">
        <w:t>Activation of PPAR-α by RK then boosts genes that control antioxidants and fat metabolism</w:t>
      </w:r>
      <w:r>
        <w:t xml:space="preserve">, partly explaining its fat-lowering and organ-protective effects. </w:t>
      </w:r>
      <w:r w:rsidR="00F97D29" w:rsidRPr="00F97D29">
        <w:t xml:space="preserve">RK also appears to promote norepinephrine-induced lipolysis in adipocytes. </w:t>
      </w:r>
      <w:r w:rsidR="00B40B5A">
        <w:fldChar w:fldCharType="begin"/>
      </w:r>
      <w:r w:rsidR="00B40B5A">
        <w:instrText xml:space="preserve"> ADDIN ZOTERO_ITEM CSL_CITATION {"citationID":"R3HeeRSw","properties":{"formattedCitation":"[14]","plainCitation":"[14]","noteIndex":0},"citationItems":[{"id":42,"uris":["http://zotero.org/users/16306459/items/YSTBBTBV"],"itemData":{"id":42,"type":"article-journal","container-title":"European Journal of Pharmacology","DOI":"10.1016/j.ejphar.2018.05.028","ISSN":"00142999","journalAbbreviation":"European Journal of Pharmacology","language":"en","page":"81-89","source":"DOI.org (Crossref)","title":"An optimized dose of raspberry ketones controls hyperlipidemia and insulin resistance in male obese rats: Effect on adipose tissue expression of adipocytokines and Aquaporin 7","title-short":"An optimized dose of raspberry ketones controls hyperlipidemia and insulin resistance in male obese rats","volume":"832","author":[{"family":"Mehanna","given":"Eman T."},{"family":"Barakat","given":"Bassant M."},{"family":"ElSayed","given":"Mohamed H."},{"family":"Tawfik","given":"Mona K."}],"issued":{"date-parts":[["2018",8]]}}}],"schema":"https://github.com/citation-style-language/schema/raw/master/csl-citation.json"} </w:instrText>
      </w:r>
      <w:r w:rsidR="00B40B5A">
        <w:fldChar w:fldCharType="separate"/>
      </w:r>
      <w:r w:rsidR="00B40B5A" w:rsidRPr="00B40B5A">
        <w:rPr>
          <w:rFonts w:cs="Times New Roman"/>
        </w:rPr>
        <w:t>[14]</w:t>
      </w:r>
      <w:r w:rsidR="00B40B5A">
        <w:fldChar w:fldCharType="end"/>
      </w:r>
      <w:r>
        <w:t xml:space="preserve">. One study showed </w:t>
      </w:r>
      <w:r w:rsidR="00653ADF">
        <w:t xml:space="preserve">that </w:t>
      </w:r>
      <w:r>
        <w:t xml:space="preserve">RK treatment increased lipolysis and fatty acid oxidation in 3T3-L1 fat cells, </w:t>
      </w:r>
      <w:r w:rsidR="00F97D29">
        <w:t>similar</w:t>
      </w:r>
      <w:r>
        <w:t xml:space="preserve"> to β-adrenergic activation</w:t>
      </w:r>
      <w:r w:rsidR="00B40B5A">
        <w:t xml:space="preserve"> </w:t>
      </w:r>
      <w:r w:rsidR="00B40B5A">
        <w:fldChar w:fldCharType="begin"/>
      </w:r>
      <w:r w:rsidR="00B40B5A">
        <w:instrText xml:space="preserve"> ADDIN ZOTERO_ITEM CSL_CITATION {"citationID":"VyxTyUND","properties":{"formattedCitation":"[15]","plainCitation":"[15]","noteIndex":0},"citationItems":[{"id":21,"uris":["http://zotero.org/users/16306459/items/KECTWQI8"],"itemData":{"id":21,"type":"article-journal","abstract":"This study aimed to determine the antiobesity effects of raspberry ketone (RK), one of the major aromatic compounds contained in raspberry, and its underlying mechanisms. During adipogenesis of 3T3-L1 cells, RK (300 μM) significantly reduced lipid accumulation and downregulated the expression of CCAAT/enhancer-binding protein α (C/EBPα), peroxisome proliferation-activated receptor γ (PPARγ), fatty acid-binding protein 4 (FABP4), and fatty acid synthase (FAS). RK\nalso reduced the expression of light chain 3B (LC3B), autophagy-related protein 12 (Atg12), sirtuin 1 (SIRT1), and phosphorylated-tuberous sclerosis complex 2 (TSC2), whereas it increased the level of p62 and phosphorylated-mammalian\ntarget of rapamycin (mTOR). Daily administration of RK decreased the body weight (ovariectomy [Ovx] + RK, 352.6 ± 5 vs Ovx, 386 ± 5.8 g; P &lt; 0.05), fat mass (Ovx + RK, 3.2 ± 0.05 vs Ovx, 5.0 ± 0.4 g; P &lt; 0.05), and fat cell size (Ovx + RK, 6.4 ± 0.6 vs Ovx, 11.1 ± 0.7 × 103 μm2; P &lt; 0.05) in Ovx-induced obesity in rats. The expression of PPARγ, C/EBPα, FAS, and FABP4 was significantly reduced in the Ovx + RK group compared with that in the Ovx group. Similar patterns were observed in autophagy-related proteins and endoplasmic reticulum stress proteins. These results suggest that RK inhibited lipid accumulation by regulating autophagy in 3T3-L1 cells and Ovx-induced obese rats.","container-title":"Journal of Agricultural and Food Chemistry","DOI":"10.1021/acs.jafc.7b03831","ISSN":"0021-8561, 1520-5118","issue":"50","journalAbbreviation":"J. Agric. Food Chem.","language":"en","license":"http://pubs.acs.org/page/policy/authorchoice_termsofuse.html","page":"10907-10914","source":"DOI.org (Crossref)","title":"Raspberry Ketone Reduced Lipid Accumulation in 3T3-L1 Cells and Ovariectomy-Induced Obesity in Wistar Rats by Regulating Autophagy Mechanisms","volume":"65","author":[{"family":"Leu","given":"Sy-Ying"},{"family":"Chen","given":"Yi-Chen"},{"family":"Tsai","given":"Yung-Chieh"},{"family":"Hung","given":"Yao-Wen"},{"family":"Hsu","given":"Chih-Hsiung"},{"family":"Lee","given":"Yen-Mei"},{"family":"Cheng","given":"Pao-Yun"}],"issued":{"date-parts":[["2017",12,20]]}}}],"schema":"https://github.com/citation-style-language/schema/raw/master/csl-citation.json"} </w:instrText>
      </w:r>
      <w:r w:rsidR="00B40B5A">
        <w:fldChar w:fldCharType="separate"/>
      </w:r>
      <w:r w:rsidR="00B40B5A" w:rsidRPr="00B40B5A">
        <w:rPr>
          <w:rFonts w:cs="Times New Roman"/>
        </w:rPr>
        <w:t>[15]</w:t>
      </w:r>
      <w:r w:rsidR="00B40B5A">
        <w:fldChar w:fldCharType="end"/>
      </w:r>
      <w:r>
        <w:t>,</w:t>
      </w:r>
      <w:r w:rsidR="00913F21">
        <w:t xml:space="preserve"> </w:t>
      </w:r>
      <w:r w:rsidR="00913F21">
        <w:fldChar w:fldCharType="begin"/>
      </w:r>
      <w:r w:rsidR="00913F21">
        <w:instrText xml:space="preserve"> ADDIN ZOTERO_ITEM CSL_CITATION {"citationID":"jrkWkAqV","properties":{"formattedCitation":"[16]","plainCitation":"[16]","noteIndex":0},"citationItems":[{"id":50,"uris":["http://zotero.org/users/16306459/items/QC8IES93"],"itemData":{"id":50,"type":"article-journal","container-title":"Planta Medica","DOI":"10.1055/s-0030-1249860","ISSN":"0032-0943, 1439-0221","issue":"15","journalAbbreviation":"Planta Med","language":"en","page":"1654-1658","source":"DOI.org (Crossref)","title":"Raspberry Ketone Increases Both Lipolysis and Fatty Acid Oxidation in 3T3-L1 Adipocytes","volume":"76","author":[{"family":"Park","given":"Kyoung"}],"issued":{"date-parts":[["2010",10]]}}}],"schema":"https://github.com/citation-style-language/schema/raw/master/csl-citation.json"} </w:instrText>
      </w:r>
      <w:r w:rsidR="00913F21">
        <w:fldChar w:fldCharType="separate"/>
      </w:r>
      <w:r w:rsidR="00913F21" w:rsidRPr="00913F21">
        <w:rPr>
          <w:rFonts w:cs="Times New Roman"/>
        </w:rPr>
        <w:t>[16]</w:t>
      </w:r>
      <w:r w:rsidR="00913F21">
        <w:fldChar w:fldCharType="end"/>
      </w:r>
      <w:r>
        <w:t xml:space="preserve">. </w:t>
      </w:r>
      <w:r w:rsidR="00A359E9" w:rsidRPr="00A359E9">
        <w:t xml:space="preserve">Transcriptomic analysis of adipocytes using RNA sequencing (RNA-seq) </w:t>
      </w:r>
      <w:r>
        <w:t xml:space="preserve">indicate RK </w:t>
      </w:r>
      <w:proofErr w:type="spellStart"/>
      <w:r>
        <w:t>downregulates</w:t>
      </w:r>
      <w:proofErr w:type="spellEnd"/>
      <w:r>
        <w:t xml:space="preserve"> </w:t>
      </w:r>
      <w:proofErr w:type="spellStart"/>
      <w:r>
        <w:t>adipogenic</w:t>
      </w:r>
      <w:proofErr w:type="spellEnd"/>
      <w:r>
        <w:t>/</w:t>
      </w:r>
      <w:proofErr w:type="spellStart"/>
      <w:r>
        <w:t>lipogenic</w:t>
      </w:r>
      <w:proofErr w:type="spellEnd"/>
      <w:r>
        <w:t xml:space="preserve"> genes (e.g. PPAR-γ, C/EBPα) </w:t>
      </w:r>
      <w:r w:rsidR="00A359E9">
        <w:t>and</w:t>
      </w:r>
      <w:r>
        <w:t xml:space="preserve"> upregulat</w:t>
      </w:r>
      <w:r w:rsidR="00A359E9">
        <w:t>es</w:t>
      </w:r>
      <w:r>
        <w:t xml:space="preserve"> lipolytic genes</w:t>
      </w:r>
      <w:r w:rsidR="00913F21">
        <w:t xml:space="preserve"> </w:t>
      </w:r>
      <w:r w:rsidR="00913F21">
        <w:fldChar w:fldCharType="begin"/>
      </w:r>
      <w:r w:rsidR="00913F21">
        <w:instrText xml:space="preserve"> ADDIN ZOTERO_ITEM CSL_CITATION {"citationID":"k6d75KA6","properties":{"formattedCitation":"[17]","plainCitation":"[17]","noteIndex":0},"citationItems":[{"id":15,"uris":["http://zotero.org/users/16306459/items/278GBUNN"],"itemData":{"id":15,"type":"article-journal","container-title":"Molecular Medicine Reports","DOI":"10.3892/mmr.2023.12938","ISSN":"1791-2997, 1791-3004","issue":"2","journalAbbreviation":"Mol Med Rep","page":"51","source":"DOI.org (Crossref)","title":"Rhododendrol, a reductive metabolite of raspberry ketone, suppresses the differentiation of 3T3‑L1 cells into adipocytes","volume":"27","author":[{"family":"Uramaru","given":"Naoto"},{"family":"Kawashima","given":"Azusa"},{"family":"Osabe","given":"Makoto"},{"family":"Higuchi","given":"Toshiyuki"}],"issued":{"date-parts":[["2023",1,11]]}}}],"schema":"https://github.com/citation-style-language/schema/raw/master/csl-citation.json"} </w:instrText>
      </w:r>
      <w:r w:rsidR="00913F21">
        <w:fldChar w:fldCharType="separate"/>
      </w:r>
      <w:r w:rsidR="00913F21" w:rsidRPr="00913F21">
        <w:rPr>
          <w:rFonts w:cs="Times New Roman"/>
        </w:rPr>
        <w:t>[17]</w:t>
      </w:r>
      <w:r w:rsidR="00913F21">
        <w:fldChar w:fldCharType="end"/>
      </w:r>
      <w:r>
        <w:t xml:space="preserve">, </w:t>
      </w:r>
      <w:r w:rsidR="009A1414">
        <w:t>supporting its</w:t>
      </w:r>
      <w:r>
        <w:t xml:space="preserve"> anti-obesity mechanism. </w:t>
      </w:r>
      <w:r w:rsidR="00991A49" w:rsidRPr="00991A49">
        <w:t xml:space="preserve">Recent research utilizing comprehensive omics techniques has begun to elucidate the diverse biological actions of RK. </w:t>
      </w:r>
      <w:r w:rsidR="00991A49">
        <w:t>One such</w:t>
      </w:r>
      <w:r w:rsidR="00991A49" w:rsidRPr="00991A49">
        <w:t xml:space="preserve"> study employing liver cell models reported that RK prompted an increase in enzymes responsible for cellular antioxidant defense, such as superoxide dismutase and catalase, while simultaneously suppressing molecular indicators of apoptosis </w:t>
      </w:r>
      <w:r w:rsidR="00913F21">
        <w:fldChar w:fldCharType="begin"/>
      </w:r>
      <w:r w:rsidR="00913F21">
        <w:instrText xml:space="preserve"> ADDIN ZOTERO_ITEM CSL_CITATION {"citationID":"E1HyFOHb","properties":{"formattedCitation":"[18]","plainCitation":"[18]","noteIndex":0},"citationItems":[{"id":43,"uris":["http://zotero.org/users/16306459/items/JL69QSJY"],"itemData":{"id":43,"type":"article-journal","container-title":"Journal of Medicinal Food","DOI":"10.1089/jmf.2011.1717","ISSN":"1096-620X, 1557-7600","issue":"5","journalAbbreviation":"Journal of Medicinal Food","language":"en","license":"http://www.liebertpub.com/nv/resources-tools/text-and-data-mining-policy/121/","page":"495-503","source":"DOI.org (Crossref)","title":"Raspberry Ketone Protects Rats Fed High-Fat Diets Against Nonalcoholic Steatohepatitis","volume":"15","author":[{"family":"Wang","given":"Lili"},{"family":"Meng","given":"Xianjun"},{"family":"Zhang","given":"Fengqing"}],"issued":{"date-parts":[["2012",5]]}}}],"schema":"https://github.com/citation-style-language/schema/raw/master/csl-citation.json"} </w:instrText>
      </w:r>
      <w:r w:rsidR="00913F21">
        <w:fldChar w:fldCharType="separate"/>
      </w:r>
      <w:r w:rsidR="00913F21" w:rsidRPr="00913F21">
        <w:rPr>
          <w:rFonts w:cs="Times New Roman"/>
        </w:rPr>
        <w:t>[18]</w:t>
      </w:r>
      <w:r w:rsidR="00913F21">
        <w:fldChar w:fldCharType="end"/>
      </w:r>
      <w:r>
        <w:t xml:space="preserve">, aligning with its </w:t>
      </w:r>
      <w:r w:rsidRPr="00C3230D">
        <w:rPr>
          <w:b/>
          <w:bCs/>
        </w:rPr>
        <w:t>anti-oxidative</w:t>
      </w:r>
      <w:r>
        <w:t xml:space="preserve"> and </w:t>
      </w:r>
      <w:r w:rsidRPr="00C3230D">
        <w:rPr>
          <w:b/>
          <w:bCs/>
        </w:rPr>
        <w:t>anti-apoptotic</w:t>
      </w:r>
      <w:r>
        <w:t xml:space="preserve"> profile in tissues</w:t>
      </w:r>
      <w:r w:rsidR="00913F21">
        <w:t xml:space="preserve"> </w:t>
      </w:r>
      <w:r w:rsidR="00913F21">
        <w:fldChar w:fldCharType="begin"/>
      </w:r>
      <w:r w:rsidR="00913F21">
        <w:instrText xml:space="preserve"> ADDIN ZOTERO_ITEM CSL_CITATION {"citationID":"WorA9QZy","properties":{"formattedCitation":"[19]","plainCitation":"[19]","noteIndex":0},"citationItems":[{"id":96,"uris":["http://zotero.org/users/16306459/items/WN8ICFEZ"],"itemData":{"id":96,"type":"article-journal","abstract":"Oxidative stress is closely linked to various diseases, and many studies have been conducted to determine how to reduce this stress. In particular, efforts are being made to find potential antioxidants from natural products. Studies have shown that raspberry ketone (RK; 4-(4-hydroxyphenyl)-2-butanone) has various pharmacological activities. This review summarizes the antioxidant activities of RK and their underlying mechanisms. In several experimental models, it was proven that RK exhibits antioxidant properties through increasing total antioxidant capacity (TAC); upregulating antioxidant enzymes, such as superoxide dismutase (SOD) and catalase (CAT); and improving lipid peroxidation. In conclusion, research about RK’s antioxidant activities is directly or indirectly related to its other various physiological activities. Further studies at the clinical level will be able to verify the value of RK as an effective antioxidant, functional health food, and therapeutic agent.","container-title":"Antioxidants","DOI":"10.3390/antiox10030482","ISSN":"2076-3921","issue":"3","journalAbbreviation":"Antioxidants","language":"en","license":"https://creativecommons.org/licenses/by/4.0/","page":"482","source":"DOI.org (Crossref)","title":"Potentials of Raspberry Ketone as a Natural Antioxidant","volume":"10","author":[{"family":"Lim","given":"Sung Ho"},{"family":"Choi","given":"Chang-Ik"}],"issued":{"date-parts":[["2021",3,18]]}}}],"schema":"https://github.com/citation-style-language/schema/raw/master/csl-citation.json"} </w:instrText>
      </w:r>
      <w:r w:rsidR="00913F21">
        <w:fldChar w:fldCharType="separate"/>
      </w:r>
      <w:r w:rsidR="00913F21" w:rsidRPr="00913F21">
        <w:rPr>
          <w:rFonts w:cs="Times New Roman"/>
        </w:rPr>
        <w:t>[19]</w:t>
      </w:r>
      <w:r w:rsidR="00913F21">
        <w:fldChar w:fldCharType="end"/>
      </w:r>
      <w:r>
        <w:t xml:space="preserve">. </w:t>
      </w:r>
      <w:r w:rsidR="003F15CD" w:rsidRPr="003F15CD">
        <w:t xml:space="preserve">While </w:t>
      </w:r>
      <w:r w:rsidR="003F15CD">
        <w:t xml:space="preserve">so far, </w:t>
      </w:r>
      <w:r w:rsidR="003F15CD" w:rsidRPr="003F15CD">
        <w:t xml:space="preserve">no CRISPR screens for RK </w:t>
      </w:r>
      <w:r w:rsidR="003F15CD" w:rsidRPr="003F15CD">
        <w:lastRenderedPageBreak/>
        <w:t xml:space="preserve">target discovery exist, </w:t>
      </w:r>
      <w:r w:rsidR="003F15CD">
        <w:t xml:space="preserve">but </w:t>
      </w:r>
      <w:r w:rsidR="003F15CD" w:rsidRPr="003F15CD">
        <w:t>CRISPR/Cas9</w:t>
      </w:r>
      <w:r w:rsidR="003F15CD">
        <w:t xml:space="preserve"> </w:t>
      </w:r>
      <w:r w:rsidR="003F15CD" w:rsidRPr="003F15CD">
        <w:t xml:space="preserve">screens </w:t>
      </w:r>
      <w:r w:rsidR="003F15CD">
        <w:t>can be helpful to</w:t>
      </w:r>
      <w:r w:rsidR="003F15CD" w:rsidRPr="003F15CD">
        <w:t xml:space="preserve"> identify RK’s molecular targets</w:t>
      </w:r>
      <w:r w:rsidR="003F15CD">
        <w:t>.</w:t>
      </w:r>
    </w:p>
    <w:p w14:paraId="391C42C7" w14:textId="77777777" w:rsidR="00356385" w:rsidRPr="00C3230D" w:rsidRDefault="00356385" w:rsidP="008E1E0C">
      <w:pPr>
        <w:spacing w:line="360" w:lineRule="auto"/>
        <w:rPr>
          <w:b/>
          <w:bCs/>
        </w:rPr>
      </w:pPr>
      <w:r w:rsidRPr="00C3230D">
        <w:rPr>
          <w:b/>
          <w:bCs/>
        </w:rPr>
        <w:t>3.2. Therapeutic Applications</w:t>
      </w:r>
    </w:p>
    <w:p w14:paraId="08B17E57" w14:textId="11D9C259" w:rsidR="00356385" w:rsidRDefault="00E35D4A" w:rsidP="00913F21">
      <w:pPr>
        <w:spacing w:line="360" w:lineRule="auto"/>
        <w:jc w:val="both"/>
      </w:pPr>
      <w:r w:rsidRPr="00E35D4A">
        <w:t xml:space="preserve">RK has been investigated </w:t>
      </w:r>
      <w:r>
        <w:t xml:space="preserve">mainly </w:t>
      </w:r>
      <w:r w:rsidRPr="00E35D4A">
        <w:t>regarding obesity and metabolic syndrome</w:t>
      </w:r>
      <w:r w:rsidR="00913F21">
        <w:rPr>
          <w:b/>
          <w:bCs/>
        </w:rPr>
        <w:t xml:space="preserve"> </w:t>
      </w:r>
      <w:r w:rsidR="00913F21">
        <w:rPr>
          <w:b/>
          <w:bCs/>
        </w:rPr>
        <w:fldChar w:fldCharType="begin"/>
      </w:r>
      <w:r w:rsidR="00913F21">
        <w:rPr>
          <w:b/>
          <w:bCs/>
        </w:rPr>
        <w:instrText xml:space="preserve"> ADDIN ZOTERO_ITEM CSL_CITATION {"citationID":"7z4V78De","properties":{"formattedCitation":"[20]","plainCitation":"[20]","noteIndex":0},"citationItems":[{"id":104,"uris":["http://zotero.org/users/16306459/items/ZK4TM8WT"],"itemData":{"id":104,"type":"article-journal","abstract":"Novel food and food compounds interventions have attracted a lot of attention nowadays for the prevention and treatment of metabolic diseases. Raspberry ketone (RK) is aromatic compound found within red fruits and berries, has been used as an over-the-counter product for weight loss. However, actually, the effect of RK on weight loss is still controversial, and the mechanism is largely unknown. Besides, in vivo and in vitro studies have demonstrated the beneficial effect of RK on the development of other metabolic diseases. In this review, we comprehensively highlighted the synthesis, bioavailability, and metabolism of RK, and summarized the progress made in our understanding of the potential biological activities of RK, including antiobesity, antidiabetes, cardioprotection, and hepatoprotection, as well as their underlying mechanisms. This paper provides a critical overview about the current findings and proposes the future studies in the area of RK on human health. PRACTICAL APPLICATIONS: Raspberry ketone (RK) has been used for weight control for years, but this effect is controversial considering food intake. Additionally, RK is beneficial for T2DM, liver and heart injury. The underlying mechanisms of the protective effect of RK including accelerating fatty acid oxidation, balancing serum glucose level, anti-inflammation, antioxidant process, and so on. In this context, we provide a comprehensive analysis of the benefits of RK against many metabolic diseases and discuss the underlying molecular mechanisms. We hope our work will be helpful for further researches on RK and improve its public recognition.","container-title":"Journal of Food Biochemistry","DOI":"10.1111/jfbc.14018","ISSN":"0145-8884, 1745-4514","issue":"1","journalAbbreviation":"Journal of Food Biochemistry","language":"en","source":"DOI.org (Crossref)","title":"Potential metabolic activities of raspberry ketone","URL":"https://onlinelibrary.wiley.com/doi/10.1111/jfbc.14018","volume":"46","author":[{"family":"Li","given":"Xiaoping"},{"family":"Wei","given":"Teng"},{"family":"Wu","given":"Min"},{"family":"Chen","given":"Fang"},{"family":"Zhang","given":"Peng"},{"family":"Deng","given":"Ze‐yuan"},{"family":"Luo","given":"Ting"}],"accessed":{"date-parts":[["2025",6,27]]},"issued":{"date-parts":[["2022",1]]}}}],"schema":"https://github.com/citation-style-language/schema/raw/master/csl-citation.json"} </w:instrText>
      </w:r>
      <w:r w:rsidR="00913F21">
        <w:rPr>
          <w:b/>
          <w:bCs/>
        </w:rPr>
        <w:fldChar w:fldCharType="separate"/>
      </w:r>
      <w:r w:rsidR="00913F21" w:rsidRPr="00913F21">
        <w:rPr>
          <w:rFonts w:cs="Times New Roman"/>
        </w:rPr>
        <w:t>[20]</w:t>
      </w:r>
      <w:r w:rsidR="00913F21">
        <w:rPr>
          <w:b/>
          <w:bCs/>
        </w:rPr>
        <w:fldChar w:fldCharType="end"/>
      </w:r>
      <w:r w:rsidR="00356385">
        <w:t xml:space="preserve">. </w:t>
      </w:r>
      <w:r w:rsidR="00F24FFB" w:rsidRPr="00ED40C8">
        <w:rPr>
          <w:highlight w:val="yellow"/>
        </w:rPr>
        <w:t>Several independent rodent studies (2015–2021) indicate that dietary or orally administered RK reduces body weight and adiposity in obese mice subjected to a high-fat diet</w:t>
      </w:r>
      <w:r w:rsidR="00913F21" w:rsidRPr="00ED40C8">
        <w:rPr>
          <w:highlight w:val="yellow"/>
        </w:rPr>
        <w:t xml:space="preserve"> </w:t>
      </w:r>
      <w:r w:rsidR="00913F21" w:rsidRPr="00ED40C8">
        <w:rPr>
          <w:highlight w:val="yellow"/>
        </w:rPr>
        <w:fldChar w:fldCharType="begin"/>
      </w:r>
      <w:r w:rsidR="00913F21" w:rsidRPr="00ED40C8">
        <w:rPr>
          <w:highlight w:val="yellow"/>
        </w:rPr>
        <w:instrText xml:space="preserve"> ADDIN ZOTERO_ITEM CSL_CITATION {"citationID":"MvfCuACt","properties":{"formattedCitation":"[21]","plainCitation":"[21]","noteIndex":0},"citationItems":[{"id":47,"uris":["http://zotero.org/users/16306459/items/C8XNF5KU"],"itemData":{"id":47,"type":"article-journal","container-title":"Journal of Dietary Supplements","DOI":"10.1080/19390211.2019.1674996","ISSN":"1939-0211, 1939-022X","issue":"1","journalAbbreviation":"Journal of Dietary Supplements","language":"en","page":"1-16","source":"DOI.org (Crossref)","title":"Effect of Raspberry Ketone on Normal, Obese and Health-Compromised Obese Mice: A Preliminary Study","title-short":"Effect of Raspberry Ketone on Normal, Obese and Health-Compromised Obese Mice","volume":"18","author":[{"family":"Mir","given":"Tahir Maqbool"},{"family":"Ma","given":"Guoyi"},{"family":"Ali","given":"Zulfiqar"},{"family":"Khan","given":"Ikhlas A."},{"family":"Ashfaq","given":"Mohammad K."}],"issued":{"date-parts":[["2021",1,2]]}}}],"schema":"https://github.com/citation-style-language/schema/raw/master/csl-citation.json"} </w:instrText>
      </w:r>
      <w:r w:rsidR="00913F21" w:rsidRPr="00ED40C8">
        <w:rPr>
          <w:highlight w:val="yellow"/>
        </w:rPr>
        <w:fldChar w:fldCharType="separate"/>
      </w:r>
      <w:r w:rsidR="00913F21" w:rsidRPr="00ED40C8">
        <w:rPr>
          <w:rFonts w:cs="Times New Roman"/>
          <w:highlight w:val="yellow"/>
        </w:rPr>
        <w:t>[21]</w:t>
      </w:r>
      <w:r w:rsidR="00913F21" w:rsidRPr="00ED40C8">
        <w:rPr>
          <w:highlight w:val="yellow"/>
        </w:rPr>
        <w:fldChar w:fldCharType="end"/>
      </w:r>
      <w:r w:rsidR="00356385" w:rsidRPr="00ED40C8">
        <w:rPr>
          <w:highlight w:val="yellow"/>
        </w:rPr>
        <w:t xml:space="preserve">. </w:t>
      </w:r>
      <w:r w:rsidR="00F24FFB" w:rsidRPr="00ED40C8">
        <w:rPr>
          <w:highlight w:val="yellow"/>
        </w:rPr>
        <w:t>For example, giving RK (~50–200 mg/kg) to obese rats improved insulin sensitivity and lowered triglycerides levels in the blood.</w:t>
      </w:r>
      <w:r w:rsidR="00F24FFB" w:rsidRPr="00F24FFB">
        <w:t xml:space="preserve"> </w:t>
      </w:r>
      <w:r w:rsidR="004A5FFD">
        <w:rPr>
          <w:color w:val="FF0000"/>
        </w:rPr>
        <w:t xml:space="preserve">Any dietary intervention can’t be interpreted unless you have the details of all three </w:t>
      </w:r>
      <w:proofErr w:type="gramStart"/>
      <w:r w:rsidR="004A5FFD">
        <w:rPr>
          <w:color w:val="FF0000"/>
        </w:rPr>
        <w:t>component</w:t>
      </w:r>
      <w:proofErr w:type="gramEnd"/>
      <w:r w:rsidR="004A5FFD">
        <w:rPr>
          <w:color w:val="FF0000"/>
        </w:rPr>
        <w:t xml:space="preserve">, carbs, proteins and fats. High fats diet in itself is known to reduce Insulin Resistance. Even if these high fats diets are </w:t>
      </w:r>
      <w:proofErr w:type="spellStart"/>
      <w:r w:rsidR="004A5FFD">
        <w:rPr>
          <w:color w:val="FF0000"/>
        </w:rPr>
        <w:t>isocaloric</w:t>
      </w:r>
      <w:proofErr w:type="spellEnd"/>
      <w:r w:rsidR="004A5FFD">
        <w:rPr>
          <w:color w:val="FF0000"/>
        </w:rPr>
        <w:t xml:space="preserve"> are known to result in weight reduction. This fact need to be considered while interpreting the results. </w:t>
      </w:r>
      <w:r w:rsidR="00F24FFB" w:rsidRPr="00F24FFB">
        <w:t xml:space="preserve">This was </w:t>
      </w:r>
      <w:r w:rsidR="00F24FFB">
        <w:t xml:space="preserve">accompanied by </w:t>
      </w:r>
      <w:r w:rsidR="00F24FFB" w:rsidRPr="00F24FFB">
        <w:t>release</w:t>
      </w:r>
      <w:r w:rsidR="00F24FFB">
        <w:t xml:space="preserve"> of </w:t>
      </w:r>
      <w:r w:rsidR="00F24FFB" w:rsidRPr="00F24FFB">
        <w:t xml:space="preserve">more adiponectin and glycerol the </w:t>
      </w:r>
      <w:r w:rsidR="00F24FFB">
        <w:t>by adipose</w:t>
      </w:r>
      <w:r w:rsidR="00F24FFB" w:rsidRPr="00F24FFB">
        <w:t xml:space="preserve"> tissue</w:t>
      </w:r>
      <w:r w:rsidR="00F24FFB">
        <w:t xml:space="preserve"> </w:t>
      </w:r>
      <w:r w:rsidR="00913F21">
        <w:fldChar w:fldCharType="begin"/>
      </w:r>
      <w:r w:rsidR="00CB5B2E">
        <w:instrText xml:space="preserve"> ADDIN ZOTERO_ITEM CSL_CITATION {"citationID":"EhVBFwEX","properties":{"formattedCitation":"[15]","plainCitation":"[15]","noteIndex":0},"citationItems":[{"id":21,"uris":["http://zotero.org/users/16306459/items/KECTWQI8"],"itemData":{"id":21,"type":"article-journal","abstract":"This study aimed to determine the antiobesity effects of raspberry ketone (RK), one of the major aromatic compounds contained in raspberry, and its underlying mechanisms. During adipogenesis of 3T3-L1 cells, RK (300 μM) significantly reduced lipid accumulation and downregulated the expression of CCAAT/enhancer-binding protein α (C/EBPα), peroxisome proliferation-activated receptor γ (PPARγ), fatty acid-binding protein 4 (FABP4), and fatty acid synthase (FAS). RK\nalso reduced the expression of light chain 3B (LC3B), autophagy-related protein 12 (Atg12), sirtuin 1 (SIRT1), and phosphorylated-tuberous sclerosis complex 2 (TSC2), whereas it increased the level of p62 and phosphorylated-mammalian\ntarget of rapamycin (mTOR). Daily administration of RK decreased the body weight (ovariectomy [Ovx] + RK, 352.6 ± 5 vs Ovx, 386 ± 5.8 g; P &lt; 0.05), fat mass (Ovx + RK, 3.2 ± 0.05 vs Ovx, 5.0 ± 0.4 g; P &lt; 0.05), and fat cell size (Ovx + RK, 6.4 ± 0.6 vs Ovx, 11.1 ± 0.7 × 103 μm2; P &lt; 0.05) in Ovx-induced obesity in rats. The expression of PPARγ, C/EBPα, FAS, and FABP4 was significantly reduced in the Ovx + RK group compared with that in the Ovx group. Similar patterns were observed in autophagy-related proteins and endoplasmic reticulum stress proteins. These results suggest that RK inhibited lipid accumulation by regulating autophagy in 3T3-L1 cells and Ovx-induced obese rats.","container-title":"Journal of Agricultural and Food Chemistry","DOI":"10.1021/acs.jafc.7b03831","ISSN":"0021-8561, 1520-5118","issue":"50","journalAbbreviation":"J. Agric. Food Chem.","language":"en","license":"http://pubs.acs.org/page/policy/authorchoice_termsofuse.html","page":"10907-10914","source":"DOI.org (Crossref)","title":"Raspberry Ketone Reduced Lipid Accumulation in 3T3-L1 Cells and Ovariectomy-Induced Obesity in Wistar Rats by Regulating Autophagy Mechanisms","volume":"65","author":[{"family":"Leu","given":"Sy-Ying"},{"family":"Chen","given":"Yi-Chen"},{"family":"Tsai","given":"Yung-Chieh"},{"family":"Hung","given":"Yao-Wen"},{"family":"Hsu","given":"Chih-Hsiung"},{"family":"Lee","given":"Yen-Mei"},{"family":"Cheng","given":"Pao-Yun"}],"issued":{"date-parts":[["2017",12,20]]}}}],"schema":"https://github.com/citation-style-language/schema/raw/master/csl-citation.json"} </w:instrText>
      </w:r>
      <w:r w:rsidR="00913F21">
        <w:fldChar w:fldCharType="separate"/>
      </w:r>
      <w:r w:rsidR="00CB5B2E" w:rsidRPr="00CB5B2E">
        <w:rPr>
          <w:rFonts w:cs="Times New Roman"/>
        </w:rPr>
        <w:t>[15]</w:t>
      </w:r>
      <w:r w:rsidR="00913F21">
        <w:fldChar w:fldCharType="end"/>
      </w:r>
      <w:r w:rsidR="00356385">
        <w:t>,</w:t>
      </w:r>
      <w:r w:rsidR="00CB5B2E">
        <w:t xml:space="preserve"> </w:t>
      </w:r>
      <w:r w:rsidR="00CB5B2E">
        <w:fldChar w:fldCharType="begin"/>
      </w:r>
      <w:r w:rsidR="00CB5B2E">
        <w:instrText xml:space="preserve"> ADDIN ZOTERO_ITEM CSL_CITATION {"citationID":"4za6GCjT","properties":{"formattedCitation":"[20]","plainCitation":"[20]","noteIndex":0},"citationItems":[{"id":104,"uris":["http://zotero.org/users/16306459/items/ZK4TM8WT"],"itemData":{"id":104,"type":"article-journal","abstract":"Novel food and food compounds interventions have attracted a lot of attention nowadays for the prevention and treatment of metabolic diseases. Raspberry ketone (RK) is aromatic compound found within red fruits and berries, has been used as an over-the-counter product for weight loss. However, actually, the effect of RK on weight loss is still controversial, and the mechanism is largely unknown. Besides, in vivo and in vitro studies have demonstrated the beneficial effect of RK on the development of other metabolic diseases. In this review, we comprehensively highlighted the synthesis, bioavailability, and metabolism of RK, and summarized the progress made in our understanding of the potential biological activities of RK, including antiobesity, antidiabetes, cardioprotection, and hepatoprotection, as well as their underlying mechanisms. This paper provides a critical overview about the current findings and proposes the future studies in the area of RK on human health. PRACTICAL APPLICATIONS: Raspberry ketone (RK) has been used for weight control for years, but this effect is controversial considering food intake. Additionally, RK is beneficial for T2DM, liver and heart injury. The underlying mechanisms of the protective effect of RK including accelerating fatty acid oxidation, balancing serum glucose level, anti-inflammation, antioxidant process, and so on. In this context, we provide a comprehensive analysis of the benefits of RK against many metabolic diseases and discuss the underlying molecular mechanisms. We hope our work will be helpful for further researches on RK and improve its public recognition.","container-title":"Journal of Food Biochemistry","DOI":"10.1111/jfbc.14018","ISSN":"0145-8884, 1745-4514","issue":"1","journalAbbreviation":"Journal of Food Biochemistry","language":"en","source":"DOI.org (Crossref)","title":"Potential metabolic activities of raspberry ketone","URL":"https://onlinelibrary.wiley.com/doi/10.1111/jfbc.14018","volume":"46","author":[{"family":"Li","given":"Xiaoping"},{"family":"Wei","given":"Teng"},{"family":"Wu","given":"Min"},{"family":"Chen","given":"Fang"},{"family":"Zhang","given":"Peng"},{"family":"Deng","given":"Ze‐yuan"},{"family":"Luo","given":"Ting"}],"accessed":{"date-parts":[["2025",6,27]]},"issued":{"date-parts":[["2022",1]]}}}],"schema":"https://github.com/citation-style-language/schema/raw/master/csl-citation.json"} </w:instrText>
      </w:r>
      <w:r w:rsidR="00CB5B2E">
        <w:fldChar w:fldCharType="separate"/>
      </w:r>
      <w:r w:rsidR="00CB5B2E" w:rsidRPr="00CB5B2E">
        <w:rPr>
          <w:rFonts w:cs="Times New Roman"/>
        </w:rPr>
        <w:t>[20]</w:t>
      </w:r>
      <w:r w:rsidR="00CB5B2E">
        <w:fldChar w:fldCharType="end"/>
      </w:r>
      <w:r w:rsidR="00356385">
        <w:t xml:space="preserve">. </w:t>
      </w:r>
      <w:r w:rsidR="00F24FFB" w:rsidRPr="00F24FFB">
        <w:t>A 2018 study on obese rats found a</w:t>
      </w:r>
      <w:r w:rsidR="00F24FFB">
        <w:t>n</w:t>
      </w:r>
      <w:r w:rsidR="00F24FFB" w:rsidRPr="00F24FFB">
        <w:t xml:space="preserve"> "optimized dose" (about 100 mg/kg) that worked best to control hyperlipidemia and insulin resistance by increasing adipose adiponectin and lowering inflammatory adipokines. </w:t>
      </w:r>
      <w:r w:rsidR="00571EC4" w:rsidRPr="00571EC4">
        <w:t>In addition to systemic obesity measures, organ-specific benefits in liver like reduction in hepatic fat accumulation and inflammatory damage have been observed, leading to amelioration of non-alcoholic fatty liver disease (NAFLD) in high fat fed rodents [12].</w:t>
      </w:r>
      <w:r w:rsidR="00571EC4">
        <w:t xml:space="preserve"> </w:t>
      </w:r>
      <w:r w:rsidR="00356385" w:rsidRPr="00C876B9">
        <w:t xml:space="preserve">Mechanistically, these hepatoprotective effects were linked to </w:t>
      </w:r>
      <w:r w:rsidR="00C876B9" w:rsidRPr="00C876B9">
        <w:t>increase in</w:t>
      </w:r>
      <w:r w:rsidR="00356385" w:rsidRPr="00C876B9">
        <w:t xml:space="preserve"> fatty acid oxidation (via PPAR-α)</w:t>
      </w:r>
      <w:r w:rsidR="00C876B9" w:rsidRPr="00C876B9">
        <w:t xml:space="preserve"> by RK</w:t>
      </w:r>
      <w:r w:rsidR="00356385" w:rsidRPr="00C876B9">
        <w:t xml:space="preserve"> and its antioxidant action in liver tissue </w:t>
      </w:r>
      <w:r w:rsidR="00C876B9" w:rsidRPr="00C876B9">
        <w:t xml:space="preserve">as evidenced by elevated GSH and SOD levels </w:t>
      </w:r>
      <w:r w:rsidR="00CB5B2E" w:rsidRPr="00C876B9">
        <w:fldChar w:fldCharType="begin"/>
      </w:r>
      <w:r w:rsidR="00CB5B2E" w:rsidRPr="00C876B9">
        <w:instrText xml:space="preserve"> ADDIN ZOTERO_ITEM CSL_CITATION {"citationID":"f9uxpe4x","properties":{"formattedCitation":"[22]","plainCitation":"[22]","noteIndex":0},"citationItems":[{"id":45,"uris":["http://zotero.org/users/16306459/items/MPVLEADY"],"itemData":{"id":45,"type":"article-journal","abstract":"Abstract\n            Raspberry Ketone (RK) is a natural phenolic compound which is marketed nowadays as a popular weight-reducing remedy, with reported antioxidant and anti-inflammatory activities. However, its biological activity is not fully elucidated. Hepatotoxicity is the leading cause of acute liver failure in Europe and North America, and its management is still challenging. Therefore, this study aimed to assess the therapeutic detoxification activity of RK against liver injury in vivo and to explore the underlying mechanisms using carbon tetrachloride (CCl4)-induced hepatotoxicity as a model. First, a dose–response study using 4 different doses, 25, 50, 100, and 200 mg kg−1 day−1, of RK was conducted. RK was administered for 5 days as a pretreatment, followed by a single dose of CCl4 (1 ml kg−1, 1 : 1 v/v CCl4 : olive oil). The RK dose of 200 mg kg−1 showed the greatest protective effect and was selected for further investigations. CCl4 hepatotoxicity was confirmed by elevation of liver enzymes, and histopathological examination. CCl4-induced oxidative stress was evident from increased lipid peroxidation measured as thiobarbituric acid reactive substances (TBARS) along with depleted superoxide dismutase (SOD), reduced glutathione (GSH), and total antioxidant capacity (TAC). Increased oxidative stress was associated with increased cytochrome c expression with subsequent activation of caspase-9 and caspase-3, in addition to DNA fragmentation reflecting apoptosis. CCl4 also induced the expression of inflammatory cytokines (NF-κB and TNF-α). Interestingly, RK hepatoprotective activity was evident from the reduction of liver enzymes, and maintenance of hepatocyte integrity and microstructures as evaluated by histopathological examination using H and E, and transmission electron microscopy. The antioxidant activity of RK was demonstrated by the increase of TAC, SOD, and GSH, with a concomitant decrease of the TBARS level. Moreover, RK pretreatment inhibited CCl4-induced upregulation of inflammatory mediators. RK antiapoptotic activity was indicated by the reduction of the expression of cytoplasmic cytochrome-C, a decrease of caspases, and inhibition of DNA fragmentation. In conclusion, this study demonstrates that RK is a promising hepatoprotective agent. The underlying mechanisms include antioxidant, anti-inflammatory, and anti-apoptotic activities. This is the first study reporting RK hepatoprotective activity in acute hepatic injury and approves its antiapoptotic effect in the liver.","container-title":"Toxicology Research","DOI":"10.1039/c9tx00068b","ISSN":"2045-4538","issue":"5","language":"en","license":"https://academic.oup.com/journals/pages/open_access/funder_policies/chorus/standard_publication_model","page":"663-676","source":"DOI.org (Crossref)","title":"Hepatoprotective activity of raspberry ketone is mediated via inhibition of the NF-κB/TNF-α/caspase axis and mitochondrial apoptosis in chemically induced acute liver injury","volume":"8","author":[{"family":"Fouad","given":"Dalia"},{"family":"Badr","given":"Amira"},{"family":"Attia","given":"Hala A."}],"issued":{"date-parts":[["2019",9,1]]}}}],"schema":"https://github.com/citation-style-language/schema/raw/master/csl-citation.json"} </w:instrText>
      </w:r>
      <w:r w:rsidR="00CB5B2E" w:rsidRPr="00C876B9">
        <w:fldChar w:fldCharType="separate"/>
      </w:r>
      <w:r w:rsidR="00CB5B2E" w:rsidRPr="00C876B9">
        <w:rPr>
          <w:rFonts w:cs="Times New Roman"/>
        </w:rPr>
        <w:t>[22]</w:t>
      </w:r>
      <w:r w:rsidR="00CB5B2E" w:rsidRPr="00C876B9">
        <w:fldChar w:fldCharType="end"/>
      </w:r>
      <w:r w:rsidR="00356385" w:rsidRPr="00C876B9">
        <w:t xml:space="preserve">. </w:t>
      </w:r>
      <w:r w:rsidR="00356385" w:rsidRPr="00C876B9">
        <w:rPr>
          <w:i/>
          <w:iCs/>
        </w:rPr>
        <w:t>Figure 3</w:t>
      </w:r>
      <w:r w:rsidR="00356385" w:rsidRPr="00C876B9">
        <w:t xml:space="preserve"> </w:t>
      </w:r>
      <w:r w:rsidR="00C876B9" w:rsidRPr="00C876B9">
        <w:t>shows how</w:t>
      </w:r>
      <w:r w:rsidR="00356385" w:rsidRPr="00C876B9">
        <w:t xml:space="preserve"> RK </w:t>
      </w:r>
      <w:r w:rsidR="00C876B9" w:rsidRPr="00C876B9">
        <w:t xml:space="preserve">affects multiple pathways </w:t>
      </w:r>
      <w:r w:rsidR="00356385" w:rsidRPr="00C876B9">
        <w:t xml:space="preserve">in a liver injury model. RK </w:t>
      </w:r>
      <w:r w:rsidR="00C876B9" w:rsidRPr="00C876B9">
        <w:t>increases the levels of</w:t>
      </w:r>
      <w:r w:rsidR="00356385" w:rsidRPr="00C876B9">
        <w:t xml:space="preserve"> PPAR-α and Nrf2, thereby boosting </w:t>
      </w:r>
      <w:r w:rsidR="00C876B9" w:rsidRPr="00C876B9">
        <w:t>the body’s</w:t>
      </w:r>
      <w:r w:rsidR="00356385" w:rsidRPr="00C876B9">
        <w:t xml:space="preserve"> defenses</w:t>
      </w:r>
      <w:r w:rsidR="00C876B9" w:rsidRPr="00C876B9">
        <w:t xml:space="preserve"> against oxidative stress</w:t>
      </w:r>
      <w:r w:rsidR="00356385" w:rsidRPr="00C876B9">
        <w:t xml:space="preserve"> and reducing inflammatory (NF-</w:t>
      </w:r>
      <w:proofErr w:type="spellStart"/>
      <w:r w:rsidR="00356385" w:rsidRPr="00C876B9">
        <w:t>κB</w:t>
      </w:r>
      <w:proofErr w:type="spellEnd"/>
      <w:r w:rsidR="00356385" w:rsidRPr="00C876B9">
        <w:t>) and apoptotic (</w:t>
      </w:r>
      <w:proofErr w:type="spellStart"/>
      <w:r w:rsidR="00356385" w:rsidRPr="00C876B9">
        <w:t>caspases</w:t>
      </w:r>
      <w:proofErr w:type="spellEnd"/>
      <w:r w:rsidR="00356385" w:rsidRPr="00C876B9">
        <w:t>) signals to protect hepatocytes</w:t>
      </w:r>
      <w:r w:rsidR="00CB5B2E" w:rsidRPr="00C876B9">
        <w:t xml:space="preserve"> </w:t>
      </w:r>
      <w:r w:rsidR="00CB5B2E" w:rsidRPr="00C876B9">
        <w:fldChar w:fldCharType="begin"/>
      </w:r>
      <w:r w:rsidR="00CB5B2E" w:rsidRPr="00C876B9">
        <w:instrText xml:space="preserve"> ADDIN ZOTERO_ITEM CSL_CITATION {"citationID":"u3y5Bbfs","properties":{"formattedCitation":"[22]","plainCitation":"[22]","noteIndex":0},"citationItems":[{"id":45,"uris":["http://zotero.org/users/16306459/items/MPVLEADY"],"itemData":{"id":45,"type":"article-journal","abstract":"Abstract\n            Raspberry Ketone (RK) is a natural phenolic compound which is marketed nowadays as a popular weight-reducing remedy, with reported antioxidant and anti-inflammatory activities. However, its biological activity is not fully elucidated. Hepatotoxicity is the leading cause of acute liver failure in Europe and North America, and its management is still challenging. Therefore, this study aimed to assess the therapeutic detoxification activity of RK against liver injury in vivo and to explore the underlying mechanisms using carbon tetrachloride (CCl4)-induced hepatotoxicity as a model. First, a dose–response study using 4 different doses, 25, 50, 100, and 200 mg kg−1 day−1, of RK was conducted. RK was administered for 5 days as a pretreatment, followed by a single dose of CCl4 (1 ml kg−1, 1 : 1 v/v CCl4 : olive oil). The RK dose of 200 mg kg−1 showed the greatest protective effect and was selected for further investigations. CCl4 hepatotoxicity was confirmed by elevation of liver enzymes, and histopathological examination. CCl4-induced oxidative stress was evident from increased lipid peroxidation measured as thiobarbituric acid reactive substances (TBARS) along with depleted superoxide dismutase (SOD), reduced glutathione (GSH), and total antioxidant capacity (TAC). Increased oxidative stress was associated with increased cytochrome c expression with subsequent activation of caspase-9 and caspase-3, in addition to DNA fragmentation reflecting apoptosis. CCl4 also induced the expression of inflammatory cytokines (NF-κB and TNF-α). Interestingly, RK hepatoprotective activity was evident from the reduction of liver enzymes, and maintenance of hepatocyte integrity and microstructures as evaluated by histopathological examination using H and E, and transmission electron microscopy. The antioxidant activity of RK was demonstrated by the increase of TAC, SOD, and GSH, with a concomitant decrease of the TBARS level. Moreover, RK pretreatment inhibited CCl4-induced upregulation of inflammatory mediators. RK antiapoptotic activity was indicated by the reduction of the expression of cytoplasmic cytochrome-C, a decrease of caspases, and inhibition of DNA fragmentation. In conclusion, this study demonstrates that RK is a promising hepatoprotective agent. The underlying mechanisms include antioxidant, anti-inflammatory, and anti-apoptotic activities. This is the first study reporting RK hepatoprotective activity in acute hepatic injury and approves its antiapoptotic effect in the liver.","container-title":"Toxicology Research","DOI":"10.1039/c9tx00068b","ISSN":"2045-4538","issue":"5","language":"en","license":"https://academic.oup.com/journals/pages/open_access/funder_policies/chorus/standard_publication_model","page":"663-676","source":"DOI.org (Crossref)","title":"Hepatoprotective activity of raspberry ketone is mediated via inhibition of the NF-κB/TNF-α/caspase axis and mitochondrial apoptosis in chemically induced acute liver injury","volume":"8","author":[{"family":"Fouad","given":"Dalia"},{"family":"Badr","given":"Amira"},{"family":"Attia","given":"Hala A."}],"issued":{"date-parts":[["2019",9,1]]}}}],"schema":"https://github.com/citation-style-language/schema/raw/master/csl-citation.json"} </w:instrText>
      </w:r>
      <w:r w:rsidR="00CB5B2E" w:rsidRPr="00C876B9">
        <w:fldChar w:fldCharType="separate"/>
      </w:r>
      <w:r w:rsidR="00CB5B2E" w:rsidRPr="00C876B9">
        <w:rPr>
          <w:rFonts w:cs="Times New Roman"/>
        </w:rPr>
        <w:t>[22]</w:t>
      </w:r>
      <w:r w:rsidR="00CB5B2E" w:rsidRPr="00C876B9">
        <w:fldChar w:fldCharType="end"/>
      </w:r>
      <w:r w:rsidR="00356385" w:rsidRPr="00C876B9">
        <w:t>.</w:t>
      </w:r>
    </w:p>
    <w:p w14:paraId="14E6A333" w14:textId="236E30EB" w:rsidR="00356385" w:rsidRDefault="00693380" w:rsidP="00126652">
      <w:pPr>
        <w:spacing w:line="360" w:lineRule="auto"/>
        <w:jc w:val="center"/>
      </w:pPr>
      <w:r>
        <w:rPr>
          <w:noProof/>
        </w:rPr>
        <w:lastRenderedPageBreak/>
        <w:drawing>
          <wp:inline distT="0" distB="0" distL="0" distR="0" wp14:anchorId="55577093" wp14:editId="50F18E94">
            <wp:extent cx="5417185" cy="3054985"/>
            <wp:effectExtent l="0" t="0" r="0" b="0"/>
            <wp:docPr id="5793379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337941" name="Picture 3"/>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17185" cy="3054985"/>
                    </a:xfrm>
                    <a:prstGeom prst="rect">
                      <a:avLst/>
                    </a:prstGeom>
                    <a:noFill/>
                  </pic:spPr>
                </pic:pic>
              </a:graphicData>
            </a:graphic>
          </wp:inline>
        </w:drawing>
      </w:r>
    </w:p>
    <w:p w14:paraId="4D9DAC45" w14:textId="1406C1DF" w:rsidR="003E5D1C" w:rsidRDefault="003E5D1C" w:rsidP="009406FC">
      <w:pPr>
        <w:spacing w:line="360" w:lineRule="auto"/>
        <w:jc w:val="both"/>
      </w:pPr>
      <w:r w:rsidRPr="00C3230D">
        <w:rPr>
          <w:b/>
          <w:bCs/>
        </w:rPr>
        <w:t>Figure 3.</w:t>
      </w:r>
      <w:r>
        <w:t xml:space="preserve"> Schematic of molecular pathways modulated by Raspberry Ketone in metabolic disease creased antioxidant activity (↑GSH, SOD, TAC) and anti-inflammatory effects (↓NF-</w:t>
      </w:r>
      <w:proofErr w:type="spellStart"/>
      <w:r>
        <w:t>κB</w:t>
      </w:r>
      <w:proofErr w:type="spellEnd"/>
      <w:r>
        <w:t>, ↓TNF-α), while also reducing apoptotic markers (↓cytochrome c, ↓caspases).</w:t>
      </w:r>
    </w:p>
    <w:p w14:paraId="56FFA4F8" w14:textId="77777777" w:rsidR="003E5D1C" w:rsidRDefault="003E5D1C" w:rsidP="008E1E0C">
      <w:pPr>
        <w:spacing w:line="360" w:lineRule="auto"/>
      </w:pPr>
    </w:p>
    <w:p w14:paraId="436F4537" w14:textId="391F752D" w:rsidR="00356385" w:rsidRPr="00C3230D" w:rsidRDefault="003E5D1C" w:rsidP="008E1E0C">
      <w:pPr>
        <w:spacing w:line="360" w:lineRule="auto"/>
        <w:rPr>
          <w:b/>
          <w:bCs/>
        </w:rPr>
      </w:pPr>
      <w:r w:rsidRPr="00C3230D">
        <w:rPr>
          <w:b/>
          <w:bCs/>
        </w:rPr>
        <w:t>3.</w:t>
      </w:r>
      <w:r w:rsidR="001C041B">
        <w:rPr>
          <w:b/>
          <w:bCs/>
        </w:rPr>
        <w:t>3</w:t>
      </w:r>
      <w:r w:rsidRPr="00C3230D">
        <w:rPr>
          <w:b/>
          <w:bCs/>
        </w:rPr>
        <w:t>. Cardioprotective Effects</w:t>
      </w:r>
    </w:p>
    <w:p w14:paraId="32D3791D" w14:textId="072B04DC" w:rsidR="003E5D1C" w:rsidRDefault="003E5D1C" w:rsidP="00693380">
      <w:pPr>
        <w:spacing w:line="360" w:lineRule="auto"/>
        <w:jc w:val="both"/>
      </w:pPr>
      <w:r w:rsidRPr="003E5D1C">
        <w:t xml:space="preserve">RK pre-treatment (50–200 mg/kg, oral) markedly </w:t>
      </w:r>
      <w:r w:rsidRPr="00C3230D">
        <w:rPr>
          <w:b/>
          <w:bCs/>
        </w:rPr>
        <w:t>reduced myocardial infarct size</w:t>
      </w:r>
      <w:r w:rsidRPr="003E5D1C">
        <w:t xml:space="preserve"> and cardiac injury markers compared to untreated MI controls</w:t>
      </w:r>
      <w:r w:rsidR="0093146C">
        <w:t xml:space="preserve"> in </w:t>
      </w:r>
      <w:r w:rsidR="0093146C" w:rsidRPr="003E5D1C">
        <w:t>isoproterenol-induced myocardial infarction (MI) in rats</w:t>
      </w:r>
      <w:r w:rsidR="00693380">
        <w:t xml:space="preserve"> </w:t>
      </w:r>
      <w:r w:rsidR="00693380">
        <w:fldChar w:fldCharType="begin"/>
      </w:r>
      <w:r w:rsidR="00693380">
        <w:instrText xml:space="preserve"> ADDIN ZOTERO_ITEM CSL_CITATION {"citationID":"7IXcd6oa","properties":{"formattedCitation":"[13]","plainCitation":"[13]","noteIndex":0},"citationItems":[{"id":41,"uris":["http://zotero.org/users/16306459/items/89CBCP2B"],"itemData":{"id":41,"type":"article-journal","container-title":"Life Sciences","DOI":"10.1016/j.lfs.2017.12.013","ISSN":"00243205","journalAbbreviation":"Life Sciences","language":"en","page":"205-212","source":"DOI.org (Crossref)","title":"Raspberry ketone protects against isoproterenol-induced myocardial infarction in rats","volume":"194","author":[{"family":"Khan","given":"Vasim"},{"family":"Sharma","given":"Sumit"},{"family":"Bhandari","given":"Uma"},{"family":"Ali","given":"Syed Mansoor"},{"family":"Haque","given":"Syed Ehtaishamul"}],"issued":{"date-parts":[["2018",2]]}}}],"schema":"https://github.com/citation-style-language/schema/raw/master/csl-citation.json"} </w:instrText>
      </w:r>
      <w:r w:rsidR="00693380">
        <w:fldChar w:fldCharType="separate"/>
      </w:r>
      <w:r w:rsidR="00693380" w:rsidRPr="00693380">
        <w:rPr>
          <w:rFonts w:cs="Times New Roman"/>
        </w:rPr>
        <w:t>[13]</w:t>
      </w:r>
      <w:r w:rsidR="00693380">
        <w:fldChar w:fldCharType="end"/>
      </w:r>
      <w:r w:rsidRPr="003E5D1C">
        <w:t xml:space="preserve">. </w:t>
      </w:r>
      <w:r w:rsidR="006255D7" w:rsidRPr="006255D7">
        <w:t xml:space="preserve">Mechanistically, RK-treated hearts </w:t>
      </w:r>
      <w:r w:rsidR="00180BD7">
        <w:t xml:space="preserve">after myocardial infarction (MI) </w:t>
      </w:r>
      <w:r w:rsidR="006255D7" w:rsidRPr="006255D7">
        <w:t>showed re</w:t>
      </w:r>
      <w:r w:rsidR="00180BD7">
        <w:t>tained</w:t>
      </w:r>
      <w:r w:rsidR="006255D7" w:rsidRPr="006255D7">
        <w:t xml:space="preserve"> antioxidant enzyme levels (CAT, SOD) and lower lipid peroxidation (MDA)</w:t>
      </w:r>
      <w:r w:rsidR="00180BD7">
        <w:t xml:space="preserve"> with</w:t>
      </w:r>
      <w:r w:rsidR="006255D7" w:rsidRPr="006255D7">
        <w:t xml:space="preserve"> reduced inflammatory cytokines. This suggests that RK </w:t>
      </w:r>
      <w:r w:rsidR="00180BD7">
        <w:t>helps in lowering</w:t>
      </w:r>
      <w:r w:rsidR="006255D7" w:rsidRPr="006255D7">
        <w:t xml:space="preserve"> the oxidative stress and inflammatory cascade</w:t>
      </w:r>
      <w:r w:rsidR="00180BD7">
        <w:t>, thus</w:t>
      </w:r>
      <w:r w:rsidR="006255D7" w:rsidRPr="006255D7">
        <w:t xml:space="preserve"> reducing the cardiac cell death in infarction</w:t>
      </w:r>
      <w:r w:rsidR="0093146C" w:rsidRPr="003E5D1C">
        <w:t xml:space="preserve">. </w:t>
      </w:r>
      <w:r w:rsidR="006255D7" w:rsidRPr="006255D7">
        <w:t xml:space="preserve">The </w:t>
      </w:r>
      <w:proofErr w:type="spellStart"/>
      <w:r w:rsidR="006255D7" w:rsidRPr="006255D7">
        <w:t>cardioprotection</w:t>
      </w:r>
      <w:proofErr w:type="spellEnd"/>
      <w:r w:rsidR="006255D7" w:rsidRPr="006255D7">
        <w:t xml:space="preserve"> from RK </w:t>
      </w:r>
      <w:r w:rsidR="00180BD7">
        <w:t>was</w:t>
      </w:r>
      <w:r w:rsidR="006255D7" w:rsidRPr="006255D7">
        <w:t xml:space="preserve"> comparable to th</w:t>
      </w:r>
      <w:r w:rsidR="00180BD7">
        <w:t>at</w:t>
      </w:r>
      <w:r w:rsidR="006255D7" w:rsidRPr="006255D7">
        <w:t xml:space="preserve"> of fenofibrate (a PPAR-α agonist drug), which also reduced the size of the infarct tissue [13], indicating PPAR-α mediated pathways</w:t>
      </w:r>
      <w:r w:rsidRPr="003E5D1C">
        <w:t xml:space="preserve">. </w:t>
      </w:r>
      <w:r w:rsidR="006255D7" w:rsidRPr="006255D7">
        <w:rPr>
          <w:i/>
          <w:iCs/>
        </w:rPr>
        <w:t xml:space="preserve">Figure 4 (below) </w:t>
      </w:r>
      <w:r w:rsidR="006255D7" w:rsidRPr="006255D7">
        <w:t>illustrates the reduction in infarct size by RK: visual tetrazolium-stained heart slices display smaller pale infarct areas with RK, and quantification (panel G) shows dose-dependent lowering of infarct percentage</w:t>
      </w:r>
      <w:r w:rsidR="006255D7" w:rsidRPr="006255D7">
        <w:rPr>
          <w:i/>
          <w:iCs/>
        </w:rPr>
        <w:t xml:space="preserve"> </w:t>
      </w:r>
      <w:r w:rsidR="00693380">
        <w:fldChar w:fldCharType="begin"/>
      </w:r>
      <w:r w:rsidR="00693380">
        <w:instrText xml:space="preserve"> ADDIN ZOTERO_ITEM CSL_CITATION {"citationID":"HeQq5z4t","properties":{"formattedCitation":"[13]","plainCitation":"[13]","noteIndex":0},"citationItems":[{"id":41,"uris":["http://zotero.org/users/16306459/items/89CBCP2B"],"itemData":{"id":41,"type":"article-journal","container-title":"Life Sciences","DOI":"10.1016/j.lfs.2017.12.013","ISSN":"00243205","journalAbbreviation":"Life Sciences","language":"en","page":"205-212","source":"DOI.org (Crossref)","title":"Raspberry ketone protects against isoproterenol-induced myocardial infarction in rats","volume":"194","author":[{"family":"Khan","given":"Vasim"},{"family":"Sharma","given":"Sumit"},{"family":"Bhandari","given":"Uma"},{"family":"Ali","given":"Syed Mansoor"},{"family":"Haque","given":"Syed Ehtaishamul"}],"issued":{"date-parts":[["2018",2]]}}}],"schema":"https://github.com/citation-style-language/schema/raw/master/csl-citation.json"} </w:instrText>
      </w:r>
      <w:r w:rsidR="00693380">
        <w:fldChar w:fldCharType="separate"/>
      </w:r>
      <w:r w:rsidR="00693380" w:rsidRPr="00693380">
        <w:rPr>
          <w:rFonts w:cs="Times New Roman"/>
        </w:rPr>
        <w:t>[13]</w:t>
      </w:r>
      <w:r w:rsidR="00693380">
        <w:fldChar w:fldCharType="end"/>
      </w:r>
      <w:r w:rsidRPr="003E5D1C">
        <w:t xml:space="preserve">. </w:t>
      </w:r>
      <w:r w:rsidR="006255D7" w:rsidRPr="006255D7">
        <w:t>These findings propose RK as a potential adjunct for cardiometabolic protection, although human data does not exist yet.</w:t>
      </w:r>
    </w:p>
    <w:p w14:paraId="61EC53ED" w14:textId="69B1BDEE" w:rsidR="003E5D1C" w:rsidRDefault="00693380" w:rsidP="00693380">
      <w:pPr>
        <w:spacing w:line="360" w:lineRule="auto"/>
        <w:jc w:val="center"/>
      </w:pPr>
      <w:r>
        <w:rPr>
          <w:noProof/>
        </w:rPr>
        <w:lastRenderedPageBreak/>
        <w:drawing>
          <wp:inline distT="0" distB="0" distL="0" distR="0" wp14:anchorId="62D032B1" wp14:editId="6835AB55">
            <wp:extent cx="4990465" cy="5461000"/>
            <wp:effectExtent l="0" t="0" r="635" b="6350"/>
            <wp:docPr id="4386114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611402" name="Picture 7"/>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90465" cy="5461000"/>
                    </a:xfrm>
                    <a:prstGeom prst="rect">
                      <a:avLst/>
                    </a:prstGeom>
                    <a:noFill/>
                  </pic:spPr>
                </pic:pic>
              </a:graphicData>
            </a:graphic>
          </wp:inline>
        </w:drawing>
      </w:r>
    </w:p>
    <w:p w14:paraId="73F16B02" w14:textId="5955B678" w:rsidR="003E5D1C" w:rsidRDefault="003E5D1C" w:rsidP="009406FC">
      <w:pPr>
        <w:spacing w:line="360" w:lineRule="auto"/>
        <w:jc w:val="both"/>
      </w:pPr>
      <w:r w:rsidRPr="00C3230D">
        <w:rPr>
          <w:b/>
          <w:bCs/>
        </w:rPr>
        <w:t>Figure 4.</w:t>
      </w:r>
      <w:r w:rsidRPr="003E5D1C">
        <w:t xml:space="preserve"> Cardioprotective effect of Raspberry Ketone in a rat myocardial infarction model. (A–F) Representative heart cross-sections (stained to show infarct in pale areas, arrows) for control, isoproterenol-induced MI, and MI with RK or fenofibrate treatments. RK-pretreated groups show visibly smaller infarcts vs. untreated MI. (G) Bar graph of infarct size (% of left ventricle) demonstrates that RK at 50–200 mg/kg significantly reduced infarct area </w:t>
      </w:r>
      <w:r w:rsidRPr="00C3230D">
        <w:rPr>
          <w:i/>
          <w:iCs/>
        </w:rPr>
        <w:t>(*p&lt;0.01 vs. MI control</w:t>
      </w:r>
      <w:r w:rsidRPr="003E5D1C">
        <w:t xml:space="preserve">) in a dose-dependent manner, approaching the protection afforded by fenofibrate. (Adapted from Khan </w:t>
      </w:r>
      <w:r w:rsidRPr="00C3230D">
        <w:rPr>
          <w:i/>
          <w:iCs/>
        </w:rPr>
        <w:t>et al.</w:t>
      </w:r>
      <w:r w:rsidRPr="003E5D1C">
        <w:t xml:space="preserve">, 2018) </w:t>
      </w:r>
      <w:r w:rsidR="00693380">
        <w:fldChar w:fldCharType="begin"/>
      </w:r>
      <w:r w:rsidR="00693380">
        <w:instrText xml:space="preserve"> ADDIN ZOTERO_ITEM CSL_CITATION {"citationID":"dNNX7wkR","properties":{"formattedCitation":"[13]","plainCitation":"[13]","noteIndex":0},"citationItems":[{"id":41,"uris":["http://zotero.org/users/16306459/items/89CBCP2B"],"itemData":{"id":41,"type":"article-journal","container-title":"Life Sciences","DOI":"10.1016/j.lfs.2017.12.013","ISSN":"00243205","journalAbbreviation":"Life Sciences","language":"en","page":"205-212","source":"DOI.org (Crossref)","title":"Raspberry ketone protects against isoproterenol-induced myocardial infarction in rats","volume":"194","author":[{"family":"Khan","given":"Vasim"},{"family":"Sharma","given":"Sumit"},{"family":"Bhandari","given":"Uma"},{"family":"Ali","given":"Syed Mansoor"},{"family":"Haque","given":"Syed Ehtaishamul"}],"issued":{"date-parts":[["2018",2]]}}}],"schema":"https://github.com/citation-style-language/schema/raw/master/csl-citation.json"} </w:instrText>
      </w:r>
      <w:r w:rsidR="00693380">
        <w:fldChar w:fldCharType="separate"/>
      </w:r>
      <w:r w:rsidR="00693380" w:rsidRPr="00693380">
        <w:rPr>
          <w:rFonts w:cs="Times New Roman"/>
        </w:rPr>
        <w:t>[13]</w:t>
      </w:r>
      <w:r w:rsidR="00693380">
        <w:fldChar w:fldCharType="end"/>
      </w:r>
    </w:p>
    <w:p w14:paraId="1BD1F1AD" w14:textId="77777777" w:rsidR="003E5D1C" w:rsidRDefault="003E5D1C" w:rsidP="008E1E0C">
      <w:pPr>
        <w:spacing w:line="360" w:lineRule="auto"/>
      </w:pPr>
    </w:p>
    <w:p w14:paraId="580B9E15" w14:textId="3501B8B3" w:rsidR="003E5D1C" w:rsidRPr="00467813" w:rsidRDefault="003E5D1C" w:rsidP="008E1E0C">
      <w:pPr>
        <w:spacing w:line="360" w:lineRule="auto"/>
        <w:rPr>
          <w:b/>
          <w:bCs/>
        </w:rPr>
      </w:pPr>
      <w:r w:rsidRPr="00467813">
        <w:rPr>
          <w:b/>
          <w:bCs/>
        </w:rPr>
        <w:t>3.</w:t>
      </w:r>
      <w:r w:rsidR="001C041B">
        <w:rPr>
          <w:b/>
          <w:bCs/>
        </w:rPr>
        <w:t>4</w:t>
      </w:r>
      <w:r w:rsidRPr="00467813">
        <w:rPr>
          <w:b/>
          <w:bCs/>
        </w:rPr>
        <w:t>. Gastroprotective and Other Pharmacological Effects</w:t>
      </w:r>
    </w:p>
    <w:p w14:paraId="50BC8251" w14:textId="23DF6BD3" w:rsidR="003E5D1C" w:rsidRDefault="0094700F" w:rsidP="00126652">
      <w:pPr>
        <w:spacing w:line="360" w:lineRule="auto"/>
        <w:jc w:val="both"/>
      </w:pPr>
      <w:r w:rsidRPr="0094700F">
        <w:lastRenderedPageBreak/>
        <w:t>Recent studies have expanded RK's applicability to gastrointestinal and dermatological fields</w:t>
      </w:r>
      <w:r w:rsidR="003E5D1C">
        <w:t xml:space="preserve">. </w:t>
      </w:r>
      <w:r w:rsidRPr="0094700F">
        <w:t>A 2019 study by Badr, El-Orabi, and Ali showed that RK had strong gastroprotective effects in a murine model of ethanol-induced gastric ulcers</w:t>
      </w:r>
      <w:r w:rsidR="00F362EB">
        <w:t xml:space="preserve"> as it</w:t>
      </w:r>
      <w:r w:rsidRPr="0094700F">
        <w:t xml:space="preserve"> decreased ulcer area and gastric mucosal damage, presumably by activating Nrf2 (Nuclear factor erythroid 2-related factor 2 – </w:t>
      </w:r>
      <w:proofErr w:type="gramStart"/>
      <w:r w:rsidRPr="0094700F">
        <w:t>an  antioxidant</w:t>
      </w:r>
      <w:proofErr w:type="gramEnd"/>
      <w:r w:rsidRPr="0094700F">
        <w:t xml:space="preserve"> response factor) and downregulating HMGB1 (High Mobility Group Box 1 – a pro-inflammatory alarmin), </w:t>
      </w:r>
      <w:r w:rsidR="00F362EB">
        <w:t>thus</w:t>
      </w:r>
      <w:r w:rsidRPr="0094700F">
        <w:t xml:space="preserve"> reducing oxidative stress and apoptosis in gastric tissue [23]</w:t>
      </w:r>
      <w:r w:rsidR="003E5D1C">
        <w:t xml:space="preserve">. </w:t>
      </w:r>
      <w:r w:rsidR="003E5D1C" w:rsidRPr="00467813">
        <w:rPr>
          <w:i/>
          <w:iCs/>
        </w:rPr>
        <w:t>Figure 5</w:t>
      </w:r>
      <w:r w:rsidR="003E5D1C">
        <w:t xml:space="preserve"> </w:t>
      </w:r>
      <w:r>
        <w:t>shows</w:t>
      </w:r>
      <w:r w:rsidR="003E5D1C">
        <w:t xml:space="preserve"> the mechanism protection of gastric mucosa by RK. </w:t>
      </w:r>
      <w:r w:rsidRPr="0094700F">
        <w:t xml:space="preserve">RK boosts Nrf2 signaling, which raises the levels of antioxidant enzymes of catalase and </w:t>
      </w:r>
      <w:proofErr w:type="spellStart"/>
      <w:r w:rsidRPr="0094700F">
        <w:t>GPx</w:t>
      </w:r>
      <w:proofErr w:type="spellEnd"/>
      <w:r w:rsidRPr="0094700F">
        <w:t xml:space="preserve"> (Glutathione Peroxidase) followed by lowering of inflammatory factors, TNF-α and Bax/Bcl-2 ratio, which together protect the gastric mucosa</w:t>
      </w:r>
      <w:r w:rsidR="003E5D1C">
        <w:t xml:space="preserve">. </w:t>
      </w:r>
    </w:p>
    <w:p w14:paraId="5BB58307" w14:textId="636E624B" w:rsidR="003E5D1C" w:rsidRDefault="00126652" w:rsidP="00126652">
      <w:pPr>
        <w:spacing w:line="360" w:lineRule="auto"/>
        <w:jc w:val="center"/>
      </w:pPr>
      <w:r>
        <w:rPr>
          <w:noProof/>
        </w:rPr>
        <w:drawing>
          <wp:inline distT="0" distB="0" distL="0" distR="0" wp14:anchorId="1CBDB895" wp14:editId="355EDDBB">
            <wp:extent cx="2171700" cy="2844800"/>
            <wp:effectExtent l="0" t="0" r="0" b="0"/>
            <wp:docPr id="4621345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134589" name="Picture 7"/>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1700" cy="2844800"/>
                    </a:xfrm>
                    <a:prstGeom prst="rect">
                      <a:avLst/>
                    </a:prstGeom>
                    <a:noFill/>
                    <a:ln>
                      <a:noFill/>
                    </a:ln>
                  </pic:spPr>
                </pic:pic>
              </a:graphicData>
            </a:graphic>
          </wp:inline>
        </w:drawing>
      </w:r>
    </w:p>
    <w:p w14:paraId="6DF4F6EA" w14:textId="77777777" w:rsidR="003E5D1C" w:rsidRDefault="003E5D1C" w:rsidP="001740E0">
      <w:pPr>
        <w:spacing w:line="360" w:lineRule="auto"/>
        <w:jc w:val="both"/>
      </w:pPr>
      <w:r w:rsidRPr="00467813">
        <w:rPr>
          <w:b/>
          <w:bCs/>
        </w:rPr>
        <w:t>Figure 5.</w:t>
      </w:r>
      <w:r>
        <w:t xml:space="preserve"> Schematic diagram of the different molecular targets involved in the gastroprotective effects of RK against ethanol-induced gastric ulcer in rats.</w:t>
      </w:r>
    </w:p>
    <w:p w14:paraId="01EB3105" w14:textId="77777777" w:rsidR="00126652" w:rsidRDefault="00126652" w:rsidP="008E1E0C">
      <w:pPr>
        <w:spacing w:line="360" w:lineRule="auto"/>
      </w:pPr>
    </w:p>
    <w:p w14:paraId="0F236C82" w14:textId="4130131E" w:rsidR="00A12D5D" w:rsidRDefault="00C53C76" w:rsidP="00FC32B2">
      <w:pPr>
        <w:spacing w:line="360" w:lineRule="auto"/>
        <w:jc w:val="both"/>
      </w:pPr>
      <w:r w:rsidRPr="00C53C76">
        <w:t>RK has been shown in dermatological research to lighten skin by suppressing melanogenesis and inhibiting tyrosinase [24]. Tyrosinase inhibition stops L-tyrosine from being converted normally, which causes it to accumulate locally. This excess tyrosine can then interact with RK to form adducts,</w:t>
      </w:r>
      <w:r>
        <w:t xml:space="preserve"> </w:t>
      </w:r>
      <w:r w:rsidRPr="00C53C76">
        <w:t>accompanied by ROS generation that contributes to selective melanocyte damage</w:t>
      </w:r>
      <w:r>
        <w:t xml:space="preserve"> </w:t>
      </w:r>
      <w:r w:rsidR="00A12D5D" w:rsidRPr="00A12D5D">
        <w:t xml:space="preserve">[25]. </w:t>
      </w:r>
      <w:r w:rsidR="002A16B6">
        <w:t xml:space="preserve">Although less explored, </w:t>
      </w:r>
      <w:r w:rsidR="002A16B6" w:rsidRPr="002A16B6">
        <w:t>RK has been observed to demonstrate anti-androgenic effects in vitro through the inhibition of androgen receptor activity</w:t>
      </w:r>
      <w:r w:rsidR="002A16B6">
        <w:t xml:space="preserve"> </w:t>
      </w:r>
      <w:r w:rsidR="00A12D5D" w:rsidRPr="00A12D5D">
        <w:t>[26] and</w:t>
      </w:r>
      <w:r w:rsidR="002A16B6">
        <w:t xml:space="preserve"> also</w:t>
      </w:r>
      <w:r w:rsidR="00A12D5D" w:rsidRPr="00A12D5D">
        <w:t xml:space="preserve"> to facilitate bone anabolism in </w:t>
      </w:r>
      <w:r w:rsidR="002A16B6">
        <w:t>cell line studies</w:t>
      </w:r>
      <w:r w:rsidR="00A12D5D" w:rsidRPr="00A12D5D">
        <w:t xml:space="preserve"> by enhancing osteoblast differentiation [27]. One preclinical study has also </w:t>
      </w:r>
      <w:r w:rsidR="00A12D5D" w:rsidRPr="00A12D5D">
        <w:lastRenderedPageBreak/>
        <w:t>indicated that RK demonstrates considerable antidepressant-like effects in LPS-Induced Depression Model, likely mediated by increased brain dopamine and serotonin levels and reduced neuroinflammation [28].</w:t>
      </w:r>
    </w:p>
    <w:p w14:paraId="545DDAE2" w14:textId="5D06630F" w:rsidR="003E5D1C" w:rsidRPr="00467813" w:rsidRDefault="003E5D1C" w:rsidP="008E1E0C">
      <w:pPr>
        <w:spacing w:line="360" w:lineRule="auto"/>
        <w:rPr>
          <w:b/>
          <w:bCs/>
        </w:rPr>
      </w:pPr>
      <w:r w:rsidRPr="00467813">
        <w:rPr>
          <w:b/>
          <w:bCs/>
        </w:rPr>
        <w:t>3.</w:t>
      </w:r>
      <w:r w:rsidR="001C041B">
        <w:rPr>
          <w:b/>
          <w:bCs/>
        </w:rPr>
        <w:t>5</w:t>
      </w:r>
      <w:r w:rsidRPr="00467813">
        <w:rPr>
          <w:b/>
          <w:bCs/>
        </w:rPr>
        <w:t>. Combination Therapies and Clinical Observations</w:t>
      </w:r>
    </w:p>
    <w:p w14:paraId="126E9EFB" w14:textId="5B39FF93" w:rsidR="00A12D5D" w:rsidRDefault="002D722D" w:rsidP="00FB12E9">
      <w:pPr>
        <w:spacing w:line="360" w:lineRule="auto"/>
        <w:jc w:val="both"/>
      </w:pPr>
      <w:r>
        <w:t>Although</w:t>
      </w:r>
      <w:r w:rsidRPr="00A12D5D">
        <w:t>, it is challenging to isolate RK's contribution in formulations containing multiple ingredients</w:t>
      </w:r>
      <w:r>
        <w:t xml:space="preserve"> yet there are studies where </w:t>
      </w:r>
      <w:r w:rsidR="00A12D5D" w:rsidRPr="00A12D5D">
        <w:t xml:space="preserve">RK </w:t>
      </w:r>
      <w:r>
        <w:t>has been</w:t>
      </w:r>
      <w:r w:rsidR="00A12D5D" w:rsidRPr="00A12D5D">
        <w:t xml:space="preserve"> mixed with other supplements because of its nutraceutical popularity. </w:t>
      </w:r>
      <w:r w:rsidR="00E37F57" w:rsidRPr="00ED40C8">
        <w:rPr>
          <w:highlight w:val="yellow"/>
        </w:rPr>
        <w:t>The overweight people who took the supplement (RK, caffeine and other ingredients) in a randomized 8-week trial, lost a small amount of weight and felt more energetic and had not observed any serious side effects</w:t>
      </w:r>
      <w:r w:rsidR="00A12D5D" w:rsidRPr="00ED40C8">
        <w:rPr>
          <w:highlight w:val="yellow"/>
        </w:rPr>
        <w:t xml:space="preserve"> [29].</w:t>
      </w:r>
      <w:r w:rsidR="00A12D5D" w:rsidRPr="00A12D5D">
        <w:t xml:space="preserve"> In </w:t>
      </w:r>
      <w:r>
        <w:t xml:space="preserve">another study in </w:t>
      </w:r>
      <w:r w:rsidR="00A12D5D" w:rsidRPr="00A12D5D">
        <w:t>animal</w:t>
      </w:r>
      <w:r>
        <w:t>s</w:t>
      </w:r>
      <w:r w:rsidR="00A12D5D" w:rsidRPr="00A12D5D">
        <w:t xml:space="preserve">, RK and white tea extract together improved antioxidant status and lowered liver fat in a model of liver injury caused by toxins [29]. </w:t>
      </w:r>
      <w:r w:rsidR="00085FE0" w:rsidRPr="00085FE0">
        <w:t>These findings suggest that RK may serve as a candidate for combination therapy in metabolic syndrome, a potential that remains to be confirmed in further studies</w:t>
      </w:r>
      <w:r w:rsidR="00A12D5D" w:rsidRPr="00A12D5D">
        <w:t>.</w:t>
      </w:r>
      <w:r w:rsidR="00FB12E9">
        <w:t xml:space="preserve"> As of 2025</w:t>
      </w:r>
      <w:r w:rsidR="00A12D5D" w:rsidRPr="00A12D5D">
        <w:t xml:space="preserve">, human clinical data on RK alone </w:t>
      </w:r>
      <w:r w:rsidR="00FB12E9">
        <w:t>is very</w:t>
      </w:r>
      <w:r w:rsidR="00A12D5D" w:rsidRPr="00A12D5D">
        <w:t xml:space="preserve"> limited</w:t>
      </w:r>
      <w:r w:rsidR="00FB12E9">
        <w:t xml:space="preserve"> with</w:t>
      </w:r>
      <w:r w:rsidR="00A12D5D" w:rsidRPr="00A12D5D">
        <w:t xml:space="preserve"> only a few small trials or case studies, none of which offer definitive evidence of efficacy. </w:t>
      </w:r>
    </w:p>
    <w:p w14:paraId="20FE4A19" w14:textId="5A4FFF2E" w:rsidR="00874251" w:rsidRDefault="001E70B6" w:rsidP="00D60627">
      <w:pPr>
        <w:spacing w:line="360" w:lineRule="auto"/>
        <w:jc w:val="both"/>
      </w:pPr>
      <w:r>
        <w:t>Critically,</w:t>
      </w:r>
      <w:r w:rsidR="00874251" w:rsidRPr="00874251">
        <w:t xml:space="preserve"> </w:t>
      </w:r>
      <w:r w:rsidRPr="00874251">
        <w:t xml:space="preserve">many </w:t>
      </w:r>
      <w:r w:rsidR="00874251" w:rsidRPr="00874251">
        <w:t xml:space="preserve">of these are </w:t>
      </w:r>
      <w:r w:rsidR="001408CF">
        <w:t xml:space="preserve">preliminary often with very small sample size, </w:t>
      </w:r>
      <w:r w:rsidR="00874251" w:rsidRPr="00874251">
        <w:t>preclinical tests on mice or rats, and th</w:t>
      </w:r>
      <w:r w:rsidR="001408CF">
        <w:t>at to with doses much higher than usually taken by humans</w:t>
      </w:r>
      <w:r w:rsidR="00874251" w:rsidRPr="00874251">
        <w:t xml:space="preserve">. </w:t>
      </w:r>
      <w:r w:rsidR="00FC5D15">
        <w:t>As pointed out by most of the reviews, very few human studies that too with small trials do not show benefits with a clarity</w:t>
      </w:r>
      <w:r w:rsidR="00874251" w:rsidRPr="00874251">
        <w:t xml:space="preserve">. </w:t>
      </w:r>
      <w:r w:rsidR="00FC5D15">
        <w:t xml:space="preserve">Although, one docking study suggests binding with </w:t>
      </w:r>
      <w:r w:rsidR="00FC5D15" w:rsidRPr="00FC5D15">
        <w:t>PPAR-α</w:t>
      </w:r>
      <w:r w:rsidR="00FC5D15">
        <w:t>, yet there is no wet lab report from knockout studies or blockers</w:t>
      </w:r>
      <w:r w:rsidR="00874251" w:rsidRPr="00874251">
        <w:t xml:space="preserve"> [30].</w:t>
      </w:r>
      <w:r w:rsidR="00874251">
        <w:t xml:space="preserve"> </w:t>
      </w:r>
      <w:r w:rsidR="00987019" w:rsidRPr="00987019">
        <w:t>Another problem is that most papers</w:t>
      </w:r>
      <w:r>
        <w:t>,</w:t>
      </w:r>
      <w:r w:rsidR="00987019" w:rsidRPr="00987019">
        <w:t xml:space="preserve"> </w:t>
      </w:r>
      <w:r w:rsidRPr="00987019">
        <w:t xml:space="preserve">especially in nutraceutical research </w:t>
      </w:r>
      <w:r w:rsidR="00987019" w:rsidRPr="00987019">
        <w:t>show only positive results, while negative or no-result studies are often not reported.</w:t>
      </w:r>
      <w:r w:rsidR="00874251" w:rsidRPr="00874251">
        <w:t xml:space="preserve"> </w:t>
      </w:r>
      <w:r w:rsidR="00987019" w:rsidRPr="00987019">
        <w:t xml:space="preserve">Overall, RK shows many effects in lab and animal studies, but we should </w:t>
      </w:r>
      <w:r w:rsidR="00987019">
        <w:t xml:space="preserve">apply in Humans </w:t>
      </w:r>
      <w:r>
        <w:t>only after</w:t>
      </w:r>
      <w:r w:rsidR="00987019" w:rsidRPr="00987019">
        <w:t xml:space="preserve"> more clear data from dose and long-term safety studies are available.</w:t>
      </w:r>
    </w:p>
    <w:p w14:paraId="195ABB73" w14:textId="77777777" w:rsidR="003E5D1C" w:rsidRPr="00467813" w:rsidRDefault="003E5D1C" w:rsidP="008E1E0C">
      <w:pPr>
        <w:spacing w:line="360" w:lineRule="auto"/>
        <w:rPr>
          <w:b/>
          <w:bCs/>
        </w:rPr>
      </w:pPr>
      <w:r w:rsidRPr="00467813">
        <w:rPr>
          <w:b/>
          <w:bCs/>
        </w:rPr>
        <w:t>4. Toxicological Profile</w:t>
      </w:r>
    </w:p>
    <w:p w14:paraId="48D5E2F9" w14:textId="77777777" w:rsidR="003E5D1C" w:rsidRPr="00467813" w:rsidRDefault="003E5D1C" w:rsidP="008E1E0C">
      <w:pPr>
        <w:spacing w:line="360" w:lineRule="auto"/>
        <w:rPr>
          <w:b/>
          <w:bCs/>
        </w:rPr>
      </w:pPr>
      <w:r w:rsidRPr="00467813">
        <w:rPr>
          <w:b/>
          <w:bCs/>
        </w:rPr>
        <w:t>4.1. Absorption, Distribution, Metabolism, Excretion (ADME)</w:t>
      </w:r>
    </w:p>
    <w:p w14:paraId="0CED961F" w14:textId="251FBFC6" w:rsidR="00243079" w:rsidRPr="00243079" w:rsidRDefault="004070B6" w:rsidP="00243079">
      <w:pPr>
        <w:spacing w:line="360" w:lineRule="auto"/>
        <w:jc w:val="both"/>
      </w:pPr>
      <w:r w:rsidRPr="004070B6">
        <w:t>Recent progress like development of HPLC-MS/MS methods has made it easier to detect and measure RK and its metabolites in plasma and brain</w:t>
      </w:r>
      <w:r>
        <w:t xml:space="preserve"> </w:t>
      </w:r>
      <w:r w:rsidR="00DC49C0" w:rsidRPr="00DC49C0">
        <w:t xml:space="preserve">[31]. </w:t>
      </w:r>
      <w:r w:rsidR="00E962D0" w:rsidRPr="006E70D2">
        <w:rPr>
          <w:highlight w:val="yellow"/>
        </w:rPr>
        <w:t>Mammals absorb RK quickly, and a key study in rats, guinea pigs, and rabbits showed that over 90% of an oral dose was taken up and passed out in urine within 24 hours</w:t>
      </w:r>
      <w:r w:rsidR="00DC49C0" w:rsidRPr="006E70D2">
        <w:rPr>
          <w:highlight w:val="yellow"/>
        </w:rPr>
        <w:t xml:space="preserve"> [32].</w:t>
      </w:r>
      <w:r w:rsidR="00DC49C0" w:rsidRPr="00DC49C0">
        <w:t xml:space="preserve"> </w:t>
      </w:r>
      <w:r w:rsidR="00030F15" w:rsidRPr="00030F15">
        <w:t xml:space="preserve">Mostly RK metabolism involves converting the ketone to </w:t>
      </w:r>
      <w:proofErr w:type="spellStart"/>
      <w:r w:rsidR="00030F15" w:rsidRPr="00030F15">
        <w:t>rheosmin</w:t>
      </w:r>
      <w:proofErr w:type="spellEnd"/>
      <w:r w:rsidR="00030F15" w:rsidRPr="00030F15">
        <w:t xml:space="preserve"> alcohol i.e.  4-(4-hydroxyphenyl)-2-butanol</w:t>
      </w:r>
      <w:proofErr w:type="gramStart"/>
      <w:r w:rsidR="00030F15" w:rsidRPr="00030F15">
        <w:t>  which</w:t>
      </w:r>
      <w:proofErr w:type="gramEnd"/>
      <w:r w:rsidR="00030F15" w:rsidRPr="00030F15">
        <w:t xml:space="preserve"> along with its conjugates, such as glucuronides are excreted in urine</w:t>
      </w:r>
      <w:r w:rsidR="00DC49C0" w:rsidRPr="00DC49C0">
        <w:t xml:space="preserve"> </w:t>
      </w:r>
      <w:r w:rsidR="00030F15" w:rsidRPr="00DC49C0">
        <w:t>[</w:t>
      </w:r>
      <w:r w:rsidR="00030F15">
        <w:t>2</w:t>
      </w:r>
      <w:r w:rsidR="00030F15" w:rsidRPr="00DC49C0">
        <w:t>]</w:t>
      </w:r>
      <w:r w:rsidR="00030F15">
        <w:t>,</w:t>
      </w:r>
      <w:r w:rsidR="00030F15" w:rsidRPr="00DC49C0">
        <w:t xml:space="preserve"> [</w:t>
      </w:r>
      <w:r w:rsidR="00030F15">
        <w:t>6</w:t>
      </w:r>
      <w:r w:rsidR="00030F15" w:rsidRPr="00DC49C0">
        <w:t>]</w:t>
      </w:r>
      <w:r w:rsidR="00030F15">
        <w:t>,</w:t>
      </w:r>
      <w:r w:rsidR="00030F15" w:rsidRPr="00DC49C0">
        <w:t xml:space="preserve"> </w:t>
      </w:r>
      <w:r w:rsidR="00DC49C0" w:rsidRPr="00DC49C0">
        <w:t xml:space="preserve">[17]. </w:t>
      </w:r>
      <w:r w:rsidR="001268BB">
        <w:t xml:space="preserve">Whereas, </w:t>
      </w:r>
      <w:r w:rsidR="001268BB" w:rsidRPr="001268BB">
        <w:t>Minor pathways involve p-hydroxylation of the benzene ring and side-chain β-oxidation, resulting in metabolites such as 4-</w:t>
      </w:r>
      <w:r w:rsidR="001268BB" w:rsidRPr="001268BB">
        <w:lastRenderedPageBreak/>
        <w:t>hydroxybenzoic acid and 4-hydroxyphenyl acetic acid.</w:t>
      </w:r>
      <w:r w:rsidR="001268BB">
        <w:t xml:space="preserve"> </w:t>
      </w:r>
      <w:r w:rsidR="00DC49C0" w:rsidRPr="00DC49C0">
        <w:t xml:space="preserve"> </w:t>
      </w:r>
      <w:r w:rsidR="00F973D0" w:rsidRPr="00F973D0">
        <w:t>A recent study on mice found that RK levels in the blood peaks in just 5 to 30 minutes after oral dosing. It is found in fat and brain, but levels in the blood drop off after a few hours. RK was cleared more slowly and built up more in fat in diet induced obese mice than in lean mice. This is likely because obese mice take more of it due to high fat</w:t>
      </w:r>
      <w:r w:rsidR="00F973D0">
        <w:t xml:space="preserve"> </w:t>
      </w:r>
      <w:r w:rsidR="00DC49C0" w:rsidRPr="00F973D0">
        <w:t>[33]</w:t>
      </w:r>
      <w:r w:rsidR="00F973D0" w:rsidRPr="00F973D0">
        <w:t>.</w:t>
      </w:r>
      <w:r w:rsidR="00DC49C0" w:rsidRPr="00DC49C0">
        <w:t xml:space="preserve"> </w:t>
      </w:r>
      <w:r w:rsidR="00243079" w:rsidRPr="00243079">
        <w:t>Rodents and rabbits produce the same metabolites which differ in their relative proportions</w:t>
      </w:r>
      <w:r w:rsidR="00243079">
        <w:t xml:space="preserve"> </w:t>
      </w:r>
      <w:r w:rsidR="00DC49C0" w:rsidRPr="00DC49C0">
        <w:t xml:space="preserve">[17]. </w:t>
      </w:r>
      <w:r w:rsidR="00F02E7D" w:rsidRPr="00F02E7D">
        <w:t>One consequence of</w:t>
      </w:r>
      <w:r w:rsidR="00F02E7D">
        <w:t xml:space="preserve"> the</w:t>
      </w:r>
      <w:r w:rsidR="00243079" w:rsidRPr="00243079">
        <w:t xml:space="preserve"> rapid metabolism to raspberry alcohol, </w:t>
      </w:r>
      <w:r w:rsidR="00F02E7D" w:rsidRPr="00DC49C0">
        <w:t>which is relatively inert</w:t>
      </w:r>
      <w:r w:rsidR="00F02E7D">
        <w:t>, is that the</w:t>
      </w:r>
      <w:r w:rsidR="00F02E7D" w:rsidRPr="00F02E7D">
        <w:t xml:space="preserve"> real effects may </w:t>
      </w:r>
      <w:r w:rsidR="00F02E7D">
        <w:t>also be</w:t>
      </w:r>
      <w:r w:rsidR="00F02E7D" w:rsidRPr="00F02E7D">
        <w:t xml:space="preserve"> </w:t>
      </w:r>
      <w:r w:rsidR="00F02E7D">
        <w:t xml:space="preserve">of shorter duration </w:t>
      </w:r>
      <w:r w:rsidR="00F02E7D" w:rsidRPr="00F02E7D">
        <w:t xml:space="preserve">or </w:t>
      </w:r>
      <w:r w:rsidR="00F02E7D">
        <w:t xml:space="preserve">if longer, they may be due to presence of </w:t>
      </w:r>
      <w:r w:rsidR="00F02E7D" w:rsidRPr="00F02E7D">
        <w:t>other stronger metabolites</w:t>
      </w:r>
      <w:r w:rsidR="00F02E7D">
        <w:t>, if any.</w:t>
      </w:r>
    </w:p>
    <w:p w14:paraId="35171000" w14:textId="11A4DB76" w:rsidR="003E5D1C" w:rsidRDefault="003E5D1C" w:rsidP="00886E36">
      <w:pPr>
        <w:spacing w:line="360" w:lineRule="auto"/>
        <w:jc w:val="both"/>
      </w:pPr>
    </w:p>
    <w:p w14:paraId="635817A4" w14:textId="7A523BDE" w:rsidR="003E5D1C" w:rsidRDefault="00886E36" w:rsidP="0013298D">
      <w:pPr>
        <w:spacing w:line="360" w:lineRule="auto"/>
        <w:jc w:val="center"/>
      </w:pPr>
      <w:r>
        <w:rPr>
          <w:noProof/>
        </w:rPr>
        <w:lastRenderedPageBreak/>
        <w:drawing>
          <wp:inline distT="0" distB="0" distL="0" distR="0" wp14:anchorId="3FCFB161" wp14:editId="1DD4A84A">
            <wp:extent cx="5285740" cy="6521450"/>
            <wp:effectExtent l="0" t="0" r="0" b="0"/>
            <wp:docPr id="2020500654" name="Picture 15"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500654" name="Picture 15" descr="Figure 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5740" cy="6521450"/>
                    </a:xfrm>
                    <a:prstGeom prst="rect">
                      <a:avLst/>
                    </a:prstGeom>
                    <a:noFill/>
                    <a:ln>
                      <a:noFill/>
                    </a:ln>
                  </pic:spPr>
                </pic:pic>
              </a:graphicData>
            </a:graphic>
          </wp:inline>
        </w:drawing>
      </w:r>
    </w:p>
    <w:p w14:paraId="1673F7EA" w14:textId="4ED2E6D7" w:rsidR="003E5D1C" w:rsidRDefault="003E5D1C" w:rsidP="00517907">
      <w:pPr>
        <w:spacing w:line="360" w:lineRule="auto"/>
        <w:jc w:val="both"/>
      </w:pPr>
      <w:r w:rsidRPr="00467813">
        <w:rPr>
          <w:b/>
          <w:bCs/>
        </w:rPr>
        <w:t>Figure 6:</w:t>
      </w:r>
      <w:r>
        <w:t xml:space="preserve"> Image shows the comparison of plasma concentration-time curves of RK in lean vs. obese models, illustrating slower clearance in obesity. Pie charts indicate profile of different phenolic categories. </w:t>
      </w:r>
      <w:proofErr w:type="spellStart"/>
      <w:r>
        <w:t>ΔC</w:t>
      </w:r>
      <w:r w:rsidRPr="00467813">
        <w:rPr>
          <w:vertAlign w:val="subscript"/>
        </w:rPr>
        <w:t>total</w:t>
      </w:r>
      <w:proofErr w:type="spellEnd"/>
      <w:r>
        <w:t>, net change in total phenol concentration versus baseline. Data are expressed as mean ± SEM (n = 3–5). (Adopted from Zhao et al., 2020)</w:t>
      </w:r>
      <w:r w:rsidR="00886E36">
        <w:t xml:space="preserve"> </w:t>
      </w:r>
      <w:r w:rsidR="00886E36">
        <w:fldChar w:fldCharType="begin"/>
      </w:r>
      <w:r w:rsidR="00886E36">
        <w:instrText xml:space="preserve"> ADDIN ZOTERO_ITEM CSL_CITATION {"citationID":"ulTexw57","properties":{"formattedCitation":"[33]","plainCitation":"[33]","noteIndex":0},"citationItems":[{"id":17,"uris":["http://zotero.org/users/16306459/items/RX4T7F7N"],"itemData":{"id":17,"type":"article-journal","abstract":"Objectives\n              Raspberry ketone (RK) is the primary aroma compound in red raspberries and a dietary supplement for weight loss. This work aims to 1) compare RK bioavailability in male versus female, normal‐weight versus obese mice; 2) characterize RK metabolic pathways.\n            \n            \n              Methods\n              \n                Study 1: C57BL/6J male and female mice fed a low‐fat diet (LFD; 10% fat) receive a single oral gavage dose of RK (200 mg kg\n                −1\n                ). Blood, brain, and white adipose tissue (WAT) are collected over 12 h. Study 2: Male mice are fed a LFD or high‐fat diet (45% fat) for 8 weeks before RK dosing. Samples collected are analyzed by UPLC‐MS/MS for RK and its metabolites.\n              \n            \n            \n              Results\n              \n                RK is rapidly absorbed (\n                T\n                max\n                 ≈ 15 min), and bioconverted into diverse metabolites in mice. Total bioavailability (AUC\n                0–12 h\n                ) is slightly lower in females than males (566 vs 675 nmol mL\n                −1\n                min\n                −1\n                ). Total bioavailability in obese mice is almost doubled that of control mice (1197 vs 679 nmol mL\n                −1\n                min\n                −1\n                ), while peaking times and elimination half‐lives are delayed. Higher levels of RK and major metabolites are found in WAT of the obese than normal‐weight animals.\n              \n            \n            \n              Conclusions\n              RK is highly bioavailable, rapidly metabolized, and exhibits significantly different pharmacokinetic behaviors between obese and control mice. Lipid‐rich tissues, especially WAT, can be a direct target of RK.","container-title":"Molecular Nutrition &amp; Food Research","DOI":"10.1002/mnfr.201900907","ISSN":"1613-4125, 1613-4133","issue":"8","journalAbbreviation":"Molecular Nutrition Food Res","language":"en","page":"1900907","source":"DOI.org (Crossref)","title":"Influence of Diet‐Induced Obesity on the Bioavailability and Metabolism of Raspberry Ketone (4‐(4‐Hydroxyphenyl)‐2‐Butanone) in Mice","volume":"64","author":[{"family":"Zhao","given":"Danyue"},{"family":"Yuan","given":"Bo"},{"family":"Kshatriya","given":"Dushyant"},{"family":"Polyak","given":"Andrew"},{"family":"Simon","given":"James E."},{"family":"Bello","given":"Nicholas T."},{"family":"Wu","given":"Qingli"}],"issued":{"date-parts":[["2020",4]]}}}],"schema":"https://github.com/citation-style-language/schema/raw/master/csl-citation.json"} </w:instrText>
      </w:r>
      <w:r w:rsidR="00886E36">
        <w:fldChar w:fldCharType="separate"/>
      </w:r>
      <w:r w:rsidR="00886E36" w:rsidRPr="00886E36">
        <w:rPr>
          <w:rFonts w:cs="Times New Roman"/>
        </w:rPr>
        <w:t>[33]</w:t>
      </w:r>
      <w:r w:rsidR="00886E36">
        <w:fldChar w:fldCharType="end"/>
      </w:r>
      <w:r>
        <w:t>.</w:t>
      </w:r>
    </w:p>
    <w:p w14:paraId="5F0FC123" w14:textId="77777777" w:rsidR="00467813" w:rsidRDefault="00467813" w:rsidP="00517907">
      <w:pPr>
        <w:spacing w:line="360" w:lineRule="auto"/>
        <w:jc w:val="both"/>
      </w:pPr>
    </w:p>
    <w:p w14:paraId="79FA8FAA" w14:textId="77777777" w:rsidR="003E5D1C" w:rsidRPr="00467813" w:rsidRDefault="003E5D1C" w:rsidP="008E1E0C">
      <w:pPr>
        <w:spacing w:line="360" w:lineRule="auto"/>
        <w:rPr>
          <w:b/>
          <w:bCs/>
        </w:rPr>
      </w:pPr>
      <w:r w:rsidRPr="00467813">
        <w:rPr>
          <w:b/>
          <w:bCs/>
        </w:rPr>
        <w:t>4.2. Dose–Response and Safety Margins</w:t>
      </w:r>
    </w:p>
    <w:p w14:paraId="75ACC08D" w14:textId="13931367" w:rsidR="002D2201" w:rsidRDefault="002D2201" w:rsidP="008C3A45">
      <w:pPr>
        <w:spacing w:line="360" w:lineRule="auto"/>
        <w:jc w:val="both"/>
      </w:pPr>
      <w:r w:rsidRPr="002D2201">
        <w:lastRenderedPageBreak/>
        <w:t xml:space="preserve">In animal models, RK </w:t>
      </w:r>
      <w:r w:rsidR="00F26515">
        <w:t>shows</w:t>
      </w:r>
      <w:r w:rsidRPr="002D2201">
        <w:t xml:space="preserve"> low acute toxicity. </w:t>
      </w:r>
      <w:r w:rsidR="00F26515" w:rsidRPr="002D2201">
        <w:t>LD50 estimates in rodents are in the g/kg range</w:t>
      </w:r>
      <w:r w:rsidR="00F26515">
        <w:t>, which means they</w:t>
      </w:r>
      <w:r w:rsidRPr="002D2201">
        <w:t xml:space="preserve"> can handle large oral doses</w:t>
      </w:r>
      <w:r w:rsidR="00F26515">
        <w:t xml:space="preserve"> and have </w:t>
      </w:r>
      <w:r w:rsidRPr="002D2201">
        <w:t xml:space="preserve">a large safety margin [34]. </w:t>
      </w:r>
      <w:r w:rsidR="00F26515" w:rsidRPr="00F26515">
        <w:t xml:space="preserve">In 90-day rat studies, doses up to about 700 mg/kg/day showed </w:t>
      </w:r>
      <w:r w:rsidRPr="002D2201">
        <w:t xml:space="preserve">no significant toxicity or organ damage [35]. </w:t>
      </w:r>
      <w:r w:rsidR="00F26515">
        <w:t>However</w:t>
      </w:r>
      <w:r w:rsidRPr="002D2201">
        <w:t xml:space="preserve">, </w:t>
      </w:r>
      <w:r w:rsidR="00F26515">
        <w:t xml:space="preserve">there are very limited </w:t>
      </w:r>
      <w:r w:rsidRPr="002D2201">
        <w:t xml:space="preserve">systematic toxicological data [36]. In rodents, elevated doses </w:t>
      </w:r>
      <w:r w:rsidR="00F26515">
        <w:t>showed little effects on</w:t>
      </w:r>
      <w:r w:rsidRPr="002D2201">
        <w:t xml:space="preserve"> organ </w:t>
      </w:r>
      <w:r w:rsidR="00F26515">
        <w:t>like</w:t>
      </w:r>
      <w:r w:rsidRPr="002D2201">
        <w:t xml:space="preserve"> increased liver and kidney weights without</w:t>
      </w:r>
      <w:r w:rsidR="00577D75">
        <w:t xml:space="preserve"> significant</w:t>
      </w:r>
      <w:r w:rsidRPr="002D2201">
        <w:t xml:space="preserve"> histopathological </w:t>
      </w:r>
      <w:r w:rsidR="00577D75">
        <w:t>changes</w:t>
      </w:r>
      <w:r w:rsidRPr="002D2201">
        <w:t xml:space="preserve"> [35]. </w:t>
      </w:r>
      <w:r w:rsidR="00E7550E" w:rsidRPr="002D2201">
        <w:t xml:space="preserve">The </w:t>
      </w:r>
      <w:r w:rsidRPr="002D2201">
        <w:t xml:space="preserve">majority of RK's beneficial effects </w:t>
      </w:r>
      <w:r w:rsidR="00E7550E" w:rsidRPr="00E7550E">
        <w:t>like weight loss, happen at high doses (50–200 mg/kg in rats), which correspond to an equivalent dose of several hundred milligrams for humans, where safety is not clear</w:t>
      </w:r>
      <w:r w:rsidRPr="002D2201">
        <w:t>. Standard tests have not shown any signs of genotoxicity or mutagenicity (Ames tests</w:t>
      </w:r>
      <w:r w:rsidR="00E7550E">
        <w:t xml:space="preserve"> negative)</w:t>
      </w:r>
      <w:r w:rsidRPr="002D2201">
        <w:t xml:space="preserve"> [35].</w:t>
      </w:r>
    </w:p>
    <w:p w14:paraId="505087E2" w14:textId="77777777" w:rsidR="00F26515" w:rsidRDefault="00F26515" w:rsidP="008C3A45">
      <w:pPr>
        <w:spacing w:line="360" w:lineRule="auto"/>
        <w:jc w:val="both"/>
      </w:pPr>
    </w:p>
    <w:p w14:paraId="208E89C5" w14:textId="61222330" w:rsidR="003E5D1C" w:rsidRPr="00467813" w:rsidRDefault="003E5D1C" w:rsidP="008E1E0C">
      <w:pPr>
        <w:spacing w:line="360" w:lineRule="auto"/>
        <w:rPr>
          <w:b/>
          <w:bCs/>
        </w:rPr>
      </w:pPr>
      <w:r w:rsidRPr="00467813">
        <w:rPr>
          <w:b/>
          <w:bCs/>
        </w:rPr>
        <w:t xml:space="preserve">4.3. </w:t>
      </w:r>
      <w:r w:rsidRPr="00710D3E">
        <w:rPr>
          <w:b/>
          <w:bCs/>
        </w:rPr>
        <w:t>Computational Toxicology Predictions</w:t>
      </w:r>
    </w:p>
    <w:p w14:paraId="2300147B" w14:textId="651EF2AF" w:rsidR="00E657A6" w:rsidRDefault="00E657A6" w:rsidP="00E657A6">
      <w:pPr>
        <w:spacing w:line="360" w:lineRule="auto"/>
        <w:jc w:val="both"/>
      </w:pPr>
      <w:r w:rsidRPr="00E657A6">
        <w:t>For safety, researchers also employed computer models (QSAR) to check RK. These models indicated some risks associated with elevated exposure, such as alterations in heart rhythm or impacts on embryonic development</w:t>
      </w:r>
      <w:r>
        <w:t xml:space="preserve"> [37]</w:t>
      </w:r>
      <w:r w:rsidRPr="00E657A6">
        <w:t>. But still, they are predictions, have not been proven by real experiments, therefore they should be taken as early cautions instead of confirmed conclusions.</w:t>
      </w:r>
    </w:p>
    <w:p w14:paraId="0C9DA969" w14:textId="77777777" w:rsidR="00E657A6" w:rsidRDefault="00E657A6" w:rsidP="008E1E0C">
      <w:pPr>
        <w:spacing w:line="360" w:lineRule="auto"/>
      </w:pPr>
    </w:p>
    <w:p w14:paraId="40E3D26B" w14:textId="551E75E5" w:rsidR="003E5D1C" w:rsidRPr="00467813" w:rsidRDefault="003E5D1C" w:rsidP="008E1E0C">
      <w:pPr>
        <w:spacing w:line="360" w:lineRule="auto"/>
        <w:rPr>
          <w:b/>
          <w:bCs/>
        </w:rPr>
      </w:pPr>
      <w:r w:rsidRPr="00467813">
        <w:rPr>
          <w:b/>
          <w:bCs/>
        </w:rPr>
        <w:t>4.4. Human Adverse Events</w:t>
      </w:r>
    </w:p>
    <w:p w14:paraId="2BBA2153" w14:textId="4490445E" w:rsidR="003D5B94" w:rsidRDefault="00AF76DA" w:rsidP="000F50E7">
      <w:pPr>
        <w:spacing w:line="360" w:lineRule="auto"/>
        <w:jc w:val="both"/>
      </w:pPr>
      <w:r w:rsidRPr="00AF76DA">
        <w:t>RK has been sold as a weight-loss supplement for many years, but clinical safety data are still limited. A small human trial with a mixed supplement showed no major safety issues compared to placebo over 8 weeks</w:t>
      </w:r>
      <w:r w:rsidR="003D5B94" w:rsidRPr="003D5B94">
        <w:t xml:space="preserve"> [29]. </w:t>
      </w:r>
      <w:r w:rsidRPr="00AF76DA">
        <w:t>Since most RK supplements also contain caffeine and other stimulants, it is hard to know the exact safety of RK alone. A 2013 review found no major side effects directly linked to RK, but also noted that human studies are still too few to fully confirm safety</w:t>
      </w:r>
      <w:r>
        <w:t xml:space="preserve"> </w:t>
      </w:r>
      <w:r w:rsidR="003D5B94" w:rsidRPr="003D5B94">
        <w:t xml:space="preserve">[17]. </w:t>
      </w:r>
      <w:r w:rsidR="000316E9" w:rsidRPr="000316E9">
        <w:t xml:space="preserve">here it is worthwhile to mention that RK has a metabolite named, </w:t>
      </w:r>
      <w:proofErr w:type="spellStart"/>
      <w:r w:rsidR="00713790" w:rsidRPr="000316E9">
        <w:t>Rhododendrol</w:t>
      </w:r>
      <w:proofErr w:type="spellEnd"/>
      <w:r w:rsidR="000316E9" w:rsidRPr="000316E9">
        <w:t>, which was earlier used in skin-lightening products in cosmetics but was found to be linked with causing leukoderma by inducing melanocyte cytotoxicity via tyrosinase-mediated quinone formation</w:t>
      </w:r>
      <w:r w:rsidR="000316E9">
        <w:t xml:space="preserve"> [17]</w:t>
      </w:r>
      <w:r w:rsidR="000316E9" w:rsidRPr="000316E9">
        <w:t>. But the usual systemic exposure from oral RK is much lower and more spread out.</w:t>
      </w:r>
    </w:p>
    <w:p w14:paraId="6D562B6B" w14:textId="77777777" w:rsidR="000316E9" w:rsidRDefault="000316E9" w:rsidP="000F50E7">
      <w:pPr>
        <w:spacing w:line="360" w:lineRule="auto"/>
        <w:jc w:val="both"/>
      </w:pPr>
    </w:p>
    <w:p w14:paraId="0F0E0B75" w14:textId="379A0B8E" w:rsidR="003E5D1C" w:rsidRPr="00E20E04" w:rsidRDefault="003E5D1C" w:rsidP="008E1E0C">
      <w:pPr>
        <w:spacing w:line="360" w:lineRule="auto"/>
        <w:rPr>
          <w:b/>
          <w:bCs/>
        </w:rPr>
      </w:pPr>
      <w:r w:rsidRPr="00E20E04">
        <w:rPr>
          <w:b/>
          <w:bCs/>
        </w:rPr>
        <w:t>4.5. Comparative Toxicology (Species Differences)</w:t>
      </w:r>
    </w:p>
    <w:p w14:paraId="3CEAEA49" w14:textId="67C4824D" w:rsidR="003E5D1C" w:rsidRDefault="00727196" w:rsidP="0065235A">
      <w:pPr>
        <w:spacing w:line="360" w:lineRule="auto"/>
        <w:jc w:val="both"/>
      </w:pPr>
      <w:r w:rsidRPr="00727196">
        <w:lastRenderedPageBreak/>
        <w:t>In rodents, RK is rapidly reduced to raspberry alcohol (</w:t>
      </w:r>
      <w:proofErr w:type="spellStart"/>
      <w:r w:rsidRPr="00727196">
        <w:t>rhododendrol</w:t>
      </w:r>
      <w:proofErr w:type="spellEnd"/>
      <w:r w:rsidRPr="00727196">
        <w:t xml:space="preserve">), which is then conjugated and excreted. Studies in human liver microsomes suggest a similar pathway, with carbonyl reductase enzymes converting RK to </w:t>
      </w:r>
      <w:proofErr w:type="spellStart"/>
      <w:r w:rsidRPr="00727196">
        <w:t>rhododendrol</w:t>
      </w:r>
      <w:proofErr w:type="spellEnd"/>
      <w:r w:rsidRPr="00727196">
        <w:t xml:space="preserve"> as the main metabolite</w:t>
      </w:r>
      <w:r w:rsidR="0027736D" w:rsidRPr="0027736D">
        <w:t xml:space="preserve"> [17]. </w:t>
      </w:r>
      <w:r w:rsidRPr="00727196">
        <w:t xml:space="preserve">Species may differ in phase II metabolism; for example, rabbits may form more sulfate conjugates than rodents. However, no species-specific toxicity has been seen, and RK showed no </w:t>
      </w:r>
      <w:r w:rsidRPr="0027736D">
        <w:t>organ</w:t>
      </w:r>
      <w:r>
        <w:t xml:space="preserve"> </w:t>
      </w:r>
      <w:r w:rsidRPr="0027736D">
        <w:t>specific toxicity</w:t>
      </w:r>
      <w:r w:rsidRPr="00727196">
        <w:t xml:space="preserve"> at normal test doses.</w:t>
      </w:r>
      <w:r>
        <w:t xml:space="preserve"> </w:t>
      </w:r>
      <w:r w:rsidR="00EF543A" w:rsidRPr="00EF543A">
        <w:t>High-dose effects of RK on the CNS are not well studied, and its similarity to compounds like synephrine (a phenylethylamine</w:t>
      </w:r>
      <w:r w:rsidR="00EF543A">
        <w:t xml:space="preserve">, having CNS stimulant effects and </w:t>
      </w:r>
      <w:r w:rsidR="00EF543A" w:rsidRPr="00EF543A">
        <w:t>used in weight loss)</w:t>
      </w:r>
      <w:r w:rsidR="00EF543A">
        <w:t xml:space="preserve"> </w:t>
      </w:r>
      <w:r w:rsidR="00EF543A" w:rsidRPr="00EF543A">
        <w:t>has raised concerns about possible stimulant toxicity. However, animal studies so far have not shown such effects at normal doses.</w:t>
      </w:r>
      <w:r w:rsidR="00EF543A">
        <w:t xml:space="preserve"> </w:t>
      </w:r>
      <w:r w:rsidR="001E70B6" w:rsidRPr="001E70B6">
        <w:t>Figure 7 summarizes RK metabolism and distribution.</w:t>
      </w:r>
      <w:r w:rsidR="001E70B6">
        <w:t xml:space="preserve"> </w:t>
      </w:r>
      <w:r w:rsidR="00EF543A" w:rsidRPr="00EF543A">
        <w:t>In rats, guinea pigs, and rabbits, about 70–80% of RK is excreted in urine within 24 hours, mainly as conjugated forms of RK and its reduced metabolite, raspberry alcohol. Rabbits show the highest reduction, while minor pathways involve ring hydroxylation and side-chain oxidation, yielding various hydroxylated derivatives and cleavage products</w:t>
      </w:r>
      <w:r w:rsidR="00EF543A">
        <w:t xml:space="preserve"> </w:t>
      </w:r>
      <w:r w:rsidR="00E159F8" w:rsidRPr="00E159F8">
        <w:t>[32].</w:t>
      </w:r>
      <w:r w:rsidR="00E159F8">
        <w:t xml:space="preserve"> </w:t>
      </w:r>
      <w:r w:rsidR="001E70B6">
        <w:t xml:space="preserve">The </w:t>
      </w:r>
      <w:r w:rsidR="001E70B6" w:rsidRPr="001E70B6">
        <w:t xml:space="preserve">Figure also </w:t>
      </w:r>
      <w:r w:rsidR="001E70B6">
        <w:t>shows</w:t>
      </w:r>
      <w:r w:rsidR="001E70B6" w:rsidRPr="001E70B6">
        <w:t xml:space="preserve"> tissue distribution, showing greater accumulation of RK in fat tissue, with clear differences between lean and obese animals as reported by Zhao et al. (2020).</w:t>
      </w:r>
      <w:r w:rsidR="0013298D">
        <w:t xml:space="preserve"> </w:t>
      </w:r>
      <w:r w:rsidR="0013298D">
        <w:fldChar w:fldCharType="begin"/>
      </w:r>
      <w:r w:rsidR="0013298D">
        <w:instrText xml:space="preserve"> ADDIN ZOTERO_ITEM CSL_CITATION {"citationID":"2WvuNkWw","properties":{"formattedCitation":"[33]","plainCitation":"[33]","noteIndex":0},"citationItems":[{"id":17,"uris":["http://zotero.org/users/16306459/items/RX4T7F7N"],"itemData":{"id":17,"type":"article-journal","abstract":"Objectives\n              Raspberry ketone (RK) is the primary aroma compound in red raspberries and a dietary supplement for weight loss. This work aims to 1) compare RK bioavailability in male versus female, normal‐weight versus obese mice; 2) characterize RK metabolic pathways.\n            \n            \n              Methods\n              \n                Study 1: C57BL/6J male and female mice fed a low‐fat diet (LFD; 10% fat) receive a single oral gavage dose of RK (200 mg kg\n                −1\n                ). Blood, brain, and white adipose tissue (WAT) are collected over 12 h. Study 2: Male mice are fed a LFD or high‐fat diet (45% fat) for 8 weeks before RK dosing. Samples collected are analyzed by UPLC‐MS/MS for RK and its metabolites.\n              \n            \n            \n              Results\n              \n                RK is rapidly absorbed (\n                T\n                max\n                 ≈ 15 min), and bioconverted into diverse metabolites in mice. Total bioavailability (AUC\n                0–12 h\n                ) is slightly lower in females than males (566 vs 675 nmol mL\n                −1\n                min\n                −1\n                ). Total bioavailability in obese mice is almost doubled that of control mice (1197 vs 679 nmol mL\n                −1\n                min\n                −1\n                ), while peaking times and elimination half‐lives are delayed. Higher levels of RK and major metabolites are found in WAT of the obese than normal‐weight animals.\n              \n            \n            \n              Conclusions\n              RK is highly bioavailable, rapidly metabolized, and exhibits significantly different pharmacokinetic behaviors between obese and control mice. Lipid‐rich tissues, especially WAT, can be a direct target of RK.","container-title":"Molecular Nutrition &amp; Food Research","DOI":"10.1002/mnfr.201900907","ISSN":"1613-4125, 1613-4133","issue":"8","journalAbbreviation":"Molecular Nutrition Food Res","language":"en","page":"1900907","source":"DOI.org (Crossref)","title":"Influence of Diet‐Induced Obesity on the Bioavailability and Metabolism of Raspberry Ketone (4‐(4‐Hydroxyphenyl)‐2‐Butanone) in Mice","volume":"64","author":[{"family":"Zhao","given":"Danyue"},{"family":"Yuan","given":"Bo"},{"family":"Kshatriya","given":"Dushyant"},{"family":"Polyak","given":"Andrew"},{"family":"Simon","given":"James E."},{"family":"Bello","given":"Nicholas T."},{"family":"Wu","given":"Qingli"}],"issued":{"date-parts":[["2020",4]]}}}],"schema":"https://github.com/citation-style-language/schema/raw/master/csl-citation.json"} </w:instrText>
      </w:r>
      <w:r w:rsidR="0013298D">
        <w:fldChar w:fldCharType="separate"/>
      </w:r>
      <w:r w:rsidR="0013298D" w:rsidRPr="0013298D">
        <w:rPr>
          <w:rFonts w:cs="Times New Roman"/>
        </w:rPr>
        <w:t>[33]</w:t>
      </w:r>
      <w:r w:rsidR="0013298D">
        <w:fldChar w:fldCharType="end"/>
      </w:r>
      <w:r w:rsidR="003E5D1C">
        <w:t>.</w:t>
      </w:r>
    </w:p>
    <w:p w14:paraId="724E7EA5" w14:textId="16A6E1D2" w:rsidR="003E5D1C" w:rsidRDefault="00121BEE" w:rsidP="008E1E0C">
      <w:pPr>
        <w:spacing w:line="360" w:lineRule="auto"/>
      </w:pPr>
      <w:r>
        <w:rPr>
          <w:rFonts w:cs="Times New Roman"/>
          <w:noProof/>
          <w:kern w:val="0"/>
          <w14:ligatures w14:val="none"/>
        </w:rPr>
        <mc:AlternateContent>
          <mc:Choice Requires="wps">
            <w:drawing>
              <wp:anchor distT="45720" distB="45720" distL="114300" distR="114300" simplePos="0" relativeHeight="251665408" behindDoc="0" locked="0" layoutInCell="1" allowOverlap="1" wp14:anchorId="5BD200BC" wp14:editId="72370B24">
                <wp:simplePos x="0" y="0"/>
                <wp:positionH relativeFrom="column">
                  <wp:posOffset>-61042</wp:posOffset>
                </wp:positionH>
                <wp:positionV relativeFrom="paragraph">
                  <wp:posOffset>1548765</wp:posOffset>
                </wp:positionV>
                <wp:extent cx="380245" cy="248970"/>
                <wp:effectExtent l="0" t="0" r="0" b="0"/>
                <wp:wrapNone/>
                <wp:docPr id="56824499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245" cy="248970"/>
                        </a:xfrm>
                        <a:prstGeom prst="rect">
                          <a:avLst/>
                        </a:prstGeom>
                        <a:noFill/>
                        <a:ln w="9525">
                          <a:noFill/>
                          <a:miter lim="800000"/>
                          <a:headEnd/>
                          <a:tailEnd/>
                        </a:ln>
                      </wps:spPr>
                      <wps:txbx>
                        <w:txbxContent>
                          <w:p w14:paraId="2EB7964B" w14:textId="1AE82C2E" w:rsidR="0013298D" w:rsidRPr="0013298D" w:rsidRDefault="0013298D" w:rsidP="0013298D">
                            <w:pPr>
                              <w:rPr>
                                <w:rFonts w:cs="Times New Roman"/>
                                <w:sz w:val="20"/>
                                <w:szCs w:val="20"/>
                              </w:rPr>
                            </w:pPr>
                            <w:r w:rsidRPr="0013298D">
                              <w:rPr>
                                <w:rFonts w:cs="Times New Roman"/>
                                <w:sz w:val="20"/>
                                <w:szCs w:val="20"/>
                              </w:rPr>
                              <w:t>[</w:t>
                            </w:r>
                            <w:r>
                              <w:rPr>
                                <w:rFonts w:cs="Times New Roman"/>
                                <w:sz w:val="20"/>
                                <w:szCs w:val="20"/>
                              </w:rPr>
                              <w:t>A</w:t>
                            </w:r>
                            <w:r w:rsidRPr="0013298D">
                              <w:rPr>
                                <w:rFonts w:cs="Times New Roman"/>
                                <w:sz w:val="20"/>
                                <w:szCs w:val="20"/>
                              </w:rPr>
                              <w:t>]</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D200BC" id="Text Box 3" o:spid="_x0000_s1028" type="#_x0000_t202" style="position:absolute;margin-left:-4.8pt;margin-top:121.95pt;width:29.95pt;height:19.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" filled="f" stroked="f">
                <v:textbox>
                  <w:txbxContent>
                    <w:p w14:paraId="2EB7964B" w14:textId="1AE82C2E" w:rsidR="0013298D" w:rsidRPr="0013298D" w:rsidRDefault="0013298D" w:rsidP="0013298D">
                      <w:pPr>
                        <w:rPr>
                          <w:rFonts w:cs="Times New Roman"/>
                          <w:sz w:val="20"/>
                          <w:szCs w:val="20"/>
                        </w:rPr>
                      </w:pPr>
                      <w:r w:rsidRPr="0013298D">
                        <w:rPr>
                          <w:rFonts w:cs="Times New Roman"/>
                          <w:sz w:val="20"/>
                          <w:szCs w:val="20"/>
                        </w:rPr>
                        <w:t>[</w:t>
                      </w:r>
                      <w:r>
                        <w:rPr>
                          <w:rFonts w:cs="Times New Roman"/>
                          <w:sz w:val="20"/>
                          <w:szCs w:val="20"/>
                        </w:rPr>
                        <w:t>A</w:t>
                      </w:r>
                      <w:r w:rsidRPr="0013298D">
                        <w:rPr>
                          <w:rFonts w:cs="Times New Roman"/>
                          <w:sz w:val="20"/>
                          <w:szCs w:val="20"/>
                        </w:rPr>
                        <w:t>]</w:t>
                      </w:r>
                    </w:p>
                  </w:txbxContent>
                </v:textbox>
              </v:shape>
            </w:pict>
          </mc:Fallback>
        </mc:AlternateContent>
      </w:r>
      <w:r>
        <w:rPr>
          <w:rFonts w:cs="Times New Roman"/>
          <w:noProof/>
          <w:kern w:val="0"/>
          <w14:ligatures w14:val="none"/>
        </w:rPr>
        <mc:AlternateContent>
          <mc:Choice Requires="wps">
            <w:drawing>
              <wp:anchor distT="45720" distB="45720" distL="114300" distR="114300" simplePos="0" relativeHeight="251663360" behindDoc="0" locked="0" layoutInCell="1" allowOverlap="1" wp14:anchorId="6C4075C9" wp14:editId="79B0AA97">
                <wp:simplePos x="0" y="0"/>
                <wp:positionH relativeFrom="column">
                  <wp:posOffset>2964815</wp:posOffset>
                </wp:positionH>
                <wp:positionV relativeFrom="paragraph">
                  <wp:posOffset>1552022</wp:posOffset>
                </wp:positionV>
                <wp:extent cx="379730" cy="248920"/>
                <wp:effectExtent l="0" t="0" r="0" b="0"/>
                <wp:wrapNone/>
                <wp:docPr id="165104557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248920"/>
                        </a:xfrm>
                        <a:prstGeom prst="rect">
                          <a:avLst/>
                        </a:prstGeom>
                        <a:noFill/>
                        <a:ln w="9525">
                          <a:noFill/>
                          <a:miter lim="800000"/>
                          <a:headEnd/>
                          <a:tailEnd/>
                        </a:ln>
                      </wps:spPr>
                      <wps:txbx>
                        <w:txbxContent>
                          <w:p w14:paraId="7FF398F3" w14:textId="77777777" w:rsidR="0013298D" w:rsidRPr="0013298D" w:rsidRDefault="0013298D" w:rsidP="0013298D">
                            <w:pPr>
                              <w:rPr>
                                <w:rFonts w:cs="Times New Roman"/>
                                <w:sz w:val="20"/>
                                <w:szCs w:val="20"/>
                              </w:rPr>
                            </w:pPr>
                            <w:r w:rsidRPr="0013298D">
                              <w:rPr>
                                <w:rFonts w:cs="Times New Roman"/>
                                <w:sz w:val="20"/>
                                <w:szCs w:val="20"/>
                              </w:rPr>
                              <w:t>[B]</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4075C9" id="_x0000_s1029" type="#_x0000_t202" style="position:absolute;margin-left:233.45pt;margin-top:122.2pt;width:29.9pt;height:19.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" filled="f" stroked="f">
                <v:textbox>
                  <w:txbxContent>
                    <w:p w14:paraId="7FF398F3" w14:textId="77777777" w:rsidR="0013298D" w:rsidRPr="0013298D" w:rsidRDefault="0013298D" w:rsidP="0013298D">
                      <w:pPr>
                        <w:rPr>
                          <w:rFonts w:cs="Times New Roman"/>
                          <w:sz w:val="20"/>
                          <w:szCs w:val="20"/>
                        </w:rPr>
                      </w:pPr>
                      <w:r w:rsidRPr="0013298D">
                        <w:rPr>
                          <w:rFonts w:cs="Times New Roman"/>
                          <w:sz w:val="20"/>
                          <w:szCs w:val="20"/>
                        </w:rPr>
                        <w:t>[B]</w:t>
                      </w:r>
                    </w:p>
                  </w:txbxContent>
                </v:textbox>
              </v:shape>
            </w:pict>
          </mc:Fallback>
        </mc:AlternateContent>
      </w:r>
      <w:r w:rsidR="0013298D">
        <w:rPr>
          <w:noProof/>
        </w:rPr>
        <w:drawing>
          <wp:inline distT="0" distB="0" distL="0" distR="0" wp14:anchorId="2374F52A" wp14:editId="58EDFFA8">
            <wp:extent cx="3012440" cy="1807210"/>
            <wp:effectExtent l="0" t="0" r="16510" b="2540"/>
            <wp:docPr id="446988663" name="Chart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14E8366-F290-D67B-35B9-1D086055DA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13298D">
        <w:rPr>
          <w:noProof/>
        </w:rPr>
        <w:drawing>
          <wp:inline distT="0" distB="0" distL="0" distR="0" wp14:anchorId="5B0E214F" wp14:editId="5C217326">
            <wp:extent cx="2653030" cy="1791335"/>
            <wp:effectExtent l="19050" t="19050" r="13970" b="18415"/>
            <wp:docPr id="490258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258998" name="Picture 1"/>
                    <pic:cNvPicPr>
                      <a:picLocks noChangeAspect="1"/>
                    </pic:cNvPicPr>
                  </pic:nvPicPr>
                  <pic:blipFill>
                    <a:blip r:embed="rId16"/>
                    <a:stretch>
                      <a:fillRect/>
                    </a:stretch>
                  </pic:blipFill>
                  <pic:spPr>
                    <a:xfrm>
                      <a:off x="0" y="0"/>
                      <a:ext cx="2653030" cy="1791335"/>
                    </a:xfrm>
                    <a:prstGeom prst="rect">
                      <a:avLst/>
                    </a:prstGeom>
                    <a:ln w="6350">
                      <a:solidFill>
                        <a:schemeClr val="bg1">
                          <a:lumMod val="75000"/>
                        </a:schemeClr>
                      </a:solidFill>
                    </a:ln>
                  </pic:spPr>
                </pic:pic>
              </a:graphicData>
            </a:graphic>
          </wp:inline>
        </w:drawing>
      </w:r>
    </w:p>
    <w:p w14:paraId="4FF955F3" w14:textId="77777777" w:rsidR="003E5D1C" w:rsidRDefault="003E5D1C" w:rsidP="00517907">
      <w:pPr>
        <w:spacing w:line="360" w:lineRule="auto"/>
        <w:jc w:val="both"/>
      </w:pPr>
      <w:r w:rsidRPr="00E20E04">
        <w:rPr>
          <w:b/>
          <w:bCs/>
        </w:rPr>
        <w:t>Figure 7.</w:t>
      </w:r>
      <w:r>
        <w:t xml:space="preserve"> (Comparative ADME) [A]A visual summary of RK metabolism across species – for instance, a schematic or chart showing &gt;80% urinary excretion of RK as raspberry alcohol and conjugates in rats vs. projected human pathway. [B] tissue distribution of RK and metabolites in tissues (e.g., accumulation in adipose tissue) differences between lean and obese phenotypes</w:t>
      </w:r>
    </w:p>
    <w:p w14:paraId="2B633933" w14:textId="77777777" w:rsidR="003E5D1C" w:rsidRDefault="003E5D1C" w:rsidP="008E1E0C">
      <w:pPr>
        <w:spacing w:line="360" w:lineRule="auto"/>
      </w:pPr>
    </w:p>
    <w:p w14:paraId="5F9D2C43" w14:textId="65D6AC5A" w:rsidR="00F203BA" w:rsidRDefault="00506A47" w:rsidP="001E70B6">
      <w:pPr>
        <w:spacing w:line="360" w:lineRule="auto"/>
        <w:jc w:val="both"/>
      </w:pPr>
      <w:r w:rsidRPr="00506A47">
        <w:t>Present reports show RK is not acutely toxic in doses used by humans, but exact safety limits are not clear. Lack of full toxicology data, especially for long use and effects on reproduction, is a concern for regulators.</w:t>
      </w:r>
      <w:r w:rsidR="00F203BA" w:rsidRPr="00F203BA">
        <w:t xml:space="preserve"> Due to the high daily intake recommended (up to 1 g/day) and RK's pharmacologically active properties, a cautious approach is necessary.  </w:t>
      </w:r>
      <w:r>
        <w:t xml:space="preserve">Since Average Daily </w:t>
      </w:r>
      <w:r>
        <w:lastRenderedPageBreak/>
        <w:t xml:space="preserve">intake </w:t>
      </w:r>
      <w:proofErr w:type="spellStart"/>
      <w:r>
        <w:t>can not</w:t>
      </w:r>
      <w:proofErr w:type="spellEnd"/>
      <w:r>
        <w:t xml:space="preserve"> be fixed without more studies, so further controlled work is needed and t</w:t>
      </w:r>
      <w:r w:rsidR="00F203BA" w:rsidRPr="00F203BA">
        <w:t>hese should include tests for reproductive toxicity in rodents, tests for possible pro-arrhythmic effects (since RK is structurally similar to some aromatic ketones that can affect ion channels), and tests for hepatotoxicity or nephrotoxicity in long-term use.</w:t>
      </w:r>
    </w:p>
    <w:p w14:paraId="2FDAD558" w14:textId="77777777" w:rsidR="00610EF6" w:rsidRDefault="00610EF6" w:rsidP="008E1E0C">
      <w:pPr>
        <w:spacing w:line="360" w:lineRule="auto"/>
        <w:rPr>
          <w:b/>
          <w:bCs/>
        </w:rPr>
      </w:pPr>
    </w:p>
    <w:p w14:paraId="17BA5B88" w14:textId="25D67889" w:rsidR="003E5D1C" w:rsidRPr="001823C5" w:rsidRDefault="003E5D1C" w:rsidP="008E1E0C">
      <w:pPr>
        <w:spacing w:line="360" w:lineRule="auto"/>
        <w:rPr>
          <w:b/>
          <w:bCs/>
        </w:rPr>
      </w:pPr>
      <w:r w:rsidRPr="001823C5">
        <w:rPr>
          <w:b/>
          <w:bCs/>
        </w:rPr>
        <w:t>5. Emerging Applications</w:t>
      </w:r>
    </w:p>
    <w:p w14:paraId="63562514" w14:textId="77777777" w:rsidR="003E5D1C" w:rsidRPr="001823C5" w:rsidRDefault="003E5D1C" w:rsidP="008E1E0C">
      <w:pPr>
        <w:spacing w:line="360" w:lineRule="auto"/>
        <w:rPr>
          <w:b/>
          <w:bCs/>
        </w:rPr>
      </w:pPr>
      <w:r w:rsidRPr="001823C5">
        <w:rPr>
          <w:b/>
          <w:bCs/>
        </w:rPr>
        <w:t>5.1. Nanocarrier Delivery Systems</w:t>
      </w:r>
    </w:p>
    <w:p w14:paraId="4DF6FCD7" w14:textId="1AF188C0" w:rsidR="00E65F7B" w:rsidRPr="00CF6E50" w:rsidRDefault="00291992" w:rsidP="00D578C2">
      <w:pPr>
        <w:spacing w:line="360" w:lineRule="auto"/>
        <w:jc w:val="both"/>
        <w:rPr>
          <w:color w:val="FF0000"/>
        </w:rPr>
      </w:pPr>
      <w:r w:rsidRPr="00291992">
        <w:t xml:space="preserve">Researchers have </w:t>
      </w:r>
      <w:r w:rsidR="00610EF6">
        <w:t>developed</w:t>
      </w:r>
      <w:r w:rsidRPr="00291992">
        <w:t xml:space="preserve"> delivery systems based on nanotechnology to deal with RK's moderate water solubility and rapid clearance. One approach utilizes self-nanoemulsifying drug delivery systems (SNEDDS) and </w:t>
      </w:r>
      <w:proofErr w:type="spellStart"/>
      <w:r w:rsidRPr="00291992">
        <w:t>nanoemulsions</w:t>
      </w:r>
      <w:proofErr w:type="spellEnd"/>
      <w:r w:rsidRPr="00291992">
        <w:t xml:space="preserve"> [38]. </w:t>
      </w:r>
      <w:r w:rsidR="00E65F7B" w:rsidRPr="00E65F7B">
        <w:t xml:space="preserve">A 2020 work </w:t>
      </w:r>
      <w:r w:rsidR="00E65F7B">
        <w:t>created an</w:t>
      </w:r>
      <w:r w:rsidR="00E65F7B" w:rsidRPr="00E65F7B">
        <w:t xml:space="preserve"> RK </w:t>
      </w:r>
      <w:r w:rsidR="00E65F7B">
        <w:t xml:space="preserve">loaded </w:t>
      </w:r>
      <w:proofErr w:type="spellStart"/>
      <w:r w:rsidR="00E65F7B" w:rsidRPr="00E65F7B">
        <w:t>nanoemulsion</w:t>
      </w:r>
      <w:proofErr w:type="spellEnd"/>
      <w:r w:rsidR="00E65F7B" w:rsidRPr="00E65F7B">
        <w:t xml:space="preserve"> with droplet size around 68 nm. </w:t>
      </w:r>
      <w:r w:rsidR="00E65F7B" w:rsidRPr="00C603FC">
        <w:rPr>
          <w:highlight w:val="yellow"/>
        </w:rPr>
        <w:t xml:space="preserve">This </w:t>
      </w:r>
      <w:proofErr w:type="spellStart"/>
      <w:r w:rsidR="00E65F7B" w:rsidRPr="00C603FC">
        <w:rPr>
          <w:highlight w:val="yellow"/>
        </w:rPr>
        <w:t>nanoemulsion</w:t>
      </w:r>
      <w:proofErr w:type="spellEnd"/>
      <w:r w:rsidR="00E65F7B" w:rsidRPr="00C603FC">
        <w:rPr>
          <w:highlight w:val="yellow"/>
        </w:rPr>
        <w:t xml:space="preserve"> gave more than double oral bioavailability compared to plain RK suspension in rats. Better absorption was shown by higher </w:t>
      </w:r>
      <w:proofErr w:type="spellStart"/>
      <w:r w:rsidR="00E65F7B" w:rsidRPr="00C603FC">
        <w:rPr>
          <w:highlight w:val="yellow"/>
        </w:rPr>
        <w:t>Cmax</w:t>
      </w:r>
      <w:proofErr w:type="spellEnd"/>
      <w:r w:rsidR="00E65F7B" w:rsidRPr="00C603FC">
        <w:rPr>
          <w:highlight w:val="yellow"/>
        </w:rPr>
        <w:t xml:space="preserve"> and AUC, maybe due to more solubility and lymphatic transport [39]. RK was also tried in </w:t>
      </w:r>
      <w:proofErr w:type="spellStart"/>
      <w:r w:rsidR="00E65F7B" w:rsidRPr="00C603FC">
        <w:rPr>
          <w:highlight w:val="yellow"/>
        </w:rPr>
        <w:t>electrospun</w:t>
      </w:r>
      <w:proofErr w:type="spellEnd"/>
      <w:r w:rsidR="00E65F7B" w:rsidRPr="00C603FC">
        <w:rPr>
          <w:highlight w:val="yellow"/>
        </w:rPr>
        <w:t xml:space="preserve"> </w:t>
      </w:r>
      <w:proofErr w:type="spellStart"/>
      <w:r w:rsidR="00E65F7B" w:rsidRPr="00C603FC">
        <w:rPr>
          <w:highlight w:val="yellow"/>
        </w:rPr>
        <w:t>nanofibers</w:t>
      </w:r>
      <w:proofErr w:type="spellEnd"/>
      <w:r w:rsidR="00E65F7B" w:rsidRPr="00C603FC">
        <w:rPr>
          <w:highlight w:val="yellow"/>
        </w:rPr>
        <w:t xml:space="preserve"> (gelatin/PVA) for controlled release in pharma and food use.</w:t>
      </w:r>
      <w:r w:rsidR="00E65F7B" w:rsidRPr="00E65F7B">
        <w:t xml:space="preserve"> Such fibers protect RK from breakdown and release it slowly, useful for skin delivery or functional foods</w:t>
      </w:r>
      <w:r w:rsidR="00E65F7B">
        <w:t xml:space="preserve"> [40], [41]</w:t>
      </w:r>
      <w:r w:rsidR="00E65F7B" w:rsidRPr="00E65F7B">
        <w:t>.</w:t>
      </w:r>
      <w:r w:rsidR="00E65F7B">
        <w:t xml:space="preserve"> </w:t>
      </w:r>
      <w:r w:rsidR="00E65F7B" w:rsidRPr="00E65F7B">
        <w:t xml:space="preserve">Liposome encapsulation is another method for drug delivery. </w:t>
      </w:r>
      <w:r w:rsidR="00E65F7B" w:rsidRPr="00291992">
        <w:t>It hasn't been widely published for RK yet</w:t>
      </w:r>
      <w:r w:rsidR="00E65F7B" w:rsidRPr="00E65F7B">
        <w:t>, but liposomal RK may give better stability in body and easy tissue delivery</w:t>
      </w:r>
      <w:r w:rsidR="00E65F7B">
        <w:t xml:space="preserve"> [42]</w:t>
      </w:r>
      <w:r w:rsidR="00E65F7B" w:rsidRPr="00E65F7B">
        <w:t>. Nanocarriers can also send drug to target site</w:t>
      </w:r>
      <w:r w:rsidR="00E65F7B">
        <w:t xml:space="preserve"> e.g.</w:t>
      </w:r>
      <w:r w:rsidR="00E65F7B" w:rsidRPr="00E65F7B">
        <w:t>, hepatocyte-targeted nanoparticle can take RK to liver for NAFLD treatment, with less</w:t>
      </w:r>
      <w:r w:rsidR="00E65F7B">
        <w:t xml:space="preserve"> systemic</w:t>
      </w:r>
      <w:r w:rsidR="00E65F7B" w:rsidRPr="00E65F7B">
        <w:t xml:space="preserve"> </w:t>
      </w:r>
      <w:proofErr w:type="spellStart"/>
      <w:r w:rsidR="00E65F7B" w:rsidRPr="00E65F7B">
        <w:t>exposure.</w:t>
      </w:r>
      <w:r w:rsidR="00CF6E50">
        <w:rPr>
          <w:color w:val="FF0000"/>
        </w:rPr>
        <w:t>In</w:t>
      </w:r>
      <w:proofErr w:type="spellEnd"/>
      <w:r w:rsidR="00CF6E50">
        <w:rPr>
          <w:color w:val="FF0000"/>
        </w:rPr>
        <w:t xml:space="preserve"> above discussion you mentioned a good and rapid absorption though you didn’t mention the percentage getting absorbed on different doses to assess the need for further technologies to enhance absorption. You did mention rapid clearance, that raises question of body storage capacity and the mechanisms involved. Slower and persistent delivery to the gut for absorption </w:t>
      </w:r>
      <w:r w:rsidR="00AE4633">
        <w:rPr>
          <w:color w:val="FF0000"/>
        </w:rPr>
        <w:t xml:space="preserve">shall be the answer, please elaborate more on it. </w:t>
      </w:r>
    </w:p>
    <w:p w14:paraId="45B0C11F" w14:textId="23CF9FB7" w:rsidR="003E5D1C" w:rsidRDefault="003E5D1C" w:rsidP="00D578C2">
      <w:pPr>
        <w:spacing w:line="360" w:lineRule="auto"/>
        <w:jc w:val="both"/>
      </w:pPr>
    </w:p>
    <w:p w14:paraId="72EF8255" w14:textId="2EEDE739" w:rsidR="003E5D1C" w:rsidRDefault="00D578C2" w:rsidP="008E1E0C">
      <w:pPr>
        <w:spacing w:line="360" w:lineRule="auto"/>
      </w:pPr>
      <w:r>
        <w:rPr>
          <w:noProof/>
        </w:rPr>
        <w:lastRenderedPageBreak/>
        <w:drawing>
          <wp:inline distT="0" distB="0" distL="0" distR="0" wp14:anchorId="77CC33F8" wp14:editId="47A13B87">
            <wp:extent cx="5549900" cy="3404235"/>
            <wp:effectExtent l="0" t="0" r="0" b="5715"/>
            <wp:docPr id="1583446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44611" name="Picture 4"/>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49900" cy="3404235"/>
                    </a:xfrm>
                    <a:prstGeom prst="rect">
                      <a:avLst/>
                    </a:prstGeom>
                    <a:noFill/>
                    <a:ln>
                      <a:noFill/>
                    </a:ln>
                  </pic:spPr>
                </pic:pic>
              </a:graphicData>
            </a:graphic>
          </wp:inline>
        </w:drawing>
      </w:r>
    </w:p>
    <w:p w14:paraId="0F501811" w14:textId="77777777" w:rsidR="003E5D1C" w:rsidRDefault="003E5D1C" w:rsidP="00517907">
      <w:pPr>
        <w:spacing w:line="360" w:lineRule="auto"/>
        <w:jc w:val="both"/>
      </w:pPr>
      <w:r w:rsidRPr="001823C5">
        <w:rPr>
          <w:b/>
          <w:bCs/>
        </w:rPr>
        <w:t>Figure 8.</w:t>
      </w:r>
      <w:r>
        <w:t xml:space="preserve"> Oral delivery of a drug encapsulated in chitosan nanoparticles, emphasizing protection of  RK, enhanced absorption, bypassing hepatic (liver) metabolism and targeted release in the brain.</w:t>
      </w:r>
    </w:p>
    <w:p w14:paraId="0EB7EED0" w14:textId="77777777" w:rsidR="003E5D1C" w:rsidRPr="001823C5" w:rsidRDefault="003E5D1C" w:rsidP="008E1E0C">
      <w:pPr>
        <w:spacing w:line="360" w:lineRule="auto"/>
        <w:rPr>
          <w:b/>
          <w:bCs/>
        </w:rPr>
      </w:pPr>
      <w:r w:rsidRPr="001823C5">
        <w:rPr>
          <w:b/>
          <w:bCs/>
        </w:rPr>
        <w:t>5.2. AI-Based Compound Optimization</w:t>
      </w:r>
    </w:p>
    <w:p w14:paraId="3C0258DD" w14:textId="69C8C619" w:rsidR="006D154A" w:rsidRDefault="006D154A" w:rsidP="00E65F7B">
      <w:pPr>
        <w:spacing w:line="360" w:lineRule="auto"/>
        <w:jc w:val="both"/>
      </w:pPr>
      <w:r w:rsidRPr="00C520DB">
        <w:t xml:space="preserve">The emergence of artificial intelligence in drug discovery opens new pathways to enhance novel drug molecules [43] such as RK and its analogues. </w:t>
      </w:r>
      <w:r w:rsidRPr="006D154A">
        <w:t xml:space="preserve">Machine learning models trained on nutraceuticals can predict </w:t>
      </w:r>
      <w:r>
        <w:t xml:space="preserve">biological </w:t>
      </w:r>
      <w:r w:rsidRPr="006D154A">
        <w:t>activit</w:t>
      </w:r>
      <w:r>
        <w:t>ies</w:t>
      </w:r>
      <w:r w:rsidRPr="006D154A">
        <w:t xml:space="preserve">, and same can be applied for RK to find </w:t>
      </w:r>
      <w:r>
        <w:t>more potent</w:t>
      </w:r>
      <w:r w:rsidRPr="006D154A">
        <w:t xml:space="preserve"> or safer </w:t>
      </w:r>
      <w:r>
        <w:t>analogs</w:t>
      </w:r>
      <w:r w:rsidRPr="006D154A">
        <w:t>. For example, virtual screening by ML may suggest changes in RK structure to increase PPAR-α activity or reduce unwanted effects.</w:t>
      </w:r>
      <w:r>
        <w:t xml:space="preserve"> </w:t>
      </w:r>
      <w:r w:rsidRPr="006D154A">
        <w:t>AI techniques like as generative chemistry can design new compounds based on RK structure, e.g., by adding halogen to modify lipophilicity or replacing phenolic OH with stable groups while retaining activity. Early investigations employ QSAR models and docking to evaluate the binding affinity of such analogs</w:t>
      </w:r>
      <w:r>
        <w:t xml:space="preserve"> [44]</w:t>
      </w:r>
      <w:r w:rsidRPr="006D154A">
        <w:t>.</w:t>
      </w:r>
      <w:r w:rsidR="00A430D9">
        <w:t xml:space="preserve"> </w:t>
      </w:r>
      <w:r w:rsidR="00A430D9" w:rsidRPr="00A430D9">
        <w:t xml:space="preserve">AI </w:t>
      </w:r>
      <w:r w:rsidR="00A430D9">
        <w:t xml:space="preserve">and </w:t>
      </w:r>
      <w:r w:rsidR="00A430D9" w:rsidRPr="00C520DB">
        <w:t xml:space="preserve">optimization algorithms </w:t>
      </w:r>
      <w:r w:rsidR="00A430D9" w:rsidRPr="00A430D9">
        <w:t xml:space="preserve">can also help </w:t>
      </w:r>
      <w:r w:rsidR="00A430D9">
        <w:t>design</w:t>
      </w:r>
      <w:r w:rsidR="00A430D9" w:rsidRPr="00A430D9">
        <w:t xml:space="preserve"> </w:t>
      </w:r>
      <w:r w:rsidR="00A430D9">
        <w:t>the</w:t>
      </w:r>
      <w:r w:rsidR="00A430D9" w:rsidRPr="00A430D9">
        <w:t xml:space="preserve"> best nanocarrier or co-crystal for</w:t>
      </w:r>
      <w:r w:rsidR="00A430D9">
        <w:t xml:space="preserve"> better</w:t>
      </w:r>
      <w:r w:rsidR="00A430D9" w:rsidRPr="00A430D9">
        <w:t xml:space="preserve"> RK delivery. Though still early, this shows future use of </w:t>
      </w:r>
      <w:r w:rsidR="00A430D9" w:rsidRPr="00C520DB">
        <w:t xml:space="preserve">computational intelligence </w:t>
      </w:r>
      <w:r w:rsidR="00A430D9" w:rsidRPr="00A430D9">
        <w:t xml:space="preserve">to solve RK limits and adjust its properties for </w:t>
      </w:r>
      <w:r w:rsidR="00A430D9">
        <w:t>certain medical</w:t>
      </w:r>
      <w:r w:rsidR="00A430D9" w:rsidRPr="00A430D9">
        <w:t xml:space="preserve"> needs.</w:t>
      </w:r>
    </w:p>
    <w:p w14:paraId="46B791EF" w14:textId="1C4B516A" w:rsidR="003E5D1C" w:rsidRDefault="00D578C2" w:rsidP="00E65F7B">
      <w:pPr>
        <w:spacing w:line="360" w:lineRule="auto"/>
        <w:jc w:val="both"/>
      </w:pPr>
      <w:r>
        <w:rPr>
          <w:noProof/>
        </w:rPr>
        <w:lastRenderedPageBreak/>
        <w:drawing>
          <wp:inline distT="0" distB="0" distL="0" distR="0" wp14:anchorId="5047998B" wp14:editId="754CF161">
            <wp:extent cx="5943600" cy="4295140"/>
            <wp:effectExtent l="0" t="0" r="0" b="0"/>
            <wp:docPr id="1012250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25066" name="Picture 4"/>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4295140"/>
                    </a:xfrm>
                    <a:prstGeom prst="rect">
                      <a:avLst/>
                    </a:prstGeom>
                    <a:noFill/>
                    <a:ln>
                      <a:noFill/>
                    </a:ln>
                  </pic:spPr>
                </pic:pic>
              </a:graphicData>
            </a:graphic>
          </wp:inline>
        </w:drawing>
      </w:r>
    </w:p>
    <w:p w14:paraId="6767D620" w14:textId="77777777" w:rsidR="003E5D1C" w:rsidRDefault="003E5D1C" w:rsidP="00BC6281">
      <w:pPr>
        <w:spacing w:line="360" w:lineRule="auto"/>
        <w:jc w:val="both"/>
      </w:pPr>
      <w:r w:rsidRPr="001823C5">
        <w:rPr>
          <w:b/>
          <w:bCs/>
        </w:rPr>
        <w:t>Figure 9:</w:t>
      </w:r>
      <w:r>
        <w:t xml:space="preserve"> An AI-driven pipeline for RK analog design</w:t>
      </w:r>
    </w:p>
    <w:p w14:paraId="3A9B86A2" w14:textId="77777777" w:rsidR="001823C5" w:rsidRDefault="001823C5" w:rsidP="00BC6281">
      <w:pPr>
        <w:spacing w:line="360" w:lineRule="auto"/>
        <w:jc w:val="both"/>
      </w:pPr>
    </w:p>
    <w:p w14:paraId="158E7F31" w14:textId="77777777" w:rsidR="003E5D1C" w:rsidRPr="001823C5" w:rsidRDefault="003E5D1C" w:rsidP="008E1E0C">
      <w:pPr>
        <w:spacing w:line="360" w:lineRule="auto"/>
        <w:rPr>
          <w:b/>
          <w:bCs/>
        </w:rPr>
      </w:pPr>
      <w:r w:rsidRPr="001823C5">
        <w:rPr>
          <w:b/>
          <w:bCs/>
        </w:rPr>
        <w:t>5.3. Biotechnological Production &amp; Green Chemistry</w:t>
      </w:r>
    </w:p>
    <w:p w14:paraId="5677FCB7" w14:textId="6C8EB382" w:rsidR="003E5D1C" w:rsidRPr="00691D35" w:rsidRDefault="00A430D9" w:rsidP="005A5FD0">
      <w:pPr>
        <w:spacing w:line="360" w:lineRule="auto"/>
        <w:jc w:val="both"/>
        <w:rPr>
          <w:color w:val="FF0000"/>
        </w:rPr>
      </w:pPr>
      <w:r w:rsidRPr="00A430D9">
        <w:t xml:space="preserve">Because RK demand is high in industry, sustainable production is focus now. </w:t>
      </w:r>
      <w:r w:rsidR="00974C03" w:rsidRPr="00C603FC">
        <w:rPr>
          <w:highlight w:val="yellow"/>
        </w:rPr>
        <w:t xml:space="preserve">Scientists have genetically modified microbes and plants to make RK </w:t>
      </w:r>
      <w:r w:rsidRPr="00C603FC">
        <w:rPr>
          <w:highlight w:val="yellow"/>
        </w:rPr>
        <w:t>and reduce need of chemical synthesis, which uses harmful reagents and makes waste.</w:t>
      </w:r>
      <w:r w:rsidRPr="00A430D9">
        <w:t xml:space="preserve"> </w:t>
      </w:r>
      <w:r w:rsidR="00974C03">
        <w:t>Bioe</w:t>
      </w:r>
      <w:r w:rsidRPr="00A430D9">
        <w:t>ngineered E. coli can change glucose to RK through phenylpropanoid pathway; one study got about 62 mg/L by overexpressing key enzymes</w:t>
      </w:r>
      <w:r w:rsidR="00974C03">
        <w:t xml:space="preserve"> [2]</w:t>
      </w:r>
      <w:r w:rsidRPr="00A430D9">
        <w:t xml:space="preserve">. Transgenic tobacco plants with RK synthase also made RK but in low amount. Enzyme-based biocatalysis can also convert cheap precursors to RK in one step. </w:t>
      </w:r>
      <w:r w:rsidRPr="00C603FC">
        <w:rPr>
          <w:highlight w:val="yellow"/>
        </w:rPr>
        <w:t xml:space="preserve">These green </w:t>
      </w:r>
      <w:r w:rsidR="00974C03" w:rsidRPr="00C603FC">
        <w:rPr>
          <w:highlight w:val="yellow"/>
        </w:rPr>
        <w:t xml:space="preserve">chemistry </w:t>
      </w:r>
      <w:r w:rsidRPr="00C603FC">
        <w:rPr>
          <w:highlight w:val="yellow"/>
        </w:rPr>
        <w:t xml:space="preserve">methods are cheaper and safer for environment. RK itself is biodegradable, so </w:t>
      </w:r>
      <w:r w:rsidR="00974C03" w:rsidRPr="00C603FC">
        <w:rPr>
          <w:highlight w:val="yellow"/>
        </w:rPr>
        <w:t xml:space="preserve">there is </w:t>
      </w:r>
      <w:r w:rsidRPr="00C603FC">
        <w:rPr>
          <w:highlight w:val="yellow"/>
        </w:rPr>
        <w:t>no risk of accumulation, but chemical synthesis wastes are harmful, which biotech methods can reduce</w:t>
      </w:r>
      <w:r w:rsidR="00974C03">
        <w:t xml:space="preserve"> </w:t>
      </w:r>
      <w:r w:rsidR="005A5FD0" w:rsidRPr="005A5FD0">
        <w:t>[2].</w:t>
      </w:r>
      <w:r w:rsidR="00691D35">
        <w:rPr>
          <w:color w:val="FF0000"/>
        </w:rPr>
        <w:t xml:space="preserve">Please elaborate on the nature and details of the </w:t>
      </w:r>
      <w:proofErr w:type="spellStart"/>
      <w:r w:rsidR="00691D35">
        <w:rPr>
          <w:color w:val="FF0000"/>
        </w:rPr>
        <w:t>harmfulful</w:t>
      </w:r>
      <w:proofErr w:type="spellEnd"/>
      <w:r w:rsidR="00691D35">
        <w:rPr>
          <w:color w:val="FF0000"/>
        </w:rPr>
        <w:t xml:space="preserve"> reagents and waste. Please also elaborate that if these waste products can be treated to make them harmless. Please also comment that if large amounts can be synthesized chemically and cheaply why there shall be a need for </w:t>
      </w:r>
      <w:r w:rsidR="00691D35">
        <w:rPr>
          <w:color w:val="FF0000"/>
        </w:rPr>
        <w:lastRenderedPageBreak/>
        <w:t xml:space="preserve">production from E. </w:t>
      </w:r>
      <w:proofErr w:type="gramStart"/>
      <w:r w:rsidR="00691D35">
        <w:rPr>
          <w:color w:val="FF0000"/>
        </w:rPr>
        <w:t>Coli</w:t>
      </w:r>
      <w:proofErr w:type="gramEnd"/>
      <w:r w:rsidR="00691D35">
        <w:rPr>
          <w:color w:val="FF0000"/>
        </w:rPr>
        <w:t xml:space="preserve"> as it may not be commercially viable due to cost. In that case the only advantage or the promotional point would be something that like organic or natural.  </w:t>
      </w:r>
    </w:p>
    <w:p w14:paraId="483B5F01" w14:textId="77777777" w:rsidR="00A24A7D" w:rsidRDefault="00A24A7D" w:rsidP="005A5FD0">
      <w:pPr>
        <w:spacing w:line="360" w:lineRule="auto"/>
        <w:jc w:val="both"/>
      </w:pPr>
    </w:p>
    <w:p w14:paraId="4C9D8BDA" w14:textId="5D4E8147" w:rsidR="003E5D1C" w:rsidRPr="001823C5" w:rsidRDefault="00610EF6" w:rsidP="008E1E0C">
      <w:pPr>
        <w:spacing w:line="360" w:lineRule="auto"/>
        <w:rPr>
          <w:b/>
          <w:bCs/>
        </w:rPr>
      </w:pPr>
      <w:r>
        <w:rPr>
          <w:b/>
          <w:bCs/>
        </w:rPr>
        <w:t>5</w:t>
      </w:r>
      <w:r w:rsidR="003E5D1C" w:rsidRPr="001823C5">
        <w:rPr>
          <w:b/>
          <w:bCs/>
        </w:rPr>
        <w:t>.4. Environmental Impact and Ecological Aspects</w:t>
      </w:r>
    </w:p>
    <w:p w14:paraId="4AD02514" w14:textId="77777777" w:rsidR="00A24A7D" w:rsidRDefault="007B04B9" w:rsidP="00A24A7D">
      <w:pPr>
        <w:spacing w:line="360" w:lineRule="auto"/>
        <w:jc w:val="both"/>
      </w:pPr>
      <w:r w:rsidRPr="007B04B9">
        <w:t>It's interesting that RK has ecological roles that are being used. Raspberry ketone analogs, like cue-lure, are used in farming to attract fruit flies and pest control. RK has been evaluated as an</w:t>
      </w:r>
      <w:r>
        <w:t xml:space="preserve"> </w:t>
      </w:r>
      <w:r w:rsidRPr="007B04B9">
        <w:t>attractant to entice male fruit flies (</w:t>
      </w:r>
      <w:proofErr w:type="spellStart"/>
      <w:r w:rsidRPr="007B04B9">
        <w:t>Bactrocera</w:t>
      </w:r>
      <w:proofErr w:type="spellEnd"/>
      <w:r w:rsidRPr="007B04B9">
        <w:t xml:space="preserve"> species) for population control, utilizing the compound's inherent role in plant-insect interactions [46]. Even though RK is a natural substance, the mass release of synthetic RK into ecosystems</w:t>
      </w:r>
      <w:r>
        <w:t xml:space="preserve"> should be monitored</w:t>
      </w:r>
      <w:r w:rsidRPr="007B04B9">
        <w:t>. This is because adding a lot of it could change how pollinators act or how microbial communities work. So far, no negative effects on the environment have been reported</w:t>
      </w:r>
      <w:r>
        <w:t>.</w:t>
      </w:r>
      <w:r w:rsidRPr="007B04B9">
        <w:t xml:space="preserve"> RK is thought to be safer</w:t>
      </w:r>
      <w:r>
        <w:t xml:space="preserve"> </w:t>
      </w:r>
      <w:r w:rsidRPr="007B04B9">
        <w:t>for the environment than traditional insecticides when used in integrated pest management.</w:t>
      </w:r>
    </w:p>
    <w:p w14:paraId="71BE15AE" w14:textId="28B88B99" w:rsidR="003E5D1C" w:rsidRDefault="00D85237" w:rsidP="00A24A7D">
      <w:pPr>
        <w:spacing w:line="360" w:lineRule="auto"/>
        <w:jc w:val="both"/>
      </w:pPr>
      <w:r>
        <w:rPr>
          <w:noProof/>
        </w:rPr>
        <w:lastRenderedPageBreak/>
        <w:drawing>
          <wp:inline distT="0" distB="0" distL="0" distR="0" wp14:anchorId="5EB341A5" wp14:editId="1DEA4936">
            <wp:extent cx="5122545" cy="7543800"/>
            <wp:effectExtent l="0" t="0" r="1905" b="0"/>
            <wp:docPr id="988831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831054" name="Picture 1"/>
                    <pic:cNvPicPr>
                      <a:picLocks noChangeAspect="1"/>
                    </pic:cNvPicPr>
                  </pic:nvPicPr>
                  <pic:blipFill>
                    <a:blip r:embed="rId19"/>
                    <a:stretch>
                      <a:fillRect/>
                    </a:stretch>
                  </pic:blipFill>
                  <pic:spPr>
                    <a:xfrm>
                      <a:off x="0" y="0"/>
                      <a:ext cx="5122545" cy="7543800"/>
                    </a:xfrm>
                    <a:prstGeom prst="rect">
                      <a:avLst/>
                    </a:prstGeom>
                  </pic:spPr>
                </pic:pic>
              </a:graphicData>
            </a:graphic>
          </wp:inline>
        </w:drawing>
      </w:r>
    </w:p>
    <w:p w14:paraId="1333A004" w14:textId="531FFC1F" w:rsidR="003E5D1C" w:rsidRDefault="003E5D1C" w:rsidP="00BC6281">
      <w:pPr>
        <w:spacing w:line="360" w:lineRule="auto"/>
        <w:jc w:val="both"/>
      </w:pPr>
      <w:r w:rsidRPr="001823C5">
        <w:rPr>
          <w:b/>
          <w:bCs/>
        </w:rPr>
        <w:t>Figure 10:</w:t>
      </w:r>
      <w:r w:rsidRPr="003E5D1C">
        <w:t xml:space="preserve"> Presenting comparison of microbial RK production vs. chemical synthesis</w:t>
      </w:r>
    </w:p>
    <w:p w14:paraId="6CCDE8DE" w14:textId="77777777" w:rsidR="003E5D1C" w:rsidRDefault="003E5D1C" w:rsidP="008E1E0C">
      <w:pPr>
        <w:spacing w:line="360" w:lineRule="auto"/>
      </w:pPr>
    </w:p>
    <w:p w14:paraId="5B8D172C" w14:textId="77777777" w:rsidR="006A6AB7" w:rsidRPr="001823C5" w:rsidRDefault="006A6AB7" w:rsidP="008E1E0C">
      <w:pPr>
        <w:spacing w:line="360" w:lineRule="auto"/>
        <w:rPr>
          <w:b/>
          <w:bCs/>
        </w:rPr>
      </w:pPr>
      <w:r w:rsidRPr="001823C5">
        <w:rPr>
          <w:b/>
          <w:bCs/>
        </w:rPr>
        <w:lastRenderedPageBreak/>
        <w:t>6. Critical Analysis</w:t>
      </w:r>
    </w:p>
    <w:p w14:paraId="4EBEEA1F" w14:textId="77777777" w:rsidR="006A6AB7" w:rsidRDefault="006A6AB7" w:rsidP="00D85237">
      <w:pPr>
        <w:spacing w:line="360" w:lineRule="auto"/>
        <w:jc w:val="both"/>
      </w:pPr>
      <w:r>
        <w:t>This critical analysis evaluates peer-reviewed research (2015–2025) on raspberry ketone (RK), focusing on methodological rigor, experimental reproducibility, translational validity, computational model accuracy, and commercial scalability. The objective is to pinpoint knowledge deficiencies and prospective research strategies to facilitate RK's transdisciplinary progress. Outcomes are discussed as follows:</w:t>
      </w:r>
    </w:p>
    <w:p w14:paraId="64DF836C" w14:textId="2E5ACD0C" w:rsidR="00E20D91" w:rsidRDefault="006A6AB7" w:rsidP="00D85237">
      <w:pPr>
        <w:spacing w:line="360" w:lineRule="auto"/>
        <w:jc w:val="both"/>
      </w:pPr>
      <w:r w:rsidRPr="001823C5">
        <w:rPr>
          <w:b/>
          <w:bCs/>
        </w:rPr>
        <w:t>6.1. Limitations of Current Studies:</w:t>
      </w:r>
      <w:r>
        <w:t xml:space="preserve"> </w:t>
      </w:r>
      <w:r w:rsidR="00E20D91">
        <w:t>Despite</w:t>
      </w:r>
      <w:r w:rsidR="00E20D91" w:rsidRPr="00E20D91">
        <w:t xml:space="preserve"> with many studies on RK, there are limitations and mixed results. Reproducibility is problem, as many activities like anti-obesity or liver protection are shown only by </w:t>
      </w:r>
      <w:r w:rsidR="00E20D91">
        <w:t>one or two groups</w:t>
      </w:r>
      <w:r w:rsidR="00E20D91" w:rsidRPr="00E20D91">
        <w:t>. More studies in different labs and models are needed to confirm. Some anti-obesity works used RK with mixtures or lifestyle changes, so results are not clear. Also, there is no standardization in dose, duration, or outcome, which makes comparison and meta-analysis difficult</w:t>
      </w:r>
    </w:p>
    <w:p w14:paraId="3CFA311C" w14:textId="659D1129" w:rsidR="00E20D91" w:rsidRDefault="006A6AB7" w:rsidP="00D85237">
      <w:pPr>
        <w:spacing w:line="360" w:lineRule="auto"/>
        <w:jc w:val="both"/>
      </w:pPr>
      <w:r>
        <w:t>6</w:t>
      </w:r>
      <w:r w:rsidRPr="001823C5">
        <w:rPr>
          <w:b/>
          <w:bCs/>
        </w:rPr>
        <w:t>.2. Human Relevance and Translational Gap:</w:t>
      </w:r>
      <w:r>
        <w:t xml:space="preserve"> </w:t>
      </w:r>
      <w:r w:rsidR="00E20D91" w:rsidRPr="00E20D91">
        <w:t xml:space="preserve">A </w:t>
      </w:r>
      <w:r w:rsidR="00E20D91">
        <w:t>critical</w:t>
      </w:r>
      <w:r w:rsidR="00E20D91" w:rsidRPr="00E20D91">
        <w:t xml:space="preserve"> gap is translation to humans. Almost all RK </w:t>
      </w:r>
      <w:r w:rsidR="00FD4E87">
        <w:t xml:space="preserve">pharmacological </w:t>
      </w:r>
      <w:r w:rsidR="00E20D91" w:rsidRPr="00E20D91">
        <w:t xml:space="preserve">data </w:t>
      </w:r>
      <w:r w:rsidR="00FD4E87">
        <w:t>is preclinical</w:t>
      </w:r>
      <w:r w:rsidR="00E20D91" w:rsidRPr="00E20D91">
        <w:t>, and human trials are very few. Rodent effective dose (~100 mg/kg) is much higher than human supplement dose (100–500 mg/day), so similar plasma level may not come unless special formulation used. Because human efficacy data are missing, we cannot confirm benefit in weight loss or liver health. Marketing shows strong claims, but clinical proof is weak, so proper human trials are needed.</w:t>
      </w:r>
    </w:p>
    <w:p w14:paraId="296E21FE" w14:textId="008A825F" w:rsidR="00B8116F" w:rsidRDefault="006A6AB7" w:rsidP="00D85237">
      <w:pPr>
        <w:spacing w:line="360" w:lineRule="auto"/>
        <w:jc w:val="both"/>
      </w:pPr>
      <w:r w:rsidRPr="001823C5">
        <w:rPr>
          <w:b/>
          <w:bCs/>
        </w:rPr>
        <w:t>6.3. Safety and Regulatory Issues:</w:t>
      </w:r>
      <w:r>
        <w:t xml:space="preserve"> </w:t>
      </w:r>
      <w:r w:rsidR="00B8116F" w:rsidRPr="00B8116F">
        <w:t>Safety data on RK are not complete, which is a big concern. In EU and other places, RK is sold as supplement or flavor, so it did not face strict testing like new drug</w:t>
      </w:r>
      <w:r w:rsidR="00B8116F">
        <w:t xml:space="preserve">. </w:t>
      </w:r>
      <w:r w:rsidR="00B8116F" w:rsidRPr="00B8116F">
        <w:t xml:space="preserve">This gap means people use it without full toxicology or clinical trial proof. If used as medicine, agencies like FDA or EMA would ask for chronic toxicity, </w:t>
      </w:r>
      <w:r w:rsidR="00B8116F">
        <w:t>carcinogenicity</w:t>
      </w:r>
      <w:r w:rsidR="00B8116F" w:rsidRPr="00B8116F">
        <w:t xml:space="preserve">, and human pharmacokinetics data. At present RK is in gray zone – sold widely and thought safe due to food use, but not approved for </w:t>
      </w:r>
      <w:r w:rsidR="00B8116F">
        <w:t>medicinal use</w:t>
      </w:r>
      <w:r w:rsidR="00B8116F" w:rsidRPr="00B8116F">
        <w:t xml:space="preserve">. </w:t>
      </w:r>
      <w:r w:rsidR="00B8116F">
        <w:t>Physicians</w:t>
      </w:r>
      <w:r w:rsidR="00B8116F" w:rsidRPr="00B8116F">
        <w:t xml:space="preserve"> cannot prescribe it with confidence, and since RK cannot be patented, pharma companies have less interest to do costly trials</w:t>
      </w:r>
    </w:p>
    <w:p w14:paraId="793BF4E0" w14:textId="590FDF04" w:rsidR="00177845" w:rsidRDefault="006A6AB7" w:rsidP="00D85237">
      <w:pPr>
        <w:spacing w:line="360" w:lineRule="auto"/>
        <w:jc w:val="both"/>
      </w:pPr>
      <w:r w:rsidRPr="001823C5">
        <w:rPr>
          <w:b/>
          <w:bCs/>
        </w:rPr>
        <w:t>6.4. Methodological Robustness:</w:t>
      </w:r>
      <w:r>
        <w:t xml:space="preserve"> </w:t>
      </w:r>
      <w:r w:rsidR="00177845" w:rsidRPr="00177845">
        <w:t>Some methods in RK research are not strong. Proper controls and blinding in animal studies are often missing, which can give bias if investigator knows treatment group. In metabolic studies, food intake and diet should be controlled, since RK itself may reduce eating and cause weight change. Purity of RK must also be checked, as some commercial products have other ingredients. Without chemical tests like HPLC, results may be confused by impurities</w:t>
      </w:r>
    </w:p>
    <w:p w14:paraId="4104B8C3" w14:textId="2E593AAA" w:rsidR="006A6AB7" w:rsidRDefault="006A6AB7" w:rsidP="00D85237">
      <w:pPr>
        <w:spacing w:line="360" w:lineRule="auto"/>
        <w:jc w:val="both"/>
      </w:pPr>
      <w:r w:rsidRPr="001823C5">
        <w:rPr>
          <w:b/>
          <w:bCs/>
        </w:rPr>
        <w:lastRenderedPageBreak/>
        <w:t>6.5. Interpretation and Hype:</w:t>
      </w:r>
      <w:r>
        <w:t xml:space="preserve"> </w:t>
      </w:r>
      <w:r w:rsidR="00177845" w:rsidRPr="00177845">
        <w:t>RK has been promoted with big claims like ‘miracle fat burner,’ but these are not based on strong science. Animal studies show only modest effect, like 5–10% less weight than controls</w:t>
      </w:r>
      <w:r w:rsidR="00177845">
        <w:t xml:space="preserve"> [21]</w:t>
      </w:r>
      <w:r w:rsidR="00177845" w:rsidRPr="00177845">
        <w:t>, not a magic result. RK should be taken as bioactive compound of interest, not proven therapy. Clear view of data is needed to avoid wrong expectations and guide research properly.</w:t>
      </w:r>
    </w:p>
    <w:p w14:paraId="6D30F53E" w14:textId="08CCD3C0" w:rsidR="006A6AB7" w:rsidRDefault="006A6AB7" w:rsidP="00D85237">
      <w:pPr>
        <w:spacing w:line="360" w:lineRule="auto"/>
        <w:jc w:val="both"/>
      </w:pPr>
      <w:r w:rsidRPr="001823C5">
        <w:rPr>
          <w:b/>
          <w:bCs/>
        </w:rPr>
        <w:t>6.6. Positive Controls and Comparators:</w:t>
      </w:r>
      <w:r>
        <w:t xml:space="preserve"> </w:t>
      </w:r>
      <w:r w:rsidR="009D5E19" w:rsidRPr="009D5E19">
        <w:t xml:space="preserve">Important point is how RK works compared to existing drugs. In obesity, drugs like orlistat or GLP-1 agonists have proven effect, but RK is rarely compared with them. Only few studies, like </w:t>
      </w:r>
      <w:proofErr w:type="spellStart"/>
      <w:r w:rsidR="009D5E19" w:rsidRPr="009D5E19">
        <w:t>cardioprotection</w:t>
      </w:r>
      <w:proofErr w:type="spellEnd"/>
      <w:r w:rsidR="009D5E19" w:rsidRPr="009D5E19">
        <w:t xml:space="preserve"> work, showed RK similar to fenofibrate in antioxidant action</w:t>
      </w:r>
      <w:r w:rsidR="009D5E19">
        <w:t xml:space="preserve"> [13]</w:t>
      </w:r>
      <w:r w:rsidR="009D5E19" w:rsidRPr="009D5E19">
        <w:t>. Without such comparisons, real value of RK is not clear. Future studies should use standard drugs as positive control to judge RK efficacy.</w:t>
      </w:r>
    </w:p>
    <w:p w14:paraId="0A3D34A7" w14:textId="47DAE712" w:rsidR="006A6AB7" w:rsidRDefault="006A6AB7" w:rsidP="00D85237">
      <w:pPr>
        <w:spacing w:line="360" w:lineRule="auto"/>
        <w:jc w:val="both"/>
      </w:pPr>
      <w:r w:rsidRPr="001823C5">
        <w:rPr>
          <w:b/>
          <w:bCs/>
        </w:rPr>
        <w:t>Reproducibility Initiatives:</w:t>
      </w:r>
      <w:r>
        <w:t xml:space="preserve"> </w:t>
      </w:r>
      <w:r w:rsidR="001B4B16" w:rsidRPr="001B4B16">
        <w:t>RK research can benefit from open data and the preregistration of animal studies. Sharing protocols and raw data will help make things more consistent. Multi-center studies can enhance reproducibility and validate findings across many laboratories.</w:t>
      </w:r>
    </w:p>
    <w:p w14:paraId="2638778A" w14:textId="77777777" w:rsidR="00F03816" w:rsidRDefault="00F03816" w:rsidP="00D85237">
      <w:pPr>
        <w:spacing w:line="360" w:lineRule="auto"/>
        <w:jc w:val="both"/>
      </w:pPr>
    </w:p>
    <w:p w14:paraId="69199826" w14:textId="7329D0B4" w:rsidR="006A6AB7" w:rsidRDefault="00F03816" w:rsidP="00D85237">
      <w:pPr>
        <w:spacing w:line="360" w:lineRule="auto"/>
        <w:jc w:val="both"/>
      </w:pPr>
      <w:r w:rsidRPr="00F03816">
        <w:t>In summary, RK shows biological activity but research has many gaps. To move RK from nutraceutical to real therapy, studies must be better designed, reproducible, and include full safety data. Conclusions should be careful, like saying RK may help metabolism, until human proof is there. Future proper work will show if RK is truly useful or only hype.</w:t>
      </w:r>
    </w:p>
    <w:p w14:paraId="2653AD3D" w14:textId="77777777" w:rsidR="00F03816" w:rsidRDefault="00F03816" w:rsidP="00D85237">
      <w:pPr>
        <w:spacing w:line="360" w:lineRule="auto"/>
        <w:jc w:val="both"/>
      </w:pPr>
    </w:p>
    <w:p w14:paraId="15EECD76" w14:textId="77777777" w:rsidR="006A6AB7" w:rsidRPr="001823C5" w:rsidRDefault="006A6AB7" w:rsidP="008E1E0C">
      <w:pPr>
        <w:spacing w:line="360" w:lineRule="auto"/>
        <w:rPr>
          <w:b/>
          <w:bCs/>
        </w:rPr>
      </w:pPr>
      <w:r w:rsidRPr="001823C5">
        <w:rPr>
          <w:b/>
          <w:bCs/>
        </w:rPr>
        <w:t>7. Future Directions</w:t>
      </w:r>
    </w:p>
    <w:p w14:paraId="054CF1AD" w14:textId="77777777" w:rsidR="006A6AB7" w:rsidRDefault="006A6AB7" w:rsidP="00D85237">
      <w:pPr>
        <w:spacing w:line="360" w:lineRule="auto"/>
        <w:jc w:val="both"/>
      </w:pPr>
      <w:r>
        <w:t>To clarify RK’s mechanisms, CRISPR-Cas9 screening platforms such as Perturb-Seq are theoretically promising for identifying gene dependencies mediating RK-induced lipolysis or antioxidant activity. Though direct studies on RK are lacking, this approach has been validated for metabolic effectors in adipocytes.</w:t>
      </w:r>
    </w:p>
    <w:p w14:paraId="73E02A19" w14:textId="77777777" w:rsidR="006A6AB7" w:rsidRDefault="006A6AB7" w:rsidP="00D85237">
      <w:pPr>
        <w:spacing w:line="360" w:lineRule="auto"/>
        <w:jc w:val="both"/>
      </w:pPr>
      <w:r>
        <w:t>Integrated multi-omics in vivo studies—combining transcriptomics and metabolomics in hepatic and adipose tissues—are needed to distinguish RK’s primary targets. In a model addressing diet-induced metabolic dysfunction, systems biology linked fatty acid oxidation to nuclear receptor activation, offering a framework to apply in RK studies.</w:t>
      </w:r>
    </w:p>
    <w:p w14:paraId="79BC0062" w14:textId="4D9ED3C2" w:rsidR="006A6AB7" w:rsidRDefault="006A6AB7" w:rsidP="00D85237">
      <w:pPr>
        <w:spacing w:line="360" w:lineRule="auto"/>
        <w:jc w:val="both"/>
      </w:pPr>
      <w:r>
        <w:t xml:space="preserve">Biosynthesis and Metabolic Engineering – On the production side, continued efforts in metabolic engineering are anticipated. Microbial biosynthesis of RK using engineered </w:t>
      </w:r>
      <w:r w:rsidRPr="00361B3D">
        <w:rPr>
          <w:i/>
          <w:iCs/>
        </w:rPr>
        <w:t>E. coli</w:t>
      </w:r>
      <w:r>
        <w:t xml:space="preserve"> or yeast strains has been explored to improve yield and sustainability. One study engineered </w:t>
      </w:r>
      <w:r w:rsidRPr="00361B3D">
        <w:rPr>
          <w:i/>
          <w:iCs/>
        </w:rPr>
        <w:lastRenderedPageBreak/>
        <w:t>Saccharomyces</w:t>
      </w:r>
      <w:r>
        <w:t xml:space="preserve"> </w:t>
      </w:r>
      <w:r w:rsidRPr="00361B3D">
        <w:rPr>
          <w:i/>
          <w:iCs/>
        </w:rPr>
        <w:t>cerevisiae</w:t>
      </w:r>
      <w:r>
        <w:t xml:space="preserve"> for raspberry ketone synthesis via tyrosine-derived pathways, laying groundwork for scalable bioproduction</w:t>
      </w:r>
      <w:r w:rsidR="00D85237">
        <w:t xml:space="preserve"> </w:t>
      </w:r>
      <w:r w:rsidR="00D85237">
        <w:fldChar w:fldCharType="begin"/>
      </w:r>
      <w:r w:rsidR="00D85237">
        <w:instrText xml:space="preserve"> ADDIN ZOTERO_ITEM CSL_CITATION {"citationID":"r4w4xmSC","properties":{"formattedCitation":"[47]","plainCitation":"[47]","noteIndex":0},"citationItems":[{"id":88,"uris":["http://zotero.org/users/16306459/items/KZGIWWAH"],"itemData":{"id":88,"type":"article-journal","container-title":"Microbial Cell Factories","DOI":"10.1186/s12934-016-0446-2","ISSN":"1475-2859","issue":"1","journalAbbreviation":"Microb Cell Fact","language":"en","page":"49","source":"DOI.org (Crossref)","title":"Heterologous production of raspberry ketone in the wine yeast Saccharomyces cerevisiae via pathway engineering and synthetic enzyme fusion","volume":"15","author":[{"family":"Lee","given":"Danna"},{"family":"Lloyd","given":"Natoiya D. R."},{"family":"Pretorius","given":"Isak S."},{"family":"Borneman","given":"Anthony R."}],"issued":{"date-parts":[["2016",12]]}}}],"schema":"https://github.com/citation-style-language/schema/raw/master/csl-citation.json"} </w:instrText>
      </w:r>
      <w:r w:rsidR="00D85237">
        <w:fldChar w:fldCharType="separate"/>
      </w:r>
      <w:r w:rsidR="00D85237" w:rsidRPr="00D85237">
        <w:rPr>
          <w:rFonts w:cs="Times New Roman"/>
        </w:rPr>
        <w:t>[47]</w:t>
      </w:r>
      <w:r w:rsidR="00D85237">
        <w:fldChar w:fldCharType="end"/>
      </w:r>
      <w:r>
        <w:t>.</w:t>
      </w:r>
    </w:p>
    <w:p w14:paraId="3C67A0D2" w14:textId="77777777" w:rsidR="006A6AB7" w:rsidRDefault="006A6AB7" w:rsidP="00D85237">
      <w:pPr>
        <w:spacing w:line="360" w:lineRule="auto"/>
        <w:jc w:val="both"/>
      </w:pPr>
      <w:r>
        <w:t>Targeted delivery using nanocarriers remains conceptual for RK, but analogs like zingerone and capsaicin have shown improved bioavailability when encapsulated in lipid-based systems. Such strategies could be adapted for RK in NAFLD or obesity models.</w:t>
      </w:r>
    </w:p>
    <w:p w14:paraId="608655B5" w14:textId="09E69C2E" w:rsidR="003E5D1C" w:rsidRDefault="006A6AB7" w:rsidP="00D85237">
      <w:pPr>
        <w:spacing w:line="360" w:lineRule="auto"/>
        <w:jc w:val="both"/>
      </w:pPr>
      <w:r>
        <w:t>Transdermal and functional food delivery formats have been proposed, building on anecdotal and in vitro studies. Harada et al. reported that topical RK promoted hair growth and dermal IGF-I expression in mice, suggesting local delivery feasibility</w:t>
      </w:r>
      <w:r w:rsidR="00D85237">
        <w:t xml:space="preserve"> </w:t>
      </w:r>
      <w:r w:rsidR="00D85237">
        <w:fldChar w:fldCharType="begin"/>
      </w:r>
      <w:r w:rsidR="00D85237">
        <w:instrText xml:space="preserve"> ADDIN ZOTERO_ITEM CSL_CITATION {"citationID":"DEhaJPOx","properties":{"formattedCitation":"[48]","plainCitation":"[48]","noteIndex":0},"citationItems":[{"id":11,"uris":["http://zotero.org/users/16306459/items/2FZ9WCZG"],"itemData":{"id":11,"type":"article-journal","container-title":"Growth Hormone &amp; IGF Research","DOI":"10.1016/j.ghir.2008.01.005","ISSN":"10966374","issue":"4","journalAbbreviation":"Growth Hormone &amp; IGF Research","language":"en","license":"https://www.elsevier.com/tdm/userlicense/1.0/","page":"335-344","source":"DOI.org (Crossref)","title":"Effect of topical application of raspberry ketone on dermal production of insulin-like growth factor-I in mice and on hair growth and skin elasticity in humans","volume":"18","author":[{"family":"Harada","given":"Naoaki"},{"family":"Okajima","given":"Kenji"},{"family":"Narimatsu","given":"Noriko"},{"family":"Kurihara","given":"Hiroki"},{"family":"Nakagata","given":"Naomi"}],"issued":{"date-parts":[["2008",8]]}}}],"schema":"https://github.com/citation-style-language/schema/raw/master/csl-citation.json"} </w:instrText>
      </w:r>
      <w:r w:rsidR="00D85237">
        <w:fldChar w:fldCharType="separate"/>
      </w:r>
      <w:r w:rsidR="00D85237" w:rsidRPr="00D85237">
        <w:rPr>
          <w:rFonts w:cs="Times New Roman"/>
        </w:rPr>
        <w:t>[48]</w:t>
      </w:r>
      <w:r w:rsidR="00D85237">
        <w:fldChar w:fldCharType="end"/>
      </w:r>
      <w:r>
        <w:t>.</w:t>
      </w:r>
    </w:p>
    <w:p w14:paraId="6EFE5C1C" w14:textId="77777777" w:rsidR="006A6AB7" w:rsidRDefault="006A6AB7" w:rsidP="008E1E0C">
      <w:pPr>
        <w:spacing w:line="360" w:lineRule="auto"/>
      </w:pPr>
    </w:p>
    <w:p w14:paraId="6762B0C2" w14:textId="77777777" w:rsidR="006A6AB7" w:rsidRDefault="006A6AB7" w:rsidP="00D85237">
      <w:pPr>
        <w:spacing w:line="360" w:lineRule="auto"/>
        <w:jc w:val="both"/>
      </w:pPr>
      <w:r>
        <w:t>Though clinical trial data are scarce, PK profiling of phenolic compounds structurally related to RK (e.g., capsaicin, vanillin) support initial dosing safety. Preclinical data indicate a wide safety margin for RK in rodents.</w:t>
      </w:r>
    </w:p>
    <w:p w14:paraId="5023FB26" w14:textId="77777777" w:rsidR="006A6AB7" w:rsidRDefault="006A6AB7" w:rsidP="00D85237">
      <w:pPr>
        <w:spacing w:line="360" w:lineRule="auto"/>
        <w:jc w:val="both"/>
      </w:pPr>
      <w:r>
        <w:t>Structure–activity relationship (SAR) analysis highlights analogues like zingerone and 4-hydroxybenzylacetone, structurally similar to RK, as promising candidates with improved metabolic stability and for depression. Efforts in SAR could guide medicinal chemistry programs to develop a lead compound from the RK scaffold with pharmaceutical potential (for instance, adding halogen might improve receptor binding affinity).</w:t>
      </w:r>
    </w:p>
    <w:p w14:paraId="0F66BBEC" w14:textId="77777777" w:rsidR="006A6AB7" w:rsidRDefault="006A6AB7" w:rsidP="00D85237">
      <w:pPr>
        <w:spacing w:line="360" w:lineRule="auto"/>
        <w:jc w:val="both"/>
      </w:pPr>
      <w:r>
        <w:t>To elevate RK research, Nature/Science-style rigor should be pursued—emphasizing reproducibility (e.g., ARRIVE guidelines), interdisciplinary integration, and negative result transparency. By treating RK not just as a supplement but as a scientific compound of interest, future research will likely apply cutting-edge methods and maintain high standards of evidence.</w:t>
      </w:r>
    </w:p>
    <w:p w14:paraId="0DC264BB" w14:textId="1210F192" w:rsidR="006A6AB7" w:rsidRDefault="006A6AB7" w:rsidP="00D85237">
      <w:pPr>
        <w:spacing w:line="360" w:lineRule="auto"/>
        <w:jc w:val="both"/>
      </w:pPr>
      <w:r>
        <w:t xml:space="preserve">Figure 11 provides a forward-looking schematic: This workflow enables systematic discovery of RK's molecular targets and resistance mechanisms. The lentiviral approach maintains sgRNA representation throughout screening, while ML-enhanced sorting enables phenotype detection without fluorescent markers. Integrating CRISPR screening with RK treatment provides a powerful tool to </w:t>
      </w:r>
      <w:proofErr w:type="spellStart"/>
      <w:r>
        <w:t>deconvolve</w:t>
      </w:r>
      <w:proofErr w:type="spellEnd"/>
      <w:r>
        <w:t xml:space="preserve"> its </w:t>
      </w:r>
      <w:proofErr w:type="spellStart"/>
      <w:r>
        <w:t>polypharmacology</w:t>
      </w:r>
      <w:proofErr w:type="spellEnd"/>
      <w:r>
        <w:t xml:space="preserve"> and optimize therapeutic applications. This encapsulates how future directions converge to fully realize (or refute) RK’s potential as a beneficial compound.</w:t>
      </w:r>
    </w:p>
    <w:p w14:paraId="181F1F6C" w14:textId="2F59DE27" w:rsidR="006A6AB7" w:rsidRDefault="00D85237" w:rsidP="00D85237">
      <w:pPr>
        <w:spacing w:line="360" w:lineRule="auto"/>
        <w:jc w:val="center"/>
      </w:pPr>
      <w:r>
        <w:rPr>
          <w:noProof/>
        </w:rPr>
        <w:lastRenderedPageBreak/>
        <w:drawing>
          <wp:inline distT="0" distB="0" distL="0" distR="0" wp14:anchorId="25AC55E9" wp14:editId="6EBF9AC4">
            <wp:extent cx="5417185" cy="3530600"/>
            <wp:effectExtent l="0" t="0" r="0" b="0"/>
            <wp:docPr id="14916938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693811" name="Picture 2"/>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17185" cy="3530600"/>
                    </a:xfrm>
                    <a:prstGeom prst="rect">
                      <a:avLst/>
                    </a:prstGeom>
                    <a:noFill/>
                    <a:ln>
                      <a:noFill/>
                    </a:ln>
                  </pic:spPr>
                </pic:pic>
              </a:graphicData>
            </a:graphic>
          </wp:inline>
        </w:drawing>
      </w:r>
    </w:p>
    <w:p w14:paraId="5EA67C41" w14:textId="09BA80F4" w:rsidR="006A6AB7" w:rsidRDefault="006A6AB7" w:rsidP="00BC6281">
      <w:pPr>
        <w:spacing w:line="360" w:lineRule="auto"/>
        <w:jc w:val="both"/>
      </w:pPr>
      <w:r w:rsidRPr="00361B3D">
        <w:rPr>
          <w:b/>
          <w:bCs/>
        </w:rPr>
        <w:t>Figure 11:</w:t>
      </w:r>
      <w:r>
        <w:t xml:space="preserve"> CRISPR screening workflow showing the cells are </w:t>
      </w:r>
      <w:proofErr w:type="spellStart"/>
      <w:r>
        <w:t>lentivirally</w:t>
      </w:r>
      <w:proofErr w:type="spellEnd"/>
      <w:r>
        <w:t xml:space="preserve"> transduced with </w:t>
      </w:r>
      <w:proofErr w:type="spellStart"/>
      <w:r>
        <w:t>sgRNA</w:t>
      </w:r>
      <w:proofErr w:type="spellEnd"/>
      <w:r>
        <w:t xml:space="preserve"> libraries, exposed to RK, and sorted for a phenotype (such as cells resistant to RK’s effect), then sequencing reveals which gene disruptions were enriched</w:t>
      </w:r>
      <w:r w:rsidR="00D85237">
        <w:t xml:space="preserve"> </w:t>
      </w:r>
      <w:r w:rsidR="00D85237">
        <w:fldChar w:fldCharType="begin"/>
      </w:r>
      <w:r w:rsidR="00D85237">
        <w:instrText xml:space="preserve"> ADDIN ZOTERO_ITEM CSL_CITATION {"citationID":"ZlY2cMPG","properties":{"formattedCitation":"[49]","plainCitation":"[49]","noteIndex":0},"citationItems":[{"id":9,"uris":["http://zotero.org/users/16306459/items/XQN8M9QB"],"itemData":{"id":9,"type":"article-journal","abstract":"Glial cells are non-neuronal elements of the nervous system (NS) and play a central role in its development, maturation, and homeostasis. Glial cell interest has increased, leading to the discovery of novel study fields. The CRISPR/Cas system has been widely employed for NS understanding. Its use to study glial cells gives crucial information about their mechanisms and role in the central nervous system (CNS) and neurodegenerative disorders. Furthermore, the increasingly accelerated discovery of genes associated with the multiple implications of glial cells could be studied and complemented with the novel screening methods of high-content and single-cell screens at the genome-scale as Perturb-Seq, CRISP-seq, and CROPseq. Besides, the emerging methods, GESTALT, and LINNAEUS, employed to generate large-scale cell lineage maps have yielded invaluable information about processes involved in neurogenesis. These advances offer new therapeutic approaches to finding critical unanswered questions about glial cells and their fundamental role in the nervous system. Furthermore, they help to better understanding the significance of glial cells and their role in developmental biology.","container-title":"Frontiers in Cell and Developmental Biology","DOI":"10.3389/fcell.2022.947769","ISSN":"2296-634X","journalAbbreviation":"Front. Cell Dev. Biol.","page":"947769","source":"DOI.org (Crossref)","title":"Recent advances in the use of CRISPR/Cas for understanding the early development of molecular gaps in glial cells","volume":"10","author":[{"family":"Barragán-Álvarez","given":"Carla Patricia"},{"family":"Flores-Fernandez","given":"José Miguel"},{"family":"Hernández-Pérez","given":"Oscar R."},{"family":"Ávila-Gónzalez","given":"Daniela"},{"family":"Díaz","given":"Nestor Fabian"},{"family":"Padilla-Camberos","given":"Eduardo"},{"family":"Dublan-García","given":"Octavio"},{"family":"Gómez-Oliván","given":"Leobardo Manuel"},{"family":"Diaz-Martinez","given":"Nestor Emmanuel"}],"issued":{"date-parts":[["2022",9,2]]}}}],"schema":"https://github.com/citation-style-language/schema/raw/master/csl-citation.json"} </w:instrText>
      </w:r>
      <w:r w:rsidR="00D85237">
        <w:fldChar w:fldCharType="separate"/>
      </w:r>
      <w:r w:rsidR="00D85237" w:rsidRPr="00D85237">
        <w:rPr>
          <w:rFonts w:cs="Times New Roman"/>
        </w:rPr>
        <w:t>[49]</w:t>
      </w:r>
      <w:r w:rsidR="00D85237">
        <w:fldChar w:fldCharType="end"/>
      </w:r>
      <w:r>
        <w:t>.</w:t>
      </w:r>
    </w:p>
    <w:p w14:paraId="33F9BD27" w14:textId="77777777" w:rsidR="006A6AB7" w:rsidRPr="00361B3D" w:rsidRDefault="006A6AB7" w:rsidP="008E1E0C">
      <w:pPr>
        <w:spacing w:line="360" w:lineRule="auto"/>
        <w:rPr>
          <w:b/>
          <w:bCs/>
        </w:rPr>
      </w:pPr>
      <w:r w:rsidRPr="00361B3D">
        <w:rPr>
          <w:b/>
          <w:bCs/>
        </w:rPr>
        <w:t>Appendix</w:t>
      </w:r>
    </w:p>
    <w:p w14:paraId="0EDA5E75" w14:textId="7848C23A" w:rsidR="006A6AB7" w:rsidRDefault="006A6AB7" w:rsidP="00D85237">
      <w:pPr>
        <w:spacing w:line="360" w:lineRule="auto"/>
        <w:jc w:val="both"/>
      </w:pPr>
      <w:r>
        <w:t>•</w:t>
      </w:r>
      <w:r>
        <w:tab/>
      </w:r>
      <w:r w:rsidRPr="00361B3D">
        <w:rPr>
          <w:b/>
          <w:bCs/>
        </w:rPr>
        <w:t>Literature Search Strategy:</w:t>
      </w:r>
      <w:r>
        <w:t xml:space="preserve"> A comprehensive literature search was </w:t>
      </w:r>
      <w:r w:rsidR="007F5AFF">
        <w:t>performed</w:t>
      </w:r>
      <w:r>
        <w:t xml:space="preserve"> to gather relevant studies from 2015–2025</w:t>
      </w:r>
      <w:r w:rsidR="007F5AFF">
        <w:t xml:space="preserve"> using</w:t>
      </w:r>
      <w:r>
        <w:t xml:space="preserve"> databases </w:t>
      </w:r>
      <w:r w:rsidRPr="00361B3D">
        <w:rPr>
          <w:b/>
          <w:bCs/>
        </w:rPr>
        <w:t>PubMed</w:t>
      </w:r>
      <w:r>
        <w:t xml:space="preserve">, </w:t>
      </w:r>
      <w:r w:rsidRPr="00361B3D">
        <w:rPr>
          <w:b/>
          <w:bCs/>
        </w:rPr>
        <w:t>Scopus</w:t>
      </w:r>
      <w:r>
        <w:t xml:space="preserve">, and </w:t>
      </w:r>
      <w:r w:rsidRPr="00361B3D">
        <w:rPr>
          <w:b/>
          <w:bCs/>
        </w:rPr>
        <w:t>Web of Science</w:t>
      </w:r>
      <w:r>
        <w:t xml:space="preserve"> with a combination of keywords and Boolean operators. The core search term was </w:t>
      </w:r>
      <w:r w:rsidRPr="00361B3D">
        <w:rPr>
          <w:i/>
          <w:iCs/>
        </w:rPr>
        <w:t>(“raspberry ketone” OR “4-(4-hydroxyphenyl</w:t>
      </w:r>
      <w:proofErr w:type="gramStart"/>
      <w:r w:rsidRPr="00361B3D">
        <w:rPr>
          <w:i/>
          <w:iCs/>
        </w:rPr>
        <w:t>)butan</w:t>
      </w:r>
      <w:proofErr w:type="gramEnd"/>
      <w:r w:rsidRPr="00361B3D">
        <w:rPr>
          <w:i/>
          <w:iCs/>
        </w:rPr>
        <w:t>-2-one”)</w:t>
      </w:r>
      <w:r>
        <w:t xml:space="preserve"> </w:t>
      </w:r>
      <w:r w:rsidR="007F5AFF">
        <w:t>that included both</w:t>
      </w:r>
      <w:r>
        <w:t xml:space="preserve"> the common name and chemical name. This was combined with </w:t>
      </w:r>
      <w:r w:rsidR="007F5AFF">
        <w:t>topic-related</w:t>
      </w:r>
      <w:r>
        <w:t xml:space="preserve"> terms to filter for specific aspects, for example:</w:t>
      </w:r>
    </w:p>
    <w:p w14:paraId="6A666772" w14:textId="77777777" w:rsidR="006A6AB7" w:rsidRDefault="006A6AB7" w:rsidP="00D85237">
      <w:pPr>
        <w:spacing w:line="360" w:lineRule="auto"/>
        <w:jc w:val="both"/>
      </w:pPr>
      <w:r>
        <w:t>•</w:t>
      </w:r>
      <w:r>
        <w:tab/>
        <w:t>For pharmacology/biological activity: AND (“bioactivity” OR “mechanism” OR “PPAR” OR “obesity” OR “metabolic” OR “pharmacology”).</w:t>
      </w:r>
    </w:p>
    <w:p w14:paraId="759B8269" w14:textId="77777777" w:rsidR="006A6AB7" w:rsidRDefault="006A6AB7" w:rsidP="008E1E0C">
      <w:pPr>
        <w:spacing w:line="360" w:lineRule="auto"/>
      </w:pPr>
      <w:r>
        <w:t>•</w:t>
      </w:r>
      <w:r>
        <w:tab/>
        <w:t>For toxicology/safety: AND (“toxicity” OR “toxicology” OR “safety” OR “ADME” OR “metabolism”).</w:t>
      </w:r>
    </w:p>
    <w:p w14:paraId="5D5D1C74" w14:textId="44887FB2" w:rsidR="006A6AB7" w:rsidRDefault="006A6AB7" w:rsidP="00D85237">
      <w:pPr>
        <w:spacing w:line="360" w:lineRule="auto"/>
        <w:jc w:val="both"/>
      </w:pPr>
      <w:r>
        <w:t xml:space="preserve">Additionally, </w:t>
      </w:r>
      <w:r w:rsidR="007F5AFF">
        <w:t>date ranges from</w:t>
      </w:r>
      <w:r>
        <w:t xml:space="preserve"> “2015” through “2025” were </w:t>
      </w:r>
      <w:r w:rsidR="007F5AFF">
        <w:t>selected</w:t>
      </w:r>
      <w:r>
        <w:t xml:space="preserve"> in PubMed’s publication date filter (e.g., </w:t>
      </w:r>
      <w:r w:rsidRPr="00361B3D">
        <w:rPr>
          <w:b/>
          <w:bCs/>
        </w:rPr>
        <w:t>("2015"[DP</w:t>
      </w:r>
      <w:proofErr w:type="gramStart"/>
      <w:r w:rsidRPr="00361B3D">
        <w:rPr>
          <w:b/>
          <w:bCs/>
        </w:rPr>
        <w:t>] :</w:t>
      </w:r>
      <w:proofErr w:type="gramEnd"/>
      <w:r w:rsidRPr="00361B3D">
        <w:rPr>
          <w:b/>
          <w:bCs/>
        </w:rPr>
        <w:t xml:space="preserve"> "2025"[DP])</w:t>
      </w:r>
      <w:r>
        <w:t xml:space="preserve"> in PubMed syntax) to </w:t>
      </w:r>
      <w:r w:rsidR="007F5AFF">
        <w:t>get the latest</w:t>
      </w:r>
      <w:r>
        <w:t xml:space="preserve"> results to the last</w:t>
      </w:r>
      <w:r w:rsidR="007F5AFF">
        <w:t xml:space="preserve"> 10 years</w:t>
      </w:r>
      <w:r>
        <w:t>. An example of a final query string in PubMed was:</w:t>
      </w:r>
    </w:p>
    <w:p w14:paraId="5819734B" w14:textId="77777777" w:rsidR="006A6AB7" w:rsidRDefault="006A6AB7" w:rsidP="00D85237">
      <w:pPr>
        <w:spacing w:line="360" w:lineRule="auto"/>
        <w:jc w:val="both"/>
      </w:pPr>
      <w:r>
        <w:lastRenderedPageBreak/>
        <w:t>("raspberry ketone" OR "4-(4-hydroxyphenyl</w:t>
      </w:r>
      <w:proofErr w:type="gramStart"/>
      <w:r>
        <w:t>)butan</w:t>
      </w:r>
      <w:proofErr w:type="gramEnd"/>
      <w:r>
        <w:t>-2-one") AND (mechanism OR toxicity OR bioactivity OR synthesis) AND ("2015"[Date - Publication</w:t>
      </w:r>
      <w:proofErr w:type="gramStart"/>
      <w:r>
        <w:t>] :</w:t>
      </w:r>
      <w:proofErr w:type="gramEnd"/>
      <w:r>
        <w:t xml:space="preserve"> "2025"[Date - Publication]).</w:t>
      </w:r>
    </w:p>
    <w:p w14:paraId="6368E653" w14:textId="0E977B87" w:rsidR="006A6AB7" w:rsidRDefault="006A6AB7" w:rsidP="00D85237">
      <w:pPr>
        <w:spacing w:line="360" w:lineRule="auto"/>
        <w:jc w:val="both"/>
      </w:pPr>
      <w:r>
        <w:t>•</w:t>
      </w:r>
      <w:r>
        <w:tab/>
      </w:r>
      <w:r w:rsidRPr="00361B3D">
        <w:rPr>
          <w:b/>
          <w:bCs/>
        </w:rPr>
        <w:t>Inclusion/Exclusion Criteria:</w:t>
      </w:r>
      <w:r>
        <w:t xml:space="preserve"> We </w:t>
      </w:r>
      <w:r w:rsidR="007F5AFF">
        <w:t>used</w:t>
      </w:r>
      <w:r>
        <w:t xml:space="preserve"> </w:t>
      </w:r>
      <w:r w:rsidR="007F5AFF">
        <w:t>mainly</w:t>
      </w:r>
      <w:r>
        <w:t xml:space="preserve"> </w:t>
      </w:r>
      <w:r w:rsidRPr="007F5AFF">
        <w:t xml:space="preserve">peer-reviewed primary research </w:t>
      </w:r>
      <w:r w:rsidR="007F5AFF" w:rsidRPr="007F5AFF">
        <w:t>publications</w:t>
      </w:r>
      <w:r w:rsidRPr="007F5AFF">
        <w:t xml:space="preserve"> </w:t>
      </w:r>
      <w:r w:rsidR="007F5AFF">
        <w:t xml:space="preserve">focusing </w:t>
      </w:r>
      <w:r>
        <w:t xml:space="preserve">journals </w:t>
      </w:r>
      <w:r w:rsidR="007F5AFF">
        <w:t>with</w:t>
      </w:r>
      <w:r>
        <w:t xml:space="preserve"> Impact Factor &gt;5.0 to </w:t>
      </w:r>
      <w:r w:rsidR="003B497A">
        <w:t>make sure</w:t>
      </w:r>
      <w:r>
        <w:t xml:space="preserve"> high-quality studies. Key review articles (e.g., Rao </w:t>
      </w:r>
      <w:r w:rsidRPr="00361B3D">
        <w:rPr>
          <w:i/>
          <w:iCs/>
        </w:rPr>
        <w:t>et al</w:t>
      </w:r>
      <w:r>
        <w:t>., 2021 pmc.ncbi.nlm.nih.gov) were consulted for background and reference mining but emphasis was on original experimental data. We excluded anecdotal reports, non-peer-reviewed sources, and studies before 2015 (except for historical context) to keep the content current. Non-English articles were also excluded unless an English abstract provided critical information.</w:t>
      </w:r>
    </w:p>
    <w:p w14:paraId="4A58F570" w14:textId="77777777" w:rsidR="006A6AB7" w:rsidRDefault="006A6AB7" w:rsidP="00D85237">
      <w:pPr>
        <w:spacing w:line="360" w:lineRule="auto"/>
        <w:jc w:val="both"/>
      </w:pPr>
      <w:r>
        <w:t>•</w:t>
      </w:r>
      <w:r>
        <w:tab/>
      </w:r>
      <w:r w:rsidRPr="00C476C7">
        <w:rPr>
          <w:b/>
          <w:bCs/>
        </w:rPr>
        <w:t>Data Extraction:</w:t>
      </w:r>
      <w:r>
        <w:t xml:space="preserve"> Data from each study were extracted regarding objectives, methods, key findings, and relevance to RK’s chemistry or bioactivity. These were tabulated and then synthesized into the sections above. Particular attention was given to results that were </w:t>
      </w:r>
      <w:r w:rsidRPr="00C476C7">
        <w:rPr>
          <w:b/>
          <w:bCs/>
        </w:rPr>
        <w:t>well-validated</w:t>
      </w:r>
      <w:r>
        <w:t xml:space="preserve"> (e.g., dose-dependent effects with statistics, or mechanistic insights confirmed by multiple methods), as per the instruction to prioritize “mechanistically deep, well-validated studies.”</w:t>
      </w:r>
    </w:p>
    <w:p w14:paraId="31290340" w14:textId="1E416633" w:rsidR="006A6AB7" w:rsidRDefault="006A6AB7" w:rsidP="003B497A">
      <w:pPr>
        <w:spacing w:line="360" w:lineRule="auto"/>
        <w:jc w:val="both"/>
      </w:pPr>
      <w:r>
        <w:t>•</w:t>
      </w:r>
      <w:r>
        <w:tab/>
      </w:r>
      <w:r w:rsidRPr="00C476C7">
        <w:rPr>
          <w:b/>
          <w:bCs/>
        </w:rPr>
        <w:t>Bibliometric Data:</w:t>
      </w:r>
      <w:r>
        <w:t xml:space="preserve"> </w:t>
      </w:r>
      <w:r w:rsidR="003B497A" w:rsidRPr="003B497A">
        <w:t>We looked for "RK" in the article title, abstract, and keywords on Dimensions.ai and compiled the publication trends. We filtered for articles between 2015 and 2025 and analyzed the number published year wise. These exhibited an upward trend, as shown in Figure S1. We also found the best journals and research fields for these publications, such as pharmacology/toxicology journals (about 30%), food science journals (about 20%), and so on.</w:t>
      </w:r>
    </w:p>
    <w:p w14:paraId="61DB2962" w14:textId="1C95828A" w:rsidR="006A6AB7" w:rsidRPr="00C476C7" w:rsidRDefault="006A6AB7" w:rsidP="008E1E0C">
      <w:pPr>
        <w:spacing w:line="360" w:lineRule="auto"/>
        <w:rPr>
          <w:b/>
          <w:bCs/>
        </w:rPr>
      </w:pPr>
      <w:r w:rsidRPr="00C476C7">
        <w:rPr>
          <w:b/>
          <w:bCs/>
        </w:rPr>
        <w:t>Supplementary Figures:</w:t>
      </w:r>
    </w:p>
    <w:p w14:paraId="3B9A1AC0" w14:textId="7F8A7144" w:rsidR="006A6AB7" w:rsidRDefault="0093659C" w:rsidP="008E1E0C">
      <w:pPr>
        <w:spacing w:line="360" w:lineRule="auto"/>
      </w:pPr>
      <w:r>
        <w:rPr>
          <w:rFonts w:cs="Times New Roman"/>
          <w:noProof/>
          <w:kern w:val="0"/>
          <w14:ligatures w14:val="none"/>
        </w:rPr>
        <w:lastRenderedPageBreak/>
        <mc:AlternateContent>
          <mc:Choice Requires="wps">
            <w:drawing>
              <wp:anchor distT="45720" distB="45720" distL="114300" distR="114300" simplePos="0" relativeHeight="251667456" behindDoc="0" locked="0" layoutInCell="1" allowOverlap="1" wp14:anchorId="5CB450FC" wp14:editId="0E5D5A92">
                <wp:simplePos x="0" y="0"/>
                <wp:positionH relativeFrom="column">
                  <wp:posOffset>344031</wp:posOffset>
                </wp:positionH>
                <wp:positionV relativeFrom="paragraph">
                  <wp:posOffset>45720</wp:posOffset>
                </wp:positionV>
                <wp:extent cx="412750" cy="292100"/>
                <wp:effectExtent l="0" t="0" r="6350" b="0"/>
                <wp:wrapNone/>
                <wp:docPr id="199932257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 cy="292100"/>
                        </a:xfrm>
                        <a:prstGeom prst="rect">
                          <a:avLst/>
                        </a:prstGeom>
                        <a:solidFill>
                          <a:srgbClr val="FFFFFF"/>
                        </a:solidFill>
                        <a:ln w="9525">
                          <a:noFill/>
                          <a:miter lim="800000"/>
                          <a:headEnd/>
                          <a:tailEnd/>
                        </a:ln>
                      </wps:spPr>
                      <wps:txbx>
                        <w:txbxContent>
                          <w:p w14:paraId="0C93BA94" w14:textId="77777777" w:rsidR="0093659C" w:rsidRDefault="0093659C" w:rsidP="0093659C">
                            <w:pPr>
                              <w:rPr>
                                <w:rFonts w:cs="Times New Roman"/>
                              </w:rPr>
                            </w:pPr>
                            <w:r>
                              <w:rPr>
                                <w:rFonts w:cs="Times New Roman"/>
                              </w:rPr>
                              <w:t>[A]</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B450FC" id="Text Box 4" o:spid="_x0000_s1030" type="#_x0000_t202" style="position:absolute;margin-left:27.1pt;margin-top:3.6pt;width:32.5pt;height:23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" stroked="f">
                <v:textbox>
                  <w:txbxContent>
                    <w:p w14:paraId="0C93BA94" w14:textId="77777777" w:rsidR="0093659C" w:rsidRDefault="0093659C" w:rsidP="0093659C">
                      <w:pPr>
                        <w:rPr>
                          <w:rFonts w:cs="Times New Roman"/>
                        </w:rPr>
                      </w:pPr>
                      <w:r>
                        <w:rPr>
                          <w:rFonts w:cs="Times New Roman"/>
                        </w:rPr>
                        <w:t>[A]</w:t>
                      </w:r>
                    </w:p>
                  </w:txbxContent>
                </v:textbox>
              </v:shape>
            </w:pict>
          </mc:Fallback>
        </mc:AlternateContent>
      </w:r>
      <w:r>
        <w:rPr>
          <w:noProof/>
        </w:rPr>
        <w:drawing>
          <wp:inline distT="0" distB="0" distL="0" distR="0" wp14:anchorId="45999F1C" wp14:editId="0C67FBCB">
            <wp:extent cx="5943600" cy="3168015"/>
            <wp:effectExtent l="19050" t="19050" r="19050" b="13335"/>
            <wp:docPr id="693877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877294" name="Picture 1"/>
                    <pic:cNvPicPr>
                      <a:picLocks noChangeAspect="1"/>
                    </pic:cNvPicPr>
                  </pic:nvPicPr>
                  <pic:blipFill>
                    <a:blip r:embed="rId21"/>
                    <a:stretch>
                      <a:fillRect/>
                    </a:stretch>
                  </pic:blipFill>
                  <pic:spPr>
                    <a:xfrm>
                      <a:off x="0" y="0"/>
                      <a:ext cx="5943600" cy="3168015"/>
                    </a:xfrm>
                    <a:prstGeom prst="rect">
                      <a:avLst/>
                    </a:prstGeom>
                    <a:ln>
                      <a:solidFill>
                        <a:schemeClr val="tx1"/>
                      </a:solidFill>
                    </a:ln>
                  </pic:spPr>
                </pic:pic>
              </a:graphicData>
            </a:graphic>
          </wp:inline>
        </w:drawing>
      </w:r>
    </w:p>
    <w:p w14:paraId="08B40372" w14:textId="032BCD58" w:rsidR="0093659C" w:rsidRDefault="0093659C" w:rsidP="008E1E0C">
      <w:pPr>
        <w:spacing w:line="360" w:lineRule="auto"/>
      </w:pPr>
      <w:r>
        <w:rPr>
          <w:noProof/>
        </w:rPr>
        <w:drawing>
          <wp:inline distT="0" distB="0" distL="0" distR="0" wp14:anchorId="3EBF5DF0" wp14:editId="5A139A13">
            <wp:extent cx="5943600" cy="3841750"/>
            <wp:effectExtent l="19050" t="19050" r="19050" b="25400"/>
            <wp:docPr id="157361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61173" name="Picture 1"/>
                    <pic:cNvPicPr>
                      <a:picLocks noChangeAspect="1"/>
                    </pic:cNvPicPr>
                  </pic:nvPicPr>
                  <pic:blipFill>
                    <a:blip r:embed="rId22"/>
                    <a:stretch>
                      <a:fillRect/>
                    </a:stretch>
                  </pic:blipFill>
                  <pic:spPr>
                    <a:xfrm>
                      <a:off x="0" y="0"/>
                      <a:ext cx="5943600" cy="3841750"/>
                    </a:xfrm>
                    <a:prstGeom prst="rect">
                      <a:avLst/>
                    </a:prstGeom>
                    <a:ln>
                      <a:solidFill>
                        <a:schemeClr val="tx1"/>
                      </a:solidFill>
                    </a:ln>
                  </pic:spPr>
                </pic:pic>
              </a:graphicData>
            </a:graphic>
          </wp:inline>
        </w:drawing>
      </w:r>
      <w:r>
        <w:rPr>
          <w:rFonts w:cs="Times New Roman"/>
          <w:noProof/>
          <w:kern w:val="0"/>
          <w14:ligatures w14:val="none"/>
        </w:rPr>
        <mc:AlternateContent>
          <mc:Choice Requires="wps">
            <w:drawing>
              <wp:anchor distT="45720" distB="45720" distL="114300" distR="114300" simplePos="0" relativeHeight="251669504" behindDoc="0" locked="0" layoutInCell="1" allowOverlap="1" wp14:anchorId="4B3D7CE7" wp14:editId="32F52F7E">
                <wp:simplePos x="0" y="0"/>
                <wp:positionH relativeFrom="margin">
                  <wp:posOffset>0</wp:posOffset>
                </wp:positionH>
                <wp:positionV relativeFrom="paragraph">
                  <wp:posOffset>45720</wp:posOffset>
                </wp:positionV>
                <wp:extent cx="412750" cy="292100"/>
                <wp:effectExtent l="0" t="0" r="6350" b="0"/>
                <wp:wrapNone/>
                <wp:docPr id="28038546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 cy="292100"/>
                        </a:xfrm>
                        <a:prstGeom prst="rect">
                          <a:avLst/>
                        </a:prstGeom>
                        <a:solidFill>
                          <a:srgbClr val="FFFFFF"/>
                        </a:solidFill>
                        <a:ln w="9525">
                          <a:noFill/>
                          <a:miter lim="800000"/>
                          <a:headEnd/>
                          <a:tailEnd/>
                        </a:ln>
                      </wps:spPr>
                      <wps:txbx>
                        <w:txbxContent>
                          <w:p w14:paraId="10ED8B2E" w14:textId="77777777" w:rsidR="0093659C" w:rsidRDefault="0093659C" w:rsidP="0093659C">
                            <w:pPr>
                              <w:rPr>
                                <w:rFonts w:cs="Times New Roman"/>
                              </w:rPr>
                            </w:pPr>
                            <w:r>
                              <w:rPr>
                                <w:rFonts w:cs="Times New Roman"/>
                              </w:rPr>
                              <w:t>[B]</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3D7CE7" id="Text Box 5" o:spid="_x0000_s1031" type="#_x0000_t202" style="position:absolute;margin-left:0;margin-top:3.6pt;width:32.5pt;height:23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" stroked="f">
                <v:textbox>
                  <w:txbxContent>
                    <w:p w14:paraId="10ED8B2E" w14:textId="77777777" w:rsidR="0093659C" w:rsidRDefault="0093659C" w:rsidP="0093659C">
                      <w:pPr>
                        <w:rPr>
                          <w:rFonts w:cs="Times New Roman"/>
                        </w:rPr>
                      </w:pPr>
                      <w:r>
                        <w:rPr>
                          <w:rFonts w:cs="Times New Roman"/>
                        </w:rPr>
                        <w:t>[B]</w:t>
                      </w:r>
                    </w:p>
                  </w:txbxContent>
                </v:textbox>
                <w10:wrap anchorx="margin"/>
              </v:shape>
            </w:pict>
          </mc:Fallback>
        </mc:AlternateContent>
      </w:r>
    </w:p>
    <w:p w14:paraId="45E3D22C" w14:textId="77777777" w:rsidR="006A6AB7" w:rsidRDefault="006A6AB7" w:rsidP="008E1E0C">
      <w:pPr>
        <w:spacing w:line="360" w:lineRule="auto"/>
      </w:pPr>
      <w:r w:rsidRPr="00C476C7">
        <w:rPr>
          <w:b/>
          <w:bCs/>
        </w:rPr>
        <w:t>Figure S1</w:t>
      </w:r>
      <w:r>
        <w:t xml:space="preserve">. </w:t>
      </w:r>
      <w:r w:rsidRPr="00C476C7">
        <w:rPr>
          <w:i/>
          <w:iCs/>
        </w:rPr>
        <w:t>Preliminary bibliometric analysis of Raspberry Ketone (RK) research trends.</w:t>
      </w:r>
    </w:p>
    <w:p w14:paraId="5002B9CD" w14:textId="77777777" w:rsidR="006A6AB7" w:rsidRDefault="006A6AB7" w:rsidP="008E1E0C">
      <w:pPr>
        <w:spacing w:line="360" w:lineRule="auto"/>
      </w:pPr>
      <w:r>
        <w:t>([A]) Year-wise distribution of publications on RK.</w:t>
      </w:r>
    </w:p>
    <w:p w14:paraId="139EC2D2" w14:textId="77777777" w:rsidR="006A6AB7" w:rsidRDefault="006A6AB7" w:rsidP="008E1E0C">
      <w:pPr>
        <w:spacing w:line="360" w:lineRule="auto"/>
      </w:pPr>
      <w:r>
        <w:t>([B]) Domain-wise distribution of publications on RK.</w:t>
      </w:r>
    </w:p>
    <w:p w14:paraId="1B3B1FFE" w14:textId="7E33C78D" w:rsidR="006A6AB7" w:rsidRPr="00C476C7" w:rsidRDefault="006A6AB7" w:rsidP="008E1E0C">
      <w:pPr>
        <w:spacing w:line="360" w:lineRule="auto"/>
        <w:rPr>
          <w:i/>
          <w:iCs/>
        </w:rPr>
      </w:pPr>
      <w:r w:rsidRPr="00C476C7">
        <w:rPr>
          <w:i/>
          <w:iCs/>
        </w:rPr>
        <w:lastRenderedPageBreak/>
        <w:t>Publication source: Dimensions.ai.</w:t>
      </w:r>
      <w:r w:rsidR="00C476C7">
        <w:rPr>
          <w:i/>
          <w:iCs/>
        </w:rPr>
        <w:t xml:space="preserve"> </w:t>
      </w:r>
      <w:r w:rsidRPr="00C476C7">
        <w:rPr>
          <w:i/>
          <w:iCs/>
        </w:rPr>
        <w:t xml:space="preserve">Search criteria: "Raspberry Ketone" AND ("anti-obesity effects" OR </w:t>
      </w:r>
      <w:proofErr w:type="spellStart"/>
      <w:r w:rsidRPr="00C476C7">
        <w:rPr>
          <w:i/>
          <w:iCs/>
        </w:rPr>
        <w:t>hepatoprotection</w:t>
      </w:r>
      <w:proofErr w:type="spellEnd"/>
      <w:r w:rsidRPr="00C476C7">
        <w:rPr>
          <w:i/>
          <w:iCs/>
        </w:rPr>
        <w:t xml:space="preserve"> OR </w:t>
      </w:r>
      <w:proofErr w:type="spellStart"/>
      <w:r w:rsidRPr="00C476C7">
        <w:rPr>
          <w:i/>
          <w:iCs/>
        </w:rPr>
        <w:t>cardioprotection</w:t>
      </w:r>
      <w:proofErr w:type="spellEnd"/>
      <w:r w:rsidRPr="00C476C7">
        <w:rPr>
          <w:i/>
          <w:iCs/>
        </w:rPr>
        <w:t xml:space="preserve"> OR dermatology OR entomology") in full data.</w:t>
      </w:r>
    </w:p>
    <w:p w14:paraId="050AD400" w14:textId="77777777" w:rsidR="006A6AB7" w:rsidRDefault="006A6AB7" w:rsidP="008E1E0C">
      <w:pPr>
        <w:spacing w:line="360" w:lineRule="auto"/>
      </w:pPr>
    </w:p>
    <w:p w14:paraId="7A0654BE" w14:textId="77777777" w:rsidR="006A6AB7" w:rsidRPr="00C476C7" w:rsidRDefault="006A6AB7" w:rsidP="008E1E0C">
      <w:pPr>
        <w:spacing w:line="360" w:lineRule="auto"/>
        <w:rPr>
          <w:b/>
          <w:bCs/>
        </w:rPr>
      </w:pPr>
      <w:r w:rsidRPr="00C476C7">
        <w:rPr>
          <w:b/>
          <w:bCs/>
        </w:rPr>
        <w:t>Supplementary Table:</w:t>
      </w:r>
    </w:p>
    <w:p w14:paraId="72218BAE" w14:textId="3050BF2D" w:rsidR="00E51E50" w:rsidRDefault="006A6AB7" w:rsidP="008E1E0C">
      <w:pPr>
        <w:spacing w:line="360" w:lineRule="auto"/>
      </w:pPr>
      <w:r w:rsidRPr="00C476C7">
        <w:rPr>
          <w:b/>
          <w:bCs/>
        </w:rPr>
        <w:t>Table S1.</w:t>
      </w:r>
      <w:r>
        <w:t xml:space="preserve"> Various RK production methods (chemical vs. bio-based) and their environmental footprints (energy use, waste generation).</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2"/>
        <w:gridCol w:w="1557"/>
        <w:gridCol w:w="2212"/>
        <w:gridCol w:w="1395"/>
        <w:gridCol w:w="2489"/>
        <w:gridCol w:w="812"/>
        <w:gridCol w:w="888"/>
      </w:tblGrid>
      <w:tr w:rsidR="0093659C" w:rsidRPr="0093659C" w14:paraId="5F17C81B" w14:textId="77777777" w:rsidTr="0093659C">
        <w:trPr>
          <w:tblHeader/>
        </w:trPr>
        <w:tc>
          <w:tcPr>
            <w:tcW w:w="412" w:type="dxa"/>
            <w:tcBorders>
              <w:top w:val="single" w:sz="8" w:space="0" w:color="auto"/>
              <w:left w:val="single" w:sz="8" w:space="0" w:color="auto"/>
              <w:bottom w:val="single" w:sz="8" w:space="0" w:color="auto"/>
              <w:right w:val="single" w:sz="4" w:space="0" w:color="auto"/>
            </w:tcBorders>
            <w:tcMar>
              <w:top w:w="15" w:type="dxa"/>
              <w:left w:w="15" w:type="dxa"/>
              <w:bottom w:w="15" w:type="dxa"/>
              <w:right w:w="15" w:type="dxa"/>
            </w:tcMar>
            <w:vAlign w:val="center"/>
            <w:hideMark/>
          </w:tcPr>
          <w:p w14:paraId="78D9EEEE" w14:textId="77777777" w:rsidR="0093659C" w:rsidRPr="0093659C" w:rsidRDefault="0093659C" w:rsidP="0093659C">
            <w:pPr>
              <w:spacing w:after="160"/>
              <w:rPr>
                <w:b/>
                <w:bCs/>
              </w:rPr>
            </w:pPr>
            <w:r w:rsidRPr="0093659C">
              <w:rPr>
                <w:b/>
                <w:bCs/>
              </w:rPr>
              <w:t>Sr. No.</w:t>
            </w:r>
          </w:p>
        </w:tc>
        <w:tc>
          <w:tcPr>
            <w:tcW w:w="1558" w:type="dxa"/>
            <w:tcBorders>
              <w:top w:val="single" w:sz="8" w:space="0" w:color="auto"/>
              <w:left w:val="single" w:sz="4" w:space="0" w:color="auto"/>
              <w:bottom w:val="single" w:sz="8" w:space="0" w:color="auto"/>
              <w:right w:val="single" w:sz="4" w:space="0" w:color="auto"/>
            </w:tcBorders>
            <w:tcMar>
              <w:top w:w="15" w:type="dxa"/>
              <w:left w:w="15" w:type="dxa"/>
              <w:bottom w:w="15" w:type="dxa"/>
              <w:right w:w="15" w:type="dxa"/>
            </w:tcMar>
            <w:vAlign w:val="center"/>
            <w:hideMark/>
          </w:tcPr>
          <w:p w14:paraId="5BB01739" w14:textId="77777777" w:rsidR="0093659C" w:rsidRPr="0093659C" w:rsidRDefault="0093659C" w:rsidP="0093659C">
            <w:pPr>
              <w:spacing w:after="160"/>
              <w:rPr>
                <w:b/>
                <w:bCs/>
              </w:rPr>
            </w:pPr>
            <w:r w:rsidRPr="0093659C">
              <w:rPr>
                <w:b/>
                <w:bCs/>
              </w:rPr>
              <w:t>Production Method</w:t>
            </w:r>
          </w:p>
        </w:tc>
        <w:tc>
          <w:tcPr>
            <w:tcW w:w="2213" w:type="dxa"/>
            <w:tcBorders>
              <w:top w:val="single" w:sz="8" w:space="0" w:color="auto"/>
              <w:left w:val="single" w:sz="4" w:space="0" w:color="auto"/>
              <w:bottom w:val="single" w:sz="8" w:space="0" w:color="auto"/>
              <w:right w:val="single" w:sz="4" w:space="0" w:color="auto"/>
            </w:tcBorders>
            <w:tcMar>
              <w:top w:w="15" w:type="dxa"/>
              <w:left w:w="15" w:type="dxa"/>
              <w:bottom w:w="15" w:type="dxa"/>
              <w:right w:w="15" w:type="dxa"/>
            </w:tcMar>
            <w:vAlign w:val="center"/>
            <w:hideMark/>
          </w:tcPr>
          <w:p w14:paraId="0D77BBCE" w14:textId="77777777" w:rsidR="0093659C" w:rsidRPr="0093659C" w:rsidRDefault="0093659C" w:rsidP="0093659C">
            <w:pPr>
              <w:spacing w:after="160"/>
              <w:rPr>
                <w:b/>
                <w:bCs/>
              </w:rPr>
            </w:pPr>
            <w:r w:rsidRPr="0093659C">
              <w:rPr>
                <w:b/>
                <w:bCs/>
              </w:rPr>
              <w:t>Precursor/Substrate Used</w:t>
            </w:r>
          </w:p>
        </w:tc>
        <w:tc>
          <w:tcPr>
            <w:tcW w:w="1396" w:type="dxa"/>
            <w:tcBorders>
              <w:top w:val="single" w:sz="8" w:space="0" w:color="auto"/>
              <w:left w:val="single" w:sz="4" w:space="0" w:color="auto"/>
              <w:bottom w:val="single" w:sz="8" w:space="0" w:color="auto"/>
              <w:right w:val="single" w:sz="4" w:space="0" w:color="auto"/>
            </w:tcBorders>
            <w:tcMar>
              <w:top w:w="15" w:type="dxa"/>
              <w:left w:w="15" w:type="dxa"/>
              <w:bottom w:w="15" w:type="dxa"/>
              <w:right w:w="15" w:type="dxa"/>
            </w:tcMar>
            <w:vAlign w:val="center"/>
            <w:hideMark/>
          </w:tcPr>
          <w:p w14:paraId="456C75FF" w14:textId="77777777" w:rsidR="0093659C" w:rsidRPr="0093659C" w:rsidRDefault="0093659C" w:rsidP="0093659C">
            <w:pPr>
              <w:spacing w:after="160"/>
              <w:rPr>
                <w:b/>
                <w:bCs/>
              </w:rPr>
            </w:pPr>
            <w:r w:rsidRPr="0093659C">
              <w:rPr>
                <w:b/>
                <w:bCs/>
              </w:rPr>
              <w:t>Yield / Productivity</w:t>
            </w:r>
          </w:p>
        </w:tc>
        <w:tc>
          <w:tcPr>
            <w:tcW w:w="2491" w:type="dxa"/>
            <w:tcBorders>
              <w:top w:val="single" w:sz="8" w:space="0" w:color="auto"/>
              <w:left w:val="single" w:sz="4" w:space="0" w:color="auto"/>
              <w:bottom w:val="single" w:sz="8" w:space="0" w:color="auto"/>
              <w:right w:val="single" w:sz="4" w:space="0" w:color="auto"/>
            </w:tcBorders>
            <w:tcMar>
              <w:top w:w="15" w:type="dxa"/>
              <w:left w:w="15" w:type="dxa"/>
              <w:bottom w:w="15" w:type="dxa"/>
              <w:right w:w="15" w:type="dxa"/>
            </w:tcMar>
            <w:vAlign w:val="center"/>
            <w:hideMark/>
          </w:tcPr>
          <w:p w14:paraId="6CF79F43" w14:textId="77777777" w:rsidR="0093659C" w:rsidRPr="0093659C" w:rsidRDefault="0093659C" w:rsidP="0093659C">
            <w:pPr>
              <w:spacing w:after="160"/>
              <w:rPr>
                <w:b/>
                <w:bCs/>
              </w:rPr>
            </w:pPr>
            <w:r w:rsidRPr="0093659C">
              <w:rPr>
                <w:b/>
                <w:bCs/>
              </w:rPr>
              <w:t>Environmental Footprint</w:t>
            </w:r>
          </w:p>
        </w:tc>
        <w:tc>
          <w:tcPr>
            <w:tcW w:w="812" w:type="dxa"/>
            <w:tcBorders>
              <w:top w:val="single" w:sz="8" w:space="0" w:color="auto"/>
              <w:left w:val="single" w:sz="4" w:space="0" w:color="auto"/>
              <w:bottom w:val="single" w:sz="8" w:space="0" w:color="auto"/>
              <w:right w:val="single" w:sz="4" w:space="0" w:color="auto"/>
            </w:tcBorders>
            <w:tcMar>
              <w:top w:w="15" w:type="dxa"/>
              <w:left w:w="15" w:type="dxa"/>
              <w:bottom w:w="15" w:type="dxa"/>
              <w:right w:w="15" w:type="dxa"/>
            </w:tcMar>
            <w:vAlign w:val="center"/>
            <w:hideMark/>
          </w:tcPr>
          <w:p w14:paraId="72A5AF32" w14:textId="77777777" w:rsidR="0093659C" w:rsidRPr="0093659C" w:rsidRDefault="0093659C" w:rsidP="0093659C">
            <w:pPr>
              <w:spacing w:after="160"/>
              <w:rPr>
                <w:b/>
                <w:bCs/>
              </w:rPr>
            </w:pPr>
            <w:r w:rsidRPr="0093659C">
              <w:rPr>
                <w:b/>
                <w:bCs/>
              </w:rPr>
              <w:t>Scale</w:t>
            </w:r>
          </w:p>
        </w:tc>
        <w:tc>
          <w:tcPr>
            <w:tcW w:w="889" w:type="dxa"/>
            <w:tcBorders>
              <w:top w:val="single" w:sz="8" w:space="0" w:color="auto"/>
              <w:left w:val="single" w:sz="4" w:space="0" w:color="auto"/>
              <w:bottom w:val="single" w:sz="8" w:space="0" w:color="auto"/>
              <w:right w:val="single" w:sz="8" w:space="0" w:color="auto"/>
            </w:tcBorders>
            <w:tcMar>
              <w:top w:w="15" w:type="dxa"/>
              <w:left w:w="15" w:type="dxa"/>
              <w:bottom w:w="15" w:type="dxa"/>
              <w:right w:w="15" w:type="dxa"/>
            </w:tcMar>
            <w:vAlign w:val="center"/>
            <w:hideMark/>
          </w:tcPr>
          <w:p w14:paraId="593EF3B2" w14:textId="77777777" w:rsidR="0093659C" w:rsidRPr="0093659C" w:rsidRDefault="0093659C" w:rsidP="0093659C">
            <w:pPr>
              <w:spacing w:after="160"/>
              <w:rPr>
                <w:b/>
                <w:bCs/>
              </w:rPr>
            </w:pPr>
            <w:r w:rsidRPr="0093659C">
              <w:rPr>
                <w:b/>
                <w:bCs/>
              </w:rPr>
              <w:t>Reference</w:t>
            </w:r>
          </w:p>
        </w:tc>
      </w:tr>
      <w:tr w:rsidR="0093659C" w:rsidRPr="0093659C" w14:paraId="0B92B169" w14:textId="77777777" w:rsidTr="0093659C">
        <w:tc>
          <w:tcPr>
            <w:tcW w:w="412" w:type="dxa"/>
            <w:tcBorders>
              <w:top w:val="single" w:sz="8" w:space="0" w:color="auto"/>
              <w:left w:val="single" w:sz="8" w:space="0" w:color="auto"/>
              <w:bottom w:val="single" w:sz="4" w:space="0" w:color="auto"/>
              <w:right w:val="single" w:sz="4" w:space="0" w:color="auto"/>
            </w:tcBorders>
            <w:tcMar>
              <w:top w:w="15" w:type="dxa"/>
              <w:left w:w="15" w:type="dxa"/>
              <w:bottom w:w="15" w:type="dxa"/>
              <w:right w:w="15" w:type="dxa"/>
            </w:tcMar>
            <w:vAlign w:val="center"/>
            <w:hideMark/>
          </w:tcPr>
          <w:p w14:paraId="2E64A8D9" w14:textId="77777777" w:rsidR="0093659C" w:rsidRPr="0093659C" w:rsidRDefault="0093659C" w:rsidP="0093659C">
            <w:pPr>
              <w:spacing w:after="160"/>
            </w:pPr>
            <w:r w:rsidRPr="0093659C">
              <w:t>1</w:t>
            </w:r>
          </w:p>
        </w:tc>
        <w:tc>
          <w:tcPr>
            <w:tcW w:w="1558" w:type="dxa"/>
            <w:tcBorders>
              <w:top w:val="single" w:sz="8"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6AE5C07" w14:textId="77777777" w:rsidR="0093659C" w:rsidRPr="0093659C" w:rsidRDefault="0093659C" w:rsidP="0093659C">
            <w:pPr>
              <w:spacing w:after="160"/>
            </w:pPr>
            <w:r w:rsidRPr="0093659C">
              <w:t>Enzymatic biocatalytic cascade</w:t>
            </w:r>
            <w:r w:rsidRPr="0093659C">
              <w:fldChar w:fldCharType="begin"/>
            </w:r>
            <w:r w:rsidRPr="0093659C">
              <w:instrText xml:space="preserve"> ADDIN ZOTERO_ITEM CSL_CITATION {"citationID":"Sp6PNCns","properties":{"formattedCitation":"[45]","plainCitation":"[45]","noteIndex":0},"citationItems":[{"id":13,"uris":["http://zotero.org/users/16306459/items/PW779EAD"],"itemData":{"id":13,"type":"article-journal","abstract":"Abstract\n              \n                Raspberry ketone is a widely used flavor compound in food and cosmetic industry. Several processes for its biocatalytic production have already been described, but either with the use of genetically modified organisms (GMOs) or incomplete conversion of the variety of precursors that are available in nature. Such natural precursors are rhododendrol glycosides with different proportions of (\n                R\n                )- and (\n                S\n                )-rhododendrol depending on the origin. After hydrolysis of these rhododendrol glycosides, the formed rhododendrol enantiomers have to be oxidized to obtain the final product raspberry ketone. To be able to achieve a high conversion with different starting material, we assembled an alcohol dehydrogenase toolbox that can be accessed depending on the optical purity of the intermediate rhododendrol. This is demonstrated by converting racemic rhododendrol using a combination of (\n                R\n                )- and (\n                S\n                )-selective alcohol dehydrogenases together with a universal cofactor recycling system. Furthermore, we conducted a biocatalytic cascade reaction starting from naturally derived rhododendrol glycosides by the use of a glucosidase and an alcohol dehydrogenase to produce raspberry ketone in high yield.\n              \n            \n            \n              Key points\n              \n                •\n                LB-ADH, LK-ADH and LS-ADH oxidize (R)-rhododendrol\n              \n              \n                •\n                RR-ADH and ADH1E oxidize (S)-rhododendrol\n              \n              \n                •\n                Raspberry ketone production via glucosidase and alcohol dehydrogenases from a toolbox\n              \n            \n            \n              Graphical abstract","container-title":"Applied Microbiology and Biotechnology","DOI":"10.1007/s00253-021-11332-9","ISSN":"0175-7598, 1432-0614","issue":"10","journalAbbreviation":"Appl Microbiol Biotechnol","language":"en","page":"4189-4197","source":"DOI.org (Crossref)","title":"An ADH toolbox for raspberry ketone production from natural resources via a biocatalytic cascade","volume":"105","author":[{"family":"Becker","given":"Aileen"},{"family":"Böttcher","given":"Dominique"},{"family":"Katzer","given":"Werner"},{"family":"Siems","given":"Karsten"},{"family":"Müller-Kuhrt","given":"Lutz"},{"family":"Bornscheuer","given":"Uwe T."}],"issued":{"date-parts":[["2021",5]]}}}],"schema":"https://github.com/citation-style-language/schema/raw/master/csl-citation.json"} </w:instrText>
            </w:r>
            <w:r w:rsidRPr="0093659C">
              <w:fldChar w:fldCharType="separate"/>
            </w:r>
            <w:r w:rsidRPr="0093659C">
              <w:t>[45]</w:t>
            </w:r>
            <w:r w:rsidRPr="0093659C">
              <w:fldChar w:fldCharType="end"/>
            </w:r>
          </w:p>
        </w:tc>
        <w:tc>
          <w:tcPr>
            <w:tcW w:w="2213" w:type="dxa"/>
            <w:tcBorders>
              <w:top w:val="single" w:sz="8"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A0D7885" w14:textId="77777777" w:rsidR="0093659C" w:rsidRPr="0093659C" w:rsidRDefault="0093659C" w:rsidP="0093659C">
            <w:pPr>
              <w:spacing w:after="160"/>
            </w:pPr>
            <w:proofErr w:type="spellStart"/>
            <w:r w:rsidRPr="0093659C">
              <w:t>Rhododendrol</w:t>
            </w:r>
            <w:proofErr w:type="spellEnd"/>
            <w:r w:rsidRPr="0093659C">
              <w:t xml:space="preserve"> glycosides from </w:t>
            </w:r>
            <w:proofErr w:type="spellStart"/>
            <w:r w:rsidRPr="0093659C">
              <w:rPr>
                <w:i/>
                <w:iCs/>
              </w:rPr>
              <w:t>Betula</w:t>
            </w:r>
            <w:proofErr w:type="spellEnd"/>
            <w:r w:rsidRPr="0093659C">
              <w:rPr>
                <w:i/>
                <w:iCs/>
              </w:rPr>
              <w:t xml:space="preserve"> pendula</w:t>
            </w:r>
          </w:p>
        </w:tc>
        <w:tc>
          <w:tcPr>
            <w:tcW w:w="1396" w:type="dxa"/>
            <w:tcBorders>
              <w:top w:val="single" w:sz="8"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1D56973" w14:textId="77777777" w:rsidR="0093659C" w:rsidRPr="0093659C" w:rsidRDefault="0093659C" w:rsidP="0093659C">
            <w:pPr>
              <w:spacing w:after="160"/>
            </w:pPr>
            <w:r w:rsidRPr="0093659C">
              <w:t>~93% isolated yield from 150 mg substrate</w:t>
            </w:r>
          </w:p>
        </w:tc>
        <w:tc>
          <w:tcPr>
            <w:tcW w:w="2491" w:type="dxa"/>
            <w:tcBorders>
              <w:top w:val="single" w:sz="8"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33B202A" w14:textId="77777777" w:rsidR="0093659C" w:rsidRPr="0093659C" w:rsidRDefault="0093659C" w:rsidP="0093659C">
            <w:pPr>
              <w:spacing w:after="160"/>
            </w:pPr>
            <w:r w:rsidRPr="0093659C">
              <w:t>GMO-free; efficient cofactor recycling; minimal waste</w:t>
            </w:r>
          </w:p>
        </w:tc>
        <w:tc>
          <w:tcPr>
            <w:tcW w:w="812" w:type="dxa"/>
            <w:tcBorders>
              <w:top w:val="single" w:sz="8"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E4DDEBA" w14:textId="77777777" w:rsidR="0093659C" w:rsidRPr="0093659C" w:rsidRDefault="0093659C" w:rsidP="0093659C">
            <w:pPr>
              <w:spacing w:after="160"/>
            </w:pPr>
            <w:r w:rsidRPr="0093659C">
              <w:t>Lab-scale</w:t>
            </w:r>
          </w:p>
        </w:tc>
        <w:tc>
          <w:tcPr>
            <w:tcW w:w="889" w:type="dxa"/>
            <w:tcBorders>
              <w:top w:val="single" w:sz="8" w:space="0" w:color="auto"/>
              <w:left w:val="single" w:sz="4" w:space="0" w:color="auto"/>
              <w:bottom w:val="single" w:sz="4" w:space="0" w:color="auto"/>
              <w:right w:val="single" w:sz="8" w:space="0" w:color="auto"/>
            </w:tcBorders>
            <w:tcMar>
              <w:top w:w="15" w:type="dxa"/>
              <w:left w:w="15" w:type="dxa"/>
              <w:bottom w:w="15" w:type="dxa"/>
              <w:right w:w="15" w:type="dxa"/>
            </w:tcMar>
            <w:hideMark/>
          </w:tcPr>
          <w:p w14:paraId="4C664C87" w14:textId="77777777" w:rsidR="0093659C" w:rsidRPr="0093659C" w:rsidRDefault="0093659C" w:rsidP="0093659C">
            <w:pPr>
              <w:spacing w:after="160"/>
            </w:pPr>
            <w:r w:rsidRPr="0093659C">
              <w:t>Becker et al., 2021</w:t>
            </w:r>
          </w:p>
        </w:tc>
      </w:tr>
      <w:tr w:rsidR="0093659C" w:rsidRPr="0093659C" w14:paraId="01A6FB25" w14:textId="77777777" w:rsidTr="0093659C">
        <w:tc>
          <w:tcPr>
            <w:tcW w:w="412" w:type="dxa"/>
            <w:tcBorders>
              <w:top w:val="single" w:sz="8" w:space="0" w:color="auto"/>
              <w:left w:val="single" w:sz="8" w:space="0" w:color="auto"/>
              <w:bottom w:val="single" w:sz="4" w:space="0" w:color="auto"/>
              <w:right w:val="single" w:sz="4" w:space="0" w:color="auto"/>
            </w:tcBorders>
            <w:tcMar>
              <w:top w:w="15" w:type="dxa"/>
              <w:left w:w="15" w:type="dxa"/>
              <w:bottom w:w="15" w:type="dxa"/>
              <w:right w:w="15" w:type="dxa"/>
            </w:tcMar>
            <w:vAlign w:val="center"/>
            <w:hideMark/>
          </w:tcPr>
          <w:p w14:paraId="15ACBEDF" w14:textId="77777777" w:rsidR="0093659C" w:rsidRPr="0093659C" w:rsidRDefault="0093659C" w:rsidP="0093659C">
            <w:pPr>
              <w:spacing w:after="160"/>
            </w:pPr>
            <w:r w:rsidRPr="0093659C">
              <w:t>2</w:t>
            </w:r>
          </w:p>
        </w:tc>
        <w:tc>
          <w:tcPr>
            <w:tcW w:w="1558" w:type="dxa"/>
            <w:tcBorders>
              <w:top w:val="single" w:sz="8"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F232D8E" w14:textId="77777777" w:rsidR="0093659C" w:rsidRPr="0093659C" w:rsidRDefault="0093659C" w:rsidP="0093659C">
            <w:pPr>
              <w:spacing w:after="160"/>
            </w:pPr>
            <w:r w:rsidRPr="0093659C">
              <w:t>Chemical synthesis</w:t>
            </w:r>
            <w:r w:rsidRPr="0093659C">
              <w:fldChar w:fldCharType="begin"/>
            </w:r>
            <w:r w:rsidRPr="0093659C">
              <w:instrText xml:space="preserve"> ADDIN ZOTERO_ITEM CSL_CITATION {"citationID":"CVGdv9Yb","properties":{"formattedCitation":"[50]","plainCitation":"[50]","noteIndex":0},"citationItems":[{"id":82,"uris":["http://zotero.org/users/16306459/items/ZCNJVDGP"],"itemData":{"id":82,"type":"article-journal","abstract":"Abstract\n            Recent advances in the synthesis and applications of raspberry ketone are reviewed in this paper. Different routes to this material including chemical and biotechnological synthetic methods and extraction from natural sources are compared, and the applications of the ketone in flavour and fragrance, pharmaceuticals and in food and tobacco processing are discussed. Synthesis from petrochemical raw materials has the advantages of ready availability of ingredients and well‐understood synthetic steps, but direct synthesis from petrochemicals will eventually be replaced because of low yields and hazardous results to environment. The ketone can be made from natural raw materials, and the methods are promising if their disadvantages such as limited availability and complex, multi‐step reactions and harsh reaction conditions can be overcome. Biotechnological preparation methods have the advantages of reaction specificity, mild reaction conditions, but are limited in applicability because of complications associated with their synthetic and purification procedures at present. With the development of biotechnology, biotechnological preparation methods of the ketone may be the most important route in the future. Direct extraction of the ketone from natural raw materials is possible, but the cost is very high. From the view of syntheses and applications, the research perspectives of raspberry ketone are outlined in the end of this paper, which are the development of green and effective synthetic methods for raspberry ketone from natural raw materials and the preparation and application of raspberry ketone by biotechnological preparation methods.","container-title":"Flavour and Fragrance Journal","DOI":"10.1002/ffj.3678","ISSN":"0882-5734, 1099-1026","issue":"6","journalAbbreviation":"Flavour &amp; Fragrance J","language":"en","page":"615-625","source":"DOI.org (Crossref)","title":"Advances in the synthesis and applications of raspberry ketone: A review","title-short":"Advances in the synthesis and applications of raspberry ketone","volume":"36","author":[{"family":"Guo","given":"Hui"},{"family":"Chang","given":"Sha"},{"family":"Jia","given":"Lili"},{"family":"Wang","given":"Zuoyao"},{"family":"Zhang","given":"Qian"},{"family":"Zhang","given":"Guobao"}],"issued":{"date-parts":[["2021",11]]}}}],"schema":"https://github.com/citation-style-language/schema/raw/master/csl-citation.json"} </w:instrText>
            </w:r>
            <w:r w:rsidRPr="0093659C">
              <w:fldChar w:fldCharType="separate"/>
            </w:r>
            <w:r w:rsidRPr="0093659C">
              <w:t>[50]</w:t>
            </w:r>
            <w:r w:rsidRPr="0093659C">
              <w:fldChar w:fldCharType="end"/>
            </w:r>
          </w:p>
        </w:tc>
        <w:tc>
          <w:tcPr>
            <w:tcW w:w="2213" w:type="dxa"/>
            <w:tcBorders>
              <w:top w:val="single" w:sz="8"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3977170" w14:textId="77777777" w:rsidR="0093659C" w:rsidRPr="0093659C" w:rsidRDefault="0093659C" w:rsidP="0093659C">
            <w:pPr>
              <w:spacing w:after="160"/>
            </w:pPr>
            <w:r w:rsidRPr="0093659C">
              <w:rPr>
                <w:i/>
                <w:iCs/>
              </w:rPr>
              <w:t>p</w:t>
            </w:r>
            <w:r w:rsidRPr="0093659C">
              <w:t>-Hydroxybenzaldehyde and acetone</w:t>
            </w:r>
          </w:p>
        </w:tc>
        <w:tc>
          <w:tcPr>
            <w:tcW w:w="1396" w:type="dxa"/>
            <w:tcBorders>
              <w:top w:val="single" w:sz="8"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3E788CB" w14:textId="77777777" w:rsidR="0093659C" w:rsidRPr="0093659C" w:rsidRDefault="0093659C" w:rsidP="0093659C">
            <w:pPr>
              <w:spacing w:after="160"/>
            </w:pPr>
            <w:r w:rsidRPr="0093659C">
              <w:t>Not specified; general overview</w:t>
            </w:r>
          </w:p>
        </w:tc>
        <w:tc>
          <w:tcPr>
            <w:tcW w:w="2491" w:type="dxa"/>
            <w:tcBorders>
              <w:top w:val="single" w:sz="8"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4778293" w14:textId="77777777" w:rsidR="0093659C" w:rsidRPr="0093659C" w:rsidRDefault="0093659C" w:rsidP="0093659C">
            <w:pPr>
              <w:spacing w:after="160"/>
            </w:pPr>
            <w:r w:rsidRPr="0093659C">
              <w:t>Involves use of solvents and catalysts; potential environmental concerns</w:t>
            </w:r>
          </w:p>
        </w:tc>
        <w:tc>
          <w:tcPr>
            <w:tcW w:w="812" w:type="dxa"/>
            <w:tcBorders>
              <w:top w:val="single" w:sz="8"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7D92F65" w14:textId="77777777" w:rsidR="0093659C" w:rsidRPr="0093659C" w:rsidRDefault="0093659C" w:rsidP="0093659C">
            <w:pPr>
              <w:spacing w:after="160"/>
            </w:pPr>
            <w:r w:rsidRPr="0093659C">
              <w:t>Industrial-scale</w:t>
            </w:r>
          </w:p>
        </w:tc>
        <w:tc>
          <w:tcPr>
            <w:tcW w:w="889" w:type="dxa"/>
            <w:tcBorders>
              <w:top w:val="single" w:sz="8" w:space="0" w:color="auto"/>
              <w:left w:val="single" w:sz="4" w:space="0" w:color="auto"/>
              <w:bottom w:val="single" w:sz="4" w:space="0" w:color="auto"/>
              <w:right w:val="single" w:sz="8" w:space="0" w:color="auto"/>
            </w:tcBorders>
            <w:tcMar>
              <w:top w:w="15" w:type="dxa"/>
              <w:left w:w="15" w:type="dxa"/>
              <w:bottom w:w="15" w:type="dxa"/>
              <w:right w:w="15" w:type="dxa"/>
            </w:tcMar>
            <w:vAlign w:val="center"/>
            <w:hideMark/>
          </w:tcPr>
          <w:p w14:paraId="41FC2868" w14:textId="77777777" w:rsidR="0093659C" w:rsidRPr="0093659C" w:rsidRDefault="0093659C" w:rsidP="0093659C">
            <w:pPr>
              <w:spacing w:after="160"/>
            </w:pPr>
            <w:r w:rsidRPr="0093659C">
              <w:t>Guo et al., 2021</w:t>
            </w:r>
          </w:p>
        </w:tc>
      </w:tr>
      <w:tr w:rsidR="0093659C" w:rsidRPr="0093659C" w14:paraId="30103E85" w14:textId="77777777" w:rsidTr="0093659C">
        <w:tc>
          <w:tcPr>
            <w:tcW w:w="412" w:type="dxa"/>
            <w:tcBorders>
              <w:top w:val="single" w:sz="8" w:space="0" w:color="auto"/>
              <w:left w:val="single" w:sz="8" w:space="0" w:color="auto"/>
              <w:bottom w:val="single" w:sz="4" w:space="0" w:color="auto"/>
              <w:right w:val="single" w:sz="4" w:space="0" w:color="auto"/>
            </w:tcBorders>
            <w:tcMar>
              <w:top w:w="15" w:type="dxa"/>
              <w:left w:w="15" w:type="dxa"/>
              <w:bottom w:w="15" w:type="dxa"/>
              <w:right w:w="15" w:type="dxa"/>
            </w:tcMar>
            <w:vAlign w:val="center"/>
            <w:hideMark/>
          </w:tcPr>
          <w:p w14:paraId="7DFD7A5A" w14:textId="77777777" w:rsidR="0093659C" w:rsidRPr="0093659C" w:rsidRDefault="0093659C" w:rsidP="0093659C">
            <w:pPr>
              <w:spacing w:after="160"/>
            </w:pPr>
            <w:r w:rsidRPr="0093659C">
              <w:t>3</w:t>
            </w:r>
          </w:p>
        </w:tc>
        <w:tc>
          <w:tcPr>
            <w:tcW w:w="1558" w:type="dxa"/>
            <w:tcBorders>
              <w:top w:val="single" w:sz="8"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04BCC95" w14:textId="77777777" w:rsidR="0093659C" w:rsidRPr="0093659C" w:rsidRDefault="0093659C" w:rsidP="0093659C">
            <w:pPr>
              <w:spacing w:after="160"/>
            </w:pPr>
            <w:r w:rsidRPr="0093659C">
              <w:t xml:space="preserve">Microbial fermentation using engineered </w:t>
            </w:r>
            <w:r w:rsidRPr="0093659C">
              <w:rPr>
                <w:i/>
                <w:iCs/>
              </w:rPr>
              <w:t>E. coli</w:t>
            </w:r>
            <w:r w:rsidRPr="0093659C">
              <w:rPr>
                <w:i/>
                <w:iCs/>
              </w:rPr>
              <w:fldChar w:fldCharType="begin"/>
            </w:r>
            <w:r w:rsidRPr="0093659C">
              <w:rPr>
                <w:i/>
                <w:iCs/>
              </w:rPr>
              <w:instrText xml:space="preserve"> ADDIN ZOTERO_ITEM CSL_CITATION {"citationID":"l5xLg5Ql","properties":{"formattedCitation":"[3]","plainCitation":"[3]","noteIndex":0},"citationItems":[{"id":31,"uris":["http://zotero.org/users/16306459/items/HB4TJT7D"],"itemData":{"id":31,"type":"article-journal","abstract":"Abstract\n            \n              Raspberry ketone is an important compound for the flavour industry. It is frequently used in products such as soft drinks, sweets, puddings and ice creams. The compound can be produced by organic synthesis. Demand for “natural” raspberry ketone is growing considerably. However, this product is extremely expensive. Consequently, there is a remaining desire to better understand how raspberry ketone is synthesized\n              in vivo\n              , and which genes and enzymes are involved. With this information we will then be in a better position to design alternative production strategies such as microbial fermentation. This article focuses on the identification and application of genes potentially linked to raspberry ketone synthesis. We have isolated candidate genes from both raspberry and other plants, and these have been introduced into bacterial and yeast expression systems. Conditions have been determined that result in significant levels of raspberry ketone, up to 5 mg/L. These results therefore lay a strong foundation for a potentially renewable source of “natural” flavour compounds making use of plant genes.","container-title":"Biotechnology Journal","DOI":"10.1002/biot.200700076","ISSN":"1860-6768, 1860-7314","issue":"10","journalAbbreviation":"Biotechnology Journal","language":"en","license":"http://onlinelibrary.wiley.com/termsAndConditions#vor","page":"1270-1279","source":"DOI.org (Crossref)","title":"Microbial production of natural raspberry ketone","volume":"2","author":[{"family":"Beekwilder","given":"Jules"},{"family":"Van Der Meer","given":"Ingrid M."},{"family":"Sibbesen","given":"Ole"},{"family":"Broekgaarden","given":"Mans"},{"family":"Qvist","given":"Ingmar"},{"family":"Mikkelsen","given":"Joern D."},{"family":"Hall","given":"Robert D."}],"issued":{"date-parts":[["2007",10]]}}}],"schema":"https://github.com/citation-style-language/schema/raw/master/csl-citation.json"} </w:instrText>
            </w:r>
            <w:r w:rsidRPr="0093659C">
              <w:rPr>
                <w:i/>
                <w:iCs/>
              </w:rPr>
              <w:fldChar w:fldCharType="separate"/>
            </w:r>
            <w:r w:rsidRPr="0093659C">
              <w:t>[3]</w:t>
            </w:r>
            <w:r w:rsidRPr="0093659C">
              <w:fldChar w:fldCharType="end"/>
            </w:r>
          </w:p>
        </w:tc>
        <w:tc>
          <w:tcPr>
            <w:tcW w:w="2213" w:type="dxa"/>
            <w:tcBorders>
              <w:top w:val="single" w:sz="8"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6F40EC6" w14:textId="77777777" w:rsidR="0093659C" w:rsidRPr="0093659C" w:rsidRDefault="0093659C" w:rsidP="0093659C">
            <w:pPr>
              <w:spacing w:after="160"/>
            </w:pPr>
            <w:r w:rsidRPr="0093659C">
              <w:rPr>
                <w:i/>
                <w:iCs/>
              </w:rPr>
              <w:t>p</w:t>
            </w:r>
            <w:r w:rsidRPr="0093659C">
              <w:t>-Coumaric acid</w:t>
            </w:r>
          </w:p>
        </w:tc>
        <w:tc>
          <w:tcPr>
            <w:tcW w:w="1396" w:type="dxa"/>
            <w:tcBorders>
              <w:top w:val="single" w:sz="8"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BE7A6F0" w14:textId="77777777" w:rsidR="0093659C" w:rsidRPr="0093659C" w:rsidRDefault="0093659C" w:rsidP="0093659C">
            <w:pPr>
              <w:spacing w:after="160"/>
            </w:pPr>
            <w:r w:rsidRPr="0093659C">
              <w:t>Up to 5 mg/L</w:t>
            </w:r>
          </w:p>
        </w:tc>
        <w:tc>
          <w:tcPr>
            <w:tcW w:w="2491" w:type="dxa"/>
            <w:tcBorders>
              <w:top w:val="single" w:sz="8"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0FC015B" w14:textId="77777777" w:rsidR="0093659C" w:rsidRPr="0093659C" w:rsidRDefault="0093659C" w:rsidP="0093659C">
            <w:pPr>
              <w:spacing w:after="160"/>
            </w:pPr>
            <w:r w:rsidRPr="0093659C">
              <w:t>Genetically modified; moderate environmental impact</w:t>
            </w:r>
          </w:p>
        </w:tc>
        <w:tc>
          <w:tcPr>
            <w:tcW w:w="812" w:type="dxa"/>
            <w:tcBorders>
              <w:top w:val="single" w:sz="8"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ECCD46D" w14:textId="77777777" w:rsidR="0093659C" w:rsidRPr="0093659C" w:rsidRDefault="0093659C" w:rsidP="0093659C">
            <w:pPr>
              <w:spacing w:after="160"/>
            </w:pPr>
            <w:r w:rsidRPr="0093659C">
              <w:t>Lab-scale</w:t>
            </w:r>
          </w:p>
        </w:tc>
        <w:tc>
          <w:tcPr>
            <w:tcW w:w="889" w:type="dxa"/>
            <w:tcBorders>
              <w:top w:val="single" w:sz="8" w:space="0" w:color="auto"/>
              <w:left w:val="single" w:sz="4" w:space="0" w:color="auto"/>
              <w:bottom w:val="single" w:sz="4" w:space="0" w:color="auto"/>
              <w:right w:val="single" w:sz="8" w:space="0" w:color="auto"/>
            </w:tcBorders>
            <w:tcMar>
              <w:top w:w="15" w:type="dxa"/>
              <w:left w:w="15" w:type="dxa"/>
              <w:bottom w:w="15" w:type="dxa"/>
              <w:right w:w="15" w:type="dxa"/>
            </w:tcMar>
            <w:vAlign w:val="center"/>
            <w:hideMark/>
          </w:tcPr>
          <w:p w14:paraId="42FE47AB" w14:textId="77777777" w:rsidR="0093659C" w:rsidRPr="0093659C" w:rsidRDefault="0093659C" w:rsidP="0093659C">
            <w:pPr>
              <w:spacing w:after="160"/>
            </w:pPr>
            <w:proofErr w:type="spellStart"/>
            <w:r w:rsidRPr="0093659C">
              <w:t>Beekwilder</w:t>
            </w:r>
            <w:proofErr w:type="spellEnd"/>
            <w:r w:rsidRPr="0093659C">
              <w:t xml:space="preserve"> et al., 2007</w:t>
            </w:r>
          </w:p>
        </w:tc>
      </w:tr>
      <w:tr w:rsidR="0093659C" w:rsidRPr="0093659C" w14:paraId="3F2CC36E" w14:textId="77777777" w:rsidTr="0093659C">
        <w:tc>
          <w:tcPr>
            <w:tcW w:w="412" w:type="dxa"/>
            <w:tcBorders>
              <w:top w:val="single" w:sz="8" w:space="0" w:color="auto"/>
              <w:left w:val="single" w:sz="8" w:space="0" w:color="auto"/>
              <w:bottom w:val="single" w:sz="4" w:space="0" w:color="auto"/>
              <w:right w:val="single" w:sz="4" w:space="0" w:color="auto"/>
            </w:tcBorders>
            <w:tcMar>
              <w:top w:w="15" w:type="dxa"/>
              <w:left w:w="15" w:type="dxa"/>
              <w:bottom w:w="15" w:type="dxa"/>
              <w:right w:w="15" w:type="dxa"/>
            </w:tcMar>
            <w:vAlign w:val="center"/>
            <w:hideMark/>
          </w:tcPr>
          <w:p w14:paraId="7A3B2E28" w14:textId="77777777" w:rsidR="0093659C" w:rsidRPr="0093659C" w:rsidRDefault="0093659C" w:rsidP="0093659C">
            <w:pPr>
              <w:spacing w:after="160"/>
            </w:pPr>
            <w:r w:rsidRPr="0093659C">
              <w:t>4</w:t>
            </w:r>
          </w:p>
        </w:tc>
        <w:tc>
          <w:tcPr>
            <w:tcW w:w="1558" w:type="dxa"/>
            <w:tcBorders>
              <w:top w:val="single" w:sz="8"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B66BD6D" w14:textId="77777777" w:rsidR="0093659C" w:rsidRPr="0093659C" w:rsidRDefault="0093659C" w:rsidP="0093659C">
            <w:pPr>
              <w:spacing w:after="160"/>
            </w:pPr>
            <w:r w:rsidRPr="0093659C">
              <w:t>Transgenic plant-based biosynthesis</w:t>
            </w:r>
            <w:r w:rsidRPr="0093659C">
              <w:fldChar w:fldCharType="begin"/>
            </w:r>
            <w:r w:rsidRPr="0093659C">
              <w:instrText xml:space="preserve"> ADDIN ZOTERO_ITEM CSL_CITATION {"citationID":"dj0xDiDL","properties":{"formattedCitation":"[4]","plainCitation":"[4]","noteIndex":0},"citationItems":[{"id":24,"uris":["http://zotero.org/users/16306459/items/MVSK5APV"],"itemData":{"id":24,"type":"article-journal","container-title":"Metabolic Engineering Communications","DOI":"10.1016/j.mec.2021.e00180","ISSN":"22140301","journalAbbreviation":"Metabolic Engineering Communications","language":"en","page":"e00180","source":"DOI.org (Crossref)","title":"Production of raspberry ketone by redirecting the metabolic flux to the phenylpropanoid pathway in tobacco plants","volume":"13","author":[{"family":"Koeduka","given":"Takao"},{"family":"Takarada","given":"Sachiho"},{"family":"Fujii","given":"Koya"},{"family":"Sugiyama","given":"Akifumi"},{"family":"Yazaki","given":"Kazufumi"},{"family":"Nishihara","given":"Masahiro"},{"family":"Matsui","given":"Kenji"}],"issued":{"date-parts":[["2021",12]]}}}],"schema":"https://github.com/citation-style-language/schema/raw/master/csl-citation.json"} </w:instrText>
            </w:r>
            <w:r w:rsidRPr="0093659C">
              <w:fldChar w:fldCharType="separate"/>
            </w:r>
            <w:r w:rsidRPr="0093659C">
              <w:t>[4]</w:t>
            </w:r>
            <w:r w:rsidRPr="0093659C">
              <w:fldChar w:fldCharType="end"/>
            </w:r>
          </w:p>
        </w:tc>
        <w:tc>
          <w:tcPr>
            <w:tcW w:w="2213" w:type="dxa"/>
            <w:tcBorders>
              <w:top w:val="single" w:sz="8"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F7DD30B" w14:textId="77777777" w:rsidR="0093659C" w:rsidRPr="0093659C" w:rsidRDefault="0093659C" w:rsidP="0093659C">
            <w:pPr>
              <w:spacing w:after="160"/>
            </w:pPr>
            <w:r w:rsidRPr="0093659C">
              <w:t>Tyrosine via phenylpropanoid pathway</w:t>
            </w:r>
          </w:p>
        </w:tc>
        <w:tc>
          <w:tcPr>
            <w:tcW w:w="1396" w:type="dxa"/>
            <w:tcBorders>
              <w:top w:val="single" w:sz="8"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9161BAB" w14:textId="77777777" w:rsidR="0093659C" w:rsidRPr="0093659C" w:rsidRDefault="0093659C" w:rsidP="0093659C">
            <w:pPr>
              <w:spacing w:after="160"/>
            </w:pPr>
            <w:r w:rsidRPr="0093659C">
              <w:t>Not specified; proof-of-concept</w:t>
            </w:r>
          </w:p>
        </w:tc>
        <w:tc>
          <w:tcPr>
            <w:tcW w:w="2491" w:type="dxa"/>
            <w:tcBorders>
              <w:top w:val="single" w:sz="8"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03064AF" w14:textId="77777777" w:rsidR="0093659C" w:rsidRPr="0093659C" w:rsidRDefault="0093659C" w:rsidP="0093659C">
            <w:pPr>
              <w:spacing w:after="160"/>
            </w:pPr>
            <w:r w:rsidRPr="0093659C">
              <w:t xml:space="preserve">Plant </w:t>
            </w:r>
            <w:proofErr w:type="spellStart"/>
            <w:r w:rsidRPr="0093659C">
              <w:t>biofactory</w:t>
            </w:r>
            <w:proofErr w:type="spellEnd"/>
            <w:r w:rsidRPr="0093659C">
              <w:t>; sustainable potential; GMO concerns</w:t>
            </w:r>
          </w:p>
        </w:tc>
        <w:tc>
          <w:tcPr>
            <w:tcW w:w="812" w:type="dxa"/>
            <w:tcBorders>
              <w:top w:val="single" w:sz="8"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B936731" w14:textId="77777777" w:rsidR="0093659C" w:rsidRPr="0093659C" w:rsidRDefault="0093659C" w:rsidP="0093659C">
            <w:pPr>
              <w:spacing w:after="160"/>
            </w:pPr>
            <w:r w:rsidRPr="0093659C">
              <w:t>Lab-scale</w:t>
            </w:r>
          </w:p>
        </w:tc>
        <w:tc>
          <w:tcPr>
            <w:tcW w:w="889" w:type="dxa"/>
            <w:tcBorders>
              <w:top w:val="single" w:sz="8" w:space="0" w:color="auto"/>
              <w:left w:val="single" w:sz="4" w:space="0" w:color="auto"/>
              <w:bottom w:val="single" w:sz="4" w:space="0" w:color="auto"/>
              <w:right w:val="single" w:sz="8" w:space="0" w:color="auto"/>
            </w:tcBorders>
            <w:tcMar>
              <w:top w:w="15" w:type="dxa"/>
              <w:left w:w="15" w:type="dxa"/>
              <w:bottom w:w="15" w:type="dxa"/>
              <w:right w:w="15" w:type="dxa"/>
            </w:tcMar>
            <w:vAlign w:val="center"/>
            <w:hideMark/>
          </w:tcPr>
          <w:p w14:paraId="00EA7F92" w14:textId="77777777" w:rsidR="0093659C" w:rsidRPr="0093659C" w:rsidRDefault="0093659C" w:rsidP="0093659C">
            <w:pPr>
              <w:spacing w:after="160"/>
            </w:pPr>
            <w:proofErr w:type="spellStart"/>
            <w:r w:rsidRPr="0093659C">
              <w:t>Koeduka</w:t>
            </w:r>
            <w:proofErr w:type="spellEnd"/>
            <w:r w:rsidRPr="0093659C">
              <w:t xml:space="preserve"> et al., 2021</w:t>
            </w:r>
          </w:p>
        </w:tc>
      </w:tr>
      <w:tr w:rsidR="0093659C" w:rsidRPr="0093659C" w14:paraId="46146933" w14:textId="77777777" w:rsidTr="0093659C">
        <w:tc>
          <w:tcPr>
            <w:tcW w:w="412" w:type="dxa"/>
            <w:tcBorders>
              <w:top w:val="single" w:sz="8" w:space="0" w:color="auto"/>
              <w:left w:val="single" w:sz="8" w:space="0" w:color="auto"/>
              <w:bottom w:val="single" w:sz="4" w:space="0" w:color="auto"/>
              <w:right w:val="single" w:sz="4" w:space="0" w:color="auto"/>
            </w:tcBorders>
            <w:tcMar>
              <w:top w:w="15" w:type="dxa"/>
              <w:left w:w="15" w:type="dxa"/>
              <w:bottom w:w="15" w:type="dxa"/>
              <w:right w:w="15" w:type="dxa"/>
            </w:tcMar>
            <w:vAlign w:val="center"/>
            <w:hideMark/>
          </w:tcPr>
          <w:p w14:paraId="33522010" w14:textId="77777777" w:rsidR="0093659C" w:rsidRPr="0093659C" w:rsidRDefault="0093659C" w:rsidP="0093659C">
            <w:pPr>
              <w:spacing w:after="160"/>
            </w:pPr>
            <w:r w:rsidRPr="0093659C">
              <w:t>5</w:t>
            </w:r>
          </w:p>
        </w:tc>
        <w:tc>
          <w:tcPr>
            <w:tcW w:w="1558" w:type="dxa"/>
            <w:tcBorders>
              <w:top w:val="single" w:sz="8"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0A4E797" w14:textId="77777777" w:rsidR="0093659C" w:rsidRPr="0093659C" w:rsidRDefault="0093659C" w:rsidP="0093659C">
            <w:pPr>
              <w:spacing w:after="160"/>
            </w:pPr>
            <w:r w:rsidRPr="0093659C">
              <w:t xml:space="preserve">Fungal fermentation </w:t>
            </w:r>
            <w:r w:rsidRPr="0093659C">
              <w:fldChar w:fldCharType="begin"/>
            </w:r>
            <w:r w:rsidRPr="0093659C">
              <w:instrText xml:space="preserve"> ADDIN ZOTERO_ITEM CSL_CITATION {"citationID":"5dRtdvVD","properties":{"formattedCitation":"[51]","plainCitation":"[51]","noteIndex":0},"citationItems":[{"id":85,"uris":["http://zotero.org/users/16306459/items/Q4P4JDJT"],"itemData":{"id":85,"type":"article-journal","container-title":"Process Biochemistry","DOI":"10.1016/j.procbio.2024.05.029","ISSN":"13595113","journalAbbreviation":"Process Biochemistry","language":"en","page":"168-178","source":"DOI.org (Crossref)","title":"Bioproduction of high-value raspberry ketone by submerged fermentation of Nidula niveo-tomentosa","volume":"144","author":[{"family":"Zhang","given":"Yi"},{"family":"Goh","given":"Kheng-Lim"},{"family":"Zivkovic","given":"Vladimir"},{"family":"Ng","given":"Yuen Ling"},{"family":"Chow","given":"Yvonne"}],"issued":{"date-parts":[["2024",9]]}}}],"schema":"https://github.com/citation-style-language/schema/raw/master/csl-citation.json"} </w:instrText>
            </w:r>
            <w:r w:rsidRPr="0093659C">
              <w:fldChar w:fldCharType="separate"/>
            </w:r>
            <w:r w:rsidRPr="0093659C">
              <w:t>[51]</w:t>
            </w:r>
            <w:r w:rsidRPr="0093659C">
              <w:fldChar w:fldCharType="end"/>
            </w:r>
          </w:p>
        </w:tc>
        <w:tc>
          <w:tcPr>
            <w:tcW w:w="2213" w:type="dxa"/>
            <w:tcBorders>
              <w:top w:val="single" w:sz="8"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1558DA3" w14:textId="77777777" w:rsidR="0093659C" w:rsidRPr="0093659C" w:rsidRDefault="0093659C" w:rsidP="0093659C">
            <w:pPr>
              <w:spacing w:after="160"/>
            </w:pPr>
            <w:r w:rsidRPr="0093659C">
              <w:t>Glucose-based media</w:t>
            </w:r>
          </w:p>
        </w:tc>
        <w:tc>
          <w:tcPr>
            <w:tcW w:w="1396" w:type="dxa"/>
            <w:tcBorders>
              <w:top w:val="single" w:sz="8"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A274A68" w14:textId="77777777" w:rsidR="0093659C" w:rsidRPr="0093659C" w:rsidRDefault="0093659C" w:rsidP="0093659C">
            <w:pPr>
              <w:spacing w:after="160"/>
            </w:pPr>
            <w:r w:rsidRPr="0093659C">
              <w:t>Not specified; optimization study</w:t>
            </w:r>
          </w:p>
        </w:tc>
        <w:tc>
          <w:tcPr>
            <w:tcW w:w="2491" w:type="dxa"/>
            <w:tcBorders>
              <w:top w:val="single" w:sz="8"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05E475B" w14:textId="77777777" w:rsidR="0093659C" w:rsidRPr="0093659C" w:rsidRDefault="0093659C" w:rsidP="0093659C">
            <w:pPr>
              <w:spacing w:after="160"/>
            </w:pPr>
            <w:r w:rsidRPr="0093659C">
              <w:t>Potential low impact; submerged fermentation</w:t>
            </w:r>
          </w:p>
        </w:tc>
        <w:tc>
          <w:tcPr>
            <w:tcW w:w="812" w:type="dxa"/>
            <w:tcBorders>
              <w:top w:val="single" w:sz="8"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BE44F9E" w14:textId="77777777" w:rsidR="0093659C" w:rsidRPr="0093659C" w:rsidRDefault="0093659C" w:rsidP="0093659C">
            <w:pPr>
              <w:spacing w:after="160"/>
            </w:pPr>
            <w:r w:rsidRPr="0093659C">
              <w:t>Lab-scale</w:t>
            </w:r>
          </w:p>
        </w:tc>
        <w:tc>
          <w:tcPr>
            <w:tcW w:w="889" w:type="dxa"/>
            <w:tcBorders>
              <w:top w:val="single" w:sz="8" w:space="0" w:color="auto"/>
              <w:left w:val="single" w:sz="4" w:space="0" w:color="auto"/>
              <w:bottom w:val="single" w:sz="4" w:space="0" w:color="auto"/>
              <w:right w:val="single" w:sz="8" w:space="0" w:color="auto"/>
            </w:tcBorders>
            <w:tcMar>
              <w:top w:w="15" w:type="dxa"/>
              <w:left w:w="15" w:type="dxa"/>
              <w:bottom w:w="15" w:type="dxa"/>
              <w:right w:w="15" w:type="dxa"/>
            </w:tcMar>
            <w:vAlign w:val="center"/>
            <w:hideMark/>
          </w:tcPr>
          <w:p w14:paraId="20CF26E8" w14:textId="77777777" w:rsidR="0093659C" w:rsidRPr="0093659C" w:rsidRDefault="0093659C" w:rsidP="0093659C">
            <w:pPr>
              <w:spacing w:after="160"/>
            </w:pPr>
            <w:r w:rsidRPr="0093659C">
              <w:t>Zhang et al., 2024</w:t>
            </w:r>
          </w:p>
        </w:tc>
      </w:tr>
    </w:tbl>
    <w:p w14:paraId="24C2F1E6" w14:textId="77777777" w:rsidR="00E51E50" w:rsidRDefault="00E51E50" w:rsidP="0093659C">
      <w:pPr>
        <w:spacing w:after="160"/>
        <w:jc w:val="center"/>
      </w:pPr>
      <w:r>
        <w:br w:type="page"/>
      </w:r>
    </w:p>
    <w:p w14:paraId="1F1834BD" w14:textId="77777777" w:rsidR="00FA1D27" w:rsidRPr="00FA1D27" w:rsidRDefault="00FA1D27" w:rsidP="00FA1D27">
      <w:pPr>
        <w:spacing w:after="200" w:line="276" w:lineRule="auto"/>
        <w:jc w:val="both"/>
        <w:outlineLvl w:val="0"/>
        <w:rPr>
          <w:rFonts w:ascii="Arial" w:eastAsia="Times New Roman" w:hAnsi="Arial" w:cs="Arial"/>
          <w:kern w:val="0"/>
          <w:sz w:val="22"/>
          <w:szCs w:val="22"/>
          <w:lang w:val="en-GB" w:eastAsia="en-GB"/>
          <w14:ligatures w14:val="none"/>
        </w:rPr>
      </w:pPr>
      <w:r w:rsidRPr="00FA1D27">
        <w:rPr>
          <w:rFonts w:ascii="Arial" w:eastAsia="Times New Roman" w:hAnsi="Arial" w:cs="Arial"/>
          <w:b/>
          <w:bCs/>
          <w:kern w:val="0"/>
          <w:sz w:val="22"/>
          <w:szCs w:val="22"/>
          <w:lang w:val="en-GB" w:eastAsia="en-GB"/>
          <w14:ligatures w14:val="none"/>
        </w:rPr>
        <w:lastRenderedPageBreak/>
        <w:t>COMPETING INTERESTS DISCLAIMER:</w:t>
      </w:r>
    </w:p>
    <w:p w14:paraId="7EABF91E" w14:textId="77777777" w:rsidR="00FA1D27" w:rsidRPr="00FA1D27" w:rsidRDefault="00FA1D27" w:rsidP="00FA1D27">
      <w:pPr>
        <w:spacing w:after="200" w:line="276" w:lineRule="auto"/>
        <w:rPr>
          <w:rFonts w:ascii="Calibri" w:eastAsia="Times New Roman" w:hAnsi="Calibri" w:cs="Times New Roman"/>
          <w:kern w:val="0"/>
          <w:sz w:val="22"/>
          <w:szCs w:val="22"/>
          <w:lang w:val="en-GB" w:eastAsia="en-GB"/>
          <w14:ligatures w14:val="none"/>
        </w:rPr>
      </w:pPr>
      <w:r w:rsidRPr="00FA1D27">
        <w:rPr>
          <w:rFonts w:ascii="Calibri" w:eastAsia="Times New Roman" w:hAnsi="Calibri" w:cs="Times New Roman"/>
          <w:kern w:val="0"/>
          <w:sz w:val="22"/>
          <w:szCs w:val="22"/>
          <w:lang w:val="en-GB" w:eastAsia="en-GB"/>
          <w14:ligatures w14:val="none"/>
        </w:rPr>
        <w:t>Authors have declared that they have no known competing financial interests OR non-financial interests OR personal relationships that could have appeared to influence the work reported in this paper.</w:t>
      </w:r>
    </w:p>
    <w:p w14:paraId="1D9102B3" w14:textId="77777777" w:rsidR="00FA1D27" w:rsidRDefault="00FA1D27" w:rsidP="00E51E50">
      <w:pPr>
        <w:spacing w:line="360" w:lineRule="auto"/>
        <w:jc w:val="center"/>
        <w:rPr>
          <w:b/>
          <w:bCs/>
        </w:rPr>
      </w:pPr>
    </w:p>
    <w:p w14:paraId="19A6072F" w14:textId="77777777" w:rsidR="00FA1D27" w:rsidRDefault="00FA1D27" w:rsidP="00E51E50">
      <w:pPr>
        <w:spacing w:line="360" w:lineRule="auto"/>
        <w:jc w:val="center"/>
        <w:rPr>
          <w:b/>
          <w:bCs/>
        </w:rPr>
      </w:pPr>
    </w:p>
    <w:p w14:paraId="520DB51B" w14:textId="77777777" w:rsidR="00FA1D27" w:rsidRDefault="00FA1D27" w:rsidP="00E51E50">
      <w:pPr>
        <w:spacing w:line="360" w:lineRule="auto"/>
        <w:jc w:val="center"/>
        <w:rPr>
          <w:b/>
          <w:bCs/>
        </w:rPr>
      </w:pPr>
    </w:p>
    <w:p w14:paraId="093219E7" w14:textId="77777777" w:rsidR="00FA1D27" w:rsidRDefault="00FA1D27" w:rsidP="00E51E50">
      <w:pPr>
        <w:spacing w:line="360" w:lineRule="auto"/>
        <w:jc w:val="center"/>
        <w:rPr>
          <w:b/>
          <w:bCs/>
        </w:rPr>
      </w:pPr>
    </w:p>
    <w:p w14:paraId="5A169B4D" w14:textId="72E9AA2B" w:rsidR="006A6AB7" w:rsidRPr="00E51E50" w:rsidRDefault="00B16A9B" w:rsidP="00E51E50">
      <w:pPr>
        <w:spacing w:line="360" w:lineRule="auto"/>
        <w:jc w:val="center"/>
        <w:rPr>
          <w:b/>
          <w:bCs/>
        </w:rPr>
      </w:pPr>
      <w:r>
        <w:rPr>
          <w:b/>
          <w:bCs/>
        </w:rPr>
        <w:t>References</w:t>
      </w:r>
    </w:p>
    <w:p w14:paraId="595FD8C3" w14:textId="77777777" w:rsidR="0093659C" w:rsidRPr="0093659C" w:rsidRDefault="00E51E50" w:rsidP="0093659C">
      <w:pPr>
        <w:pStyle w:val="Bibliography"/>
        <w:tabs>
          <w:tab w:val="clear" w:pos="384"/>
          <w:tab w:val="left" w:pos="540"/>
        </w:tabs>
        <w:ind w:left="540" w:hanging="540"/>
        <w:jc w:val="both"/>
        <w:rPr>
          <w:rFonts w:cs="Times New Roman"/>
        </w:rPr>
      </w:pPr>
      <w:r>
        <w:fldChar w:fldCharType="begin"/>
      </w:r>
      <w:r w:rsidR="0093659C">
        <w:instrText xml:space="preserve"> ADDIN ZOTERO_BIBL {"uncited":[],"omitted":[],"custom":[]} CSL_BIBLIOGRAPHY </w:instrText>
      </w:r>
      <w:r>
        <w:fldChar w:fldCharType="separate"/>
      </w:r>
      <w:r w:rsidR="0093659C" w:rsidRPr="0093659C">
        <w:rPr>
          <w:rFonts w:cs="Times New Roman"/>
        </w:rPr>
        <w:t>[1]</w:t>
      </w:r>
      <w:r w:rsidR="0093659C" w:rsidRPr="0093659C">
        <w:rPr>
          <w:rFonts w:cs="Times New Roman"/>
        </w:rPr>
        <w:tab/>
        <w:t xml:space="preserve">M. Larsen and L. Poll, “Odour thresholds of some important aroma compounds in raspberries,” </w:t>
      </w:r>
      <w:r w:rsidR="0093659C" w:rsidRPr="0093659C">
        <w:rPr>
          <w:rFonts w:cs="Times New Roman"/>
          <w:i/>
          <w:iCs/>
        </w:rPr>
        <w:t>Z. Für Lebensm.-Unters. Forsch.</w:t>
      </w:r>
      <w:r w:rsidR="0093659C" w:rsidRPr="0093659C">
        <w:rPr>
          <w:rFonts w:cs="Times New Roman"/>
        </w:rPr>
        <w:t>, vol. 191, no. 2, pp. 129–131, Aug. 1990, doi: 10.1007/BF01202638.</w:t>
      </w:r>
    </w:p>
    <w:p w14:paraId="4D0BA919" w14:textId="77777777" w:rsidR="0093659C" w:rsidRPr="0093659C" w:rsidRDefault="0093659C" w:rsidP="0093659C">
      <w:pPr>
        <w:pStyle w:val="Bibliography"/>
        <w:tabs>
          <w:tab w:val="clear" w:pos="384"/>
          <w:tab w:val="left" w:pos="540"/>
        </w:tabs>
        <w:ind w:left="540" w:hanging="540"/>
        <w:jc w:val="both"/>
        <w:rPr>
          <w:rFonts w:cs="Times New Roman"/>
        </w:rPr>
      </w:pPr>
      <w:r w:rsidRPr="0093659C">
        <w:rPr>
          <w:rFonts w:cs="Times New Roman"/>
        </w:rPr>
        <w:t>[2]</w:t>
      </w:r>
      <w:r w:rsidRPr="0093659C">
        <w:rPr>
          <w:rFonts w:cs="Times New Roman"/>
        </w:rPr>
        <w:tab/>
        <w:t xml:space="preserve">S. Masuo, C. Saga, K. Usui, Y. Sasakura, Y. Kawasaki, and N. Takaya, “Glucose-Derived Raspberry Ketone Produced via Engineered Escherichia coli Metabolism,” </w:t>
      </w:r>
      <w:r w:rsidRPr="0093659C">
        <w:rPr>
          <w:rFonts w:cs="Times New Roman"/>
          <w:i/>
          <w:iCs/>
        </w:rPr>
        <w:t>Front. Bioeng. Biotechnol.</w:t>
      </w:r>
      <w:r w:rsidRPr="0093659C">
        <w:rPr>
          <w:rFonts w:cs="Times New Roman"/>
        </w:rPr>
        <w:t>, vol. 10, p. 843843, Feb. 2022, doi: 10.3389/fbioe.2022.843843.</w:t>
      </w:r>
    </w:p>
    <w:p w14:paraId="53631260" w14:textId="77777777" w:rsidR="0093659C" w:rsidRPr="0093659C" w:rsidRDefault="0093659C" w:rsidP="0093659C">
      <w:pPr>
        <w:pStyle w:val="Bibliography"/>
        <w:tabs>
          <w:tab w:val="clear" w:pos="384"/>
          <w:tab w:val="left" w:pos="540"/>
        </w:tabs>
        <w:ind w:left="540" w:hanging="540"/>
        <w:jc w:val="both"/>
        <w:rPr>
          <w:rFonts w:cs="Times New Roman"/>
        </w:rPr>
      </w:pPr>
      <w:r w:rsidRPr="0093659C">
        <w:rPr>
          <w:rFonts w:cs="Times New Roman"/>
        </w:rPr>
        <w:t>[3]</w:t>
      </w:r>
      <w:r w:rsidRPr="0093659C">
        <w:rPr>
          <w:rFonts w:cs="Times New Roman"/>
        </w:rPr>
        <w:tab/>
        <w:t xml:space="preserve">J. Beekwilder </w:t>
      </w:r>
      <w:r w:rsidRPr="0093659C">
        <w:rPr>
          <w:rFonts w:cs="Times New Roman"/>
          <w:i/>
          <w:iCs/>
        </w:rPr>
        <w:t>et al.</w:t>
      </w:r>
      <w:r w:rsidRPr="0093659C">
        <w:rPr>
          <w:rFonts w:cs="Times New Roman"/>
        </w:rPr>
        <w:t xml:space="preserve">, “Microbial production of natural raspberry ketone,” </w:t>
      </w:r>
      <w:r w:rsidRPr="0093659C">
        <w:rPr>
          <w:rFonts w:cs="Times New Roman"/>
          <w:i/>
          <w:iCs/>
        </w:rPr>
        <w:t>Biotechnol. J.</w:t>
      </w:r>
      <w:r w:rsidRPr="0093659C">
        <w:rPr>
          <w:rFonts w:cs="Times New Roman"/>
        </w:rPr>
        <w:t>, vol. 2, no. 10, pp. 1270–1279, Oct. 2007, doi: 10.1002/biot.200700076.</w:t>
      </w:r>
    </w:p>
    <w:p w14:paraId="1AC4D51A" w14:textId="77777777" w:rsidR="0093659C" w:rsidRPr="0093659C" w:rsidRDefault="0093659C" w:rsidP="0093659C">
      <w:pPr>
        <w:pStyle w:val="Bibliography"/>
        <w:tabs>
          <w:tab w:val="clear" w:pos="384"/>
          <w:tab w:val="left" w:pos="540"/>
        </w:tabs>
        <w:ind w:left="540" w:hanging="540"/>
        <w:jc w:val="both"/>
        <w:rPr>
          <w:rFonts w:cs="Times New Roman"/>
        </w:rPr>
      </w:pPr>
      <w:r w:rsidRPr="0093659C">
        <w:rPr>
          <w:rFonts w:cs="Times New Roman"/>
        </w:rPr>
        <w:t>[4]</w:t>
      </w:r>
      <w:r w:rsidRPr="0093659C">
        <w:rPr>
          <w:rFonts w:cs="Times New Roman"/>
        </w:rPr>
        <w:tab/>
        <w:t xml:space="preserve">T. Koeduka </w:t>
      </w:r>
      <w:r w:rsidRPr="0093659C">
        <w:rPr>
          <w:rFonts w:cs="Times New Roman"/>
          <w:i/>
          <w:iCs/>
        </w:rPr>
        <w:t>et al.</w:t>
      </w:r>
      <w:r w:rsidRPr="0093659C">
        <w:rPr>
          <w:rFonts w:cs="Times New Roman"/>
        </w:rPr>
        <w:t xml:space="preserve">, “Production of raspberry ketone by redirecting the metabolic flux to the phenylpropanoid pathway in tobacco plants,” </w:t>
      </w:r>
      <w:r w:rsidRPr="0093659C">
        <w:rPr>
          <w:rFonts w:cs="Times New Roman"/>
          <w:i/>
          <w:iCs/>
        </w:rPr>
        <w:t>Metab. Eng. Commun.</w:t>
      </w:r>
      <w:r w:rsidRPr="0093659C">
        <w:rPr>
          <w:rFonts w:cs="Times New Roman"/>
        </w:rPr>
        <w:t>, vol. 13, p. e00180, Dec. 2021, doi: 10.1016/j.mec.2021.e00180.</w:t>
      </w:r>
    </w:p>
    <w:p w14:paraId="0C301353" w14:textId="77777777" w:rsidR="0093659C" w:rsidRPr="0093659C" w:rsidRDefault="0093659C" w:rsidP="0093659C">
      <w:pPr>
        <w:pStyle w:val="Bibliography"/>
        <w:tabs>
          <w:tab w:val="clear" w:pos="384"/>
          <w:tab w:val="left" w:pos="540"/>
        </w:tabs>
        <w:ind w:left="540" w:hanging="540"/>
        <w:jc w:val="both"/>
        <w:rPr>
          <w:rFonts w:cs="Times New Roman"/>
        </w:rPr>
      </w:pPr>
      <w:r w:rsidRPr="0093659C">
        <w:rPr>
          <w:rFonts w:cs="Times New Roman"/>
        </w:rPr>
        <w:t>[5]</w:t>
      </w:r>
      <w:r w:rsidRPr="0093659C">
        <w:rPr>
          <w:rFonts w:cs="Times New Roman"/>
        </w:rPr>
        <w:tab/>
        <w:t>U.S. Food and Drug Administration (FDA), “21 CFR 172.515: Synthetic flavoring substances and adjuvants.” U.S. National Archives and Records Administration, Mar. 17, 2014. Accessed: May 08, 2025. [Online]. Available: https://www.ecfr.gov/cgi-bin/ECFR?page=browse</w:t>
      </w:r>
    </w:p>
    <w:p w14:paraId="2B621891" w14:textId="77777777" w:rsidR="0093659C" w:rsidRPr="0093659C" w:rsidRDefault="0093659C" w:rsidP="0093659C">
      <w:pPr>
        <w:pStyle w:val="Bibliography"/>
        <w:tabs>
          <w:tab w:val="clear" w:pos="384"/>
          <w:tab w:val="left" w:pos="540"/>
        </w:tabs>
        <w:ind w:left="540" w:hanging="540"/>
        <w:jc w:val="both"/>
        <w:rPr>
          <w:rFonts w:cs="Times New Roman"/>
        </w:rPr>
      </w:pPr>
      <w:r w:rsidRPr="0093659C">
        <w:rPr>
          <w:rFonts w:cs="Times New Roman"/>
        </w:rPr>
        <w:t>[6]</w:t>
      </w:r>
      <w:r w:rsidRPr="0093659C">
        <w:rPr>
          <w:rFonts w:cs="Times New Roman"/>
        </w:rPr>
        <w:tab/>
        <w:t xml:space="preserve">C. Morimoto, Y. Satoh, M. Hara, S. Inoue, T. Tsujita, and H. Okuda, “Anti-obese action of raspberry ketone,” </w:t>
      </w:r>
      <w:r w:rsidRPr="0093659C">
        <w:rPr>
          <w:rFonts w:cs="Times New Roman"/>
          <w:i/>
          <w:iCs/>
        </w:rPr>
        <w:t>Life Sci.</w:t>
      </w:r>
      <w:r w:rsidRPr="0093659C">
        <w:rPr>
          <w:rFonts w:cs="Times New Roman"/>
        </w:rPr>
        <w:t>, vol. 77, no. 2, pp. 194–204, May 2005, doi: 10.1016/j.lfs.2004.12.029.</w:t>
      </w:r>
    </w:p>
    <w:p w14:paraId="6D553C1A" w14:textId="77777777" w:rsidR="0093659C" w:rsidRPr="0093659C" w:rsidRDefault="0093659C" w:rsidP="0093659C">
      <w:pPr>
        <w:pStyle w:val="Bibliography"/>
        <w:tabs>
          <w:tab w:val="clear" w:pos="384"/>
          <w:tab w:val="left" w:pos="540"/>
        </w:tabs>
        <w:ind w:left="540" w:hanging="540"/>
        <w:jc w:val="both"/>
        <w:rPr>
          <w:rFonts w:cs="Times New Roman"/>
        </w:rPr>
      </w:pPr>
      <w:r w:rsidRPr="0093659C">
        <w:rPr>
          <w:rFonts w:cs="Times New Roman"/>
        </w:rPr>
        <w:t>[7]</w:t>
      </w:r>
      <w:r w:rsidRPr="0093659C">
        <w:rPr>
          <w:rFonts w:cs="Times New Roman"/>
        </w:rPr>
        <w:tab/>
        <w:t xml:space="preserve">P. A. C. McPherson, N. McKenna, and B. M. Johnston, “Physicochemical Properties of 4-(4-Hydroxyphenyl)-butan-2-one (‘Raspberry Ketone’) Evaluated Using a Computational Chemistry Approach,” </w:t>
      </w:r>
      <w:r w:rsidRPr="0093659C">
        <w:rPr>
          <w:rFonts w:cs="Times New Roman"/>
          <w:i/>
          <w:iCs/>
        </w:rPr>
        <w:t>ACS Omega</w:t>
      </w:r>
      <w:r w:rsidRPr="0093659C">
        <w:rPr>
          <w:rFonts w:cs="Times New Roman"/>
        </w:rPr>
        <w:t>, vol. 9, no. 22, pp. 23963–23970, Jun. 2024, doi: 10.1021/acsomega.4c02293.</w:t>
      </w:r>
    </w:p>
    <w:p w14:paraId="79EFB1F2" w14:textId="77777777" w:rsidR="0093659C" w:rsidRPr="0093659C" w:rsidRDefault="0093659C" w:rsidP="0093659C">
      <w:pPr>
        <w:pStyle w:val="Bibliography"/>
        <w:tabs>
          <w:tab w:val="clear" w:pos="384"/>
          <w:tab w:val="left" w:pos="540"/>
        </w:tabs>
        <w:ind w:left="540" w:hanging="540"/>
        <w:jc w:val="both"/>
        <w:rPr>
          <w:rFonts w:cs="Times New Roman"/>
        </w:rPr>
      </w:pPr>
      <w:r w:rsidRPr="0093659C">
        <w:rPr>
          <w:rFonts w:cs="Times New Roman"/>
        </w:rPr>
        <w:t>[8]</w:t>
      </w:r>
      <w:r w:rsidRPr="0093659C">
        <w:rPr>
          <w:rFonts w:cs="Times New Roman"/>
        </w:rPr>
        <w:tab/>
        <w:t xml:space="preserve">M. D. Kengar, R. S. Howal, D. B. Aundhakar, A. V. Nikam, and P. S. Hasabe, “Physico-chemical Properties of Solid Drugs: A Review,” </w:t>
      </w:r>
      <w:r w:rsidRPr="0093659C">
        <w:rPr>
          <w:rFonts w:cs="Times New Roman"/>
          <w:i/>
          <w:iCs/>
        </w:rPr>
        <w:t>Asian J. Pharm. Technol.</w:t>
      </w:r>
      <w:r w:rsidRPr="0093659C">
        <w:rPr>
          <w:rFonts w:cs="Times New Roman"/>
        </w:rPr>
        <w:t>, vol. 9, no. 1, p. 53, 2019, doi: 10.5958/2231-5713.2019.00010.2.</w:t>
      </w:r>
    </w:p>
    <w:p w14:paraId="7B8A7E88" w14:textId="77777777" w:rsidR="0093659C" w:rsidRPr="0093659C" w:rsidRDefault="0093659C" w:rsidP="0093659C">
      <w:pPr>
        <w:pStyle w:val="Bibliography"/>
        <w:tabs>
          <w:tab w:val="clear" w:pos="384"/>
          <w:tab w:val="left" w:pos="540"/>
        </w:tabs>
        <w:ind w:left="540" w:hanging="540"/>
        <w:jc w:val="both"/>
        <w:rPr>
          <w:rFonts w:cs="Times New Roman"/>
        </w:rPr>
      </w:pPr>
      <w:r w:rsidRPr="0093659C">
        <w:rPr>
          <w:rFonts w:cs="Times New Roman"/>
        </w:rPr>
        <w:t>[9]</w:t>
      </w:r>
      <w:r w:rsidRPr="0093659C">
        <w:rPr>
          <w:rFonts w:cs="Times New Roman"/>
        </w:rPr>
        <w:tab/>
        <w:t xml:space="preserve">J. Aihara, “Reduced HOMO−LUMO Gap as an Index of Kinetic Stability for Polycyclic Aromatic Hydrocarbons,” </w:t>
      </w:r>
      <w:r w:rsidRPr="0093659C">
        <w:rPr>
          <w:rFonts w:cs="Times New Roman"/>
          <w:i/>
          <w:iCs/>
        </w:rPr>
        <w:t>J. Phys. Chem. A</w:t>
      </w:r>
      <w:r w:rsidRPr="0093659C">
        <w:rPr>
          <w:rFonts w:cs="Times New Roman"/>
        </w:rPr>
        <w:t>, vol. 103, no. 37, pp. 7487–7495, Sep. 1999, doi: 10.1021/jp990092i.</w:t>
      </w:r>
    </w:p>
    <w:p w14:paraId="0B251DB9" w14:textId="77777777" w:rsidR="0093659C" w:rsidRPr="0093659C" w:rsidRDefault="0093659C" w:rsidP="0093659C">
      <w:pPr>
        <w:pStyle w:val="Bibliography"/>
        <w:tabs>
          <w:tab w:val="clear" w:pos="384"/>
          <w:tab w:val="left" w:pos="540"/>
        </w:tabs>
        <w:ind w:left="540" w:hanging="540"/>
        <w:jc w:val="both"/>
        <w:rPr>
          <w:rFonts w:cs="Times New Roman"/>
        </w:rPr>
      </w:pPr>
      <w:r w:rsidRPr="0093659C">
        <w:rPr>
          <w:rFonts w:cs="Times New Roman"/>
        </w:rPr>
        <w:t>[10]</w:t>
      </w:r>
      <w:r w:rsidRPr="0093659C">
        <w:rPr>
          <w:rFonts w:cs="Times New Roman"/>
        </w:rPr>
        <w:tab/>
        <w:t xml:space="preserve">M. Lu, F. Guo, B. Fan, Z. Ren, and Q. Li, “Solubility and solution thermodynamics of Raspberry Ketone in pure organic solvents and binary solvent mixtures from T = (293.15 to 333.15) K,” </w:t>
      </w:r>
      <w:r w:rsidRPr="0093659C">
        <w:rPr>
          <w:rFonts w:cs="Times New Roman"/>
          <w:i/>
          <w:iCs/>
        </w:rPr>
        <w:t>J. Mol. Liq.</w:t>
      </w:r>
      <w:r w:rsidRPr="0093659C">
        <w:rPr>
          <w:rFonts w:cs="Times New Roman"/>
        </w:rPr>
        <w:t>, vol. 246, pp. 332–341, Nov. 2017, doi: 10.1016/j.molliq.2017.09.084.</w:t>
      </w:r>
    </w:p>
    <w:p w14:paraId="29F1EE7E" w14:textId="77777777" w:rsidR="0093659C" w:rsidRPr="0093659C" w:rsidRDefault="0093659C" w:rsidP="0093659C">
      <w:pPr>
        <w:pStyle w:val="Bibliography"/>
        <w:tabs>
          <w:tab w:val="clear" w:pos="384"/>
          <w:tab w:val="left" w:pos="540"/>
        </w:tabs>
        <w:ind w:left="540" w:hanging="540"/>
        <w:jc w:val="both"/>
        <w:rPr>
          <w:rFonts w:cs="Times New Roman"/>
        </w:rPr>
      </w:pPr>
      <w:r w:rsidRPr="0093659C">
        <w:rPr>
          <w:rFonts w:cs="Times New Roman"/>
        </w:rPr>
        <w:t>[11]</w:t>
      </w:r>
      <w:r w:rsidRPr="0093659C">
        <w:rPr>
          <w:rFonts w:cs="Times New Roman"/>
        </w:rPr>
        <w:tab/>
        <w:t>A. Kumar, K. Shipam, and S. Kumar, “Raspberry ketone loaded self nanoemulsifying system of cardamom oil: Assessment of phase behavior, dissolution rate and anti-</w:t>
      </w:r>
      <w:r w:rsidRPr="0093659C">
        <w:rPr>
          <w:rFonts w:cs="Times New Roman"/>
        </w:rPr>
        <w:lastRenderedPageBreak/>
        <w:t xml:space="preserve">hyperlipidemic activity,” </w:t>
      </w:r>
      <w:r w:rsidRPr="0093659C">
        <w:rPr>
          <w:rFonts w:cs="Times New Roman"/>
          <w:i/>
          <w:iCs/>
        </w:rPr>
        <w:t>J. Drug Deliv. Sci. Technol.</w:t>
      </w:r>
      <w:r w:rsidRPr="0093659C">
        <w:rPr>
          <w:rFonts w:cs="Times New Roman"/>
        </w:rPr>
        <w:t>, vol. 99, p. 105937, Sep. 2024, doi: 10.1016/j.jddst.2024.105937.</w:t>
      </w:r>
    </w:p>
    <w:p w14:paraId="415718A9" w14:textId="77777777" w:rsidR="0093659C" w:rsidRPr="0093659C" w:rsidRDefault="0093659C" w:rsidP="0093659C">
      <w:pPr>
        <w:pStyle w:val="Bibliography"/>
        <w:tabs>
          <w:tab w:val="clear" w:pos="384"/>
          <w:tab w:val="left" w:pos="540"/>
        </w:tabs>
        <w:ind w:left="540" w:hanging="540"/>
        <w:jc w:val="both"/>
        <w:rPr>
          <w:rFonts w:cs="Times New Roman"/>
        </w:rPr>
      </w:pPr>
      <w:r w:rsidRPr="0093659C">
        <w:rPr>
          <w:rFonts w:cs="Times New Roman"/>
        </w:rPr>
        <w:t>[12]</w:t>
      </w:r>
      <w:r w:rsidRPr="0093659C">
        <w:rPr>
          <w:rFonts w:cs="Times New Roman"/>
        </w:rPr>
        <w:tab/>
        <w:t xml:space="preserve">D. A. Price, J. Blagg, L. Jones, N. Greene, and T. Wager, “Physicochemical drug properties associated with </w:t>
      </w:r>
      <w:r w:rsidRPr="0093659C">
        <w:rPr>
          <w:rFonts w:cs="Times New Roman"/>
          <w:i/>
          <w:iCs/>
        </w:rPr>
        <w:t>in vivo</w:t>
      </w:r>
      <w:r w:rsidRPr="0093659C">
        <w:rPr>
          <w:rFonts w:cs="Times New Roman"/>
        </w:rPr>
        <w:t xml:space="preserve"> toxicological outcomes: a review,” </w:t>
      </w:r>
      <w:r w:rsidRPr="0093659C">
        <w:rPr>
          <w:rFonts w:cs="Times New Roman"/>
          <w:i/>
          <w:iCs/>
        </w:rPr>
        <w:t>Expert Opin. Drug Metab. Toxicol.</w:t>
      </w:r>
      <w:r w:rsidRPr="0093659C">
        <w:rPr>
          <w:rFonts w:cs="Times New Roman"/>
        </w:rPr>
        <w:t>, vol. 5, no. 8, pp. 921–931, Aug. 2009, doi: 10.1517/17425250903042318.</w:t>
      </w:r>
    </w:p>
    <w:p w14:paraId="4559F0C6" w14:textId="77777777" w:rsidR="0093659C" w:rsidRPr="0093659C" w:rsidRDefault="0093659C" w:rsidP="0093659C">
      <w:pPr>
        <w:pStyle w:val="Bibliography"/>
        <w:tabs>
          <w:tab w:val="clear" w:pos="384"/>
          <w:tab w:val="left" w:pos="540"/>
        </w:tabs>
        <w:ind w:left="540" w:hanging="540"/>
        <w:jc w:val="both"/>
        <w:rPr>
          <w:rFonts w:cs="Times New Roman"/>
        </w:rPr>
      </w:pPr>
      <w:r w:rsidRPr="0093659C">
        <w:rPr>
          <w:rFonts w:cs="Times New Roman"/>
        </w:rPr>
        <w:t>[13]</w:t>
      </w:r>
      <w:r w:rsidRPr="0093659C">
        <w:rPr>
          <w:rFonts w:cs="Times New Roman"/>
        </w:rPr>
        <w:tab/>
        <w:t xml:space="preserve">V. Khan, S. Sharma, U. Bhandari, S. M. Ali, and S. E. Haque, “Raspberry ketone protects against isoproterenol-induced myocardial infarction in rats,” </w:t>
      </w:r>
      <w:r w:rsidRPr="0093659C">
        <w:rPr>
          <w:rFonts w:cs="Times New Roman"/>
          <w:i/>
          <w:iCs/>
        </w:rPr>
        <w:t>Life Sci.</w:t>
      </w:r>
      <w:r w:rsidRPr="0093659C">
        <w:rPr>
          <w:rFonts w:cs="Times New Roman"/>
        </w:rPr>
        <w:t>, vol. 194, pp. 205–212, Feb. 2018, doi: 10.1016/j.lfs.2017.12.013.</w:t>
      </w:r>
    </w:p>
    <w:p w14:paraId="2676AC8E" w14:textId="77777777" w:rsidR="0093659C" w:rsidRPr="0093659C" w:rsidRDefault="0093659C" w:rsidP="0093659C">
      <w:pPr>
        <w:pStyle w:val="Bibliography"/>
        <w:tabs>
          <w:tab w:val="clear" w:pos="384"/>
          <w:tab w:val="left" w:pos="540"/>
        </w:tabs>
        <w:ind w:left="540" w:hanging="540"/>
        <w:jc w:val="both"/>
        <w:rPr>
          <w:rFonts w:cs="Times New Roman"/>
        </w:rPr>
      </w:pPr>
      <w:r w:rsidRPr="0093659C">
        <w:rPr>
          <w:rFonts w:cs="Times New Roman"/>
        </w:rPr>
        <w:t>[14]</w:t>
      </w:r>
      <w:r w:rsidRPr="0093659C">
        <w:rPr>
          <w:rFonts w:cs="Times New Roman"/>
        </w:rPr>
        <w:tab/>
        <w:t xml:space="preserve">E. T. Mehanna, B. M. Barakat, M. H. ElSayed, and M. K. Tawfik, “An optimized dose of raspberry ketones controls hyperlipidemia and insulin resistance in male obese rats: Effect on adipose tissue expression of adipocytokines and Aquaporin 7,” </w:t>
      </w:r>
      <w:r w:rsidRPr="0093659C">
        <w:rPr>
          <w:rFonts w:cs="Times New Roman"/>
          <w:i/>
          <w:iCs/>
        </w:rPr>
        <w:t>Eur. J. Pharmacol.</w:t>
      </w:r>
      <w:r w:rsidRPr="0093659C">
        <w:rPr>
          <w:rFonts w:cs="Times New Roman"/>
        </w:rPr>
        <w:t>, vol. 832, pp. 81–89, Aug. 2018, doi: 10.1016/j.ejphar.2018.05.028.</w:t>
      </w:r>
    </w:p>
    <w:p w14:paraId="31C68826" w14:textId="77777777" w:rsidR="0093659C" w:rsidRPr="0093659C" w:rsidRDefault="0093659C" w:rsidP="0093659C">
      <w:pPr>
        <w:pStyle w:val="Bibliography"/>
        <w:tabs>
          <w:tab w:val="clear" w:pos="384"/>
          <w:tab w:val="left" w:pos="540"/>
        </w:tabs>
        <w:ind w:left="540" w:hanging="540"/>
        <w:jc w:val="both"/>
        <w:rPr>
          <w:rFonts w:cs="Times New Roman"/>
        </w:rPr>
      </w:pPr>
      <w:r w:rsidRPr="0093659C">
        <w:rPr>
          <w:rFonts w:cs="Times New Roman"/>
        </w:rPr>
        <w:t>[15]</w:t>
      </w:r>
      <w:r w:rsidRPr="0093659C">
        <w:rPr>
          <w:rFonts w:cs="Times New Roman"/>
        </w:rPr>
        <w:tab/>
        <w:t xml:space="preserve">S.-Y. Leu </w:t>
      </w:r>
      <w:r w:rsidRPr="0093659C">
        <w:rPr>
          <w:rFonts w:cs="Times New Roman"/>
          <w:i/>
          <w:iCs/>
        </w:rPr>
        <w:t>et al.</w:t>
      </w:r>
      <w:r w:rsidRPr="0093659C">
        <w:rPr>
          <w:rFonts w:cs="Times New Roman"/>
        </w:rPr>
        <w:t xml:space="preserve">, “Raspberry Ketone Reduced Lipid Accumulation in 3T3-L1 Cells and Ovariectomy-Induced Obesity in Wistar Rats by Regulating Autophagy Mechanisms,” </w:t>
      </w:r>
      <w:r w:rsidRPr="0093659C">
        <w:rPr>
          <w:rFonts w:cs="Times New Roman"/>
          <w:i/>
          <w:iCs/>
        </w:rPr>
        <w:t>J. Agric. Food Chem.</w:t>
      </w:r>
      <w:r w:rsidRPr="0093659C">
        <w:rPr>
          <w:rFonts w:cs="Times New Roman"/>
        </w:rPr>
        <w:t>, vol. 65, no. 50, pp. 10907–10914, Dec. 2017, doi: 10.1021/acs.jafc.7b03831.</w:t>
      </w:r>
    </w:p>
    <w:p w14:paraId="2861D500" w14:textId="77777777" w:rsidR="0093659C" w:rsidRPr="0093659C" w:rsidRDefault="0093659C" w:rsidP="0093659C">
      <w:pPr>
        <w:pStyle w:val="Bibliography"/>
        <w:tabs>
          <w:tab w:val="clear" w:pos="384"/>
          <w:tab w:val="left" w:pos="540"/>
        </w:tabs>
        <w:ind w:left="540" w:hanging="540"/>
        <w:jc w:val="both"/>
        <w:rPr>
          <w:rFonts w:cs="Times New Roman"/>
        </w:rPr>
      </w:pPr>
      <w:r w:rsidRPr="0093659C">
        <w:rPr>
          <w:rFonts w:cs="Times New Roman"/>
        </w:rPr>
        <w:t>[16]</w:t>
      </w:r>
      <w:r w:rsidRPr="0093659C">
        <w:rPr>
          <w:rFonts w:cs="Times New Roman"/>
        </w:rPr>
        <w:tab/>
        <w:t xml:space="preserve">K. Park, “Raspberry Ketone Increases Both Lipolysis and Fatty Acid Oxidation in 3T3-L1 Adipocytes,” </w:t>
      </w:r>
      <w:r w:rsidRPr="0093659C">
        <w:rPr>
          <w:rFonts w:cs="Times New Roman"/>
          <w:i/>
          <w:iCs/>
        </w:rPr>
        <w:t>Planta Med.</w:t>
      </w:r>
      <w:r w:rsidRPr="0093659C">
        <w:rPr>
          <w:rFonts w:cs="Times New Roman"/>
        </w:rPr>
        <w:t>, vol. 76, no. 15, pp. 1654–1658, Oct. 2010, doi: 10.1055/s-0030-1249860.</w:t>
      </w:r>
    </w:p>
    <w:p w14:paraId="4C352782" w14:textId="77777777" w:rsidR="0093659C" w:rsidRPr="0093659C" w:rsidRDefault="0093659C" w:rsidP="0093659C">
      <w:pPr>
        <w:pStyle w:val="Bibliography"/>
        <w:tabs>
          <w:tab w:val="clear" w:pos="384"/>
          <w:tab w:val="left" w:pos="540"/>
        </w:tabs>
        <w:ind w:left="540" w:hanging="540"/>
        <w:jc w:val="both"/>
        <w:rPr>
          <w:rFonts w:cs="Times New Roman"/>
        </w:rPr>
      </w:pPr>
      <w:r w:rsidRPr="0093659C">
        <w:rPr>
          <w:rFonts w:cs="Times New Roman"/>
        </w:rPr>
        <w:t>[17]</w:t>
      </w:r>
      <w:r w:rsidRPr="0093659C">
        <w:rPr>
          <w:rFonts w:cs="Times New Roman"/>
        </w:rPr>
        <w:tab/>
        <w:t xml:space="preserve">N. Uramaru, A. Kawashima, M. Osabe, and T. Higuchi, “Rhododendrol, a reductive metabolite of raspberry ketone, suppresses the differentiation of 3T3‑L1 cells into adipocytes,” </w:t>
      </w:r>
      <w:r w:rsidRPr="0093659C">
        <w:rPr>
          <w:rFonts w:cs="Times New Roman"/>
          <w:i/>
          <w:iCs/>
        </w:rPr>
        <w:t>Mol. Med. Rep.</w:t>
      </w:r>
      <w:r w:rsidRPr="0093659C">
        <w:rPr>
          <w:rFonts w:cs="Times New Roman"/>
        </w:rPr>
        <w:t>, vol. 27, no. 2, p. 51, Jan. 2023, doi: 10.3892/mmr.2023.12938.</w:t>
      </w:r>
    </w:p>
    <w:p w14:paraId="2E397D25" w14:textId="77777777" w:rsidR="0093659C" w:rsidRPr="0093659C" w:rsidRDefault="0093659C" w:rsidP="0093659C">
      <w:pPr>
        <w:pStyle w:val="Bibliography"/>
        <w:tabs>
          <w:tab w:val="clear" w:pos="384"/>
          <w:tab w:val="left" w:pos="540"/>
        </w:tabs>
        <w:ind w:left="540" w:hanging="540"/>
        <w:jc w:val="both"/>
        <w:rPr>
          <w:rFonts w:cs="Times New Roman"/>
        </w:rPr>
      </w:pPr>
      <w:r w:rsidRPr="0093659C">
        <w:rPr>
          <w:rFonts w:cs="Times New Roman"/>
        </w:rPr>
        <w:t>[18]</w:t>
      </w:r>
      <w:r w:rsidRPr="0093659C">
        <w:rPr>
          <w:rFonts w:cs="Times New Roman"/>
        </w:rPr>
        <w:tab/>
        <w:t xml:space="preserve">L. Wang, X. Meng, and F. Zhang, “Raspberry Ketone Protects Rats Fed High-Fat Diets Against Nonalcoholic Steatohepatitis,” </w:t>
      </w:r>
      <w:r w:rsidRPr="0093659C">
        <w:rPr>
          <w:rFonts w:cs="Times New Roman"/>
          <w:i/>
          <w:iCs/>
        </w:rPr>
        <w:t>J. Med. Food</w:t>
      </w:r>
      <w:r w:rsidRPr="0093659C">
        <w:rPr>
          <w:rFonts w:cs="Times New Roman"/>
        </w:rPr>
        <w:t>, vol. 15, no. 5, pp. 495–503, May 2012, doi: 10.1089/jmf.2011.1717.</w:t>
      </w:r>
    </w:p>
    <w:p w14:paraId="6E82C2E4" w14:textId="77777777" w:rsidR="0093659C" w:rsidRPr="0093659C" w:rsidRDefault="0093659C" w:rsidP="0093659C">
      <w:pPr>
        <w:pStyle w:val="Bibliography"/>
        <w:tabs>
          <w:tab w:val="clear" w:pos="384"/>
          <w:tab w:val="left" w:pos="540"/>
        </w:tabs>
        <w:ind w:left="540" w:hanging="540"/>
        <w:jc w:val="both"/>
        <w:rPr>
          <w:rFonts w:cs="Times New Roman"/>
        </w:rPr>
      </w:pPr>
      <w:r w:rsidRPr="0093659C">
        <w:rPr>
          <w:rFonts w:cs="Times New Roman"/>
        </w:rPr>
        <w:t>[19]</w:t>
      </w:r>
      <w:r w:rsidRPr="0093659C">
        <w:rPr>
          <w:rFonts w:cs="Times New Roman"/>
        </w:rPr>
        <w:tab/>
        <w:t xml:space="preserve">S. H. Lim and C.-I. Choi, “Potentials of Raspberry Ketone as a Natural Antioxidant,” </w:t>
      </w:r>
      <w:r w:rsidRPr="0093659C">
        <w:rPr>
          <w:rFonts w:cs="Times New Roman"/>
          <w:i/>
          <w:iCs/>
        </w:rPr>
        <w:t>Antioxidants</w:t>
      </w:r>
      <w:r w:rsidRPr="0093659C">
        <w:rPr>
          <w:rFonts w:cs="Times New Roman"/>
        </w:rPr>
        <w:t>, vol. 10, no. 3, p. 482, Mar. 2021, doi: 10.3390/antiox10030482.</w:t>
      </w:r>
    </w:p>
    <w:p w14:paraId="297B857D" w14:textId="77777777" w:rsidR="0093659C" w:rsidRPr="0093659C" w:rsidRDefault="0093659C" w:rsidP="0093659C">
      <w:pPr>
        <w:pStyle w:val="Bibliography"/>
        <w:tabs>
          <w:tab w:val="clear" w:pos="384"/>
          <w:tab w:val="left" w:pos="540"/>
        </w:tabs>
        <w:ind w:left="540" w:hanging="540"/>
        <w:jc w:val="both"/>
        <w:rPr>
          <w:rFonts w:cs="Times New Roman"/>
        </w:rPr>
      </w:pPr>
      <w:r w:rsidRPr="0093659C">
        <w:rPr>
          <w:rFonts w:cs="Times New Roman"/>
        </w:rPr>
        <w:t>[20]</w:t>
      </w:r>
      <w:r w:rsidRPr="0093659C">
        <w:rPr>
          <w:rFonts w:cs="Times New Roman"/>
        </w:rPr>
        <w:tab/>
        <w:t xml:space="preserve">X. Li </w:t>
      </w:r>
      <w:r w:rsidRPr="0093659C">
        <w:rPr>
          <w:rFonts w:cs="Times New Roman"/>
          <w:i/>
          <w:iCs/>
        </w:rPr>
        <w:t>et al.</w:t>
      </w:r>
      <w:r w:rsidRPr="0093659C">
        <w:rPr>
          <w:rFonts w:cs="Times New Roman"/>
        </w:rPr>
        <w:t xml:space="preserve">, “Potential metabolic activities of raspberry ketone,” </w:t>
      </w:r>
      <w:r w:rsidRPr="0093659C">
        <w:rPr>
          <w:rFonts w:cs="Times New Roman"/>
          <w:i/>
          <w:iCs/>
        </w:rPr>
        <w:t>J. Food Biochem.</w:t>
      </w:r>
      <w:r w:rsidRPr="0093659C">
        <w:rPr>
          <w:rFonts w:cs="Times New Roman"/>
        </w:rPr>
        <w:t>, vol. 46, no. 1, Jan. 2022, doi: 10.1111/jfbc.14018.</w:t>
      </w:r>
    </w:p>
    <w:p w14:paraId="02BCCC2E" w14:textId="77777777" w:rsidR="0093659C" w:rsidRPr="0093659C" w:rsidRDefault="0093659C" w:rsidP="0093659C">
      <w:pPr>
        <w:pStyle w:val="Bibliography"/>
        <w:tabs>
          <w:tab w:val="clear" w:pos="384"/>
          <w:tab w:val="left" w:pos="540"/>
        </w:tabs>
        <w:ind w:left="540" w:hanging="540"/>
        <w:jc w:val="both"/>
        <w:rPr>
          <w:rFonts w:cs="Times New Roman"/>
        </w:rPr>
      </w:pPr>
      <w:r w:rsidRPr="0093659C">
        <w:rPr>
          <w:rFonts w:cs="Times New Roman"/>
        </w:rPr>
        <w:t>[21]</w:t>
      </w:r>
      <w:r w:rsidRPr="0093659C">
        <w:rPr>
          <w:rFonts w:cs="Times New Roman"/>
        </w:rPr>
        <w:tab/>
        <w:t xml:space="preserve">T. M. Mir, G. Ma, Z. Ali, I. A. Khan, and M. K. Ashfaq, “Effect of Raspberry Ketone on Normal, Obese and Health-Compromised Obese Mice: A Preliminary Study,” </w:t>
      </w:r>
      <w:r w:rsidRPr="0093659C">
        <w:rPr>
          <w:rFonts w:cs="Times New Roman"/>
          <w:i/>
          <w:iCs/>
        </w:rPr>
        <w:t>J. Diet. Suppl.</w:t>
      </w:r>
      <w:r w:rsidRPr="0093659C">
        <w:rPr>
          <w:rFonts w:cs="Times New Roman"/>
        </w:rPr>
        <w:t>, vol. 18, no. 1, pp. 1–16, Jan. 2021, doi: 10.1080/19390211.2019.1674996.</w:t>
      </w:r>
    </w:p>
    <w:p w14:paraId="1FF1A3EE" w14:textId="77777777" w:rsidR="0093659C" w:rsidRPr="0093659C" w:rsidRDefault="0093659C" w:rsidP="0093659C">
      <w:pPr>
        <w:pStyle w:val="Bibliography"/>
        <w:tabs>
          <w:tab w:val="clear" w:pos="384"/>
          <w:tab w:val="left" w:pos="540"/>
        </w:tabs>
        <w:ind w:left="540" w:hanging="540"/>
        <w:jc w:val="both"/>
        <w:rPr>
          <w:rFonts w:cs="Times New Roman"/>
        </w:rPr>
      </w:pPr>
      <w:r w:rsidRPr="0093659C">
        <w:rPr>
          <w:rFonts w:cs="Times New Roman"/>
        </w:rPr>
        <w:t>[22]</w:t>
      </w:r>
      <w:r w:rsidRPr="0093659C">
        <w:rPr>
          <w:rFonts w:cs="Times New Roman"/>
        </w:rPr>
        <w:tab/>
        <w:t xml:space="preserve">D. Fouad, A. Badr, and H. A. Attia, “Hepatoprotective activity of raspberry ketone is mediated via inhibition of the NF-κB/TNF-α/caspase axis and mitochondrial apoptosis in chemically induced acute liver injury,” </w:t>
      </w:r>
      <w:r w:rsidRPr="0093659C">
        <w:rPr>
          <w:rFonts w:cs="Times New Roman"/>
          <w:i/>
          <w:iCs/>
        </w:rPr>
        <w:t>Toxicol. Res.</w:t>
      </w:r>
      <w:r w:rsidRPr="0093659C">
        <w:rPr>
          <w:rFonts w:cs="Times New Roman"/>
        </w:rPr>
        <w:t>, vol. 8, no. 5, pp. 663–676, Sep. 2019, doi: 10.1039/c9tx00068b.</w:t>
      </w:r>
    </w:p>
    <w:p w14:paraId="142AA32E" w14:textId="77777777" w:rsidR="0093659C" w:rsidRPr="0093659C" w:rsidRDefault="0093659C" w:rsidP="0093659C">
      <w:pPr>
        <w:pStyle w:val="Bibliography"/>
        <w:tabs>
          <w:tab w:val="clear" w:pos="384"/>
          <w:tab w:val="left" w:pos="540"/>
        </w:tabs>
        <w:ind w:left="540" w:hanging="540"/>
        <w:jc w:val="both"/>
        <w:rPr>
          <w:rFonts w:cs="Times New Roman"/>
        </w:rPr>
      </w:pPr>
      <w:r w:rsidRPr="0093659C">
        <w:rPr>
          <w:rFonts w:cs="Times New Roman"/>
        </w:rPr>
        <w:t>[23]</w:t>
      </w:r>
      <w:r w:rsidRPr="0093659C">
        <w:rPr>
          <w:rFonts w:cs="Times New Roman"/>
        </w:rPr>
        <w:tab/>
        <w:t xml:space="preserve">A. M. Badr, N. F. El- Orabi, and R. A. Ali, “The implication of the crosstalk of Nrf2 with NOXs, and HMGB1 in ethanol-induced gastric ulcer: Potential protective effect is afforded by Raspberry Ketone,” </w:t>
      </w:r>
      <w:r w:rsidRPr="0093659C">
        <w:rPr>
          <w:rFonts w:cs="Times New Roman"/>
          <w:i/>
          <w:iCs/>
        </w:rPr>
        <w:t>PLOS ONE</w:t>
      </w:r>
      <w:r w:rsidRPr="0093659C">
        <w:rPr>
          <w:rFonts w:cs="Times New Roman"/>
        </w:rPr>
        <w:t>, vol. 14, no. 8, p. e0220548, Aug. 2019, doi: 10.1371/journal.pone.0220548.</w:t>
      </w:r>
    </w:p>
    <w:p w14:paraId="42C2CB4A" w14:textId="77777777" w:rsidR="0093659C" w:rsidRPr="0093659C" w:rsidRDefault="0093659C" w:rsidP="0093659C">
      <w:pPr>
        <w:pStyle w:val="Bibliography"/>
        <w:tabs>
          <w:tab w:val="clear" w:pos="384"/>
          <w:tab w:val="left" w:pos="540"/>
        </w:tabs>
        <w:ind w:left="540" w:hanging="540"/>
        <w:jc w:val="both"/>
        <w:rPr>
          <w:rFonts w:cs="Times New Roman"/>
        </w:rPr>
      </w:pPr>
      <w:r w:rsidRPr="0093659C">
        <w:rPr>
          <w:rFonts w:cs="Times New Roman"/>
        </w:rPr>
        <w:t>[24]</w:t>
      </w:r>
      <w:r w:rsidRPr="0093659C">
        <w:rPr>
          <w:rFonts w:cs="Times New Roman"/>
        </w:rPr>
        <w:tab/>
        <w:t xml:space="preserve">V. C.-H. Lin, H.-Y. Ding, S.-Y. Kuo, L.-W. Chin, J.-Y. Wu, and T.-S. Chang, “Evaluation of in Vitro and in Vivo Depigmenting Activity of Raspberry Ketone from Rheum officinale,” </w:t>
      </w:r>
      <w:r w:rsidRPr="0093659C">
        <w:rPr>
          <w:rFonts w:cs="Times New Roman"/>
          <w:i/>
          <w:iCs/>
        </w:rPr>
        <w:t>Int. J. Mol. Sci.</w:t>
      </w:r>
      <w:r w:rsidRPr="0093659C">
        <w:rPr>
          <w:rFonts w:cs="Times New Roman"/>
        </w:rPr>
        <w:t>, vol. 12, no. 8, pp. 4819–4835, Jul. 2011, doi: 10.3390/ijms12084819.</w:t>
      </w:r>
    </w:p>
    <w:p w14:paraId="45FDBCD6" w14:textId="77777777" w:rsidR="0093659C" w:rsidRPr="0093659C" w:rsidRDefault="0093659C" w:rsidP="0093659C">
      <w:pPr>
        <w:pStyle w:val="Bibliography"/>
        <w:tabs>
          <w:tab w:val="clear" w:pos="384"/>
          <w:tab w:val="left" w:pos="540"/>
        </w:tabs>
        <w:ind w:left="540" w:hanging="540"/>
        <w:jc w:val="both"/>
        <w:rPr>
          <w:rFonts w:cs="Times New Roman"/>
        </w:rPr>
      </w:pPr>
      <w:r w:rsidRPr="0093659C">
        <w:rPr>
          <w:rFonts w:cs="Times New Roman"/>
        </w:rPr>
        <w:lastRenderedPageBreak/>
        <w:t>[25]</w:t>
      </w:r>
      <w:r w:rsidRPr="0093659C">
        <w:rPr>
          <w:rFonts w:cs="Times New Roman"/>
        </w:rPr>
        <w:tab/>
        <w:t>Y. Fukuda, M. Nagano, K. Tsukamoto, and M. Futatsuka, “</w:t>
      </w:r>
      <w:r w:rsidRPr="0093659C">
        <w:rPr>
          <w:rFonts w:cs="Times New Roman"/>
          <w:i/>
          <w:iCs/>
        </w:rPr>
        <w:t>In Vitro</w:t>
      </w:r>
      <w:r w:rsidRPr="0093659C">
        <w:rPr>
          <w:rFonts w:cs="Times New Roman"/>
        </w:rPr>
        <w:t xml:space="preserve"> Studies on the Depigmenting Activity of 4‐( </w:t>
      </w:r>
      <w:r w:rsidRPr="0093659C">
        <w:rPr>
          <w:rFonts w:cs="Times New Roman"/>
          <w:i/>
          <w:iCs/>
        </w:rPr>
        <w:t>p</w:t>
      </w:r>
      <w:r w:rsidRPr="0093659C">
        <w:rPr>
          <w:rFonts w:cs="Times New Roman"/>
        </w:rPr>
        <w:t xml:space="preserve"> ‐Hydroxyphenyl)‐2‐Butanone,” </w:t>
      </w:r>
      <w:r w:rsidRPr="0093659C">
        <w:rPr>
          <w:rFonts w:cs="Times New Roman"/>
          <w:i/>
          <w:iCs/>
        </w:rPr>
        <w:t>J. Occup. Health</w:t>
      </w:r>
      <w:r w:rsidRPr="0093659C">
        <w:rPr>
          <w:rFonts w:cs="Times New Roman"/>
        </w:rPr>
        <w:t>, vol. 40, no. 2, pp. 137–142, Apr. 1998, doi: 10.1539/joh.40.137.</w:t>
      </w:r>
    </w:p>
    <w:p w14:paraId="3242273F" w14:textId="77777777" w:rsidR="0093659C" w:rsidRPr="0093659C" w:rsidRDefault="0093659C" w:rsidP="0093659C">
      <w:pPr>
        <w:pStyle w:val="Bibliography"/>
        <w:tabs>
          <w:tab w:val="clear" w:pos="384"/>
          <w:tab w:val="left" w:pos="540"/>
        </w:tabs>
        <w:ind w:left="540" w:hanging="540"/>
        <w:jc w:val="both"/>
        <w:rPr>
          <w:rFonts w:cs="Times New Roman"/>
        </w:rPr>
      </w:pPr>
      <w:r w:rsidRPr="0093659C">
        <w:rPr>
          <w:rFonts w:cs="Times New Roman"/>
        </w:rPr>
        <w:t>[26]</w:t>
      </w:r>
      <w:r w:rsidRPr="0093659C">
        <w:rPr>
          <w:rFonts w:cs="Times New Roman"/>
        </w:rPr>
        <w:tab/>
        <w:t xml:space="preserve">Y. Ogawa, M. Akamatsu, Y. Hotta, A. Hosoda, and H. Tamura, “Effect of essential oils, such as raspberry ketone and its derivatives, on antiandrogenic activity based on in vitro reporter gene assay,” </w:t>
      </w:r>
      <w:r w:rsidRPr="0093659C">
        <w:rPr>
          <w:rFonts w:cs="Times New Roman"/>
          <w:i/>
          <w:iCs/>
        </w:rPr>
        <w:t>Bioorg. Med. Chem. Lett.</w:t>
      </w:r>
      <w:r w:rsidRPr="0093659C">
        <w:rPr>
          <w:rFonts w:cs="Times New Roman"/>
        </w:rPr>
        <w:t>, vol. 20, no. 7, pp. 2111–2114, Apr. 2010, doi: 10.1016/j.bmcl.2010.02.059.</w:t>
      </w:r>
    </w:p>
    <w:p w14:paraId="2EE87CFF" w14:textId="77777777" w:rsidR="0093659C" w:rsidRPr="0093659C" w:rsidRDefault="0093659C" w:rsidP="0093659C">
      <w:pPr>
        <w:pStyle w:val="Bibliography"/>
        <w:tabs>
          <w:tab w:val="clear" w:pos="384"/>
          <w:tab w:val="left" w:pos="540"/>
        </w:tabs>
        <w:ind w:left="540" w:hanging="540"/>
        <w:jc w:val="both"/>
        <w:rPr>
          <w:rFonts w:cs="Times New Roman"/>
        </w:rPr>
      </w:pPr>
      <w:r w:rsidRPr="0093659C">
        <w:rPr>
          <w:rFonts w:cs="Times New Roman"/>
        </w:rPr>
        <w:t>[27]</w:t>
      </w:r>
      <w:r w:rsidRPr="0093659C">
        <w:rPr>
          <w:rFonts w:cs="Times New Roman"/>
        </w:rPr>
        <w:tab/>
        <w:t xml:space="preserve">T. Takata and C. Morimoto, “Raspberry Ketone Promotes the Differentiation of C3H10T1/2 Stem Cells into Osteoblasts,” </w:t>
      </w:r>
      <w:r w:rsidRPr="0093659C">
        <w:rPr>
          <w:rFonts w:cs="Times New Roman"/>
          <w:i/>
          <w:iCs/>
        </w:rPr>
        <w:t>J. Med. Food</w:t>
      </w:r>
      <w:r w:rsidRPr="0093659C">
        <w:rPr>
          <w:rFonts w:cs="Times New Roman"/>
        </w:rPr>
        <w:t>, vol. 17, no. 3, pp. 332–338, Mar. 2014, doi: 10.1089/jmf.2013.2763.</w:t>
      </w:r>
    </w:p>
    <w:p w14:paraId="281005B3" w14:textId="77777777" w:rsidR="0093659C" w:rsidRPr="0093659C" w:rsidRDefault="0093659C" w:rsidP="0093659C">
      <w:pPr>
        <w:pStyle w:val="Bibliography"/>
        <w:tabs>
          <w:tab w:val="clear" w:pos="384"/>
          <w:tab w:val="left" w:pos="540"/>
        </w:tabs>
        <w:ind w:left="540" w:hanging="540"/>
        <w:jc w:val="both"/>
        <w:rPr>
          <w:rFonts w:cs="Times New Roman"/>
        </w:rPr>
      </w:pPr>
      <w:r w:rsidRPr="0093659C">
        <w:rPr>
          <w:rFonts w:cs="Times New Roman"/>
        </w:rPr>
        <w:t>[28]</w:t>
      </w:r>
      <w:r w:rsidRPr="0093659C">
        <w:rPr>
          <w:rFonts w:cs="Times New Roman"/>
        </w:rPr>
        <w:tab/>
        <w:t xml:space="preserve">Y. Liu </w:t>
      </w:r>
      <w:r w:rsidRPr="0093659C">
        <w:rPr>
          <w:rFonts w:cs="Times New Roman"/>
          <w:i/>
          <w:iCs/>
        </w:rPr>
        <w:t>et al.</w:t>
      </w:r>
      <w:r w:rsidRPr="0093659C">
        <w:rPr>
          <w:rFonts w:cs="Times New Roman"/>
        </w:rPr>
        <w:t xml:space="preserve">, “Raspberry Ketone Prevents LPS‐Induced Depression‐Like Behaviors in Mice by Inhibiting TLR‐4/NF‐κB Signaling Pathway via the Gut‐Brain Axis,” </w:t>
      </w:r>
      <w:r w:rsidRPr="0093659C">
        <w:rPr>
          <w:rFonts w:cs="Times New Roman"/>
          <w:i/>
          <w:iCs/>
        </w:rPr>
        <w:t>Mol. Nutr. Food Res.</w:t>
      </w:r>
      <w:r w:rsidRPr="0093659C">
        <w:rPr>
          <w:rFonts w:cs="Times New Roman"/>
        </w:rPr>
        <w:t>, vol. 68, no. 11, p. 2400090, Jun. 2024, doi: 10.1002/mnfr.202400090.</w:t>
      </w:r>
    </w:p>
    <w:p w14:paraId="09B76D50" w14:textId="77777777" w:rsidR="0093659C" w:rsidRPr="0093659C" w:rsidRDefault="0093659C" w:rsidP="0093659C">
      <w:pPr>
        <w:pStyle w:val="Bibliography"/>
        <w:tabs>
          <w:tab w:val="clear" w:pos="384"/>
          <w:tab w:val="left" w:pos="540"/>
        </w:tabs>
        <w:ind w:left="540" w:hanging="540"/>
        <w:jc w:val="both"/>
        <w:rPr>
          <w:rFonts w:cs="Times New Roman"/>
        </w:rPr>
      </w:pPr>
      <w:r w:rsidRPr="0093659C">
        <w:rPr>
          <w:rFonts w:cs="Times New Roman"/>
        </w:rPr>
        <w:t>[29]</w:t>
      </w:r>
      <w:r w:rsidRPr="0093659C">
        <w:rPr>
          <w:rFonts w:cs="Times New Roman"/>
        </w:rPr>
        <w:tab/>
        <w:t xml:space="preserve">H. L. Lopez </w:t>
      </w:r>
      <w:r w:rsidRPr="0093659C">
        <w:rPr>
          <w:rFonts w:cs="Times New Roman"/>
          <w:i/>
          <w:iCs/>
        </w:rPr>
        <w:t>et al.</w:t>
      </w:r>
      <w:r w:rsidRPr="0093659C">
        <w:rPr>
          <w:rFonts w:cs="Times New Roman"/>
        </w:rPr>
        <w:t xml:space="preserve">, “Eight weeks of supplementation with a multi-ingredient weight loss product enhances body composition, reduces hip and waist girth, and increases energy levels in overweight men and women,” </w:t>
      </w:r>
      <w:r w:rsidRPr="0093659C">
        <w:rPr>
          <w:rFonts w:cs="Times New Roman"/>
          <w:i/>
          <w:iCs/>
        </w:rPr>
        <w:t>J. Int. Soc. Sports Nutr.</w:t>
      </w:r>
      <w:r w:rsidRPr="0093659C">
        <w:rPr>
          <w:rFonts w:cs="Times New Roman"/>
        </w:rPr>
        <w:t>, vol. 10, no. 1, p. 22, Jan. 2013, doi: 10.1186/1550-2783-10-22.</w:t>
      </w:r>
    </w:p>
    <w:p w14:paraId="5CE93BE6" w14:textId="77777777" w:rsidR="0093659C" w:rsidRPr="0093659C" w:rsidRDefault="0093659C" w:rsidP="0093659C">
      <w:pPr>
        <w:pStyle w:val="Bibliography"/>
        <w:tabs>
          <w:tab w:val="clear" w:pos="384"/>
          <w:tab w:val="left" w:pos="540"/>
        </w:tabs>
        <w:ind w:left="540" w:hanging="540"/>
        <w:jc w:val="both"/>
        <w:rPr>
          <w:rFonts w:cs="Times New Roman"/>
        </w:rPr>
      </w:pPr>
      <w:r w:rsidRPr="0093659C">
        <w:rPr>
          <w:rFonts w:cs="Times New Roman"/>
        </w:rPr>
        <w:t>[30]</w:t>
      </w:r>
      <w:r w:rsidRPr="0093659C">
        <w:rPr>
          <w:rFonts w:cs="Times New Roman"/>
        </w:rPr>
        <w:tab/>
        <w:t xml:space="preserve">V. Khan, S. Sharma, U. Bhandari, N. Sharma, V. Rishi, and S. E. Haque, “Suppression of isoproterenol-induced cardiotoxicity in rats by raspberry ketone via activation of peroxisome proliferator activated receptor-α,” </w:t>
      </w:r>
      <w:r w:rsidRPr="0093659C">
        <w:rPr>
          <w:rFonts w:cs="Times New Roman"/>
          <w:i/>
          <w:iCs/>
        </w:rPr>
        <w:t>Eur. J. Pharmacol.</w:t>
      </w:r>
      <w:r w:rsidRPr="0093659C">
        <w:rPr>
          <w:rFonts w:cs="Times New Roman"/>
        </w:rPr>
        <w:t>, vol. 842, pp. 157–166, Jan. 2019, doi: 10.1016/j.ejphar.2018.10.034.</w:t>
      </w:r>
    </w:p>
    <w:p w14:paraId="7AABDC57" w14:textId="77777777" w:rsidR="0093659C" w:rsidRPr="0093659C" w:rsidRDefault="0093659C" w:rsidP="0093659C">
      <w:pPr>
        <w:pStyle w:val="Bibliography"/>
        <w:tabs>
          <w:tab w:val="clear" w:pos="384"/>
          <w:tab w:val="left" w:pos="540"/>
        </w:tabs>
        <w:ind w:left="540" w:hanging="540"/>
        <w:jc w:val="both"/>
        <w:rPr>
          <w:rFonts w:cs="Times New Roman"/>
        </w:rPr>
      </w:pPr>
      <w:r w:rsidRPr="0093659C">
        <w:rPr>
          <w:rFonts w:cs="Times New Roman"/>
        </w:rPr>
        <w:t>[31]</w:t>
      </w:r>
      <w:r w:rsidRPr="0093659C">
        <w:rPr>
          <w:rFonts w:cs="Times New Roman"/>
        </w:rPr>
        <w:tab/>
        <w:t xml:space="preserve">B. Yuan, D. Zhao, D. Kshatriya, N. T. Bello, J. E. Simon, and Q. Wu, “UHPLC-QqQ-MS/MS method development and validation with statistical analysis: Determination of raspberry ketone metabolites in mice plasma and brain,” </w:t>
      </w:r>
      <w:r w:rsidRPr="0093659C">
        <w:rPr>
          <w:rFonts w:cs="Times New Roman"/>
          <w:i/>
          <w:iCs/>
        </w:rPr>
        <w:t>J. Chromatogr. B</w:t>
      </w:r>
      <w:r w:rsidRPr="0093659C">
        <w:rPr>
          <w:rFonts w:cs="Times New Roman"/>
        </w:rPr>
        <w:t>, vol. 1149, p. 122146, Jul. 2020, doi: 10.1016/j.jchromb.2020.122146.</w:t>
      </w:r>
    </w:p>
    <w:p w14:paraId="2E30E420" w14:textId="77777777" w:rsidR="0093659C" w:rsidRPr="0093659C" w:rsidRDefault="0093659C" w:rsidP="0093659C">
      <w:pPr>
        <w:pStyle w:val="Bibliography"/>
        <w:tabs>
          <w:tab w:val="clear" w:pos="384"/>
          <w:tab w:val="left" w:pos="540"/>
        </w:tabs>
        <w:ind w:left="540" w:hanging="540"/>
        <w:jc w:val="both"/>
        <w:rPr>
          <w:rFonts w:cs="Times New Roman"/>
        </w:rPr>
      </w:pPr>
      <w:r w:rsidRPr="0093659C">
        <w:rPr>
          <w:rFonts w:cs="Times New Roman"/>
        </w:rPr>
        <w:t>[32]</w:t>
      </w:r>
      <w:r w:rsidRPr="0093659C">
        <w:rPr>
          <w:rFonts w:cs="Times New Roman"/>
        </w:rPr>
        <w:tab/>
        <w:t xml:space="preserve">S. Sporstøl and R. R. Scheline, “The metabolism of 4-(4-hydroxyphenyl)butan-2-one (raspberry ketone) in rats, guinea-pigs and rabbits,” </w:t>
      </w:r>
      <w:r w:rsidRPr="0093659C">
        <w:rPr>
          <w:rFonts w:cs="Times New Roman"/>
          <w:i/>
          <w:iCs/>
        </w:rPr>
        <w:t>Xenobiotica Fate Foreign Compd. Biol. Syst.</w:t>
      </w:r>
      <w:r w:rsidRPr="0093659C">
        <w:rPr>
          <w:rFonts w:cs="Times New Roman"/>
        </w:rPr>
        <w:t>, vol. 12, no. 4, pp. 249–257, Apr. 1982, doi: 10.3109/00498258209052463.</w:t>
      </w:r>
    </w:p>
    <w:p w14:paraId="24AC7678" w14:textId="77777777" w:rsidR="0093659C" w:rsidRPr="0093659C" w:rsidRDefault="0093659C" w:rsidP="0093659C">
      <w:pPr>
        <w:pStyle w:val="Bibliography"/>
        <w:tabs>
          <w:tab w:val="clear" w:pos="384"/>
          <w:tab w:val="left" w:pos="540"/>
        </w:tabs>
        <w:ind w:left="540" w:hanging="540"/>
        <w:jc w:val="both"/>
        <w:rPr>
          <w:rFonts w:cs="Times New Roman"/>
        </w:rPr>
      </w:pPr>
      <w:r w:rsidRPr="0093659C">
        <w:rPr>
          <w:rFonts w:cs="Times New Roman"/>
        </w:rPr>
        <w:t>[33]</w:t>
      </w:r>
      <w:r w:rsidRPr="0093659C">
        <w:rPr>
          <w:rFonts w:cs="Times New Roman"/>
        </w:rPr>
        <w:tab/>
        <w:t xml:space="preserve">D. Zhao </w:t>
      </w:r>
      <w:r w:rsidRPr="0093659C">
        <w:rPr>
          <w:rFonts w:cs="Times New Roman"/>
          <w:i/>
          <w:iCs/>
        </w:rPr>
        <w:t>et al.</w:t>
      </w:r>
      <w:r w:rsidRPr="0093659C">
        <w:rPr>
          <w:rFonts w:cs="Times New Roman"/>
        </w:rPr>
        <w:t xml:space="preserve">, “Influence of Diet‐Induced Obesity on the Bioavailability and Metabolism of Raspberry Ketone (4‐(4‐Hydroxyphenyl)‐2‐Butanone) in Mice,” </w:t>
      </w:r>
      <w:r w:rsidRPr="0093659C">
        <w:rPr>
          <w:rFonts w:cs="Times New Roman"/>
          <w:i/>
          <w:iCs/>
        </w:rPr>
        <w:t>Mol. Nutr. Food Res.</w:t>
      </w:r>
      <w:r w:rsidRPr="0093659C">
        <w:rPr>
          <w:rFonts w:cs="Times New Roman"/>
        </w:rPr>
        <w:t>, vol. 64, no. 8, p. 1900907, Apr. 2020, doi: 10.1002/mnfr.201900907.</w:t>
      </w:r>
    </w:p>
    <w:p w14:paraId="0749A114" w14:textId="77777777" w:rsidR="0093659C" w:rsidRPr="0093659C" w:rsidRDefault="0093659C" w:rsidP="0093659C">
      <w:pPr>
        <w:pStyle w:val="Bibliography"/>
        <w:tabs>
          <w:tab w:val="clear" w:pos="384"/>
          <w:tab w:val="left" w:pos="540"/>
        </w:tabs>
        <w:ind w:left="540" w:hanging="540"/>
        <w:jc w:val="both"/>
        <w:rPr>
          <w:rFonts w:cs="Times New Roman"/>
        </w:rPr>
      </w:pPr>
      <w:r w:rsidRPr="0093659C">
        <w:rPr>
          <w:rFonts w:cs="Times New Roman"/>
        </w:rPr>
        <w:t>[34]</w:t>
      </w:r>
      <w:r w:rsidRPr="0093659C">
        <w:rPr>
          <w:rFonts w:cs="Times New Roman"/>
        </w:rPr>
        <w:tab/>
        <w:t xml:space="preserve">I. F. Gaunt, M. Sharratt, J. Colley, A. B. G. Lansdown, and P. Grasso, “Acute and short-term toxicity of p-hydroxybenzyl acetone in rats,” </w:t>
      </w:r>
      <w:r w:rsidRPr="0093659C">
        <w:rPr>
          <w:rFonts w:cs="Times New Roman"/>
          <w:i/>
          <w:iCs/>
        </w:rPr>
        <w:t>Food Cosmet. Toxicol.</w:t>
      </w:r>
      <w:r w:rsidRPr="0093659C">
        <w:rPr>
          <w:rFonts w:cs="Times New Roman"/>
        </w:rPr>
        <w:t>, vol. 8, no. 4, pp. 349–358, Jan. 1970, doi: 10.1016/S0015-6264(70)80388-1.</w:t>
      </w:r>
    </w:p>
    <w:p w14:paraId="2EB53AAF" w14:textId="77777777" w:rsidR="0093659C" w:rsidRPr="0093659C" w:rsidRDefault="0093659C" w:rsidP="0093659C">
      <w:pPr>
        <w:pStyle w:val="Bibliography"/>
        <w:tabs>
          <w:tab w:val="clear" w:pos="384"/>
          <w:tab w:val="left" w:pos="540"/>
        </w:tabs>
        <w:ind w:left="540" w:hanging="540"/>
        <w:jc w:val="both"/>
        <w:rPr>
          <w:rFonts w:cs="Times New Roman"/>
        </w:rPr>
      </w:pPr>
      <w:r w:rsidRPr="0093659C">
        <w:rPr>
          <w:rFonts w:cs="Times New Roman"/>
        </w:rPr>
        <w:t>[35]</w:t>
      </w:r>
      <w:r w:rsidRPr="0093659C">
        <w:rPr>
          <w:rFonts w:cs="Times New Roman"/>
        </w:rPr>
        <w:tab/>
        <w:t xml:space="preserve">A. M. Api </w:t>
      </w:r>
      <w:r w:rsidRPr="0093659C">
        <w:rPr>
          <w:rFonts w:cs="Times New Roman"/>
          <w:i/>
          <w:iCs/>
        </w:rPr>
        <w:t>et al.</w:t>
      </w:r>
      <w:r w:rsidRPr="0093659C">
        <w:rPr>
          <w:rFonts w:cs="Times New Roman"/>
        </w:rPr>
        <w:t xml:space="preserve">, “RIFM fragrance ingredient safety assessment, 4-(p-hydroxyphenyl)-2-butanone, CAS Registry Number 5471-51-2,” </w:t>
      </w:r>
      <w:r w:rsidRPr="0093659C">
        <w:rPr>
          <w:rFonts w:cs="Times New Roman"/>
          <w:i/>
          <w:iCs/>
        </w:rPr>
        <w:t>Food Chem. Toxicol.</w:t>
      </w:r>
      <w:r w:rsidRPr="0093659C">
        <w:rPr>
          <w:rFonts w:cs="Times New Roman"/>
        </w:rPr>
        <w:t>, vol. 134, p. 110948, Dec. 2019, doi: 10.1016/j.fct.2019.110948.</w:t>
      </w:r>
    </w:p>
    <w:p w14:paraId="79990ACF" w14:textId="77777777" w:rsidR="0093659C" w:rsidRPr="0093659C" w:rsidRDefault="0093659C" w:rsidP="0093659C">
      <w:pPr>
        <w:pStyle w:val="Bibliography"/>
        <w:tabs>
          <w:tab w:val="clear" w:pos="384"/>
          <w:tab w:val="left" w:pos="540"/>
        </w:tabs>
        <w:ind w:left="540" w:hanging="540"/>
        <w:jc w:val="both"/>
        <w:rPr>
          <w:rFonts w:cs="Times New Roman"/>
        </w:rPr>
      </w:pPr>
      <w:r w:rsidRPr="0093659C">
        <w:rPr>
          <w:rFonts w:cs="Times New Roman"/>
        </w:rPr>
        <w:t>[36]</w:t>
      </w:r>
      <w:r w:rsidRPr="0093659C">
        <w:rPr>
          <w:rFonts w:cs="Times New Roman"/>
        </w:rPr>
        <w:tab/>
        <w:t xml:space="preserve">J. Lee, “Further research on the biological activities and the safety of raspberry ketone is needed,” </w:t>
      </w:r>
      <w:r w:rsidRPr="0093659C">
        <w:rPr>
          <w:rFonts w:cs="Times New Roman"/>
          <w:i/>
          <w:iCs/>
        </w:rPr>
        <w:t>NFS J.</w:t>
      </w:r>
      <w:r w:rsidRPr="0093659C">
        <w:rPr>
          <w:rFonts w:cs="Times New Roman"/>
        </w:rPr>
        <w:t>, vol. 2, pp. 15–18, Mar. 2016, doi: 10.1016/j.nfs.2015.12.001.</w:t>
      </w:r>
    </w:p>
    <w:p w14:paraId="7F40B316" w14:textId="77777777" w:rsidR="0093659C" w:rsidRPr="0093659C" w:rsidRDefault="0093659C" w:rsidP="0093659C">
      <w:pPr>
        <w:pStyle w:val="Bibliography"/>
        <w:tabs>
          <w:tab w:val="clear" w:pos="384"/>
          <w:tab w:val="left" w:pos="540"/>
        </w:tabs>
        <w:ind w:left="540" w:hanging="540"/>
        <w:jc w:val="both"/>
        <w:rPr>
          <w:rFonts w:cs="Times New Roman"/>
        </w:rPr>
      </w:pPr>
      <w:r w:rsidRPr="0093659C">
        <w:rPr>
          <w:rFonts w:cs="Times New Roman"/>
        </w:rPr>
        <w:t>[37]</w:t>
      </w:r>
      <w:r w:rsidRPr="0093659C">
        <w:rPr>
          <w:rFonts w:cs="Times New Roman"/>
        </w:rPr>
        <w:tab/>
        <w:t xml:space="preserve">L. Bredsdorff, E. B. Wedebye, N. G. Nikolov, T. Hallas-Møller, and K. Pilegaard, “Raspberry ketone in food supplements – High intake, few toxicity data – A cause for safety concern?,” </w:t>
      </w:r>
      <w:r w:rsidRPr="0093659C">
        <w:rPr>
          <w:rFonts w:cs="Times New Roman"/>
          <w:i/>
          <w:iCs/>
        </w:rPr>
        <w:t>Regul. Toxicol. Pharmacol.</w:t>
      </w:r>
      <w:r w:rsidRPr="0093659C">
        <w:rPr>
          <w:rFonts w:cs="Times New Roman"/>
        </w:rPr>
        <w:t>, vol. 73, no. 1, pp. 196–200, Oct. 2015, doi: 10.1016/j.yrtph.2015.06.022.</w:t>
      </w:r>
    </w:p>
    <w:p w14:paraId="702357FD" w14:textId="77777777" w:rsidR="0093659C" w:rsidRPr="0093659C" w:rsidRDefault="0093659C" w:rsidP="0093659C">
      <w:pPr>
        <w:pStyle w:val="Bibliography"/>
        <w:tabs>
          <w:tab w:val="clear" w:pos="384"/>
          <w:tab w:val="left" w:pos="540"/>
        </w:tabs>
        <w:ind w:left="540" w:hanging="540"/>
        <w:jc w:val="both"/>
        <w:rPr>
          <w:rFonts w:cs="Times New Roman"/>
        </w:rPr>
      </w:pPr>
      <w:r w:rsidRPr="0093659C">
        <w:rPr>
          <w:rFonts w:cs="Times New Roman"/>
        </w:rPr>
        <w:t>[38]</w:t>
      </w:r>
      <w:r w:rsidRPr="0093659C">
        <w:rPr>
          <w:rFonts w:cs="Times New Roman"/>
        </w:rPr>
        <w:tab/>
        <w:t xml:space="preserve">A. Chauhan, R. Kamal, R. Mishra, D. Shekho, and A. Awasthi, “A Comprehensive Guide to the Development, Evaluation, and Future Prospectsof Self-nanoemulsifying Drug Delivery </w:t>
      </w:r>
      <w:r w:rsidRPr="0093659C">
        <w:rPr>
          <w:rFonts w:cs="Times New Roman"/>
        </w:rPr>
        <w:lastRenderedPageBreak/>
        <w:t xml:space="preserve">Systems for Poorly Water-solubleDrugs,” </w:t>
      </w:r>
      <w:r w:rsidRPr="0093659C">
        <w:rPr>
          <w:rFonts w:cs="Times New Roman"/>
          <w:i/>
          <w:iCs/>
        </w:rPr>
        <w:t>Curr. Pharm. Des.</w:t>
      </w:r>
      <w:r w:rsidRPr="0093659C">
        <w:rPr>
          <w:rFonts w:cs="Times New Roman"/>
        </w:rPr>
        <w:t>, vol. 30, no. 16, pp. 1211–1216, May 2024, doi: 10.2174/0113816128296705240327065131.</w:t>
      </w:r>
    </w:p>
    <w:p w14:paraId="16F36EA3" w14:textId="77777777" w:rsidR="0093659C" w:rsidRPr="0093659C" w:rsidRDefault="0093659C" w:rsidP="0093659C">
      <w:pPr>
        <w:pStyle w:val="Bibliography"/>
        <w:tabs>
          <w:tab w:val="clear" w:pos="384"/>
          <w:tab w:val="left" w:pos="540"/>
        </w:tabs>
        <w:ind w:left="540" w:hanging="540"/>
        <w:jc w:val="both"/>
        <w:rPr>
          <w:rFonts w:cs="Times New Roman"/>
        </w:rPr>
      </w:pPr>
      <w:r w:rsidRPr="0093659C">
        <w:rPr>
          <w:rFonts w:cs="Times New Roman"/>
        </w:rPr>
        <w:t>[39]</w:t>
      </w:r>
      <w:r w:rsidRPr="0093659C">
        <w:rPr>
          <w:rFonts w:cs="Times New Roman"/>
        </w:rPr>
        <w:tab/>
        <w:t xml:space="preserve">S. Singh, T. Virmani, and K. Kohli, “Nanoemulsion System for Improvement of Raspberry Ketone Oral Bioavailability,” </w:t>
      </w:r>
      <w:r w:rsidRPr="0093659C">
        <w:rPr>
          <w:rFonts w:cs="Times New Roman"/>
          <w:i/>
          <w:iCs/>
        </w:rPr>
        <w:t>Indo Glob. J. Pharm. Sci.</w:t>
      </w:r>
      <w:r w:rsidRPr="0093659C">
        <w:rPr>
          <w:rFonts w:cs="Times New Roman"/>
        </w:rPr>
        <w:t>, vol. 10, no. 01, pp. 33–42, 2020, doi: 10.35652/IGJPS.2020.10105.</w:t>
      </w:r>
    </w:p>
    <w:p w14:paraId="13E82215" w14:textId="77777777" w:rsidR="0093659C" w:rsidRPr="0093659C" w:rsidRDefault="0093659C" w:rsidP="0093659C">
      <w:pPr>
        <w:pStyle w:val="Bibliography"/>
        <w:tabs>
          <w:tab w:val="clear" w:pos="384"/>
          <w:tab w:val="left" w:pos="540"/>
        </w:tabs>
        <w:ind w:left="540" w:hanging="540"/>
        <w:jc w:val="both"/>
        <w:rPr>
          <w:rFonts w:cs="Times New Roman"/>
        </w:rPr>
      </w:pPr>
      <w:r w:rsidRPr="0093659C">
        <w:rPr>
          <w:rFonts w:cs="Times New Roman"/>
        </w:rPr>
        <w:t>[40]</w:t>
      </w:r>
      <w:r w:rsidRPr="0093659C">
        <w:rPr>
          <w:rFonts w:cs="Times New Roman"/>
        </w:rPr>
        <w:tab/>
        <w:t xml:space="preserve">D. Yang, Y. Li, and J. Nie, “Preparation of gelatin/PVA nanofibers and their potential application in controlled release of drugs,” </w:t>
      </w:r>
      <w:r w:rsidRPr="0093659C">
        <w:rPr>
          <w:rFonts w:cs="Times New Roman"/>
          <w:i/>
          <w:iCs/>
        </w:rPr>
        <w:t>Carbohydr. Polym.</w:t>
      </w:r>
      <w:r w:rsidRPr="0093659C">
        <w:rPr>
          <w:rFonts w:cs="Times New Roman"/>
        </w:rPr>
        <w:t>, vol. 69, no. 3, pp. 538–543, Jun. 2007, doi: 10.1016/j.carbpol.2007.01.008.</w:t>
      </w:r>
    </w:p>
    <w:p w14:paraId="4B704251" w14:textId="77777777" w:rsidR="0093659C" w:rsidRPr="0093659C" w:rsidRDefault="0093659C" w:rsidP="0093659C">
      <w:pPr>
        <w:pStyle w:val="Bibliography"/>
        <w:tabs>
          <w:tab w:val="clear" w:pos="384"/>
          <w:tab w:val="left" w:pos="540"/>
        </w:tabs>
        <w:ind w:left="540" w:hanging="540"/>
        <w:jc w:val="both"/>
        <w:rPr>
          <w:rFonts w:cs="Times New Roman"/>
        </w:rPr>
      </w:pPr>
      <w:r w:rsidRPr="0093659C">
        <w:rPr>
          <w:rFonts w:cs="Times New Roman"/>
        </w:rPr>
        <w:t>[41]</w:t>
      </w:r>
      <w:r w:rsidRPr="0093659C">
        <w:rPr>
          <w:rFonts w:cs="Times New Roman"/>
        </w:rPr>
        <w:tab/>
        <w:t xml:space="preserve">X. Feng, J. Li, X. Zhang, T. Liu, J. Ding, and X. Chen, “Electrospun polymer micro/nanofibers as pharmaceutical repositories for healthcare,” </w:t>
      </w:r>
      <w:r w:rsidRPr="0093659C">
        <w:rPr>
          <w:rFonts w:cs="Times New Roman"/>
          <w:i/>
          <w:iCs/>
        </w:rPr>
        <w:t>J. Controlled Release</w:t>
      </w:r>
      <w:r w:rsidRPr="0093659C">
        <w:rPr>
          <w:rFonts w:cs="Times New Roman"/>
        </w:rPr>
        <w:t>, vol. 302, pp. 19–41, May 2019, doi: 10.1016/j.jconrel.2019.03.020.</w:t>
      </w:r>
    </w:p>
    <w:p w14:paraId="2CACEA3B" w14:textId="77777777" w:rsidR="0093659C" w:rsidRPr="0093659C" w:rsidRDefault="0093659C" w:rsidP="0093659C">
      <w:pPr>
        <w:pStyle w:val="Bibliography"/>
        <w:tabs>
          <w:tab w:val="clear" w:pos="384"/>
          <w:tab w:val="left" w:pos="540"/>
        </w:tabs>
        <w:ind w:left="540" w:hanging="540"/>
        <w:jc w:val="both"/>
        <w:rPr>
          <w:rFonts w:cs="Times New Roman"/>
        </w:rPr>
      </w:pPr>
      <w:r w:rsidRPr="0093659C">
        <w:rPr>
          <w:rFonts w:cs="Times New Roman"/>
        </w:rPr>
        <w:t>[42]</w:t>
      </w:r>
      <w:r w:rsidRPr="0093659C">
        <w:rPr>
          <w:rFonts w:cs="Times New Roman"/>
        </w:rPr>
        <w:tab/>
        <w:t xml:space="preserve">K. K. Ajeeshkumar, P. A. Aneesh, N. Raju, M. Suseela, C. N. Ravishankar, and S. Benjakul, “Advancements in liposome technology: Preparation techniques and applications in food, functional foods, and bioactive delivery: A review,” </w:t>
      </w:r>
      <w:r w:rsidRPr="0093659C">
        <w:rPr>
          <w:rFonts w:cs="Times New Roman"/>
          <w:i/>
          <w:iCs/>
        </w:rPr>
        <w:t>Compr. Rev. Food Sci. Food Saf.</w:t>
      </w:r>
      <w:r w:rsidRPr="0093659C">
        <w:rPr>
          <w:rFonts w:cs="Times New Roman"/>
        </w:rPr>
        <w:t>, vol. 20, no. 2, pp. 1280–1306, Mar. 2021, doi: 10.1111/1541-4337.12725.</w:t>
      </w:r>
    </w:p>
    <w:p w14:paraId="00A293E2" w14:textId="77777777" w:rsidR="0093659C" w:rsidRPr="0093659C" w:rsidRDefault="0093659C" w:rsidP="0093659C">
      <w:pPr>
        <w:pStyle w:val="Bibliography"/>
        <w:tabs>
          <w:tab w:val="clear" w:pos="384"/>
          <w:tab w:val="left" w:pos="540"/>
        </w:tabs>
        <w:ind w:left="540" w:hanging="540"/>
        <w:jc w:val="both"/>
        <w:rPr>
          <w:rFonts w:cs="Times New Roman"/>
        </w:rPr>
      </w:pPr>
      <w:r w:rsidRPr="0093659C">
        <w:rPr>
          <w:rFonts w:cs="Times New Roman"/>
        </w:rPr>
        <w:t>[43]</w:t>
      </w:r>
      <w:r w:rsidRPr="0093659C">
        <w:rPr>
          <w:rFonts w:cs="Times New Roman"/>
        </w:rPr>
        <w:tab/>
        <w:t xml:space="preserve">Q. Perron </w:t>
      </w:r>
      <w:r w:rsidRPr="0093659C">
        <w:rPr>
          <w:rFonts w:cs="Times New Roman"/>
          <w:i/>
          <w:iCs/>
        </w:rPr>
        <w:t>et al.</w:t>
      </w:r>
      <w:r w:rsidRPr="0093659C">
        <w:rPr>
          <w:rFonts w:cs="Times New Roman"/>
        </w:rPr>
        <w:t xml:space="preserve">, “Deep generative models for </w:t>
      </w:r>
      <w:r w:rsidRPr="0093659C">
        <w:rPr>
          <w:rFonts w:cs="Times New Roman"/>
          <w:smallCaps/>
        </w:rPr>
        <w:t>ligand‐based</w:t>
      </w:r>
      <w:r w:rsidRPr="0093659C">
        <w:rPr>
          <w:rFonts w:cs="Times New Roman"/>
        </w:rPr>
        <w:t xml:space="preserve"> de novo design applied to </w:t>
      </w:r>
      <w:r w:rsidRPr="0093659C">
        <w:rPr>
          <w:rFonts w:cs="Times New Roman"/>
          <w:smallCaps/>
        </w:rPr>
        <w:t>multi‐parametric</w:t>
      </w:r>
      <w:r w:rsidRPr="0093659C">
        <w:rPr>
          <w:rFonts w:cs="Times New Roman"/>
        </w:rPr>
        <w:t xml:space="preserve"> optimization,” </w:t>
      </w:r>
      <w:r w:rsidRPr="0093659C">
        <w:rPr>
          <w:rFonts w:cs="Times New Roman"/>
          <w:i/>
          <w:iCs/>
        </w:rPr>
        <w:t>J. Comput. Chem.</w:t>
      </w:r>
      <w:r w:rsidRPr="0093659C">
        <w:rPr>
          <w:rFonts w:cs="Times New Roman"/>
        </w:rPr>
        <w:t>, vol. 43, no. 10, pp. 692–703, Apr. 2022, doi: 10.1002/jcc.26826.</w:t>
      </w:r>
    </w:p>
    <w:p w14:paraId="780FEC49" w14:textId="77777777" w:rsidR="0093659C" w:rsidRPr="0093659C" w:rsidRDefault="0093659C" w:rsidP="0093659C">
      <w:pPr>
        <w:pStyle w:val="Bibliography"/>
        <w:tabs>
          <w:tab w:val="clear" w:pos="384"/>
          <w:tab w:val="left" w:pos="540"/>
        </w:tabs>
        <w:ind w:left="540" w:hanging="540"/>
        <w:jc w:val="both"/>
        <w:rPr>
          <w:rFonts w:cs="Times New Roman"/>
        </w:rPr>
      </w:pPr>
      <w:r w:rsidRPr="0093659C">
        <w:rPr>
          <w:rFonts w:cs="Times New Roman"/>
        </w:rPr>
        <w:t>[44]</w:t>
      </w:r>
      <w:r w:rsidRPr="0093659C">
        <w:rPr>
          <w:rFonts w:cs="Times New Roman"/>
        </w:rPr>
        <w:tab/>
        <w:t xml:space="preserve">S. Rao, M. Kurakula, N. Mamidipalli, P. Tiyyagura, B. Patel, and R. Manne, “Pharmacological Exploration of Phenolic Compound: Raspberry Ketone—Update 2020,” </w:t>
      </w:r>
      <w:r w:rsidRPr="0093659C">
        <w:rPr>
          <w:rFonts w:cs="Times New Roman"/>
          <w:i/>
          <w:iCs/>
        </w:rPr>
        <w:t>Plants</w:t>
      </w:r>
      <w:r w:rsidRPr="0093659C">
        <w:rPr>
          <w:rFonts w:cs="Times New Roman"/>
        </w:rPr>
        <w:t>, vol. 10, no. 7, p. 1323, Jun. 2021, doi: 10.3390/plants10071323.</w:t>
      </w:r>
    </w:p>
    <w:p w14:paraId="15E8ACA7" w14:textId="77777777" w:rsidR="0093659C" w:rsidRPr="0093659C" w:rsidRDefault="0093659C" w:rsidP="0093659C">
      <w:pPr>
        <w:pStyle w:val="Bibliography"/>
        <w:tabs>
          <w:tab w:val="clear" w:pos="384"/>
          <w:tab w:val="left" w:pos="540"/>
        </w:tabs>
        <w:ind w:left="540" w:hanging="540"/>
        <w:jc w:val="both"/>
        <w:rPr>
          <w:rFonts w:cs="Times New Roman"/>
        </w:rPr>
      </w:pPr>
      <w:r w:rsidRPr="0093659C">
        <w:rPr>
          <w:rFonts w:cs="Times New Roman"/>
        </w:rPr>
        <w:t>[45]</w:t>
      </w:r>
      <w:r w:rsidRPr="0093659C">
        <w:rPr>
          <w:rFonts w:cs="Times New Roman"/>
        </w:rPr>
        <w:tab/>
        <w:t xml:space="preserve">A. Becker, D. Böttcher, W. Katzer, K. Siems, L. Müller-Kuhrt, and U. T. Bornscheuer, “An ADH toolbox for raspberry ketone production from natural resources via a biocatalytic cascade,” </w:t>
      </w:r>
      <w:r w:rsidRPr="0093659C">
        <w:rPr>
          <w:rFonts w:cs="Times New Roman"/>
          <w:i/>
          <w:iCs/>
        </w:rPr>
        <w:t>Appl. Microbiol. Biotechnol.</w:t>
      </w:r>
      <w:r w:rsidRPr="0093659C">
        <w:rPr>
          <w:rFonts w:cs="Times New Roman"/>
        </w:rPr>
        <w:t>, vol. 105, no. 10, pp. 4189–4197, May 2021, doi: 10.1007/s00253-021-11332-9.</w:t>
      </w:r>
    </w:p>
    <w:p w14:paraId="1A34328D" w14:textId="77777777" w:rsidR="0093659C" w:rsidRPr="0093659C" w:rsidRDefault="0093659C" w:rsidP="0093659C">
      <w:pPr>
        <w:pStyle w:val="Bibliography"/>
        <w:tabs>
          <w:tab w:val="clear" w:pos="384"/>
          <w:tab w:val="left" w:pos="540"/>
        </w:tabs>
        <w:ind w:left="540" w:hanging="540"/>
        <w:jc w:val="both"/>
        <w:rPr>
          <w:rFonts w:cs="Times New Roman"/>
        </w:rPr>
      </w:pPr>
      <w:r w:rsidRPr="0093659C">
        <w:rPr>
          <w:rFonts w:cs="Times New Roman"/>
        </w:rPr>
        <w:t>[46]</w:t>
      </w:r>
      <w:r w:rsidRPr="0093659C">
        <w:rPr>
          <w:rFonts w:cs="Times New Roman"/>
        </w:rPr>
        <w:tab/>
        <w:t xml:space="preserve">M. J. H. Biswas, B. Mainali, S. J. Park, P. Taylor, and P. Rempoulakis, “Electrophysiological Responses to Cuelure of Raspberry Ketone-Fed Queensland Fruit Flies,” </w:t>
      </w:r>
      <w:r w:rsidRPr="0093659C">
        <w:rPr>
          <w:rFonts w:cs="Times New Roman"/>
          <w:i/>
          <w:iCs/>
        </w:rPr>
        <w:t>J. Econ. Entomol.</w:t>
      </w:r>
      <w:r w:rsidRPr="0093659C">
        <w:rPr>
          <w:rFonts w:cs="Times New Roman"/>
        </w:rPr>
        <w:t>, vol. 113, no. 6, pp. 2832–2839, Dec. 2020, doi: 10.1093/jee/toaa242.</w:t>
      </w:r>
    </w:p>
    <w:p w14:paraId="5F840152" w14:textId="77777777" w:rsidR="0093659C" w:rsidRPr="0093659C" w:rsidRDefault="0093659C" w:rsidP="0093659C">
      <w:pPr>
        <w:pStyle w:val="Bibliography"/>
        <w:tabs>
          <w:tab w:val="clear" w:pos="384"/>
          <w:tab w:val="left" w:pos="540"/>
        </w:tabs>
        <w:ind w:left="540" w:hanging="540"/>
        <w:jc w:val="both"/>
        <w:rPr>
          <w:rFonts w:cs="Times New Roman"/>
        </w:rPr>
      </w:pPr>
      <w:r w:rsidRPr="0093659C">
        <w:rPr>
          <w:rFonts w:cs="Times New Roman"/>
        </w:rPr>
        <w:t>[47]</w:t>
      </w:r>
      <w:r w:rsidRPr="0093659C">
        <w:rPr>
          <w:rFonts w:cs="Times New Roman"/>
        </w:rPr>
        <w:tab/>
        <w:t xml:space="preserve">D. Lee, N. D. R. Lloyd, I. S. Pretorius, and A. R. Borneman, “Heterologous production of raspberry ketone in the wine yeast Saccharomyces cerevisiae via pathway engineering and synthetic enzyme fusion,” </w:t>
      </w:r>
      <w:r w:rsidRPr="0093659C">
        <w:rPr>
          <w:rFonts w:cs="Times New Roman"/>
          <w:i/>
          <w:iCs/>
        </w:rPr>
        <w:t>Microb. Cell Factories</w:t>
      </w:r>
      <w:r w:rsidRPr="0093659C">
        <w:rPr>
          <w:rFonts w:cs="Times New Roman"/>
        </w:rPr>
        <w:t>, vol. 15, no. 1, p. 49, Dec. 2016, doi: 10.1186/s12934-016-0446-2.</w:t>
      </w:r>
    </w:p>
    <w:p w14:paraId="6633862C" w14:textId="77777777" w:rsidR="0093659C" w:rsidRPr="0093659C" w:rsidRDefault="0093659C" w:rsidP="0093659C">
      <w:pPr>
        <w:pStyle w:val="Bibliography"/>
        <w:tabs>
          <w:tab w:val="clear" w:pos="384"/>
          <w:tab w:val="left" w:pos="540"/>
        </w:tabs>
        <w:ind w:left="540" w:hanging="540"/>
        <w:jc w:val="both"/>
        <w:rPr>
          <w:rFonts w:cs="Times New Roman"/>
        </w:rPr>
      </w:pPr>
      <w:r w:rsidRPr="0093659C">
        <w:rPr>
          <w:rFonts w:cs="Times New Roman"/>
        </w:rPr>
        <w:t>[48]</w:t>
      </w:r>
      <w:r w:rsidRPr="0093659C">
        <w:rPr>
          <w:rFonts w:cs="Times New Roman"/>
        </w:rPr>
        <w:tab/>
        <w:t xml:space="preserve">N. Harada, K. Okajima, N. Narimatsu, H. Kurihara, and N. Nakagata, “Effect of topical application of raspberry ketone on dermal production of insulin-like growth factor-I in mice and on hair growth and skin elasticity in humans,” </w:t>
      </w:r>
      <w:r w:rsidRPr="0093659C">
        <w:rPr>
          <w:rFonts w:cs="Times New Roman"/>
          <w:i/>
          <w:iCs/>
        </w:rPr>
        <w:t>Growth Horm. IGF Res.</w:t>
      </w:r>
      <w:r w:rsidRPr="0093659C">
        <w:rPr>
          <w:rFonts w:cs="Times New Roman"/>
        </w:rPr>
        <w:t>, vol. 18, no. 4, pp. 335–344, Aug. 2008, doi: 10.1016/j.ghir.2008.01.005.</w:t>
      </w:r>
    </w:p>
    <w:p w14:paraId="61AF2897" w14:textId="77777777" w:rsidR="0093659C" w:rsidRPr="0093659C" w:rsidRDefault="0093659C" w:rsidP="0093659C">
      <w:pPr>
        <w:pStyle w:val="Bibliography"/>
        <w:tabs>
          <w:tab w:val="clear" w:pos="384"/>
          <w:tab w:val="left" w:pos="540"/>
        </w:tabs>
        <w:ind w:left="540" w:hanging="540"/>
        <w:jc w:val="both"/>
        <w:rPr>
          <w:rFonts w:cs="Times New Roman"/>
        </w:rPr>
      </w:pPr>
      <w:r w:rsidRPr="0093659C">
        <w:rPr>
          <w:rFonts w:cs="Times New Roman"/>
        </w:rPr>
        <w:t>[49]</w:t>
      </w:r>
      <w:r w:rsidRPr="0093659C">
        <w:rPr>
          <w:rFonts w:cs="Times New Roman"/>
        </w:rPr>
        <w:tab/>
        <w:t xml:space="preserve">C. P. Barragán-Álvarez </w:t>
      </w:r>
      <w:r w:rsidRPr="0093659C">
        <w:rPr>
          <w:rFonts w:cs="Times New Roman"/>
          <w:i/>
          <w:iCs/>
        </w:rPr>
        <w:t>et al.</w:t>
      </w:r>
      <w:r w:rsidRPr="0093659C">
        <w:rPr>
          <w:rFonts w:cs="Times New Roman"/>
        </w:rPr>
        <w:t xml:space="preserve">, “Recent advances in the use of CRISPR/Cas for understanding the early development of molecular gaps in glial cells,” </w:t>
      </w:r>
      <w:r w:rsidRPr="0093659C">
        <w:rPr>
          <w:rFonts w:cs="Times New Roman"/>
          <w:i/>
          <w:iCs/>
        </w:rPr>
        <w:t>Front. Cell Dev. Biol.</w:t>
      </w:r>
      <w:r w:rsidRPr="0093659C">
        <w:rPr>
          <w:rFonts w:cs="Times New Roman"/>
        </w:rPr>
        <w:t>, vol. 10, p. 947769, Sep. 2022, doi: 10.3389/fcell.2022.947769.</w:t>
      </w:r>
    </w:p>
    <w:p w14:paraId="17B50432" w14:textId="77777777" w:rsidR="0093659C" w:rsidRPr="0093659C" w:rsidRDefault="0093659C" w:rsidP="0093659C">
      <w:pPr>
        <w:pStyle w:val="Bibliography"/>
        <w:tabs>
          <w:tab w:val="clear" w:pos="384"/>
          <w:tab w:val="left" w:pos="540"/>
        </w:tabs>
        <w:ind w:left="540" w:hanging="540"/>
        <w:jc w:val="both"/>
        <w:rPr>
          <w:rFonts w:cs="Times New Roman"/>
        </w:rPr>
      </w:pPr>
      <w:r w:rsidRPr="0093659C">
        <w:rPr>
          <w:rFonts w:cs="Times New Roman"/>
        </w:rPr>
        <w:t>[50]</w:t>
      </w:r>
      <w:r w:rsidRPr="0093659C">
        <w:rPr>
          <w:rFonts w:cs="Times New Roman"/>
        </w:rPr>
        <w:tab/>
        <w:t xml:space="preserve">H. Guo, S. Chang, L. Jia, Z. Wang, Q. Zhang, and G. Zhang, “Advances in the synthesis and applications of raspberry ketone: A review,” </w:t>
      </w:r>
      <w:r w:rsidRPr="0093659C">
        <w:rPr>
          <w:rFonts w:cs="Times New Roman"/>
          <w:i/>
          <w:iCs/>
        </w:rPr>
        <w:t>Flavour Fragr. J.</w:t>
      </w:r>
      <w:r w:rsidRPr="0093659C">
        <w:rPr>
          <w:rFonts w:cs="Times New Roman"/>
        </w:rPr>
        <w:t>, vol. 36, no. 6, pp. 615–625, Nov. 2021, doi: 10.1002/ffj.3678.</w:t>
      </w:r>
    </w:p>
    <w:p w14:paraId="166EB5C1" w14:textId="77777777" w:rsidR="0093659C" w:rsidRPr="0093659C" w:rsidRDefault="0093659C" w:rsidP="0093659C">
      <w:pPr>
        <w:pStyle w:val="Bibliography"/>
        <w:tabs>
          <w:tab w:val="clear" w:pos="384"/>
          <w:tab w:val="left" w:pos="540"/>
        </w:tabs>
        <w:ind w:left="540" w:hanging="540"/>
        <w:jc w:val="both"/>
        <w:rPr>
          <w:rFonts w:cs="Times New Roman"/>
        </w:rPr>
      </w:pPr>
      <w:r w:rsidRPr="0093659C">
        <w:rPr>
          <w:rFonts w:cs="Times New Roman"/>
        </w:rPr>
        <w:t>[51]</w:t>
      </w:r>
      <w:r w:rsidRPr="0093659C">
        <w:rPr>
          <w:rFonts w:cs="Times New Roman"/>
        </w:rPr>
        <w:tab/>
        <w:t xml:space="preserve">Y. Zhang, K.-L. Goh, V. Zivkovic, Y. L. Ng, and Y. Chow, “Bioproduction of high-value raspberry ketone by submerged fermentation of Nidula niveo-tomentosa,” </w:t>
      </w:r>
      <w:r w:rsidRPr="0093659C">
        <w:rPr>
          <w:rFonts w:cs="Times New Roman"/>
          <w:i/>
          <w:iCs/>
        </w:rPr>
        <w:t>Process Biochem.</w:t>
      </w:r>
      <w:r w:rsidRPr="0093659C">
        <w:rPr>
          <w:rFonts w:cs="Times New Roman"/>
        </w:rPr>
        <w:t>, vol. 144, pp. 168–178, Sep. 2024, doi: 10.1016/j.procbio.2024.05.029.</w:t>
      </w:r>
    </w:p>
    <w:p w14:paraId="21A8767F" w14:textId="097D9D23" w:rsidR="00E51E50" w:rsidRDefault="00E51E50" w:rsidP="008E1E0C">
      <w:pPr>
        <w:spacing w:line="360" w:lineRule="auto"/>
      </w:pPr>
      <w:r>
        <w:lastRenderedPageBreak/>
        <w:fldChar w:fldCharType="end"/>
      </w:r>
    </w:p>
    <w:p w14:paraId="54A89A59" w14:textId="77777777" w:rsidR="00837043" w:rsidRDefault="00837043" w:rsidP="008E1E0C">
      <w:pPr>
        <w:spacing w:line="360" w:lineRule="auto"/>
      </w:pPr>
    </w:p>
    <w:p w14:paraId="2FF1D656" w14:textId="77777777" w:rsidR="00837043" w:rsidRDefault="00837043" w:rsidP="008E1E0C">
      <w:pPr>
        <w:spacing w:line="360" w:lineRule="auto"/>
      </w:pPr>
    </w:p>
    <w:p w14:paraId="64ABF87A" w14:textId="77777777" w:rsidR="006A6AB7" w:rsidRDefault="006A6AB7" w:rsidP="008E1E0C">
      <w:pPr>
        <w:spacing w:line="360" w:lineRule="auto"/>
      </w:pPr>
    </w:p>
    <w:p w14:paraId="1FC52EF6" w14:textId="77777777" w:rsidR="006A6AB7" w:rsidRPr="00BF3525" w:rsidRDefault="006A6AB7" w:rsidP="008E1E0C">
      <w:pPr>
        <w:spacing w:line="360" w:lineRule="auto"/>
      </w:pPr>
    </w:p>
    <w:sectPr w:rsidR="006A6AB7" w:rsidRPr="00BF3525">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3D7939" w14:textId="77777777" w:rsidR="005E4D65" w:rsidRDefault="005E4D65" w:rsidP="004855E8">
      <w:pPr>
        <w:spacing w:line="240" w:lineRule="auto"/>
      </w:pPr>
      <w:r>
        <w:separator/>
      </w:r>
    </w:p>
  </w:endnote>
  <w:endnote w:type="continuationSeparator" w:id="0">
    <w:p w14:paraId="5B952CDB" w14:textId="77777777" w:rsidR="005E4D65" w:rsidRDefault="005E4D65" w:rsidP="004855E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6D98FE" w14:textId="77777777" w:rsidR="004855E8" w:rsidRDefault="004855E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8B4700" w14:textId="77777777" w:rsidR="004855E8" w:rsidRDefault="004855E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A05085" w14:textId="77777777" w:rsidR="004855E8" w:rsidRDefault="004855E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319FED" w14:textId="77777777" w:rsidR="005E4D65" w:rsidRDefault="005E4D65" w:rsidP="004855E8">
      <w:pPr>
        <w:spacing w:line="240" w:lineRule="auto"/>
      </w:pPr>
      <w:r>
        <w:separator/>
      </w:r>
    </w:p>
  </w:footnote>
  <w:footnote w:type="continuationSeparator" w:id="0">
    <w:p w14:paraId="06844AEF" w14:textId="77777777" w:rsidR="005E4D65" w:rsidRDefault="005E4D65" w:rsidP="004855E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0F6809" w14:textId="77EFBA41" w:rsidR="004855E8" w:rsidRDefault="005E4D65">
    <w:pPr>
      <w:pStyle w:val="Header"/>
    </w:pPr>
    <w:r>
      <w:rPr>
        <w:noProof/>
      </w:rPr>
      <w:pict w14:anchorId="5751CB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5358126"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396387" w14:textId="205B2E65" w:rsidR="004855E8" w:rsidRDefault="005E4D65">
    <w:pPr>
      <w:pStyle w:val="Header"/>
    </w:pPr>
    <w:r>
      <w:rPr>
        <w:noProof/>
      </w:rPr>
      <w:pict w14:anchorId="789C54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5358127"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6D277F" w14:textId="1C0AD289" w:rsidR="004855E8" w:rsidRDefault="005E4D65">
    <w:pPr>
      <w:pStyle w:val="Header"/>
    </w:pPr>
    <w:r>
      <w:rPr>
        <w:noProof/>
      </w:rPr>
      <w:pict w14:anchorId="7D6162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5358125"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525"/>
    <w:rsid w:val="00030F15"/>
    <w:rsid w:val="000316E9"/>
    <w:rsid w:val="000532E1"/>
    <w:rsid w:val="00085FE0"/>
    <w:rsid w:val="000A4D83"/>
    <w:rsid w:val="000B0EDD"/>
    <w:rsid w:val="000D22EB"/>
    <w:rsid w:val="000F2671"/>
    <w:rsid w:val="000F50E7"/>
    <w:rsid w:val="00111139"/>
    <w:rsid w:val="00121BEE"/>
    <w:rsid w:val="00126652"/>
    <w:rsid w:val="001268BB"/>
    <w:rsid w:val="0013298D"/>
    <w:rsid w:val="001408CF"/>
    <w:rsid w:val="001547CC"/>
    <w:rsid w:val="00156251"/>
    <w:rsid w:val="001740E0"/>
    <w:rsid w:val="00177845"/>
    <w:rsid w:val="00180BD7"/>
    <w:rsid w:val="001823C5"/>
    <w:rsid w:val="001A6EA9"/>
    <w:rsid w:val="001B4B16"/>
    <w:rsid w:val="001B6BE4"/>
    <w:rsid w:val="001C041B"/>
    <w:rsid w:val="001E70B6"/>
    <w:rsid w:val="002329C9"/>
    <w:rsid w:val="00243079"/>
    <w:rsid w:val="00270AB9"/>
    <w:rsid w:val="0027736D"/>
    <w:rsid w:val="0029047D"/>
    <w:rsid w:val="00291992"/>
    <w:rsid w:val="002A16B6"/>
    <w:rsid w:val="002B0354"/>
    <w:rsid w:val="002B440F"/>
    <w:rsid w:val="002D2201"/>
    <w:rsid w:val="002D722D"/>
    <w:rsid w:val="002F46E0"/>
    <w:rsid w:val="002F4BEF"/>
    <w:rsid w:val="00356385"/>
    <w:rsid w:val="00361B3D"/>
    <w:rsid w:val="003679B5"/>
    <w:rsid w:val="003714A8"/>
    <w:rsid w:val="00393ABB"/>
    <w:rsid w:val="003B497A"/>
    <w:rsid w:val="003B4CD6"/>
    <w:rsid w:val="003C4EF4"/>
    <w:rsid w:val="003D5B94"/>
    <w:rsid w:val="003E5D1C"/>
    <w:rsid w:val="003E7661"/>
    <w:rsid w:val="003E7FCB"/>
    <w:rsid w:val="003F0AB2"/>
    <w:rsid w:val="003F15CD"/>
    <w:rsid w:val="003F7282"/>
    <w:rsid w:val="004070B6"/>
    <w:rsid w:val="00467813"/>
    <w:rsid w:val="004855E8"/>
    <w:rsid w:val="004A5FFD"/>
    <w:rsid w:val="004E4B31"/>
    <w:rsid w:val="00506A47"/>
    <w:rsid w:val="00517907"/>
    <w:rsid w:val="005637AA"/>
    <w:rsid w:val="00571EC4"/>
    <w:rsid w:val="00577D75"/>
    <w:rsid w:val="00592380"/>
    <w:rsid w:val="005A5FD0"/>
    <w:rsid w:val="005B53A4"/>
    <w:rsid w:val="005C487E"/>
    <w:rsid w:val="005D6A66"/>
    <w:rsid w:val="005E4D65"/>
    <w:rsid w:val="00610EF6"/>
    <w:rsid w:val="006255D7"/>
    <w:rsid w:val="006446CD"/>
    <w:rsid w:val="0065235A"/>
    <w:rsid w:val="00653ADF"/>
    <w:rsid w:val="00691D35"/>
    <w:rsid w:val="00693380"/>
    <w:rsid w:val="006A6AB7"/>
    <w:rsid w:val="006D154A"/>
    <w:rsid w:val="006D2185"/>
    <w:rsid w:val="006E70D2"/>
    <w:rsid w:val="006F3A57"/>
    <w:rsid w:val="00710D3E"/>
    <w:rsid w:val="00713790"/>
    <w:rsid w:val="00727196"/>
    <w:rsid w:val="007625BD"/>
    <w:rsid w:val="00767824"/>
    <w:rsid w:val="007A4ADA"/>
    <w:rsid w:val="007B04B9"/>
    <w:rsid w:val="007F5AFF"/>
    <w:rsid w:val="008046C0"/>
    <w:rsid w:val="00821995"/>
    <w:rsid w:val="00837043"/>
    <w:rsid w:val="00874251"/>
    <w:rsid w:val="00877B19"/>
    <w:rsid w:val="00886E36"/>
    <w:rsid w:val="00892809"/>
    <w:rsid w:val="008B2301"/>
    <w:rsid w:val="008C3A45"/>
    <w:rsid w:val="008E1E0C"/>
    <w:rsid w:val="00913F21"/>
    <w:rsid w:val="0093146C"/>
    <w:rsid w:val="0093659C"/>
    <w:rsid w:val="009406FC"/>
    <w:rsid w:val="0094700F"/>
    <w:rsid w:val="00974C03"/>
    <w:rsid w:val="00985BAD"/>
    <w:rsid w:val="00987019"/>
    <w:rsid w:val="00990703"/>
    <w:rsid w:val="00991A49"/>
    <w:rsid w:val="009A1414"/>
    <w:rsid w:val="009B55F8"/>
    <w:rsid w:val="009D594D"/>
    <w:rsid w:val="009D5E19"/>
    <w:rsid w:val="00A06F66"/>
    <w:rsid w:val="00A12D5D"/>
    <w:rsid w:val="00A24A7D"/>
    <w:rsid w:val="00A30D7F"/>
    <w:rsid w:val="00A327EE"/>
    <w:rsid w:val="00A359E9"/>
    <w:rsid w:val="00A430D9"/>
    <w:rsid w:val="00A53473"/>
    <w:rsid w:val="00A84282"/>
    <w:rsid w:val="00AA137E"/>
    <w:rsid w:val="00AA3D2F"/>
    <w:rsid w:val="00AA511F"/>
    <w:rsid w:val="00AB560A"/>
    <w:rsid w:val="00AE4633"/>
    <w:rsid w:val="00AF0294"/>
    <w:rsid w:val="00AF76DA"/>
    <w:rsid w:val="00B16A9B"/>
    <w:rsid w:val="00B37E0A"/>
    <w:rsid w:val="00B40B5A"/>
    <w:rsid w:val="00B70D33"/>
    <w:rsid w:val="00B8116F"/>
    <w:rsid w:val="00BC6281"/>
    <w:rsid w:val="00BF3525"/>
    <w:rsid w:val="00C22A5E"/>
    <w:rsid w:val="00C3230D"/>
    <w:rsid w:val="00C476C7"/>
    <w:rsid w:val="00C520DB"/>
    <w:rsid w:val="00C52382"/>
    <w:rsid w:val="00C53C76"/>
    <w:rsid w:val="00C57CE9"/>
    <w:rsid w:val="00C603FC"/>
    <w:rsid w:val="00C876B9"/>
    <w:rsid w:val="00CB5B2E"/>
    <w:rsid w:val="00CC5C07"/>
    <w:rsid w:val="00CF6E50"/>
    <w:rsid w:val="00D141E7"/>
    <w:rsid w:val="00D20AE2"/>
    <w:rsid w:val="00D578C2"/>
    <w:rsid w:val="00D60627"/>
    <w:rsid w:val="00D76D01"/>
    <w:rsid w:val="00D85237"/>
    <w:rsid w:val="00D94ABB"/>
    <w:rsid w:val="00DC49C0"/>
    <w:rsid w:val="00E07734"/>
    <w:rsid w:val="00E159F8"/>
    <w:rsid w:val="00E20D91"/>
    <w:rsid w:val="00E20E04"/>
    <w:rsid w:val="00E24AAE"/>
    <w:rsid w:val="00E35D4A"/>
    <w:rsid w:val="00E37F57"/>
    <w:rsid w:val="00E51E50"/>
    <w:rsid w:val="00E657A6"/>
    <w:rsid w:val="00E65F7B"/>
    <w:rsid w:val="00E7550E"/>
    <w:rsid w:val="00E94DBF"/>
    <w:rsid w:val="00E962D0"/>
    <w:rsid w:val="00E969AA"/>
    <w:rsid w:val="00EA3FD2"/>
    <w:rsid w:val="00EB3537"/>
    <w:rsid w:val="00ED40C8"/>
    <w:rsid w:val="00EF543A"/>
    <w:rsid w:val="00F02E7D"/>
    <w:rsid w:val="00F03816"/>
    <w:rsid w:val="00F203BA"/>
    <w:rsid w:val="00F22719"/>
    <w:rsid w:val="00F24FFB"/>
    <w:rsid w:val="00F26515"/>
    <w:rsid w:val="00F307B9"/>
    <w:rsid w:val="00F32CED"/>
    <w:rsid w:val="00F362EB"/>
    <w:rsid w:val="00F71253"/>
    <w:rsid w:val="00F973D0"/>
    <w:rsid w:val="00F97D29"/>
    <w:rsid w:val="00FA1D27"/>
    <w:rsid w:val="00FA65F6"/>
    <w:rsid w:val="00FB12E9"/>
    <w:rsid w:val="00FC32B2"/>
    <w:rsid w:val="00FC5D15"/>
    <w:rsid w:val="00FD4E87"/>
    <w:rsid w:val="00FF4B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EF9D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69AA"/>
    <w:pPr>
      <w:spacing w:after="0"/>
    </w:pPr>
    <w:rPr>
      <w:rFonts w:ascii="Times New Roman" w:hAnsi="Times New Roman"/>
    </w:rPr>
  </w:style>
  <w:style w:type="paragraph" w:styleId="Heading1">
    <w:name w:val="heading 1"/>
    <w:basedOn w:val="Normal"/>
    <w:next w:val="Normal"/>
    <w:link w:val="Heading1Char"/>
    <w:uiPriority w:val="9"/>
    <w:qFormat/>
    <w:rsid w:val="00E969AA"/>
    <w:pPr>
      <w:keepNext/>
      <w:keepLines/>
      <w:spacing w:before="360" w:after="80"/>
      <w:outlineLvl w:val="0"/>
    </w:pPr>
    <w:rPr>
      <w:rFonts w:eastAsiaTheme="majorEastAsia"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969AA"/>
    <w:pPr>
      <w:keepNext/>
      <w:keepLines/>
      <w:spacing w:before="160" w:after="80"/>
      <w:outlineLvl w:val="1"/>
    </w:pPr>
    <w:rPr>
      <w:rFonts w:eastAsiaTheme="majorEastAsia"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F3525"/>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F3525"/>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F3525"/>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BF3525"/>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BF3525"/>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BF3525"/>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BF3525"/>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69AA"/>
    <w:rPr>
      <w:rFonts w:ascii="Times New Roman" w:eastAsiaTheme="majorEastAsia" w:hAnsi="Times New Roman"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969AA"/>
    <w:rPr>
      <w:rFonts w:ascii="Times New Roman" w:eastAsiaTheme="majorEastAsia" w:hAnsi="Times New Roman" w:cstheme="majorBidi"/>
      <w:color w:val="2F5496" w:themeColor="accent1" w:themeShade="BF"/>
      <w:sz w:val="32"/>
      <w:szCs w:val="32"/>
    </w:rPr>
  </w:style>
  <w:style w:type="paragraph" w:styleId="Title">
    <w:name w:val="Title"/>
    <w:basedOn w:val="Normal"/>
    <w:next w:val="Normal"/>
    <w:link w:val="TitleChar"/>
    <w:uiPriority w:val="10"/>
    <w:qFormat/>
    <w:rsid w:val="00E969AA"/>
    <w:pPr>
      <w:spacing w:after="8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E969AA"/>
    <w:rPr>
      <w:rFonts w:ascii="Times New Roman" w:eastAsiaTheme="majorEastAsia" w:hAnsi="Times New Roman" w:cstheme="majorBidi"/>
      <w:spacing w:val="-10"/>
      <w:kern w:val="28"/>
      <w:sz w:val="56"/>
      <w:szCs w:val="56"/>
    </w:rPr>
  </w:style>
  <w:style w:type="paragraph" w:styleId="Subtitle">
    <w:name w:val="Subtitle"/>
    <w:basedOn w:val="Normal"/>
    <w:next w:val="Normal"/>
    <w:link w:val="SubtitleChar"/>
    <w:uiPriority w:val="11"/>
    <w:qFormat/>
    <w:rsid w:val="00E969AA"/>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969AA"/>
    <w:rPr>
      <w:rFonts w:eastAsiaTheme="majorEastAsia" w:cstheme="majorBidi"/>
      <w:color w:val="595959" w:themeColor="text1" w:themeTint="A6"/>
      <w:spacing w:val="15"/>
      <w:sz w:val="28"/>
      <w:szCs w:val="28"/>
    </w:rPr>
  </w:style>
  <w:style w:type="character" w:customStyle="1" w:styleId="Heading3Char">
    <w:name w:val="Heading 3 Char"/>
    <w:basedOn w:val="DefaultParagraphFont"/>
    <w:link w:val="Heading3"/>
    <w:uiPriority w:val="9"/>
    <w:semiHidden/>
    <w:rsid w:val="00BF352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F352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F352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F352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F352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F352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F3525"/>
    <w:rPr>
      <w:rFonts w:eastAsiaTheme="majorEastAsia" w:cstheme="majorBidi"/>
      <w:color w:val="272727" w:themeColor="text1" w:themeTint="D8"/>
    </w:rPr>
  </w:style>
  <w:style w:type="paragraph" w:styleId="Quote">
    <w:name w:val="Quote"/>
    <w:basedOn w:val="Normal"/>
    <w:next w:val="Normal"/>
    <w:link w:val="QuoteChar"/>
    <w:uiPriority w:val="29"/>
    <w:qFormat/>
    <w:rsid w:val="00BF352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F3525"/>
    <w:rPr>
      <w:rFonts w:ascii="Times New Roman" w:hAnsi="Times New Roman"/>
      <w:i/>
      <w:iCs/>
      <w:color w:val="404040" w:themeColor="text1" w:themeTint="BF"/>
    </w:rPr>
  </w:style>
  <w:style w:type="paragraph" w:styleId="ListParagraph">
    <w:name w:val="List Paragraph"/>
    <w:basedOn w:val="Normal"/>
    <w:uiPriority w:val="34"/>
    <w:qFormat/>
    <w:rsid w:val="00BF3525"/>
    <w:pPr>
      <w:ind w:left="720"/>
      <w:contextualSpacing/>
    </w:pPr>
  </w:style>
  <w:style w:type="character" w:styleId="IntenseEmphasis">
    <w:name w:val="Intense Emphasis"/>
    <w:basedOn w:val="DefaultParagraphFont"/>
    <w:uiPriority w:val="21"/>
    <w:qFormat/>
    <w:rsid w:val="00BF3525"/>
    <w:rPr>
      <w:i/>
      <w:iCs/>
      <w:color w:val="2F5496" w:themeColor="accent1" w:themeShade="BF"/>
    </w:rPr>
  </w:style>
  <w:style w:type="paragraph" w:styleId="IntenseQuote">
    <w:name w:val="Intense Quote"/>
    <w:basedOn w:val="Normal"/>
    <w:next w:val="Normal"/>
    <w:link w:val="IntenseQuoteChar"/>
    <w:uiPriority w:val="30"/>
    <w:qFormat/>
    <w:rsid w:val="00BF352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F3525"/>
    <w:rPr>
      <w:rFonts w:ascii="Times New Roman" w:hAnsi="Times New Roman"/>
      <w:i/>
      <w:iCs/>
      <w:color w:val="2F5496" w:themeColor="accent1" w:themeShade="BF"/>
    </w:rPr>
  </w:style>
  <w:style w:type="character" w:styleId="IntenseReference">
    <w:name w:val="Intense Reference"/>
    <w:basedOn w:val="DefaultParagraphFont"/>
    <w:uiPriority w:val="32"/>
    <w:qFormat/>
    <w:rsid w:val="00BF3525"/>
    <w:rPr>
      <w:b/>
      <w:bCs/>
      <w:smallCaps/>
      <w:color w:val="2F5496" w:themeColor="accent1" w:themeShade="BF"/>
      <w:spacing w:val="5"/>
    </w:rPr>
  </w:style>
  <w:style w:type="character" w:styleId="Hyperlink">
    <w:name w:val="Hyperlink"/>
    <w:basedOn w:val="DefaultParagraphFont"/>
    <w:uiPriority w:val="99"/>
    <w:unhideWhenUsed/>
    <w:rsid w:val="00B70D33"/>
    <w:rPr>
      <w:color w:val="0563C1" w:themeColor="hyperlink"/>
      <w:u w:val="single"/>
    </w:rPr>
  </w:style>
  <w:style w:type="character" w:customStyle="1" w:styleId="UnresolvedMention">
    <w:name w:val="Unresolved Mention"/>
    <w:basedOn w:val="DefaultParagraphFont"/>
    <w:uiPriority w:val="99"/>
    <w:semiHidden/>
    <w:unhideWhenUsed/>
    <w:rsid w:val="00B70D33"/>
    <w:rPr>
      <w:color w:val="605E5C"/>
      <w:shd w:val="clear" w:color="auto" w:fill="E1DFDD"/>
    </w:rPr>
  </w:style>
  <w:style w:type="paragraph" w:styleId="Bibliography">
    <w:name w:val="Bibliography"/>
    <w:basedOn w:val="Normal"/>
    <w:next w:val="Normal"/>
    <w:uiPriority w:val="37"/>
    <w:unhideWhenUsed/>
    <w:rsid w:val="00E51E50"/>
    <w:pPr>
      <w:tabs>
        <w:tab w:val="left" w:pos="384"/>
      </w:tabs>
      <w:spacing w:line="240" w:lineRule="auto"/>
      <w:ind w:left="384" w:hanging="384"/>
    </w:pPr>
  </w:style>
  <w:style w:type="paragraph" w:styleId="CommentText">
    <w:name w:val="annotation text"/>
    <w:basedOn w:val="Normal"/>
    <w:link w:val="CommentTextChar"/>
    <w:uiPriority w:val="99"/>
    <w:semiHidden/>
    <w:unhideWhenUsed/>
    <w:rsid w:val="0093659C"/>
    <w:pPr>
      <w:spacing w:after="160"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93659C"/>
    <w:rPr>
      <w:sz w:val="20"/>
      <w:szCs w:val="20"/>
    </w:rPr>
  </w:style>
  <w:style w:type="character" w:styleId="CommentReference">
    <w:name w:val="annotation reference"/>
    <w:basedOn w:val="DefaultParagraphFont"/>
    <w:uiPriority w:val="99"/>
    <w:semiHidden/>
    <w:unhideWhenUsed/>
    <w:rsid w:val="0093659C"/>
    <w:rPr>
      <w:sz w:val="16"/>
      <w:szCs w:val="16"/>
    </w:rPr>
  </w:style>
  <w:style w:type="paragraph" w:styleId="Header">
    <w:name w:val="header"/>
    <w:basedOn w:val="Normal"/>
    <w:link w:val="HeaderChar"/>
    <w:uiPriority w:val="99"/>
    <w:unhideWhenUsed/>
    <w:rsid w:val="004855E8"/>
    <w:pPr>
      <w:tabs>
        <w:tab w:val="center" w:pos="4680"/>
        <w:tab w:val="right" w:pos="9360"/>
      </w:tabs>
      <w:spacing w:line="240" w:lineRule="auto"/>
    </w:pPr>
  </w:style>
  <w:style w:type="character" w:customStyle="1" w:styleId="HeaderChar">
    <w:name w:val="Header Char"/>
    <w:basedOn w:val="DefaultParagraphFont"/>
    <w:link w:val="Header"/>
    <w:uiPriority w:val="99"/>
    <w:rsid w:val="004855E8"/>
    <w:rPr>
      <w:rFonts w:ascii="Times New Roman" w:hAnsi="Times New Roman"/>
    </w:rPr>
  </w:style>
  <w:style w:type="paragraph" w:styleId="Footer">
    <w:name w:val="footer"/>
    <w:basedOn w:val="Normal"/>
    <w:link w:val="FooterChar"/>
    <w:uiPriority w:val="99"/>
    <w:unhideWhenUsed/>
    <w:rsid w:val="004855E8"/>
    <w:pPr>
      <w:tabs>
        <w:tab w:val="center" w:pos="4680"/>
        <w:tab w:val="right" w:pos="9360"/>
      </w:tabs>
      <w:spacing w:line="240" w:lineRule="auto"/>
    </w:pPr>
  </w:style>
  <w:style w:type="character" w:customStyle="1" w:styleId="FooterChar">
    <w:name w:val="Footer Char"/>
    <w:basedOn w:val="DefaultParagraphFont"/>
    <w:link w:val="Footer"/>
    <w:uiPriority w:val="99"/>
    <w:rsid w:val="004855E8"/>
    <w:rPr>
      <w:rFonts w:ascii="Times New Roman" w:hAnsi="Times New Roman"/>
    </w:rPr>
  </w:style>
  <w:style w:type="paragraph" w:styleId="BalloonText">
    <w:name w:val="Balloon Text"/>
    <w:basedOn w:val="Normal"/>
    <w:link w:val="BalloonTextChar"/>
    <w:uiPriority w:val="99"/>
    <w:semiHidden/>
    <w:unhideWhenUsed/>
    <w:rsid w:val="00ED40C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40C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69AA"/>
    <w:pPr>
      <w:spacing w:after="0"/>
    </w:pPr>
    <w:rPr>
      <w:rFonts w:ascii="Times New Roman" w:hAnsi="Times New Roman"/>
    </w:rPr>
  </w:style>
  <w:style w:type="paragraph" w:styleId="Heading1">
    <w:name w:val="heading 1"/>
    <w:basedOn w:val="Normal"/>
    <w:next w:val="Normal"/>
    <w:link w:val="Heading1Char"/>
    <w:uiPriority w:val="9"/>
    <w:qFormat/>
    <w:rsid w:val="00E969AA"/>
    <w:pPr>
      <w:keepNext/>
      <w:keepLines/>
      <w:spacing w:before="360" w:after="80"/>
      <w:outlineLvl w:val="0"/>
    </w:pPr>
    <w:rPr>
      <w:rFonts w:eastAsiaTheme="majorEastAsia"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969AA"/>
    <w:pPr>
      <w:keepNext/>
      <w:keepLines/>
      <w:spacing w:before="160" w:after="80"/>
      <w:outlineLvl w:val="1"/>
    </w:pPr>
    <w:rPr>
      <w:rFonts w:eastAsiaTheme="majorEastAsia"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F3525"/>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F3525"/>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F3525"/>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BF3525"/>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BF3525"/>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BF3525"/>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BF3525"/>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69AA"/>
    <w:rPr>
      <w:rFonts w:ascii="Times New Roman" w:eastAsiaTheme="majorEastAsia" w:hAnsi="Times New Roman"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969AA"/>
    <w:rPr>
      <w:rFonts w:ascii="Times New Roman" w:eastAsiaTheme="majorEastAsia" w:hAnsi="Times New Roman" w:cstheme="majorBidi"/>
      <w:color w:val="2F5496" w:themeColor="accent1" w:themeShade="BF"/>
      <w:sz w:val="32"/>
      <w:szCs w:val="32"/>
    </w:rPr>
  </w:style>
  <w:style w:type="paragraph" w:styleId="Title">
    <w:name w:val="Title"/>
    <w:basedOn w:val="Normal"/>
    <w:next w:val="Normal"/>
    <w:link w:val="TitleChar"/>
    <w:uiPriority w:val="10"/>
    <w:qFormat/>
    <w:rsid w:val="00E969AA"/>
    <w:pPr>
      <w:spacing w:after="8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E969AA"/>
    <w:rPr>
      <w:rFonts w:ascii="Times New Roman" w:eastAsiaTheme="majorEastAsia" w:hAnsi="Times New Roman" w:cstheme="majorBidi"/>
      <w:spacing w:val="-10"/>
      <w:kern w:val="28"/>
      <w:sz w:val="56"/>
      <w:szCs w:val="56"/>
    </w:rPr>
  </w:style>
  <w:style w:type="paragraph" w:styleId="Subtitle">
    <w:name w:val="Subtitle"/>
    <w:basedOn w:val="Normal"/>
    <w:next w:val="Normal"/>
    <w:link w:val="SubtitleChar"/>
    <w:uiPriority w:val="11"/>
    <w:qFormat/>
    <w:rsid w:val="00E969AA"/>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969AA"/>
    <w:rPr>
      <w:rFonts w:eastAsiaTheme="majorEastAsia" w:cstheme="majorBidi"/>
      <w:color w:val="595959" w:themeColor="text1" w:themeTint="A6"/>
      <w:spacing w:val="15"/>
      <w:sz w:val="28"/>
      <w:szCs w:val="28"/>
    </w:rPr>
  </w:style>
  <w:style w:type="character" w:customStyle="1" w:styleId="Heading3Char">
    <w:name w:val="Heading 3 Char"/>
    <w:basedOn w:val="DefaultParagraphFont"/>
    <w:link w:val="Heading3"/>
    <w:uiPriority w:val="9"/>
    <w:semiHidden/>
    <w:rsid w:val="00BF352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F352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F352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F352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F352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F352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F3525"/>
    <w:rPr>
      <w:rFonts w:eastAsiaTheme="majorEastAsia" w:cstheme="majorBidi"/>
      <w:color w:val="272727" w:themeColor="text1" w:themeTint="D8"/>
    </w:rPr>
  </w:style>
  <w:style w:type="paragraph" w:styleId="Quote">
    <w:name w:val="Quote"/>
    <w:basedOn w:val="Normal"/>
    <w:next w:val="Normal"/>
    <w:link w:val="QuoteChar"/>
    <w:uiPriority w:val="29"/>
    <w:qFormat/>
    <w:rsid w:val="00BF352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F3525"/>
    <w:rPr>
      <w:rFonts w:ascii="Times New Roman" w:hAnsi="Times New Roman"/>
      <w:i/>
      <w:iCs/>
      <w:color w:val="404040" w:themeColor="text1" w:themeTint="BF"/>
    </w:rPr>
  </w:style>
  <w:style w:type="paragraph" w:styleId="ListParagraph">
    <w:name w:val="List Paragraph"/>
    <w:basedOn w:val="Normal"/>
    <w:uiPriority w:val="34"/>
    <w:qFormat/>
    <w:rsid w:val="00BF3525"/>
    <w:pPr>
      <w:ind w:left="720"/>
      <w:contextualSpacing/>
    </w:pPr>
  </w:style>
  <w:style w:type="character" w:styleId="IntenseEmphasis">
    <w:name w:val="Intense Emphasis"/>
    <w:basedOn w:val="DefaultParagraphFont"/>
    <w:uiPriority w:val="21"/>
    <w:qFormat/>
    <w:rsid w:val="00BF3525"/>
    <w:rPr>
      <w:i/>
      <w:iCs/>
      <w:color w:val="2F5496" w:themeColor="accent1" w:themeShade="BF"/>
    </w:rPr>
  </w:style>
  <w:style w:type="paragraph" w:styleId="IntenseQuote">
    <w:name w:val="Intense Quote"/>
    <w:basedOn w:val="Normal"/>
    <w:next w:val="Normal"/>
    <w:link w:val="IntenseQuoteChar"/>
    <w:uiPriority w:val="30"/>
    <w:qFormat/>
    <w:rsid w:val="00BF352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F3525"/>
    <w:rPr>
      <w:rFonts w:ascii="Times New Roman" w:hAnsi="Times New Roman"/>
      <w:i/>
      <w:iCs/>
      <w:color w:val="2F5496" w:themeColor="accent1" w:themeShade="BF"/>
    </w:rPr>
  </w:style>
  <w:style w:type="character" w:styleId="IntenseReference">
    <w:name w:val="Intense Reference"/>
    <w:basedOn w:val="DefaultParagraphFont"/>
    <w:uiPriority w:val="32"/>
    <w:qFormat/>
    <w:rsid w:val="00BF3525"/>
    <w:rPr>
      <w:b/>
      <w:bCs/>
      <w:smallCaps/>
      <w:color w:val="2F5496" w:themeColor="accent1" w:themeShade="BF"/>
      <w:spacing w:val="5"/>
    </w:rPr>
  </w:style>
  <w:style w:type="character" w:styleId="Hyperlink">
    <w:name w:val="Hyperlink"/>
    <w:basedOn w:val="DefaultParagraphFont"/>
    <w:uiPriority w:val="99"/>
    <w:unhideWhenUsed/>
    <w:rsid w:val="00B70D33"/>
    <w:rPr>
      <w:color w:val="0563C1" w:themeColor="hyperlink"/>
      <w:u w:val="single"/>
    </w:rPr>
  </w:style>
  <w:style w:type="character" w:customStyle="1" w:styleId="UnresolvedMention">
    <w:name w:val="Unresolved Mention"/>
    <w:basedOn w:val="DefaultParagraphFont"/>
    <w:uiPriority w:val="99"/>
    <w:semiHidden/>
    <w:unhideWhenUsed/>
    <w:rsid w:val="00B70D33"/>
    <w:rPr>
      <w:color w:val="605E5C"/>
      <w:shd w:val="clear" w:color="auto" w:fill="E1DFDD"/>
    </w:rPr>
  </w:style>
  <w:style w:type="paragraph" w:styleId="Bibliography">
    <w:name w:val="Bibliography"/>
    <w:basedOn w:val="Normal"/>
    <w:next w:val="Normal"/>
    <w:uiPriority w:val="37"/>
    <w:unhideWhenUsed/>
    <w:rsid w:val="00E51E50"/>
    <w:pPr>
      <w:tabs>
        <w:tab w:val="left" w:pos="384"/>
      </w:tabs>
      <w:spacing w:line="240" w:lineRule="auto"/>
      <w:ind w:left="384" w:hanging="384"/>
    </w:pPr>
  </w:style>
  <w:style w:type="paragraph" w:styleId="CommentText">
    <w:name w:val="annotation text"/>
    <w:basedOn w:val="Normal"/>
    <w:link w:val="CommentTextChar"/>
    <w:uiPriority w:val="99"/>
    <w:semiHidden/>
    <w:unhideWhenUsed/>
    <w:rsid w:val="0093659C"/>
    <w:pPr>
      <w:spacing w:after="160"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93659C"/>
    <w:rPr>
      <w:sz w:val="20"/>
      <w:szCs w:val="20"/>
    </w:rPr>
  </w:style>
  <w:style w:type="character" w:styleId="CommentReference">
    <w:name w:val="annotation reference"/>
    <w:basedOn w:val="DefaultParagraphFont"/>
    <w:uiPriority w:val="99"/>
    <w:semiHidden/>
    <w:unhideWhenUsed/>
    <w:rsid w:val="0093659C"/>
    <w:rPr>
      <w:sz w:val="16"/>
      <w:szCs w:val="16"/>
    </w:rPr>
  </w:style>
  <w:style w:type="paragraph" w:styleId="Header">
    <w:name w:val="header"/>
    <w:basedOn w:val="Normal"/>
    <w:link w:val="HeaderChar"/>
    <w:uiPriority w:val="99"/>
    <w:unhideWhenUsed/>
    <w:rsid w:val="004855E8"/>
    <w:pPr>
      <w:tabs>
        <w:tab w:val="center" w:pos="4680"/>
        <w:tab w:val="right" w:pos="9360"/>
      </w:tabs>
      <w:spacing w:line="240" w:lineRule="auto"/>
    </w:pPr>
  </w:style>
  <w:style w:type="character" w:customStyle="1" w:styleId="HeaderChar">
    <w:name w:val="Header Char"/>
    <w:basedOn w:val="DefaultParagraphFont"/>
    <w:link w:val="Header"/>
    <w:uiPriority w:val="99"/>
    <w:rsid w:val="004855E8"/>
    <w:rPr>
      <w:rFonts w:ascii="Times New Roman" w:hAnsi="Times New Roman"/>
    </w:rPr>
  </w:style>
  <w:style w:type="paragraph" w:styleId="Footer">
    <w:name w:val="footer"/>
    <w:basedOn w:val="Normal"/>
    <w:link w:val="FooterChar"/>
    <w:uiPriority w:val="99"/>
    <w:unhideWhenUsed/>
    <w:rsid w:val="004855E8"/>
    <w:pPr>
      <w:tabs>
        <w:tab w:val="center" w:pos="4680"/>
        <w:tab w:val="right" w:pos="9360"/>
      </w:tabs>
      <w:spacing w:line="240" w:lineRule="auto"/>
    </w:pPr>
  </w:style>
  <w:style w:type="character" w:customStyle="1" w:styleId="FooterChar">
    <w:name w:val="Footer Char"/>
    <w:basedOn w:val="DefaultParagraphFont"/>
    <w:link w:val="Footer"/>
    <w:uiPriority w:val="99"/>
    <w:rsid w:val="004855E8"/>
    <w:rPr>
      <w:rFonts w:ascii="Times New Roman" w:hAnsi="Times New Roman"/>
    </w:rPr>
  </w:style>
  <w:style w:type="paragraph" w:styleId="BalloonText">
    <w:name w:val="Balloon Text"/>
    <w:basedOn w:val="Normal"/>
    <w:link w:val="BalloonTextChar"/>
    <w:uiPriority w:val="99"/>
    <w:semiHidden/>
    <w:unhideWhenUsed/>
    <w:rsid w:val="00ED40C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40C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213260">
      <w:bodyDiv w:val="1"/>
      <w:marLeft w:val="0"/>
      <w:marRight w:val="0"/>
      <w:marTop w:val="0"/>
      <w:marBottom w:val="0"/>
      <w:divBdr>
        <w:top w:val="none" w:sz="0" w:space="0" w:color="auto"/>
        <w:left w:val="none" w:sz="0" w:space="0" w:color="auto"/>
        <w:bottom w:val="none" w:sz="0" w:space="0" w:color="auto"/>
        <w:right w:val="none" w:sz="0" w:space="0" w:color="auto"/>
      </w:divBdr>
    </w:div>
    <w:div w:id="678120636">
      <w:bodyDiv w:val="1"/>
      <w:marLeft w:val="0"/>
      <w:marRight w:val="0"/>
      <w:marTop w:val="0"/>
      <w:marBottom w:val="0"/>
      <w:divBdr>
        <w:top w:val="none" w:sz="0" w:space="0" w:color="auto"/>
        <w:left w:val="none" w:sz="0" w:space="0" w:color="auto"/>
        <w:bottom w:val="none" w:sz="0" w:space="0" w:color="auto"/>
        <w:right w:val="none" w:sz="0" w:space="0" w:color="auto"/>
      </w:divBdr>
    </w:div>
    <w:div w:id="678655526">
      <w:bodyDiv w:val="1"/>
      <w:marLeft w:val="0"/>
      <w:marRight w:val="0"/>
      <w:marTop w:val="0"/>
      <w:marBottom w:val="0"/>
      <w:divBdr>
        <w:top w:val="none" w:sz="0" w:space="0" w:color="auto"/>
        <w:left w:val="none" w:sz="0" w:space="0" w:color="auto"/>
        <w:bottom w:val="none" w:sz="0" w:space="0" w:color="auto"/>
        <w:right w:val="none" w:sz="0" w:space="0" w:color="auto"/>
      </w:divBdr>
    </w:div>
    <w:div w:id="795873978">
      <w:bodyDiv w:val="1"/>
      <w:marLeft w:val="0"/>
      <w:marRight w:val="0"/>
      <w:marTop w:val="0"/>
      <w:marBottom w:val="0"/>
      <w:divBdr>
        <w:top w:val="none" w:sz="0" w:space="0" w:color="auto"/>
        <w:left w:val="none" w:sz="0" w:space="0" w:color="auto"/>
        <w:bottom w:val="none" w:sz="0" w:space="0" w:color="auto"/>
        <w:right w:val="none" w:sz="0" w:space="0" w:color="auto"/>
      </w:divBdr>
    </w:div>
    <w:div w:id="1017998517">
      <w:bodyDiv w:val="1"/>
      <w:marLeft w:val="0"/>
      <w:marRight w:val="0"/>
      <w:marTop w:val="0"/>
      <w:marBottom w:val="0"/>
      <w:divBdr>
        <w:top w:val="none" w:sz="0" w:space="0" w:color="auto"/>
        <w:left w:val="none" w:sz="0" w:space="0" w:color="auto"/>
        <w:bottom w:val="none" w:sz="0" w:space="0" w:color="auto"/>
        <w:right w:val="none" w:sz="0" w:space="0" w:color="auto"/>
      </w:divBdr>
    </w:div>
    <w:div w:id="1083256540">
      <w:bodyDiv w:val="1"/>
      <w:marLeft w:val="0"/>
      <w:marRight w:val="0"/>
      <w:marTop w:val="0"/>
      <w:marBottom w:val="0"/>
      <w:divBdr>
        <w:top w:val="none" w:sz="0" w:space="0" w:color="auto"/>
        <w:left w:val="none" w:sz="0" w:space="0" w:color="auto"/>
        <w:bottom w:val="none" w:sz="0" w:space="0" w:color="auto"/>
        <w:right w:val="none" w:sz="0" w:space="0" w:color="auto"/>
      </w:divBdr>
    </w:div>
    <w:div w:id="1253854386">
      <w:bodyDiv w:val="1"/>
      <w:marLeft w:val="0"/>
      <w:marRight w:val="0"/>
      <w:marTop w:val="0"/>
      <w:marBottom w:val="0"/>
      <w:divBdr>
        <w:top w:val="none" w:sz="0" w:space="0" w:color="auto"/>
        <w:left w:val="none" w:sz="0" w:space="0" w:color="auto"/>
        <w:bottom w:val="none" w:sz="0" w:space="0" w:color="auto"/>
        <w:right w:val="none" w:sz="0" w:space="0" w:color="auto"/>
      </w:divBdr>
    </w:div>
    <w:div w:id="1278217277">
      <w:bodyDiv w:val="1"/>
      <w:marLeft w:val="0"/>
      <w:marRight w:val="0"/>
      <w:marTop w:val="0"/>
      <w:marBottom w:val="0"/>
      <w:divBdr>
        <w:top w:val="none" w:sz="0" w:space="0" w:color="auto"/>
        <w:left w:val="none" w:sz="0" w:space="0" w:color="auto"/>
        <w:bottom w:val="none" w:sz="0" w:space="0" w:color="auto"/>
        <w:right w:val="none" w:sz="0" w:space="0" w:color="auto"/>
      </w:divBdr>
    </w:div>
    <w:div w:id="1387413446">
      <w:bodyDiv w:val="1"/>
      <w:marLeft w:val="0"/>
      <w:marRight w:val="0"/>
      <w:marTop w:val="0"/>
      <w:marBottom w:val="0"/>
      <w:divBdr>
        <w:top w:val="none" w:sz="0" w:space="0" w:color="auto"/>
        <w:left w:val="none" w:sz="0" w:space="0" w:color="auto"/>
        <w:bottom w:val="none" w:sz="0" w:space="0" w:color="auto"/>
        <w:right w:val="none" w:sz="0" w:space="0" w:color="auto"/>
      </w:divBdr>
    </w:div>
    <w:div w:id="1520580652">
      <w:bodyDiv w:val="1"/>
      <w:marLeft w:val="0"/>
      <w:marRight w:val="0"/>
      <w:marTop w:val="0"/>
      <w:marBottom w:val="0"/>
      <w:divBdr>
        <w:top w:val="none" w:sz="0" w:space="0" w:color="auto"/>
        <w:left w:val="none" w:sz="0" w:space="0" w:color="auto"/>
        <w:bottom w:val="none" w:sz="0" w:space="0" w:color="auto"/>
        <w:right w:val="none" w:sz="0" w:space="0" w:color="auto"/>
      </w:divBdr>
    </w:div>
    <w:div w:id="1767729165">
      <w:bodyDiv w:val="1"/>
      <w:marLeft w:val="0"/>
      <w:marRight w:val="0"/>
      <w:marTop w:val="0"/>
      <w:marBottom w:val="0"/>
      <w:divBdr>
        <w:top w:val="none" w:sz="0" w:space="0" w:color="auto"/>
        <w:left w:val="none" w:sz="0" w:space="0" w:color="auto"/>
        <w:bottom w:val="none" w:sz="0" w:space="0" w:color="auto"/>
        <w:right w:val="none" w:sz="0" w:space="0" w:color="auto"/>
      </w:divBdr>
    </w:div>
    <w:div w:id="2123111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header" Target="header3.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D:\SKN\Downloads\To%20See\Paper\RK%20paper\Raspberry_Ketone_Metabolism_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Sheet1!$B$2</c:f>
              <c:strCache>
                <c:ptCount val="1"/>
                <c:pt idx="0">
                  <c:v>2-(4-Hydroxyphenyl)ethanol</c:v>
                </c:pt>
              </c:strCache>
            </c:strRef>
          </c:tx>
          <c:spPr>
            <a:solidFill>
              <a:schemeClr val="accent1"/>
            </a:solidFill>
            <a:ln>
              <a:noFill/>
            </a:ln>
            <a:effectLst/>
          </c:spPr>
          <c:invertIfNegative val="0"/>
          <c:cat>
            <c:strRef>
              <c:f>Sheet1!$C$1:$E$1</c:f>
              <c:strCache>
                <c:ptCount val="3"/>
                <c:pt idx="0">
                  <c:v>Rat (% dose)</c:v>
                </c:pt>
                <c:pt idx="1">
                  <c:v>Guinea Pig (% dose)</c:v>
                </c:pt>
                <c:pt idx="2">
                  <c:v>Rabbit (% dose)</c:v>
                </c:pt>
              </c:strCache>
              <c:extLst xmlns:c16r2="http://schemas.microsoft.com/office/drawing/2015/06/chart"/>
            </c:strRef>
          </c:cat>
          <c:val>
            <c:numRef>
              <c:f>Sheet1!$C$2:$E$2</c:f>
              <c:numCache>
                <c:formatCode>General</c:formatCode>
                <c:ptCount val="3"/>
                <c:pt idx="0">
                  <c:v>2.4</c:v>
                </c:pt>
                <c:pt idx="1">
                  <c:v>0.4</c:v>
                </c:pt>
                <c:pt idx="2">
                  <c:v>0.6</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9601-4434-B16D-F1AA2EB6F911}"/>
            </c:ext>
          </c:extLst>
        </c:ser>
        <c:ser>
          <c:idx val="1"/>
          <c:order val="1"/>
          <c:tx>
            <c:strRef>
              <c:f>Sheet1!$B$3</c:f>
              <c:strCache>
                <c:ptCount val="1"/>
                <c:pt idx="0">
                  <c:v>4-(4-Hydroxyphenyl)butan-2-one</c:v>
                </c:pt>
              </c:strCache>
            </c:strRef>
          </c:tx>
          <c:spPr>
            <a:solidFill>
              <a:schemeClr val="accent2"/>
            </a:solidFill>
            <a:ln>
              <a:noFill/>
            </a:ln>
            <a:effectLst/>
          </c:spPr>
          <c:invertIfNegative val="0"/>
          <c:cat>
            <c:strRef>
              <c:f>Sheet1!$C$1:$E$1</c:f>
              <c:strCache>
                <c:ptCount val="3"/>
                <c:pt idx="0">
                  <c:v>Rat (% dose)</c:v>
                </c:pt>
                <c:pt idx="1">
                  <c:v>Guinea Pig (% dose)</c:v>
                </c:pt>
                <c:pt idx="2">
                  <c:v>Rabbit (% dose)</c:v>
                </c:pt>
              </c:strCache>
              <c:extLst xmlns:c16r2="http://schemas.microsoft.com/office/drawing/2015/06/chart"/>
            </c:strRef>
          </c:cat>
          <c:val>
            <c:numRef>
              <c:f>Sheet1!$C$3:$E$3</c:f>
              <c:numCache>
                <c:formatCode>General</c:formatCode>
                <c:ptCount val="3"/>
                <c:pt idx="0">
                  <c:v>59</c:v>
                </c:pt>
                <c:pt idx="1">
                  <c:v>70</c:v>
                </c:pt>
                <c:pt idx="2">
                  <c:v>1.5</c:v>
                </c:pt>
              </c:numCache>
              <c:extLst xmlns:c16r2="http://schemas.microsoft.com/office/drawing/2015/06/chart"/>
            </c:numRef>
          </c:val>
          <c:extLst xmlns:c16r2="http://schemas.microsoft.com/office/drawing/2015/06/chart">
            <c:ext xmlns:c16="http://schemas.microsoft.com/office/drawing/2014/chart" uri="{C3380CC4-5D6E-409C-BE32-E72D297353CC}">
              <c16:uniqueId val="{00000001-9601-4434-B16D-F1AA2EB6F911}"/>
            </c:ext>
          </c:extLst>
        </c:ser>
        <c:ser>
          <c:idx val="2"/>
          <c:order val="2"/>
          <c:tx>
            <c:strRef>
              <c:f>Sheet1!$B$6</c:f>
              <c:strCache>
                <c:ptCount val="1"/>
                <c:pt idx="0">
                  <c:v>4-Hydroxybenzoic acid</c:v>
                </c:pt>
              </c:strCache>
            </c:strRef>
          </c:tx>
          <c:spPr>
            <a:solidFill>
              <a:schemeClr val="accent3"/>
            </a:solidFill>
            <a:ln>
              <a:noFill/>
            </a:ln>
            <a:effectLst/>
          </c:spPr>
          <c:invertIfNegative val="0"/>
          <c:cat>
            <c:strRef>
              <c:f>Sheet1!$C$1:$E$1</c:f>
              <c:strCache>
                <c:ptCount val="3"/>
                <c:pt idx="0">
                  <c:v>Rat (% dose)</c:v>
                </c:pt>
                <c:pt idx="1">
                  <c:v>Guinea Pig (% dose)</c:v>
                </c:pt>
                <c:pt idx="2">
                  <c:v>Rabbit (% dose)</c:v>
                </c:pt>
              </c:strCache>
              <c:extLst xmlns:c16r2="http://schemas.microsoft.com/office/drawing/2015/06/chart"/>
            </c:strRef>
          </c:cat>
          <c:val>
            <c:numRef>
              <c:f>Sheet1!$C$6:$E$6</c:f>
              <c:numCache>
                <c:formatCode>General</c:formatCode>
                <c:ptCount val="3"/>
                <c:pt idx="0">
                  <c:v>0.4</c:v>
                </c:pt>
                <c:pt idx="2">
                  <c:v>1.8</c:v>
                </c:pt>
              </c:numCache>
              <c:extLst xmlns:c16r2="http://schemas.microsoft.com/office/drawing/2015/06/chart"/>
            </c:numRef>
          </c:val>
          <c:extLst xmlns:c16r2="http://schemas.microsoft.com/office/drawing/2015/06/chart">
            <c:ext xmlns:c16="http://schemas.microsoft.com/office/drawing/2014/chart" uri="{C3380CC4-5D6E-409C-BE32-E72D297353CC}">
              <c16:uniqueId val="{00000002-9601-4434-B16D-F1AA2EB6F911}"/>
            </c:ext>
          </c:extLst>
        </c:ser>
        <c:ser>
          <c:idx val="3"/>
          <c:order val="3"/>
          <c:tx>
            <c:strRef>
              <c:f>Sheet1!$B$7</c:f>
              <c:strCache>
                <c:ptCount val="1"/>
                <c:pt idx="0">
                  <c:v>4-Hydroxyphenylacetic acid</c:v>
                </c:pt>
              </c:strCache>
            </c:strRef>
          </c:tx>
          <c:spPr>
            <a:solidFill>
              <a:schemeClr val="accent4"/>
            </a:solidFill>
            <a:ln>
              <a:noFill/>
            </a:ln>
            <a:effectLst/>
          </c:spPr>
          <c:invertIfNegative val="0"/>
          <c:cat>
            <c:strRef>
              <c:f>Sheet1!$C$1:$E$1</c:f>
              <c:strCache>
                <c:ptCount val="3"/>
                <c:pt idx="0">
                  <c:v>Rat (% dose)</c:v>
                </c:pt>
                <c:pt idx="1">
                  <c:v>Guinea Pig (% dose)</c:v>
                </c:pt>
                <c:pt idx="2">
                  <c:v>Rabbit (% dose)</c:v>
                </c:pt>
              </c:strCache>
              <c:extLst xmlns:c16r2="http://schemas.microsoft.com/office/drawing/2015/06/chart"/>
            </c:strRef>
          </c:cat>
          <c:val>
            <c:numRef>
              <c:f>Sheet1!$C$7:$E$7</c:f>
              <c:numCache>
                <c:formatCode>General</c:formatCode>
                <c:ptCount val="3"/>
                <c:pt idx="0">
                  <c:v>8</c:v>
                </c:pt>
                <c:pt idx="2">
                  <c:v>0.2</c:v>
                </c:pt>
              </c:numCache>
              <c:extLst xmlns:c16r2="http://schemas.microsoft.com/office/drawing/2015/06/chart"/>
            </c:numRef>
          </c:val>
          <c:extLst xmlns:c16r2="http://schemas.microsoft.com/office/drawing/2015/06/chart">
            <c:ext xmlns:c16="http://schemas.microsoft.com/office/drawing/2014/chart" uri="{C3380CC4-5D6E-409C-BE32-E72D297353CC}">
              <c16:uniqueId val="{00000003-9601-4434-B16D-F1AA2EB6F911}"/>
            </c:ext>
          </c:extLst>
        </c:ser>
        <c:ser>
          <c:idx val="4"/>
          <c:order val="4"/>
          <c:tx>
            <c:strRef>
              <c:f>Sheet1!$B$4</c:f>
              <c:strCache>
                <c:ptCount val="1"/>
                <c:pt idx="0">
                  <c:v>4-(4-Hydroxyphenyl)butan-2-ol</c:v>
                </c:pt>
              </c:strCache>
            </c:strRef>
          </c:tx>
          <c:spPr>
            <a:solidFill>
              <a:schemeClr val="accent5"/>
            </a:solidFill>
            <a:ln>
              <a:noFill/>
            </a:ln>
            <a:effectLst/>
          </c:spPr>
          <c:invertIfNegative val="0"/>
          <c:cat>
            <c:strRef>
              <c:f>Sheet1!$C$1:$E$1</c:f>
              <c:strCache>
                <c:ptCount val="3"/>
                <c:pt idx="0">
                  <c:v>Rat (% dose)</c:v>
                </c:pt>
                <c:pt idx="1">
                  <c:v>Guinea Pig (% dose)</c:v>
                </c:pt>
                <c:pt idx="2">
                  <c:v>Rabbit (% dose)</c:v>
                </c:pt>
              </c:strCache>
              <c:extLst xmlns:c16r2="http://schemas.microsoft.com/office/drawing/2015/06/chart"/>
            </c:strRef>
          </c:cat>
          <c:val>
            <c:numRef>
              <c:f>Sheet1!$C$4:$E$4</c:f>
              <c:numCache>
                <c:formatCode>General</c:formatCode>
                <c:ptCount val="3"/>
                <c:pt idx="0">
                  <c:v>10</c:v>
                </c:pt>
                <c:pt idx="1">
                  <c:v>15</c:v>
                </c:pt>
                <c:pt idx="2">
                  <c:v>8.1999999999999993</c:v>
                </c:pt>
              </c:numCache>
              <c:extLst xmlns:c16r2="http://schemas.microsoft.com/office/drawing/2015/06/chart"/>
            </c:numRef>
          </c:val>
          <c:extLst xmlns:c16r2="http://schemas.microsoft.com/office/drawing/2015/06/chart">
            <c:ext xmlns:c16="http://schemas.microsoft.com/office/drawing/2014/chart" uri="{C3380CC4-5D6E-409C-BE32-E72D297353CC}">
              <c16:uniqueId val="{00000004-9601-4434-B16D-F1AA2EB6F911}"/>
            </c:ext>
          </c:extLst>
        </c:ser>
        <c:ser>
          <c:idx val="5"/>
          <c:order val="5"/>
          <c:tx>
            <c:strRef>
              <c:f>Sheet1!$B$8</c:f>
              <c:strCache>
                <c:ptCount val="1"/>
                <c:pt idx="0">
                  <c:v>4-(4-Hydroxy-3-methoxyphenyl)butan-2-one</c:v>
                </c:pt>
              </c:strCache>
            </c:strRef>
          </c:tx>
          <c:spPr>
            <a:solidFill>
              <a:schemeClr val="accent6"/>
            </a:solidFill>
            <a:ln>
              <a:noFill/>
            </a:ln>
            <a:effectLst/>
          </c:spPr>
          <c:invertIfNegative val="0"/>
          <c:cat>
            <c:strRef>
              <c:f>Sheet1!$C$1:$E$1</c:f>
              <c:strCache>
                <c:ptCount val="3"/>
                <c:pt idx="0">
                  <c:v>Rat (% dose)</c:v>
                </c:pt>
                <c:pt idx="1">
                  <c:v>Guinea Pig (% dose)</c:v>
                </c:pt>
                <c:pt idx="2">
                  <c:v>Rabbit (% dose)</c:v>
                </c:pt>
              </c:strCache>
              <c:extLst xmlns:c16r2="http://schemas.microsoft.com/office/drawing/2015/06/chart"/>
            </c:strRef>
          </c:cat>
          <c:val>
            <c:numRef>
              <c:f>Sheet1!$C$8:$E$8</c:f>
              <c:numCache>
                <c:formatCode>General</c:formatCode>
                <c:ptCount val="3"/>
                <c:pt idx="0">
                  <c:v>0.7</c:v>
                </c:pt>
                <c:pt idx="2">
                  <c:v>0</c:v>
                </c:pt>
              </c:numCache>
              <c:extLst xmlns:c16r2="http://schemas.microsoft.com/office/drawing/2015/06/chart"/>
            </c:numRef>
          </c:val>
          <c:extLst xmlns:c16r2="http://schemas.microsoft.com/office/drawing/2015/06/chart">
            <c:ext xmlns:c16="http://schemas.microsoft.com/office/drawing/2014/chart" uri="{C3380CC4-5D6E-409C-BE32-E72D297353CC}">
              <c16:uniqueId val="{00000005-9601-4434-B16D-F1AA2EB6F911}"/>
            </c:ext>
          </c:extLst>
        </c:ser>
        <c:ser>
          <c:idx val="6"/>
          <c:order val="6"/>
          <c:tx>
            <c:strRef>
              <c:f>Sheet1!$B$9</c:f>
              <c:strCache>
                <c:ptCount val="1"/>
                <c:pt idx="0">
                  <c:v>4-Hydroxy-4-(4-hydroxyphenyl)butan-2-one</c:v>
                </c:pt>
              </c:strCache>
            </c:strRef>
          </c:tx>
          <c:spPr>
            <a:solidFill>
              <a:schemeClr val="accent1">
                <a:lumMod val="60000"/>
              </a:schemeClr>
            </a:solidFill>
            <a:ln>
              <a:noFill/>
            </a:ln>
            <a:effectLst/>
          </c:spPr>
          <c:invertIfNegative val="0"/>
          <c:cat>
            <c:strRef>
              <c:f>Sheet1!$C$1:$E$1</c:f>
              <c:strCache>
                <c:ptCount val="3"/>
                <c:pt idx="0">
                  <c:v>Rat (% dose)</c:v>
                </c:pt>
                <c:pt idx="1">
                  <c:v>Guinea Pig (% dose)</c:v>
                </c:pt>
                <c:pt idx="2">
                  <c:v>Rabbit (% dose)</c:v>
                </c:pt>
              </c:strCache>
              <c:extLst xmlns:c16r2="http://schemas.microsoft.com/office/drawing/2015/06/chart"/>
            </c:strRef>
          </c:cat>
          <c:val>
            <c:numRef>
              <c:f>Sheet1!$C$9:$E$9</c:f>
              <c:numCache>
                <c:formatCode>General</c:formatCode>
                <c:ptCount val="3"/>
                <c:pt idx="1">
                  <c:v>0</c:v>
                </c:pt>
                <c:pt idx="2">
                  <c:v>1.4</c:v>
                </c:pt>
              </c:numCache>
              <c:extLst xmlns:c16r2="http://schemas.microsoft.com/office/drawing/2015/06/chart"/>
            </c:numRef>
          </c:val>
          <c:extLst xmlns:c16r2="http://schemas.microsoft.com/office/drawing/2015/06/chart">
            <c:ext xmlns:c16="http://schemas.microsoft.com/office/drawing/2014/chart" uri="{C3380CC4-5D6E-409C-BE32-E72D297353CC}">
              <c16:uniqueId val="{00000006-9601-4434-B16D-F1AA2EB6F911}"/>
            </c:ext>
          </c:extLst>
        </c:ser>
        <c:ser>
          <c:idx val="7"/>
          <c:order val="7"/>
          <c:tx>
            <c:strRef>
              <c:f>Sheet1!$B$10</c:f>
              <c:strCache>
                <c:ptCount val="1"/>
                <c:pt idx="0">
                  <c:v>3-(4-Hydroxyphenyl)propionic acid</c:v>
                </c:pt>
              </c:strCache>
            </c:strRef>
          </c:tx>
          <c:spPr>
            <a:solidFill>
              <a:schemeClr val="accent2">
                <a:lumMod val="60000"/>
              </a:schemeClr>
            </a:solidFill>
            <a:ln>
              <a:noFill/>
            </a:ln>
            <a:effectLst/>
          </c:spPr>
          <c:invertIfNegative val="0"/>
          <c:cat>
            <c:strRef>
              <c:f>Sheet1!$C$1:$E$1</c:f>
              <c:strCache>
                <c:ptCount val="3"/>
                <c:pt idx="0">
                  <c:v>Rat (% dose)</c:v>
                </c:pt>
                <c:pt idx="1">
                  <c:v>Guinea Pig (% dose)</c:v>
                </c:pt>
                <c:pt idx="2">
                  <c:v>Rabbit (% dose)</c:v>
                </c:pt>
              </c:strCache>
              <c:extLst xmlns:c16r2="http://schemas.microsoft.com/office/drawing/2015/06/chart"/>
            </c:strRef>
          </c:cat>
          <c:val>
            <c:numRef>
              <c:f>Sheet1!$C$10:$E$10</c:f>
              <c:numCache>
                <c:formatCode>General</c:formatCode>
                <c:ptCount val="3"/>
                <c:pt idx="0">
                  <c:v>1.2</c:v>
                </c:pt>
                <c:pt idx="1">
                  <c:v>0</c:v>
                </c:pt>
                <c:pt idx="2">
                  <c:v>2</c:v>
                </c:pt>
              </c:numCache>
              <c:extLst xmlns:c16r2="http://schemas.microsoft.com/office/drawing/2015/06/chart"/>
            </c:numRef>
          </c:val>
          <c:extLst xmlns:c16r2="http://schemas.microsoft.com/office/drawing/2015/06/chart">
            <c:ext xmlns:c16="http://schemas.microsoft.com/office/drawing/2014/chart" uri="{C3380CC4-5D6E-409C-BE32-E72D297353CC}">
              <c16:uniqueId val="{00000007-9601-4434-B16D-F1AA2EB6F911}"/>
            </c:ext>
          </c:extLst>
        </c:ser>
        <c:ser>
          <c:idx val="8"/>
          <c:order val="8"/>
          <c:tx>
            <c:strRef>
              <c:f>Sheet1!$B$11</c:f>
              <c:strCache>
                <c:ptCount val="1"/>
                <c:pt idx="0">
                  <c:v>4-(3,4-Dihydroxyphenyl)butan-2-one</c:v>
                </c:pt>
              </c:strCache>
            </c:strRef>
          </c:tx>
          <c:spPr>
            <a:solidFill>
              <a:schemeClr val="accent3">
                <a:lumMod val="60000"/>
              </a:schemeClr>
            </a:solidFill>
            <a:ln>
              <a:noFill/>
            </a:ln>
            <a:effectLst/>
          </c:spPr>
          <c:invertIfNegative val="0"/>
          <c:cat>
            <c:strRef>
              <c:f>Sheet1!$C$1:$E$1</c:f>
              <c:strCache>
                <c:ptCount val="3"/>
                <c:pt idx="0">
                  <c:v>Rat (% dose)</c:v>
                </c:pt>
                <c:pt idx="1">
                  <c:v>Guinea Pig (% dose)</c:v>
                </c:pt>
                <c:pt idx="2">
                  <c:v>Rabbit (% dose)</c:v>
                </c:pt>
              </c:strCache>
              <c:extLst xmlns:c16r2="http://schemas.microsoft.com/office/drawing/2015/06/chart"/>
            </c:strRef>
          </c:cat>
          <c:val>
            <c:numRef>
              <c:f>Sheet1!$C$11:$E$11</c:f>
              <c:numCache>
                <c:formatCode>General</c:formatCode>
                <c:ptCount val="3"/>
                <c:pt idx="0">
                  <c:v>1.7</c:v>
                </c:pt>
                <c:pt idx="1">
                  <c:v>2.5</c:v>
                </c:pt>
                <c:pt idx="2">
                  <c:v>4.8</c:v>
                </c:pt>
              </c:numCache>
              <c:extLst xmlns:c16r2="http://schemas.microsoft.com/office/drawing/2015/06/chart"/>
            </c:numRef>
          </c:val>
          <c:extLst xmlns:c16r2="http://schemas.microsoft.com/office/drawing/2015/06/chart">
            <c:ext xmlns:c16="http://schemas.microsoft.com/office/drawing/2014/chart" uri="{C3380CC4-5D6E-409C-BE32-E72D297353CC}">
              <c16:uniqueId val="{00000008-9601-4434-B16D-F1AA2EB6F911}"/>
            </c:ext>
          </c:extLst>
        </c:ser>
        <c:ser>
          <c:idx val="9"/>
          <c:order val="9"/>
          <c:tx>
            <c:strRef>
              <c:f>Sheet1!$B$12</c:f>
              <c:strCache>
                <c:ptCount val="1"/>
                <c:pt idx="0">
                  <c:v>Unidentified</c:v>
                </c:pt>
              </c:strCache>
            </c:strRef>
          </c:tx>
          <c:spPr>
            <a:solidFill>
              <a:schemeClr val="accent4">
                <a:lumMod val="60000"/>
              </a:schemeClr>
            </a:solidFill>
            <a:ln>
              <a:noFill/>
            </a:ln>
            <a:effectLst/>
          </c:spPr>
          <c:invertIfNegative val="0"/>
          <c:cat>
            <c:strRef>
              <c:f>Sheet1!$C$1:$E$1</c:f>
              <c:strCache>
                <c:ptCount val="3"/>
                <c:pt idx="0">
                  <c:v>Rat (% dose)</c:v>
                </c:pt>
                <c:pt idx="1">
                  <c:v>Guinea Pig (% dose)</c:v>
                </c:pt>
                <c:pt idx="2">
                  <c:v>Rabbit (% dose)</c:v>
                </c:pt>
              </c:strCache>
              <c:extLst xmlns:c16r2="http://schemas.microsoft.com/office/drawing/2015/06/chart"/>
            </c:strRef>
          </c:cat>
          <c:val>
            <c:numRef>
              <c:f>Sheet1!$C$12:$E$12</c:f>
              <c:numCache>
                <c:formatCode>General</c:formatCode>
                <c:ptCount val="3"/>
                <c:pt idx="0">
                  <c:v>2</c:v>
                </c:pt>
                <c:pt idx="1">
                  <c:v>1.4</c:v>
                </c:pt>
                <c:pt idx="2">
                  <c:v>38</c:v>
                </c:pt>
              </c:numCache>
              <c:extLst xmlns:c16r2="http://schemas.microsoft.com/office/drawing/2015/06/chart"/>
            </c:numRef>
          </c:val>
          <c:extLst xmlns:c16r2="http://schemas.microsoft.com/office/drawing/2015/06/chart">
            <c:ext xmlns:c16="http://schemas.microsoft.com/office/drawing/2014/chart" uri="{C3380CC4-5D6E-409C-BE32-E72D297353CC}">
              <c16:uniqueId val="{00000009-9601-4434-B16D-F1AA2EB6F911}"/>
            </c:ext>
          </c:extLst>
        </c:ser>
        <c:ser>
          <c:idx val="10"/>
          <c:order val="10"/>
          <c:tx>
            <c:strRef>
              <c:f>Sheet1!$B$5</c:f>
              <c:strCache>
                <c:ptCount val="1"/>
                <c:pt idx="0">
                  <c:v>4-(4-Hydroxy-3-methoxyphenyl)butan-2-ol</c:v>
                </c:pt>
              </c:strCache>
            </c:strRef>
          </c:tx>
          <c:spPr>
            <a:solidFill>
              <a:schemeClr val="accent5">
                <a:lumMod val="60000"/>
              </a:schemeClr>
            </a:solidFill>
            <a:ln>
              <a:noFill/>
            </a:ln>
            <a:effectLst/>
          </c:spPr>
          <c:invertIfNegative val="0"/>
          <c:cat>
            <c:strRef>
              <c:f>Sheet1!$C$1:$E$1</c:f>
              <c:strCache>
                <c:ptCount val="3"/>
                <c:pt idx="0">
                  <c:v>Rat (% dose)</c:v>
                </c:pt>
                <c:pt idx="1">
                  <c:v>Guinea Pig (% dose)</c:v>
                </c:pt>
                <c:pt idx="2">
                  <c:v>Rabbit (% dose)</c:v>
                </c:pt>
              </c:strCache>
              <c:extLst xmlns:c16r2="http://schemas.microsoft.com/office/drawing/2015/06/chart"/>
            </c:strRef>
          </c:cat>
          <c:val>
            <c:numRef>
              <c:f>Sheet1!$C$5:$E$5</c:f>
              <c:numCache>
                <c:formatCode>General</c:formatCode>
                <c:ptCount val="3"/>
                <c:pt idx="0">
                  <c:v>0.2</c:v>
                </c:pt>
                <c:pt idx="1">
                  <c:v>0.5</c:v>
                </c:pt>
                <c:pt idx="2">
                  <c:v>31</c:v>
                </c:pt>
              </c:numCache>
              <c:extLst xmlns:c16r2="http://schemas.microsoft.com/office/drawing/2015/06/chart"/>
            </c:numRef>
          </c:val>
          <c:extLst xmlns:c16r2="http://schemas.microsoft.com/office/drawing/2015/06/chart">
            <c:ext xmlns:c16="http://schemas.microsoft.com/office/drawing/2014/chart" uri="{C3380CC4-5D6E-409C-BE32-E72D297353CC}">
              <c16:uniqueId val="{0000000A-9601-4434-B16D-F1AA2EB6F911}"/>
            </c:ext>
          </c:extLst>
        </c:ser>
        <c:ser>
          <c:idx val="11"/>
          <c:order val="11"/>
          <c:tx>
            <c:strRef>
              <c:f>Sheet1!$B$13</c:f>
              <c:strCache>
                <c:ptCount val="1"/>
                <c:pt idx="0">
                  <c:v>4-(4-Hydroxyphenyl)butan-2,3-diol</c:v>
                </c:pt>
              </c:strCache>
            </c:strRef>
          </c:tx>
          <c:spPr>
            <a:solidFill>
              <a:schemeClr val="accent6">
                <a:lumMod val="60000"/>
              </a:schemeClr>
            </a:solidFill>
            <a:ln>
              <a:noFill/>
            </a:ln>
            <a:effectLst/>
          </c:spPr>
          <c:invertIfNegative val="0"/>
          <c:cat>
            <c:strRef>
              <c:f>Sheet1!$C$1:$E$1</c:f>
              <c:strCache>
                <c:ptCount val="3"/>
                <c:pt idx="0">
                  <c:v>Rat (% dose)</c:v>
                </c:pt>
                <c:pt idx="1">
                  <c:v>Guinea Pig (% dose)</c:v>
                </c:pt>
                <c:pt idx="2">
                  <c:v>Rabbit (% dose)</c:v>
                </c:pt>
              </c:strCache>
              <c:extLst xmlns:c16r2="http://schemas.microsoft.com/office/drawing/2015/06/chart"/>
            </c:strRef>
          </c:cat>
          <c:val>
            <c:numRef>
              <c:f>Sheet1!$C$13:$E$13</c:f>
              <c:numCache>
                <c:formatCode>General</c:formatCode>
                <c:ptCount val="3"/>
                <c:pt idx="0">
                  <c:v>1.4</c:v>
                </c:pt>
                <c:pt idx="2">
                  <c:v>0.2</c:v>
                </c:pt>
              </c:numCache>
              <c:extLst xmlns:c16r2="http://schemas.microsoft.com/office/drawing/2015/06/chart"/>
            </c:numRef>
          </c:val>
          <c:extLst xmlns:c16r2="http://schemas.microsoft.com/office/drawing/2015/06/chart">
            <c:ext xmlns:c16="http://schemas.microsoft.com/office/drawing/2014/chart" uri="{C3380CC4-5D6E-409C-BE32-E72D297353CC}">
              <c16:uniqueId val="{0000000B-9601-4434-B16D-F1AA2EB6F911}"/>
            </c:ext>
          </c:extLst>
        </c:ser>
        <c:ser>
          <c:idx val="12"/>
          <c:order val="12"/>
          <c:tx>
            <c:strRef>
              <c:f>Sheet1!$B$14</c:f>
              <c:strCache>
                <c:ptCount val="1"/>
                <c:pt idx="0">
                  <c:v>4-(3,4-Dihydroxyphenyl)butan-2-ol</c:v>
                </c:pt>
              </c:strCache>
            </c:strRef>
          </c:tx>
          <c:spPr>
            <a:solidFill>
              <a:schemeClr val="accent1">
                <a:lumMod val="80000"/>
                <a:lumOff val="20000"/>
              </a:schemeClr>
            </a:solidFill>
            <a:ln>
              <a:noFill/>
            </a:ln>
            <a:effectLst/>
          </c:spPr>
          <c:invertIfNegative val="0"/>
          <c:cat>
            <c:strRef>
              <c:f>Sheet1!$C$1:$E$1</c:f>
              <c:strCache>
                <c:ptCount val="3"/>
                <c:pt idx="0">
                  <c:v>Rat (% dose)</c:v>
                </c:pt>
                <c:pt idx="1">
                  <c:v>Guinea Pig (% dose)</c:v>
                </c:pt>
                <c:pt idx="2">
                  <c:v>Rabbit (% dose)</c:v>
                </c:pt>
              </c:strCache>
              <c:extLst xmlns:c16r2="http://schemas.microsoft.com/office/drawing/2015/06/chart"/>
            </c:strRef>
          </c:cat>
          <c:val>
            <c:numRef>
              <c:f>Sheet1!$C$14:$E$14</c:f>
              <c:numCache>
                <c:formatCode>General</c:formatCode>
                <c:ptCount val="3"/>
                <c:pt idx="0">
                  <c:v>0.5</c:v>
                </c:pt>
                <c:pt idx="1">
                  <c:v>1.3</c:v>
                </c:pt>
                <c:pt idx="2">
                  <c:v>0.2</c:v>
                </c:pt>
              </c:numCache>
              <c:extLst xmlns:c16r2="http://schemas.microsoft.com/office/drawing/2015/06/chart"/>
            </c:numRef>
          </c:val>
          <c:extLst xmlns:c16r2="http://schemas.microsoft.com/office/drawing/2015/06/chart">
            <c:ext xmlns:c16="http://schemas.microsoft.com/office/drawing/2014/chart" uri="{C3380CC4-5D6E-409C-BE32-E72D297353CC}">
              <c16:uniqueId val="{0000000C-9601-4434-B16D-F1AA2EB6F911}"/>
            </c:ext>
          </c:extLst>
        </c:ser>
        <c:ser>
          <c:idx val="13"/>
          <c:order val="13"/>
          <c:tx>
            <c:strRef>
              <c:f>Sheet1!$B$15</c:f>
              <c:strCache>
                <c:ptCount val="1"/>
                <c:pt idx="0">
                  <c:v>1-Hydroxy-4-(4-hydroxyphenyl)butan-2-one</c:v>
                </c:pt>
              </c:strCache>
            </c:strRef>
          </c:tx>
          <c:spPr>
            <a:solidFill>
              <a:schemeClr val="accent2">
                <a:lumMod val="80000"/>
                <a:lumOff val="20000"/>
              </a:schemeClr>
            </a:solidFill>
            <a:ln>
              <a:noFill/>
            </a:ln>
            <a:effectLst/>
          </c:spPr>
          <c:invertIfNegative val="0"/>
          <c:cat>
            <c:strRef>
              <c:f>Sheet1!$C$1:$E$1</c:f>
              <c:strCache>
                <c:ptCount val="3"/>
                <c:pt idx="0">
                  <c:v>Rat (% dose)</c:v>
                </c:pt>
                <c:pt idx="1">
                  <c:v>Guinea Pig (% dose)</c:v>
                </c:pt>
                <c:pt idx="2">
                  <c:v>Rabbit (% dose)</c:v>
                </c:pt>
              </c:strCache>
              <c:extLst xmlns:c16r2="http://schemas.microsoft.com/office/drawing/2015/06/chart"/>
            </c:strRef>
          </c:cat>
          <c:val>
            <c:numRef>
              <c:f>Sheet1!$C$15:$E$15</c:f>
              <c:numCache>
                <c:formatCode>General</c:formatCode>
                <c:ptCount val="3"/>
                <c:pt idx="1">
                  <c:v>0</c:v>
                </c:pt>
              </c:numCache>
              <c:extLst xmlns:c16r2="http://schemas.microsoft.com/office/drawing/2015/06/chart"/>
            </c:numRef>
          </c:val>
          <c:extLst xmlns:c16r2="http://schemas.microsoft.com/office/drawing/2015/06/chart">
            <c:ext xmlns:c16="http://schemas.microsoft.com/office/drawing/2014/chart" uri="{C3380CC4-5D6E-409C-BE32-E72D297353CC}">
              <c16:uniqueId val="{0000000D-9601-4434-B16D-F1AA2EB6F911}"/>
            </c:ext>
          </c:extLst>
        </c:ser>
        <c:ser>
          <c:idx val="14"/>
          <c:order val="14"/>
          <c:tx>
            <c:strRef>
              <c:f>Sheet1!$B$16</c:f>
              <c:strCache>
                <c:ptCount val="1"/>
                <c:pt idx="0">
                  <c:v>4-(4-Hydroxyphenyl)butan-1,2-diol</c:v>
                </c:pt>
              </c:strCache>
            </c:strRef>
          </c:tx>
          <c:spPr>
            <a:solidFill>
              <a:schemeClr val="accent3">
                <a:lumMod val="80000"/>
                <a:lumOff val="20000"/>
              </a:schemeClr>
            </a:solidFill>
            <a:ln>
              <a:noFill/>
            </a:ln>
            <a:effectLst/>
          </c:spPr>
          <c:invertIfNegative val="0"/>
          <c:cat>
            <c:strRef>
              <c:f>Sheet1!$C$1:$E$1</c:f>
              <c:strCache>
                <c:ptCount val="3"/>
                <c:pt idx="0">
                  <c:v>Rat (% dose)</c:v>
                </c:pt>
                <c:pt idx="1">
                  <c:v>Guinea Pig (% dose)</c:v>
                </c:pt>
                <c:pt idx="2">
                  <c:v>Rabbit (% dose)</c:v>
                </c:pt>
              </c:strCache>
              <c:extLst xmlns:c16r2="http://schemas.microsoft.com/office/drawing/2015/06/chart"/>
            </c:strRef>
          </c:cat>
          <c:val>
            <c:numRef>
              <c:f>Sheet1!$C$16:$E$16</c:f>
              <c:numCache>
                <c:formatCode>General</c:formatCode>
                <c:ptCount val="3"/>
                <c:pt idx="0">
                  <c:v>0.1</c:v>
                </c:pt>
              </c:numCache>
              <c:extLst xmlns:c16r2="http://schemas.microsoft.com/office/drawing/2015/06/chart"/>
            </c:numRef>
          </c:val>
          <c:extLst xmlns:c16r2="http://schemas.microsoft.com/office/drawing/2015/06/chart">
            <c:ext xmlns:c16="http://schemas.microsoft.com/office/drawing/2014/chart" uri="{C3380CC4-5D6E-409C-BE32-E72D297353CC}">
              <c16:uniqueId val="{0000000E-9601-4434-B16D-F1AA2EB6F911}"/>
            </c:ext>
          </c:extLst>
        </c:ser>
        <c:dLbls>
          <c:showLegendKey val="0"/>
          <c:showVal val="0"/>
          <c:showCatName val="0"/>
          <c:showSerName val="0"/>
          <c:showPercent val="0"/>
          <c:showBubbleSize val="0"/>
        </c:dLbls>
        <c:gapWidth val="150"/>
        <c:overlap val="100"/>
        <c:axId val="125351040"/>
        <c:axId val="125352576"/>
      </c:barChart>
      <c:catAx>
        <c:axId val="12535104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352576"/>
        <c:crosses val="autoZero"/>
        <c:auto val="1"/>
        <c:lblAlgn val="ctr"/>
        <c:lblOffset val="100"/>
        <c:noMultiLvlLbl val="0"/>
      </c:catAx>
      <c:valAx>
        <c:axId val="1253525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35104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B0B1F0-71A8-4EFA-8526-E3A5B3FC7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18237</Words>
  <Characters>103955</Characters>
  <Application>Microsoft Office Word</Application>
  <DocSecurity>0</DocSecurity>
  <Lines>866</Lines>
  <Paragraphs>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Sanjeev Kumar</dc:creator>
  <cp:lastModifiedBy>Administrator</cp:lastModifiedBy>
  <cp:revision>2</cp:revision>
  <dcterms:created xsi:type="dcterms:W3CDTF">2025-10-22T15:53:00Z</dcterms:created>
  <dcterms:modified xsi:type="dcterms:W3CDTF">2025-10-22T15:53:00Z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zotero-version="7.0.16"&gt;&lt;session id="86bl62sJ"/&gt;&lt;style id="http://www.zotero.org/styles/ieee" locale="en-US" hasBibliography="1" bibliographyStyleHasBeenSet="1"/&gt;&lt;prefs&gt;&lt;pref name="fieldType" value="Field"/&gt;&lt;pref name="automaticJour</vt:lpwstr>
  </property>
  <property fmtid="{D5CDD505-2E9C-101B-9397-08002B2CF9AE}" pid="3" name="ZOTERO_PREF_2">
    <vt:lpwstr>nalAbbreviations" value="true"/&gt;&lt;/prefs&gt;&lt;/data&gt;</vt:lpwstr>
  </property>
</Properties>
</file>