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2BAB8" w14:textId="47F19A78" w:rsidR="004E6082" w:rsidRDefault="00044420" w:rsidP="0018332E">
      <w:pPr>
        <w:spacing w:line="360" w:lineRule="auto"/>
        <w:jc w:val="both"/>
        <w:rPr>
          <w:b/>
          <w:bCs/>
        </w:rPr>
      </w:pPr>
      <w:r w:rsidRPr="00044420">
        <w:rPr>
          <w:b/>
          <w:bCs/>
        </w:rPr>
        <w:t>Evaluation of the efficiency of partially acidulated phosphate rock in augmenting the maize productivity in acid soil</w:t>
      </w:r>
    </w:p>
    <w:p w14:paraId="64A12375" w14:textId="77777777" w:rsidR="00A8229B" w:rsidRDefault="00A8229B" w:rsidP="0018332E">
      <w:pPr>
        <w:spacing w:line="360" w:lineRule="auto"/>
        <w:jc w:val="both"/>
      </w:pPr>
    </w:p>
    <w:p w14:paraId="54B0677E" w14:textId="1207D551" w:rsidR="00790647" w:rsidRDefault="005470F2" w:rsidP="00790647">
      <w:pPr>
        <w:rPr>
          <w:b/>
          <w:bCs/>
        </w:rPr>
      </w:pPr>
      <w:r w:rsidRPr="005470F2">
        <w:rPr>
          <w:b/>
          <w:bCs/>
        </w:rPr>
        <w:t>Abstract</w:t>
      </w:r>
    </w:p>
    <w:p w14:paraId="69056CE9" w14:textId="4BE43717" w:rsidR="000E50B5" w:rsidRDefault="000941AC" w:rsidP="000941AC">
      <w:pPr>
        <w:spacing w:line="360" w:lineRule="auto"/>
        <w:jc w:val="both"/>
        <w:rPr>
          <w:rFonts w:cstheme="minorHAnsi"/>
          <w:spacing w:val="1"/>
        </w:rPr>
      </w:pPr>
      <w:r w:rsidRPr="000941AC">
        <w:rPr>
          <w:rFonts w:cstheme="minorHAnsi"/>
          <w:spacing w:val="1"/>
        </w:rPr>
        <w:t xml:space="preserve">Phosphorus rock (RP) reserves are finite and non-renewable, and coupled with the low </w:t>
      </w:r>
      <w:r>
        <w:rPr>
          <w:rFonts w:cstheme="minorHAnsi"/>
          <w:spacing w:val="1"/>
        </w:rPr>
        <w:t xml:space="preserve">use </w:t>
      </w:r>
      <w:r w:rsidRPr="000941AC">
        <w:rPr>
          <w:rFonts w:cstheme="minorHAnsi"/>
          <w:spacing w:val="1"/>
        </w:rPr>
        <w:t xml:space="preserve">efficiency, </w:t>
      </w:r>
      <w:r>
        <w:rPr>
          <w:rFonts w:cstheme="minorHAnsi"/>
          <w:spacing w:val="1"/>
        </w:rPr>
        <w:t>which</w:t>
      </w:r>
      <w:r w:rsidRPr="000941AC">
        <w:rPr>
          <w:rFonts w:cstheme="minorHAnsi"/>
          <w:spacing w:val="1"/>
        </w:rPr>
        <w:t xml:space="preserve"> leads to significant and i</w:t>
      </w:r>
      <w:bookmarkStart w:id="0" w:name="_GoBack"/>
      <w:bookmarkEnd w:id="0"/>
      <w:r w:rsidRPr="000941AC">
        <w:rPr>
          <w:rFonts w:cstheme="minorHAnsi"/>
          <w:spacing w:val="1"/>
        </w:rPr>
        <w:t>rreversible environmental losses. Controlled release fertilizer technologies, which synchronize the phosphorus release from fertilizers with crop nutrient demand, offer a promising solution to mitigate phosphorus losses and enhance fertilizer use efficiency.</w:t>
      </w:r>
      <w:r>
        <w:rPr>
          <w:rFonts w:cstheme="minorHAnsi"/>
          <w:spacing w:val="1"/>
        </w:rPr>
        <w:t xml:space="preserve"> The present investigation with maize as test crop was undertaken to evaluate the efficiency of </w:t>
      </w:r>
      <w:commentRangeStart w:id="1"/>
      <w:r>
        <w:rPr>
          <w:rFonts w:cstheme="minorHAnsi"/>
          <w:spacing w:val="1"/>
        </w:rPr>
        <w:t>PAPR</w:t>
      </w:r>
      <w:commentRangeEnd w:id="1"/>
      <w:r w:rsidR="00D82759">
        <w:rPr>
          <w:rStyle w:val="CommentReference"/>
        </w:rPr>
        <w:commentReference w:id="1"/>
      </w:r>
      <w:r>
        <w:rPr>
          <w:rFonts w:cstheme="minorHAnsi"/>
          <w:spacing w:val="1"/>
        </w:rPr>
        <w:t xml:space="preserve"> blended with DAP in enhancing the yield</w:t>
      </w:r>
      <w:r w:rsidR="00305343">
        <w:rPr>
          <w:rFonts w:cstheme="minorHAnsi"/>
          <w:spacing w:val="1"/>
        </w:rPr>
        <w:t>,</w:t>
      </w:r>
      <w:r>
        <w:rPr>
          <w:rFonts w:cstheme="minorHAnsi"/>
          <w:spacing w:val="1"/>
        </w:rPr>
        <w:t xml:space="preserve"> P uptake</w:t>
      </w:r>
      <w:r w:rsidR="00305343">
        <w:rPr>
          <w:rFonts w:cstheme="minorHAnsi"/>
          <w:spacing w:val="1"/>
        </w:rPr>
        <w:t xml:space="preserve"> and recovery</w:t>
      </w:r>
      <w:r>
        <w:rPr>
          <w:rFonts w:cstheme="minorHAnsi"/>
          <w:spacing w:val="1"/>
        </w:rPr>
        <w:t xml:space="preserve"> as compared to sole application of DAP, PAPR, and untreated PR. The Result of the study revealed the fertilizer mixture improving the dry matter accumulation of 12% more as compared to PAPR. The P uptake was found to be 6% more compared to DAP. The relative agronomic efficiency and apparent crop recovery were found to be </w:t>
      </w:r>
      <w:r w:rsidR="00305343">
        <w:rPr>
          <w:rFonts w:cstheme="minorHAnsi"/>
          <w:spacing w:val="1"/>
        </w:rPr>
        <w:t>107% and 54% respectively, which depicts the role of PAPR as slow released fertilizer. The post-harvest soil P indicates strong residual nature with an ability to supply P to succeeding crop. The alkaline phosphatase activity was found to be minimum conveying the presence of P in the soil. It is recommended to use DAP and PAPR in 50:50 proportion to reduce the DAP dependency and simultaneously improving the crop productivity.</w:t>
      </w:r>
    </w:p>
    <w:p w14:paraId="3F6A861C" w14:textId="7E778658" w:rsidR="00305343" w:rsidRPr="00305343" w:rsidRDefault="00305343" w:rsidP="000941AC">
      <w:pPr>
        <w:spacing w:line="360" w:lineRule="auto"/>
        <w:jc w:val="both"/>
        <w:rPr>
          <w:rFonts w:cstheme="minorHAnsi"/>
        </w:rPr>
      </w:pPr>
      <w:r w:rsidRPr="00305343">
        <w:rPr>
          <w:rFonts w:cstheme="minorHAnsi"/>
          <w:b/>
          <w:bCs/>
          <w:spacing w:val="1"/>
        </w:rPr>
        <w:t>Keywords:</w:t>
      </w:r>
      <w:r>
        <w:rPr>
          <w:rFonts w:cstheme="minorHAnsi"/>
          <w:b/>
          <w:bCs/>
          <w:spacing w:val="1"/>
        </w:rPr>
        <w:t xml:space="preserve"> </w:t>
      </w:r>
      <w:r w:rsidRPr="00305343">
        <w:rPr>
          <w:rFonts w:cstheme="minorHAnsi"/>
          <w:spacing w:val="1"/>
        </w:rPr>
        <w:t xml:space="preserve">Yield, </w:t>
      </w:r>
      <w:r w:rsidR="003C12BF">
        <w:rPr>
          <w:rFonts w:cstheme="minorHAnsi"/>
          <w:spacing w:val="1"/>
        </w:rPr>
        <w:t>controlled release fertilizer, DAP, Alkaline phosphatase, Residual</w:t>
      </w:r>
    </w:p>
    <w:p w14:paraId="1E4FD28C" w14:textId="77777777" w:rsidR="000E50B5" w:rsidRDefault="000E50B5" w:rsidP="00790647">
      <w:pPr>
        <w:rPr>
          <w:b/>
          <w:bCs/>
        </w:rPr>
      </w:pPr>
    </w:p>
    <w:p w14:paraId="3B1A5987" w14:textId="77777777" w:rsidR="000E50B5" w:rsidRDefault="000E50B5" w:rsidP="00790647">
      <w:pPr>
        <w:rPr>
          <w:b/>
          <w:bCs/>
        </w:rPr>
      </w:pPr>
    </w:p>
    <w:p w14:paraId="2006067E" w14:textId="3307D29D" w:rsidR="000E50B5" w:rsidRPr="0005530F" w:rsidRDefault="000E50B5" w:rsidP="0005530F">
      <w:pPr>
        <w:pStyle w:val="ListParagraph"/>
        <w:numPr>
          <w:ilvl w:val="0"/>
          <w:numId w:val="1"/>
        </w:numPr>
        <w:rPr>
          <w:b/>
          <w:bCs/>
        </w:rPr>
      </w:pPr>
      <w:r w:rsidRPr="0005530F">
        <w:rPr>
          <w:b/>
          <w:bCs/>
        </w:rPr>
        <w:t>Introduction</w:t>
      </w:r>
    </w:p>
    <w:p w14:paraId="48A4C12B" w14:textId="6BAB8910" w:rsidR="00AA1CEA" w:rsidRDefault="00762237" w:rsidP="00762237">
      <w:pPr>
        <w:spacing w:line="360" w:lineRule="auto"/>
        <w:jc w:val="both"/>
        <w:rPr>
          <w:rFonts w:ascii="Times New Roman" w:hAnsi="Times New Roman" w:cs="Times New Roman"/>
        </w:rPr>
      </w:pPr>
      <w:r w:rsidRPr="00762237">
        <w:rPr>
          <w:rFonts w:asciiTheme="majorHAnsi" w:hAnsiTheme="majorHAnsi" w:cstheme="majorHAnsi"/>
          <w:spacing w:val="1"/>
        </w:rPr>
        <w:t>Phosphorus (P) is a vital nutrient for all living organisms, serving as a structural component of key biomolecules</w:t>
      </w:r>
      <w:r>
        <w:rPr>
          <w:rFonts w:asciiTheme="majorHAnsi" w:hAnsiTheme="majorHAnsi" w:cstheme="majorHAnsi"/>
          <w:spacing w:val="1"/>
        </w:rPr>
        <w:t>, including</w:t>
      </w:r>
      <w:r w:rsidRPr="00762237">
        <w:rPr>
          <w:rFonts w:asciiTheme="majorHAnsi" w:hAnsiTheme="majorHAnsi" w:cstheme="majorHAnsi"/>
          <w:spacing w:val="1"/>
        </w:rPr>
        <w:t xml:space="preserve"> phospholipids in cell membranes and nucleic acids (DNA and RNA). It plays a critical role in plant reproduction, yield formation, and overall agricultural productivity, ranking second only to nitrogen (N) in importance</w:t>
      </w:r>
      <w:r>
        <w:rPr>
          <w:rFonts w:asciiTheme="majorHAnsi" w:hAnsiTheme="majorHAnsi" w:cstheme="majorHAnsi"/>
          <w:spacing w:val="1"/>
        </w:rPr>
        <w:t xml:space="preserve"> (</w:t>
      </w:r>
      <w:r w:rsidRPr="00762237">
        <w:rPr>
          <w:rFonts w:asciiTheme="majorHAnsi" w:hAnsiTheme="majorHAnsi" w:cstheme="majorHAnsi"/>
          <w:spacing w:val="1"/>
        </w:rPr>
        <w:t xml:space="preserve">Che </w:t>
      </w:r>
      <w:r w:rsidR="00236007">
        <w:rPr>
          <w:rFonts w:asciiTheme="majorHAnsi" w:hAnsiTheme="majorHAnsi" w:cstheme="majorHAnsi"/>
          <w:i/>
          <w:iCs/>
          <w:spacing w:val="1"/>
        </w:rPr>
        <w:t>et al.</w:t>
      </w:r>
      <w:r w:rsidRPr="00762237">
        <w:rPr>
          <w:rFonts w:asciiTheme="majorHAnsi" w:hAnsiTheme="majorHAnsi" w:cstheme="majorHAnsi"/>
          <w:spacing w:val="1"/>
        </w:rPr>
        <w:t xml:space="preserve"> 2020</w:t>
      </w:r>
      <w:r>
        <w:rPr>
          <w:rFonts w:asciiTheme="majorHAnsi" w:hAnsiTheme="majorHAnsi" w:cstheme="majorHAnsi"/>
          <w:spacing w:val="1"/>
        </w:rPr>
        <w:t>)</w:t>
      </w:r>
      <w:r w:rsidRPr="00762237">
        <w:rPr>
          <w:rFonts w:asciiTheme="majorHAnsi" w:hAnsiTheme="majorHAnsi" w:cstheme="majorHAnsi"/>
          <w:spacing w:val="1"/>
        </w:rPr>
        <w:t>. Although P is the eleventh most abundant element in the Earth’s crust, it constitutes only 0.02</w:t>
      </w:r>
      <w:r w:rsidR="00AA1CEA">
        <w:rPr>
          <w:rFonts w:asciiTheme="majorHAnsi" w:hAnsiTheme="majorHAnsi" w:cstheme="majorHAnsi"/>
          <w:spacing w:val="1"/>
        </w:rPr>
        <w:t>-</w:t>
      </w:r>
      <w:r w:rsidRPr="00762237">
        <w:rPr>
          <w:rFonts w:asciiTheme="majorHAnsi" w:hAnsiTheme="majorHAnsi" w:cstheme="majorHAnsi"/>
          <w:spacing w:val="1"/>
        </w:rPr>
        <w:t xml:space="preserve">0.5% of soil by weight and is the least mobile among major plant nutrients. </w:t>
      </w:r>
      <w:r w:rsidR="00570D04">
        <w:rPr>
          <w:rFonts w:asciiTheme="majorHAnsi" w:hAnsiTheme="majorHAnsi" w:cstheme="majorHAnsi"/>
          <w:spacing w:val="1"/>
        </w:rPr>
        <w:t>Approximately 0.1% of soil phosphorus (P)</w:t>
      </w:r>
      <w:r w:rsidRPr="00762237">
        <w:rPr>
          <w:rFonts w:asciiTheme="majorHAnsi" w:hAnsiTheme="majorHAnsi" w:cstheme="majorHAnsi"/>
          <w:spacing w:val="1"/>
        </w:rPr>
        <w:t xml:space="preserve"> is plant-available, often limiting crop growth. Notably, cereal grain yields have significantly improved since the early 20th century, coinciding with a 3.5-fold rise in P </w:t>
      </w:r>
      <w:r>
        <w:rPr>
          <w:rFonts w:asciiTheme="majorHAnsi" w:hAnsiTheme="majorHAnsi" w:cstheme="majorHAnsi"/>
          <w:spacing w:val="1"/>
        </w:rPr>
        <w:lastRenderedPageBreak/>
        <w:t>fertiliser</w:t>
      </w:r>
      <w:r w:rsidRPr="00762237">
        <w:rPr>
          <w:rFonts w:asciiTheme="majorHAnsi" w:hAnsiTheme="majorHAnsi" w:cstheme="majorHAnsi"/>
          <w:spacing w:val="1"/>
        </w:rPr>
        <w:t xml:space="preserve"> application</w:t>
      </w:r>
      <w:r>
        <w:rPr>
          <w:rFonts w:asciiTheme="majorHAnsi" w:hAnsiTheme="majorHAnsi" w:cstheme="majorHAnsi"/>
          <w:spacing w:val="1"/>
        </w:rPr>
        <w:t xml:space="preserve"> (</w:t>
      </w:r>
      <w:r>
        <w:rPr>
          <w:rFonts w:ascii="Times New Roman" w:hAnsi="Times New Roman" w:cs="Times New Roman"/>
        </w:rPr>
        <w:t xml:space="preserve">Biswas </w:t>
      </w:r>
      <w:r w:rsidR="00236007">
        <w:rPr>
          <w:rFonts w:ascii="Times New Roman" w:hAnsi="Times New Roman" w:cs="Times New Roman"/>
          <w:i/>
          <w:iCs/>
        </w:rPr>
        <w:t>et al.</w:t>
      </w:r>
      <w:r>
        <w:rPr>
          <w:rFonts w:ascii="Times New Roman" w:hAnsi="Times New Roman" w:cs="Times New Roman"/>
          <w:i/>
          <w:iCs/>
        </w:rPr>
        <w:t xml:space="preserve"> </w:t>
      </w:r>
      <w:r>
        <w:rPr>
          <w:rFonts w:ascii="Times New Roman" w:hAnsi="Times New Roman" w:cs="Times New Roman"/>
        </w:rPr>
        <w:t>2022</w:t>
      </w:r>
      <w:r w:rsidR="00817EF3">
        <w:rPr>
          <w:rFonts w:ascii="Times New Roman" w:hAnsi="Times New Roman" w:cs="Times New Roman"/>
        </w:rPr>
        <w:t>a</w:t>
      </w:r>
      <w:r>
        <w:rPr>
          <w:rFonts w:ascii="Times New Roman" w:hAnsi="Times New Roman" w:cs="Times New Roman"/>
        </w:rPr>
        <w:t>)</w:t>
      </w:r>
      <w:r w:rsidR="00570D04">
        <w:rPr>
          <w:rFonts w:ascii="Times New Roman" w:hAnsi="Times New Roman" w:cs="Times New Roman"/>
        </w:rPr>
        <w:t xml:space="preserve">. </w:t>
      </w:r>
      <w:r w:rsidR="00570D04" w:rsidRPr="00570D04">
        <w:rPr>
          <w:rFonts w:ascii="Times New Roman" w:hAnsi="Times New Roman" w:cs="Times New Roman"/>
        </w:rPr>
        <w:t>Phosphorus (P), together with other essential nutrients, is vital for ensuring global food and nutritional security for the growing population. The lack of any single essential nutrient hinders the attainment of this objective</w:t>
      </w:r>
      <w:r w:rsidR="00AA1CEA" w:rsidRPr="00AA1CEA">
        <w:rPr>
          <w:rFonts w:ascii="Times New Roman" w:hAnsi="Times New Roman" w:cs="Times New Roman"/>
        </w:rPr>
        <w:t>.</w:t>
      </w:r>
    </w:p>
    <w:p w14:paraId="5FAE3675" w14:textId="44CDF123" w:rsidR="00570D04" w:rsidRPr="00AA1CEA" w:rsidRDefault="00AA1CEA" w:rsidP="00762237">
      <w:pPr>
        <w:spacing w:line="360" w:lineRule="auto"/>
        <w:jc w:val="both"/>
        <w:rPr>
          <w:rFonts w:ascii="Times New Roman" w:hAnsi="Times New Roman" w:cs="Times New Roman"/>
        </w:rPr>
      </w:pPr>
      <w:r w:rsidRPr="00AA1CEA">
        <w:rPr>
          <w:rFonts w:ascii="Times New Roman" w:hAnsi="Times New Roman" w:cs="Times New Roman"/>
        </w:rPr>
        <w:t xml:space="preserve"> Phosphorus (P) represents a unique paradox, serving as both an essential, non‑renewable nutrient for agriculture and a potential environmental pollutant. Of the total P extracted from the earth’s crust for food production, only about 15% ultimately enters the human food chain, while the majority is lost to the environment (Suh and </w:t>
      </w:r>
      <w:r w:rsidR="00CD4919">
        <w:rPr>
          <w:rFonts w:ascii="Times New Roman" w:hAnsi="Times New Roman" w:cs="Times New Roman"/>
        </w:rPr>
        <w:t>Y</w:t>
      </w:r>
      <w:r w:rsidRPr="00AA1CEA">
        <w:rPr>
          <w:rFonts w:ascii="Times New Roman" w:hAnsi="Times New Roman" w:cs="Times New Roman"/>
        </w:rPr>
        <w:t>ee, 2011).</w:t>
      </w:r>
      <w:r>
        <w:rPr>
          <w:rFonts w:ascii="Times New Roman" w:hAnsi="Times New Roman" w:cs="Times New Roman"/>
        </w:rPr>
        <w:t xml:space="preserve"> </w:t>
      </w:r>
      <w:r w:rsidR="00570D04" w:rsidRPr="00570D04">
        <w:rPr>
          <w:rFonts w:asciiTheme="majorHAnsi" w:hAnsiTheme="majorHAnsi" w:cstheme="majorHAnsi"/>
        </w:rPr>
        <w:t>Conversely, only about 15</w:t>
      </w:r>
      <w:r w:rsidR="00570D04">
        <w:rPr>
          <w:rFonts w:asciiTheme="majorHAnsi" w:hAnsiTheme="majorHAnsi" w:cstheme="majorHAnsi"/>
        </w:rPr>
        <w:t>-</w:t>
      </w:r>
      <w:r w:rsidR="00570D04" w:rsidRPr="00570D04">
        <w:rPr>
          <w:rFonts w:asciiTheme="majorHAnsi" w:hAnsiTheme="majorHAnsi" w:cstheme="majorHAnsi"/>
        </w:rPr>
        <w:t xml:space="preserve">20% of the applied phosphorus is actually taken up by crops. The low phosphorus use efficiency observed in crop production is mainly due to the rapid transformation of applied phosphorus into unavailable forms through reactions with soil constituents such as calcium, iron, and </w:t>
      </w:r>
      <w:r w:rsidR="00570D04">
        <w:rPr>
          <w:rFonts w:asciiTheme="majorHAnsi" w:hAnsiTheme="majorHAnsi" w:cstheme="majorHAnsi"/>
        </w:rPr>
        <w:t>aluminium (Rashmi and Prakash, 2023</w:t>
      </w:r>
      <w:r>
        <w:rPr>
          <w:rFonts w:asciiTheme="majorHAnsi" w:hAnsiTheme="majorHAnsi" w:cstheme="majorHAnsi"/>
        </w:rPr>
        <w:t xml:space="preserve">). </w:t>
      </w:r>
      <w:r w:rsidRPr="00AA1CEA">
        <w:rPr>
          <w:rFonts w:asciiTheme="majorHAnsi" w:hAnsiTheme="majorHAnsi" w:cstheme="majorHAnsi"/>
        </w:rPr>
        <w:t xml:space="preserve">In recent years, various alternative phosphorus </w:t>
      </w:r>
      <w:r>
        <w:rPr>
          <w:rFonts w:asciiTheme="majorHAnsi" w:hAnsiTheme="majorHAnsi" w:cstheme="majorHAnsi"/>
        </w:rPr>
        <w:t>fertiliser</w:t>
      </w:r>
      <w:r w:rsidRPr="00AA1CEA">
        <w:rPr>
          <w:rFonts w:asciiTheme="majorHAnsi" w:hAnsiTheme="majorHAnsi" w:cstheme="majorHAnsi"/>
        </w:rPr>
        <w:t xml:space="preserve"> sources have been proposed as potential substitutes to mitigate phosphorus deficiency; however, their widespread adoption remains limited due to concerns over their suitability and suboptimal performance under field conditions</w:t>
      </w:r>
      <w:r>
        <w:rPr>
          <w:rFonts w:asciiTheme="majorHAnsi" w:hAnsiTheme="majorHAnsi" w:cstheme="majorHAnsi"/>
        </w:rPr>
        <w:t>, and one of the key alternatives was low grade phosphate rock.</w:t>
      </w:r>
    </w:p>
    <w:p w14:paraId="4453366F" w14:textId="2949FCC9" w:rsidR="00570D04" w:rsidRDefault="00570D04" w:rsidP="00762237">
      <w:pPr>
        <w:spacing w:line="360" w:lineRule="auto"/>
        <w:jc w:val="both"/>
        <w:rPr>
          <w:rFonts w:asciiTheme="majorHAnsi" w:hAnsiTheme="majorHAnsi" w:cstheme="majorHAnsi"/>
        </w:rPr>
      </w:pPr>
      <w:r w:rsidRPr="00570D04">
        <w:rPr>
          <w:rFonts w:asciiTheme="majorHAnsi" w:hAnsiTheme="majorHAnsi" w:cstheme="majorHAnsi"/>
        </w:rPr>
        <w:t xml:space="preserve">India possesses an estimated 260 million tonnes (Mt) of low-grade phosphate rock (LGPR) reserves (FAI, 2012), predominantly located in Udaipur, </w:t>
      </w:r>
      <w:proofErr w:type="spellStart"/>
      <w:r w:rsidRPr="00570D04">
        <w:rPr>
          <w:rFonts w:asciiTheme="majorHAnsi" w:hAnsiTheme="majorHAnsi" w:cstheme="majorHAnsi"/>
        </w:rPr>
        <w:t>Mussoorie</w:t>
      </w:r>
      <w:proofErr w:type="spellEnd"/>
      <w:r w:rsidRPr="00570D04">
        <w:rPr>
          <w:rFonts w:asciiTheme="majorHAnsi" w:hAnsiTheme="majorHAnsi" w:cstheme="majorHAnsi"/>
        </w:rPr>
        <w:t xml:space="preserve">, </w:t>
      </w:r>
      <w:proofErr w:type="spellStart"/>
      <w:r w:rsidRPr="00570D04">
        <w:rPr>
          <w:rFonts w:asciiTheme="majorHAnsi" w:hAnsiTheme="majorHAnsi" w:cstheme="majorHAnsi"/>
        </w:rPr>
        <w:t>Jhabua</w:t>
      </w:r>
      <w:proofErr w:type="spellEnd"/>
      <w:r w:rsidRPr="00570D04">
        <w:rPr>
          <w:rFonts w:asciiTheme="majorHAnsi" w:hAnsiTheme="majorHAnsi" w:cstheme="majorHAnsi"/>
        </w:rPr>
        <w:t xml:space="preserve">, and </w:t>
      </w:r>
      <w:proofErr w:type="spellStart"/>
      <w:r w:rsidRPr="00570D04">
        <w:rPr>
          <w:rFonts w:asciiTheme="majorHAnsi" w:hAnsiTheme="majorHAnsi" w:cstheme="majorHAnsi"/>
        </w:rPr>
        <w:t>Purulia</w:t>
      </w:r>
      <w:proofErr w:type="spellEnd"/>
      <w:r w:rsidRPr="00570D04">
        <w:rPr>
          <w:rFonts w:asciiTheme="majorHAnsi" w:hAnsiTheme="majorHAnsi" w:cstheme="majorHAnsi"/>
        </w:rPr>
        <w:t>. These deposits account for merely 0.2% of the global phosphate reserves (</w:t>
      </w:r>
      <w:proofErr w:type="spellStart"/>
      <w:r w:rsidRPr="00570D04">
        <w:rPr>
          <w:rFonts w:asciiTheme="majorHAnsi" w:hAnsiTheme="majorHAnsi" w:cstheme="majorHAnsi"/>
        </w:rPr>
        <w:t>Kumari</w:t>
      </w:r>
      <w:proofErr w:type="spellEnd"/>
      <w:r w:rsidRPr="00570D04">
        <w:rPr>
          <w:rFonts w:asciiTheme="majorHAnsi" w:hAnsiTheme="majorHAnsi" w:cstheme="majorHAnsi"/>
        </w:rPr>
        <w:t xml:space="preserve"> and </w:t>
      </w:r>
      <w:proofErr w:type="spellStart"/>
      <w:r w:rsidRPr="00570D04">
        <w:rPr>
          <w:rFonts w:asciiTheme="majorHAnsi" w:hAnsiTheme="majorHAnsi" w:cstheme="majorHAnsi"/>
        </w:rPr>
        <w:t>Phogat</w:t>
      </w:r>
      <w:proofErr w:type="spellEnd"/>
      <w:r w:rsidRPr="00570D04">
        <w:rPr>
          <w:rFonts w:asciiTheme="majorHAnsi" w:hAnsiTheme="majorHAnsi" w:cstheme="majorHAnsi"/>
        </w:rPr>
        <w:t xml:space="preserve">, 2008) and are generally unsuitable for large-scale commercial production of phosphatic </w:t>
      </w:r>
      <w:r w:rsidR="00AA1CEA">
        <w:rPr>
          <w:rFonts w:asciiTheme="majorHAnsi" w:hAnsiTheme="majorHAnsi" w:cstheme="majorHAnsi"/>
        </w:rPr>
        <w:t>fertilisers</w:t>
      </w:r>
      <w:r w:rsidRPr="00570D04">
        <w:rPr>
          <w:rFonts w:asciiTheme="majorHAnsi" w:hAnsiTheme="majorHAnsi" w:cstheme="majorHAnsi"/>
        </w:rPr>
        <w:t xml:space="preserve">. Consequently, the country relies heavily on imports of both finished phosphorus </w:t>
      </w:r>
      <w:r w:rsidR="00AA1CEA">
        <w:rPr>
          <w:rFonts w:asciiTheme="majorHAnsi" w:hAnsiTheme="majorHAnsi" w:cstheme="majorHAnsi"/>
        </w:rPr>
        <w:t>fertilisers</w:t>
      </w:r>
      <w:r w:rsidRPr="00570D04">
        <w:rPr>
          <w:rFonts w:asciiTheme="majorHAnsi" w:hAnsiTheme="majorHAnsi" w:cstheme="majorHAnsi"/>
        </w:rPr>
        <w:t xml:space="preserve"> and raw materials such as high-grade phosphate rock (HGPR) and phosphoric acid, incurring an annual expenditure of approximately ₹10,000 crore. Presently, imports </w:t>
      </w:r>
      <w:r w:rsidR="00AA1CEA">
        <w:rPr>
          <w:rFonts w:asciiTheme="majorHAnsi" w:hAnsiTheme="majorHAnsi" w:cstheme="majorHAnsi"/>
        </w:rPr>
        <w:t>fulfil</w:t>
      </w:r>
      <w:r w:rsidRPr="00570D04">
        <w:rPr>
          <w:rFonts w:asciiTheme="majorHAnsi" w:hAnsiTheme="majorHAnsi" w:cstheme="majorHAnsi"/>
        </w:rPr>
        <w:t xml:space="preserve"> about 90% of India’s phosphatic </w:t>
      </w:r>
      <w:r w:rsidR="00AA1CEA">
        <w:rPr>
          <w:rFonts w:asciiTheme="majorHAnsi" w:hAnsiTheme="majorHAnsi" w:cstheme="majorHAnsi"/>
        </w:rPr>
        <w:t>fertiliser</w:t>
      </w:r>
      <w:r w:rsidRPr="00570D04">
        <w:rPr>
          <w:rFonts w:asciiTheme="majorHAnsi" w:hAnsiTheme="majorHAnsi" w:cstheme="majorHAnsi"/>
        </w:rPr>
        <w:t xml:space="preserve"> requirement, with the remaining 10% met through domestic sources. Given their abundance, LGPRs hold potential as a cost-effective alternative to expensive water-soluble phosphorus </w:t>
      </w:r>
      <w:r w:rsidR="00AA1CEA">
        <w:rPr>
          <w:rFonts w:asciiTheme="majorHAnsi" w:hAnsiTheme="majorHAnsi" w:cstheme="majorHAnsi"/>
        </w:rPr>
        <w:t>fertilisers</w:t>
      </w:r>
      <w:r w:rsidRPr="00570D04">
        <w:rPr>
          <w:rFonts w:asciiTheme="majorHAnsi" w:hAnsiTheme="majorHAnsi" w:cstheme="majorHAnsi"/>
        </w:rPr>
        <w:t xml:space="preserve">, including single </w:t>
      </w:r>
      <w:r w:rsidR="00FC7E24">
        <w:rPr>
          <w:rFonts w:asciiTheme="majorHAnsi" w:hAnsiTheme="majorHAnsi" w:cstheme="majorHAnsi"/>
        </w:rPr>
        <w:t>superphosphate (SSP), triple superphosphate (TSP), and diammonium phosphate (DAP) (</w:t>
      </w:r>
      <w:proofErr w:type="spellStart"/>
      <w:r w:rsidR="00FC7E24">
        <w:rPr>
          <w:rFonts w:asciiTheme="majorHAnsi" w:hAnsiTheme="majorHAnsi" w:cstheme="majorHAnsi"/>
        </w:rPr>
        <w:t>Narayanasamy</w:t>
      </w:r>
      <w:proofErr w:type="spellEnd"/>
      <w:r w:rsidR="00FC7E24">
        <w:rPr>
          <w:rFonts w:asciiTheme="majorHAnsi" w:hAnsiTheme="majorHAnsi" w:cstheme="majorHAnsi"/>
        </w:rPr>
        <w:t xml:space="preserve"> and Biswas, 1998; </w:t>
      </w:r>
      <w:proofErr w:type="spellStart"/>
      <w:r w:rsidR="00FC7E24">
        <w:rPr>
          <w:rFonts w:asciiTheme="majorHAnsi" w:hAnsiTheme="majorHAnsi" w:cstheme="majorHAnsi"/>
        </w:rPr>
        <w:t>Ndeleko-Barasa</w:t>
      </w:r>
      <w:proofErr w:type="spellEnd"/>
      <w:r w:rsidR="00FC7E24">
        <w:rPr>
          <w:rFonts w:asciiTheme="majorHAnsi" w:hAnsiTheme="majorHAnsi" w:cstheme="majorHAnsi"/>
        </w:rPr>
        <w:t xml:space="preserve"> </w:t>
      </w:r>
      <w:r w:rsidR="00236007">
        <w:rPr>
          <w:rFonts w:asciiTheme="majorHAnsi" w:hAnsiTheme="majorHAnsi" w:cstheme="majorHAnsi"/>
          <w:i/>
          <w:iCs/>
        </w:rPr>
        <w:t>et al.</w:t>
      </w:r>
      <w:r w:rsidR="00FC7E24">
        <w:rPr>
          <w:rFonts w:asciiTheme="majorHAnsi" w:hAnsiTheme="majorHAnsi" w:cstheme="majorHAnsi"/>
        </w:rPr>
        <w:t xml:space="preserve"> </w:t>
      </w:r>
      <w:r w:rsidR="00DC2718" w:rsidRPr="00DC2718">
        <w:rPr>
          <w:rFonts w:asciiTheme="majorHAnsi" w:hAnsiTheme="majorHAnsi" w:cstheme="majorHAnsi"/>
        </w:rPr>
        <w:t>2021</w:t>
      </w:r>
      <w:r w:rsidR="00DC2718">
        <w:rPr>
          <w:rFonts w:asciiTheme="majorHAnsi" w:hAnsiTheme="majorHAnsi" w:cstheme="majorHAnsi"/>
        </w:rPr>
        <w:t>).</w:t>
      </w:r>
    </w:p>
    <w:p w14:paraId="413DEC64" w14:textId="7A157DA4" w:rsidR="00DC2718" w:rsidRDefault="00DC2718" w:rsidP="00762237">
      <w:pPr>
        <w:spacing w:line="360" w:lineRule="auto"/>
        <w:jc w:val="both"/>
        <w:rPr>
          <w:rFonts w:asciiTheme="majorHAnsi" w:hAnsiTheme="majorHAnsi" w:cstheme="majorHAnsi"/>
        </w:rPr>
      </w:pPr>
      <w:r>
        <w:rPr>
          <w:rFonts w:asciiTheme="majorHAnsi" w:hAnsiTheme="majorHAnsi" w:cstheme="majorHAnsi"/>
        </w:rPr>
        <w:t>Most of the earlier research work emphasised the use of LGP</w:t>
      </w:r>
      <w:r w:rsidR="0006615C">
        <w:rPr>
          <w:rFonts w:asciiTheme="majorHAnsi" w:hAnsiTheme="majorHAnsi" w:cstheme="majorHAnsi"/>
        </w:rPr>
        <w:t>R</w:t>
      </w:r>
      <w:r>
        <w:rPr>
          <w:rFonts w:asciiTheme="majorHAnsi" w:hAnsiTheme="majorHAnsi" w:cstheme="majorHAnsi"/>
        </w:rPr>
        <w:t xml:space="preserve"> directly in the field or partially acidulating the LGRP with a varying degree of acidulation, and it opened a research gap of combining the water-soluble fertiliser and acidulated LG</w:t>
      </w:r>
      <w:r w:rsidR="0006615C">
        <w:rPr>
          <w:rFonts w:asciiTheme="majorHAnsi" w:hAnsiTheme="majorHAnsi" w:cstheme="majorHAnsi"/>
        </w:rPr>
        <w:t>PR</w:t>
      </w:r>
      <w:r>
        <w:rPr>
          <w:rFonts w:asciiTheme="majorHAnsi" w:hAnsiTheme="majorHAnsi" w:cstheme="majorHAnsi"/>
        </w:rPr>
        <w:t xml:space="preserve"> in a proportion mixture to evaluate their efficiency in augmenting the agricultural productivity. In the current investigation, this research gap was addressed using maize as a test crop.</w:t>
      </w:r>
    </w:p>
    <w:p w14:paraId="3560E7F0" w14:textId="125BC649" w:rsidR="00DC2718" w:rsidRPr="0005530F" w:rsidRDefault="00DC2718" w:rsidP="0005530F">
      <w:pPr>
        <w:pStyle w:val="ListParagraph"/>
        <w:numPr>
          <w:ilvl w:val="0"/>
          <w:numId w:val="1"/>
        </w:numPr>
        <w:spacing w:line="360" w:lineRule="auto"/>
        <w:jc w:val="both"/>
        <w:rPr>
          <w:rFonts w:asciiTheme="majorHAnsi" w:hAnsiTheme="majorHAnsi" w:cstheme="majorHAnsi"/>
        </w:rPr>
      </w:pPr>
      <w:r w:rsidRPr="0005530F">
        <w:rPr>
          <w:rFonts w:asciiTheme="majorHAnsi" w:hAnsiTheme="majorHAnsi" w:cstheme="majorHAnsi"/>
          <w:b/>
          <w:bCs/>
        </w:rPr>
        <w:lastRenderedPageBreak/>
        <w:t>Material and methods</w:t>
      </w:r>
    </w:p>
    <w:p w14:paraId="7A463B16" w14:textId="38B00200" w:rsidR="00AA1CEA" w:rsidRDefault="0006615C" w:rsidP="00762237">
      <w:pPr>
        <w:spacing w:line="360" w:lineRule="auto"/>
        <w:jc w:val="both"/>
        <w:rPr>
          <w:rFonts w:asciiTheme="majorHAnsi" w:hAnsiTheme="majorHAnsi" w:cstheme="majorHAnsi"/>
        </w:rPr>
      </w:pPr>
      <w:r>
        <w:rPr>
          <w:rFonts w:asciiTheme="majorHAnsi" w:hAnsiTheme="majorHAnsi" w:cstheme="majorHAnsi"/>
        </w:rPr>
        <w:t xml:space="preserve">The low grade phosphate </w:t>
      </w:r>
      <w:r w:rsidRPr="0006615C">
        <w:rPr>
          <w:rFonts w:asciiTheme="majorHAnsi" w:hAnsiTheme="majorHAnsi" w:cstheme="majorHAnsi"/>
        </w:rPr>
        <w:t xml:space="preserve">rock </w:t>
      </w:r>
      <w:r>
        <w:rPr>
          <w:rFonts w:asciiTheme="majorHAnsi" w:hAnsiTheme="majorHAnsi" w:cstheme="majorHAnsi"/>
        </w:rPr>
        <w:t xml:space="preserve">(LGPR) was collected from the </w:t>
      </w:r>
      <w:proofErr w:type="spellStart"/>
      <w:r>
        <w:rPr>
          <w:rFonts w:asciiTheme="majorHAnsi" w:hAnsiTheme="majorHAnsi" w:cstheme="majorHAnsi"/>
        </w:rPr>
        <w:t>Beldih</w:t>
      </w:r>
      <w:proofErr w:type="spellEnd"/>
      <w:r>
        <w:rPr>
          <w:rFonts w:asciiTheme="majorHAnsi" w:hAnsiTheme="majorHAnsi" w:cstheme="majorHAnsi"/>
        </w:rPr>
        <w:t xml:space="preserve"> mines of </w:t>
      </w:r>
      <w:proofErr w:type="spellStart"/>
      <w:r>
        <w:rPr>
          <w:rFonts w:asciiTheme="majorHAnsi" w:hAnsiTheme="majorHAnsi" w:cstheme="majorHAnsi"/>
        </w:rPr>
        <w:t>Purulia</w:t>
      </w:r>
      <w:proofErr w:type="spellEnd"/>
      <w:r>
        <w:rPr>
          <w:rFonts w:asciiTheme="majorHAnsi" w:hAnsiTheme="majorHAnsi" w:cstheme="majorHAnsi"/>
        </w:rPr>
        <w:t xml:space="preserve"> district of West Bengal. The rocks were crushed using a roller mill and passed through a 75µ sieve for further processing. For partial acidulation of LGPR. It was treated with H</w:t>
      </w:r>
      <w:r w:rsidRPr="0006615C">
        <w:rPr>
          <w:rFonts w:asciiTheme="majorHAnsi" w:hAnsiTheme="majorHAnsi" w:cstheme="majorHAnsi"/>
          <w:vertAlign w:val="subscript"/>
        </w:rPr>
        <w:t>3</w:t>
      </w:r>
      <w:r>
        <w:rPr>
          <w:rFonts w:asciiTheme="majorHAnsi" w:hAnsiTheme="majorHAnsi" w:cstheme="majorHAnsi"/>
        </w:rPr>
        <w:t>PO</w:t>
      </w:r>
      <w:r w:rsidRPr="0006615C">
        <w:rPr>
          <w:rFonts w:asciiTheme="majorHAnsi" w:hAnsiTheme="majorHAnsi" w:cstheme="majorHAnsi"/>
          <w:vertAlign w:val="subscript"/>
        </w:rPr>
        <w:t>4</w:t>
      </w:r>
      <w:r>
        <w:rPr>
          <w:rFonts w:asciiTheme="majorHAnsi" w:hAnsiTheme="majorHAnsi" w:cstheme="majorHAnsi"/>
        </w:rPr>
        <w:t xml:space="preserve"> with a 50% degree of acidulation. The quantity of acid used for partial acidulation was calculated as mentioned by Ashby </w:t>
      </w:r>
      <w:r w:rsidR="00236007">
        <w:rPr>
          <w:rFonts w:asciiTheme="majorHAnsi" w:hAnsiTheme="majorHAnsi" w:cstheme="majorHAnsi"/>
        </w:rPr>
        <w:t>et al.</w:t>
      </w:r>
      <w:r>
        <w:rPr>
          <w:rFonts w:asciiTheme="majorHAnsi" w:hAnsiTheme="majorHAnsi" w:cstheme="majorHAnsi"/>
        </w:rPr>
        <w:t xml:space="preserve"> (1966). Then it was characterised for the </w:t>
      </w:r>
      <w:r w:rsidR="00EC2736">
        <w:rPr>
          <w:rFonts w:asciiTheme="majorHAnsi" w:hAnsiTheme="majorHAnsi" w:cstheme="majorHAnsi"/>
        </w:rPr>
        <w:t xml:space="preserve">different forms of </w:t>
      </w:r>
      <w:r>
        <w:rPr>
          <w:rFonts w:asciiTheme="majorHAnsi" w:hAnsiTheme="majorHAnsi" w:cstheme="majorHAnsi"/>
        </w:rPr>
        <w:t>P content</w:t>
      </w:r>
      <w:r w:rsidR="00EC2736">
        <w:rPr>
          <w:rFonts w:asciiTheme="majorHAnsi" w:hAnsiTheme="majorHAnsi" w:cstheme="majorHAnsi"/>
        </w:rPr>
        <w:t xml:space="preserve"> as </w:t>
      </w:r>
      <w:r w:rsidR="00531043">
        <w:rPr>
          <w:rFonts w:asciiTheme="majorHAnsi" w:hAnsiTheme="majorHAnsi" w:cstheme="majorHAnsi"/>
        </w:rPr>
        <w:t>outlined</w:t>
      </w:r>
      <w:r w:rsidR="00EC2736">
        <w:rPr>
          <w:rFonts w:asciiTheme="majorHAnsi" w:hAnsiTheme="majorHAnsi" w:cstheme="majorHAnsi"/>
        </w:rPr>
        <w:t xml:space="preserve"> by </w:t>
      </w:r>
      <w:r w:rsidR="00EC2736" w:rsidRPr="0021320D">
        <w:rPr>
          <w:rFonts w:asciiTheme="majorHAnsi" w:hAnsiTheme="majorHAnsi" w:cstheme="majorHAnsi"/>
        </w:rPr>
        <w:t xml:space="preserve">the </w:t>
      </w:r>
      <w:r w:rsidR="00531043">
        <w:rPr>
          <w:rFonts w:asciiTheme="majorHAnsi" w:hAnsiTheme="majorHAnsi" w:cstheme="majorHAnsi"/>
        </w:rPr>
        <w:t>Fertiliser</w:t>
      </w:r>
      <w:r w:rsidR="00EC2736" w:rsidRPr="0021320D">
        <w:rPr>
          <w:rFonts w:asciiTheme="majorHAnsi" w:hAnsiTheme="majorHAnsi" w:cstheme="majorHAnsi"/>
        </w:rPr>
        <w:t xml:space="preserve"> (Control) Order (</w:t>
      </w:r>
      <w:commentRangeStart w:id="2"/>
      <w:r w:rsidR="00EC2736" w:rsidRPr="0021320D">
        <w:rPr>
          <w:rFonts w:asciiTheme="majorHAnsi" w:hAnsiTheme="majorHAnsi" w:cstheme="majorHAnsi"/>
        </w:rPr>
        <w:t>FCO</w:t>
      </w:r>
      <w:commentRangeEnd w:id="2"/>
      <w:r w:rsidR="00A8543B">
        <w:rPr>
          <w:rStyle w:val="CommentReference"/>
        </w:rPr>
        <w:commentReference w:id="2"/>
      </w:r>
      <w:r w:rsidR="00EC2736" w:rsidRPr="0021320D">
        <w:rPr>
          <w:rFonts w:asciiTheme="majorHAnsi" w:hAnsiTheme="majorHAnsi" w:cstheme="majorHAnsi"/>
        </w:rPr>
        <w:t>, 1985)</w:t>
      </w:r>
      <w:r>
        <w:rPr>
          <w:rFonts w:asciiTheme="majorHAnsi" w:hAnsiTheme="majorHAnsi" w:cstheme="majorHAnsi"/>
        </w:rPr>
        <w:t xml:space="preserve">. The soil used for the pot experiment was collected from the </w:t>
      </w:r>
      <w:proofErr w:type="spellStart"/>
      <w:r>
        <w:rPr>
          <w:rFonts w:asciiTheme="majorHAnsi" w:hAnsiTheme="majorHAnsi" w:cstheme="majorHAnsi"/>
        </w:rPr>
        <w:t>Sakteshgarh</w:t>
      </w:r>
      <w:proofErr w:type="spellEnd"/>
      <w:r>
        <w:rPr>
          <w:rFonts w:asciiTheme="majorHAnsi" w:hAnsiTheme="majorHAnsi" w:cstheme="majorHAnsi"/>
        </w:rPr>
        <w:t xml:space="preserve"> region of </w:t>
      </w:r>
      <w:proofErr w:type="spellStart"/>
      <w:r>
        <w:rPr>
          <w:rFonts w:asciiTheme="majorHAnsi" w:hAnsiTheme="majorHAnsi" w:cstheme="majorHAnsi"/>
        </w:rPr>
        <w:t>Mirzapur</w:t>
      </w:r>
      <w:proofErr w:type="spellEnd"/>
      <w:r>
        <w:rPr>
          <w:rFonts w:asciiTheme="majorHAnsi" w:hAnsiTheme="majorHAnsi" w:cstheme="majorHAnsi"/>
        </w:rPr>
        <w:t xml:space="preserve"> district of Uttar Pradesh. The physicochemical properties of the bulk soil are presented in Table 1. </w:t>
      </w:r>
    </w:p>
    <w:p w14:paraId="0948126C" w14:textId="275374A5" w:rsidR="00C2586D" w:rsidRPr="00C2586D" w:rsidRDefault="00C2586D" w:rsidP="00762237">
      <w:pPr>
        <w:spacing w:line="360" w:lineRule="auto"/>
        <w:jc w:val="both"/>
        <w:rPr>
          <w:rFonts w:asciiTheme="majorHAnsi" w:hAnsiTheme="majorHAnsi" w:cstheme="majorHAnsi"/>
          <w:b/>
          <w:bCs/>
        </w:rPr>
      </w:pPr>
      <w:r w:rsidRPr="00C2586D">
        <w:rPr>
          <w:rFonts w:asciiTheme="majorHAnsi" w:hAnsiTheme="majorHAnsi" w:cstheme="majorHAnsi"/>
          <w:b/>
          <w:bCs/>
        </w:rPr>
        <w:t>Table 1. The physicochemical properties of bulk soil.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59"/>
      </w:tblGrid>
      <w:tr w:rsidR="00C2586D" w14:paraId="13AF706A" w14:textId="77777777" w:rsidTr="00F95425">
        <w:tc>
          <w:tcPr>
            <w:tcW w:w="3256" w:type="dxa"/>
            <w:tcBorders>
              <w:top w:val="single" w:sz="4" w:space="0" w:color="auto"/>
              <w:bottom w:val="single" w:sz="4" w:space="0" w:color="auto"/>
              <w:right w:val="single" w:sz="4" w:space="0" w:color="auto"/>
            </w:tcBorders>
          </w:tcPr>
          <w:p w14:paraId="162F9945" w14:textId="09A84E51" w:rsidR="00C2586D" w:rsidRPr="00C2586D" w:rsidRDefault="00C2586D" w:rsidP="005B2C27">
            <w:pPr>
              <w:spacing w:line="360" w:lineRule="auto"/>
              <w:rPr>
                <w:rFonts w:asciiTheme="majorHAnsi" w:hAnsiTheme="majorHAnsi" w:cstheme="majorHAnsi"/>
                <w:b/>
                <w:bCs/>
              </w:rPr>
            </w:pPr>
            <w:r w:rsidRPr="00C2586D">
              <w:rPr>
                <w:rFonts w:asciiTheme="majorHAnsi" w:hAnsiTheme="majorHAnsi" w:cstheme="majorHAnsi"/>
                <w:b/>
                <w:bCs/>
              </w:rPr>
              <w:t>Physicochemical properties</w:t>
            </w:r>
          </w:p>
        </w:tc>
        <w:tc>
          <w:tcPr>
            <w:tcW w:w="1559" w:type="dxa"/>
            <w:tcBorders>
              <w:top w:val="single" w:sz="4" w:space="0" w:color="auto"/>
              <w:left w:val="single" w:sz="4" w:space="0" w:color="auto"/>
              <w:bottom w:val="single" w:sz="4" w:space="0" w:color="auto"/>
            </w:tcBorders>
          </w:tcPr>
          <w:p w14:paraId="3B179B59" w14:textId="0A453BCB" w:rsidR="00C2586D" w:rsidRPr="00C2586D" w:rsidRDefault="00C2586D" w:rsidP="005B2C27">
            <w:pPr>
              <w:spacing w:line="360" w:lineRule="auto"/>
              <w:jc w:val="center"/>
              <w:rPr>
                <w:rFonts w:asciiTheme="majorHAnsi" w:hAnsiTheme="majorHAnsi" w:cstheme="majorHAnsi"/>
                <w:b/>
                <w:bCs/>
              </w:rPr>
            </w:pPr>
            <w:r w:rsidRPr="00C2586D">
              <w:rPr>
                <w:rFonts w:asciiTheme="majorHAnsi" w:hAnsiTheme="majorHAnsi" w:cstheme="majorHAnsi"/>
                <w:b/>
                <w:bCs/>
              </w:rPr>
              <w:t>Values</w:t>
            </w:r>
          </w:p>
        </w:tc>
      </w:tr>
      <w:tr w:rsidR="00C2586D" w14:paraId="2B7F5F84" w14:textId="77777777" w:rsidTr="00F95425">
        <w:tc>
          <w:tcPr>
            <w:tcW w:w="3256" w:type="dxa"/>
            <w:tcBorders>
              <w:top w:val="single" w:sz="4" w:space="0" w:color="auto"/>
              <w:right w:val="single" w:sz="4" w:space="0" w:color="auto"/>
            </w:tcBorders>
          </w:tcPr>
          <w:p w14:paraId="4C784622" w14:textId="69856DAA" w:rsidR="00C2586D" w:rsidRDefault="00C2586D" w:rsidP="005B2C27">
            <w:pPr>
              <w:spacing w:line="360" w:lineRule="auto"/>
              <w:rPr>
                <w:rFonts w:asciiTheme="majorHAnsi" w:hAnsiTheme="majorHAnsi" w:cstheme="majorHAnsi"/>
              </w:rPr>
            </w:pPr>
            <w:r>
              <w:rPr>
                <w:rFonts w:asciiTheme="majorHAnsi" w:hAnsiTheme="majorHAnsi" w:cstheme="majorHAnsi"/>
              </w:rPr>
              <w:t>Ph (1:2.5)</w:t>
            </w:r>
          </w:p>
        </w:tc>
        <w:tc>
          <w:tcPr>
            <w:tcW w:w="1559" w:type="dxa"/>
            <w:tcBorders>
              <w:top w:val="single" w:sz="4" w:space="0" w:color="auto"/>
              <w:left w:val="single" w:sz="4" w:space="0" w:color="auto"/>
            </w:tcBorders>
          </w:tcPr>
          <w:p w14:paraId="3D2765F6" w14:textId="045577C7" w:rsidR="00C2586D" w:rsidRDefault="005B2C27" w:rsidP="005B2C27">
            <w:pPr>
              <w:spacing w:line="360" w:lineRule="auto"/>
              <w:jc w:val="center"/>
              <w:rPr>
                <w:rFonts w:asciiTheme="majorHAnsi" w:hAnsiTheme="majorHAnsi" w:cstheme="majorHAnsi"/>
              </w:rPr>
            </w:pPr>
            <w:r>
              <w:rPr>
                <w:rFonts w:asciiTheme="majorHAnsi" w:hAnsiTheme="majorHAnsi" w:cstheme="majorHAnsi"/>
              </w:rPr>
              <w:t>4.85</w:t>
            </w:r>
          </w:p>
        </w:tc>
      </w:tr>
      <w:tr w:rsidR="00C2586D" w14:paraId="1A2E551E" w14:textId="77777777" w:rsidTr="00F95425">
        <w:tc>
          <w:tcPr>
            <w:tcW w:w="3256" w:type="dxa"/>
            <w:tcBorders>
              <w:right w:val="single" w:sz="4" w:space="0" w:color="auto"/>
            </w:tcBorders>
          </w:tcPr>
          <w:p w14:paraId="508019ED" w14:textId="0DFC11FB" w:rsidR="00C2586D" w:rsidRDefault="00C2586D" w:rsidP="005B2C27">
            <w:pPr>
              <w:spacing w:line="360" w:lineRule="auto"/>
              <w:rPr>
                <w:rFonts w:asciiTheme="majorHAnsi" w:hAnsiTheme="majorHAnsi" w:cstheme="majorHAnsi"/>
              </w:rPr>
            </w:pPr>
            <w:r>
              <w:rPr>
                <w:rFonts w:asciiTheme="majorHAnsi" w:hAnsiTheme="majorHAnsi" w:cstheme="majorHAnsi"/>
              </w:rPr>
              <w:t xml:space="preserve">EC </w:t>
            </w:r>
            <w:r w:rsidRPr="00C2586D">
              <w:rPr>
                <w:rFonts w:asciiTheme="majorHAnsi" w:hAnsiTheme="majorHAnsi" w:cstheme="majorHAnsi"/>
              </w:rPr>
              <w:t>(1:2.5)</w:t>
            </w:r>
            <w:r>
              <w:rPr>
                <w:rFonts w:asciiTheme="majorHAnsi" w:hAnsiTheme="majorHAnsi" w:cstheme="majorHAnsi"/>
              </w:rPr>
              <w:t xml:space="preserve"> (</w:t>
            </w:r>
            <w:proofErr w:type="spellStart"/>
            <w:r>
              <w:rPr>
                <w:rFonts w:asciiTheme="majorHAnsi" w:hAnsiTheme="majorHAnsi" w:cstheme="majorHAnsi"/>
              </w:rPr>
              <w:t>dS</w:t>
            </w:r>
            <w:proofErr w:type="spellEnd"/>
            <w:r>
              <w:rPr>
                <w:rFonts w:asciiTheme="majorHAnsi" w:hAnsiTheme="majorHAnsi" w:cstheme="majorHAnsi"/>
              </w:rPr>
              <w:t xml:space="preserve"> m</w:t>
            </w:r>
            <w:r w:rsidRPr="00C2586D">
              <w:rPr>
                <w:rFonts w:asciiTheme="majorHAnsi" w:hAnsiTheme="majorHAnsi" w:cstheme="majorHAnsi"/>
                <w:vertAlign w:val="superscript"/>
              </w:rPr>
              <w:t>-1</w:t>
            </w:r>
            <w:r>
              <w:rPr>
                <w:rFonts w:asciiTheme="majorHAnsi" w:hAnsiTheme="majorHAnsi" w:cstheme="majorHAnsi"/>
              </w:rPr>
              <w:t>)</w:t>
            </w:r>
          </w:p>
        </w:tc>
        <w:tc>
          <w:tcPr>
            <w:tcW w:w="1559" w:type="dxa"/>
            <w:tcBorders>
              <w:left w:val="single" w:sz="4" w:space="0" w:color="auto"/>
            </w:tcBorders>
          </w:tcPr>
          <w:p w14:paraId="5D6F842B" w14:textId="60F9EED0" w:rsidR="00C2586D" w:rsidRDefault="005B2C27" w:rsidP="005B2C27">
            <w:pPr>
              <w:spacing w:line="360" w:lineRule="auto"/>
              <w:jc w:val="center"/>
              <w:rPr>
                <w:rFonts w:asciiTheme="majorHAnsi" w:hAnsiTheme="majorHAnsi" w:cstheme="majorHAnsi"/>
              </w:rPr>
            </w:pPr>
            <w:r>
              <w:rPr>
                <w:rFonts w:asciiTheme="majorHAnsi" w:hAnsiTheme="majorHAnsi" w:cstheme="majorHAnsi"/>
              </w:rPr>
              <w:t>0.127</w:t>
            </w:r>
          </w:p>
        </w:tc>
      </w:tr>
      <w:tr w:rsidR="00C2586D" w14:paraId="0A1133A8" w14:textId="77777777" w:rsidTr="00F95425">
        <w:tc>
          <w:tcPr>
            <w:tcW w:w="3256" w:type="dxa"/>
            <w:tcBorders>
              <w:right w:val="single" w:sz="4" w:space="0" w:color="auto"/>
            </w:tcBorders>
          </w:tcPr>
          <w:p w14:paraId="7E841E29" w14:textId="2A767266" w:rsidR="00C2586D" w:rsidRDefault="00C2586D" w:rsidP="005B2C27">
            <w:pPr>
              <w:spacing w:line="360" w:lineRule="auto"/>
              <w:rPr>
                <w:rFonts w:asciiTheme="majorHAnsi" w:hAnsiTheme="majorHAnsi" w:cstheme="majorHAnsi"/>
              </w:rPr>
            </w:pPr>
            <w:r>
              <w:rPr>
                <w:rFonts w:asciiTheme="majorHAnsi" w:hAnsiTheme="majorHAnsi" w:cstheme="majorHAnsi"/>
              </w:rPr>
              <w:t>Texture</w:t>
            </w:r>
          </w:p>
        </w:tc>
        <w:tc>
          <w:tcPr>
            <w:tcW w:w="1559" w:type="dxa"/>
            <w:tcBorders>
              <w:left w:val="single" w:sz="4" w:space="0" w:color="auto"/>
            </w:tcBorders>
          </w:tcPr>
          <w:p w14:paraId="2D8608ED" w14:textId="602AC54B" w:rsidR="00C2586D" w:rsidRDefault="005B2C27" w:rsidP="005B2C27">
            <w:pPr>
              <w:spacing w:line="360" w:lineRule="auto"/>
              <w:jc w:val="center"/>
              <w:rPr>
                <w:rFonts w:asciiTheme="majorHAnsi" w:hAnsiTheme="majorHAnsi" w:cstheme="majorHAnsi"/>
              </w:rPr>
            </w:pPr>
            <w:r>
              <w:rPr>
                <w:rFonts w:asciiTheme="majorHAnsi" w:hAnsiTheme="majorHAnsi" w:cstheme="majorHAnsi"/>
              </w:rPr>
              <w:t>Sandy loam</w:t>
            </w:r>
          </w:p>
        </w:tc>
      </w:tr>
      <w:tr w:rsidR="00C2586D" w14:paraId="473AA7D0" w14:textId="77777777" w:rsidTr="00F95425">
        <w:tc>
          <w:tcPr>
            <w:tcW w:w="3256" w:type="dxa"/>
            <w:tcBorders>
              <w:right w:val="single" w:sz="4" w:space="0" w:color="auto"/>
            </w:tcBorders>
          </w:tcPr>
          <w:p w14:paraId="50F7796A" w14:textId="58C9DEC2" w:rsidR="00C2586D" w:rsidRDefault="00C2586D" w:rsidP="005B2C27">
            <w:pPr>
              <w:spacing w:line="360" w:lineRule="auto"/>
              <w:rPr>
                <w:rFonts w:asciiTheme="majorHAnsi" w:hAnsiTheme="majorHAnsi" w:cstheme="majorHAnsi"/>
              </w:rPr>
            </w:pPr>
            <w:r>
              <w:rPr>
                <w:rFonts w:asciiTheme="majorHAnsi" w:hAnsiTheme="majorHAnsi" w:cstheme="majorHAnsi"/>
              </w:rPr>
              <w:t>Sand (%)</w:t>
            </w:r>
          </w:p>
        </w:tc>
        <w:tc>
          <w:tcPr>
            <w:tcW w:w="1559" w:type="dxa"/>
            <w:tcBorders>
              <w:left w:val="single" w:sz="4" w:space="0" w:color="auto"/>
            </w:tcBorders>
          </w:tcPr>
          <w:p w14:paraId="40F9B8FD" w14:textId="179BF605" w:rsidR="00C2586D" w:rsidRDefault="005B2C27" w:rsidP="005B2C27">
            <w:pPr>
              <w:spacing w:line="360" w:lineRule="auto"/>
              <w:jc w:val="center"/>
              <w:rPr>
                <w:rFonts w:asciiTheme="majorHAnsi" w:hAnsiTheme="majorHAnsi" w:cstheme="majorHAnsi"/>
              </w:rPr>
            </w:pPr>
            <w:r>
              <w:rPr>
                <w:rFonts w:asciiTheme="majorHAnsi" w:hAnsiTheme="majorHAnsi" w:cstheme="majorHAnsi"/>
              </w:rPr>
              <w:t>65</w:t>
            </w:r>
          </w:p>
        </w:tc>
      </w:tr>
      <w:tr w:rsidR="00C2586D" w14:paraId="763EB6FE" w14:textId="77777777" w:rsidTr="00F95425">
        <w:tc>
          <w:tcPr>
            <w:tcW w:w="3256" w:type="dxa"/>
            <w:tcBorders>
              <w:right w:val="single" w:sz="4" w:space="0" w:color="auto"/>
            </w:tcBorders>
          </w:tcPr>
          <w:p w14:paraId="3044B19A" w14:textId="19AF3F15" w:rsidR="00C2586D" w:rsidRDefault="00C2586D" w:rsidP="005B2C27">
            <w:pPr>
              <w:spacing w:line="360" w:lineRule="auto"/>
              <w:rPr>
                <w:rFonts w:asciiTheme="majorHAnsi" w:hAnsiTheme="majorHAnsi" w:cstheme="majorHAnsi"/>
              </w:rPr>
            </w:pPr>
            <w:r>
              <w:rPr>
                <w:rFonts w:asciiTheme="majorHAnsi" w:hAnsiTheme="majorHAnsi" w:cstheme="majorHAnsi"/>
              </w:rPr>
              <w:t>Silt (%)</w:t>
            </w:r>
          </w:p>
        </w:tc>
        <w:tc>
          <w:tcPr>
            <w:tcW w:w="1559" w:type="dxa"/>
            <w:tcBorders>
              <w:left w:val="single" w:sz="4" w:space="0" w:color="auto"/>
            </w:tcBorders>
          </w:tcPr>
          <w:p w14:paraId="565E2F05" w14:textId="26109C91" w:rsidR="00C2586D" w:rsidRDefault="005B2C27" w:rsidP="005B2C27">
            <w:pPr>
              <w:spacing w:line="360" w:lineRule="auto"/>
              <w:jc w:val="center"/>
              <w:rPr>
                <w:rFonts w:asciiTheme="majorHAnsi" w:hAnsiTheme="majorHAnsi" w:cstheme="majorHAnsi"/>
              </w:rPr>
            </w:pPr>
            <w:r>
              <w:rPr>
                <w:rFonts w:asciiTheme="majorHAnsi" w:hAnsiTheme="majorHAnsi" w:cstheme="majorHAnsi"/>
              </w:rPr>
              <w:t>20</w:t>
            </w:r>
          </w:p>
        </w:tc>
      </w:tr>
      <w:tr w:rsidR="00C2586D" w14:paraId="5E527E15" w14:textId="77777777" w:rsidTr="00F95425">
        <w:tc>
          <w:tcPr>
            <w:tcW w:w="3256" w:type="dxa"/>
            <w:tcBorders>
              <w:right w:val="single" w:sz="4" w:space="0" w:color="auto"/>
            </w:tcBorders>
          </w:tcPr>
          <w:p w14:paraId="1DC43C9D" w14:textId="368DF8E5" w:rsidR="00C2586D" w:rsidRDefault="00C2586D" w:rsidP="005B2C27">
            <w:pPr>
              <w:spacing w:line="360" w:lineRule="auto"/>
              <w:rPr>
                <w:rFonts w:asciiTheme="majorHAnsi" w:hAnsiTheme="majorHAnsi" w:cstheme="majorHAnsi"/>
              </w:rPr>
            </w:pPr>
            <w:r>
              <w:rPr>
                <w:rFonts w:asciiTheme="majorHAnsi" w:hAnsiTheme="majorHAnsi" w:cstheme="majorHAnsi"/>
              </w:rPr>
              <w:t>Clay (%)</w:t>
            </w:r>
          </w:p>
        </w:tc>
        <w:tc>
          <w:tcPr>
            <w:tcW w:w="1559" w:type="dxa"/>
            <w:tcBorders>
              <w:left w:val="single" w:sz="4" w:space="0" w:color="auto"/>
            </w:tcBorders>
          </w:tcPr>
          <w:p w14:paraId="0C561AE5" w14:textId="2024590E" w:rsidR="00C2586D" w:rsidRDefault="005B2C27" w:rsidP="005B2C27">
            <w:pPr>
              <w:spacing w:line="360" w:lineRule="auto"/>
              <w:jc w:val="center"/>
              <w:rPr>
                <w:rFonts w:asciiTheme="majorHAnsi" w:hAnsiTheme="majorHAnsi" w:cstheme="majorHAnsi"/>
              </w:rPr>
            </w:pPr>
            <w:r>
              <w:rPr>
                <w:rFonts w:asciiTheme="majorHAnsi" w:hAnsiTheme="majorHAnsi" w:cstheme="majorHAnsi"/>
              </w:rPr>
              <w:t>15</w:t>
            </w:r>
          </w:p>
        </w:tc>
      </w:tr>
      <w:tr w:rsidR="00C2586D" w14:paraId="32166D6A" w14:textId="77777777" w:rsidTr="00F95425">
        <w:tc>
          <w:tcPr>
            <w:tcW w:w="3256" w:type="dxa"/>
            <w:tcBorders>
              <w:right w:val="single" w:sz="4" w:space="0" w:color="auto"/>
            </w:tcBorders>
          </w:tcPr>
          <w:p w14:paraId="0FD09AF7" w14:textId="2715182C" w:rsidR="00C2586D" w:rsidRDefault="00C2586D" w:rsidP="005B2C27">
            <w:pPr>
              <w:spacing w:line="360" w:lineRule="auto"/>
              <w:rPr>
                <w:rFonts w:asciiTheme="majorHAnsi" w:hAnsiTheme="majorHAnsi" w:cstheme="majorHAnsi"/>
              </w:rPr>
            </w:pPr>
            <w:r>
              <w:rPr>
                <w:rFonts w:asciiTheme="majorHAnsi" w:hAnsiTheme="majorHAnsi" w:cstheme="majorHAnsi"/>
              </w:rPr>
              <w:t>Maximum Water Holding Capacity (%)</w:t>
            </w:r>
          </w:p>
        </w:tc>
        <w:tc>
          <w:tcPr>
            <w:tcW w:w="1559" w:type="dxa"/>
            <w:tcBorders>
              <w:left w:val="single" w:sz="4" w:space="0" w:color="auto"/>
            </w:tcBorders>
          </w:tcPr>
          <w:p w14:paraId="50D5B891" w14:textId="15CC0FEC" w:rsidR="00C2586D" w:rsidRDefault="005B2C27" w:rsidP="005B2C27">
            <w:pPr>
              <w:spacing w:line="360" w:lineRule="auto"/>
              <w:jc w:val="center"/>
              <w:rPr>
                <w:rFonts w:asciiTheme="majorHAnsi" w:hAnsiTheme="majorHAnsi" w:cstheme="majorHAnsi"/>
              </w:rPr>
            </w:pPr>
            <w:r>
              <w:rPr>
                <w:rFonts w:asciiTheme="majorHAnsi" w:hAnsiTheme="majorHAnsi" w:cstheme="majorHAnsi"/>
              </w:rPr>
              <w:t>27</w:t>
            </w:r>
          </w:p>
        </w:tc>
      </w:tr>
      <w:tr w:rsidR="00C2586D" w14:paraId="3D5EBAC5" w14:textId="77777777" w:rsidTr="00F95425">
        <w:tc>
          <w:tcPr>
            <w:tcW w:w="3256" w:type="dxa"/>
            <w:tcBorders>
              <w:right w:val="single" w:sz="4" w:space="0" w:color="auto"/>
            </w:tcBorders>
          </w:tcPr>
          <w:p w14:paraId="74EF6F42" w14:textId="69857ED1" w:rsidR="00C2586D" w:rsidRDefault="00C2586D" w:rsidP="005B2C27">
            <w:pPr>
              <w:spacing w:line="360" w:lineRule="auto"/>
              <w:rPr>
                <w:rFonts w:asciiTheme="majorHAnsi" w:hAnsiTheme="majorHAnsi" w:cstheme="majorHAnsi"/>
              </w:rPr>
            </w:pPr>
            <w:r>
              <w:rPr>
                <w:rFonts w:asciiTheme="majorHAnsi" w:hAnsiTheme="majorHAnsi" w:cstheme="majorHAnsi"/>
              </w:rPr>
              <w:t>Organic carbon (%)</w:t>
            </w:r>
          </w:p>
        </w:tc>
        <w:tc>
          <w:tcPr>
            <w:tcW w:w="1559" w:type="dxa"/>
            <w:tcBorders>
              <w:left w:val="single" w:sz="4" w:space="0" w:color="auto"/>
            </w:tcBorders>
          </w:tcPr>
          <w:p w14:paraId="208C31C9" w14:textId="1A2F2E00" w:rsidR="00C2586D" w:rsidRDefault="005B2C27" w:rsidP="005B2C27">
            <w:pPr>
              <w:spacing w:line="360" w:lineRule="auto"/>
              <w:jc w:val="center"/>
              <w:rPr>
                <w:rFonts w:asciiTheme="majorHAnsi" w:hAnsiTheme="majorHAnsi" w:cstheme="majorHAnsi"/>
              </w:rPr>
            </w:pPr>
            <w:r>
              <w:rPr>
                <w:rFonts w:asciiTheme="majorHAnsi" w:hAnsiTheme="majorHAnsi" w:cstheme="majorHAnsi"/>
              </w:rPr>
              <w:t>0.21</w:t>
            </w:r>
          </w:p>
        </w:tc>
      </w:tr>
      <w:tr w:rsidR="00C2586D" w14:paraId="75DEC13A" w14:textId="77777777" w:rsidTr="00F95425">
        <w:tc>
          <w:tcPr>
            <w:tcW w:w="3256" w:type="dxa"/>
            <w:tcBorders>
              <w:right w:val="single" w:sz="4" w:space="0" w:color="auto"/>
            </w:tcBorders>
          </w:tcPr>
          <w:p w14:paraId="21384501" w14:textId="400D0529" w:rsidR="00C2586D" w:rsidRDefault="00C2586D" w:rsidP="005B2C27">
            <w:pPr>
              <w:spacing w:line="360" w:lineRule="auto"/>
              <w:rPr>
                <w:rFonts w:asciiTheme="majorHAnsi" w:hAnsiTheme="majorHAnsi" w:cstheme="majorHAnsi"/>
              </w:rPr>
            </w:pPr>
            <w:r>
              <w:rPr>
                <w:rFonts w:asciiTheme="majorHAnsi" w:hAnsiTheme="majorHAnsi" w:cstheme="majorHAnsi"/>
              </w:rPr>
              <w:t>Available N (kg ha</w:t>
            </w:r>
            <w:r w:rsidRPr="00C2586D">
              <w:rPr>
                <w:rFonts w:asciiTheme="majorHAnsi" w:hAnsiTheme="majorHAnsi" w:cstheme="majorHAnsi"/>
                <w:vertAlign w:val="superscript"/>
              </w:rPr>
              <w:t>-1</w:t>
            </w:r>
            <w:r>
              <w:rPr>
                <w:rFonts w:asciiTheme="majorHAnsi" w:hAnsiTheme="majorHAnsi" w:cstheme="majorHAnsi"/>
              </w:rPr>
              <w:t>)</w:t>
            </w:r>
          </w:p>
        </w:tc>
        <w:tc>
          <w:tcPr>
            <w:tcW w:w="1559" w:type="dxa"/>
            <w:tcBorders>
              <w:left w:val="single" w:sz="4" w:space="0" w:color="auto"/>
            </w:tcBorders>
          </w:tcPr>
          <w:p w14:paraId="06BC037F" w14:textId="7198F359" w:rsidR="00C2586D" w:rsidRDefault="005B2C27" w:rsidP="005B2C27">
            <w:pPr>
              <w:spacing w:line="360" w:lineRule="auto"/>
              <w:jc w:val="center"/>
              <w:rPr>
                <w:rFonts w:asciiTheme="majorHAnsi" w:hAnsiTheme="majorHAnsi" w:cstheme="majorHAnsi"/>
              </w:rPr>
            </w:pPr>
            <w:r>
              <w:rPr>
                <w:rFonts w:asciiTheme="majorHAnsi" w:hAnsiTheme="majorHAnsi" w:cstheme="majorHAnsi"/>
              </w:rPr>
              <w:t>151</w:t>
            </w:r>
          </w:p>
        </w:tc>
      </w:tr>
      <w:tr w:rsidR="00C2586D" w14:paraId="67D707E6" w14:textId="77777777" w:rsidTr="00F95425">
        <w:tc>
          <w:tcPr>
            <w:tcW w:w="3256" w:type="dxa"/>
            <w:tcBorders>
              <w:right w:val="single" w:sz="4" w:space="0" w:color="auto"/>
            </w:tcBorders>
          </w:tcPr>
          <w:p w14:paraId="36939304" w14:textId="383718A8" w:rsidR="00C2586D" w:rsidRDefault="00C2586D" w:rsidP="005B2C27">
            <w:pPr>
              <w:spacing w:line="360" w:lineRule="auto"/>
              <w:rPr>
                <w:rFonts w:asciiTheme="majorHAnsi" w:hAnsiTheme="majorHAnsi" w:cstheme="majorHAnsi"/>
              </w:rPr>
            </w:pPr>
            <w:r w:rsidRPr="00C2586D">
              <w:rPr>
                <w:rFonts w:asciiTheme="majorHAnsi" w:hAnsiTheme="majorHAnsi" w:cstheme="majorHAnsi"/>
              </w:rPr>
              <w:t xml:space="preserve">Available </w:t>
            </w:r>
            <w:r>
              <w:rPr>
                <w:rFonts w:asciiTheme="majorHAnsi" w:hAnsiTheme="majorHAnsi" w:cstheme="majorHAnsi"/>
              </w:rPr>
              <w:t>P</w:t>
            </w:r>
            <w:r w:rsidRPr="00C2586D">
              <w:rPr>
                <w:rFonts w:asciiTheme="majorHAnsi" w:hAnsiTheme="majorHAnsi" w:cstheme="majorHAnsi"/>
              </w:rPr>
              <w:t xml:space="preserve"> (kg ha</w:t>
            </w:r>
            <w:r w:rsidRPr="00C2586D">
              <w:rPr>
                <w:rFonts w:asciiTheme="majorHAnsi" w:hAnsiTheme="majorHAnsi" w:cstheme="majorHAnsi"/>
                <w:vertAlign w:val="superscript"/>
              </w:rPr>
              <w:t>-1</w:t>
            </w:r>
            <w:r w:rsidRPr="00C2586D">
              <w:rPr>
                <w:rFonts w:asciiTheme="majorHAnsi" w:hAnsiTheme="majorHAnsi" w:cstheme="majorHAnsi"/>
              </w:rPr>
              <w:t>)</w:t>
            </w:r>
          </w:p>
        </w:tc>
        <w:tc>
          <w:tcPr>
            <w:tcW w:w="1559" w:type="dxa"/>
            <w:tcBorders>
              <w:left w:val="single" w:sz="4" w:space="0" w:color="auto"/>
            </w:tcBorders>
          </w:tcPr>
          <w:p w14:paraId="567BD63F" w14:textId="05CEB751" w:rsidR="00C2586D" w:rsidRDefault="005B2C27" w:rsidP="005B2C27">
            <w:pPr>
              <w:spacing w:line="360" w:lineRule="auto"/>
              <w:jc w:val="center"/>
              <w:rPr>
                <w:rFonts w:asciiTheme="majorHAnsi" w:hAnsiTheme="majorHAnsi" w:cstheme="majorHAnsi"/>
              </w:rPr>
            </w:pPr>
            <w:r>
              <w:rPr>
                <w:rFonts w:asciiTheme="majorHAnsi" w:hAnsiTheme="majorHAnsi" w:cstheme="majorHAnsi"/>
              </w:rPr>
              <w:t>8</w:t>
            </w:r>
          </w:p>
        </w:tc>
      </w:tr>
      <w:tr w:rsidR="00C2586D" w14:paraId="020DB99A" w14:textId="77777777" w:rsidTr="00F95425">
        <w:tc>
          <w:tcPr>
            <w:tcW w:w="3256" w:type="dxa"/>
            <w:tcBorders>
              <w:bottom w:val="single" w:sz="4" w:space="0" w:color="auto"/>
              <w:right w:val="single" w:sz="4" w:space="0" w:color="auto"/>
            </w:tcBorders>
          </w:tcPr>
          <w:p w14:paraId="33C3493E" w14:textId="551B7FD6" w:rsidR="00C2586D" w:rsidRDefault="00C2586D" w:rsidP="005B2C27">
            <w:pPr>
              <w:spacing w:line="360" w:lineRule="auto"/>
              <w:rPr>
                <w:rFonts w:asciiTheme="majorHAnsi" w:hAnsiTheme="majorHAnsi" w:cstheme="majorHAnsi"/>
              </w:rPr>
            </w:pPr>
            <w:r w:rsidRPr="00C2586D">
              <w:rPr>
                <w:rFonts w:asciiTheme="majorHAnsi" w:hAnsiTheme="majorHAnsi" w:cstheme="majorHAnsi"/>
              </w:rPr>
              <w:t xml:space="preserve">Available </w:t>
            </w:r>
            <w:r>
              <w:rPr>
                <w:rFonts w:asciiTheme="majorHAnsi" w:hAnsiTheme="majorHAnsi" w:cstheme="majorHAnsi"/>
              </w:rPr>
              <w:t>K</w:t>
            </w:r>
            <w:r w:rsidRPr="00C2586D">
              <w:rPr>
                <w:rFonts w:asciiTheme="majorHAnsi" w:hAnsiTheme="majorHAnsi" w:cstheme="majorHAnsi"/>
              </w:rPr>
              <w:t xml:space="preserve"> (kg ha</w:t>
            </w:r>
            <w:r w:rsidRPr="00C2586D">
              <w:rPr>
                <w:rFonts w:asciiTheme="majorHAnsi" w:hAnsiTheme="majorHAnsi" w:cstheme="majorHAnsi"/>
                <w:vertAlign w:val="superscript"/>
              </w:rPr>
              <w:t>-1</w:t>
            </w:r>
            <w:r w:rsidRPr="00C2586D">
              <w:rPr>
                <w:rFonts w:asciiTheme="majorHAnsi" w:hAnsiTheme="majorHAnsi" w:cstheme="majorHAnsi"/>
              </w:rPr>
              <w:t>)</w:t>
            </w:r>
          </w:p>
        </w:tc>
        <w:tc>
          <w:tcPr>
            <w:tcW w:w="1559" w:type="dxa"/>
            <w:tcBorders>
              <w:left w:val="single" w:sz="4" w:space="0" w:color="auto"/>
              <w:bottom w:val="single" w:sz="4" w:space="0" w:color="auto"/>
            </w:tcBorders>
          </w:tcPr>
          <w:p w14:paraId="65DD9E45" w14:textId="1C134623" w:rsidR="00C2586D" w:rsidRDefault="005B2C27" w:rsidP="005B2C27">
            <w:pPr>
              <w:spacing w:line="360" w:lineRule="auto"/>
              <w:jc w:val="center"/>
              <w:rPr>
                <w:rFonts w:asciiTheme="majorHAnsi" w:hAnsiTheme="majorHAnsi" w:cstheme="majorHAnsi"/>
              </w:rPr>
            </w:pPr>
            <w:r>
              <w:rPr>
                <w:rFonts w:asciiTheme="majorHAnsi" w:hAnsiTheme="majorHAnsi" w:cstheme="majorHAnsi"/>
              </w:rPr>
              <w:t>94</w:t>
            </w:r>
          </w:p>
        </w:tc>
      </w:tr>
    </w:tbl>
    <w:p w14:paraId="6722CA9A" w14:textId="29522CC2" w:rsidR="0006615C" w:rsidRDefault="0006615C" w:rsidP="00762237">
      <w:pPr>
        <w:spacing w:line="360" w:lineRule="auto"/>
        <w:jc w:val="both"/>
        <w:rPr>
          <w:rFonts w:asciiTheme="majorHAnsi" w:hAnsiTheme="majorHAnsi" w:cstheme="majorHAnsi"/>
        </w:rPr>
      </w:pPr>
    </w:p>
    <w:p w14:paraId="7594F056" w14:textId="5373A905" w:rsidR="00EC2736" w:rsidRDefault="00777EE9" w:rsidP="00762237">
      <w:pPr>
        <w:spacing w:line="360" w:lineRule="auto"/>
        <w:jc w:val="both"/>
        <w:rPr>
          <w:rFonts w:asciiTheme="majorHAnsi" w:hAnsiTheme="majorHAnsi" w:cstheme="majorHAnsi"/>
        </w:rPr>
      </w:pPr>
      <w:r>
        <w:rPr>
          <w:noProof/>
          <w:lang w:eastAsia="en-IN"/>
        </w:rPr>
        <w:lastRenderedPageBreak/>
        <w:drawing>
          <wp:inline distT="0" distB="0" distL="0" distR="0" wp14:anchorId="4E1F3924" wp14:editId="1D964400">
            <wp:extent cx="5280660" cy="2354580"/>
            <wp:effectExtent l="0" t="0" r="15240" b="7620"/>
            <wp:docPr id="1647298852" name="Chart 1">
              <a:extLst xmlns:a="http://schemas.openxmlformats.org/drawingml/2006/main">
                <a:ext uri="{FF2B5EF4-FFF2-40B4-BE49-F238E27FC236}">
                  <a16:creationId xmlns:a16="http://schemas.microsoft.com/office/drawing/2014/main" id="{B7E240A4-99F7-88F1-5FED-CAF1D126E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A02D76" w14:textId="75C3B8BE" w:rsidR="00EC2736" w:rsidRDefault="00EC2736" w:rsidP="00762237">
      <w:pPr>
        <w:spacing w:line="360" w:lineRule="auto"/>
        <w:jc w:val="both"/>
        <w:rPr>
          <w:rFonts w:asciiTheme="majorHAnsi" w:hAnsiTheme="majorHAnsi" w:cstheme="majorHAnsi"/>
        </w:rPr>
      </w:pPr>
    </w:p>
    <w:p w14:paraId="21A32585" w14:textId="380E81BA" w:rsidR="00EC2736" w:rsidRDefault="00EC2736" w:rsidP="00762237">
      <w:pPr>
        <w:spacing w:line="360" w:lineRule="auto"/>
        <w:jc w:val="both"/>
        <w:rPr>
          <w:rFonts w:asciiTheme="majorHAnsi" w:hAnsiTheme="majorHAnsi" w:cstheme="majorHAnsi"/>
        </w:rPr>
      </w:pPr>
    </w:p>
    <w:p w14:paraId="48A495C2" w14:textId="77777777" w:rsidR="00EC2736" w:rsidRDefault="00EC2736" w:rsidP="00762237">
      <w:pPr>
        <w:spacing w:line="360" w:lineRule="auto"/>
        <w:jc w:val="both"/>
        <w:rPr>
          <w:rFonts w:asciiTheme="majorHAnsi" w:hAnsiTheme="majorHAnsi" w:cstheme="majorHAnsi"/>
        </w:rPr>
      </w:pPr>
    </w:p>
    <w:p w14:paraId="67147F6D" w14:textId="77777777" w:rsidR="00EC2736" w:rsidRDefault="00EC2736" w:rsidP="00762237">
      <w:pPr>
        <w:spacing w:line="360" w:lineRule="auto"/>
        <w:jc w:val="both"/>
        <w:rPr>
          <w:rFonts w:asciiTheme="majorHAnsi" w:hAnsiTheme="majorHAnsi" w:cstheme="majorHAnsi"/>
        </w:rPr>
      </w:pPr>
    </w:p>
    <w:p w14:paraId="1DBFCB04" w14:textId="77777777" w:rsidR="00EC2736" w:rsidRDefault="00EC2736" w:rsidP="00762237">
      <w:pPr>
        <w:spacing w:line="360" w:lineRule="auto"/>
        <w:jc w:val="both"/>
        <w:rPr>
          <w:rFonts w:asciiTheme="majorHAnsi" w:hAnsiTheme="majorHAnsi" w:cstheme="majorHAnsi"/>
        </w:rPr>
      </w:pPr>
    </w:p>
    <w:p w14:paraId="5160BF87" w14:textId="77777777" w:rsidR="00EC2736" w:rsidRDefault="00EC2736" w:rsidP="00762237">
      <w:pPr>
        <w:spacing w:line="360" w:lineRule="auto"/>
        <w:jc w:val="both"/>
        <w:rPr>
          <w:rFonts w:asciiTheme="majorHAnsi" w:hAnsiTheme="majorHAnsi" w:cstheme="majorHAnsi"/>
        </w:rPr>
      </w:pPr>
    </w:p>
    <w:p w14:paraId="66EC2015" w14:textId="63863B48" w:rsidR="00AA1CEA" w:rsidRDefault="00EC2736" w:rsidP="00762237">
      <w:pPr>
        <w:spacing w:line="360" w:lineRule="auto"/>
        <w:jc w:val="both"/>
        <w:rPr>
          <w:rFonts w:asciiTheme="majorHAnsi" w:hAnsiTheme="majorHAnsi" w:cstheme="majorHAnsi"/>
        </w:rPr>
      </w:pPr>
      <w:r>
        <w:rPr>
          <w:rFonts w:asciiTheme="majorHAnsi" w:hAnsiTheme="majorHAnsi" w:cstheme="majorHAnsi"/>
        </w:rPr>
        <w:t>Figure 1. Characterisation of different forms of P content in PR and PAPR (Where TP: total phosphorus, WSP: water soluble phosphorus, CSP: citrate soluble phosphorus, CISP: citrate insoluble phosphorus)</w:t>
      </w:r>
    </w:p>
    <w:p w14:paraId="3BE1A129" w14:textId="0DDEC7EB" w:rsidR="00F55C3C" w:rsidRDefault="0005530F" w:rsidP="00762237">
      <w:pPr>
        <w:spacing w:line="360" w:lineRule="auto"/>
        <w:jc w:val="both"/>
        <w:rPr>
          <w:rFonts w:asciiTheme="majorHAnsi" w:hAnsiTheme="majorHAnsi" w:cstheme="majorHAnsi"/>
          <w:b/>
          <w:bCs/>
        </w:rPr>
      </w:pPr>
      <w:r>
        <w:rPr>
          <w:rFonts w:asciiTheme="majorHAnsi" w:hAnsiTheme="majorHAnsi" w:cstheme="majorHAnsi"/>
          <w:b/>
          <w:bCs/>
        </w:rPr>
        <w:t xml:space="preserve">2.1 </w:t>
      </w:r>
      <w:r w:rsidR="00F55C3C" w:rsidRPr="00F55C3C">
        <w:rPr>
          <w:rFonts w:asciiTheme="majorHAnsi" w:hAnsiTheme="majorHAnsi" w:cstheme="majorHAnsi"/>
          <w:b/>
          <w:bCs/>
        </w:rPr>
        <w:t>Experimental layout</w:t>
      </w:r>
    </w:p>
    <w:p w14:paraId="61E7BA80" w14:textId="48B66101" w:rsidR="00D96D56" w:rsidRPr="00D96D56" w:rsidRDefault="00F55C3C" w:rsidP="00D96D56">
      <w:pPr>
        <w:spacing w:line="360" w:lineRule="auto"/>
        <w:jc w:val="both"/>
        <w:rPr>
          <w:rFonts w:asciiTheme="majorHAnsi" w:eastAsia="TimesNewRomanPSMT" w:hAnsiTheme="majorHAnsi" w:cstheme="majorHAnsi"/>
        </w:rPr>
      </w:pPr>
      <w:r>
        <w:rPr>
          <w:rFonts w:asciiTheme="majorHAnsi" w:hAnsiTheme="majorHAnsi" w:cstheme="majorHAnsi"/>
        </w:rPr>
        <w:t xml:space="preserve">The pot culture experiment </w:t>
      </w:r>
      <w:r w:rsidR="007400F3">
        <w:rPr>
          <w:rFonts w:asciiTheme="majorHAnsi" w:hAnsiTheme="majorHAnsi" w:cstheme="majorHAnsi"/>
        </w:rPr>
        <w:t xml:space="preserve">with </w:t>
      </w:r>
      <w:r w:rsidR="002E5078">
        <w:rPr>
          <w:rFonts w:asciiTheme="majorHAnsi" w:hAnsiTheme="majorHAnsi" w:cstheme="majorHAnsi"/>
        </w:rPr>
        <w:t xml:space="preserve">four replications </w:t>
      </w:r>
      <w:r>
        <w:rPr>
          <w:rFonts w:asciiTheme="majorHAnsi" w:hAnsiTheme="majorHAnsi" w:cstheme="majorHAnsi"/>
        </w:rPr>
        <w:t xml:space="preserve">was carried out in the net house of the </w:t>
      </w:r>
      <w:r w:rsidRPr="0021320D">
        <w:rPr>
          <w:rFonts w:asciiTheme="majorHAnsi" w:eastAsia="TimesNewRomanPSMT" w:hAnsiTheme="majorHAnsi" w:cstheme="majorHAnsi"/>
        </w:rPr>
        <w:t xml:space="preserve">Department of Soil Science and Agricultural Chemistry, Institute of Agricultural Sciences, BHU, Varanasi, Uttar Pradesh, with </w:t>
      </w:r>
      <w:r>
        <w:rPr>
          <w:rFonts w:asciiTheme="majorHAnsi" w:eastAsia="TimesNewRomanPSMT" w:hAnsiTheme="majorHAnsi" w:cstheme="majorHAnsi"/>
        </w:rPr>
        <w:t xml:space="preserve">maize as the </w:t>
      </w:r>
      <w:r w:rsidRPr="0021320D">
        <w:rPr>
          <w:rFonts w:asciiTheme="majorHAnsi" w:eastAsia="TimesNewRomanPSMT" w:hAnsiTheme="majorHAnsi" w:cstheme="majorHAnsi"/>
        </w:rPr>
        <w:t xml:space="preserve">test crop </w:t>
      </w:r>
      <w:r>
        <w:rPr>
          <w:rFonts w:asciiTheme="majorHAnsi" w:eastAsia="TimesNewRomanPSMT" w:hAnsiTheme="majorHAnsi" w:cstheme="majorHAnsi"/>
        </w:rPr>
        <w:t xml:space="preserve">in the kharif season (July 2024). </w:t>
      </w:r>
      <w:r w:rsidR="00F95425">
        <w:rPr>
          <w:rFonts w:asciiTheme="majorHAnsi" w:eastAsia="TimesNewRomanPSMT" w:hAnsiTheme="majorHAnsi" w:cstheme="majorHAnsi"/>
        </w:rPr>
        <w:t xml:space="preserve">The design followed was completely randomised design (CRD) with the following treatments: </w:t>
      </w:r>
      <w:r w:rsidR="00F95425" w:rsidRPr="0018332E">
        <w:rPr>
          <w:rFonts w:asciiTheme="majorHAnsi" w:eastAsia="TimesNewRomanPSMT" w:hAnsiTheme="majorHAnsi" w:cstheme="majorHAnsi"/>
          <w:b/>
          <w:bCs/>
        </w:rPr>
        <w:t>T1</w:t>
      </w:r>
      <w:r w:rsidR="00F95425">
        <w:rPr>
          <w:rFonts w:asciiTheme="majorHAnsi" w:eastAsia="TimesNewRomanPSMT" w:hAnsiTheme="majorHAnsi" w:cstheme="majorHAnsi"/>
        </w:rPr>
        <w:t xml:space="preserve">: absolute control, </w:t>
      </w:r>
      <w:r w:rsidR="00F95425" w:rsidRPr="0018332E">
        <w:rPr>
          <w:rFonts w:asciiTheme="majorHAnsi" w:eastAsia="TimesNewRomanPSMT" w:hAnsiTheme="majorHAnsi" w:cstheme="majorHAnsi"/>
          <w:b/>
          <w:bCs/>
        </w:rPr>
        <w:t>T2</w:t>
      </w:r>
      <w:r w:rsidR="00F95425">
        <w:rPr>
          <w:rFonts w:asciiTheme="majorHAnsi" w:eastAsia="TimesNewRomanPSMT" w:hAnsiTheme="majorHAnsi" w:cstheme="majorHAnsi"/>
        </w:rPr>
        <w:t xml:space="preserve">: No P, </w:t>
      </w:r>
      <w:r w:rsidR="00F95425" w:rsidRPr="0018332E">
        <w:rPr>
          <w:rFonts w:asciiTheme="majorHAnsi" w:eastAsia="TimesNewRomanPSMT" w:hAnsiTheme="majorHAnsi" w:cstheme="majorHAnsi"/>
          <w:b/>
          <w:bCs/>
        </w:rPr>
        <w:t>T3</w:t>
      </w:r>
      <w:r w:rsidR="00F95425">
        <w:rPr>
          <w:rFonts w:asciiTheme="majorHAnsi" w:eastAsia="TimesNewRomanPSMT" w:hAnsiTheme="majorHAnsi" w:cstheme="majorHAnsi"/>
        </w:rPr>
        <w:t xml:space="preserve">: P (through DAP), </w:t>
      </w:r>
      <w:r w:rsidR="00F95425" w:rsidRPr="0018332E">
        <w:rPr>
          <w:rFonts w:asciiTheme="majorHAnsi" w:eastAsia="TimesNewRomanPSMT" w:hAnsiTheme="majorHAnsi" w:cstheme="majorHAnsi"/>
          <w:b/>
          <w:bCs/>
        </w:rPr>
        <w:t>T4</w:t>
      </w:r>
      <w:r w:rsidR="00F95425">
        <w:rPr>
          <w:rFonts w:asciiTheme="majorHAnsi" w:eastAsia="TimesNewRomanPSMT" w:hAnsiTheme="majorHAnsi" w:cstheme="majorHAnsi"/>
        </w:rPr>
        <w:t xml:space="preserve">: P through (PR): </w:t>
      </w:r>
      <w:r w:rsidR="00F95425" w:rsidRPr="0018332E">
        <w:rPr>
          <w:rFonts w:asciiTheme="majorHAnsi" w:eastAsia="TimesNewRomanPSMT" w:hAnsiTheme="majorHAnsi" w:cstheme="majorHAnsi"/>
          <w:b/>
          <w:bCs/>
        </w:rPr>
        <w:t>T5</w:t>
      </w:r>
      <w:r w:rsidR="00F95425">
        <w:rPr>
          <w:rFonts w:asciiTheme="majorHAnsi" w:eastAsia="TimesNewRomanPSMT" w:hAnsiTheme="majorHAnsi" w:cstheme="majorHAnsi"/>
        </w:rPr>
        <w:t xml:space="preserve">: P through PAPR, </w:t>
      </w:r>
      <w:r w:rsidR="00F95425" w:rsidRPr="0018332E">
        <w:rPr>
          <w:rFonts w:asciiTheme="majorHAnsi" w:eastAsia="TimesNewRomanPSMT" w:hAnsiTheme="majorHAnsi" w:cstheme="majorHAnsi"/>
          <w:b/>
          <w:bCs/>
        </w:rPr>
        <w:t>T6</w:t>
      </w:r>
      <w:r w:rsidR="00F95425">
        <w:rPr>
          <w:rFonts w:asciiTheme="majorHAnsi" w:eastAsia="TimesNewRomanPSMT" w:hAnsiTheme="majorHAnsi" w:cstheme="majorHAnsi"/>
        </w:rPr>
        <w:t xml:space="preserve">: P through (DAP: PAPR: 25: 75), and </w:t>
      </w:r>
      <w:r w:rsidR="00F95425" w:rsidRPr="0018332E">
        <w:rPr>
          <w:rFonts w:asciiTheme="majorHAnsi" w:eastAsia="TimesNewRomanPSMT" w:hAnsiTheme="majorHAnsi" w:cstheme="majorHAnsi"/>
          <w:b/>
          <w:bCs/>
        </w:rPr>
        <w:t>T7</w:t>
      </w:r>
      <w:r w:rsidR="00F95425">
        <w:rPr>
          <w:rFonts w:asciiTheme="majorHAnsi" w:eastAsia="TimesNewRomanPSMT" w:hAnsiTheme="majorHAnsi" w:cstheme="majorHAnsi"/>
        </w:rPr>
        <w:t xml:space="preserve">: </w:t>
      </w:r>
      <w:r w:rsidR="00F95425" w:rsidRPr="00F95425">
        <w:rPr>
          <w:rFonts w:asciiTheme="majorHAnsi" w:eastAsia="TimesNewRomanPSMT" w:hAnsiTheme="majorHAnsi" w:cstheme="majorHAnsi"/>
        </w:rPr>
        <w:t xml:space="preserve">P through (DAP: PAPR: </w:t>
      </w:r>
      <w:r w:rsidR="00F95425">
        <w:rPr>
          <w:rFonts w:asciiTheme="majorHAnsi" w:eastAsia="TimesNewRomanPSMT" w:hAnsiTheme="majorHAnsi" w:cstheme="majorHAnsi"/>
        </w:rPr>
        <w:t>50</w:t>
      </w:r>
      <w:r w:rsidR="00F95425" w:rsidRPr="00F95425">
        <w:rPr>
          <w:rFonts w:asciiTheme="majorHAnsi" w:eastAsia="TimesNewRomanPSMT" w:hAnsiTheme="majorHAnsi" w:cstheme="majorHAnsi"/>
        </w:rPr>
        <w:t xml:space="preserve">: </w:t>
      </w:r>
      <w:r w:rsidR="00F95425">
        <w:rPr>
          <w:rFonts w:asciiTheme="majorHAnsi" w:eastAsia="TimesNewRomanPSMT" w:hAnsiTheme="majorHAnsi" w:cstheme="majorHAnsi"/>
        </w:rPr>
        <w:t>50</w:t>
      </w:r>
      <w:r w:rsidR="00F95425" w:rsidRPr="00F95425">
        <w:rPr>
          <w:rFonts w:asciiTheme="majorHAnsi" w:eastAsia="TimesNewRomanPSMT" w:hAnsiTheme="majorHAnsi" w:cstheme="majorHAnsi"/>
        </w:rPr>
        <w:t>)</w:t>
      </w:r>
      <w:r w:rsidR="0018332E">
        <w:rPr>
          <w:rFonts w:asciiTheme="majorHAnsi" w:eastAsia="TimesNewRomanPSMT" w:hAnsiTheme="majorHAnsi" w:cstheme="majorHAnsi"/>
        </w:rPr>
        <w:t xml:space="preserve">. From T2 to T7 treatments received 100% N and K fertilizer. </w:t>
      </w:r>
      <w:r>
        <w:rPr>
          <w:rFonts w:asciiTheme="majorHAnsi" w:eastAsia="TimesNewRomanPSMT" w:hAnsiTheme="majorHAnsi" w:cstheme="majorHAnsi"/>
        </w:rPr>
        <w:t xml:space="preserve">The recommended dose of fertilizer (RDF) was </w:t>
      </w:r>
      <w:r w:rsidRPr="0021320D">
        <w:rPr>
          <w:rFonts w:asciiTheme="majorHAnsi" w:eastAsia="TimesNewRomanPSMT" w:hAnsiTheme="majorHAnsi" w:cstheme="majorHAnsi"/>
        </w:rPr>
        <w:t>140:80:80 kg N-P-K ha</w:t>
      </w:r>
      <w:r w:rsidRPr="0021320D">
        <w:rPr>
          <w:rFonts w:asciiTheme="majorHAnsi" w:eastAsia="TimesNewRomanPSMT" w:hAnsiTheme="majorHAnsi" w:cstheme="majorHAnsi"/>
          <w:vertAlign w:val="superscript"/>
        </w:rPr>
        <w:t>-1</w:t>
      </w:r>
      <w:r>
        <w:rPr>
          <w:rFonts w:asciiTheme="majorHAnsi" w:eastAsia="TimesNewRomanPSMT" w:hAnsiTheme="majorHAnsi" w:cstheme="majorHAnsi"/>
        </w:rPr>
        <w:t xml:space="preserve">. </w:t>
      </w:r>
      <w:r w:rsidR="007400F3">
        <w:rPr>
          <w:rFonts w:asciiTheme="majorHAnsi" w:eastAsia="TimesNewRomanPSMT" w:hAnsiTheme="majorHAnsi" w:cstheme="majorHAnsi"/>
        </w:rPr>
        <w:t xml:space="preserve">The phosphatic </w:t>
      </w:r>
      <w:r w:rsidR="008902B1">
        <w:rPr>
          <w:rFonts w:asciiTheme="majorHAnsi" w:eastAsia="TimesNewRomanPSMT" w:hAnsiTheme="majorHAnsi" w:cstheme="majorHAnsi"/>
        </w:rPr>
        <w:t>fertiliser mixture was prepared by mixing the PAPR and commercial water-soluble fertiliser di-ammonium phosphate (DAP) in proportions of 25:75 and 50:50. Earthen pots containing</w:t>
      </w:r>
      <w:r w:rsidR="007400F3">
        <w:rPr>
          <w:rFonts w:asciiTheme="majorHAnsi" w:eastAsia="TimesNewRomanPSMT" w:hAnsiTheme="majorHAnsi" w:cstheme="majorHAnsi"/>
        </w:rPr>
        <w:t xml:space="preserve"> 10 kg of soil were used for the study. The fertilizer dose was calculated based on 10 kg of soil, and the P fertilizer was mixed with the soil </w:t>
      </w:r>
      <w:r w:rsidR="007400F3">
        <w:rPr>
          <w:rFonts w:asciiTheme="majorHAnsi" w:eastAsia="TimesNewRomanPSMT" w:hAnsiTheme="majorHAnsi" w:cstheme="majorHAnsi"/>
        </w:rPr>
        <w:lastRenderedPageBreak/>
        <w:t xml:space="preserve">thoroughly before seeding, while N and K were applied after the thinning process. </w:t>
      </w:r>
      <w:r w:rsidR="002E5078">
        <w:rPr>
          <w:rFonts w:asciiTheme="majorHAnsi" w:eastAsia="TimesNewRomanPSMT" w:hAnsiTheme="majorHAnsi" w:cstheme="majorHAnsi"/>
        </w:rPr>
        <w:t>The plants were allowed to grow up to harvest, then cut at the ground surface.</w:t>
      </w:r>
      <w:r w:rsidR="008902B1">
        <w:rPr>
          <w:rFonts w:asciiTheme="majorHAnsi" w:eastAsia="TimesNewRomanPSMT" w:hAnsiTheme="majorHAnsi" w:cstheme="majorHAnsi"/>
        </w:rPr>
        <w:t xml:space="preserve"> Destructive sampling was conducted on each treatment at the flowering stage to obtain biomass yield and root weight, and soil samples were</w:t>
      </w:r>
      <w:r w:rsidR="002107D2">
        <w:rPr>
          <w:rFonts w:asciiTheme="majorHAnsi" w:eastAsia="TimesNewRomanPSMT" w:hAnsiTheme="majorHAnsi" w:cstheme="majorHAnsi"/>
        </w:rPr>
        <w:t xml:space="preserve"> also</w:t>
      </w:r>
      <w:r w:rsidR="0018332E">
        <w:rPr>
          <w:rFonts w:asciiTheme="majorHAnsi" w:eastAsia="TimesNewRomanPSMT" w:hAnsiTheme="majorHAnsi" w:cstheme="majorHAnsi"/>
        </w:rPr>
        <w:t xml:space="preserve"> collected for enzymatic analysis</w:t>
      </w:r>
      <w:r w:rsidR="002E5078">
        <w:rPr>
          <w:rFonts w:asciiTheme="majorHAnsi" w:eastAsia="TimesNewRomanPSMT" w:hAnsiTheme="majorHAnsi" w:cstheme="majorHAnsi"/>
        </w:rPr>
        <w:t>.</w:t>
      </w:r>
      <w:r w:rsidR="002107D2">
        <w:rPr>
          <w:rFonts w:asciiTheme="majorHAnsi" w:eastAsia="TimesNewRomanPSMT" w:hAnsiTheme="majorHAnsi" w:cstheme="majorHAnsi"/>
        </w:rPr>
        <w:t xml:space="preserve"> The </w:t>
      </w:r>
      <w:r w:rsidR="00BB6342">
        <w:rPr>
          <w:rFonts w:asciiTheme="majorHAnsi" w:eastAsia="TimesNewRomanPSMT" w:hAnsiTheme="majorHAnsi" w:cstheme="majorHAnsi"/>
        </w:rPr>
        <w:t>post-harvest</w:t>
      </w:r>
      <w:r w:rsidR="002107D2">
        <w:rPr>
          <w:rFonts w:asciiTheme="majorHAnsi" w:eastAsia="TimesNewRomanPSMT" w:hAnsiTheme="majorHAnsi" w:cstheme="majorHAnsi"/>
        </w:rPr>
        <w:t xml:space="preserve"> soil was also collected for the determination of the available P.</w:t>
      </w:r>
      <w:r w:rsidR="002E5078">
        <w:rPr>
          <w:rFonts w:asciiTheme="majorHAnsi" w:eastAsia="TimesNewRomanPSMT" w:hAnsiTheme="majorHAnsi" w:cstheme="majorHAnsi"/>
        </w:rPr>
        <w:t xml:space="preserve"> All the above and below-ground parts were at first cleaned, then air dried, followed by oven drying at 60°C. The dry weight of shoots, roots and grains was noted.</w:t>
      </w:r>
      <w:r w:rsidR="00D96D56">
        <w:rPr>
          <w:rFonts w:asciiTheme="majorHAnsi" w:eastAsia="TimesNewRomanPSMT" w:hAnsiTheme="majorHAnsi" w:cstheme="majorHAnsi"/>
        </w:rPr>
        <w:t xml:space="preserve"> </w:t>
      </w:r>
      <w:r w:rsidR="00D96D56" w:rsidRPr="00D96D56">
        <w:rPr>
          <w:rFonts w:asciiTheme="majorHAnsi" w:eastAsia="TimesNewRomanPSMT" w:hAnsiTheme="majorHAnsi" w:cstheme="majorHAnsi"/>
        </w:rPr>
        <w:t>The harvest index</w:t>
      </w:r>
      <w:r w:rsidR="00D96D56">
        <w:rPr>
          <w:rFonts w:asciiTheme="majorHAnsi" w:eastAsia="TimesNewRomanPSMT" w:hAnsiTheme="majorHAnsi" w:cstheme="majorHAnsi"/>
        </w:rPr>
        <w:t xml:space="preserve"> (HI)</w:t>
      </w:r>
      <w:r w:rsidR="00D96D56" w:rsidRPr="00D96D56">
        <w:rPr>
          <w:rFonts w:asciiTheme="majorHAnsi" w:eastAsia="TimesNewRomanPSMT" w:hAnsiTheme="majorHAnsi" w:cstheme="majorHAnsi"/>
        </w:rPr>
        <w:t xml:space="preserve"> was quantified using the formula </w:t>
      </w:r>
    </w:p>
    <w:p w14:paraId="0D58F582" w14:textId="2CB181F0" w:rsidR="000228E3" w:rsidRPr="000228E3" w:rsidRDefault="00D96D56" w:rsidP="00D96D56">
      <w:pPr>
        <w:spacing w:line="360" w:lineRule="auto"/>
        <w:jc w:val="both"/>
        <w:rPr>
          <w:rFonts w:asciiTheme="majorHAnsi" w:eastAsia="TimesNewRomanPSMT" w:hAnsiTheme="majorHAnsi" w:cstheme="majorHAnsi"/>
          <w:sz w:val="32"/>
          <w:szCs w:val="32"/>
        </w:rPr>
      </w:pPr>
      <w:r w:rsidRPr="00D96D56">
        <w:rPr>
          <w:rFonts w:asciiTheme="majorHAnsi" w:eastAsia="TimesNewRomanPSMT" w:hAnsiTheme="majorHAnsi" w:cstheme="majorHAnsi"/>
          <w:b/>
          <w:bCs/>
        </w:rPr>
        <w:t xml:space="preserve">   </w:t>
      </w:r>
      <m:oMath>
        <m:r>
          <m:rPr>
            <m:nor/>
          </m:rPr>
          <w:rPr>
            <w:rFonts w:asciiTheme="majorHAnsi" w:eastAsia="TimesNewRomanPSMT" w:hAnsiTheme="majorHAnsi" w:cstheme="majorHAnsi"/>
          </w:rPr>
          <m:t>HI (%)</m:t>
        </m:r>
        <m:r>
          <m:rPr>
            <m:nor/>
          </m:rPr>
          <w:rPr>
            <w:rFonts w:ascii="Cambria Math" w:eastAsia="TimesNewRomanPSMT" w:hAnsiTheme="majorHAnsi" w:cstheme="majorHAnsi"/>
          </w:rPr>
          <m:t xml:space="preserve"> </m:t>
        </m:r>
        <m:r>
          <m:rPr>
            <m:nor/>
          </m:rPr>
          <w:rPr>
            <w:rFonts w:asciiTheme="majorHAnsi" w:eastAsia="TimesNewRomanPSMT" w:hAnsiTheme="majorHAnsi" w:cstheme="majorHAnsi"/>
            <w:sz w:val="32"/>
            <w:szCs w:val="32"/>
          </w:rPr>
          <m:t>=</m:t>
        </m:r>
        <m:f>
          <m:fPr>
            <m:ctrlPr>
              <w:rPr>
                <w:rFonts w:ascii="Cambria Math" w:eastAsia="TimesNewRomanPSMT" w:hAnsi="Cambria Math" w:cstheme="majorHAnsi"/>
                <w:i/>
                <w:sz w:val="32"/>
                <w:szCs w:val="32"/>
              </w:rPr>
            </m:ctrlPr>
          </m:fPr>
          <m:num>
            <m:r>
              <m:rPr>
                <m:nor/>
              </m:rPr>
              <w:rPr>
                <w:rFonts w:ascii="Cambria Math" w:eastAsia="TimesNewRomanPSMT" w:hAnsiTheme="majorHAnsi" w:cstheme="majorHAnsi"/>
                <w:sz w:val="32"/>
                <w:szCs w:val="32"/>
              </w:rPr>
              <m:t xml:space="preserve">  </m:t>
            </m:r>
            <m:r>
              <m:rPr>
                <m:nor/>
              </m:rPr>
              <w:rPr>
                <w:rFonts w:asciiTheme="majorHAnsi" w:eastAsia="TimesNewRomanPSMT" w:hAnsiTheme="majorHAnsi" w:cstheme="majorHAnsi"/>
                <w:sz w:val="32"/>
                <w:szCs w:val="32"/>
              </w:rPr>
              <m:t>Economic yield × 100</m:t>
            </m:r>
          </m:num>
          <m:den>
            <m:r>
              <m:rPr>
                <m:nor/>
              </m:rPr>
              <w:rPr>
                <w:rFonts w:asciiTheme="majorHAnsi" w:eastAsia="TimesNewRomanPSMT" w:hAnsiTheme="majorHAnsi" w:cstheme="majorHAnsi"/>
                <w:sz w:val="32"/>
                <w:szCs w:val="32"/>
              </w:rPr>
              <m:t>Biological yield</m:t>
            </m:r>
          </m:den>
        </m:f>
      </m:oMath>
    </w:p>
    <w:p w14:paraId="4AF1D7E5" w14:textId="156843FA" w:rsidR="00F55C3C" w:rsidRDefault="0005530F" w:rsidP="00762237">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 xml:space="preserve">2.2 </w:t>
      </w:r>
      <w:r w:rsidR="002E5078" w:rsidRPr="002E5078">
        <w:rPr>
          <w:rFonts w:asciiTheme="majorHAnsi" w:eastAsia="TimesNewRomanPSMT" w:hAnsiTheme="majorHAnsi" w:cstheme="majorHAnsi"/>
          <w:b/>
          <w:bCs/>
        </w:rPr>
        <w:t xml:space="preserve">Methods of analysis </w:t>
      </w:r>
    </w:p>
    <w:p w14:paraId="19745BE7" w14:textId="0751F7E2" w:rsidR="000228E3" w:rsidRDefault="0018332E" w:rsidP="00F0783E">
      <w:pPr>
        <w:spacing w:line="360" w:lineRule="auto"/>
        <w:jc w:val="both"/>
        <w:rPr>
          <w:rFonts w:asciiTheme="majorHAnsi" w:eastAsia="TimesNewRomanPSMT" w:hAnsiTheme="majorHAnsi" w:cstheme="majorHAnsi"/>
        </w:rPr>
      </w:pPr>
      <w:r>
        <w:rPr>
          <w:rFonts w:asciiTheme="majorHAnsi" w:eastAsia="TimesNewRomanPSMT" w:hAnsiTheme="majorHAnsi" w:cstheme="majorHAnsi"/>
        </w:rPr>
        <w:t xml:space="preserve">The total P content of grain and </w:t>
      </w:r>
      <w:proofErr w:type="spellStart"/>
      <w:r>
        <w:rPr>
          <w:rFonts w:asciiTheme="majorHAnsi" w:eastAsia="TimesNewRomanPSMT" w:hAnsiTheme="majorHAnsi" w:cstheme="majorHAnsi"/>
        </w:rPr>
        <w:t>stover</w:t>
      </w:r>
      <w:proofErr w:type="spellEnd"/>
      <w:r>
        <w:rPr>
          <w:rFonts w:asciiTheme="majorHAnsi" w:eastAsia="TimesNewRomanPSMT" w:hAnsiTheme="majorHAnsi" w:cstheme="majorHAnsi"/>
        </w:rPr>
        <w:t xml:space="preserve"> was </w:t>
      </w:r>
      <w:r w:rsidR="002107D2">
        <w:rPr>
          <w:rFonts w:asciiTheme="majorHAnsi" w:eastAsia="TimesNewRomanPSMT" w:hAnsiTheme="majorHAnsi" w:cstheme="majorHAnsi"/>
        </w:rPr>
        <w:t xml:space="preserve">determined </w:t>
      </w:r>
      <w:r>
        <w:rPr>
          <w:rFonts w:asciiTheme="majorHAnsi" w:eastAsia="TimesNewRomanPSMT" w:hAnsiTheme="majorHAnsi" w:cstheme="majorHAnsi"/>
        </w:rPr>
        <w:t xml:space="preserve">by digesting the content in </w:t>
      </w:r>
      <w:r w:rsidRPr="0018332E">
        <w:rPr>
          <w:rFonts w:asciiTheme="majorHAnsi" w:eastAsia="TimesNewRomanPSMT" w:hAnsiTheme="majorHAnsi" w:cstheme="majorHAnsi"/>
        </w:rPr>
        <w:t>di-acid digestion (HNO</w:t>
      </w:r>
      <w:r w:rsidRPr="0018332E">
        <w:rPr>
          <w:rFonts w:asciiTheme="majorHAnsi" w:eastAsia="TimesNewRomanPSMT" w:hAnsiTheme="majorHAnsi" w:cstheme="majorHAnsi"/>
          <w:vertAlign w:val="subscript"/>
        </w:rPr>
        <w:t>3</w:t>
      </w:r>
      <w:r w:rsidRPr="0018332E">
        <w:rPr>
          <w:rFonts w:asciiTheme="majorHAnsi" w:eastAsia="TimesNewRomanPSMT" w:hAnsiTheme="majorHAnsi" w:cstheme="majorHAnsi"/>
        </w:rPr>
        <w:t>:</w:t>
      </w:r>
      <w:r>
        <w:rPr>
          <w:rFonts w:asciiTheme="majorHAnsi" w:eastAsia="TimesNewRomanPSMT" w:hAnsiTheme="majorHAnsi" w:cstheme="majorHAnsi"/>
        </w:rPr>
        <w:t xml:space="preserve"> </w:t>
      </w:r>
      <w:r w:rsidRPr="0018332E">
        <w:rPr>
          <w:rFonts w:asciiTheme="majorHAnsi" w:eastAsia="TimesNewRomanPSMT" w:hAnsiTheme="majorHAnsi" w:cstheme="majorHAnsi"/>
        </w:rPr>
        <w:t>HClO</w:t>
      </w:r>
      <w:proofErr w:type="gramStart"/>
      <w:r w:rsidRPr="0018332E">
        <w:rPr>
          <w:rFonts w:asciiTheme="majorHAnsi" w:eastAsia="TimesNewRomanPSMT" w:hAnsiTheme="majorHAnsi" w:cstheme="majorHAnsi"/>
          <w:vertAlign w:val="subscript"/>
        </w:rPr>
        <w:t>4</w:t>
      </w:r>
      <w:r w:rsidRPr="0018332E">
        <w:rPr>
          <w:rFonts w:asciiTheme="majorHAnsi" w:eastAsia="TimesNewRomanPSMT" w:hAnsiTheme="majorHAnsi" w:cstheme="majorHAnsi"/>
        </w:rPr>
        <w:t>::</w:t>
      </w:r>
      <w:proofErr w:type="gramEnd"/>
      <w:r w:rsidRPr="0018332E">
        <w:rPr>
          <w:rFonts w:asciiTheme="majorHAnsi" w:eastAsia="TimesNewRomanPSMT" w:hAnsiTheme="majorHAnsi" w:cstheme="majorHAnsi"/>
        </w:rPr>
        <w:t xml:space="preserve"> 9:4</w:t>
      </w:r>
      <w:r>
        <w:rPr>
          <w:rFonts w:asciiTheme="majorHAnsi" w:eastAsia="TimesNewRomanPSMT" w:hAnsiTheme="majorHAnsi" w:cstheme="majorHAnsi"/>
        </w:rPr>
        <w:t>)</w:t>
      </w:r>
      <w:r w:rsidR="002107D2">
        <w:rPr>
          <w:rFonts w:asciiTheme="majorHAnsi" w:eastAsia="TimesNewRomanPSMT" w:hAnsiTheme="majorHAnsi" w:cstheme="majorHAnsi"/>
        </w:rPr>
        <w:t>,</w:t>
      </w:r>
      <w:r>
        <w:rPr>
          <w:rFonts w:asciiTheme="majorHAnsi" w:eastAsia="TimesNewRomanPSMT" w:hAnsiTheme="majorHAnsi" w:cstheme="majorHAnsi"/>
        </w:rPr>
        <w:t xml:space="preserve"> followed by </w:t>
      </w:r>
      <w:r w:rsidR="002107D2">
        <w:rPr>
          <w:rFonts w:asciiTheme="majorHAnsi" w:eastAsia="TimesNewRomanPSMT" w:hAnsiTheme="majorHAnsi" w:cstheme="majorHAnsi"/>
        </w:rPr>
        <w:t xml:space="preserve">measurement in a spectrophotometer by </w:t>
      </w:r>
      <w:r w:rsidR="002107D2" w:rsidRPr="002107D2">
        <w:rPr>
          <w:rFonts w:asciiTheme="majorHAnsi" w:eastAsia="TimesNewRomanPSMT" w:hAnsiTheme="majorHAnsi" w:cstheme="majorHAnsi"/>
        </w:rPr>
        <w:t xml:space="preserve">development of the </w:t>
      </w:r>
      <w:proofErr w:type="spellStart"/>
      <w:r w:rsidR="002107D2" w:rsidRPr="002107D2">
        <w:rPr>
          <w:rFonts w:asciiTheme="majorHAnsi" w:eastAsia="TimesNewRomanPSMT" w:hAnsiTheme="majorHAnsi" w:cstheme="majorHAnsi"/>
        </w:rPr>
        <w:t>vanadomolybdo</w:t>
      </w:r>
      <w:proofErr w:type="spellEnd"/>
      <w:r w:rsidR="002107D2" w:rsidRPr="002107D2">
        <w:rPr>
          <w:rFonts w:asciiTheme="majorHAnsi" w:eastAsia="TimesNewRomanPSMT" w:hAnsiTheme="majorHAnsi" w:cstheme="majorHAnsi"/>
        </w:rPr>
        <w:t>-phosphoric yellow colour complex in nitric acid medium</w:t>
      </w:r>
      <w:r w:rsidR="002107D2">
        <w:rPr>
          <w:rFonts w:asciiTheme="majorHAnsi" w:eastAsia="TimesNewRomanPSMT" w:hAnsiTheme="majorHAnsi" w:cstheme="majorHAnsi"/>
        </w:rPr>
        <w:t xml:space="preserve"> (</w:t>
      </w:r>
      <w:r w:rsidR="002107D2" w:rsidRPr="002107D2">
        <w:rPr>
          <w:rFonts w:asciiTheme="majorHAnsi" w:eastAsia="TimesNewRomanPSMT" w:hAnsiTheme="majorHAnsi" w:cstheme="majorHAnsi"/>
        </w:rPr>
        <w:t>Olsen and Sommers, 1982</w:t>
      </w:r>
      <w:r w:rsidR="002107D2">
        <w:rPr>
          <w:rFonts w:asciiTheme="majorHAnsi" w:eastAsia="TimesNewRomanPSMT" w:hAnsiTheme="majorHAnsi" w:cstheme="majorHAnsi"/>
        </w:rPr>
        <w:t xml:space="preserve">). The available P content of the </w:t>
      </w:r>
      <w:r w:rsidR="00BB6342">
        <w:rPr>
          <w:rFonts w:asciiTheme="majorHAnsi" w:eastAsia="TimesNewRomanPSMT" w:hAnsiTheme="majorHAnsi" w:cstheme="majorHAnsi"/>
        </w:rPr>
        <w:t>post-harvest</w:t>
      </w:r>
      <w:r w:rsidR="002107D2">
        <w:rPr>
          <w:rFonts w:asciiTheme="majorHAnsi" w:eastAsia="TimesNewRomanPSMT" w:hAnsiTheme="majorHAnsi" w:cstheme="majorHAnsi"/>
        </w:rPr>
        <w:t xml:space="preserve"> </w:t>
      </w:r>
      <w:r w:rsidR="00BB6342">
        <w:rPr>
          <w:rFonts w:asciiTheme="majorHAnsi" w:eastAsia="TimesNewRomanPSMT" w:hAnsiTheme="majorHAnsi" w:cstheme="majorHAnsi"/>
        </w:rPr>
        <w:t xml:space="preserve">soil was determined </w:t>
      </w:r>
      <w:r w:rsidR="000228E3">
        <w:rPr>
          <w:rFonts w:asciiTheme="majorHAnsi" w:eastAsia="TimesNewRomanPSMT" w:hAnsiTheme="majorHAnsi" w:cstheme="majorHAnsi"/>
        </w:rPr>
        <w:t>using the method described</w:t>
      </w:r>
      <w:r w:rsidR="00BB6342" w:rsidRPr="00BB6342">
        <w:rPr>
          <w:rFonts w:asciiTheme="majorHAnsi" w:eastAsia="TimesNewRomanPSMT" w:hAnsiTheme="majorHAnsi" w:cstheme="majorHAnsi"/>
        </w:rPr>
        <w:t xml:space="preserve"> by Bray and Kurtz (1945)</w:t>
      </w:r>
      <w:r w:rsidR="00BB6342">
        <w:rPr>
          <w:rFonts w:asciiTheme="majorHAnsi" w:eastAsia="TimesNewRomanPSMT" w:hAnsiTheme="majorHAnsi" w:cstheme="majorHAnsi"/>
        </w:rPr>
        <w:t xml:space="preserve">. </w:t>
      </w:r>
      <w:r w:rsidR="00F0783E">
        <w:rPr>
          <w:rFonts w:asciiTheme="majorHAnsi" w:eastAsia="TimesNewRomanPSMT" w:hAnsiTheme="majorHAnsi" w:cstheme="majorHAnsi"/>
        </w:rPr>
        <w:t xml:space="preserve">The alkaline phosphatase activity was determined using </w:t>
      </w:r>
      <w:r w:rsidR="00F0783E" w:rsidRPr="00F0783E">
        <w:rPr>
          <w:rFonts w:asciiTheme="majorHAnsi" w:eastAsia="TimesNewRomanPSMT" w:hAnsiTheme="majorHAnsi" w:cstheme="majorHAnsi"/>
        </w:rPr>
        <w:t>modified universal buffer (MUB) (pH-11)</w:t>
      </w:r>
      <w:r w:rsidR="00C33C37">
        <w:rPr>
          <w:rFonts w:asciiTheme="majorHAnsi" w:eastAsia="TimesNewRomanPSMT" w:hAnsiTheme="majorHAnsi" w:cstheme="majorHAnsi"/>
        </w:rPr>
        <w:t xml:space="preserve">, and the </w:t>
      </w:r>
      <w:r w:rsidR="00C33C37" w:rsidRPr="00C33C37">
        <w:rPr>
          <w:rFonts w:asciiTheme="majorHAnsi" w:eastAsia="TimesNewRomanPSMT" w:hAnsiTheme="majorHAnsi" w:cstheme="majorHAnsi"/>
        </w:rPr>
        <w:t>resulting p-</w:t>
      </w:r>
      <w:proofErr w:type="spellStart"/>
      <w:r w:rsidR="00C33C37" w:rsidRPr="00C33C37">
        <w:rPr>
          <w:rFonts w:asciiTheme="majorHAnsi" w:eastAsia="TimesNewRomanPSMT" w:hAnsiTheme="majorHAnsi" w:cstheme="majorHAnsi"/>
        </w:rPr>
        <w:t>nitrophenol</w:t>
      </w:r>
      <w:proofErr w:type="spellEnd"/>
      <w:r w:rsidR="00C33C37" w:rsidRPr="00C33C37">
        <w:rPr>
          <w:rFonts w:asciiTheme="majorHAnsi" w:eastAsia="TimesNewRomanPSMT" w:hAnsiTheme="majorHAnsi" w:cstheme="majorHAnsi"/>
        </w:rPr>
        <w:t xml:space="preserve"> was measured </w:t>
      </w:r>
      <w:proofErr w:type="spellStart"/>
      <w:r w:rsidR="000228E3">
        <w:rPr>
          <w:rFonts w:asciiTheme="majorHAnsi" w:eastAsia="TimesNewRomanPSMT" w:hAnsiTheme="majorHAnsi" w:cstheme="majorHAnsi"/>
        </w:rPr>
        <w:t>colourimetrically</w:t>
      </w:r>
      <w:proofErr w:type="spellEnd"/>
      <w:r w:rsidR="00C33C37" w:rsidRPr="00C33C37">
        <w:rPr>
          <w:rFonts w:asciiTheme="majorHAnsi" w:eastAsia="TimesNewRomanPSMT" w:hAnsiTheme="majorHAnsi" w:cstheme="majorHAnsi"/>
        </w:rPr>
        <w:t xml:space="preserve"> using a spectrophotometer (</w:t>
      </w:r>
      <w:proofErr w:type="spellStart"/>
      <w:r w:rsidR="00C33C37" w:rsidRPr="00C33C37">
        <w:rPr>
          <w:rFonts w:asciiTheme="majorHAnsi" w:eastAsia="TimesNewRomanPSMT" w:hAnsiTheme="majorHAnsi" w:cstheme="majorHAnsi"/>
        </w:rPr>
        <w:t>Tabatabai</w:t>
      </w:r>
      <w:proofErr w:type="spellEnd"/>
      <w:r w:rsidR="00C33C37" w:rsidRPr="00C33C37">
        <w:rPr>
          <w:rFonts w:asciiTheme="majorHAnsi" w:eastAsia="TimesNewRomanPSMT" w:hAnsiTheme="majorHAnsi" w:cstheme="majorHAnsi"/>
        </w:rPr>
        <w:t>, 1994).</w:t>
      </w:r>
      <w:r w:rsidR="00C33C37">
        <w:rPr>
          <w:rFonts w:asciiTheme="majorHAnsi" w:eastAsia="TimesNewRomanPSMT" w:hAnsiTheme="majorHAnsi" w:cstheme="majorHAnsi"/>
        </w:rPr>
        <w:t xml:space="preserve"> </w:t>
      </w:r>
      <w:r w:rsidR="00F0783E" w:rsidRPr="00F0783E">
        <w:rPr>
          <w:rFonts w:asciiTheme="majorHAnsi" w:eastAsia="TimesNewRomanPSMT" w:hAnsiTheme="majorHAnsi" w:cstheme="majorHAnsi"/>
        </w:rPr>
        <w:t>Relative agronomic efficiency</w:t>
      </w:r>
      <w:r w:rsidR="00F0783E">
        <w:rPr>
          <w:rFonts w:asciiTheme="majorHAnsi" w:eastAsia="TimesNewRomanPSMT" w:hAnsiTheme="majorHAnsi" w:cstheme="majorHAnsi"/>
        </w:rPr>
        <w:t xml:space="preserve"> </w:t>
      </w:r>
      <w:r w:rsidR="00F0783E" w:rsidRPr="00F0783E">
        <w:rPr>
          <w:rFonts w:asciiTheme="majorHAnsi" w:eastAsia="TimesNewRomanPSMT" w:hAnsiTheme="majorHAnsi" w:cstheme="majorHAnsi"/>
        </w:rPr>
        <w:t xml:space="preserve">(RAE) for dry matter was calculated as </w:t>
      </w:r>
      <w:r w:rsidR="000228E3">
        <w:rPr>
          <w:rFonts w:asciiTheme="majorHAnsi" w:eastAsia="TimesNewRomanPSMT" w:hAnsiTheme="majorHAnsi" w:cstheme="majorHAnsi"/>
        </w:rPr>
        <w:t>follows</w:t>
      </w:r>
      <w:r w:rsidR="00F0783E" w:rsidRPr="00F0783E">
        <w:rPr>
          <w:rFonts w:asciiTheme="majorHAnsi" w:eastAsia="TimesNewRomanPSMT" w:hAnsiTheme="majorHAnsi" w:cstheme="majorHAnsi"/>
        </w:rPr>
        <w:t xml:space="preserve"> (</w:t>
      </w:r>
      <w:proofErr w:type="spellStart"/>
      <w:r w:rsidR="00F0783E">
        <w:rPr>
          <w:rFonts w:asciiTheme="majorHAnsi" w:eastAsia="TimesNewRomanPSMT" w:hAnsiTheme="majorHAnsi" w:cstheme="majorHAnsi"/>
        </w:rPr>
        <w:t>Chien</w:t>
      </w:r>
      <w:proofErr w:type="spellEnd"/>
      <w:r w:rsidR="00F0783E">
        <w:rPr>
          <w:rFonts w:asciiTheme="majorHAnsi" w:eastAsia="TimesNewRomanPSMT" w:hAnsiTheme="majorHAnsi" w:cstheme="majorHAnsi"/>
        </w:rPr>
        <w:t xml:space="preserve"> </w:t>
      </w:r>
      <w:r w:rsidR="00236007">
        <w:rPr>
          <w:rFonts w:asciiTheme="majorHAnsi" w:eastAsia="TimesNewRomanPSMT" w:hAnsiTheme="majorHAnsi" w:cstheme="majorHAnsi"/>
          <w:i/>
          <w:iCs/>
        </w:rPr>
        <w:t>et al.</w:t>
      </w:r>
      <w:r w:rsidR="00F0783E" w:rsidRPr="00F0783E">
        <w:rPr>
          <w:rFonts w:asciiTheme="majorHAnsi" w:eastAsia="TimesNewRomanPSMT" w:hAnsiTheme="majorHAnsi" w:cstheme="majorHAnsi"/>
        </w:rPr>
        <w:t xml:space="preserve"> 1990):</w:t>
      </w:r>
      <w:r w:rsidR="00C33C37">
        <w:rPr>
          <w:rFonts w:asciiTheme="majorHAnsi" w:eastAsia="TimesNewRomanPSMT" w:hAnsiTheme="majorHAnsi" w:cstheme="majorHAnsi"/>
        </w:rPr>
        <w:t xml:space="preserve"> </w:t>
      </w:r>
    </w:p>
    <w:p w14:paraId="2C6C7411" w14:textId="0CFE78FE" w:rsidR="000228E3" w:rsidRPr="000228E3" w:rsidRDefault="000228E3" w:rsidP="00F0783E">
      <w:pPr>
        <w:spacing w:line="360" w:lineRule="auto"/>
        <w:jc w:val="both"/>
        <w:rPr>
          <w:rFonts w:asciiTheme="majorHAnsi" w:eastAsia="TimesNewRomanPSMT" w:hAnsiTheme="majorHAnsi" w:cstheme="majorHAnsi"/>
        </w:rPr>
      </w:pPr>
      <m:oMathPara>
        <m:oMath>
          <m:r>
            <m:rPr>
              <m:nor/>
            </m:rPr>
            <w:rPr>
              <w:rFonts w:asciiTheme="majorHAnsi" w:eastAsia="TimesNewRomanPSMT" w:hAnsiTheme="majorHAnsi" w:cstheme="majorHAnsi"/>
            </w:rPr>
            <m:t>RAE (%)=</m:t>
          </m:r>
          <m:f>
            <m:fPr>
              <m:ctrlPr>
                <w:rPr>
                  <w:rFonts w:ascii="Cambria Math" w:eastAsia="TimesNewRomanPSMT" w:hAnsi="Cambria Math" w:cstheme="majorHAnsi"/>
                  <w:i/>
                </w:rPr>
              </m:ctrlPr>
            </m:fPr>
            <m:num>
              <m:d>
                <m:dPr>
                  <m:ctrlPr>
                    <w:rPr>
                      <w:rFonts w:ascii="Cambria Math" w:eastAsia="TimesNewRomanPSMT" w:hAnsi="Cambria Math" w:cstheme="majorHAnsi"/>
                    </w:rPr>
                  </m:ctrlPr>
                </m:dPr>
                <m:e>
                  <m:r>
                    <m:rPr>
                      <m:nor/>
                    </m:rPr>
                    <w:rPr>
                      <w:rFonts w:asciiTheme="majorHAnsi" w:eastAsia="TimesNewRomanPSMT" w:hAnsiTheme="majorHAnsi" w:cstheme="majorHAnsi"/>
                    </w:rPr>
                    <m:t>Dry matter yield of PAPR - Dry matter yield of Control</m:t>
                  </m:r>
                </m:e>
              </m:d>
              <m:r>
                <m:rPr>
                  <m:nor/>
                </m:rPr>
                <w:rPr>
                  <w:rFonts w:asciiTheme="majorHAnsi" w:eastAsia="TimesNewRomanPSMT" w:hAnsiTheme="majorHAnsi" w:cstheme="majorHAnsi"/>
                </w:rPr>
                <m:t>×100</m:t>
              </m:r>
            </m:num>
            <m:den>
              <m:r>
                <m:rPr>
                  <m:nor/>
                </m:rPr>
                <w:rPr>
                  <w:rFonts w:asciiTheme="majorHAnsi" w:eastAsia="TimesNewRomanPSMT" w:hAnsiTheme="majorHAnsi" w:cstheme="majorHAnsi"/>
                </w:rPr>
                <m:t xml:space="preserve">(Dry matter yield of SP- Dry matter yield of Control) </m:t>
              </m:r>
            </m:den>
          </m:f>
        </m:oMath>
      </m:oMathPara>
    </w:p>
    <w:p w14:paraId="2D6F845E" w14:textId="6F2A285E" w:rsidR="00BF6A3D" w:rsidRPr="000228E3" w:rsidRDefault="00F0783E" w:rsidP="000228E3">
      <w:pPr>
        <w:spacing w:line="360" w:lineRule="auto"/>
        <w:jc w:val="both"/>
        <w:rPr>
          <w:rFonts w:asciiTheme="majorHAnsi" w:eastAsia="TimesNewRomanPSMT" w:hAnsiTheme="majorHAnsi" w:cstheme="majorHAnsi"/>
        </w:rPr>
      </w:pPr>
      <w:r w:rsidRPr="00F0783E">
        <w:rPr>
          <w:rFonts w:asciiTheme="majorHAnsi" w:eastAsia="TimesNewRomanPSMT" w:hAnsiTheme="majorHAnsi" w:cstheme="majorHAnsi"/>
        </w:rPr>
        <w:t xml:space="preserve">According to the classification </w:t>
      </w:r>
      <w:r w:rsidR="00C33C37">
        <w:rPr>
          <w:rFonts w:asciiTheme="majorHAnsi" w:eastAsia="TimesNewRomanPSMT" w:hAnsiTheme="majorHAnsi" w:cstheme="majorHAnsi"/>
        </w:rPr>
        <w:t>proposed</w:t>
      </w:r>
      <w:r w:rsidRPr="00F0783E">
        <w:rPr>
          <w:rFonts w:asciiTheme="majorHAnsi" w:eastAsia="TimesNewRomanPSMT" w:hAnsiTheme="majorHAnsi" w:cstheme="majorHAnsi"/>
        </w:rPr>
        <w:t xml:space="preserve"> by Hammond and Leon</w:t>
      </w:r>
      <w:r>
        <w:rPr>
          <w:rFonts w:asciiTheme="majorHAnsi" w:eastAsia="TimesNewRomanPSMT" w:hAnsiTheme="majorHAnsi" w:cstheme="majorHAnsi"/>
        </w:rPr>
        <w:t xml:space="preserve"> </w:t>
      </w:r>
      <w:r w:rsidRPr="00F0783E">
        <w:rPr>
          <w:rFonts w:asciiTheme="majorHAnsi" w:eastAsia="TimesNewRomanPSMT" w:hAnsiTheme="majorHAnsi" w:cstheme="majorHAnsi"/>
        </w:rPr>
        <w:t xml:space="preserve">(1983), the RAE classes are as </w:t>
      </w:r>
      <w:r>
        <w:rPr>
          <w:rFonts w:asciiTheme="majorHAnsi" w:eastAsia="TimesNewRomanPSMT" w:hAnsiTheme="majorHAnsi" w:cstheme="majorHAnsi"/>
        </w:rPr>
        <w:t>follows</w:t>
      </w:r>
      <w:r w:rsidRPr="00F0783E">
        <w:rPr>
          <w:rFonts w:asciiTheme="majorHAnsi" w:eastAsia="TimesNewRomanPSMT" w:hAnsiTheme="majorHAnsi" w:cstheme="majorHAnsi"/>
        </w:rPr>
        <w:t>:</w:t>
      </w:r>
      <w:r w:rsidR="000228E3">
        <w:rPr>
          <w:rFonts w:asciiTheme="majorHAnsi" w:eastAsia="TimesNewRomanPSMT" w:hAnsiTheme="majorHAnsi" w:cstheme="majorHAnsi"/>
        </w:rPr>
        <w:t xml:space="preserve"> &gt; 90 (High), 90-70 (Medium), 70-30 (Low), and &lt;</w:t>
      </w:r>
      <w:r w:rsidRPr="00F0783E">
        <w:rPr>
          <w:rFonts w:asciiTheme="majorHAnsi" w:eastAsia="TimesNewRomanPSMT" w:hAnsiTheme="majorHAnsi" w:cstheme="majorHAnsi"/>
        </w:rPr>
        <w:t>30 (Very Low).</w:t>
      </w:r>
      <w:r w:rsidR="000228E3">
        <w:rPr>
          <w:rFonts w:asciiTheme="majorHAnsi" w:eastAsia="TimesNewRomanPSMT" w:hAnsiTheme="majorHAnsi" w:cstheme="majorHAnsi"/>
        </w:rPr>
        <w:t xml:space="preserve"> </w:t>
      </w:r>
      <w:r w:rsidR="00BF6A3D" w:rsidRPr="00BF6A3D">
        <w:rPr>
          <w:rFonts w:asciiTheme="majorHAnsi" w:hAnsiTheme="majorHAnsi" w:cstheme="majorHAnsi"/>
        </w:rPr>
        <w:t>The apparent P recovery</w:t>
      </w:r>
      <w:r w:rsidR="00BF6A3D" w:rsidRPr="0021320D">
        <w:rPr>
          <w:rFonts w:asciiTheme="majorHAnsi" w:hAnsiTheme="majorHAnsi" w:cstheme="majorHAnsi"/>
          <w:b/>
          <w:bCs/>
        </w:rPr>
        <w:t xml:space="preserve"> </w:t>
      </w:r>
      <w:r w:rsidR="00BF6A3D">
        <w:rPr>
          <w:rFonts w:asciiTheme="majorHAnsi" w:hAnsiTheme="majorHAnsi" w:cstheme="majorHAnsi"/>
        </w:rPr>
        <w:t xml:space="preserve">was calculated as </w:t>
      </w:r>
      <w:r w:rsidR="000228E3">
        <w:rPr>
          <w:rFonts w:asciiTheme="majorHAnsi" w:hAnsiTheme="majorHAnsi" w:cstheme="majorHAnsi"/>
        </w:rPr>
        <w:t>follows</w:t>
      </w:r>
      <w:r w:rsidR="00BF6A3D">
        <w:rPr>
          <w:rFonts w:asciiTheme="majorHAnsi" w:hAnsiTheme="majorHAnsi" w:cstheme="majorHAnsi"/>
        </w:rPr>
        <w:t xml:space="preserve"> </w:t>
      </w:r>
      <w:r w:rsidR="00BF6A3D" w:rsidRPr="0021320D">
        <w:rPr>
          <w:rFonts w:asciiTheme="majorHAnsi" w:hAnsiTheme="majorHAnsi" w:cstheme="majorHAnsi"/>
        </w:rPr>
        <w:t>(</w:t>
      </w:r>
      <w:proofErr w:type="spellStart"/>
      <w:r w:rsidR="00BF6A3D" w:rsidRPr="0021320D">
        <w:rPr>
          <w:rFonts w:asciiTheme="majorHAnsi" w:hAnsiTheme="majorHAnsi" w:cstheme="majorHAnsi"/>
        </w:rPr>
        <w:t>Nnadi</w:t>
      </w:r>
      <w:proofErr w:type="spellEnd"/>
      <w:r w:rsidR="00BF6A3D" w:rsidRPr="0021320D">
        <w:rPr>
          <w:rFonts w:asciiTheme="majorHAnsi" w:hAnsiTheme="majorHAnsi" w:cstheme="majorHAnsi"/>
        </w:rPr>
        <w:t xml:space="preserve"> </w:t>
      </w:r>
      <w:r w:rsidR="00236007">
        <w:rPr>
          <w:rFonts w:asciiTheme="majorHAnsi" w:hAnsiTheme="majorHAnsi" w:cstheme="majorHAnsi"/>
          <w:i/>
        </w:rPr>
        <w:t>et al.</w:t>
      </w:r>
      <w:r w:rsidR="00BF6A3D" w:rsidRPr="0021320D">
        <w:rPr>
          <w:rFonts w:asciiTheme="majorHAnsi" w:hAnsiTheme="majorHAnsi" w:cstheme="majorHAnsi"/>
        </w:rPr>
        <w:t xml:space="preserve"> 1988)</w:t>
      </w:r>
    </w:p>
    <w:p w14:paraId="6EF4240A" w14:textId="3CEC8E7A" w:rsidR="00BF6A3D" w:rsidRPr="00BF6A3D" w:rsidRDefault="00BF6A3D" w:rsidP="00BF6A3D">
      <w:pPr>
        <w:autoSpaceDE w:val="0"/>
        <w:autoSpaceDN w:val="0"/>
        <w:adjustRightInd w:val="0"/>
        <w:spacing w:line="360" w:lineRule="auto"/>
        <w:jc w:val="both"/>
        <w:rPr>
          <w:rFonts w:asciiTheme="majorHAnsi" w:hAnsiTheme="majorHAnsi" w:cstheme="majorHAnsi"/>
          <w:b/>
        </w:rPr>
      </w:pPr>
      <m:oMathPara>
        <m:oMath>
          <m:r>
            <m:rPr>
              <m:nor/>
            </m:rPr>
            <w:rPr>
              <w:rFonts w:asciiTheme="majorHAnsi" w:hAnsiTheme="majorHAnsi" w:cstheme="majorHAnsi"/>
              <w:bCs/>
            </w:rPr>
            <m:t>Apparent P recovery</m:t>
          </m:r>
          <m:r>
            <m:rPr>
              <m:nor/>
            </m:rPr>
            <w:rPr>
              <w:rFonts w:ascii="Cambria Math" w:hAnsiTheme="majorHAnsi" w:cstheme="majorHAnsi"/>
              <w:bCs/>
            </w:rPr>
            <m:t xml:space="preserve"> </m:t>
          </m:r>
          <m:r>
            <m:rPr>
              <m:nor/>
            </m:rPr>
            <w:rPr>
              <w:rFonts w:asciiTheme="majorHAnsi" w:hAnsiTheme="majorHAnsi" w:cstheme="majorHAnsi"/>
              <w:bCs/>
            </w:rPr>
            <m:t>(%)</m:t>
          </m:r>
          <m:r>
            <m:rPr>
              <m:nor/>
            </m:rPr>
            <w:rPr>
              <w:rFonts w:ascii="Cambria Math" w:hAnsiTheme="majorHAnsi" w:cstheme="majorHAnsi"/>
              <w:b/>
            </w:rPr>
            <m:t xml:space="preserve"> </m:t>
          </m:r>
          <m:r>
            <m:rPr>
              <m:nor/>
            </m:rPr>
            <w:rPr>
              <w:rFonts w:asciiTheme="majorHAnsi" w:hAnsiTheme="majorHAnsi" w:cstheme="majorHAnsi"/>
              <w:b/>
            </w:rPr>
            <m:t>=</m:t>
          </m:r>
          <m:f>
            <m:fPr>
              <m:ctrlPr>
                <w:rPr>
                  <w:rFonts w:ascii="Cambria Math" w:hAnsi="Cambria Math" w:cstheme="majorHAnsi"/>
                  <w:b/>
                  <w:i/>
                </w:rPr>
              </m:ctrlPr>
            </m:fPr>
            <m:num>
              <m:r>
                <m:rPr>
                  <m:nor/>
                </m:rPr>
                <w:rPr>
                  <w:rFonts w:asciiTheme="majorHAnsi" w:eastAsia="TimesNewRomanPSMT" w:hAnsiTheme="majorHAnsi" w:cstheme="majorHAnsi"/>
                </w:rPr>
                <m:t>(P uptake under P treatment-P uptake under control)×100</m:t>
              </m:r>
            </m:num>
            <m:den>
              <m:r>
                <m:rPr>
                  <m:nor/>
                </m:rPr>
                <w:rPr>
                  <w:rFonts w:asciiTheme="majorHAnsi" w:hAnsiTheme="majorHAnsi" w:cstheme="majorHAnsi"/>
                  <w:bCs/>
                </w:rPr>
                <m:t>P applied</m:t>
              </m:r>
            </m:den>
          </m:f>
        </m:oMath>
      </m:oMathPara>
    </w:p>
    <w:p w14:paraId="66480CF3" w14:textId="023CE55A" w:rsidR="00C33C37" w:rsidRDefault="0005530F" w:rsidP="00F0783E">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 xml:space="preserve">2.3 </w:t>
      </w:r>
      <w:r w:rsidR="00C33C37" w:rsidRPr="00C33C37">
        <w:rPr>
          <w:rFonts w:asciiTheme="majorHAnsi" w:eastAsia="TimesNewRomanPSMT" w:hAnsiTheme="majorHAnsi" w:cstheme="majorHAnsi"/>
          <w:b/>
          <w:bCs/>
        </w:rPr>
        <w:t>Statistical analysis</w:t>
      </w:r>
    </w:p>
    <w:p w14:paraId="3E08795F" w14:textId="37BB894D" w:rsidR="00D5654D" w:rsidRDefault="00D5654D" w:rsidP="00F0783E">
      <w:pPr>
        <w:spacing w:line="360" w:lineRule="auto"/>
        <w:jc w:val="both"/>
        <w:rPr>
          <w:rFonts w:asciiTheme="majorHAnsi" w:eastAsia="TimesNewRomanPSMT" w:hAnsiTheme="majorHAnsi" w:cstheme="majorHAnsi"/>
        </w:rPr>
      </w:pPr>
      <w:r w:rsidRPr="00D5654D">
        <w:rPr>
          <w:rFonts w:asciiTheme="majorHAnsi" w:eastAsia="TimesNewRomanPSMT" w:hAnsiTheme="majorHAnsi" w:cstheme="majorHAnsi"/>
        </w:rPr>
        <w:t>The experimental data were subjected to statistical analysis using a complete</w:t>
      </w:r>
      <w:r>
        <w:rPr>
          <w:rFonts w:asciiTheme="majorHAnsi" w:eastAsia="TimesNewRomanPSMT" w:hAnsiTheme="majorHAnsi" w:cstheme="majorHAnsi"/>
        </w:rPr>
        <w:t>ly</w:t>
      </w:r>
      <w:r w:rsidRPr="00D5654D">
        <w:rPr>
          <w:rFonts w:asciiTheme="majorHAnsi" w:eastAsia="TimesNewRomanPSMT" w:hAnsiTheme="majorHAnsi" w:cstheme="majorHAnsi"/>
        </w:rPr>
        <w:t xml:space="preserve"> block design (</w:t>
      </w:r>
      <w:r>
        <w:rPr>
          <w:rFonts w:asciiTheme="majorHAnsi" w:eastAsia="TimesNewRomanPSMT" w:hAnsiTheme="majorHAnsi" w:cstheme="majorHAnsi"/>
        </w:rPr>
        <w:t>CR</w:t>
      </w:r>
      <w:r w:rsidRPr="00D5654D">
        <w:rPr>
          <w:rFonts w:asciiTheme="majorHAnsi" w:eastAsia="TimesNewRomanPSMT" w:hAnsiTheme="majorHAnsi" w:cstheme="majorHAnsi"/>
        </w:rPr>
        <w:t>D) through analysis of variance (ANOVA). A combined analysis was performed, and treatment means were compared using Duncan’s multiple range test at a 5% probability level (p ≤ 0.05) based on the least significant difference (LSD)</w:t>
      </w:r>
      <w:r>
        <w:rPr>
          <w:rFonts w:asciiTheme="majorHAnsi" w:eastAsia="TimesNewRomanPSMT" w:hAnsiTheme="majorHAnsi" w:cstheme="majorHAnsi"/>
        </w:rPr>
        <w:t xml:space="preserve">. The statistical tool utilised was SPSS (27.0, USA) </w:t>
      </w:r>
      <w:r w:rsidRPr="00D5654D">
        <w:rPr>
          <w:rFonts w:asciiTheme="majorHAnsi" w:eastAsia="TimesNewRomanPSMT" w:hAnsiTheme="majorHAnsi" w:cstheme="majorHAnsi"/>
        </w:rPr>
        <w:t>(</w:t>
      </w:r>
      <w:commentRangeStart w:id="3"/>
      <w:r w:rsidRPr="00D5654D">
        <w:rPr>
          <w:rFonts w:asciiTheme="majorHAnsi" w:eastAsia="TimesNewRomanPSMT" w:hAnsiTheme="majorHAnsi" w:cstheme="majorHAnsi"/>
        </w:rPr>
        <w:t>Gomez</w:t>
      </w:r>
      <w:commentRangeEnd w:id="3"/>
      <w:r w:rsidR="001F4708">
        <w:rPr>
          <w:rStyle w:val="CommentReference"/>
        </w:rPr>
        <w:commentReference w:id="3"/>
      </w:r>
      <w:r w:rsidRPr="00D5654D">
        <w:rPr>
          <w:rFonts w:asciiTheme="majorHAnsi" w:eastAsia="TimesNewRomanPSMT" w:hAnsiTheme="majorHAnsi" w:cstheme="majorHAnsi"/>
        </w:rPr>
        <w:t xml:space="preserve"> and Gomez, 1984</w:t>
      </w:r>
      <w:r>
        <w:rPr>
          <w:rFonts w:asciiTheme="majorHAnsi" w:eastAsia="TimesNewRomanPSMT" w:hAnsiTheme="majorHAnsi" w:cstheme="majorHAnsi"/>
        </w:rPr>
        <w:t>).</w:t>
      </w:r>
    </w:p>
    <w:p w14:paraId="5126B194" w14:textId="776AA1F6" w:rsidR="0005530F" w:rsidRDefault="0005530F" w:rsidP="0005530F">
      <w:pPr>
        <w:pStyle w:val="ListParagraph"/>
        <w:numPr>
          <w:ilvl w:val="0"/>
          <w:numId w:val="1"/>
        </w:numPr>
        <w:spacing w:line="360" w:lineRule="auto"/>
        <w:jc w:val="both"/>
        <w:rPr>
          <w:rFonts w:asciiTheme="majorHAnsi" w:eastAsia="TimesNewRomanPSMT" w:hAnsiTheme="majorHAnsi" w:cstheme="majorHAnsi"/>
          <w:b/>
          <w:bCs/>
        </w:rPr>
      </w:pPr>
      <w:r w:rsidRPr="0005530F">
        <w:rPr>
          <w:rFonts w:asciiTheme="majorHAnsi" w:eastAsia="TimesNewRomanPSMT" w:hAnsiTheme="majorHAnsi" w:cstheme="majorHAnsi"/>
          <w:b/>
          <w:bCs/>
        </w:rPr>
        <w:lastRenderedPageBreak/>
        <w:t>Result and Discussion</w:t>
      </w:r>
    </w:p>
    <w:p w14:paraId="69183078" w14:textId="772E2C08" w:rsidR="00646389" w:rsidRPr="00531043" w:rsidRDefault="00CB183E" w:rsidP="00531043">
      <w:pPr>
        <w:pStyle w:val="ListParagraph"/>
        <w:numPr>
          <w:ilvl w:val="1"/>
          <w:numId w:val="1"/>
        </w:numPr>
        <w:spacing w:line="360" w:lineRule="auto"/>
        <w:jc w:val="both"/>
        <w:rPr>
          <w:rFonts w:asciiTheme="majorHAnsi" w:eastAsia="TimesNewRomanPSMT" w:hAnsiTheme="majorHAnsi" w:cstheme="majorHAnsi"/>
          <w:b/>
          <w:bCs/>
        </w:rPr>
      </w:pPr>
      <w:r w:rsidRPr="00531043">
        <w:rPr>
          <w:rFonts w:asciiTheme="majorHAnsi" w:eastAsia="TimesNewRomanPSMT" w:hAnsiTheme="majorHAnsi" w:cstheme="majorHAnsi"/>
          <w:b/>
          <w:bCs/>
        </w:rPr>
        <w:t>Characterisation of phosphate rock (PR) and partially acidulated phosphate rock (PAPR)</w:t>
      </w:r>
    </w:p>
    <w:p w14:paraId="4A509AB2" w14:textId="136D1C1C" w:rsidR="00CB183E" w:rsidRDefault="00531043" w:rsidP="00646389">
      <w:pPr>
        <w:spacing w:line="360" w:lineRule="auto"/>
        <w:jc w:val="both"/>
        <w:rPr>
          <w:rFonts w:ascii="Times New Roman" w:hAnsi="Times New Roman" w:cs="Times New Roman"/>
        </w:rPr>
      </w:pPr>
      <w:r>
        <w:rPr>
          <w:rFonts w:asciiTheme="majorHAnsi" w:eastAsia="TimesNewRomanPSMT" w:hAnsiTheme="majorHAnsi" w:cstheme="majorHAnsi"/>
        </w:rPr>
        <w:t>The different forms of P present in PR are</w:t>
      </w:r>
      <w:r w:rsidR="008739BC">
        <w:rPr>
          <w:rFonts w:asciiTheme="majorHAnsi" w:eastAsia="TimesNewRomanPSMT" w:hAnsiTheme="majorHAnsi" w:cstheme="majorHAnsi"/>
        </w:rPr>
        <w:t xml:space="preserve"> presented in Fig. 1 and</w:t>
      </w:r>
      <w:r>
        <w:rPr>
          <w:rFonts w:asciiTheme="majorHAnsi" w:eastAsia="TimesNewRomanPSMT" w:hAnsiTheme="majorHAnsi" w:cstheme="majorHAnsi"/>
        </w:rPr>
        <w:t xml:space="preserve"> quantified as follows: Total phosphorus (TP) 8.41%, water soluble phosphorus (WSP) 0.19%, Citrate soluble phosphorus (CSP) 1.71%, and citrate insoluble phosphorus (CISP) 6.51%. Similarly, the PAPR contain TP 9.4%, WSP (1.9%), CSP (3.27%), and CISP (6.13%). The percentage of increase in P content of PAPR over PR follows </w:t>
      </w:r>
      <w:r w:rsidR="00261C67">
        <w:rPr>
          <w:rFonts w:asciiTheme="majorHAnsi" w:eastAsia="TimesNewRomanPSMT" w:hAnsiTheme="majorHAnsi" w:cstheme="majorHAnsi"/>
        </w:rPr>
        <w:t xml:space="preserve">12%, </w:t>
      </w:r>
      <w:r w:rsidR="008739BC">
        <w:rPr>
          <w:rFonts w:asciiTheme="majorHAnsi" w:eastAsia="TimesNewRomanPSMT" w:hAnsiTheme="majorHAnsi" w:cstheme="majorHAnsi"/>
        </w:rPr>
        <w:t xml:space="preserve">900% in the case of TP and WSP, while the CSP and CISP content decreases by 20% and 6% respectively. Our results follow a similar pattern </w:t>
      </w:r>
      <w:r w:rsidR="009022BF">
        <w:rPr>
          <w:rFonts w:asciiTheme="majorHAnsi" w:eastAsia="TimesNewRomanPSMT" w:hAnsiTheme="majorHAnsi" w:cstheme="majorHAnsi"/>
        </w:rPr>
        <w:t>to</w:t>
      </w:r>
      <w:r w:rsidR="008739BC">
        <w:rPr>
          <w:rFonts w:asciiTheme="majorHAnsi" w:eastAsia="TimesNewRomanPSMT" w:hAnsiTheme="majorHAnsi" w:cstheme="majorHAnsi"/>
        </w:rPr>
        <w:t xml:space="preserve"> </w:t>
      </w:r>
      <w:r w:rsidR="009022BF">
        <w:rPr>
          <w:rFonts w:asciiTheme="majorHAnsi" w:eastAsia="TimesNewRomanPSMT" w:hAnsiTheme="majorHAnsi" w:cstheme="majorHAnsi"/>
        </w:rPr>
        <w:t xml:space="preserve">that </w:t>
      </w:r>
      <w:r w:rsidR="008739BC">
        <w:rPr>
          <w:rFonts w:asciiTheme="majorHAnsi" w:eastAsia="TimesNewRomanPSMT" w:hAnsiTheme="majorHAnsi" w:cstheme="majorHAnsi"/>
        </w:rPr>
        <w:t xml:space="preserve">mentioned by Biswas and </w:t>
      </w:r>
      <w:proofErr w:type="spellStart"/>
      <w:r w:rsidR="008739BC">
        <w:rPr>
          <w:rFonts w:asciiTheme="majorHAnsi" w:eastAsia="TimesNewRomanPSMT" w:hAnsiTheme="majorHAnsi" w:cstheme="majorHAnsi"/>
        </w:rPr>
        <w:t>Narayanasamy</w:t>
      </w:r>
      <w:proofErr w:type="spellEnd"/>
      <w:r w:rsidR="008739BC">
        <w:rPr>
          <w:rFonts w:asciiTheme="majorHAnsi" w:eastAsia="TimesNewRomanPSMT" w:hAnsiTheme="majorHAnsi" w:cstheme="majorHAnsi"/>
        </w:rPr>
        <w:t xml:space="preserve"> (1995);</w:t>
      </w:r>
      <w:r w:rsidR="00236007">
        <w:rPr>
          <w:rFonts w:asciiTheme="majorHAnsi" w:eastAsia="TimesNewRomanPSMT" w:hAnsiTheme="majorHAnsi" w:cstheme="majorHAnsi"/>
        </w:rPr>
        <w:t xml:space="preserve"> Roy </w:t>
      </w:r>
      <w:r w:rsidR="00236007">
        <w:rPr>
          <w:rFonts w:asciiTheme="majorHAnsi" w:eastAsia="TimesNewRomanPSMT" w:hAnsiTheme="majorHAnsi" w:cstheme="majorHAnsi"/>
          <w:i/>
          <w:iCs/>
        </w:rPr>
        <w:t>et al.</w:t>
      </w:r>
      <w:r w:rsidR="00236007">
        <w:rPr>
          <w:rFonts w:asciiTheme="majorHAnsi" w:eastAsia="TimesNewRomanPSMT" w:hAnsiTheme="majorHAnsi" w:cstheme="majorHAnsi"/>
        </w:rPr>
        <w:t xml:space="preserve"> (2015).</w:t>
      </w:r>
      <w:r w:rsidR="009022BF">
        <w:rPr>
          <w:rFonts w:asciiTheme="majorHAnsi" w:eastAsia="TimesNewRomanPSMT" w:hAnsiTheme="majorHAnsi" w:cstheme="majorHAnsi"/>
        </w:rPr>
        <w:t xml:space="preserve"> There is an increase in the content of </w:t>
      </w:r>
      <w:r w:rsidR="00435980">
        <w:rPr>
          <w:rFonts w:asciiTheme="majorHAnsi" w:eastAsia="TimesNewRomanPSMT" w:hAnsiTheme="majorHAnsi" w:cstheme="majorHAnsi"/>
        </w:rPr>
        <w:t>P in PAPR treated with H</w:t>
      </w:r>
      <w:r w:rsidR="00435980" w:rsidRPr="00435980">
        <w:rPr>
          <w:rFonts w:asciiTheme="majorHAnsi" w:eastAsia="TimesNewRomanPSMT" w:hAnsiTheme="majorHAnsi" w:cstheme="majorHAnsi"/>
          <w:vertAlign w:val="subscript"/>
        </w:rPr>
        <w:t>3</w:t>
      </w:r>
      <w:r w:rsidR="00435980">
        <w:rPr>
          <w:rFonts w:asciiTheme="majorHAnsi" w:eastAsia="TimesNewRomanPSMT" w:hAnsiTheme="majorHAnsi" w:cstheme="majorHAnsi"/>
        </w:rPr>
        <w:t>PO</w:t>
      </w:r>
      <w:r w:rsidR="00435980" w:rsidRPr="00435980">
        <w:rPr>
          <w:rFonts w:asciiTheme="majorHAnsi" w:eastAsia="TimesNewRomanPSMT" w:hAnsiTheme="majorHAnsi" w:cstheme="majorHAnsi"/>
          <w:vertAlign w:val="subscript"/>
        </w:rPr>
        <w:t>4</w:t>
      </w:r>
      <w:r w:rsidR="009022BF">
        <w:rPr>
          <w:rFonts w:asciiTheme="majorHAnsi" w:eastAsia="TimesNewRomanPSMT" w:hAnsiTheme="majorHAnsi" w:cstheme="majorHAnsi"/>
        </w:rPr>
        <w:t xml:space="preserve"> due to the addition of </w:t>
      </w:r>
      <w:r w:rsidR="00435980">
        <w:rPr>
          <w:rFonts w:asciiTheme="majorHAnsi" w:eastAsia="TimesNewRomanPSMT" w:hAnsiTheme="majorHAnsi" w:cstheme="majorHAnsi"/>
        </w:rPr>
        <w:t xml:space="preserve">inherent </w:t>
      </w:r>
      <w:r w:rsidR="009022BF">
        <w:rPr>
          <w:rFonts w:asciiTheme="majorHAnsi" w:eastAsia="TimesNewRomanPSMT" w:hAnsiTheme="majorHAnsi" w:cstheme="majorHAnsi"/>
        </w:rPr>
        <w:t>P form of mineral acid</w:t>
      </w:r>
      <w:r w:rsidR="00435980">
        <w:rPr>
          <w:rFonts w:asciiTheme="majorHAnsi" w:eastAsia="TimesNewRomanPSMT" w:hAnsiTheme="majorHAnsi" w:cstheme="majorHAnsi"/>
        </w:rPr>
        <w:t>,</w:t>
      </w:r>
      <w:r w:rsidR="009022BF">
        <w:rPr>
          <w:rFonts w:asciiTheme="majorHAnsi" w:eastAsia="TimesNewRomanPSMT" w:hAnsiTheme="majorHAnsi" w:cstheme="majorHAnsi"/>
        </w:rPr>
        <w:t xml:space="preserve"> </w:t>
      </w:r>
      <w:r w:rsidR="00435980">
        <w:rPr>
          <w:rFonts w:asciiTheme="majorHAnsi" w:eastAsia="TimesNewRomanPSMT" w:hAnsiTheme="majorHAnsi" w:cstheme="majorHAnsi"/>
        </w:rPr>
        <w:t>and P is present in the form of monocalcium phosphate {</w:t>
      </w:r>
      <w:r w:rsidR="00435980" w:rsidRPr="000B4F13">
        <w:rPr>
          <w:rFonts w:ascii="Times New Roman" w:hAnsi="Times New Roman" w:cs="Times New Roman"/>
        </w:rPr>
        <w:t>Ca(H</w:t>
      </w:r>
      <w:r w:rsidR="00435980" w:rsidRPr="000B4F13">
        <w:rPr>
          <w:rFonts w:ascii="Times New Roman" w:hAnsi="Times New Roman" w:cs="Times New Roman"/>
          <w:vertAlign w:val="subscript"/>
        </w:rPr>
        <w:t>2</w:t>
      </w:r>
      <w:r w:rsidR="00435980" w:rsidRPr="000B4F13">
        <w:rPr>
          <w:rFonts w:ascii="Times New Roman" w:hAnsi="Times New Roman" w:cs="Times New Roman"/>
        </w:rPr>
        <w:t>PO</w:t>
      </w:r>
      <w:r w:rsidR="00435980" w:rsidRPr="000B4F13">
        <w:rPr>
          <w:rFonts w:ascii="Times New Roman" w:hAnsi="Times New Roman" w:cs="Times New Roman"/>
          <w:vertAlign w:val="subscript"/>
        </w:rPr>
        <w:t>4</w:t>
      </w:r>
      <w:r w:rsidR="00435980" w:rsidRPr="000B4F13">
        <w:rPr>
          <w:rFonts w:ascii="Times New Roman" w:hAnsi="Times New Roman" w:cs="Times New Roman"/>
        </w:rPr>
        <w:t>)</w:t>
      </w:r>
      <w:r w:rsidR="00435980" w:rsidRPr="000B4F13">
        <w:rPr>
          <w:rFonts w:ascii="Times New Roman" w:hAnsi="Times New Roman" w:cs="Times New Roman"/>
          <w:vertAlign w:val="subscript"/>
        </w:rPr>
        <w:t>2</w:t>
      </w:r>
      <w:r w:rsidR="00435980">
        <w:rPr>
          <w:rFonts w:ascii="Times New Roman" w:hAnsi="Times New Roman" w:cs="Times New Roman"/>
        </w:rPr>
        <w:t>}.</w:t>
      </w:r>
    </w:p>
    <w:p w14:paraId="378C6B2A" w14:textId="5F4BCDEF" w:rsidR="00100D18" w:rsidRPr="00100D18" w:rsidRDefault="00100D18" w:rsidP="00100D18">
      <w:pPr>
        <w:jc w:val="both"/>
        <w:rPr>
          <w:rFonts w:ascii="Times New Roman" w:hAnsi="Times New Roman" w:cs="Times New Roman"/>
          <w:b/>
        </w:rPr>
      </w:pPr>
      <w:r w:rsidRPr="00100D18">
        <w:rPr>
          <w:rFonts w:ascii="Times New Roman" w:hAnsi="Times New Roman" w:cs="Times New Roman"/>
          <w:b/>
        </w:rPr>
        <w:t>3.2 Effect of P fertilization on yield and yield attributes of maize</w:t>
      </w:r>
      <w:r>
        <w:rPr>
          <w:rFonts w:ascii="Times New Roman" w:hAnsi="Times New Roman" w:cs="Times New Roman"/>
          <w:b/>
        </w:rPr>
        <w:t>.</w:t>
      </w:r>
    </w:p>
    <w:tbl>
      <w:tblPr>
        <w:tblStyle w:val="TableGrid"/>
        <w:tblpPr w:leftFromText="180" w:rightFromText="180" w:vertAnchor="text" w:horzAnchor="margin" w:tblpY="412"/>
        <w:tblW w:w="9281" w:type="dxa"/>
        <w:tblLook w:val="04A0" w:firstRow="1" w:lastRow="0" w:firstColumn="1" w:lastColumn="0" w:noHBand="0" w:noVBand="1"/>
      </w:tblPr>
      <w:tblGrid>
        <w:gridCol w:w="1417"/>
        <w:gridCol w:w="1477"/>
        <w:gridCol w:w="1556"/>
        <w:gridCol w:w="1695"/>
        <w:gridCol w:w="1305"/>
        <w:gridCol w:w="1831"/>
      </w:tblGrid>
      <w:tr w:rsidR="00FA0556" w14:paraId="050DA6A3" w14:textId="77777777" w:rsidTr="00FA0556">
        <w:trPr>
          <w:trHeight w:val="773"/>
        </w:trPr>
        <w:tc>
          <w:tcPr>
            <w:tcW w:w="1418" w:type="dxa"/>
          </w:tcPr>
          <w:p w14:paraId="6366ED97" w14:textId="77777777" w:rsidR="00FA0556" w:rsidRPr="00646389" w:rsidRDefault="00FA0556" w:rsidP="00FA0556">
            <w:pPr>
              <w:spacing w:line="360" w:lineRule="auto"/>
              <w:jc w:val="both"/>
              <w:rPr>
                <w:rFonts w:asciiTheme="majorHAnsi" w:eastAsia="TimesNewRomanPSMT" w:hAnsiTheme="majorHAnsi" w:cstheme="majorHAnsi"/>
                <w:b/>
                <w:bCs/>
              </w:rPr>
            </w:pPr>
            <w:r w:rsidRPr="00646389">
              <w:rPr>
                <w:rFonts w:asciiTheme="majorHAnsi" w:eastAsia="TimesNewRomanPSMT" w:hAnsiTheme="majorHAnsi" w:cstheme="majorHAnsi"/>
                <w:b/>
                <w:bCs/>
              </w:rPr>
              <w:t>Treatments</w:t>
            </w:r>
          </w:p>
        </w:tc>
        <w:tc>
          <w:tcPr>
            <w:tcW w:w="1484" w:type="dxa"/>
          </w:tcPr>
          <w:p w14:paraId="7EB594D1" w14:textId="77777777" w:rsidR="00FA0556" w:rsidRPr="00646389" w:rsidRDefault="00FA0556" w:rsidP="00FA0556">
            <w:pPr>
              <w:spacing w:line="360" w:lineRule="auto"/>
              <w:rPr>
                <w:rFonts w:asciiTheme="majorHAnsi" w:eastAsia="TimesNewRomanPSMT" w:hAnsiTheme="majorHAnsi" w:cstheme="majorHAnsi"/>
                <w:b/>
                <w:bCs/>
              </w:rPr>
            </w:pPr>
            <w:r w:rsidRPr="00646389">
              <w:rPr>
                <w:b/>
                <w:bCs/>
              </w:rPr>
              <w:t>Grain yield (g</w:t>
            </w:r>
            <w:r>
              <w:rPr>
                <w:b/>
                <w:bCs/>
              </w:rPr>
              <w:t xml:space="preserve"> </w:t>
            </w:r>
            <w:r w:rsidRPr="00646389">
              <w:rPr>
                <w:b/>
                <w:bCs/>
              </w:rPr>
              <w:t>pot</w:t>
            </w:r>
            <w:r w:rsidRPr="00FA0556">
              <w:rPr>
                <w:b/>
                <w:bCs/>
                <w:vertAlign w:val="superscript"/>
              </w:rPr>
              <w:t>-1</w:t>
            </w:r>
            <w:r w:rsidRPr="00646389">
              <w:rPr>
                <w:b/>
                <w:bCs/>
              </w:rPr>
              <w:t>)</w:t>
            </w:r>
          </w:p>
        </w:tc>
        <w:tc>
          <w:tcPr>
            <w:tcW w:w="1559" w:type="dxa"/>
          </w:tcPr>
          <w:p w14:paraId="171B0366" w14:textId="77777777" w:rsidR="00FA0556" w:rsidRDefault="00FA0556" w:rsidP="00FA0556">
            <w:pPr>
              <w:spacing w:line="360" w:lineRule="auto"/>
              <w:rPr>
                <w:b/>
                <w:bCs/>
              </w:rPr>
            </w:pPr>
            <w:commentRangeStart w:id="4"/>
            <w:proofErr w:type="spellStart"/>
            <w:r w:rsidRPr="00646389">
              <w:rPr>
                <w:b/>
                <w:bCs/>
              </w:rPr>
              <w:t>stover</w:t>
            </w:r>
            <w:commentRangeEnd w:id="4"/>
            <w:proofErr w:type="spellEnd"/>
            <w:r w:rsidR="001F4708">
              <w:rPr>
                <w:rStyle w:val="CommentReference"/>
              </w:rPr>
              <w:commentReference w:id="4"/>
            </w:r>
            <w:r w:rsidRPr="00646389">
              <w:rPr>
                <w:b/>
                <w:bCs/>
              </w:rPr>
              <w:t xml:space="preserve"> yield</w:t>
            </w:r>
          </w:p>
          <w:p w14:paraId="025E2212" w14:textId="77777777" w:rsidR="00FA0556" w:rsidRPr="00646389" w:rsidRDefault="00FA0556" w:rsidP="00FA0556">
            <w:pPr>
              <w:spacing w:line="360" w:lineRule="auto"/>
              <w:rPr>
                <w:rFonts w:asciiTheme="majorHAnsi" w:eastAsia="TimesNewRomanPSMT" w:hAnsiTheme="majorHAnsi" w:cstheme="majorHAnsi"/>
                <w:b/>
                <w:bCs/>
              </w:rPr>
            </w:pPr>
            <w:r w:rsidRPr="00646389">
              <w:rPr>
                <w:b/>
                <w:bCs/>
              </w:rPr>
              <w:t xml:space="preserve"> (g</w:t>
            </w:r>
            <w:r>
              <w:rPr>
                <w:b/>
                <w:bCs/>
              </w:rPr>
              <w:t xml:space="preserve"> </w:t>
            </w:r>
            <w:r w:rsidRPr="00646389">
              <w:rPr>
                <w:b/>
                <w:bCs/>
              </w:rPr>
              <w:t>pot</w:t>
            </w:r>
            <w:r w:rsidRPr="00FA0556">
              <w:rPr>
                <w:b/>
                <w:bCs/>
                <w:vertAlign w:val="superscript"/>
              </w:rPr>
              <w:t>-1</w:t>
            </w:r>
            <w:r w:rsidRPr="00646389">
              <w:rPr>
                <w:b/>
                <w:bCs/>
              </w:rPr>
              <w:t>)</w:t>
            </w:r>
          </w:p>
        </w:tc>
        <w:tc>
          <w:tcPr>
            <w:tcW w:w="1701" w:type="dxa"/>
            <w:tcBorders>
              <w:bottom w:val="single" w:sz="4" w:space="0" w:color="auto"/>
            </w:tcBorders>
          </w:tcPr>
          <w:p w14:paraId="704DC0FC" w14:textId="77777777" w:rsidR="00FA0556" w:rsidRDefault="00FA0556" w:rsidP="00FA0556">
            <w:pPr>
              <w:spacing w:line="360" w:lineRule="auto"/>
              <w:jc w:val="center"/>
              <w:rPr>
                <w:b/>
                <w:bCs/>
              </w:rPr>
            </w:pPr>
            <w:r>
              <w:rPr>
                <w:b/>
                <w:bCs/>
              </w:rPr>
              <w:t xml:space="preserve">Biomass yield </w:t>
            </w:r>
          </w:p>
          <w:p w14:paraId="71F18971" w14:textId="77777777" w:rsidR="00FA0556" w:rsidRPr="00646389" w:rsidRDefault="00FA0556" w:rsidP="00FA0556">
            <w:pPr>
              <w:spacing w:line="360" w:lineRule="auto"/>
              <w:jc w:val="center"/>
              <w:rPr>
                <w:b/>
                <w:bCs/>
              </w:rPr>
            </w:pPr>
            <w:r>
              <w:rPr>
                <w:b/>
                <w:bCs/>
              </w:rPr>
              <w:t xml:space="preserve">at flowering </w:t>
            </w:r>
            <w:r w:rsidRPr="00646389">
              <w:rPr>
                <w:b/>
                <w:bCs/>
              </w:rPr>
              <w:t>(g</w:t>
            </w:r>
            <w:r>
              <w:rPr>
                <w:b/>
                <w:bCs/>
              </w:rPr>
              <w:t xml:space="preserve"> </w:t>
            </w:r>
            <w:r w:rsidRPr="00646389">
              <w:rPr>
                <w:b/>
                <w:bCs/>
              </w:rPr>
              <w:t>pot</w:t>
            </w:r>
            <w:r w:rsidRPr="00FA0556">
              <w:rPr>
                <w:b/>
                <w:bCs/>
                <w:vertAlign w:val="superscript"/>
              </w:rPr>
              <w:t>-1</w:t>
            </w:r>
            <w:r w:rsidRPr="00646389">
              <w:rPr>
                <w:b/>
                <w:bCs/>
              </w:rPr>
              <w:t>)</w:t>
            </w:r>
          </w:p>
        </w:tc>
        <w:tc>
          <w:tcPr>
            <w:tcW w:w="1276" w:type="dxa"/>
          </w:tcPr>
          <w:p w14:paraId="5A32BB98" w14:textId="46F2987B" w:rsidR="00FA0556" w:rsidRDefault="00FA0556" w:rsidP="00FA0556">
            <w:pPr>
              <w:spacing w:line="360" w:lineRule="auto"/>
              <w:jc w:val="center"/>
              <w:rPr>
                <w:b/>
                <w:bCs/>
              </w:rPr>
            </w:pPr>
            <w:commentRangeStart w:id="5"/>
            <w:r w:rsidRPr="00646389">
              <w:rPr>
                <w:b/>
                <w:bCs/>
              </w:rPr>
              <w:t xml:space="preserve">root </w:t>
            </w:r>
            <w:commentRangeEnd w:id="5"/>
            <w:r w:rsidR="001F4708">
              <w:rPr>
                <w:rStyle w:val="CommentReference"/>
              </w:rPr>
              <w:commentReference w:id="5"/>
            </w:r>
            <w:r w:rsidRPr="00646389">
              <w:rPr>
                <w:b/>
                <w:bCs/>
              </w:rPr>
              <w:t xml:space="preserve">weight </w:t>
            </w:r>
            <w:r>
              <w:rPr>
                <w:b/>
                <w:bCs/>
              </w:rPr>
              <w:t>at flowering</w:t>
            </w:r>
          </w:p>
          <w:p w14:paraId="6753A6AF" w14:textId="77777777" w:rsidR="00FA0556" w:rsidRPr="00646389" w:rsidRDefault="00FA0556" w:rsidP="00FA0556">
            <w:pPr>
              <w:spacing w:line="360" w:lineRule="auto"/>
              <w:jc w:val="center"/>
              <w:rPr>
                <w:rFonts w:asciiTheme="majorHAnsi" w:eastAsia="TimesNewRomanPSMT" w:hAnsiTheme="majorHAnsi" w:cstheme="majorHAnsi"/>
                <w:b/>
                <w:bCs/>
              </w:rPr>
            </w:pPr>
            <w:r w:rsidRPr="00646389">
              <w:rPr>
                <w:b/>
                <w:bCs/>
              </w:rPr>
              <w:t>(g</w:t>
            </w:r>
            <w:r>
              <w:rPr>
                <w:b/>
                <w:bCs/>
              </w:rPr>
              <w:t xml:space="preserve"> </w:t>
            </w:r>
            <w:r w:rsidRPr="00646389">
              <w:rPr>
                <w:b/>
                <w:bCs/>
              </w:rPr>
              <w:t>pot</w:t>
            </w:r>
            <w:r w:rsidRPr="00FA0556">
              <w:rPr>
                <w:b/>
                <w:bCs/>
                <w:vertAlign w:val="superscript"/>
              </w:rPr>
              <w:t>-1</w:t>
            </w:r>
            <w:r w:rsidRPr="00646389">
              <w:rPr>
                <w:b/>
                <w:bCs/>
              </w:rPr>
              <w:t>)</w:t>
            </w:r>
          </w:p>
        </w:tc>
        <w:tc>
          <w:tcPr>
            <w:tcW w:w="1843" w:type="dxa"/>
          </w:tcPr>
          <w:p w14:paraId="0F2E7A11" w14:textId="682B7F65" w:rsidR="00FA0556" w:rsidRPr="00646389" w:rsidRDefault="00235A76" w:rsidP="00235A76">
            <w:pPr>
              <w:spacing w:line="360" w:lineRule="auto"/>
              <w:rPr>
                <w:rFonts w:asciiTheme="majorHAnsi" w:eastAsia="TimesNewRomanPSMT" w:hAnsiTheme="majorHAnsi" w:cstheme="majorHAnsi"/>
                <w:b/>
                <w:bCs/>
              </w:rPr>
            </w:pPr>
            <w:r>
              <w:rPr>
                <w:b/>
                <w:bCs/>
              </w:rPr>
              <w:t xml:space="preserve">      </w:t>
            </w:r>
            <w:r w:rsidR="00FA0556" w:rsidRPr="00646389">
              <w:rPr>
                <w:b/>
                <w:bCs/>
              </w:rPr>
              <w:t>HI</w:t>
            </w:r>
            <w:r w:rsidR="00FA0556">
              <w:rPr>
                <w:b/>
                <w:bCs/>
              </w:rPr>
              <w:t xml:space="preserve"> </w:t>
            </w:r>
            <w:r w:rsidR="00FA0556" w:rsidRPr="00646389">
              <w:rPr>
                <w:b/>
                <w:bCs/>
              </w:rPr>
              <w:t>(%)</w:t>
            </w:r>
          </w:p>
        </w:tc>
      </w:tr>
      <w:tr w:rsidR="00FA0556" w14:paraId="2645A2F2" w14:textId="77777777" w:rsidTr="00FA0556">
        <w:trPr>
          <w:trHeight w:val="380"/>
        </w:trPr>
        <w:tc>
          <w:tcPr>
            <w:tcW w:w="1418" w:type="dxa"/>
          </w:tcPr>
          <w:p w14:paraId="77BE6120" w14:textId="77777777" w:rsidR="00FA0556" w:rsidRDefault="00FA0556" w:rsidP="00FA0556">
            <w:pPr>
              <w:spacing w:line="360" w:lineRule="auto"/>
              <w:jc w:val="center"/>
              <w:rPr>
                <w:rFonts w:asciiTheme="majorHAnsi" w:eastAsia="TimesNewRomanPSMT" w:hAnsiTheme="majorHAnsi" w:cstheme="majorHAnsi"/>
                <w:b/>
                <w:bCs/>
              </w:rPr>
            </w:pPr>
            <w:r w:rsidRPr="008D5C76">
              <w:t>T1</w:t>
            </w:r>
          </w:p>
        </w:tc>
        <w:tc>
          <w:tcPr>
            <w:tcW w:w="1484" w:type="dxa"/>
          </w:tcPr>
          <w:p w14:paraId="5DA10561" w14:textId="77777777" w:rsidR="00FA0556" w:rsidRDefault="00FA0556" w:rsidP="00FA0556">
            <w:pPr>
              <w:spacing w:line="360" w:lineRule="auto"/>
              <w:rPr>
                <w:rFonts w:asciiTheme="majorHAnsi" w:eastAsia="TimesNewRomanPSMT" w:hAnsiTheme="majorHAnsi" w:cstheme="majorHAnsi"/>
                <w:b/>
                <w:bCs/>
              </w:rPr>
            </w:pPr>
            <w:r w:rsidRPr="008D5C76">
              <w:t>5.2 ± 0.15</w:t>
            </w:r>
            <w:r w:rsidRPr="00646389">
              <w:rPr>
                <w:vertAlign w:val="superscript"/>
              </w:rPr>
              <w:t>d</w:t>
            </w:r>
          </w:p>
        </w:tc>
        <w:tc>
          <w:tcPr>
            <w:tcW w:w="1559" w:type="dxa"/>
          </w:tcPr>
          <w:p w14:paraId="055844B7" w14:textId="77777777" w:rsidR="00FA0556" w:rsidRDefault="00FA0556" w:rsidP="00FA0556">
            <w:pPr>
              <w:spacing w:line="360" w:lineRule="auto"/>
              <w:rPr>
                <w:rFonts w:asciiTheme="majorHAnsi" w:eastAsia="TimesNewRomanPSMT" w:hAnsiTheme="majorHAnsi" w:cstheme="majorHAnsi"/>
                <w:b/>
                <w:bCs/>
              </w:rPr>
            </w:pPr>
            <w:r w:rsidRPr="008D5C76">
              <w:t>9.8</w:t>
            </w:r>
            <w:r>
              <w:t xml:space="preserve"> </w:t>
            </w:r>
            <w:r w:rsidRPr="008D5C76">
              <w:t>±</w:t>
            </w:r>
            <w:r>
              <w:t xml:space="preserve"> </w:t>
            </w:r>
            <w:r w:rsidRPr="008D5C76">
              <w:t>0.58</w:t>
            </w:r>
            <w:r w:rsidRPr="00646389">
              <w:rPr>
                <w:vertAlign w:val="superscript"/>
              </w:rPr>
              <w:t>c</w:t>
            </w:r>
          </w:p>
        </w:tc>
        <w:tc>
          <w:tcPr>
            <w:tcW w:w="1701" w:type="dxa"/>
            <w:tcBorders>
              <w:top w:val="single" w:sz="4" w:space="0" w:color="auto"/>
              <w:left w:val="nil"/>
              <w:bottom w:val="single" w:sz="4" w:space="0" w:color="auto"/>
              <w:right w:val="nil"/>
            </w:tcBorders>
            <w:vAlign w:val="bottom"/>
          </w:tcPr>
          <w:p w14:paraId="2650D83B" w14:textId="3F1AC1B1" w:rsidR="00FA0556" w:rsidRPr="008D5C76" w:rsidRDefault="00FA0556" w:rsidP="00FA0556">
            <w:pPr>
              <w:spacing w:line="360" w:lineRule="auto"/>
              <w:jc w:val="center"/>
            </w:pPr>
            <w:r>
              <w:rPr>
                <w:color w:val="000000"/>
                <w:sz w:val="22"/>
                <w:szCs w:val="22"/>
              </w:rPr>
              <w:t>10.1± 0.25</w:t>
            </w:r>
            <w:r w:rsidRPr="00FA0556">
              <w:rPr>
                <w:color w:val="000000"/>
                <w:sz w:val="22"/>
                <w:szCs w:val="22"/>
                <w:vertAlign w:val="superscript"/>
              </w:rPr>
              <w:t>d</w:t>
            </w:r>
          </w:p>
        </w:tc>
        <w:tc>
          <w:tcPr>
            <w:tcW w:w="1276" w:type="dxa"/>
          </w:tcPr>
          <w:p w14:paraId="0684084F" w14:textId="77777777" w:rsidR="00FA0556" w:rsidRDefault="00FA0556" w:rsidP="00FA0556">
            <w:pPr>
              <w:spacing w:line="360" w:lineRule="auto"/>
              <w:jc w:val="center"/>
              <w:rPr>
                <w:rFonts w:asciiTheme="majorHAnsi" w:eastAsia="TimesNewRomanPSMT" w:hAnsiTheme="majorHAnsi" w:cstheme="majorHAnsi"/>
                <w:b/>
                <w:bCs/>
              </w:rPr>
            </w:pPr>
            <w:r w:rsidRPr="008D5C76">
              <w:t>1.3 ±</w:t>
            </w:r>
            <w:r>
              <w:t xml:space="preserve"> </w:t>
            </w:r>
            <w:r w:rsidRPr="008D5C76">
              <w:t>0.11</w:t>
            </w:r>
            <w:r w:rsidRPr="00646389">
              <w:rPr>
                <w:vertAlign w:val="superscript"/>
              </w:rPr>
              <w:t>c</w:t>
            </w:r>
          </w:p>
        </w:tc>
        <w:tc>
          <w:tcPr>
            <w:tcW w:w="1843" w:type="dxa"/>
          </w:tcPr>
          <w:p w14:paraId="123F6D02" w14:textId="77777777" w:rsidR="00FA0556" w:rsidRDefault="00FA0556" w:rsidP="00FA0556">
            <w:pPr>
              <w:spacing w:line="360" w:lineRule="auto"/>
              <w:jc w:val="center"/>
              <w:rPr>
                <w:rFonts w:asciiTheme="majorHAnsi" w:eastAsia="TimesNewRomanPSMT" w:hAnsiTheme="majorHAnsi" w:cstheme="majorHAnsi"/>
                <w:b/>
                <w:bCs/>
              </w:rPr>
            </w:pPr>
            <w:r w:rsidRPr="008D5C76">
              <w:t>34.8</w:t>
            </w:r>
            <w:r>
              <w:t xml:space="preserve"> </w:t>
            </w:r>
            <w:r w:rsidRPr="008D5C76">
              <w:t>±</w:t>
            </w:r>
            <w:r>
              <w:t xml:space="preserve"> </w:t>
            </w:r>
            <w:r w:rsidRPr="008D5C76">
              <w:t>0.11</w:t>
            </w:r>
            <w:r w:rsidRPr="00646389">
              <w:rPr>
                <w:vertAlign w:val="superscript"/>
              </w:rPr>
              <w:t>d</w:t>
            </w:r>
          </w:p>
        </w:tc>
      </w:tr>
      <w:tr w:rsidR="00FA0556" w14:paraId="03E29AAE" w14:textId="77777777" w:rsidTr="00FA0556">
        <w:trPr>
          <w:trHeight w:val="380"/>
        </w:trPr>
        <w:tc>
          <w:tcPr>
            <w:tcW w:w="1418" w:type="dxa"/>
          </w:tcPr>
          <w:p w14:paraId="5888E0C0" w14:textId="77777777" w:rsidR="00FA0556" w:rsidRDefault="00FA0556" w:rsidP="00FA0556">
            <w:pPr>
              <w:spacing w:line="360" w:lineRule="auto"/>
              <w:jc w:val="center"/>
              <w:rPr>
                <w:rFonts w:asciiTheme="majorHAnsi" w:eastAsia="TimesNewRomanPSMT" w:hAnsiTheme="majorHAnsi" w:cstheme="majorHAnsi"/>
                <w:b/>
                <w:bCs/>
              </w:rPr>
            </w:pPr>
            <w:r w:rsidRPr="008D5C76">
              <w:t>T2</w:t>
            </w:r>
          </w:p>
        </w:tc>
        <w:tc>
          <w:tcPr>
            <w:tcW w:w="1484" w:type="dxa"/>
          </w:tcPr>
          <w:p w14:paraId="1623007E" w14:textId="69094B45" w:rsidR="00FA0556" w:rsidRDefault="00FA0556" w:rsidP="00FA0556">
            <w:pPr>
              <w:spacing w:line="360" w:lineRule="auto"/>
              <w:rPr>
                <w:rFonts w:asciiTheme="majorHAnsi" w:eastAsia="TimesNewRomanPSMT" w:hAnsiTheme="majorHAnsi" w:cstheme="majorHAnsi"/>
                <w:b/>
                <w:bCs/>
              </w:rPr>
            </w:pPr>
            <w:r w:rsidRPr="008D5C76">
              <w:t>10.9 ± 0.5</w:t>
            </w:r>
            <w:r>
              <w:t>2</w:t>
            </w:r>
            <w:r w:rsidRPr="00646389">
              <w:rPr>
                <w:vertAlign w:val="superscript"/>
              </w:rPr>
              <w:t>c</w:t>
            </w:r>
          </w:p>
        </w:tc>
        <w:tc>
          <w:tcPr>
            <w:tcW w:w="1559" w:type="dxa"/>
          </w:tcPr>
          <w:p w14:paraId="57D693F9" w14:textId="77777777" w:rsidR="00FA0556" w:rsidRDefault="00FA0556" w:rsidP="00FA0556">
            <w:pPr>
              <w:spacing w:line="360" w:lineRule="auto"/>
              <w:rPr>
                <w:rFonts w:asciiTheme="majorHAnsi" w:eastAsia="TimesNewRomanPSMT" w:hAnsiTheme="majorHAnsi" w:cstheme="majorHAnsi"/>
                <w:b/>
                <w:bCs/>
              </w:rPr>
            </w:pPr>
            <w:r w:rsidRPr="008D5C76">
              <w:t>16.4</w:t>
            </w:r>
            <w:r>
              <w:t xml:space="preserve"> </w:t>
            </w:r>
            <w:r w:rsidRPr="008D5C76">
              <w:t>±</w:t>
            </w:r>
            <w:r>
              <w:t xml:space="preserve"> </w:t>
            </w:r>
            <w:r w:rsidRPr="008D5C76">
              <w:t>0.55</w:t>
            </w:r>
            <w:r w:rsidRPr="00646389">
              <w:rPr>
                <w:vertAlign w:val="superscript"/>
              </w:rPr>
              <w:t>b</w:t>
            </w:r>
          </w:p>
        </w:tc>
        <w:tc>
          <w:tcPr>
            <w:tcW w:w="1701" w:type="dxa"/>
            <w:tcBorders>
              <w:top w:val="single" w:sz="4" w:space="0" w:color="auto"/>
              <w:left w:val="nil"/>
              <w:bottom w:val="single" w:sz="4" w:space="0" w:color="auto"/>
              <w:right w:val="nil"/>
            </w:tcBorders>
            <w:vAlign w:val="bottom"/>
          </w:tcPr>
          <w:p w14:paraId="5DF7AC1E" w14:textId="00856A7D" w:rsidR="00FA0556" w:rsidRPr="008D5C76" w:rsidRDefault="00FA0556" w:rsidP="00FA0556">
            <w:pPr>
              <w:spacing w:line="360" w:lineRule="auto"/>
              <w:jc w:val="center"/>
            </w:pPr>
            <w:r>
              <w:rPr>
                <w:color w:val="000000"/>
                <w:sz w:val="22"/>
                <w:szCs w:val="22"/>
              </w:rPr>
              <w:t>17± 0.35</w:t>
            </w:r>
            <w:r w:rsidRPr="00FA0556">
              <w:rPr>
                <w:color w:val="000000"/>
                <w:sz w:val="22"/>
                <w:szCs w:val="22"/>
                <w:vertAlign w:val="superscript"/>
              </w:rPr>
              <w:t>c</w:t>
            </w:r>
          </w:p>
        </w:tc>
        <w:tc>
          <w:tcPr>
            <w:tcW w:w="1276" w:type="dxa"/>
          </w:tcPr>
          <w:p w14:paraId="0192F3FD" w14:textId="77777777" w:rsidR="00FA0556" w:rsidRDefault="00FA0556" w:rsidP="00FA0556">
            <w:pPr>
              <w:spacing w:line="360" w:lineRule="auto"/>
              <w:jc w:val="center"/>
              <w:rPr>
                <w:rFonts w:asciiTheme="majorHAnsi" w:eastAsia="TimesNewRomanPSMT" w:hAnsiTheme="majorHAnsi" w:cstheme="majorHAnsi"/>
                <w:b/>
                <w:bCs/>
              </w:rPr>
            </w:pPr>
            <w:r w:rsidRPr="008D5C76">
              <w:t>1.8</w:t>
            </w:r>
            <w:r>
              <w:t xml:space="preserve"> </w:t>
            </w:r>
            <w:r w:rsidRPr="008D5C76">
              <w:t>±</w:t>
            </w:r>
            <w:r>
              <w:t xml:space="preserve"> </w:t>
            </w:r>
            <w:r w:rsidRPr="008D5C76">
              <w:t>0.3</w:t>
            </w:r>
            <w:r w:rsidRPr="00646389">
              <w:rPr>
                <w:vertAlign w:val="superscript"/>
              </w:rPr>
              <w:t>c</w:t>
            </w:r>
          </w:p>
        </w:tc>
        <w:tc>
          <w:tcPr>
            <w:tcW w:w="1843" w:type="dxa"/>
          </w:tcPr>
          <w:p w14:paraId="7DA6D266" w14:textId="77777777" w:rsidR="00FA0556" w:rsidRDefault="00FA0556" w:rsidP="00FA0556">
            <w:pPr>
              <w:spacing w:line="360" w:lineRule="auto"/>
              <w:jc w:val="center"/>
              <w:rPr>
                <w:rFonts w:asciiTheme="majorHAnsi" w:eastAsia="TimesNewRomanPSMT" w:hAnsiTheme="majorHAnsi" w:cstheme="majorHAnsi"/>
                <w:b/>
                <w:bCs/>
              </w:rPr>
            </w:pPr>
            <w:r w:rsidRPr="008D5C76">
              <w:t>39.93</w:t>
            </w:r>
            <w:r>
              <w:t xml:space="preserve"> </w:t>
            </w:r>
            <w:r w:rsidRPr="008D5C76">
              <w:t>±</w:t>
            </w:r>
            <w:r>
              <w:t xml:space="preserve"> </w:t>
            </w:r>
            <w:r w:rsidRPr="008D5C76">
              <w:t>0.34</w:t>
            </w:r>
            <w:r w:rsidRPr="00646389">
              <w:rPr>
                <w:vertAlign w:val="superscript"/>
              </w:rPr>
              <w:t>c</w:t>
            </w:r>
          </w:p>
        </w:tc>
      </w:tr>
      <w:tr w:rsidR="00FA0556" w14:paraId="60873368" w14:textId="77777777" w:rsidTr="00FA0556">
        <w:trPr>
          <w:trHeight w:val="392"/>
        </w:trPr>
        <w:tc>
          <w:tcPr>
            <w:tcW w:w="1418" w:type="dxa"/>
          </w:tcPr>
          <w:p w14:paraId="2754BB63" w14:textId="77777777" w:rsidR="00FA0556" w:rsidRDefault="00FA0556" w:rsidP="00FA0556">
            <w:pPr>
              <w:spacing w:line="360" w:lineRule="auto"/>
              <w:jc w:val="center"/>
              <w:rPr>
                <w:rFonts w:asciiTheme="majorHAnsi" w:eastAsia="TimesNewRomanPSMT" w:hAnsiTheme="majorHAnsi" w:cstheme="majorHAnsi"/>
                <w:b/>
                <w:bCs/>
              </w:rPr>
            </w:pPr>
            <w:r w:rsidRPr="008D5C76">
              <w:t>T3</w:t>
            </w:r>
          </w:p>
        </w:tc>
        <w:tc>
          <w:tcPr>
            <w:tcW w:w="1484" w:type="dxa"/>
          </w:tcPr>
          <w:p w14:paraId="78A584F3" w14:textId="77777777" w:rsidR="00FA0556" w:rsidRDefault="00FA0556" w:rsidP="00FA0556">
            <w:pPr>
              <w:spacing w:line="360" w:lineRule="auto"/>
              <w:rPr>
                <w:rFonts w:asciiTheme="majorHAnsi" w:eastAsia="TimesNewRomanPSMT" w:hAnsiTheme="majorHAnsi" w:cstheme="majorHAnsi"/>
                <w:b/>
                <w:bCs/>
              </w:rPr>
            </w:pPr>
            <w:r w:rsidRPr="008D5C76">
              <w:t>17.6 ± 0.45</w:t>
            </w:r>
            <w:r w:rsidRPr="00646389">
              <w:rPr>
                <w:vertAlign w:val="superscript"/>
              </w:rPr>
              <w:t>ab</w:t>
            </w:r>
          </w:p>
        </w:tc>
        <w:tc>
          <w:tcPr>
            <w:tcW w:w="1559" w:type="dxa"/>
          </w:tcPr>
          <w:p w14:paraId="00EA6321" w14:textId="09FD859D" w:rsidR="00FA0556" w:rsidRDefault="00FA0556" w:rsidP="00FA0556">
            <w:pPr>
              <w:spacing w:line="360" w:lineRule="auto"/>
              <w:rPr>
                <w:rFonts w:asciiTheme="majorHAnsi" w:eastAsia="TimesNewRomanPSMT" w:hAnsiTheme="majorHAnsi" w:cstheme="majorHAnsi"/>
                <w:b/>
                <w:bCs/>
              </w:rPr>
            </w:pPr>
            <w:r w:rsidRPr="008D5C76">
              <w:t>22.9</w:t>
            </w:r>
            <w:r>
              <w:t xml:space="preserve"> </w:t>
            </w:r>
            <w:r w:rsidRPr="008D5C76">
              <w:t>±</w:t>
            </w:r>
            <w:r>
              <w:t xml:space="preserve"> </w:t>
            </w:r>
            <w:r w:rsidRPr="008D5C76">
              <w:t>0.</w:t>
            </w:r>
            <w:r>
              <w:t>5</w:t>
            </w:r>
            <w:r w:rsidRPr="008D5C76">
              <w:t>5</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3AE99E6A" w14:textId="1952DFF4" w:rsidR="00FA0556" w:rsidRPr="008D5C76" w:rsidRDefault="00FA0556" w:rsidP="00FA0556">
            <w:pPr>
              <w:spacing w:line="360" w:lineRule="auto"/>
              <w:jc w:val="center"/>
            </w:pPr>
            <w:r>
              <w:rPr>
                <w:color w:val="000000"/>
                <w:sz w:val="22"/>
                <w:szCs w:val="22"/>
              </w:rPr>
              <w:t>24.8±0.39</w:t>
            </w:r>
            <w:r w:rsidRPr="00FA0556">
              <w:rPr>
                <w:color w:val="000000"/>
                <w:sz w:val="22"/>
                <w:szCs w:val="22"/>
                <w:vertAlign w:val="superscript"/>
              </w:rPr>
              <w:t>a</w:t>
            </w:r>
          </w:p>
        </w:tc>
        <w:tc>
          <w:tcPr>
            <w:tcW w:w="1276" w:type="dxa"/>
          </w:tcPr>
          <w:p w14:paraId="2F6F0F8B" w14:textId="77777777" w:rsidR="00FA0556" w:rsidRDefault="00FA0556" w:rsidP="00FA0556">
            <w:pPr>
              <w:spacing w:line="360" w:lineRule="auto"/>
              <w:jc w:val="center"/>
              <w:rPr>
                <w:rFonts w:asciiTheme="majorHAnsi" w:eastAsia="TimesNewRomanPSMT" w:hAnsiTheme="majorHAnsi" w:cstheme="majorHAnsi"/>
                <w:b/>
                <w:bCs/>
              </w:rPr>
            </w:pPr>
            <w:r w:rsidRPr="008D5C76">
              <w:t>4.5</w:t>
            </w:r>
            <w:r>
              <w:t xml:space="preserve"> </w:t>
            </w:r>
            <w:r w:rsidRPr="008D5C76">
              <w:t>±</w:t>
            </w:r>
            <w:r>
              <w:t xml:space="preserve"> </w:t>
            </w:r>
            <w:r w:rsidRPr="008D5C76">
              <w:t>0.3</w:t>
            </w:r>
            <w:r w:rsidRPr="00646389">
              <w:rPr>
                <w:vertAlign w:val="superscript"/>
              </w:rPr>
              <w:t>a</w:t>
            </w:r>
          </w:p>
        </w:tc>
        <w:tc>
          <w:tcPr>
            <w:tcW w:w="1843" w:type="dxa"/>
          </w:tcPr>
          <w:p w14:paraId="52B40DEE" w14:textId="77777777" w:rsidR="00FA0556" w:rsidRDefault="00FA0556" w:rsidP="00FA0556">
            <w:pPr>
              <w:spacing w:line="360" w:lineRule="auto"/>
              <w:jc w:val="center"/>
              <w:rPr>
                <w:rFonts w:asciiTheme="majorHAnsi" w:eastAsia="TimesNewRomanPSMT" w:hAnsiTheme="majorHAnsi" w:cstheme="majorHAnsi"/>
                <w:b/>
                <w:bCs/>
              </w:rPr>
            </w:pPr>
            <w:r w:rsidRPr="008D5C76">
              <w:t>43.46</w:t>
            </w:r>
            <w:r>
              <w:t xml:space="preserve"> </w:t>
            </w:r>
            <w:r w:rsidRPr="008D5C76">
              <w:t>±</w:t>
            </w:r>
            <w:r>
              <w:t xml:space="preserve"> </w:t>
            </w:r>
            <w:r w:rsidRPr="008D5C76">
              <w:t>0.34</w:t>
            </w:r>
            <w:r w:rsidRPr="00461D8E">
              <w:rPr>
                <w:vertAlign w:val="superscript"/>
              </w:rPr>
              <w:t>a</w:t>
            </w:r>
          </w:p>
        </w:tc>
      </w:tr>
      <w:tr w:rsidR="00FA0556" w14:paraId="48638DB0" w14:textId="77777777" w:rsidTr="00FA0556">
        <w:trPr>
          <w:trHeight w:val="380"/>
        </w:trPr>
        <w:tc>
          <w:tcPr>
            <w:tcW w:w="1418" w:type="dxa"/>
          </w:tcPr>
          <w:p w14:paraId="3DCC15B7" w14:textId="77777777" w:rsidR="00FA0556" w:rsidRDefault="00FA0556" w:rsidP="00FA0556">
            <w:pPr>
              <w:spacing w:line="360" w:lineRule="auto"/>
              <w:jc w:val="center"/>
              <w:rPr>
                <w:rFonts w:asciiTheme="majorHAnsi" w:eastAsia="TimesNewRomanPSMT" w:hAnsiTheme="majorHAnsi" w:cstheme="majorHAnsi"/>
                <w:b/>
                <w:bCs/>
              </w:rPr>
            </w:pPr>
            <w:r w:rsidRPr="008D5C76">
              <w:t>T4</w:t>
            </w:r>
          </w:p>
        </w:tc>
        <w:tc>
          <w:tcPr>
            <w:tcW w:w="1484" w:type="dxa"/>
          </w:tcPr>
          <w:p w14:paraId="5969EDC3" w14:textId="24998FD4" w:rsidR="00FA0556" w:rsidRDefault="00FA0556" w:rsidP="00FA0556">
            <w:pPr>
              <w:spacing w:line="360" w:lineRule="auto"/>
              <w:rPr>
                <w:rFonts w:asciiTheme="majorHAnsi" w:eastAsia="TimesNewRomanPSMT" w:hAnsiTheme="majorHAnsi" w:cstheme="majorHAnsi"/>
                <w:b/>
                <w:bCs/>
              </w:rPr>
            </w:pPr>
            <w:r w:rsidRPr="008D5C76">
              <w:t>11.8</w:t>
            </w:r>
            <w:r>
              <w:t xml:space="preserve"> </w:t>
            </w:r>
            <w:r w:rsidRPr="008D5C76">
              <w:t>±</w:t>
            </w:r>
            <w:r>
              <w:t xml:space="preserve"> </w:t>
            </w:r>
            <w:r w:rsidRPr="008D5C76">
              <w:t>0.</w:t>
            </w:r>
            <w:r>
              <w:t>4</w:t>
            </w:r>
            <w:r w:rsidRPr="008D5C76">
              <w:t>7</w:t>
            </w:r>
            <w:r w:rsidRPr="00646389">
              <w:rPr>
                <w:vertAlign w:val="superscript"/>
              </w:rPr>
              <w:t>c</w:t>
            </w:r>
          </w:p>
        </w:tc>
        <w:tc>
          <w:tcPr>
            <w:tcW w:w="1559" w:type="dxa"/>
          </w:tcPr>
          <w:p w14:paraId="4FD33B57" w14:textId="77777777" w:rsidR="00FA0556" w:rsidRDefault="00FA0556" w:rsidP="00FA0556">
            <w:pPr>
              <w:spacing w:line="360" w:lineRule="auto"/>
              <w:rPr>
                <w:rFonts w:asciiTheme="majorHAnsi" w:eastAsia="TimesNewRomanPSMT" w:hAnsiTheme="majorHAnsi" w:cstheme="majorHAnsi"/>
                <w:b/>
                <w:bCs/>
              </w:rPr>
            </w:pPr>
            <w:r w:rsidRPr="008D5C76">
              <w:t>17.7</w:t>
            </w:r>
            <w:r>
              <w:t xml:space="preserve"> </w:t>
            </w:r>
            <w:r w:rsidRPr="008D5C76">
              <w:t>±</w:t>
            </w:r>
            <w:r>
              <w:t xml:space="preserve"> </w:t>
            </w:r>
            <w:r w:rsidRPr="008D5C76">
              <w:t>0.51</w:t>
            </w:r>
            <w:r w:rsidRPr="00646389">
              <w:rPr>
                <w:vertAlign w:val="superscript"/>
              </w:rPr>
              <w:t>b</w:t>
            </w:r>
          </w:p>
        </w:tc>
        <w:tc>
          <w:tcPr>
            <w:tcW w:w="1701" w:type="dxa"/>
            <w:tcBorders>
              <w:top w:val="single" w:sz="4" w:space="0" w:color="auto"/>
              <w:left w:val="nil"/>
              <w:bottom w:val="single" w:sz="4" w:space="0" w:color="auto"/>
              <w:right w:val="nil"/>
            </w:tcBorders>
            <w:vAlign w:val="bottom"/>
          </w:tcPr>
          <w:p w14:paraId="759848DA" w14:textId="36684A72" w:rsidR="00FA0556" w:rsidRPr="008D5C76" w:rsidRDefault="00FA0556" w:rsidP="00FA0556">
            <w:pPr>
              <w:spacing w:line="360" w:lineRule="auto"/>
              <w:jc w:val="center"/>
            </w:pPr>
            <w:r>
              <w:rPr>
                <w:color w:val="000000"/>
                <w:sz w:val="22"/>
                <w:szCs w:val="22"/>
              </w:rPr>
              <w:t>18±0.42</w:t>
            </w:r>
            <w:r w:rsidRPr="00FA0556">
              <w:rPr>
                <w:color w:val="000000"/>
                <w:sz w:val="22"/>
                <w:szCs w:val="22"/>
                <w:vertAlign w:val="superscript"/>
              </w:rPr>
              <w:t>c</w:t>
            </w:r>
          </w:p>
        </w:tc>
        <w:tc>
          <w:tcPr>
            <w:tcW w:w="1276" w:type="dxa"/>
          </w:tcPr>
          <w:p w14:paraId="6E2FC1A3" w14:textId="77777777" w:rsidR="00FA0556" w:rsidRDefault="00FA0556" w:rsidP="00FA0556">
            <w:pPr>
              <w:spacing w:line="360" w:lineRule="auto"/>
              <w:jc w:val="center"/>
              <w:rPr>
                <w:rFonts w:asciiTheme="majorHAnsi" w:eastAsia="TimesNewRomanPSMT" w:hAnsiTheme="majorHAnsi" w:cstheme="majorHAnsi"/>
                <w:b/>
                <w:bCs/>
              </w:rPr>
            </w:pPr>
            <w:r w:rsidRPr="008D5C76">
              <w:t>2.9</w:t>
            </w:r>
            <w:r>
              <w:t xml:space="preserve"> </w:t>
            </w:r>
            <w:r w:rsidRPr="008D5C76">
              <w:t>±</w:t>
            </w:r>
            <w:r>
              <w:t xml:space="preserve"> </w:t>
            </w:r>
            <w:r w:rsidRPr="008D5C76">
              <w:t>0.15</w:t>
            </w:r>
            <w:r w:rsidRPr="00646389">
              <w:rPr>
                <w:vertAlign w:val="superscript"/>
              </w:rPr>
              <w:t>b</w:t>
            </w:r>
          </w:p>
        </w:tc>
        <w:tc>
          <w:tcPr>
            <w:tcW w:w="1843" w:type="dxa"/>
          </w:tcPr>
          <w:p w14:paraId="39248087" w14:textId="77777777" w:rsidR="00FA0556" w:rsidRDefault="00FA0556" w:rsidP="00FA0556">
            <w:pPr>
              <w:spacing w:line="360" w:lineRule="auto"/>
              <w:jc w:val="center"/>
              <w:rPr>
                <w:rFonts w:asciiTheme="majorHAnsi" w:eastAsia="TimesNewRomanPSMT" w:hAnsiTheme="majorHAnsi" w:cstheme="majorHAnsi"/>
                <w:b/>
                <w:bCs/>
              </w:rPr>
            </w:pPr>
            <w:r w:rsidRPr="008D5C76">
              <w:t>40</w:t>
            </w:r>
            <w:r>
              <w:t xml:space="preserve"> </w:t>
            </w:r>
            <w:r w:rsidRPr="008D5C76">
              <w:t>±</w:t>
            </w:r>
            <w:r>
              <w:t xml:space="preserve"> </w:t>
            </w:r>
            <w:r w:rsidRPr="008D5C76">
              <w:t>0.25</w:t>
            </w:r>
            <w:r w:rsidRPr="00461D8E">
              <w:rPr>
                <w:vertAlign w:val="superscript"/>
              </w:rPr>
              <w:t>c</w:t>
            </w:r>
          </w:p>
        </w:tc>
      </w:tr>
      <w:tr w:rsidR="00FA0556" w14:paraId="022C4968" w14:textId="77777777" w:rsidTr="00FA0556">
        <w:trPr>
          <w:trHeight w:val="380"/>
        </w:trPr>
        <w:tc>
          <w:tcPr>
            <w:tcW w:w="1418" w:type="dxa"/>
          </w:tcPr>
          <w:p w14:paraId="2E3F8031" w14:textId="77777777" w:rsidR="00FA0556" w:rsidRDefault="00FA0556" w:rsidP="00FA0556">
            <w:pPr>
              <w:spacing w:line="360" w:lineRule="auto"/>
              <w:jc w:val="center"/>
              <w:rPr>
                <w:rFonts w:asciiTheme="majorHAnsi" w:eastAsia="TimesNewRomanPSMT" w:hAnsiTheme="majorHAnsi" w:cstheme="majorHAnsi"/>
                <w:b/>
                <w:bCs/>
              </w:rPr>
            </w:pPr>
            <w:r w:rsidRPr="008D5C76">
              <w:t>T5</w:t>
            </w:r>
          </w:p>
        </w:tc>
        <w:tc>
          <w:tcPr>
            <w:tcW w:w="1484" w:type="dxa"/>
          </w:tcPr>
          <w:p w14:paraId="552596D1" w14:textId="7645664B" w:rsidR="00FA0556" w:rsidRDefault="00FA0556" w:rsidP="00FA0556">
            <w:pPr>
              <w:spacing w:line="360" w:lineRule="auto"/>
              <w:rPr>
                <w:rFonts w:asciiTheme="majorHAnsi" w:eastAsia="TimesNewRomanPSMT" w:hAnsiTheme="majorHAnsi" w:cstheme="majorHAnsi"/>
                <w:b/>
                <w:bCs/>
              </w:rPr>
            </w:pPr>
            <w:r w:rsidRPr="008D5C76">
              <w:t>16.2</w:t>
            </w:r>
            <w:r>
              <w:t xml:space="preserve"> </w:t>
            </w:r>
            <w:r w:rsidRPr="008D5C76">
              <w:t>±</w:t>
            </w:r>
            <w:r>
              <w:t xml:space="preserve"> </w:t>
            </w:r>
            <w:r w:rsidRPr="008D5C76">
              <w:t>0.</w:t>
            </w:r>
            <w:r>
              <w:t>51</w:t>
            </w:r>
            <w:r w:rsidRPr="00646389">
              <w:rPr>
                <w:vertAlign w:val="superscript"/>
              </w:rPr>
              <w:t>b</w:t>
            </w:r>
          </w:p>
        </w:tc>
        <w:tc>
          <w:tcPr>
            <w:tcW w:w="1559" w:type="dxa"/>
          </w:tcPr>
          <w:p w14:paraId="1E17A08D" w14:textId="73344B34" w:rsidR="00FA0556" w:rsidRDefault="00FA0556" w:rsidP="00FA0556">
            <w:pPr>
              <w:spacing w:line="360" w:lineRule="auto"/>
              <w:rPr>
                <w:rFonts w:asciiTheme="majorHAnsi" w:eastAsia="TimesNewRomanPSMT" w:hAnsiTheme="majorHAnsi" w:cstheme="majorHAnsi"/>
                <w:b/>
                <w:bCs/>
              </w:rPr>
            </w:pPr>
            <w:r w:rsidRPr="008D5C76">
              <w:t>21.9</w:t>
            </w:r>
            <w:r>
              <w:t xml:space="preserve"> </w:t>
            </w:r>
            <w:r w:rsidRPr="008D5C76">
              <w:t>±</w:t>
            </w:r>
            <w:r>
              <w:t xml:space="preserve"> </w:t>
            </w:r>
            <w:r w:rsidRPr="008D5C76">
              <w:t>0.</w:t>
            </w:r>
            <w:r>
              <w:t>4</w:t>
            </w:r>
            <w:r w:rsidRPr="008D5C76">
              <w:t>5</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0B7705C9" w14:textId="59FCB8E6" w:rsidR="00FA0556" w:rsidRPr="008D5C76" w:rsidRDefault="00FA0556" w:rsidP="00FA0556">
            <w:pPr>
              <w:spacing w:line="360" w:lineRule="auto"/>
              <w:jc w:val="center"/>
            </w:pPr>
            <w:r>
              <w:rPr>
                <w:color w:val="000000"/>
                <w:sz w:val="22"/>
                <w:szCs w:val="22"/>
              </w:rPr>
              <w:t>23.1±0.37</w:t>
            </w:r>
            <w:r w:rsidRPr="00FA0556">
              <w:rPr>
                <w:color w:val="000000"/>
                <w:sz w:val="22"/>
                <w:szCs w:val="22"/>
                <w:vertAlign w:val="superscript"/>
              </w:rPr>
              <w:t>b</w:t>
            </w:r>
          </w:p>
        </w:tc>
        <w:tc>
          <w:tcPr>
            <w:tcW w:w="1276" w:type="dxa"/>
          </w:tcPr>
          <w:p w14:paraId="7025AB36" w14:textId="77777777" w:rsidR="00FA0556" w:rsidRDefault="00FA0556" w:rsidP="00FA0556">
            <w:pPr>
              <w:spacing w:line="360" w:lineRule="auto"/>
              <w:jc w:val="center"/>
              <w:rPr>
                <w:rFonts w:asciiTheme="majorHAnsi" w:eastAsia="TimesNewRomanPSMT" w:hAnsiTheme="majorHAnsi" w:cstheme="majorHAnsi"/>
                <w:b/>
                <w:bCs/>
              </w:rPr>
            </w:pPr>
            <w:r w:rsidRPr="008D5C76">
              <w:t>4.1</w:t>
            </w:r>
            <w:r>
              <w:t xml:space="preserve"> </w:t>
            </w:r>
            <w:r w:rsidRPr="008D5C76">
              <w:t>±</w:t>
            </w:r>
            <w:r>
              <w:t xml:space="preserve"> </w:t>
            </w:r>
            <w:r w:rsidRPr="008D5C76">
              <w:t>0.3</w:t>
            </w:r>
            <w:r w:rsidRPr="00646389">
              <w:rPr>
                <w:vertAlign w:val="superscript"/>
              </w:rPr>
              <w:t>a</w:t>
            </w:r>
          </w:p>
        </w:tc>
        <w:tc>
          <w:tcPr>
            <w:tcW w:w="1843" w:type="dxa"/>
          </w:tcPr>
          <w:p w14:paraId="7026237C" w14:textId="77777777" w:rsidR="00FA0556" w:rsidRDefault="00FA0556" w:rsidP="00FA0556">
            <w:pPr>
              <w:spacing w:line="360" w:lineRule="auto"/>
              <w:jc w:val="center"/>
              <w:rPr>
                <w:rFonts w:asciiTheme="majorHAnsi" w:eastAsia="TimesNewRomanPSMT" w:hAnsiTheme="majorHAnsi" w:cstheme="majorHAnsi"/>
                <w:b/>
                <w:bCs/>
              </w:rPr>
            </w:pPr>
            <w:r w:rsidRPr="008D5C76">
              <w:t>42.52</w:t>
            </w:r>
            <w:r>
              <w:t xml:space="preserve"> </w:t>
            </w:r>
            <w:r w:rsidRPr="008D5C76">
              <w:t>±</w:t>
            </w:r>
            <w:r>
              <w:t xml:space="preserve"> </w:t>
            </w:r>
            <w:r w:rsidRPr="008D5C76">
              <w:t>0.28</w:t>
            </w:r>
            <w:r w:rsidRPr="00461D8E">
              <w:rPr>
                <w:vertAlign w:val="superscript"/>
              </w:rPr>
              <w:t>b</w:t>
            </w:r>
          </w:p>
        </w:tc>
      </w:tr>
      <w:tr w:rsidR="00FA0556" w14:paraId="63614154" w14:textId="77777777" w:rsidTr="00FA0556">
        <w:trPr>
          <w:trHeight w:val="392"/>
        </w:trPr>
        <w:tc>
          <w:tcPr>
            <w:tcW w:w="1418" w:type="dxa"/>
          </w:tcPr>
          <w:p w14:paraId="7808C9E8" w14:textId="77777777" w:rsidR="00FA0556" w:rsidRDefault="00FA0556" w:rsidP="00FA0556">
            <w:pPr>
              <w:spacing w:line="360" w:lineRule="auto"/>
              <w:jc w:val="center"/>
              <w:rPr>
                <w:rFonts w:asciiTheme="majorHAnsi" w:eastAsia="TimesNewRomanPSMT" w:hAnsiTheme="majorHAnsi" w:cstheme="majorHAnsi"/>
                <w:b/>
                <w:bCs/>
              </w:rPr>
            </w:pPr>
            <w:r w:rsidRPr="008D5C76">
              <w:t>T6</w:t>
            </w:r>
          </w:p>
        </w:tc>
        <w:tc>
          <w:tcPr>
            <w:tcW w:w="1484" w:type="dxa"/>
          </w:tcPr>
          <w:p w14:paraId="0436D328" w14:textId="77777777" w:rsidR="00FA0556" w:rsidRDefault="00FA0556" w:rsidP="00FA0556">
            <w:pPr>
              <w:spacing w:line="360" w:lineRule="auto"/>
              <w:rPr>
                <w:rFonts w:asciiTheme="majorHAnsi" w:eastAsia="TimesNewRomanPSMT" w:hAnsiTheme="majorHAnsi" w:cstheme="majorHAnsi"/>
                <w:b/>
                <w:bCs/>
              </w:rPr>
            </w:pPr>
            <w:r w:rsidRPr="008D5C76">
              <w:t>16.5</w:t>
            </w:r>
            <w:r>
              <w:t xml:space="preserve"> </w:t>
            </w:r>
            <w:r w:rsidRPr="008D5C76">
              <w:t>±</w:t>
            </w:r>
            <w:r>
              <w:t xml:space="preserve"> </w:t>
            </w:r>
            <w:r w:rsidRPr="008D5C76">
              <w:t>0.2</w:t>
            </w:r>
            <w:r w:rsidRPr="00646389">
              <w:rPr>
                <w:vertAlign w:val="superscript"/>
              </w:rPr>
              <w:t>ab</w:t>
            </w:r>
          </w:p>
        </w:tc>
        <w:tc>
          <w:tcPr>
            <w:tcW w:w="1559" w:type="dxa"/>
          </w:tcPr>
          <w:p w14:paraId="464F521D" w14:textId="77777777" w:rsidR="00FA0556" w:rsidRDefault="00FA0556" w:rsidP="00FA0556">
            <w:pPr>
              <w:spacing w:line="360" w:lineRule="auto"/>
              <w:rPr>
                <w:rFonts w:asciiTheme="majorHAnsi" w:eastAsia="TimesNewRomanPSMT" w:hAnsiTheme="majorHAnsi" w:cstheme="majorHAnsi"/>
                <w:b/>
                <w:bCs/>
              </w:rPr>
            </w:pPr>
            <w:r w:rsidRPr="008D5C76">
              <w:t>22 ±</w:t>
            </w:r>
            <w:r>
              <w:t xml:space="preserve"> </w:t>
            </w:r>
            <w:r w:rsidRPr="008D5C76">
              <w:t>0.41</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6C0DFF4B" w14:textId="4F4E4651" w:rsidR="00FA0556" w:rsidRPr="008D5C76" w:rsidRDefault="00FA0556" w:rsidP="00FA0556">
            <w:pPr>
              <w:spacing w:line="360" w:lineRule="auto"/>
              <w:jc w:val="center"/>
            </w:pPr>
            <w:r>
              <w:rPr>
                <w:color w:val="000000"/>
                <w:sz w:val="22"/>
                <w:szCs w:val="22"/>
              </w:rPr>
              <w:t>23± 0.4</w:t>
            </w:r>
            <w:r w:rsidRPr="00FA0556">
              <w:rPr>
                <w:color w:val="000000"/>
                <w:sz w:val="22"/>
                <w:szCs w:val="22"/>
                <w:vertAlign w:val="superscript"/>
              </w:rPr>
              <w:t>b</w:t>
            </w:r>
          </w:p>
        </w:tc>
        <w:tc>
          <w:tcPr>
            <w:tcW w:w="1276" w:type="dxa"/>
          </w:tcPr>
          <w:p w14:paraId="7007DB80" w14:textId="77777777" w:rsidR="00FA0556" w:rsidRDefault="00FA0556" w:rsidP="00FA0556">
            <w:pPr>
              <w:spacing w:line="360" w:lineRule="auto"/>
              <w:jc w:val="center"/>
              <w:rPr>
                <w:rFonts w:asciiTheme="majorHAnsi" w:eastAsia="TimesNewRomanPSMT" w:hAnsiTheme="majorHAnsi" w:cstheme="majorHAnsi"/>
                <w:b/>
                <w:bCs/>
              </w:rPr>
            </w:pPr>
            <w:r w:rsidRPr="008D5C76">
              <w:t>4.2</w:t>
            </w:r>
            <w:r>
              <w:t xml:space="preserve"> </w:t>
            </w:r>
            <w:r w:rsidRPr="008D5C76">
              <w:t>±</w:t>
            </w:r>
            <w:r>
              <w:t xml:space="preserve"> </w:t>
            </w:r>
            <w:r w:rsidRPr="008D5C76">
              <w:t>0.3</w:t>
            </w:r>
            <w:r w:rsidRPr="00646389">
              <w:rPr>
                <w:vertAlign w:val="superscript"/>
              </w:rPr>
              <w:t>a</w:t>
            </w:r>
          </w:p>
        </w:tc>
        <w:tc>
          <w:tcPr>
            <w:tcW w:w="1843" w:type="dxa"/>
          </w:tcPr>
          <w:p w14:paraId="787CB60E" w14:textId="77777777" w:rsidR="00FA0556" w:rsidRDefault="00FA0556" w:rsidP="00FA0556">
            <w:pPr>
              <w:spacing w:line="360" w:lineRule="auto"/>
              <w:jc w:val="center"/>
              <w:rPr>
                <w:rFonts w:asciiTheme="majorHAnsi" w:eastAsia="TimesNewRomanPSMT" w:hAnsiTheme="majorHAnsi" w:cstheme="majorHAnsi"/>
                <w:b/>
                <w:bCs/>
              </w:rPr>
            </w:pPr>
            <w:r w:rsidRPr="008D5C76">
              <w:t>42.86</w:t>
            </w:r>
            <w:r>
              <w:t xml:space="preserve"> </w:t>
            </w:r>
            <w:r w:rsidRPr="008D5C76">
              <w:t>±</w:t>
            </w:r>
            <w:r>
              <w:t xml:space="preserve"> </w:t>
            </w:r>
            <w:r w:rsidRPr="008D5C76">
              <w:t>0.22</w:t>
            </w:r>
            <w:r w:rsidRPr="00461D8E">
              <w:rPr>
                <w:vertAlign w:val="superscript"/>
              </w:rPr>
              <w:t>ab</w:t>
            </w:r>
          </w:p>
        </w:tc>
      </w:tr>
      <w:tr w:rsidR="00FA0556" w14:paraId="21CFA41C" w14:textId="77777777" w:rsidTr="00FA0556">
        <w:trPr>
          <w:trHeight w:val="380"/>
        </w:trPr>
        <w:tc>
          <w:tcPr>
            <w:tcW w:w="1418" w:type="dxa"/>
          </w:tcPr>
          <w:p w14:paraId="2514124D" w14:textId="77777777" w:rsidR="00FA0556" w:rsidRDefault="00FA0556" w:rsidP="00FA0556">
            <w:pPr>
              <w:spacing w:line="360" w:lineRule="auto"/>
              <w:jc w:val="center"/>
              <w:rPr>
                <w:rFonts w:asciiTheme="majorHAnsi" w:eastAsia="TimesNewRomanPSMT" w:hAnsiTheme="majorHAnsi" w:cstheme="majorHAnsi"/>
                <w:b/>
                <w:bCs/>
              </w:rPr>
            </w:pPr>
            <w:r w:rsidRPr="008D5C76">
              <w:t>T7</w:t>
            </w:r>
          </w:p>
        </w:tc>
        <w:tc>
          <w:tcPr>
            <w:tcW w:w="1484" w:type="dxa"/>
          </w:tcPr>
          <w:p w14:paraId="0E0EE533" w14:textId="3DCB37B3" w:rsidR="00FA0556" w:rsidRDefault="00FA0556" w:rsidP="00FA0556">
            <w:pPr>
              <w:spacing w:line="360" w:lineRule="auto"/>
              <w:rPr>
                <w:rFonts w:asciiTheme="majorHAnsi" w:eastAsia="TimesNewRomanPSMT" w:hAnsiTheme="majorHAnsi" w:cstheme="majorHAnsi"/>
                <w:b/>
                <w:bCs/>
              </w:rPr>
            </w:pPr>
            <w:r w:rsidRPr="008D5C76">
              <w:t>18.1</w:t>
            </w:r>
            <w:r>
              <w:t xml:space="preserve"> </w:t>
            </w:r>
            <w:r w:rsidRPr="008D5C76">
              <w:t>±</w:t>
            </w:r>
            <w:r>
              <w:t xml:space="preserve"> </w:t>
            </w:r>
            <w:r w:rsidRPr="008D5C76">
              <w:t>0.</w:t>
            </w:r>
            <w:r>
              <w:t>4</w:t>
            </w:r>
            <w:r w:rsidRPr="008D5C76">
              <w:t>8</w:t>
            </w:r>
            <w:r w:rsidRPr="00646389">
              <w:rPr>
                <w:vertAlign w:val="superscript"/>
              </w:rPr>
              <w:t>a</w:t>
            </w:r>
          </w:p>
        </w:tc>
        <w:tc>
          <w:tcPr>
            <w:tcW w:w="1559" w:type="dxa"/>
          </w:tcPr>
          <w:p w14:paraId="6C7B851B" w14:textId="77777777" w:rsidR="00FA0556" w:rsidRDefault="00FA0556" w:rsidP="00FA0556">
            <w:pPr>
              <w:spacing w:line="360" w:lineRule="auto"/>
              <w:rPr>
                <w:rFonts w:asciiTheme="majorHAnsi" w:eastAsia="TimesNewRomanPSMT" w:hAnsiTheme="majorHAnsi" w:cstheme="majorHAnsi"/>
                <w:b/>
                <w:bCs/>
              </w:rPr>
            </w:pPr>
            <w:r w:rsidRPr="008D5C76">
              <w:t>23.5</w:t>
            </w:r>
            <w:r>
              <w:t xml:space="preserve"> </w:t>
            </w:r>
            <w:r w:rsidRPr="008D5C76">
              <w:t>±</w:t>
            </w:r>
            <w:r>
              <w:t xml:space="preserve"> </w:t>
            </w:r>
            <w:r w:rsidRPr="008D5C76">
              <w:t>0.28</w:t>
            </w:r>
            <w:r w:rsidRPr="00646389">
              <w:rPr>
                <w:vertAlign w:val="superscript"/>
              </w:rPr>
              <w:t>a</w:t>
            </w:r>
          </w:p>
        </w:tc>
        <w:tc>
          <w:tcPr>
            <w:tcW w:w="1701" w:type="dxa"/>
            <w:tcBorders>
              <w:top w:val="single" w:sz="4" w:space="0" w:color="auto"/>
              <w:left w:val="nil"/>
              <w:bottom w:val="single" w:sz="4" w:space="0" w:color="auto"/>
              <w:right w:val="nil"/>
            </w:tcBorders>
            <w:vAlign w:val="bottom"/>
          </w:tcPr>
          <w:p w14:paraId="59AE43C2" w14:textId="08EC6772" w:rsidR="00FA0556" w:rsidRPr="008D5C76" w:rsidRDefault="00FA0556" w:rsidP="00FA0556">
            <w:pPr>
              <w:spacing w:line="360" w:lineRule="auto"/>
              <w:jc w:val="center"/>
            </w:pPr>
            <w:r>
              <w:rPr>
                <w:color w:val="000000"/>
                <w:sz w:val="22"/>
                <w:szCs w:val="22"/>
              </w:rPr>
              <w:t>25.1±0.41</w:t>
            </w:r>
            <w:r w:rsidRPr="00FA0556">
              <w:rPr>
                <w:color w:val="000000"/>
                <w:sz w:val="22"/>
                <w:szCs w:val="22"/>
                <w:vertAlign w:val="superscript"/>
              </w:rPr>
              <w:t>a</w:t>
            </w:r>
          </w:p>
        </w:tc>
        <w:tc>
          <w:tcPr>
            <w:tcW w:w="1276" w:type="dxa"/>
          </w:tcPr>
          <w:p w14:paraId="0D6A597F" w14:textId="77777777" w:rsidR="00FA0556" w:rsidRDefault="00FA0556" w:rsidP="00FA0556">
            <w:pPr>
              <w:spacing w:line="360" w:lineRule="auto"/>
              <w:jc w:val="center"/>
              <w:rPr>
                <w:rFonts w:asciiTheme="majorHAnsi" w:eastAsia="TimesNewRomanPSMT" w:hAnsiTheme="majorHAnsi" w:cstheme="majorHAnsi"/>
                <w:b/>
                <w:bCs/>
              </w:rPr>
            </w:pPr>
            <w:r w:rsidRPr="008D5C76">
              <w:t>4.8</w:t>
            </w:r>
            <w:r>
              <w:t xml:space="preserve"> </w:t>
            </w:r>
            <w:r w:rsidRPr="008D5C76">
              <w:t>±</w:t>
            </w:r>
            <w:r>
              <w:t xml:space="preserve"> </w:t>
            </w:r>
            <w:r w:rsidRPr="008D5C76">
              <w:t>0.3</w:t>
            </w:r>
            <w:r w:rsidRPr="00646389">
              <w:rPr>
                <w:vertAlign w:val="superscript"/>
              </w:rPr>
              <w:t>a</w:t>
            </w:r>
          </w:p>
        </w:tc>
        <w:tc>
          <w:tcPr>
            <w:tcW w:w="1843" w:type="dxa"/>
          </w:tcPr>
          <w:p w14:paraId="43F825D1" w14:textId="77777777" w:rsidR="00FA0556" w:rsidRDefault="00FA0556" w:rsidP="00FA0556">
            <w:pPr>
              <w:spacing w:line="360" w:lineRule="auto"/>
              <w:jc w:val="center"/>
              <w:rPr>
                <w:rFonts w:asciiTheme="majorHAnsi" w:eastAsia="TimesNewRomanPSMT" w:hAnsiTheme="majorHAnsi" w:cstheme="majorHAnsi"/>
                <w:b/>
                <w:bCs/>
              </w:rPr>
            </w:pPr>
            <w:r w:rsidRPr="008D5C76">
              <w:t>43.51</w:t>
            </w:r>
            <w:r>
              <w:t xml:space="preserve"> </w:t>
            </w:r>
            <w:r w:rsidRPr="008D5C76">
              <w:t>±</w:t>
            </w:r>
            <w:r>
              <w:t xml:space="preserve"> </w:t>
            </w:r>
            <w:r w:rsidRPr="008D5C76">
              <w:t>0.33</w:t>
            </w:r>
            <w:r w:rsidRPr="00461D8E">
              <w:rPr>
                <w:vertAlign w:val="superscript"/>
              </w:rPr>
              <w:t>a</w:t>
            </w:r>
          </w:p>
        </w:tc>
      </w:tr>
      <w:tr w:rsidR="00FA0556" w14:paraId="3358B7F3" w14:textId="77777777" w:rsidTr="00FA0556">
        <w:trPr>
          <w:trHeight w:val="380"/>
        </w:trPr>
        <w:tc>
          <w:tcPr>
            <w:tcW w:w="1418" w:type="dxa"/>
          </w:tcPr>
          <w:p w14:paraId="35D79034" w14:textId="77777777" w:rsidR="00FA0556" w:rsidRPr="008D5C76" w:rsidRDefault="00FA0556" w:rsidP="00FA0556">
            <w:pPr>
              <w:spacing w:line="360" w:lineRule="auto"/>
              <w:jc w:val="center"/>
            </w:pPr>
            <w:proofErr w:type="spellStart"/>
            <w:r>
              <w:t>SEm</w:t>
            </w:r>
            <w:proofErr w:type="spellEnd"/>
            <w:r>
              <w:rPr>
                <w:rFonts w:cstheme="minorHAnsi"/>
              </w:rPr>
              <w:t>±</w:t>
            </w:r>
          </w:p>
        </w:tc>
        <w:tc>
          <w:tcPr>
            <w:tcW w:w="1484" w:type="dxa"/>
          </w:tcPr>
          <w:p w14:paraId="29C3E00D" w14:textId="77777777" w:rsidR="00FA0556" w:rsidRPr="008D5C76" w:rsidRDefault="00FA0556" w:rsidP="00FA0556">
            <w:pPr>
              <w:spacing w:line="360" w:lineRule="auto"/>
            </w:pPr>
            <w:r>
              <w:t>0.516</w:t>
            </w:r>
          </w:p>
        </w:tc>
        <w:tc>
          <w:tcPr>
            <w:tcW w:w="1559" w:type="dxa"/>
          </w:tcPr>
          <w:p w14:paraId="5A771F4C" w14:textId="77777777" w:rsidR="00FA0556" w:rsidRPr="008D5C76" w:rsidRDefault="00FA0556" w:rsidP="00FA0556">
            <w:pPr>
              <w:spacing w:line="360" w:lineRule="auto"/>
            </w:pPr>
            <w:r>
              <w:t>0.632</w:t>
            </w:r>
          </w:p>
        </w:tc>
        <w:tc>
          <w:tcPr>
            <w:tcW w:w="1701" w:type="dxa"/>
            <w:tcBorders>
              <w:top w:val="single" w:sz="4" w:space="0" w:color="auto"/>
            </w:tcBorders>
          </w:tcPr>
          <w:p w14:paraId="26F898E0" w14:textId="5DFB8909" w:rsidR="00FA0556" w:rsidRDefault="00FA0556" w:rsidP="00FA0556">
            <w:pPr>
              <w:spacing w:line="360" w:lineRule="auto"/>
              <w:jc w:val="center"/>
            </w:pPr>
            <w:r w:rsidRPr="00FA0556">
              <w:t>0.4</w:t>
            </w:r>
            <w:r>
              <w:t>3</w:t>
            </w:r>
          </w:p>
        </w:tc>
        <w:tc>
          <w:tcPr>
            <w:tcW w:w="1276" w:type="dxa"/>
          </w:tcPr>
          <w:p w14:paraId="2A0DA34A" w14:textId="77777777" w:rsidR="00FA0556" w:rsidRPr="008D5C76" w:rsidRDefault="00FA0556" w:rsidP="00FA0556">
            <w:pPr>
              <w:spacing w:line="360" w:lineRule="auto"/>
              <w:jc w:val="center"/>
            </w:pPr>
            <w:r>
              <w:t>0.284</w:t>
            </w:r>
          </w:p>
        </w:tc>
        <w:tc>
          <w:tcPr>
            <w:tcW w:w="1843" w:type="dxa"/>
          </w:tcPr>
          <w:p w14:paraId="683E2685" w14:textId="77777777" w:rsidR="00FA0556" w:rsidRPr="008D5C76" w:rsidRDefault="00FA0556" w:rsidP="00FA0556">
            <w:pPr>
              <w:spacing w:line="360" w:lineRule="auto"/>
              <w:jc w:val="center"/>
            </w:pPr>
            <w:r>
              <w:t>0.282</w:t>
            </w:r>
          </w:p>
        </w:tc>
      </w:tr>
      <w:tr w:rsidR="00FA0556" w14:paraId="7BB82EA8" w14:textId="77777777" w:rsidTr="00FA0556">
        <w:trPr>
          <w:trHeight w:val="773"/>
        </w:trPr>
        <w:tc>
          <w:tcPr>
            <w:tcW w:w="1418" w:type="dxa"/>
          </w:tcPr>
          <w:p w14:paraId="6D95B3E0" w14:textId="77777777" w:rsidR="00FA0556" w:rsidRPr="008D5C76" w:rsidRDefault="00FA0556" w:rsidP="00FA0556">
            <w:pPr>
              <w:spacing w:line="360" w:lineRule="auto"/>
              <w:jc w:val="center"/>
            </w:pPr>
            <w:r>
              <w:t>CD (</w:t>
            </w:r>
            <w:r w:rsidRPr="00646389">
              <w:t>p≤ 0.05)</w:t>
            </w:r>
          </w:p>
        </w:tc>
        <w:tc>
          <w:tcPr>
            <w:tcW w:w="1484" w:type="dxa"/>
          </w:tcPr>
          <w:p w14:paraId="232286F9" w14:textId="77777777" w:rsidR="00FA0556" w:rsidRPr="008D5C76" w:rsidRDefault="00FA0556" w:rsidP="00FA0556">
            <w:pPr>
              <w:spacing w:line="360" w:lineRule="auto"/>
            </w:pPr>
            <w:r>
              <w:t>1.580</w:t>
            </w:r>
          </w:p>
        </w:tc>
        <w:tc>
          <w:tcPr>
            <w:tcW w:w="1559" w:type="dxa"/>
          </w:tcPr>
          <w:p w14:paraId="7EA0B5D3" w14:textId="77777777" w:rsidR="00FA0556" w:rsidRPr="008D5C76" w:rsidRDefault="00FA0556" w:rsidP="00FA0556">
            <w:pPr>
              <w:spacing w:line="360" w:lineRule="auto"/>
            </w:pPr>
            <w:r>
              <w:t>1.937</w:t>
            </w:r>
          </w:p>
        </w:tc>
        <w:tc>
          <w:tcPr>
            <w:tcW w:w="1701" w:type="dxa"/>
          </w:tcPr>
          <w:p w14:paraId="766C68C5" w14:textId="4C8F5A59" w:rsidR="00FA0556" w:rsidRPr="00FA0556" w:rsidRDefault="00FA0556" w:rsidP="00FA0556">
            <w:pPr>
              <w:spacing w:line="360" w:lineRule="auto"/>
              <w:jc w:val="center"/>
              <w:rPr>
                <w:rFonts w:asciiTheme="majorHAnsi" w:hAnsiTheme="majorHAnsi" w:cstheme="majorHAnsi"/>
              </w:rPr>
            </w:pPr>
            <w:r w:rsidRPr="00FA0556">
              <w:rPr>
                <w:rFonts w:asciiTheme="majorHAnsi" w:hAnsiTheme="majorHAnsi" w:cstheme="majorHAnsi"/>
                <w:color w:val="333333"/>
                <w:shd w:val="clear" w:color="auto" w:fill="FFFFFF"/>
              </w:rPr>
              <w:t>1.311</w:t>
            </w:r>
          </w:p>
        </w:tc>
        <w:tc>
          <w:tcPr>
            <w:tcW w:w="1276" w:type="dxa"/>
          </w:tcPr>
          <w:p w14:paraId="37FC36FE" w14:textId="77777777" w:rsidR="00FA0556" w:rsidRPr="008D5C76" w:rsidRDefault="00FA0556" w:rsidP="00FA0556">
            <w:pPr>
              <w:spacing w:line="360" w:lineRule="auto"/>
              <w:jc w:val="center"/>
            </w:pPr>
            <w:r>
              <w:t>0.869</w:t>
            </w:r>
          </w:p>
        </w:tc>
        <w:tc>
          <w:tcPr>
            <w:tcW w:w="1843" w:type="dxa"/>
          </w:tcPr>
          <w:p w14:paraId="61D677A0" w14:textId="77777777" w:rsidR="00FA0556" w:rsidRPr="008D5C76" w:rsidRDefault="00FA0556" w:rsidP="00FA0556">
            <w:pPr>
              <w:spacing w:line="360" w:lineRule="auto"/>
              <w:jc w:val="center"/>
            </w:pPr>
            <w:r>
              <w:t>0.863</w:t>
            </w:r>
          </w:p>
        </w:tc>
      </w:tr>
    </w:tbl>
    <w:p w14:paraId="66FA67C7" w14:textId="09BE5FEF" w:rsidR="00646389" w:rsidRPr="00646389" w:rsidRDefault="00461D8E" w:rsidP="00646389">
      <w:pPr>
        <w:spacing w:line="360" w:lineRule="auto"/>
        <w:jc w:val="both"/>
        <w:rPr>
          <w:rFonts w:asciiTheme="majorHAnsi" w:eastAsia="TimesNewRomanPSMT" w:hAnsiTheme="majorHAnsi" w:cstheme="majorHAnsi"/>
          <w:b/>
          <w:bCs/>
        </w:rPr>
      </w:pPr>
      <w:r>
        <w:rPr>
          <w:rFonts w:asciiTheme="majorHAnsi" w:eastAsia="TimesNewRomanPSMT" w:hAnsiTheme="majorHAnsi" w:cstheme="majorHAnsi"/>
          <w:b/>
          <w:bCs/>
        </w:rPr>
        <w:t>Table 2. Above and below-ground biomass, along with the harvest index.</w:t>
      </w:r>
    </w:p>
    <w:p w14:paraId="1C557794" w14:textId="69591F11" w:rsidR="00854575" w:rsidRDefault="00854575" w:rsidP="00854575">
      <w:pPr>
        <w:jc w:val="both"/>
        <w:rPr>
          <w:rFonts w:ascii="Times New Roman" w:hAnsi="Times New Roman" w:cs="Times New Roman"/>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 xml:space="preserve">; </w:t>
      </w:r>
      <w:r w:rsidRPr="00854575">
        <w:rPr>
          <w:rFonts w:ascii="Times New Roman" w:hAnsi="Times New Roman" w:cs="Times New Roman"/>
          <w:bCs/>
        </w:rPr>
        <w:t xml:space="preserve">CD: critical difference; </w:t>
      </w:r>
      <w:proofErr w:type="spellStart"/>
      <w:r w:rsidRPr="00854575">
        <w:rPr>
          <w:rFonts w:ascii="Times New Roman" w:hAnsi="Times New Roman" w:cs="Times New Roman"/>
          <w:bCs/>
        </w:rPr>
        <w:t>SEm</w:t>
      </w:r>
      <w:proofErr w:type="spellEnd"/>
      <w:r w:rsidRPr="00854575">
        <w:rPr>
          <w:rFonts w:ascii="Times New Roman" w:hAnsi="Times New Roman" w:cs="Times New Roman"/>
          <w:bCs/>
        </w:rPr>
        <w:t>: standard error of mean)</w:t>
      </w:r>
    </w:p>
    <w:p w14:paraId="6099A29A" w14:textId="33F993FF" w:rsidR="00854575" w:rsidRDefault="00854575" w:rsidP="00854575">
      <w:pPr>
        <w:jc w:val="both"/>
        <w:rPr>
          <w:rFonts w:ascii="Times New Roman" w:hAnsi="Times New Roman" w:cs="Times New Roman"/>
          <w:bCs/>
        </w:rPr>
      </w:pPr>
      <w:r>
        <w:rPr>
          <w:rFonts w:ascii="Times New Roman" w:hAnsi="Times New Roman" w:cs="Times New Roman"/>
          <w:bCs/>
        </w:rPr>
        <w:t xml:space="preserve">The above and </w:t>
      </w:r>
      <w:r w:rsidR="00746A1A">
        <w:rPr>
          <w:rFonts w:ascii="Times New Roman" w:hAnsi="Times New Roman" w:cs="Times New Roman"/>
          <w:bCs/>
        </w:rPr>
        <w:t>below-ground</w:t>
      </w:r>
      <w:r>
        <w:rPr>
          <w:rFonts w:ascii="Times New Roman" w:hAnsi="Times New Roman" w:cs="Times New Roman"/>
          <w:bCs/>
        </w:rPr>
        <w:t xml:space="preserve"> biomass at the time of flowering and harvest was presented in Table 2. The biomass data </w:t>
      </w:r>
      <w:r w:rsidR="00746A1A">
        <w:rPr>
          <w:rFonts w:ascii="Times New Roman" w:hAnsi="Times New Roman" w:cs="Times New Roman"/>
          <w:bCs/>
        </w:rPr>
        <w:t xml:space="preserve">were </w:t>
      </w:r>
      <w:r>
        <w:rPr>
          <w:rFonts w:ascii="Times New Roman" w:hAnsi="Times New Roman" w:cs="Times New Roman"/>
          <w:bCs/>
        </w:rPr>
        <w:t xml:space="preserve">collected </w:t>
      </w:r>
      <w:r w:rsidR="00746A1A">
        <w:rPr>
          <w:rFonts w:ascii="Times New Roman" w:hAnsi="Times New Roman" w:cs="Times New Roman"/>
          <w:bCs/>
        </w:rPr>
        <w:t>twice</w:t>
      </w:r>
      <w:r>
        <w:rPr>
          <w:rFonts w:ascii="Times New Roman" w:hAnsi="Times New Roman" w:cs="Times New Roman"/>
          <w:bCs/>
        </w:rPr>
        <w:t xml:space="preserve"> to </w:t>
      </w:r>
      <w:r w:rsidR="00746A1A">
        <w:rPr>
          <w:rFonts w:ascii="Times New Roman" w:hAnsi="Times New Roman" w:cs="Times New Roman"/>
          <w:bCs/>
        </w:rPr>
        <w:t>determine</w:t>
      </w:r>
      <w:r>
        <w:rPr>
          <w:rFonts w:ascii="Times New Roman" w:hAnsi="Times New Roman" w:cs="Times New Roman"/>
          <w:bCs/>
        </w:rPr>
        <w:t xml:space="preserve"> the differential P uptake pattern. The grain yield was found to be varied from 5.2 to 18.1g pot</w:t>
      </w:r>
      <w:r w:rsidRPr="00854575">
        <w:rPr>
          <w:rFonts w:ascii="Times New Roman" w:hAnsi="Times New Roman" w:cs="Times New Roman"/>
          <w:bCs/>
          <w:vertAlign w:val="superscript"/>
        </w:rPr>
        <w:t>-1</w:t>
      </w:r>
      <w:r>
        <w:rPr>
          <w:rFonts w:ascii="Times New Roman" w:hAnsi="Times New Roman" w:cs="Times New Roman"/>
          <w:bCs/>
        </w:rPr>
        <w:t xml:space="preserve">, the lowest was recorded in T1 </w:t>
      </w:r>
      <w:r>
        <w:rPr>
          <w:rFonts w:ascii="Times New Roman" w:hAnsi="Times New Roman" w:cs="Times New Roman"/>
          <w:bCs/>
        </w:rPr>
        <w:lastRenderedPageBreak/>
        <w:t xml:space="preserve">(absolute control) and </w:t>
      </w:r>
      <w:r w:rsidR="00746A1A">
        <w:rPr>
          <w:rFonts w:ascii="Times New Roman" w:hAnsi="Times New Roman" w:cs="Times New Roman"/>
          <w:bCs/>
        </w:rPr>
        <w:t xml:space="preserve">the </w:t>
      </w:r>
      <w:r>
        <w:rPr>
          <w:rFonts w:ascii="Times New Roman" w:hAnsi="Times New Roman" w:cs="Times New Roman"/>
          <w:bCs/>
        </w:rPr>
        <w:t xml:space="preserve">highest at T7 (receiving P at 50: 50 proportion of DAP and PAPR). There is </w:t>
      </w:r>
      <w:r w:rsidR="00746A1A">
        <w:rPr>
          <w:rFonts w:ascii="Times New Roman" w:hAnsi="Times New Roman" w:cs="Times New Roman"/>
          <w:bCs/>
        </w:rPr>
        <w:t xml:space="preserve">a </w:t>
      </w:r>
      <w:r>
        <w:rPr>
          <w:rFonts w:ascii="Times New Roman" w:hAnsi="Times New Roman" w:cs="Times New Roman"/>
          <w:bCs/>
        </w:rPr>
        <w:t>66% increase in grain yield over no P treatment (T2). Treatment receiving only DAP</w:t>
      </w:r>
      <w:r w:rsidR="0094087A">
        <w:rPr>
          <w:rFonts w:ascii="Times New Roman" w:hAnsi="Times New Roman" w:cs="Times New Roman"/>
          <w:bCs/>
        </w:rPr>
        <w:t xml:space="preserve"> (T3)</w:t>
      </w:r>
      <w:r w:rsidR="00A1527A">
        <w:rPr>
          <w:rFonts w:ascii="Times New Roman" w:hAnsi="Times New Roman" w:cs="Times New Roman"/>
          <w:bCs/>
        </w:rPr>
        <w:t xml:space="preserve"> called as RDF (recommended dose of fertilizer),</w:t>
      </w:r>
      <w:r>
        <w:rPr>
          <w:rFonts w:ascii="Times New Roman" w:hAnsi="Times New Roman" w:cs="Times New Roman"/>
          <w:bCs/>
        </w:rPr>
        <w:t xml:space="preserve"> and DAP and PAPR in </w:t>
      </w:r>
      <w:r w:rsidR="00746A1A">
        <w:rPr>
          <w:rFonts w:ascii="Times New Roman" w:hAnsi="Times New Roman" w:cs="Times New Roman"/>
          <w:bCs/>
        </w:rPr>
        <w:t xml:space="preserve">a </w:t>
      </w:r>
      <w:r>
        <w:rPr>
          <w:rFonts w:ascii="Times New Roman" w:hAnsi="Times New Roman" w:cs="Times New Roman"/>
          <w:bCs/>
        </w:rPr>
        <w:t>25:75</w:t>
      </w:r>
      <w:r w:rsidR="0094087A">
        <w:rPr>
          <w:rFonts w:ascii="Times New Roman" w:hAnsi="Times New Roman" w:cs="Times New Roman"/>
          <w:bCs/>
        </w:rPr>
        <w:t xml:space="preserve"> (T6)</w:t>
      </w:r>
      <w:r>
        <w:rPr>
          <w:rFonts w:ascii="Times New Roman" w:hAnsi="Times New Roman" w:cs="Times New Roman"/>
          <w:bCs/>
        </w:rPr>
        <w:t xml:space="preserve"> proportion are found at par with </w:t>
      </w:r>
      <w:r w:rsidR="0094087A">
        <w:rPr>
          <w:rFonts w:ascii="Times New Roman" w:hAnsi="Times New Roman" w:cs="Times New Roman"/>
          <w:bCs/>
        </w:rPr>
        <w:t>T7.</w:t>
      </w:r>
      <w:r w:rsidR="00A1527A">
        <w:rPr>
          <w:rFonts w:ascii="Times New Roman" w:hAnsi="Times New Roman" w:cs="Times New Roman"/>
          <w:bCs/>
        </w:rPr>
        <w:t xml:space="preserve"> The yield increment of T7 over RDF is 3% only.</w:t>
      </w:r>
      <w:r w:rsidR="0094087A">
        <w:rPr>
          <w:rFonts w:ascii="Times New Roman" w:hAnsi="Times New Roman" w:cs="Times New Roman"/>
          <w:bCs/>
        </w:rPr>
        <w:t xml:space="preserve"> Treatment receiving only PAPR (T5) was found to be 12% significantly inferior to T7. The </w:t>
      </w:r>
      <w:proofErr w:type="spellStart"/>
      <w:r w:rsidR="0094087A">
        <w:rPr>
          <w:rFonts w:ascii="Times New Roman" w:hAnsi="Times New Roman" w:cs="Times New Roman"/>
          <w:bCs/>
        </w:rPr>
        <w:t>stover</w:t>
      </w:r>
      <w:proofErr w:type="spellEnd"/>
      <w:r w:rsidR="0094087A">
        <w:rPr>
          <w:rFonts w:ascii="Times New Roman" w:hAnsi="Times New Roman" w:cs="Times New Roman"/>
          <w:bCs/>
        </w:rPr>
        <w:t xml:space="preserve"> yield at harvest time ranged from 9.8 to 23.5 g pot</w:t>
      </w:r>
      <w:r w:rsidR="0094087A" w:rsidRPr="00854575">
        <w:rPr>
          <w:rFonts w:ascii="Times New Roman" w:hAnsi="Times New Roman" w:cs="Times New Roman"/>
          <w:bCs/>
          <w:vertAlign w:val="superscript"/>
        </w:rPr>
        <w:t>-1</w:t>
      </w:r>
      <w:r w:rsidR="0094087A">
        <w:rPr>
          <w:rFonts w:ascii="Times New Roman" w:hAnsi="Times New Roman" w:cs="Times New Roman"/>
          <w:bCs/>
        </w:rPr>
        <w:t xml:space="preserve">. The </w:t>
      </w:r>
      <w:proofErr w:type="spellStart"/>
      <w:r w:rsidR="0094087A">
        <w:rPr>
          <w:rFonts w:ascii="Times New Roman" w:hAnsi="Times New Roman" w:cs="Times New Roman"/>
          <w:bCs/>
        </w:rPr>
        <w:t>stover</w:t>
      </w:r>
      <w:proofErr w:type="spellEnd"/>
      <w:r w:rsidR="0094087A">
        <w:rPr>
          <w:rFonts w:ascii="Times New Roman" w:hAnsi="Times New Roman" w:cs="Times New Roman"/>
          <w:bCs/>
        </w:rPr>
        <w:t xml:space="preserve"> yield maximum </w:t>
      </w:r>
      <w:r w:rsidR="00746A1A">
        <w:rPr>
          <w:rFonts w:ascii="Times New Roman" w:hAnsi="Times New Roman" w:cs="Times New Roman"/>
          <w:bCs/>
        </w:rPr>
        <w:t xml:space="preserve">was </w:t>
      </w:r>
      <w:r w:rsidR="0094087A">
        <w:rPr>
          <w:rFonts w:ascii="Times New Roman" w:hAnsi="Times New Roman" w:cs="Times New Roman"/>
          <w:bCs/>
        </w:rPr>
        <w:t>reported in T7</w:t>
      </w:r>
      <w:r w:rsidR="00746A1A">
        <w:rPr>
          <w:rFonts w:ascii="Times New Roman" w:hAnsi="Times New Roman" w:cs="Times New Roman"/>
          <w:bCs/>
        </w:rPr>
        <w:t>,</w:t>
      </w:r>
      <w:r w:rsidR="0094087A">
        <w:rPr>
          <w:rFonts w:ascii="Times New Roman" w:hAnsi="Times New Roman" w:cs="Times New Roman"/>
          <w:bCs/>
        </w:rPr>
        <w:t xml:space="preserve"> which is 43% significantly higher </w:t>
      </w:r>
      <w:r w:rsidR="00746A1A">
        <w:rPr>
          <w:rFonts w:ascii="Times New Roman" w:hAnsi="Times New Roman" w:cs="Times New Roman"/>
          <w:bCs/>
        </w:rPr>
        <w:t>of</w:t>
      </w:r>
      <w:r w:rsidR="0094087A">
        <w:rPr>
          <w:rFonts w:ascii="Times New Roman" w:hAnsi="Times New Roman" w:cs="Times New Roman"/>
          <w:bCs/>
        </w:rPr>
        <w:t xml:space="preserve"> no P treatment (T2)</w:t>
      </w:r>
      <w:r w:rsidR="00A1527A">
        <w:rPr>
          <w:rFonts w:ascii="Times New Roman" w:hAnsi="Times New Roman" w:cs="Times New Roman"/>
          <w:bCs/>
        </w:rPr>
        <w:t>, and 2.62% higher than RDF (T3)</w:t>
      </w:r>
      <w:r w:rsidR="0094087A">
        <w:rPr>
          <w:rFonts w:ascii="Times New Roman" w:hAnsi="Times New Roman" w:cs="Times New Roman"/>
          <w:bCs/>
        </w:rPr>
        <w:t xml:space="preserve">. Here, treatments viz. T3, T5, T6, and T7 are reported to be at par with each other. Treatment receiving untreated PR (T4) was found to be 32% significantly lower </w:t>
      </w:r>
      <w:r w:rsidR="00746A1A">
        <w:rPr>
          <w:rFonts w:ascii="Times New Roman" w:hAnsi="Times New Roman" w:cs="Times New Roman"/>
          <w:bCs/>
        </w:rPr>
        <w:t>than</w:t>
      </w:r>
      <w:r w:rsidR="0094087A">
        <w:rPr>
          <w:rFonts w:ascii="Times New Roman" w:hAnsi="Times New Roman" w:cs="Times New Roman"/>
          <w:bCs/>
        </w:rPr>
        <w:t xml:space="preserve"> T7. The biomass yield of </w:t>
      </w:r>
      <w:r w:rsidR="00746A1A">
        <w:rPr>
          <w:rFonts w:ascii="Times New Roman" w:hAnsi="Times New Roman" w:cs="Times New Roman"/>
          <w:bCs/>
        </w:rPr>
        <w:t xml:space="preserve">the </w:t>
      </w:r>
      <w:r w:rsidR="0094087A">
        <w:rPr>
          <w:rFonts w:ascii="Times New Roman" w:hAnsi="Times New Roman" w:cs="Times New Roman"/>
          <w:bCs/>
        </w:rPr>
        <w:t xml:space="preserve">whole plant collected during flowering was found to </w:t>
      </w:r>
      <w:r w:rsidR="00746A1A">
        <w:rPr>
          <w:rFonts w:ascii="Times New Roman" w:hAnsi="Times New Roman" w:cs="Times New Roman"/>
          <w:bCs/>
        </w:rPr>
        <w:t>vary</w:t>
      </w:r>
      <w:r w:rsidR="0094087A">
        <w:rPr>
          <w:rFonts w:ascii="Times New Roman" w:hAnsi="Times New Roman" w:cs="Times New Roman"/>
          <w:bCs/>
        </w:rPr>
        <w:t xml:space="preserve"> from 10.1 to 25.1 g pot</w:t>
      </w:r>
      <w:r w:rsidR="0094087A" w:rsidRPr="00854575">
        <w:rPr>
          <w:rFonts w:ascii="Times New Roman" w:hAnsi="Times New Roman" w:cs="Times New Roman"/>
          <w:bCs/>
          <w:vertAlign w:val="superscript"/>
        </w:rPr>
        <w:t>-</w:t>
      </w:r>
      <w:r w:rsidR="0094087A">
        <w:rPr>
          <w:rFonts w:ascii="Times New Roman" w:hAnsi="Times New Roman" w:cs="Times New Roman"/>
          <w:bCs/>
          <w:vertAlign w:val="superscript"/>
        </w:rPr>
        <w:t>1</w:t>
      </w:r>
      <w:r w:rsidR="0094087A">
        <w:rPr>
          <w:rFonts w:ascii="Times New Roman" w:hAnsi="Times New Roman" w:cs="Times New Roman"/>
          <w:bCs/>
        </w:rPr>
        <w:t xml:space="preserve">. </w:t>
      </w:r>
      <w:r w:rsidR="00746A1A">
        <w:rPr>
          <w:rFonts w:ascii="Times New Roman" w:hAnsi="Times New Roman" w:cs="Times New Roman"/>
          <w:bCs/>
        </w:rPr>
        <w:t>Treatment T7 reported maximum biomass and was found to be at par with T3</w:t>
      </w:r>
      <w:r w:rsidR="00235A76">
        <w:rPr>
          <w:rFonts w:ascii="Times New Roman" w:hAnsi="Times New Roman" w:cs="Times New Roman"/>
          <w:bCs/>
        </w:rPr>
        <w:t xml:space="preserve"> with a 1.2% increment</w:t>
      </w:r>
      <w:r w:rsidR="00746A1A">
        <w:rPr>
          <w:rFonts w:ascii="Times New Roman" w:hAnsi="Times New Roman" w:cs="Times New Roman"/>
          <w:bCs/>
        </w:rPr>
        <w:t xml:space="preserve">. Both of these treatments are found to be significantly higher than other treatments. There is a 47% increase in biomass yield in comparison to </w:t>
      </w:r>
      <w:r w:rsidR="00235A76">
        <w:rPr>
          <w:rFonts w:ascii="Times New Roman" w:hAnsi="Times New Roman" w:cs="Times New Roman"/>
          <w:bCs/>
        </w:rPr>
        <w:t>no P treatment at the time of flowering, defining the role of phosphorus in plant growth and development</w:t>
      </w:r>
      <w:r w:rsidR="00746A1A">
        <w:rPr>
          <w:rFonts w:ascii="Times New Roman" w:hAnsi="Times New Roman" w:cs="Times New Roman"/>
          <w:bCs/>
        </w:rPr>
        <w:t xml:space="preserve">. The root weight </w:t>
      </w:r>
      <w:r w:rsidR="00235A76">
        <w:rPr>
          <w:rFonts w:ascii="Times New Roman" w:hAnsi="Times New Roman" w:cs="Times New Roman"/>
          <w:bCs/>
        </w:rPr>
        <w:t>recorded at flowering time ranged between 1.3 to 4.8 g pot</w:t>
      </w:r>
      <w:r w:rsidR="00235A76" w:rsidRPr="00235A76">
        <w:rPr>
          <w:rFonts w:ascii="Times New Roman" w:hAnsi="Times New Roman" w:cs="Times New Roman"/>
          <w:bCs/>
          <w:vertAlign w:val="superscript"/>
        </w:rPr>
        <w:t>-1</w:t>
      </w:r>
      <w:r w:rsidR="00235A76">
        <w:rPr>
          <w:rFonts w:ascii="Times New Roman" w:hAnsi="Times New Roman" w:cs="Times New Roman"/>
          <w:bCs/>
        </w:rPr>
        <w:t>. Again, treatment T7 was dominating with 166% significantly higher result, and 7% equivalent result was reported while comparing with no P (T2) and RDF (T3), respectively. These findings supplement the role of phosphorus in early root growth and root architecture. The harvest index was varied from 34.8 to 43.51%. The treatment receiving P in various forms (T3, T5, T6, T7) except the PR source (T4) was found to be significantly higher than treatment receiving No P (T1 and T2)</w:t>
      </w:r>
      <w:r w:rsidR="00056F6A">
        <w:rPr>
          <w:rFonts w:ascii="Times New Roman" w:hAnsi="Times New Roman" w:cs="Times New Roman"/>
          <w:bCs/>
        </w:rPr>
        <w:t>. Treatments like T4 and T2 were found at par to each other in terms of the role of N and K in growth, development and yield.</w:t>
      </w:r>
    </w:p>
    <w:p w14:paraId="2BA3C038" w14:textId="70A80588" w:rsidR="00100D18" w:rsidRPr="00100D18" w:rsidRDefault="00100D18" w:rsidP="00854575">
      <w:pPr>
        <w:jc w:val="both"/>
        <w:rPr>
          <w:rFonts w:ascii="Times New Roman" w:hAnsi="Times New Roman" w:cs="Times New Roman"/>
          <w:b/>
        </w:rPr>
      </w:pPr>
      <w:r w:rsidRPr="00100D18">
        <w:rPr>
          <w:rFonts w:ascii="Times New Roman" w:hAnsi="Times New Roman" w:cs="Times New Roman"/>
          <w:b/>
        </w:rPr>
        <w:t>3.3 Effect of P fertilization on P content, uptake and recovery</w:t>
      </w:r>
      <w:r>
        <w:rPr>
          <w:rFonts w:ascii="Times New Roman" w:hAnsi="Times New Roman" w:cs="Times New Roman"/>
          <w:b/>
        </w:rPr>
        <w:t>.</w:t>
      </w:r>
    </w:p>
    <w:p w14:paraId="4689AE1D" w14:textId="04E3262E" w:rsidR="00660879" w:rsidRPr="00DC63EB" w:rsidRDefault="00DC63EB" w:rsidP="0005530F">
      <w:pPr>
        <w:spacing w:line="360" w:lineRule="auto"/>
        <w:jc w:val="both"/>
        <w:rPr>
          <w:rFonts w:asciiTheme="majorHAnsi" w:eastAsia="TimesNewRomanPSMT" w:hAnsiTheme="majorHAnsi" w:cstheme="majorHAnsi"/>
          <w:b/>
          <w:bCs/>
        </w:rPr>
      </w:pPr>
      <w:r w:rsidRPr="00DC63EB">
        <w:rPr>
          <w:rFonts w:asciiTheme="majorHAnsi" w:eastAsia="TimesNewRomanPSMT" w:hAnsiTheme="majorHAnsi" w:cstheme="majorHAnsi"/>
          <w:b/>
          <w:bCs/>
        </w:rPr>
        <w:t>Table 3</w:t>
      </w:r>
      <w:r w:rsidR="00FC2CD5">
        <w:rPr>
          <w:rFonts w:asciiTheme="majorHAnsi" w:eastAsia="TimesNewRomanPSMT" w:hAnsiTheme="majorHAnsi" w:cstheme="majorHAnsi"/>
          <w:b/>
          <w:bCs/>
        </w:rPr>
        <w:t>. Phosphorus content of above and belowground biomass along with P content of post-harvest soil.</w:t>
      </w:r>
    </w:p>
    <w:tbl>
      <w:tblPr>
        <w:tblStyle w:val="TableGrid"/>
        <w:tblW w:w="0" w:type="auto"/>
        <w:tblLook w:val="04A0" w:firstRow="1" w:lastRow="0" w:firstColumn="1" w:lastColumn="0" w:noHBand="0" w:noVBand="1"/>
      </w:tblPr>
      <w:tblGrid>
        <w:gridCol w:w="1502"/>
        <w:gridCol w:w="1499"/>
        <w:gridCol w:w="1389"/>
        <w:gridCol w:w="1613"/>
        <w:gridCol w:w="1505"/>
        <w:gridCol w:w="1508"/>
      </w:tblGrid>
      <w:tr w:rsidR="008B4932" w14:paraId="2E1479AE" w14:textId="77777777" w:rsidTr="008B4932">
        <w:tc>
          <w:tcPr>
            <w:tcW w:w="1502" w:type="dxa"/>
            <w:vMerge w:val="restart"/>
          </w:tcPr>
          <w:p w14:paraId="6748479E" w14:textId="777EDD4B" w:rsidR="008B4932" w:rsidRDefault="008B4932" w:rsidP="003144DB">
            <w:pPr>
              <w:spacing w:line="360" w:lineRule="auto"/>
              <w:jc w:val="both"/>
              <w:rPr>
                <w:rFonts w:asciiTheme="majorHAnsi" w:eastAsia="TimesNewRomanPSMT" w:hAnsiTheme="majorHAnsi" w:cstheme="majorHAnsi"/>
                <w:b/>
                <w:bCs/>
              </w:rPr>
            </w:pPr>
            <w:r w:rsidRPr="00646389">
              <w:rPr>
                <w:rFonts w:asciiTheme="majorHAnsi" w:eastAsia="TimesNewRomanPSMT" w:hAnsiTheme="majorHAnsi" w:cstheme="majorHAnsi"/>
                <w:b/>
                <w:bCs/>
              </w:rPr>
              <w:t>Treatments</w:t>
            </w:r>
          </w:p>
        </w:tc>
        <w:tc>
          <w:tcPr>
            <w:tcW w:w="6006" w:type="dxa"/>
            <w:gridSpan w:val="4"/>
          </w:tcPr>
          <w:p w14:paraId="35D410B6" w14:textId="5252BD44" w:rsidR="008B4932" w:rsidRDefault="008B4932" w:rsidP="00313592">
            <w:pPr>
              <w:spacing w:line="360" w:lineRule="auto"/>
              <w:jc w:val="center"/>
              <w:rPr>
                <w:rFonts w:asciiTheme="majorHAnsi" w:eastAsia="TimesNewRomanPSMT" w:hAnsiTheme="majorHAnsi" w:cstheme="majorHAnsi"/>
                <w:b/>
                <w:bCs/>
              </w:rPr>
            </w:pPr>
            <w:r>
              <w:rPr>
                <w:rFonts w:asciiTheme="majorHAnsi" w:eastAsia="TimesNewRomanPSMT" w:hAnsiTheme="majorHAnsi" w:cstheme="majorHAnsi"/>
                <w:b/>
                <w:bCs/>
              </w:rPr>
              <w:t>P content (%)</w:t>
            </w:r>
          </w:p>
        </w:tc>
        <w:tc>
          <w:tcPr>
            <w:tcW w:w="1508" w:type="dxa"/>
            <w:vMerge w:val="restart"/>
          </w:tcPr>
          <w:p w14:paraId="2391DE93" w14:textId="6FEDC30D" w:rsidR="008B4932" w:rsidRDefault="008B4932" w:rsidP="00313592">
            <w:pPr>
              <w:jc w:val="both"/>
              <w:rPr>
                <w:rFonts w:asciiTheme="majorHAnsi" w:eastAsia="TimesNewRomanPSMT" w:hAnsiTheme="majorHAnsi" w:cstheme="majorHAnsi"/>
                <w:b/>
                <w:bCs/>
              </w:rPr>
            </w:pPr>
            <w:r w:rsidRPr="00313592">
              <w:rPr>
                <w:rFonts w:asciiTheme="majorHAnsi" w:eastAsia="TimesNewRomanPSMT" w:hAnsiTheme="majorHAnsi" w:cstheme="majorHAnsi"/>
                <w:b/>
                <w:bCs/>
              </w:rPr>
              <w:t>PHS Available</w:t>
            </w:r>
            <w:r>
              <w:rPr>
                <w:rFonts w:asciiTheme="majorHAnsi" w:eastAsia="TimesNewRomanPSMT" w:hAnsiTheme="majorHAnsi" w:cstheme="majorHAnsi"/>
                <w:b/>
                <w:bCs/>
              </w:rPr>
              <w:t xml:space="preserve"> </w:t>
            </w:r>
            <w:r w:rsidRPr="00313592">
              <w:rPr>
                <w:rFonts w:asciiTheme="majorHAnsi" w:eastAsia="TimesNewRomanPSMT" w:hAnsiTheme="majorHAnsi" w:cstheme="majorHAnsi"/>
                <w:b/>
                <w:bCs/>
              </w:rPr>
              <w:t>P (kg ha</w:t>
            </w:r>
            <w:r w:rsidRPr="00313592">
              <w:rPr>
                <w:rFonts w:asciiTheme="majorHAnsi" w:eastAsia="TimesNewRomanPSMT" w:hAnsiTheme="majorHAnsi" w:cstheme="majorHAnsi"/>
                <w:b/>
                <w:bCs/>
                <w:vertAlign w:val="superscript"/>
              </w:rPr>
              <w:t>-1</w:t>
            </w:r>
            <w:r w:rsidRPr="00313592">
              <w:rPr>
                <w:rFonts w:asciiTheme="majorHAnsi" w:eastAsia="TimesNewRomanPSMT" w:hAnsiTheme="majorHAnsi" w:cstheme="majorHAnsi"/>
                <w:b/>
                <w:bCs/>
              </w:rPr>
              <w:t>)</w:t>
            </w:r>
          </w:p>
        </w:tc>
      </w:tr>
      <w:tr w:rsidR="008B4932" w14:paraId="72462468" w14:textId="77777777" w:rsidTr="008B4932">
        <w:tc>
          <w:tcPr>
            <w:tcW w:w="1502" w:type="dxa"/>
            <w:vMerge/>
          </w:tcPr>
          <w:p w14:paraId="628CDE9A" w14:textId="57E140C6" w:rsidR="008B4932" w:rsidRDefault="008B4932" w:rsidP="003144DB">
            <w:pPr>
              <w:spacing w:line="360" w:lineRule="auto"/>
              <w:jc w:val="both"/>
              <w:rPr>
                <w:rFonts w:asciiTheme="majorHAnsi" w:eastAsia="TimesNewRomanPSMT" w:hAnsiTheme="majorHAnsi" w:cstheme="majorHAnsi"/>
                <w:b/>
                <w:bCs/>
              </w:rPr>
            </w:pPr>
          </w:p>
        </w:tc>
        <w:tc>
          <w:tcPr>
            <w:tcW w:w="1499" w:type="dxa"/>
            <w:tcBorders>
              <w:bottom w:val="single" w:sz="4" w:space="0" w:color="auto"/>
            </w:tcBorders>
          </w:tcPr>
          <w:p w14:paraId="5144A458" w14:textId="494BFA80"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Grain</w:t>
            </w:r>
          </w:p>
        </w:tc>
        <w:tc>
          <w:tcPr>
            <w:tcW w:w="1389" w:type="dxa"/>
            <w:tcBorders>
              <w:bottom w:val="single" w:sz="4" w:space="0" w:color="auto"/>
            </w:tcBorders>
          </w:tcPr>
          <w:p w14:paraId="51619B1C" w14:textId="4181EC97"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Stover</w:t>
            </w:r>
          </w:p>
        </w:tc>
        <w:tc>
          <w:tcPr>
            <w:tcW w:w="1613" w:type="dxa"/>
            <w:tcBorders>
              <w:bottom w:val="single" w:sz="4" w:space="0" w:color="auto"/>
            </w:tcBorders>
          </w:tcPr>
          <w:p w14:paraId="28886487" w14:textId="5855BAAC"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Biomass (at flowering)</w:t>
            </w:r>
          </w:p>
        </w:tc>
        <w:tc>
          <w:tcPr>
            <w:tcW w:w="1505" w:type="dxa"/>
            <w:tcBorders>
              <w:bottom w:val="single" w:sz="4" w:space="0" w:color="auto"/>
            </w:tcBorders>
          </w:tcPr>
          <w:p w14:paraId="13856357" w14:textId="0EEF74B1" w:rsidR="008B4932" w:rsidRDefault="008B4932" w:rsidP="00313592">
            <w:pPr>
              <w:jc w:val="both"/>
              <w:rPr>
                <w:rFonts w:asciiTheme="majorHAnsi" w:eastAsia="TimesNewRomanPSMT" w:hAnsiTheme="majorHAnsi" w:cstheme="majorHAnsi"/>
                <w:b/>
                <w:bCs/>
              </w:rPr>
            </w:pPr>
            <w:r>
              <w:rPr>
                <w:rFonts w:asciiTheme="majorHAnsi" w:eastAsia="TimesNewRomanPSMT" w:hAnsiTheme="majorHAnsi" w:cstheme="majorHAnsi"/>
                <w:b/>
                <w:bCs/>
              </w:rPr>
              <w:t>Root (at flowering)</w:t>
            </w:r>
          </w:p>
        </w:tc>
        <w:tc>
          <w:tcPr>
            <w:tcW w:w="1508" w:type="dxa"/>
            <w:vMerge/>
            <w:tcBorders>
              <w:bottom w:val="single" w:sz="4" w:space="0" w:color="auto"/>
            </w:tcBorders>
          </w:tcPr>
          <w:p w14:paraId="7F40C157" w14:textId="48409054" w:rsidR="008B4932" w:rsidRDefault="008B4932" w:rsidP="00313592">
            <w:pPr>
              <w:jc w:val="both"/>
              <w:rPr>
                <w:rFonts w:asciiTheme="majorHAnsi" w:eastAsia="TimesNewRomanPSMT" w:hAnsiTheme="majorHAnsi" w:cstheme="majorHAnsi"/>
                <w:b/>
                <w:bCs/>
              </w:rPr>
            </w:pPr>
          </w:p>
        </w:tc>
      </w:tr>
      <w:tr w:rsidR="00313592" w14:paraId="4FB0A2E8" w14:textId="77777777" w:rsidTr="008B4932">
        <w:tc>
          <w:tcPr>
            <w:tcW w:w="1502" w:type="dxa"/>
          </w:tcPr>
          <w:p w14:paraId="07EFA917" w14:textId="72FEC38E" w:rsidR="00313592" w:rsidRDefault="00313592" w:rsidP="00533FB3">
            <w:pPr>
              <w:spacing w:line="360" w:lineRule="auto"/>
              <w:jc w:val="center"/>
              <w:rPr>
                <w:rFonts w:asciiTheme="majorHAnsi" w:eastAsia="TimesNewRomanPSMT" w:hAnsiTheme="majorHAnsi" w:cstheme="majorHAnsi"/>
                <w:b/>
                <w:bCs/>
              </w:rPr>
            </w:pPr>
            <w:r w:rsidRPr="008D5C76">
              <w:t>T1</w:t>
            </w:r>
          </w:p>
        </w:tc>
        <w:tc>
          <w:tcPr>
            <w:tcW w:w="1499" w:type="dxa"/>
            <w:tcBorders>
              <w:top w:val="single" w:sz="4" w:space="0" w:color="auto"/>
              <w:left w:val="nil"/>
              <w:bottom w:val="single" w:sz="4" w:space="0" w:color="auto"/>
              <w:right w:val="single" w:sz="4" w:space="0" w:color="auto"/>
            </w:tcBorders>
            <w:vAlign w:val="center"/>
          </w:tcPr>
          <w:p w14:paraId="10367BD9" w14:textId="3E1FD10A"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e</w:t>
            </w:r>
          </w:p>
        </w:tc>
        <w:tc>
          <w:tcPr>
            <w:tcW w:w="1389" w:type="dxa"/>
            <w:tcBorders>
              <w:top w:val="single" w:sz="4" w:space="0" w:color="auto"/>
              <w:left w:val="single" w:sz="4" w:space="0" w:color="auto"/>
              <w:bottom w:val="single" w:sz="4" w:space="0" w:color="auto"/>
              <w:right w:val="single" w:sz="4" w:space="0" w:color="auto"/>
            </w:tcBorders>
            <w:vAlign w:val="bottom"/>
          </w:tcPr>
          <w:p w14:paraId="1539F8EB" w14:textId="0B4FA78A" w:rsidR="00313592" w:rsidRDefault="00313592" w:rsidP="00313592">
            <w:pPr>
              <w:spacing w:line="360" w:lineRule="auto"/>
              <w:rPr>
                <w:rFonts w:asciiTheme="majorHAnsi" w:eastAsia="TimesNewRomanPSMT" w:hAnsiTheme="majorHAnsi" w:cstheme="majorHAnsi"/>
                <w:b/>
                <w:bCs/>
              </w:rPr>
            </w:pPr>
            <w:r>
              <w:rPr>
                <w:color w:val="000000"/>
                <w:sz w:val="22"/>
                <w:szCs w:val="22"/>
              </w:rPr>
              <w:t>0.11</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e</w:t>
            </w:r>
          </w:p>
        </w:tc>
        <w:tc>
          <w:tcPr>
            <w:tcW w:w="1613" w:type="dxa"/>
            <w:tcBorders>
              <w:top w:val="single" w:sz="4" w:space="0" w:color="auto"/>
              <w:left w:val="single" w:sz="4" w:space="0" w:color="auto"/>
              <w:bottom w:val="single" w:sz="4" w:space="0" w:color="auto"/>
              <w:right w:val="single" w:sz="4" w:space="0" w:color="auto"/>
            </w:tcBorders>
            <w:vAlign w:val="bottom"/>
          </w:tcPr>
          <w:p w14:paraId="6C0F14FA" w14:textId="40919EEE" w:rsidR="00313592" w:rsidRDefault="00313592" w:rsidP="00313592">
            <w:pPr>
              <w:spacing w:line="360" w:lineRule="auto"/>
              <w:rPr>
                <w:rFonts w:asciiTheme="majorHAnsi" w:eastAsia="TimesNewRomanPSMT" w:hAnsiTheme="majorHAnsi" w:cstheme="majorHAnsi"/>
                <w:b/>
                <w:bCs/>
              </w:rPr>
            </w:pPr>
            <w:r>
              <w:rPr>
                <w:color w:val="000000"/>
                <w:sz w:val="22"/>
                <w:szCs w:val="22"/>
              </w:rPr>
              <w:t>0.12</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e</w:t>
            </w:r>
          </w:p>
        </w:tc>
        <w:tc>
          <w:tcPr>
            <w:tcW w:w="1505" w:type="dxa"/>
            <w:tcBorders>
              <w:top w:val="single" w:sz="4" w:space="0" w:color="auto"/>
              <w:left w:val="single" w:sz="4" w:space="0" w:color="auto"/>
              <w:bottom w:val="single" w:sz="4" w:space="0" w:color="auto"/>
              <w:right w:val="single" w:sz="4" w:space="0" w:color="auto"/>
            </w:tcBorders>
            <w:vAlign w:val="bottom"/>
          </w:tcPr>
          <w:p w14:paraId="19A4B136" w14:textId="7A504A4C" w:rsidR="00313592" w:rsidRDefault="00313592" w:rsidP="00313592">
            <w:pPr>
              <w:spacing w:line="360" w:lineRule="auto"/>
              <w:rPr>
                <w:rFonts w:asciiTheme="majorHAnsi" w:eastAsia="TimesNewRomanPSMT" w:hAnsiTheme="majorHAnsi" w:cstheme="majorHAnsi"/>
                <w:b/>
                <w:bCs/>
              </w:rPr>
            </w:pPr>
            <w:r>
              <w:rPr>
                <w:color w:val="000000"/>
                <w:sz w:val="22"/>
                <w:szCs w:val="22"/>
              </w:rPr>
              <w:t>0.06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d</w:t>
            </w:r>
          </w:p>
        </w:tc>
        <w:tc>
          <w:tcPr>
            <w:tcW w:w="1508" w:type="dxa"/>
            <w:tcBorders>
              <w:top w:val="single" w:sz="4" w:space="0" w:color="auto"/>
              <w:left w:val="single" w:sz="4" w:space="0" w:color="auto"/>
              <w:bottom w:val="single" w:sz="4" w:space="0" w:color="auto"/>
              <w:right w:val="single" w:sz="4" w:space="0" w:color="auto"/>
            </w:tcBorders>
            <w:vAlign w:val="bottom"/>
          </w:tcPr>
          <w:p w14:paraId="5E2F17CB" w14:textId="5BC125E6" w:rsidR="00313592" w:rsidRDefault="00313592" w:rsidP="00313592">
            <w:pPr>
              <w:spacing w:line="360" w:lineRule="auto"/>
              <w:rPr>
                <w:rFonts w:asciiTheme="majorHAnsi" w:eastAsia="TimesNewRomanPSMT" w:hAnsiTheme="majorHAnsi" w:cstheme="majorHAnsi"/>
                <w:b/>
                <w:bCs/>
              </w:rPr>
            </w:pPr>
            <w:r>
              <w:rPr>
                <w:color w:val="000000"/>
                <w:sz w:val="22"/>
                <w:szCs w:val="22"/>
              </w:rPr>
              <w:t>8.5</w:t>
            </w:r>
            <w:r>
              <w:rPr>
                <w:rFonts w:cstheme="minorHAnsi"/>
                <w:color w:val="000000"/>
                <w:sz w:val="22"/>
                <w:szCs w:val="22"/>
              </w:rPr>
              <w:t>± 0.49</w:t>
            </w:r>
            <w:r w:rsidR="008B4932" w:rsidRPr="00A80CF0">
              <w:rPr>
                <w:rFonts w:cstheme="minorHAnsi"/>
                <w:color w:val="000000"/>
                <w:sz w:val="22"/>
                <w:szCs w:val="22"/>
                <w:vertAlign w:val="superscript"/>
              </w:rPr>
              <w:t>e</w:t>
            </w:r>
          </w:p>
        </w:tc>
      </w:tr>
      <w:tr w:rsidR="00313592" w14:paraId="4CE47432" w14:textId="77777777" w:rsidTr="008B4932">
        <w:tc>
          <w:tcPr>
            <w:tcW w:w="1502" w:type="dxa"/>
          </w:tcPr>
          <w:p w14:paraId="46668828" w14:textId="32A10ED4" w:rsidR="00313592" w:rsidRDefault="00313592" w:rsidP="00533FB3">
            <w:pPr>
              <w:spacing w:line="360" w:lineRule="auto"/>
              <w:jc w:val="center"/>
              <w:rPr>
                <w:rFonts w:asciiTheme="majorHAnsi" w:eastAsia="TimesNewRomanPSMT" w:hAnsiTheme="majorHAnsi" w:cstheme="majorHAnsi"/>
                <w:b/>
                <w:bCs/>
              </w:rPr>
            </w:pPr>
            <w:r w:rsidRPr="008D5C76">
              <w:t>T2</w:t>
            </w:r>
          </w:p>
        </w:tc>
        <w:tc>
          <w:tcPr>
            <w:tcW w:w="1499" w:type="dxa"/>
            <w:tcBorders>
              <w:top w:val="single" w:sz="4" w:space="0" w:color="auto"/>
              <w:left w:val="nil"/>
              <w:bottom w:val="single" w:sz="4" w:space="0" w:color="auto"/>
              <w:right w:val="single" w:sz="4" w:space="0" w:color="auto"/>
            </w:tcBorders>
            <w:vAlign w:val="center"/>
          </w:tcPr>
          <w:p w14:paraId="66823341" w14:textId="451B12E3" w:rsidR="00313592" w:rsidRDefault="00313592" w:rsidP="00313592">
            <w:pPr>
              <w:spacing w:line="360" w:lineRule="auto"/>
              <w:rPr>
                <w:rFonts w:asciiTheme="majorHAnsi" w:eastAsia="TimesNewRomanPSMT" w:hAnsiTheme="majorHAnsi" w:cstheme="majorHAnsi"/>
                <w:b/>
                <w:bCs/>
              </w:rPr>
            </w:pPr>
            <w:r>
              <w:rPr>
                <w:color w:val="000000"/>
                <w:sz w:val="22"/>
                <w:szCs w:val="22"/>
              </w:rPr>
              <w:t>0.23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de</w:t>
            </w:r>
          </w:p>
        </w:tc>
        <w:tc>
          <w:tcPr>
            <w:tcW w:w="1389" w:type="dxa"/>
            <w:tcBorders>
              <w:top w:val="single" w:sz="4" w:space="0" w:color="auto"/>
              <w:left w:val="single" w:sz="4" w:space="0" w:color="auto"/>
              <w:bottom w:val="single" w:sz="4" w:space="0" w:color="auto"/>
              <w:right w:val="single" w:sz="4" w:space="0" w:color="auto"/>
            </w:tcBorders>
            <w:vAlign w:val="bottom"/>
          </w:tcPr>
          <w:p w14:paraId="2BF544D1" w14:textId="35DE130F" w:rsidR="00313592" w:rsidRDefault="00313592" w:rsidP="00313592">
            <w:pPr>
              <w:spacing w:line="360" w:lineRule="auto"/>
              <w:rPr>
                <w:rFonts w:asciiTheme="majorHAnsi" w:eastAsia="TimesNewRomanPSMT" w:hAnsiTheme="majorHAnsi" w:cstheme="majorHAnsi"/>
                <w:b/>
                <w:bCs/>
              </w:rPr>
            </w:pPr>
            <w:r>
              <w:rPr>
                <w:color w:val="000000"/>
                <w:sz w:val="22"/>
                <w:szCs w:val="22"/>
              </w:rPr>
              <w:t>0.13</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de</w:t>
            </w:r>
          </w:p>
        </w:tc>
        <w:tc>
          <w:tcPr>
            <w:tcW w:w="1613" w:type="dxa"/>
            <w:tcBorders>
              <w:top w:val="single" w:sz="4" w:space="0" w:color="auto"/>
              <w:left w:val="single" w:sz="4" w:space="0" w:color="auto"/>
              <w:bottom w:val="single" w:sz="4" w:space="0" w:color="auto"/>
              <w:right w:val="single" w:sz="4" w:space="0" w:color="auto"/>
            </w:tcBorders>
            <w:vAlign w:val="bottom"/>
          </w:tcPr>
          <w:p w14:paraId="7B5DD798" w14:textId="47A9E25B" w:rsidR="00313592" w:rsidRDefault="00313592" w:rsidP="00313592">
            <w:pPr>
              <w:spacing w:line="360" w:lineRule="auto"/>
              <w:rPr>
                <w:rFonts w:asciiTheme="majorHAnsi" w:eastAsia="TimesNewRomanPSMT" w:hAnsiTheme="majorHAnsi" w:cstheme="majorHAnsi"/>
                <w:b/>
                <w:bCs/>
              </w:rPr>
            </w:pPr>
            <w:r>
              <w:rPr>
                <w:color w:val="000000"/>
                <w:sz w:val="22"/>
                <w:szCs w:val="22"/>
              </w:rPr>
              <w:t>0.15</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de</w:t>
            </w:r>
          </w:p>
        </w:tc>
        <w:tc>
          <w:tcPr>
            <w:tcW w:w="1505" w:type="dxa"/>
            <w:tcBorders>
              <w:top w:val="single" w:sz="4" w:space="0" w:color="auto"/>
              <w:left w:val="single" w:sz="4" w:space="0" w:color="auto"/>
              <w:bottom w:val="single" w:sz="4" w:space="0" w:color="auto"/>
              <w:right w:val="single" w:sz="4" w:space="0" w:color="auto"/>
            </w:tcBorders>
            <w:vAlign w:val="bottom"/>
          </w:tcPr>
          <w:p w14:paraId="5A24E1F8" w14:textId="321ED96D" w:rsidR="00313592" w:rsidRDefault="00313592" w:rsidP="00313592">
            <w:pPr>
              <w:spacing w:line="360" w:lineRule="auto"/>
              <w:rPr>
                <w:rFonts w:asciiTheme="majorHAnsi" w:eastAsia="TimesNewRomanPSMT" w:hAnsiTheme="majorHAnsi" w:cstheme="majorHAnsi"/>
                <w:b/>
                <w:bCs/>
              </w:rPr>
            </w:pPr>
            <w:r>
              <w:rPr>
                <w:color w:val="000000"/>
                <w:sz w:val="22"/>
                <w:szCs w:val="22"/>
              </w:rPr>
              <w:t>0.09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cd</w:t>
            </w:r>
          </w:p>
        </w:tc>
        <w:tc>
          <w:tcPr>
            <w:tcW w:w="1508" w:type="dxa"/>
            <w:tcBorders>
              <w:top w:val="single" w:sz="4" w:space="0" w:color="auto"/>
              <w:left w:val="single" w:sz="4" w:space="0" w:color="auto"/>
              <w:bottom w:val="single" w:sz="4" w:space="0" w:color="auto"/>
              <w:right w:val="single" w:sz="4" w:space="0" w:color="auto"/>
            </w:tcBorders>
            <w:vAlign w:val="bottom"/>
          </w:tcPr>
          <w:p w14:paraId="53FDDBC2" w14:textId="1F5A06BC" w:rsidR="00313592" w:rsidRDefault="00313592" w:rsidP="00313592">
            <w:pPr>
              <w:spacing w:line="360" w:lineRule="auto"/>
              <w:rPr>
                <w:rFonts w:asciiTheme="majorHAnsi" w:eastAsia="TimesNewRomanPSMT" w:hAnsiTheme="majorHAnsi" w:cstheme="majorHAnsi"/>
                <w:b/>
                <w:bCs/>
              </w:rPr>
            </w:pPr>
            <w:r>
              <w:rPr>
                <w:color w:val="000000"/>
                <w:sz w:val="22"/>
                <w:szCs w:val="22"/>
              </w:rPr>
              <w:t>14.7</w:t>
            </w:r>
            <w:r>
              <w:rPr>
                <w:rFonts w:cstheme="minorHAnsi"/>
                <w:color w:val="000000"/>
                <w:sz w:val="22"/>
                <w:szCs w:val="22"/>
              </w:rPr>
              <w:t>± 0.79</w:t>
            </w:r>
            <w:r w:rsidR="008B4932" w:rsidRPr="00A80CF0">
              <w:rPr>
                <w:rFonts w:cstheme="minorHAnsi"/>
                <w:color w:val="000000"/>
                <w:sz w:val="22"/>
                <w:szCs w:val="22"/>
                <w:vertAlign w:val="superscript"/>
              </w:rPr>
              <w:t>d</w:t>
            </w:r>
          </w:p>
        </w:tc>
      </w:tr>
      <w:tr w:rsidR="00313592" w14:paraId="7EACCD17" w14:textId="77777777" w:rsidTr="008B4932">
        <w:tc>
          <w:tcPr>
            <w:tcW w:w="1502" w:type="dxa"/>
          </w:tcPr>
          <w:p w14:paraId="734A9061" w14:textId="67C2B8C0" w:rsidR="00313592" w:rsidRDefault="00313592" w:rsidP="00533FB3">
            <w:pPr>
              <w:spacing w:line="360" w:lineRule="auto"/>
              <w:jc w:val="center"/>
              <w:rPr>
                <w:rFonts w:asciiTheme="majorHAnsi" w:eastAsia="TimesNewRomanPSMT" w:hAnsiTheme="majorHAnsi" w:cstheme="majorHAnsi"/>
                <w:b/>
                <w:bCs/>
              </w:rPr>
            </w:pPr>
            <w:r w:rsidRPr="008D5C76">
              <w:t>T3</w:t>
            </w:r>
          </w:p>
        </w:tc>
        <w:tc>
          <w:tcPr>
            <w:tcW w:w="1499" w:type="dxa"/>
            <w:tcBorders>
              <w:top w:val="single" w:sz="4" w:space="0" w:color="auto"/>
              <w:left w:val="nil"/>
              <w:bottom w:val="single" w:sz="4" w:space="0" w:color="auto"/>
              <w:right w:val="single" w:sz="4" w:space="0" w:color="auto"/>
            </w:tcBorders>
            <w:vAlign w:val="center"/>
          </w:tcPr>
          <w:p w14:paraId="0E91E0DD" w14:textId="3AB05E6A" w:rsidR="00313592" w:rsidRDefault="00313592" w:rsidP="00313592">
            <w:pPr>
              <w:spacing w:line="360" w:lineRule="auto"/>
              <w:rPr>
                <w:rFonts w:asciiTheme="majorHAnsi" w:eastAsia="TimesNewRomanPSMT" w:hAnsiTheme="majorHAnsi" w:cstheme="majorHAnsi"/>
                <w:b/>
                <w:bCs/>
              </w:rPr>
            </w:pPr>
            <w:r>
              <w:rPr>
                <w:color w:val="000000"/>
                <w:sz w:val="22"/>
                <w:szCs w:val="22"/>
              </w:rPr>
              <w:t>0.37</w:t>
            </w:r>
            <w:r>
              <w:rPr>
                <w:rFonts w:cstheme="minorHAnsi"/>
                <w:color w:val="000000"/>
                <w:sz w:val="22"/>
                <w:szCs w:val="22"/>
              </w:rPr>
              <w:t>±</w:t>
            </w:r>
            <w:r w:rsidR="008B4932">
              <w:rPr>
                <w:rFonts w:cstheme="minorHAnsi"/>
                <w:color w:val="000000"/>
                <w:sz w:val="22"/>
                <w:szCs w:val="22"/>
              </w:rPr>
              <w:t>0.02</w:t>
            </w:r>
            <w:r w:rsidR="008B4932" w:rsidRPr="00A80CF0">
              <w:rPr>
                <w:rFonts w:cstheme="minorHAnsi"/>
                <w:color w:val="000000"/>
                <w:sz w:val="22"/>
                <w:szCs w:val="22"/>
                <w:vertAlign w:val="superscript"/>
              </w:rPr>
              <w:t>a</w:t>
            </w:r>
          </w:p>
        </w:tc>
        <w:tc>
          <w:tcPr>
            <w:tcW w:w="1389" w:type="dxa"/>
            <w:tcBorders>
              <w:top w:val="single" w:sz="4" w:space="0" w:color="auto"/>
              <w:left w:val="single" w:sz="4" w:space="0" w:color="auto"/>
              <w:bottom w:val="single" w:sz="4" w:space="0" w:color="auto"/>
              <w:right w:val="single" w:sz="4" w:space="0" w:color="auto"/>
            </w:tcBorders>
            <w:vAlign w:val="bottom"/>
          </w:tcPr>
          <w:p w14:paraId="0D6C2913" w14:textId="238DE64A" w:rsidR="00313592" w:rsidRDefault="00313592" w:rsidP="00313592">
            <w:pPr>
              <w:spacing w:line="360" w:lineRule="auto"/>
              <w:rPr>
                <w:rFonts w:asciiTheme="majorHAnsi" w:eastAsia="TimesNewRomanPSMT" w:hAnsiTheme="majorHAnsi" w:cstheme="majorHAnsi"/>
                <w:b/>
                <w:bCs/>
              </w:rPr>
            </w:pPr>
            <w:r>
              <w:rPr>
                <w:color w:val="000000"/>
                <w:sz w:val="22"/>
                <w:szCs w:val="22"/>
              </w:rPr>
              <w:t>0.23</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p>
        </w:tc>
        <w:tc>
          <w:tcPr>
            <w:tcW w:w="1613" w:type="dxa"/>
            <w:tcBorders>
              <w:top w:val="single" w:sz="4" w:space="0" w:color="auto"/>
              <w:left w:val="single" w:sz="4" w:space="0" w:color="auto"/>
              <w:bottom w:val="single" w:sz="4" w:space="0" w:color="auto"/>
              <w:right w:val="single" w:sz="4" w:space="0" w:color="auto"/>
            </w:tcBorders>
            <w:vAlign w:val="bottom"/>
          </w:tcPr>
          <w:p w14:paraId="09706684" w14:textId="5B5DA342" w:rsidR="00313592" w:rsidRDefault="00313592" w:rsidP="00313592">
            <w:pPr>
              <w:spacing w:line="360" w:lineRule="auto"/>
              <w:rPr>
                <w:rFonts w:asciiTheme="majorHAnsi" w:eastAsia="TimesNewRomanPSMT" w:hAnsiTheme="majorHAnsi" w:cstheme="majorHAnsi"/>
                <w:b/>
                <w:bCs/>
              </w:rPr>
            </w:pPr>
            <w:r>
              <w:rPr>
                <w:color w:val="000000"/>
                <w:sz w:val="22"/>
                <w:szCs w:val="22"/>
              </w:rPr>
              <w:t>0.32</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w:t>
            </w:r>
          </w:p>
        </w:tc>
        <w:tc>
          <w:tcPr>
            <w:tcW w:w="1505" w:type="dxa"/>
            <w:tcBorders>
              <w:top w:val="single" w:sz="4" w:space="0" w:color="auto"/>
              <w:left w:val="single" w:sz="4" w:space="0" w:color="auto"/>
              <w:bottom w:val="single" w:sz="4" w:space="0" w:color="auto"/>
              <w:right w:val="single" w:sz="4" w:space="0" w:color="auto"/>
            </w:tcBorders>
            <w:vAlign w:val="bottom"/>
          </w:tcPr>
          <w:p w14:paraId="38199AAA" w14:textId="4386B976"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a</w:t>
            </w:r>
          </w:p>
        </w:tc>
        <w:tc>
          <w:tcPr>
            <w:tcW w:w="1508" w:type="dxa"/>
            <w:tcBorders>
              <w:top w:val="single" w:sz="4" w:space="0" w:color="auto"/>
              <w:left w:val="single" w:sz="4" w:space="0" w:color="auto"/>
              <w:bottom w:val="single" w:sz="4" w:space="0" w:color="auto"/>
              <w:right w:val="single" w:sz="4" w:space="0" w:color="auto"/>
            </w:tcBorders>
            <w:vAlign w:val="bottom"/>
          </w:tcPr>
          <w:p w14:paraId="494F34E3" w14:textId="31EB8A6E" w:rsidR="00313592" w:rsidRDefault="00313592" w:rsidP="00313592">
            <w:pPr>
              <w:spacing w:line="360" w:lineRule="auto"/>
              <w:rPr>
                <w:rFonts w:asciiTheme="majorHAnsi" w:eastAsia="TimesNewRomanPSMT" w:hAnsiTheme="majorHAnsi" w:cstheme="majorHAnsi"/>
                <w:b/>
                <w:bCs/>
              </w:rPr>
            </w:pPr>
            <w:r>
              <w:rPr>
                <w:color w:val="000000"/>
                <w:sz w:val="22"/>
                <w:szCs w:val="22"/>
              </w:rPr>
              <w:t>34.6</w:t>
            </w:r>
            <w:r>
              <w:rPr>
                <w:rFonts w:cstheme="minorHAnsi"/>
                <w:color w:val="000000"/>
                <w:sz w:val="22"/>
                <w:szCs w:val="22"/>
              </w:rPr>
              <w:t>± 1.47</w:t>
            </w:r>
            <w:r w:rsidR="008B4932" w:rsidRPr="00A80CF0">
              <w:rPr>
                <w:rFonts w:cstheme="minorHAnsi"/>
                <w:color w:val="000000"/>
                <w:sz w:val="22"/>
                <w:szCs w:val="22"/>
                <w:vertAlign w:val="superscript"/>
              </w:rPr>
              <w:t>a</w:t>
            </w:r>
          </w:p>
        </w:tc>
      </w:tr>
      <w:tr w:rsidR="00313592" w14:paraId="6AF6646F" w14:textId="77777777" w:rsidTr="008B4932">
        <w:tc>
          <w:tcPr>
            <w:tcW w:w="1502" w:type="dxa"/>
          </w:tcPr>
          <w:p w14:paraId="4644E963" w14:textId="34368082" w:rsidR="00313592" w:rsidRDefault="00313592" w:rsidP="00533FB3">
            <w:pPr>
              <w:spacing w:line="360" w:lineRule="auto"/>
              <w:jc w:val="center"/>
              <w:rPr>
                <w:rFonts w:asciiTheme="majorHAnsi" w:eastAsia="TimesNewRomanPSMT" w:hAnsiTheme="majorHAnsi" w:cstheme="majorHAnsi"/>
                <w:b/>
                <w:bCs/>
              </w:rPr>
            </w:pPr>
            <w:r w:rsidRPr="008D5C76">
              <w:t>T4</w:t>
            </w:r>
          </w:p>
        </w:tc>
        <w:tc>
          <w:tcPr>
            <w:tcW w:w="1499" w:type="dxa"/>
            <w:tcBorders>
              <w:top w:val="single" w:sz="4" w:space="0" w:color="auto"/>
              <w:left w:val="nil"/>
              <w:bottom w:val="single" w:sz="4" w:space="0" w:color="auto"/>
              <w:right w:val="single" w:sz="4" w:space="0" w:color="auto"/>
            </w:tcBorders>
            <w:vAlign w:val="center"/>
          </w:tcPr>
          <w:p w14:paraId="5CBA4285" w14:textId="233B6E8D" w:rsidR="00313592" w:rsidRDefault="00313592" w:rsidP="00313592">
            <w:pPr>
              <w:spacing w:line="360" w:lineRule="auto"/>
              <w:rPr>
                <w:rFonts w:asciiTheme="majorHAnsi" w:eastAsia="TimesNewRomanPSMT" w:hAnsiTheme="majorHAnsi" w:cstheme="majorHAnsi"/>
                <w:b/>
                <w:bCs/>
              </w:rPr>
            </w:pPr>
            <w:r>
              <w:rPr>
                <w:color w:val="000000"/>
                <w:sz w:val="22"/>
                <w:szCs w:val="22"/>
              </w:rPr>
              <w:t>0.26</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cd</w:t>
            </w:r>
          </w:p>
        </w:tc>
        <w:tc>
          <w:tcPr>
            <w:tcW w:w="1389" w:type="dxa"/>
            <w:tcBorders>
              <w:top w:val="single" w:sz="4" w:space="0" w:color="auto"/>
              <w:left w:val="single" w:sz="4" w:space="0" w:color="auto"/>
              <w:bottom w:val="single" w:sz="4" w:space="0" w:color="auto"/>
              <w:right w:val="single" w:sz="4" w:space="0" w:color="auto"/>
            </w:tcBorders>
            <w:vAlign w:val="bottom"/>
          </w:tcPr>
          <w:p w14:paraId="7096D410" w14:textId="464DE0EA" w:rsidR="00313592" w:rsidRDefault="00313592" w:rsidP="00313592">
            <w:pPr>
              <w:spacing w:line="360" w:lineRule="auto"/>
              <w:rPr>
                <w:rFonts w:asciiTheme="majorHAnsi" w:eastAsia="TimesNewRomanPSMT" w:hAnsiTheme="majorHAnsi" w:cstheme="majorHAnsi"/>
                <w:b/>
                <w:bCs/>
              </w:rPr>
            </w:pPr>
            <w:r>
              <w:rPr>
                <w:color w:val="000000"/>
                <w:sz w:val="22"/>
                <w:szCs w:val="22"/>
              </w:rPr>
              <w:t>0.16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cd</w:t>
            </w:r>
          </w:p>
        </w:tc>
        <w:tc>
          <w:tcPr>
            <w:tcW w:w="1613" w:type="dxa"/>
            <w:tcBorders>
              <w:top w:val="single" w:sz="4" w:space="0" w:color="auto"/>
              <w:left w:val="single" w:sz="4" w:space="0" w:color="auto"/>
              <w:bottom w:val="single" w:sz="4" w:space="0" w:color="auto"/>
              <w:right w:val="single" w:sz="4" w:space="0" w:color="auto"/>
            </w:tcBorders>
            <w:vAlign w:val="bottom"/>
          </w:tcPr>
          <w:p w14:paraId="65524B4B" w14:textId="51B4156B"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cd</w:t>
            </w:r>
          </w:p>
        </w:tc>
        <w:tc>
          <w:tcPr>
            <w:tcW w:w="1505" w:type="dxa"/>
            <w:tcBorders>
              <w:top w:val="single" w:sz="4" w:space="0" w:color="auto"/>
              <w:left w:val="single" w:sz="4" w:space="0" w:color="auto"/>
              <w:bottom w:val="single" w:sz="4" w:space="0" w:color="auto"/>
              <w:right w:val="single" w:sz="4" w:space="0" w:color="auto"/>
            </w:tcBorders>
            <w:vAlign w:val="bottom"/>
          </w:tcPr>
          <w:p w14:paraId="211F623A" w14:textId="2285C666" w:rsidR="00313592" w:rsidRDefault="00313592" w:rsidP="00313592">
            <w:pPr>
              <w:spacing w:line="360" w:lineRule="auto"/>
              <w:rPr>
                <w:rFonts w:asciiTheme="majorHAnsi" w:eastAsia="TimesNewRomanPSMT" w:hAnsiTheme="majorHAnsi" w:cstheme="majorHAnsi"/>
                <w:b/>
                <w:bCs/>
              </w:rPr>
            </w:pPr>
            <w:r>
              <w:rPr>
                <w:color w:val="000000"/>
                <w:sz w:val="22"/>
                <w:szCs w:val="22"/>
              </w:rPr>
              <w:t>0.11</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c</w:t>
            </w:r>
          </w:p>
        </w:tc>
        <w:tc>
          <w:tcPr>
            <w:tcW w:w="1508" w:type="dxa"/>
            <w:tcBorders>
              <w:top w:val="single" w:sz="4" w:space="0" w:color="auto"/>
              <w:left w:val="single" w:sz="4" w:space="0" w:color="auto"/>
              <w:bottom w:val="single" w:sz="4" w:space="0" w:color="auto"/>
              <w:right w:val="single" w:sz="4" w:space="0" w:color="auto"/>
            </w:tcBorders>
            <w:vAlign w:val="bottom"/>
          </w:tcPr>
          <w:p w14:paraId="4C0806B6" w14:textId="519D6C8C" w:rsidR="00313592" w:rsidRDefault="00313592" w:rsidP="00313592">
            <w:pPr>
              <w:spacing w:line="360" w:lineRule="auto"/>
              <w:rPr>
                <w:rFonts w:asciiTheme="majorHAnsi" w:eastAsia="TimesNewRomanPSMT" w:hAnsiTheme="majorHAnsi" w:cstheme="majorHAnsi"/>
                <w:b/>
                <w:bCs/>
              </w:rPr>
            </w:pPr>
            <w:r>
              <w:rPr>
                <w:color w:val="000000"/>
                <w:sz w:val="22"/>
                <w:szCs w:val="22"/>
              </w:rPr>
              <w:t>22.4</w:t>
            </w:r>
            <w:r>
              <w:rPr>
                <w:rFonts w:cstheme="minorHAnsi"/>
                <w:color w:val="000000"/>
                <w:sz w:val="22"/>
                <w:szCs w:val="22"/>
              </w:rPr>
              <w:t>± 0.90</w:t>
            </w:r>
            <w:r w:rsidR="008B4932" w:rsidRPr="00A80CF0">
              <w:rPr>
                <w:rFonts w:cstheme="minorHAnsi"/>
                <w:color w:val="000000"/>
                <w:sz w:val="22"/>
                <w:szCs w:val="22"/>
                <w:vertAlign w:val="superscript"/>
              </w:rPr>
              <w:t>c</w:t>
            </w:r>
          </w:p>
        </w:tc>
      </w:tr>
      <w:tr w:rsidR="00313592" w14:paraId="689074FE" w14:textId="77777777" w:rsidTr="008B4932">
        <w:tc>
          <w:tcPr>
            <w:tcW w:w="1502" w:type="dxa"/>
          </w:tcPr>
          <w:p w14:paraId="2A2896C7" w14:textId="29ECBE24" w:rsidR="00313592" w:rsidRDefault="00313592" w:rsidP="00533FB3">
            <w:pPr>
              <w:spacing w:line="360" w:lineRule="auto"/>
              <w:jc w:val="center"/>
              <w:rPr>
                <w:rFonts w:asciiTheme="majorHAnsi" w:eastAsia="TimesNewRomanPSMT" w:hAnsiTheme="majorHAnsi" w:cstheme="majorHAnsi"/>
                <w:b/>
                <w:bCs/>
              </w:rPr>
            </w:pPr>
            <w:r w:rsidRPr="008D5C76">
              <w:t>T5</w:t>
            </w:r>
          </w:p>
        </w:tc>
        <w:tc>
          <w:tcPr>
            <w:tcW w:w="1499" w:type="dxa"/>
            <w:tcBorders>
              <w:top w:val="single" w:sz="4" w:space="0" w:color="auto"/>
              <w:left w:val="nil"/>
              <w:bottom w:val="single" w:sz="4" w:space="0" w:color="auto"/>
              <w:right w:val="single" w:sz="4" w:space="0" w:color="auto"/>
            </w:tcBorders>
            <w:vAlign w:val="center"/>
          </w:tcPr>
          <w:p w14:paraId="722D167F" w14:textId="1A21CBAC" w:rsidR="00313592" w:rsidRDefault="00313592" w:rsidP="00313592">
            <w:pPr>
              <w:spacing w:line="360" w:lineRule="auto"/>
              <w:rPr>
                <w:rFonts w:asciiTheme="majorHAnsi" w:eastAsia="TimesNewRomanPSMT" w:hAnsiTheme="majorHAnsi" w:cstheme="majorHAnsi"/>
                <w:b/>
                <w:bCs/>
              </w:rPr>
            </w:pPr>
            <w:r>
              <w:rPr>
                <w:color w:val="000000"/>
                <w:sz w:val="22"/>
                <w:szCs w:val="22"/>
              </w:rPr>
              <w:t>0.3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bc</w:t>
            </w:r>
          </w:p>
        </w:tc>
        <w:tc>
          <w:tcPr>
            <w:tcW w:w="1389" w:type="dxa"/>
            <w:tcBorders>
              <w:top w:val="single" w:sz="4" w:space="0" w:color="auto"/>
              <w:left w:val="single" w:sz="4" w:space="0" w:color="auto"/>
              <w:bottom w:val="single" w:sz="4" w:space="0" w:color="auto"/>
              <w:right w:val="single" w:sz="4" w:space="0" w:color="auto"/>
            </w:tcBorders>
            <w:vAlign w:val="bottom"/>
          </w:tcPr>
          <w:p w14:paraId="46C50DE8" w14:textId="6B9C6411"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bc</w:t>
            </w:r>
          </w:p>
        </w:tc>
        <w:tc>
          <w:tcPr>
            <w:tcW w:w="1613" w:type="dxa"/>
            <w:tcBorders>
              <w:top w:val="single" w:sz="4" w:space="0" w:color="auto"/>
              <w:left w:val="single" w:sz="4" w:space="0" w:color="auto"/>
              <w:bottom w:val="single" w:sz="4" w:space="0" w:color="auto"/>
              <w:right w:val="single" w:sz="4" w:space="0" w:color="auto"/>
            </w:tcBorders>
            <w:vAlign w:val="bottom"/>
          </w:tcPr>
          <w:p w14:paraId="10B35C38" w14:textId="04DDDA5C" w:rsidR="00313592" w:rsidRDefault="00313592" w:rsidP="00313592">
            <w:pPr>
              <w:spacing w:line="360" w:lineRule="auto"/>
              <w:rPr>
                <w:rFonts w:asciiTheme="majorHAnsi" w:eastAsia="TimesNewRomanPSMT" w:hAnsiTheme="majorHAnsi" w:cstheme="majorHAnsi"/>
                <w:b/>
                <w:bCs/>
              </w:rPr>
            </w:pPr>
            <w:r>
              <w:rPr>
                <w:color w:val="000000"/>
                <w:sz w:val="22"/>
                <w:szCs w:val="22"/>
              </w:rPr>
              <w:t>0.24</w:t>
            </w:r>
            <w:r w:rsidRPr="00313592">
              <w:rPr>
                <w:color w:val="000000"/>
                <w:sz w:val="22"/>
                <w:szCs w:val="22"/>
              </w:rPr>
              <w:t>±</w:t>
            </w:r>
            <w:r w:rsidR="008B4932">
              <w:rPr>
                <w:color w:val="000000"/>
                <w:sz w:val="22"/>
                <w:szCs w:val="22"/>
              </w:rPr>
              <w:t xml:space="preserve"> 0.02</w:t>
            </w:r>
            <w:r w:rsidR="00A80CF0" w:rsidRPr="00A80CF0">
              <w:rPr>
                <w:color w:val="000000"/>
                <w:sz w:val="22"/>
                <w:szCs w:val="22"/>
                <w:vertAlign w:val="superscript"/>
              </w:rPr>
              <w:t>bc</w:t>
            </w:r>
          </w:p>
        </w:tc>
        <w:tc>
          <w:tcPr>
            <w:tcW w:w="1505" w:type="dxa"/>
            <w:tcBorders>
              <w:top w:val="single" w:sz="4" w:space="0" w:color="auto"/>
              <w:left w:val="single" w:sz="4" w:space="0" w:color="auto"/>
              <w:bottom w:val="single" w:sz="4" w:space="0" w:color="auto"/>
              <w:right w:val="single" w:sz="4" w:space="0" w:color="auto"/>
            </w:tcBorders>
            <w:vAlign w:val="bottom"/>
          </w:tcPr>
          <w:p w14:paraId="4BE58924" w14:textId="3CF44072" w:rsidR="00313592" w:rsidRDefault="00313592" w:rsidP="00313592">
            <w:pPr>
              <w:spacing w:line="360" w:lineRule="auto"/>
              <w:rPr>
                <w:rFonts w:asciiTheme="majorHAnsi" w:eastAsia="TimesNewRomanPSMT" w:hAnsiTheme="majorHAnsi" w:cstheme="majorHAnsi"/>
                <w:b/>
                <w:bCs/>
              </w:rPr>
            </w:pPr>
            <w:r>
              <w:rPr>
                <w:color w:val="000000"/>
                <w:sz w:val="22"/>
                <w:szCs w:val="22"/>
              </w:rPr>
              <w:t>0.15</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b</w:t>
            </w:r>
          </w:p>
        </w:tc>
        <w:tc>
          <w:tcPr>
            <w:tcW w:w="1508" w:type="dxa"/>
            <w:tcBorders>
              <w:top w:val="single" w:sz="4" w:space="0" w:color="auto"/>
              <w:left w:val="single" w:sz="4" w:space="0" w:color="auto"/>
              <w:bottom w:val="single" w:sz="4" w:space="0" w:color="auto"/>
              <w:right w:val="single" w:sz="4" w:space="0" w:color="auto"/>
            </w:tcBorders>
            <w:vAlign w:val="bottom"/>
          </w:tcPr>
          <w:p w14:paraId="3FCAF7C7" w14:textId="5B2911D1" w:rsidR="00313592" w:rsidRDefault="00313592" w:rsidP="00313592">
            <w:pPr>
              <w:spacing w:line="360" w:lineRule="auto"/>
              <w:rPr>
                <w:rFonts w:asciiTheme="majorHAnsi" w:eastAsia="TimesNewRomanPSMT" w:hAnsiTheme="majorHAnsi" w:cstheme="majorHAnsi"/>
                <w:b/>
                <w:bCs/>
              </w:rPr>
            </w:pPr>
            <w:r>
              <w:rPr>
                <w:color w:val="000000"/>
                <w:sz w:val="22"/>
                <w:szCs w:val="22"/>
              </w:rPr>
              <w:t>28.6</w:t>
            </w:r>
            <w:r>
              <w:rPr>
                <w:rFonts w:cstheme="minorHAnsi"/>
                <w:color w:val="000000"/>
                <w:sz w:val="22"/>
                <w:szCs w:val="22"/>
              </w:rPr>
              <w:t>± 1.06</w:t>
            </w:r>
            <w:r w:rsidR="008B4932" w:rsidRPr="00A80CF0">
              <w:rPr>
                <w:rFonts w:cstheme="minorHAnsi"/>
                <w:color w:val="000000"/>
                <w:sz w:val="22"/>
                <w:szCs w:val="22"/>
                <w:vertAlign w:val="superscript"/>
              </w:rPr>
              <w:t>b</w:t>
            </w:r>
          </w:p>
        </w:tc>
      </w:tr>
      <w:tr w:rsidR="00313592" w14:paraId="599FA451" w14:textId="77777777" w:rsidTr="008B4932">
        <w:tc>
          <w:tcPr>
            <w:tcW w:w="1502" w:type="dxa"/>
          </w:tcPr>
          <w:p w14:paraId="3EDE4D16" w14:textId="7A47266B" w:rsidR="00313592" w:rsidRDefault="00313592" w:rsidP="00533FB3">
            <w:pPr>
              <w:spacing w:line="360" w:lineRule="auto"/>
              <w:jc w:val="center"/>
              <w:rPr>
                <w:rFonts w:asciiTheme="majorHAnsi" w:eastAsia="TimesNewRomanPSMT" w:hAnsiTheme="majorHAnsi" w:cstheme="majorHAnsi"/>
                <w:b/>
                <w:bCs/>
              </w:rPr>
            </w:pPr>
            <w:r w:rsidRPr="008D5C76">
              <w:t>T6</w:t>
            </w:r>
          </w:p>
        </w:tc>
        <w:tc>
          <w:tcPr>
            <w:tcW w:w="1499" w:type="dxa"/>
            <w:tcBorders>
              <w:top w:val="single" w:sz="4" w:space="0" w:color="auto"/>
              <w:left w:val="nil"/>
              <w:bottom w:val="single" w:sz="4" w:space="0" w:color="auto"/>
              <w:right w:val="single" w:sz="4" w:space="0" w:color="auto"/>
            </w:tcBorders>
            <w:vAlign w:val="center"/>
          </w:tcPr>
          <w:p w14:paraId="7140123E" w14:textId="1D9F837A" w:rsidR="00313592" w:rsidRDefault="00313592" w:rsidP="00313592">
            <w:pPr>
              <w:spacing w:line="360" w:lineRule="auto"/>
              <w:rPr>
                <w:rFonts w:asciiTheme="majorHAnsi" w:eastAsia="TimesNewRomanPSMT" w:hAnsiTheme="majorHAnsi" w:cstheme="majorHAnsi"/>
                <w:b/>
                <w:bCs/>
              </w:rPr>
            </w:pPr>
            <w:r>
              <w:rPr>
                <w:color w:val="000000"/>
                <w:sz w:val="22"/>
                <w:szCs w:val="22"/>
              </w:rPr>
              <w:t>0.33</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ab</w:t>
            </w:r>
          </w:p>
        </w:tc>
        <w:tc>
          <w:tcPr>
            <w:tcW w:w="1389" w:type="dxa"/>
            <w:tcBorders>
              <w:top w:val="single" w:sz="4" w:space="0" w:color="auto"/>
              <w:left w:val="single" w:sz="4" w:space="0" w:color="auto"/>
              <w:bottom w:val="single" w:sz="4" w:space="0" w:color="auto"/>
              <w:right w:val="single" w:sz="4" w:space="0" w:color="auto"/>
            </w:tcBorders>
            <w:vAlign w:val="bottom"/>
          </w:tcPr>
          <w:p w14:paraId="4208B8C7" w14:textId="4E3EB9F3" w:rsidR="00313592" w:rsidRDefault="00313592" w:rsidP="00313592">
            <w:pPr>
              <w:spacing w:line="360" w:lineRule="auto"/>
              <w:rPr>
                <w:rFonts w:asciiTheme="majorHAnsi" w:eastAsia="TimesNewRomanPSMT" w:hAnsiTheme="majorHAnsi" w:cstheme="majorHAnsi"/>
                <w:b/>
                <w:bCs/>
              </w:rPr>
            </w:pPr>
            <w:r>
              <w:rPr>
                <w:color w:val="000000"/>
                <w:sz w:val="22"/>
                <w:szCs w:val="22"/>
              </w:rPr>
              <w:t>0.21</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ab</w:t>
            </w:r>
          </w:p>
        </w:tc>
        <w:tc>
          <w:tcPr>
            <w:tcW w:w="1613" w:type="dxa"/>
            <w:tcBorders>
              <w:top w:val="single" w:sz="4" w:space="0" w:color="auto"/>
              <w:left w:val="single" w:sz="4" w:space="0" w:color="auto"/>
              <w:bottom w:val="single" w:sz="4" w:space="0" w:color="auto"/>
              <w:right w:val="single" w:sz="4" w:space="0" w:color="auto"/>
            </w:tcBorders>
            <w:vAlign w:val="bottom"/>
          </w:tcPr>
          <w:p w14:paraId="63A585A1" w14:textId="246F7E32" w:rsidR="00313592" w:rsidRDefault="00313592" w:rsidP="00313592">
            <w:pPr>
              <w:spacing w:line="360" w:lineRule="auto"/>
              <w:rPr>
                <w:rFonts w:asciiTheme="majorHAnsi" w:eastAsia="TimesNewRomanPSMT" w:hAnsiTheme="majorHAnsi" w:cstheme="majorHAnsi"/>
                <w:b/>
                <w:bCs/>
              </w:rPr>
            </w:pPr>
            <w:r>
              <w:rPr>
                <w:color w:val="000000"/>
                <w:sz w:val="22"/>
                <w:szCs w:val="22"/>
              </w:rPr>
              <w:t>0.27</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ab</w:t>
            </w:r>
          </w:p>
        </w:tc>
        <w:tc>
          <w:tcPr>
            <w:tcW w:w="1505" w:type="dxa"/>
            <w:tcBorders>
              <w:top w:val="single" w:sz="4" w:space="0" w:color="auto"/>
              <w:left w:val="single" w:sz="4" w:space="0" w:color="auto"/>
              <w:bottom w:val="single" w:sz="4" w:space="0" w:color="auto"/>
              <w:right w:val="single" w:sz="4" w:space="0" w:color="auto"/>
            </w:tcBorders>
            <w:vAlign w:val="bottom"/>
          </w:tcPr>
          <w:p w14:paraId="60045B6F" w14:textId="55C2AFA8" w:rsidR="00313592" w:rsidRDefault="00313592" w:rsidP="00313592">
            <w:pPr>
              <w:spacing w:line="360" w:lineRule="auto"/>
              <w:rPr>
                <w:rFonts w:asciiTheme="majorHAnsi" w:eastAsia="TimesNewRomanPSMT" w:hAnsiTheme="majorHAnsi" w:cstheme="majorHAnsi"/>
                <w:b/>
                <w:bCs/>
              </w:rPr>
            </w:pPr>
            <w:r>
              <w:rPr>
                <w:color w:val="000000"/>
                <w:sz w:val="22"/>
                <w:szCs w:val="22"/>
              </w:rPr>
              <w:t>0.16</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r w:rsidR="00A80CF0" w:rsidRPr="00A80CF0">
              <w:rPr>
                <w:rFonts w:cstheme="minorHAnsi"/>
                <w:color w:val="000000"/>
                <w:sz w:val="22"/>
                <w:szCs w:val="22"/>
                <w:vertAlign w:val="superscript"/>
              </w:rPr>
              <w:t>b</w:t>
            </w:r>
          </w:p>
        </w:tc>
        <w:tc>
          <w:tcPr>
            <w:tcW w:w="1508" w:type="dxa"/>
            <w:tcBorders>
              <w:top w:val="single" w:sz="4" w:space="0" w:color="auto"/>
              <w:left w:val="single" w:sz="4" w:space="0" w:color="auto"/>
              <w:bottom w:val="single" w:sz="4" w:space="0" w:color="auto"/>
              <w:right w:val="single" w:sz="4" w:space="0" w:color="auto"/>
            </w:tcBorders>
            <w:vAlign w:val="bottom"/>
          </w:tcPr>
          <w:p w14:paraId="2234AB62" w14:textId="342A7075" w:rsidR="00313592" w:rsidRDefault="00313592" w:rsidP="00313592">
            <w:pPr>
              <w:spacing w:line="360" w:lineRule="auto"/>
              <w:rPr>
                <w:rFonts w:asciiTheme="majorHAnsi" w:eastAsia="TimesNewRomanPSMT" w:hAnsiTheme="majorHAnsi" w:cstheme="majorHAnsi"/>
                <w:b/>
                <w:bCs/>
              </w:rPr>
            </w:pPr>
            <w:r>
              <w:rPr>
                <w:color w:val="000000"/>
                <w:sz w:val="22"/>
                <w:szCs w:val="22"/>
              </w:rPr>
              <w:t>30.7</w:t>
            </w:r>
            <w:r>
              <w:rPr>
                <w:rFonts w:cstheme="minorHAnsi"/>
                <w:color w:val="000000"/>
                <w:sz w:val="22"/>
                <w:szCs w:val="22"/>
              </w:rPr>
              <w:t>± 1.08</w:t>
            </w:r>
            <w:r w:rsidR="008B4932" w:rsidRPr="00A80CF0">
              <w:rPr>
                <w:rFonts w:cstheme="minorHAnsi"/>
                <w:color w:val="000000"/>
                <w:sz w:val="22"/>
                <w:szCs w:val="22"/>
                <w:vertAlign w:val="superscript"/>
              </w:rPr>
              <w:t>b</w:t>
            </w:r>
          </w:p>
        </w:tc>
      </w:tr>
      <w:tr w:rsidR="00313592" w14:paraId="47680D54" w14:textId="77777777" w:rsidTr="008B4932">
        <w:tc>
          <w:tcPr>
            <w:tcW w:w="1502" w:type="dxa"/>
          </w:tcPr>
          <w:p w14:paraId="342E9B78" w14:textId="1699D1AE" w:rsidR="00313592" w:rsidRDefault="00313592" w:rsidP="00533FB3">
            <w:pPr>
              <w:spacing w:line="360" w:lineRule="auto"/>
              <w:jc w:val="center"/>
              <w:rPr>
                <w:rFonts w:asciiTheme="majorHAnsi" w:eastAsia="TimesNewRomanPSMT" w:hAnsiTheme="majorHAnsi" w:cstheme="majorHAnsi"/>
                <w:b/>
                <w:bCs/>
              </w:rPr>
            </w:pPr>
            <w:r w:rsidRPr="008D5C76">
              <w:t>T7</w:t>
            </w:r>
          </w:p>
        </w:tc>
        <w:tc>
          <w:tcPr>
            <w:tcW w:w="1499" w:type="dxa"/>
            <w:tcBorders>
              <w:top w:val="single" w:sz="4" w:space="0" w:color="auto"/>
              <w:left w:val="nil"/>
              <w:bottom w:val="single" w:sz="4" w:space="0" w:color="auto"/>
              <w:right w:val="single" w:sz="4" w:space="0" w:color="auto"/>
            </w:tcBorders>
            <w:vAlign w:val="center"/>
          </w:tcPr>
          <w:p w14:paraId="7B0F1286" w14:textId="0B83A3F5" w:rsidR="00313592" w:rsidRDefault="00313592" w:rsidP="00313592">
            <w:pPr>
              <w:spacing w:line="360" w:lineRule="auto"/>
              <w:rPr>
                <w:rFonts w:asciiTheme="majorHAnsi" w:eastAsia="TimesNewRomanPSMT" w:hAnsiTheme="majorHAnsi" w:cstheme="majorHAnsi"/>
                <w:b/>
                <w:bCs/>
              </w:rPr>
            </w:pPr>
            <w:r>
              <w:rPr>
                <w:color w:val="000000"/>
                <w:sz w:val="22"/>
                <w:szCs w:val="22"/>
              </w:rPr>
              <w:t>0.38</w:t>
            </w:r>
            <w:r>
              <w:rPr>
                <w:rFonts w:cstheme="minorHAnsi"/>
                <w:color w:val="000000"/>
                <w:sz w:val="22"/>
                <w:szCs w:val="22"/>
              </w:rPr>
              <w:t>±</w:t>
            </w:r>
            <w:r w:rsidR="008B4932">
              <w:rPr>
                <w:rFonts w:cstheme="minorHAnsi"/>
                <w:color w:val="000000"/>
                <w:sz w:val="22"/>
                <w:szCs w:val="22"/>
              </w:rPr>
              <w:t xml:space="preserve"> 0.02</w:t>
            </w:r>
            <w:r w:rsidR="008B4932" w:rsidRPr="00A80CF0">
              <w:rPr>
                <w:rFonts w:cstheme="minorHAnsi"/>
                <w:color w:val="000000"/>
                <w:sz w:val="22"/>
                <w:szCs w:val="22"/>
                <w:vertAlign w:val="superscript"/>
              </w:rPr>
              <w:t>a</w:t>
            </w:r>
          </w:p>
        </w:tc>
        <w:tc>
          <w:tcPr>
            <w:tcW w:w="1389" w:type="dxa"/>
            <w:tcBorders>
              <w:top w:val="single" w:sz="4" w:space="0" w:color="auto"/>
              <w:left w:val="single" w:sz="4" w:space="0" w:color="auto"/>
              <w:bottom w:val="single" w:sz="4" w:space="0" w:color="auto"/>
              <w:right w:val="single" w:sz="4" w:space="0" w:color="auto"/>
            </w:tcBorders>
            <w:vAlign w:val="bottom"/>
          </w:tcPr>
          <w:p w14:paraId="0C4686E9" w14:textId="57708507" w:rsidR="00313592" w:rsidRDefault="00313592" w:rsidP="00313592">
            <w:pPr>
              <w:spacing w:line="360" w:lineRule="auto"/>
              <w:rPr>
                <w:rFonts w:asciiTheme="majorHAnsi" w:eastAsia="TimesNewRomanPSMT" w:hAnsiTheme="majorHAnsi" w:cstheme="majorHAnsi"/>
                <w:b/>
                <w:bCs/>
              </w:rPr>
            </w:pPr>
            <w:r>
              <w:rPr>
                <w:color w:val="000000"/>
                <w:sz w:val="22"/>
                <w:szCs w:val="22"/>
              </w:rPr>
              <w:t>0.24</w:t>
            </w:r>
            <w:r>
              <w:rPr>
                <w:rFonts w:cstheme="minorHAnsi"/>
                <w:color w:val="000000"/>
                <w:sz w:val="22"/>
                <w:szCs w:val="22"/>
              </w:rPr>
              <w:t>±</w:t>
            </w:r>
            <w:r w:rsidR="008B4932">
              <w:rPr>
                <w:rFonts w:cstheme="minorHAnsi"/>
                <w:color w:val="000000"/>
                <w:sz w:val="22"/>
                <w:szCs w:val="22"/>
              </w:rPr>
              <w:t xml:space="preserve"> 0.01</w:t>
            </w:r>
            <w:r w:rsidR="008B4932" w:rsidRPr="00A80CF0">
              <w:rPr>
                <w:rFonts w:cstheme="minorHAnsi"/>
                <w:color w:val="000000"/>
                <w:sz w:val="22"/>
                <w:szCs w:val="22"/>
                <w:vertAlign w:val="superscript"/>
              </w:rPr>
              <w:t>a</w:t>
            </w:r>
          </w:p>
        </w:tc>
        <w:tc>
          <w:tcPr>
            <w:tcW w:w="1613" w:type="dxa"/>
            <w:tcBorders>
              <w:top w:val="single" w:sz="4" w:space="0" w:color="auto"/>
              <w:left w:val="single" w:sz="4" w:space="0" w:color="auto"/>
              <w:bottom w:val="single" w:sz="4" w:space="0" w:color="auto"/>
              <w:right w:val="single" w:sz="4" w:space="0" w:color="auto"/>
            </w:tcBorders>
            <w:vAlign w:val="bottom"/>
          </w:tcPr>
          <w:p w14:paraId="08B23F3C" w14:textId="6448FC95" w:rsidR="00313592" w:rsidRDefault="00313592" w:rsidP="00313592">
            <w:pPr>
              <w:spacing w:line="360" w:lineRule="auto"/>
              <w:rPr>
                <w:rFonts w:asciiTheme="majorHAnsi" w:eastAsia="TimesNewRomanPSMT" w:hAnsiTheme="majorHAnsi" w:cstheme="majorHAnsi"/>
                <w:b/>
                <w:bCs/>
              </w:rPr>
            </w:pPr>
            <w:r>
              <w:rPr>
                <w:color w:val="000000"/>
                <w:sz w:val="22"/>
                <w:szCs w:val="22"/>
              </w:rPr>
              <w:t>0.3</w:t>
            </w:r>
            <w:r>
              <w:rPr>
                <w:rFonts w:cstheme="minorHAnsi"/>
                <w:color w:val="000000"/>
                <w:sz w:val="22"/>
                <w:szCs w:val="22"/>
              </w:rPr>
              <w:t>±</w:t>
            </w:r>
            <w:r w:rsidR="008B4932">
              <w:rPr>
                <w:rFonts w:cstheme="minorHAnsi"/>
                <w:color w:val="000000"/>
                <w:sz w:val="22"/>
                <w:szCs w:val="22"/>
              </w:rPr>
              <w:t xml:space="preserve"> 0.02</w:t>
            </w:r>
            <w:r w:rsidR="00A80CF0" w:rsidRPr="00A80CF0">
              <w:rPr>
                <w:rFonts w:cstheme="minorHAnsi"/>
                <w:color w:val="000000"/>
                <w:sz w:val="22"/>
                <w:szCs w:val="22"/>
                <w:vertAlign w:val="superscript"/>
              </w:rPr>
              <w:t>a</w:t>
            </w:r>
          </w:p>
        </w:tc>
        <w:tc>
          <w:tcPr>
            <w:tcW w:w="1505" w:type="dxa"/>
            <w:tcBorders>
              <w:top w:val="single" w:sz="4" w:space="0" w:color="auto"/>
              <w:left w:val="single" w:sz="4" w:space="0" w:color="auto"/>
              <w:bottom w:val="single" w:sz="4" w:space="0" w:color="auto"/>
              <w:right w:val="single" w:sz="4" w:space="0" w:color="auto"/>
            </w:tcBorders>
            <w:vAlign w:val="bottom"/>
          </w:tcPr>
          <w:p w14:paraId="3930A92E" w14:textId="28D9A4BD" w:rsidR="00313592" w:rsidRDefault="00313592" w:rsidP="00313592">
            <w:pPr>
              <w:spacing w:line="360" w:lineRule="auto"/>
              <w:rPr>
                <w:rFonts w:asciiTheme="majorHAnsi" w:eastAsia="TimesNewRomanPSMT" w:hAnsiTheme="majorHAnsi" w:cstheme="majorHAnsi"/>
                <w:b/>
                <w:bCs/>
              </w:rPr>
            </w:pPr>
            <w:r>
              <w:rPr>
                <w:color w:val="000000"/>
                <w:sz w:val="22"/>
                <w:szCs w:val="22"/>
              </w:rPr>
              <w:t>0.19</w:t>
            </w:r>
            <w:r>
              <w:rPr>
                <w:rFonts w:cstheme="minorHAnsi"/>
                <w:color w:val="000000"/>
                <w:sz w:val="22"/>
                <w:szCs w:val="22"/>
              </w:rPr>
              <w:t>±</w:t>
            </w:r>
            <w:r w:rsidR="008B4932">
              <w:rPr>
                <w:rFonts w:cstheme="minorHAnsi"/>
                <w:color w:val="000000"/>
                <w:sz w:val="22"/>
                <w:szCs w:val="22"/>
              </w:rPr>
              <w:t xml:space="preserve"> 0.01</w:t>
            </w:r>
            <w:r w:rsidR="00A80CF0" w:rsidRPr="00A80CF0">
              <w:rPr>
                <w:rFonts w:cstheme="minorHAnsi"/>
                <w:color w:val="000000"/>
                <w:sz w:val="22"/>
                <w:szCs w:val="22"/>
                <w:vertAlign w:val="superscript"/>
              </w:rPr>
              <w:t>a</w:t>
            </w:r>
          </w:p>
        </w:tc>
        <w:tc>
          <w:tcPr>
            <w:tcW w:w="1508" w:type="dxa"/>
            <w:tcBorders>
              <w:top w:val="single" w:sz="4" w:space="0" w:color="auto"/>
              <w:left w:val="single" w:sz="4" w:space="0" w:color="auto"/>
              <w:bottom w:val="single" w:sz="4" w:space="0" w:color="auto"/>
              <w:right w:val="single" w:sz="4" w:space="0" w:color="auto"/>
            </w:tcBorders>
            <w:vAlign w:val="bottom"/>
          </w:tcPr>
          <w:p w14:paraId="1AD70F06" w14:textId="4E15B5C8" w:rsidR="00313592" w:rsidRDefault="00313592" w:rsidP="00313592">
            <w:pPr>
              <w:spacing w:line="360" w:lineRule="auto"/>
              <w:rPr>
                <w:rFonts w:asciiTheme="majorHAnsi" w:eastAsia="TimesNewRomanPSMT" w:hAnsiTheme="majorHAnsi" w:cstheme="majorHAnsi"/>
                <w:b/>
                <w:bCs/>
              </w:rPr>
            </w:pPr>
            <w:r>
              <w:rPr>
                <w:color w:val="000000"/>
                <w:sz w:val="22"/>
                <w:szCs w:val="22"/>
              </w:rPr>
              <w:t>37.3</w:t>
            </w:r>
            <w:r>
              <w:rPr>
                <w:rFonts w:cstheme="minorHAnsi"/>
                <w:color w:val="000000"/>
                <w:sz w:val="22"/>
                <w:szCs w:val="22"/>
              </w:rPr>
              <w:t>± 1.27</w:t>
            </w:r>
            <w:r w:rsidR="008B4932" w:rsidRPr="00A80CF0">
              <w:rPr>
                <w:rFonts w:cstheme="minorHAnsi"/>
                <w:color w:val="000000"/>
                <w:sz w:val="22"/>
                <w:szCs w:val="22"/>
                <w:vertAlign w:val="superscript"/>
              </w:rPr>
              <w:t>a</w:t>
            </w:r>
          </w:p>
        </w:tc>
      </w:tr>
      <w:tr w:rsidR="00313592" w14:paraId="43F1E74C" w14:textId="77777777" w:rsidTr="008B4932">
        <w:tc>
          <w:tcPr>
            <w:tcW w:w="1502" w:type="dxa"/>
          </w:tcPr>
          <w:p w14:paraId="24661CEF" w14:textId="32432CCC" w:rsidR="00313592" w:rsidRPr="008D5C76" w:rsidRDefault="00313592" w:rsidP="00533FB3">
            <w:pPr>
              <w:spacing w:line="360" w:lineRule="auto"/>
              <w:jc w:val="center"/>
            </w:pPr>
            <w:proofErr w:type="spellStart"/>
            <w:r>
              <w:t>SEm</w:t>
            </w:r>
            <w:proofErr w:type="spellEnd"/>
            <w:r>
              <w:rPr>
                <w:rFonts w:cstheme="minorHAnsi"/>
              </w:rPr>
              <w:t>±</w:t>
            </w:r>
          </w:p>
        </w:tc>
        <w:tc>
          <w:tcPr>
            <w:tcW w:w="1499" w:type="dxa"/>
            <w:tcBorders>
              <w:top w:val="single" w:sz="4" w:space="0" w:color="auto"/>
            </w:tcBorders>
          </w:tcPr>
          <w:p w14:paraId="7C70D217" w14:textId="38F768BE"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0.018</w:t>
            </w:r>
          </w:p>
        </w:tc>
        <w:tc>
          <w:tcPr>
            <w:tcW w:w="1389" w:type="dxa"/>
            <w:tcBorders>
              <w:top w:val="single" w:sz="4" w:space="0" w:color="auto"/>
            </w:tcBorders>
          </w:tcPr>
          <w:p w14:paraId="0F38B152" w14:textId="103167BA"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w:t>
            </w:r>
          </w:p>
        </w:tc>
        <w:tc>
          <w:tcPr>
            <w:tcW w:w="1613" w:type="dxa"/>
            <w:tcBorders>
              <w:top w:val="single" w:sz="4" w:space="0" w:color="auto"/>
            </w:tcBorders>
          </w:tcPr>
          <w:p w14:paraId="0CF75F19" w14:textId="5A79C2A2"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0.017</w:t>
            </w:r>
          </w:p>
        </w:tc>
        <w:tc>
          <w:tcPr>
            <w:tcW w:w="1505" w:type="dxa"/>
            <w:tcBorders>
              <w:top w:val="single" w:sz="4" w:space="0" w:color="auto"/>
            </w:tcBorders>
          </w:tcPr>
          <w:p w14:paraId="0908006D" w14:textId="58C55420"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0.012</w:t>
            </w:r>
          </w:p>
        </w:tc>
        <w:tc>
          <w:tcPr>
            <w:tcW w:w="1508" w:type="dxa"/>
            <w:tcBorders>
              <w:top w:val="single" w:sz="4" w:space="0" w:color="auto"/>
            </w:tcBorders>
          </w:tcPr>
          <w:p w14:paraId="13050DDF" w14:textId="4D36E6FD"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1.056</w:t>
            </w:r>
          </w:p>
        </w:tc>
      </w:tr>
      <w:tr w:rsidR="00313592" w14:paraId="37459F59" w14:textId="77777777" w:rsidTr="008B4932">
        <w:tc>
          <w:tcPr>
            <w:tcW w:w="1502" w:type="dxa"/>
          </w:tcPr>
          <w:p w14:paraId="58FB2961" w14:textId="04FEDC66" w:rsidR="00313592" w:rsidRDefault="00313592" w:rsidP="00533FB3">
            <w:pPr>
              <w:spacing w:line="360" w:lineRule="auto"/>
              <w:jc w:val="center"/>
            </w:pPr>
            <w:r>
              <w:t>CD (</w:t>
            </w:r>
            <w:r w:rsidRPr="00646389">
              <w:t>p≤ 0.05)</w:t>
            </w:r>
          </w:p>
        </w:tc>
        <w:tc>
          <w:tcPr>
            <w:tcW w:w="1499" w:type="dxa"/>
          </w:tcPr>
          <w:p w14:paraId="366F4D06" w14:textId="29B694EE"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0.056</w:t>
            </w:r>
          </w:p>
        </w:tc>
        <w:tc>
          <w:tcPr>
            <w:tcW w:w="1389" w:type="dxa"/>
          </w:tcPr>
          <w:p w14:paraId="66EAB066" w14:textId="5E33A585"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0.031</w:t>
            </w:r>
          </w:p>
        </w:tc>
        <w:tc>
          <w:tcPr>
            <w:tcW w:w="1613" w:type="dxa"/>
          </w:tcPr>
          <w:p w14:paraId="547E355C" w14:textId="2C35F8F0"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0.053</w:t>
            </w:r>
          </w:p>
        </w:tc>
        <w:tc>
          <w:tcPr>
            <w:tcW w:w="1505" w:type="dxa"/>
          </w:tcPr>
          <w:p w14:paraId="08D1F161" w14:textId="6B7D70BA"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0.035</w:t>
            </w:r>
          </w:p>
        </w:tc>
        <w:tc>
          <w:tcPr>
            <w:tcW w:w="1508" w:type="dxa"/>
          </w:tcPr>
          <w:p w14:paraId="7925B960" w14:textId="4EC31835" w:rsidR="00313592" w:rsidRPr="00A80CF0" w:rsidRDefault="00A80CF0" w:rsidP="00533FB3">
            <w:pPr>
              <w:spacing w:line="360" w:lineRule="auto"/>
              <w:jc w:val="center"/>
              <w:rPr>
                <w:rFonts w:asciiTheme="majorHAnsi" w:eastAsia="TimesNewRomanPSMT" w:hAnsiTheme="majorHAnsi" w:cstheme="majorHAnsi"/>
              </w:rPr>
            </w:pPr>
            <w:r w:rsidRPr="00A80CF0">
              <w:rPr>
                <w:rFonts w:asciiTheme="majorHAnsi" w:eastAsia="TimesNewRomanPSMT" w:hAnsiTheme="majorHAnsi" w:cstheme="majorHAnsi"/>
              </w:rPr>
              <w:t>3.233</w:t>
            </w:r>
          </w:p>
        </w:tc>
      </w:tr>
    </w:tbl>
    <w:p w14:paraId="58EBD10F" w14:textId="44E32ED0" w:rsidR="00FC2CD5" w:rsidRDefault="00FC2CD5" w:rsidP="00FC2CD5">
      <w:pPr>
        <w:jc w:val="both"/>
        <w:rPr>
          <w:rFonts w:ascii="Times New Roman" w:hAnsi="Times New Roman" w:cs="Times New Roman"/>
          <w:bCs/>
        </w:rPr>
      </w:pPr>
      <w:r w:rsidRPr="00854575">
        <w:rPr>
          <w:rFonts w:ascii="Times New Roman" w:hAnsi="Times New Roman" w:cs="Times New Roman"/>
          <w:bCs/>
        </w:rPr>
        <w:lastRenderedPageBreak/>
        <w:t>(Different letters for each parameter show significant difference at p ≤ 0.05 by Duncan’s Multiple Range Test</w:t>
      </w:r>
      <w:r>
        <w:rPr>
          <w:rFonts w:ascii="Times New Roman" w:hAnsi="Times New Roman" w:cs="Times New Roman"/>
          <w:bCs/>
        </w:rPr>
        <w:t xml:space="preserve">; </w:t>
      </w:r>
      <w:r w:rsidRPr="00854575">
        <w:rPr>
          <w:rFonts w:ascii="Times New Roman" w:hAnsi="Times New Roman" w:cs="Times New Roman"/>
          <w:bCs/>
        </w:rPr>
        <w:t xml:space="preserve">CD: critical difference; </w:t>
      </w:r>
      <w:proofErr w:type="spellStart"/>
      <w:r w:rsidRPr="00854575">
        <w:rPr>
          <w:rFonts w:ascii="Times New Roman" w:hAnsi="Times New Roman" w:cs="Times New Roman"/>
          <w:bCs/>
        </w:rPr>
        <w:t>SEm</w:t>
      </w:r>
      <w:proofErr w:type="spellEnd"/>
      <w:r w:rsidRPr="00854575">
        <w:rPr>
          <w:rFonts w:ascii="Times New Roman" w:hAnsi="Times New Roman" w:cs="Times New Roman"/>
          <w:bCs/>
        </w:rPr>
        <w:t>: standard error of mean</w:t>
      </w:r>
      <w:r>
        <w:rPr>
          <w:rFonts w:ascii="Times New Roman" w:hAnsi="Times New Roman" w:cs="Times New Roman"/>
          <w:bCs/>
        </w:rPr>
        <w:t>; PHS:</w:t>
      </w:r>
      <w:r w:rsidR="000E142F">
        <w:rPr>
          <w:rFonts w:ascii="Times New Roman" w:hAnsi="Times New Roman" w:cs="Times New Roman"/>
          <w:bCs/>
        </w:rPr>
        <w:t xml:space="preserve"> Post-harvest</w:t>
      </w:r>
      <w:r>
        <w:rPr>
          <w:rFonts w:ascii="Times New Roman" w:hAnsi="Times New Roman" w:cs="Times New Roman"/>
          <w:bCs/>
        </w:rPr>
        <w:t xml:space="preserve"> soil</w:t>
      </w:r>
      <w:r w:rsidRPr="00854575">
        <w:rPr>
          <w:rFonts w:ascii="Times New Roman" w:hAnsi="Times New Roman" w:cs="Times New Roman"/>
          <w:bCs/>
        </w:rPr>
        <w:t>)</w:t>
      </w:r>
    </w:p>
    <w:p w14:paraId="3F8679C8" w14:textId="1E5A6D04" w:rsidR="00FC2CD5" w:rsidRDefault="00FC2CD5" w:rsidP="00FC2CD5">
      <w:pPr>
        <w:jc w:val="both"/>
        <w:rPr>
          <w:rFonts w:ascii="Times New Roman" w:hAnsi="Times New Roman" w:cs="Times New Roman"/>
          <w:bCs/>
        </w:rPr>
      </w:pPr>
      <w:r>
        <w:rPr>
          <w:rFonts w:ascii="Times New Roman" w:hAnsi="Times New Roman" w:cs="Times New Roman"/>
          <w:bCs/>
        </w:rPr>
        <w:t xml:space="preserve">The phosphorus content of </w:t>
      </w:r>
      <w:r w:rsidR="000E142F">
        <w:rPr>
          <w:rFonts w:ascii="Times New Roman" w:hAnsi="Times New Roman" w:cs="Times New Roman"/>
          <w:bCs/>
        </w:rPr>
        <w:t xml:space="preserve">the above and below-ground biomass is presented in Table 3. The P content of the grain ranged between 0.19 to 0.38%. The treatment T7 was found to have the highest P content, recording a significant increment of almost double that of the absolute control, 65% more than the no P treatment (T2), while comparing the RDF (T3), a statistically equivalent result of 3% increment. It also recorded a 27% significant increase over T5 (receiving P in the form of PAPR).  The </w:t>
      </w:r>
      <w:proofErr w:type="spellStart"/>
      <w:r w:rsidR="000E142F">
        <w:rPr>
          <w:rFonts w:ascii="Times New Roman" w:hAnsi="Times New Roman" w:cs="Times New Roman"/>
          <w:bCs/>
        </w:rPr>
        <w:t>stover</w:t>
      </w:r>
      <w:proofErr w:type="spellEnd"/>
      <w:r w:rsidR="000E142F">
        <w:rPr>
          <w:rFonts w:ascii="Times New Roman" w:hAnsi="Times New Roman" w:cs="Times New Roman"/>
          <w:bCs/>
        </w:rPr>
        <w:t xml:space="preserve"> p content follows a similar trend as that of grain p content, where T7, T3 and T6 are found to be at par with each other, while a significant increment of </w:t>
      </w:r>
      <w:r w:rsidR="007063CD">
        <w:rPr>
          <w:rFonts w:ascii="Times New Roman" w:hAnsi="Times New Roman" w:cs="Times New Roman"/>
          <w:bCs/>
        </w:rPr>
        <w:t xml:space="preserve">26% was reported comparing with T5. The range of </w:t>
      </w:r>
      <w:proofErr w:type="spellStart"/>
      <w:r w:rsidR="007063CD">
        <w:rPr>
          <w:rFonts w:ascii="Times New Roman" w:hAnsi="Times New Roman" w:cs="Times New Roman"/>
          <w:bCs/>
        </w:rPr>
        <w:t>stover</w:t>
      </w:r>
      <w:proofErr w:type="spellEnd"/>
      <w:r w:rsidR="007063CD">
        <w:rPr>
          <w:rFonts w:ascii="Times New Roman" w:hAnsi="Times New Roman" w:cs="Times New Roman"/>
          <w:bCs/>
        </w:rPr>
        <w:t xml:space="preserve"> P was from 0.11 to 0.24 %. The P content of the biomass at the time of the flowering was found to be higher than compared of </w:t>
      </w:r>
      <w:proofErr w:type="spellStart"/>
      <w:r w:rsidR="007063CD">
        <w:rPr>
          <w:rFonts w:ascii="Times New Roman" w:hAnsi="Times New Roman" w:cs="Times New Roman"/>
          <w:bCs/>
        </w:rPr>
        <w:t>stover</w:t>
      </w:r>
      <w:proofErr w:type="spellEnd"/>
      <w:r w:rsidR="007063CD">
        <w:rPr>
          <w:rFonts w:ascii="Times New Roman" w:hAnsi="Times New Roman" w:cs="Times New Roman"/>
          <w:bCs/>
        </w:rPr>
        <w:t xml:space="preserve"> of 25%. The p content of the biomass varied from 0.12 to 0.32%. Here, T7, T6 and T3 are found to be at par, while T5 was statistically inferior to the T3 and T7. Here the T3 receiving DAP (RDF) have 7% more P content to T7, which emphasize that the release of nutrient P very early by DAP as compared to DAP and PAPR mixture. </w:t>
      </w:r>
      <w:r w:rsidR="008308B1">
        <w:rPr>
          <w:rFonts w:ascii="Times New Roman" w:hAnsi="Times New Roman" w:cs="Times New Roman"/>
          <w:bCs/>
        </w:rPr>
        <w:t>The p content of the root ranged from o.06 to 0.19%. The maximum content was recorded in both T7 and T3 which is 111% higher than no P treatment. The T5 (PAPR) recorded a significant decrease of 26% over the T7. The available p (kg ha</w:t>
      </w:r>
      <w:r w:rsidR="008308B1" w:rsidRPr="008308B1">
        <w:rPr>
          <w:rFonts w:ascii="Times New Roman" w:hAnsi="Times New Roman" w:cs="Times New Roman"/>
          <w:bCs/>
          <w:vertAlign w:val="superscript"/>
        </w:rPr>
        <w:t>-1</w:t>
      </w:r>
      <w:r w:rsidR="008308B1">
        <w:rPr>
          <w:rFonts w:ascii="Times New Roman" w:hAnsi="Times New Roman" w:cs="Times New Roman"/>
          <w:bCs/>
        </w:rPr>
        <w:t>) of the post-harvest soil (PHS) was also presented in Table 3. The range of available P in the PHS 8.5-37.3 kg ha</w:t>
      </w:r>
      <w:r w:rsidR="008308B1" w:rsidRPr="008308B1">
        <w:rPr>
          <w:rFonts w:ascii="Times New Roman" w:hAnsi="Times New Roman" w:cs="Times New Roman"/>
          <w:bCs/>
          <w:vertAlign w:val="superscript"/>
        </w:rPr>
        <w:t>-1</w:t>
      </w:r>
      <w:r w:rsidR="008308B1">
        <w:rPr>
          <w:rFonts w:ascii="Times New Roman" w:hAnsi="Times New Roman" w:cs="Times New Roman"/>
          <w:bCs/>
        </w:rPr>
        <w:t>. The maximum was recorded in T7 and it was at par with RDF with a 7% increment, while it was 30% significantly higher than T5 (PAPR).</w:t>
      </w:r>
    </w:p>
    <w:p w14:paraId="75F263EF" w14:textId="32C3A773" w:rsidR="0019400D" w:rsidRPr="008308B1" w:rsidRDefault="0019400D" w:rsidP="00FC2CD5">
      <w:pPr>
        <w:jc w:val="both"/>
        <w:rPr>
          <w:rFonts w:ascii="Times New Roman" w:hAnsi="Times New Roman" w:cs="Times New Roman"/>
          <w:bCs/>
        </w:rPr>
      </w:pPr>
      <w:r w:rsidRPr="0019400D">
        <w:rPr>
          <w:rFonts w:ascii="Times New Roman" w:hAnsi="Times New Roman" w:cs="Times New Roman"/>
          <w:bCs/>
        </w:rPr>
        <w:t>(Different letters for each parameter show significant difference at p ≤ 0.05 by Duncan’s Multiple Range Test)</w:t>
      </w:r>
    </w:p>
    <w:p w14:paraId="433FA41E" w14:textId="0E14FDC2" w:rsidR="008308B1" w:rsidRDefault="00100D18" w:rsidP="003913D3">
      <w:pPr>
        <w:spacing w:line="360" w:lineRule="auto"/>
        <w:jc w:val="both"/>
        <w:rPr>
          <w:rFonts w:asciiTheme="majorHAnsi" w:hAnsiTheme="majorHAnsi" w:cstheme="majorHAnsi"/>
          <w:b/>
          <w:bCs/>
        </w:rPr>
      </w:pPr>
      <w:r>
        <w:rPr>
          <w:noProof/>
          <w:lang w:eastAsia="en-IN"/>
        </w:rPr>
        <w:drawing>
          <wp:inline distT="0" distB="0" distL="0" distR="0" wp14:anchorId="0CE52BB6" wp14:editId="77A63F31">
            <wp:extent cx="5922645" cy="3291840"/>
            <wp:effectExtent l="0" t="0" r="1905" b="3810"/>
            <wp:docPr id="1992607406" name="Chart 1">
              <a:extLst xmlns:a="http://schemas.openxmlformats.org/drawingml/2006/main">
                <a:ext uri="{FF2B5EF4-FFF2-40B4-BE49-F238E27FC236}">
                  <a16:creationId xmlns:a16="http://schemas.microsoft.com/office/drawing/2014/main" id="{7B0D34F6-779F-B1B9-228E-4678F16FA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44BC39" w14:textId="531BDF69" w:rsidR="003913D3" w:rsidRDefault="003913D3" w:rsidP="003913D3">
      <w:pPr>
        <w:spacing w:line="360" w:lineRule="auto"/>
        <w:jc w:val="both"/>
        <w:rPr>
          <w:rFonts w:asciiTheme="majorHAnsi" w:hAnsiTheme="majorHAnsi" w:cstheme="majorHAnsi"/>
          <w:b/>
          <w:bCs/>
        </w:rPr>
      </w:pPr>
      <w:r>
        <w:rPr>
          <w:rFonts w:asciiTheme="majorHAnsi" w:hAnsiTheme="majorHAnsi" w:cstheme="majorHAnsi"/>
          <w:b/>
          <w:bCs/>
        </w:rPr>
        <w:lastRenderedPageBreak/>
        <w:t xml:space="preserve">Fig. </w:t>
      </w:r>
      <w:r w:rsidR="00CA5DE6">
        <w:rPr>
          <w:rFonts w:asciiTheme="majorHAnsi" w:hAnsiTheme="majorHAnsi" w:cstheme="majorHAnsi"/>
          <w:b/>
          <w:bCs/>
        </w:rPr>
        <w:t>2</w:t>
      </w:r>
      <w:r>
        <w:rPr>
          <w:rFonts w:asciiTheme="majorHAnsi" w:hAnsiTheme="majorHAnsi" w:cstheme="majorHAnsi"/>
          <w:b/>
          <w:bCs/>
        </w:rPr>
        <w:t xml:space="preserve"> Phosphorus uptake of above and below-ground biomass</w:t>
      </w:r>
      <w:r w:rsidR="00A52D07">
        <w:rPr>
          <w:rFonts w:asciiTheme="majorHAnsi" w:hAnsiTheme="majorHAnsi" w:cstheme="majorHAnsi"/>
          <w:b/>
          <w:bCs/>
        </w:rPr>
        <w:t xml:space="preserve"> at </w:t>
      </w:r>
      <w:commentRangeStart w:id="6"/>
      <w:r w:rsidR="00A52D07">
        <w:rPr>
          <w:rFonts w:asciiTheme="majorHAnsi" w:hAnsiTheme="majorHAnsi" w:cstheme="majorHAnsi"/>
          <w:b/>
          <w:bCs/>
        </w:rPr>
        <w:t>different time</w:t>
      </w:r>
      <w:commentRangeEnd w:id="6"/>
      <w:r w:rsidR="003D1FA4">
        <w:rPr>
          <w:rStyle w:val="CommentReference"/>
        </w:rPr>
        <w:commentReference w:id="6"/>
      </w:r>
      <w:r w:rsidR="00A52D07">
        <w:rPr>
          <w:rFonts w:asciiTheme="majorHAnsi" w:hAnsiTheme="majorHAnsi" w:cstheme="majorHAnsi"/>
          <w:b/>
          <w:bCs/>
        </w:rPr>
        <w:t xml:space="preserve"> of crop growth stage.</w:t>
      </w:r>
    </w:p>
    <w:p w14:paraId="2CDE65D9" w14:textId="3A439C5B" w:rsidR="001E6E12" w:rsidRPr="001E6E12" w:rsidRDefault="00A52D07" w:rsidP="003913D3">
      <w:pPr>
        <w:spacing w:line="360" w:lineRule="auto"/>
        <w:jc w:val="both"/>
        <w:rPr>
          <w:rFonts w:asciiTheme="majorHAnsi" w:hAnsiTheme="majorHAnsi" w:cstheme="majorHAnsi"/>
        </w:rPr>
      </w:pPr>
      <w:r w:rsidRPr="00A52D07">
        <w:rPr>
          <w:rFonts w:asciiTheme="majorHAnsi" w:hAnsiTheme="majorHAnsi" w:cstheme="majorHAnsi"/>
        </w:rPr>
        <w:t xml:space="preserve">The </w:t>
      </w:r>
      <w:r>
        <w:rPr>
          <w:rFonts w:asciiTheme="majorHAnsi" w:hAnsiTheme="majorHAnsi" w:cstheme="majorHAnsi"/>
        </w:rPr>
        <w:t xml:space="preserve">phosphorus uptake of above and below ground biomass recorded at time flowering and harvest were presented in Figure 2. The P uptake both in grain and </w:t>
      </w:r>
      <w:proofErr w:type="spellStart"/>
      <w:r>
        <w:rPr>
          <w:rFonts w:asciiTheme="majorHAnsi" w:hAnsiTheme="majorHAnsi" w:cstheme="majorHAnsi"/>
        </w:rPr>
        <w:t>stover</w:t>
      </w:r>
      <w:proofErr w:type="spellEnd"/>
      <w:r>
        <w:rPr>
          <w:rFonts w:asciiTheme="majorHAnsi" w:hAnsiTheme="majorHAnsi" w:cstheme="majorHAnsi"/>
        </w:rPr>
        <w:t xml:space="preserve"> were ranged from 9.93 to 68.78 and 10.78 to 56.4 mg pot</w:t>
      </w:r>
      <w:r w:rsidRPr="00A52D07">
        <w:rPr>
          <w:rFonts w:asciiTheme="majorHAnsi" w:hAnsiTheme="majorHAnsi" w:cstheme="majorHAnsi"/>
          <w:vertAlign w:val="superscript"/>
        </w:rPr>
        <w:t>-1</w:t>
      </w:r>
      <w:r>
        <w:rPr>
          <w:rFonts w:asciiTheme="majorHAnsi" w:hAnsiTheme="majorHAnsi" w:cstheme="majorHAnsi"/>
        </w:rPr>
        <w:t xml:space="preserve"> respectively. The maximum uptake both in grain and </w:t>
      </w:r>
      <w:proofErr w:type="spellStart"/>
      <w:r>
        <w:rPr>
          <w:rFonts w:asciiTheme="majorHAnsi" w:hAnsiTheme="majorHAnsi" w:cstheme="majorHAnsi"/>
        </w:rPr>
        <w:t>stover</w:t>
      </w:r>
      <w:proofErr w:type="spellEnd"/>
      <w:r>
        <w:rPr>
          <w:rFonts w:asciiTheme="majorHAnsi" w:hAnsiTheme="majorHAnsi" w:cstheme="majorHAnsi"/>
        </w:rPr>
        <w:t xml:space="preserve"> were recorded in in T7 which was 174 and 164% significant higher as compared to no P treatment (T2), while the uptake in T7 was found at par with T3 (RDF) in case of grain and </w:t>
      </w:r>
      <w:r w:rsidR="00937F89">
        <w:rPr>
          <w:rFonts w:asciiTheme="majorHAnsi" w:hAnsiTheme="majorHAnsi" w:cstheme="majorHAnsi"/>
        </w:rPr>
        <w:t xml:space="preserve">a significant increment of 7% over RDF in case of </w:t>
      </w:r>
      <w:proofErr w:type="spellStart"/>
      <w:r w:rsidR="00937F89">
        <w:rPr>
          <w:rFonts w:asciiTheme="majorHAnsi" w:hAnsiTheme="majorHAnsi" w:cstheme="majorHAnsi"/>
        </w:rPr>
        <w:t>stover</w:t>
      </w:r>
      <w:proofErr w:type="spellEnd"/>
      <w:r w:rsidR="00937F89">
        <w:rPr>
          <w:rFonts w:asciiTheme="majorHAnsi" w:hAnsiTheme="majorHAnsi" w:cstheme="majorHAnsi"/>
        </w:rPr>
        <w:t xml:space="preserve">. The P uptake in T7 while comparing to T5 (PAPR) show a significant increment of 42% and 36% in case of grain and </w:t>
      </w:r>
      <w:proofErr w:type="spellStart"/>
      <w:r w:rsidR="00937F89">
        <w:rPr>
          <w:rFonts w:asciiTheme="majorHAnsi" w:hAnsiTheme="majorHAnsi" w:cstheme="majorHAnsi"/>
        </w:rPr>
        <w:t>stover</w:t>
      </w:r>
      <w:proofErr w:type="spellEnd"/>
      <w:r w:rsidR="00937F89">
        <w:rPr>
          <w:rFonts w:asciiTheme="majorHAnsi" w:hAnsiTheme="majorHAnsi" w:cstheme="majorHAnsi"/>
        </w:rPr>
        <w:t xml:space="preserve"> respectively.  The P uptake of biomass at the flowering stage was found more than the P uptake at harvest. This may </w:t>
      </w:r>
      <w:r w:rsidR="00394EFC">
        <w:rPr>
          <w:rFonts w:asciiTheme="majorHAnsi" w:hAnsiTheme="majorHAnsi" w:cstheme="majorHAnsi"/>
        </w:rPr>
        <w:t>attribute</w:t>
      </w:r>
      <w:r w:rsidR="00937F89">
        <w:rPr>
          <w:rFonts w:asciiTheme="majorHAnsi" w:hAnsiTheme="majorHAnsi" w:cstheme="majorHAnsi"/>
        </w:rPr>
        <w:t xml:space="preserve"> to transfer of p from source to sink for dry matter accumulation</w:t>
      </w:r>
      <w:r w:rsidR="001E6E12">
        <w:rPr>
          <w:rFonts w:asciiTheme="majorHAnsi" w:hAnsiTheme="majorHAnsi" w:cstheme="majorHAnsi"/>
        </w:rPr>
        <w:t>. The P uptake in biomass ranged from 12.12 to 79.36 mg pot</w:t>
      </w:r>
      <w:r w:rsidR="001E6E12" w:rsidRPr="001E6E12">
        <w:rPr>
          <w:rFonts w:asciiTheme="majorHAnsi" w:hAnsiTheme="majorHAnsi" w:cstheme="majorHAnsi"/>
          <w:vertAlign w:val="superscript"/>
        </w:rPr>
        <w:t>-1</w:t>
      </w:r>
      <w:r w:rsidR="001E6E12">
        <w:rPr>
          <w:rFonts w:asciiTheme="majorHAnsi" w:hAnsiTheme="majorHAnsi" w:cstheme="majorHAnsi"/>
        </w:rPr>
        <w:t>. The maximum was recorded in T3. The T7 recorded a statistical equivalent decline of 5% in P uptake, while T5 recorded 43% significant decline from T3. At the time of anthesis DAP has the greater uptake as compared to DAP and PAPR mixture. The P uptake in root varied from o.78 to 9.12 mg pot</w:t>
      </w:r>
      <w:r w:rsidR="001E6E12" w:rsidRPr="001E6E12">
        <w:rPr>
          <w:rFonts w:asciiTheme="majorHAnsi" w:hAnsiTheme="majorHAnsi" w:cstheme="majorHAnsi"/>
          <w:vertAlign w:val="superscript"/>
        </w:rPr>
        <w:t>-1</w:t>
      </w:r>
      <w:r w:rsidR="001E6E12">
        <w:rPr>
          <w:rFonts w:asciiTheme="majorHAnsi" w:hAnsiTheme="majorHAnsi" w:cstheme="majorHAnsi"/>
        </w:rPr>
        <w:t>. The maximum being reported in T7 i.e., 7% statistical equivalent increment over T3 (RDF) and 48% significant increment over T5 (PAPR).</w:t>
      </w:r>
    </w:p>
    <w:p w14:paraId="29CB68A1" w14:textId="4ED23509" w:rsidR="003913D3" w:rsidRDefault="00100D18" w:rsidP="003913D3">
      <w:pPr>
        <w:spacing w:line="360" w:lineRule="auto"/>
        <w:jc w:val="both"/>
        <w:rPr>
          <w:rFonts w:asciiTheme="majorHAnsi" w:hAnsiTheme="majorHAnsi" w:cstheme="majorHAnsi"/>
          <w:b/>
          <w:bCs/>
        </w:rPr>
      </w:pPr>
      <w:r>
        <w:rPr>
          <w:noProof/>
          <w:lang w:eastAsia="en-IN"/>
        </w:rPr>
        <w:drawing>
          <wp:inline distT="0" distB="0" distL="0" distR="0" wp14:anchorId="43F48F99" wp14:editId="3810DFA2">
            <wp:extent cx="5479415" cy="2722418"/>
            <wp:effectExtent l="0" t="0" r="6985" b="1905"/>
            <wp:docPr id="898458210" name="Chart 1">
              <a:extLst xmlns:a="http://schemas.openxmlformats.org/drawingml/2006/main">
                <a:ext uri="{FF2B5EF4-FFF2-40B4-BE49-F238E27FC236}">
                  <a16:creationId xmlns:a16="http://schemas.microsoft.com/office/drawing/2014/main" id="{8DA90C8B-FB8B-D501-9475-778129D1A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49D334" w14:textId="4CE1D4E7" w:rsidR="003913D3" w:rsidRDefault="003913D3" w:rsidP="003913D3">
      <w:pPr>
        <w:spacing w:line="360" w:lineRule="auto"/>
        <w:jc w:val="both"/>
        <w:rPr>
          <w:rFonts w:asciiTheme="majorHAnsi" w:hAnsiTheme="majorHAnsi" w:cstheme="majorHAnsi"/>
          <w:b/>
          <w:bCs/>
        </w:rPr>
      </w:pPr>
    </w:p>
    <w:p w14:paraId="08268ADD" w14:textId="5DD7A3BD" w:rsidR="003747B3" w:rsidRDefault="003913D3" w:rsidP="003913D3">
      <w:pPr>
        <w:spacing w:line="360" w:lineRule="auto"/>
        <w:jc w:val="both"/>
        <w:rPr>
          <w:rFonts w:asciiTheme="majorHAnsi" w:hAnsiTheme="majorHAnsi" w:cstheme="majorHAnsi"/>
          <w:b/>
          <w:bCs/>
        </w:rPr>
      </w:pPr>
      <w:r>
        <w:rPr>
          <w:rFonts w:asciiTheme="majorHAnsi" w:hAnsiTheme="majorHAnsi" w:cstheme="majorHAnsi"/>
          <w:b/>
          <w:bCs/>
        </w:rPr>
        <w:t xml:space="preserve">Fig. </w:t>
      </w:r>
      <w:r w:rsidR="001E6E12">
        <w:rPr>
          <w:rFonts w:asciiTheme="majorHAnsi" w:hAnsiTheme="majorHAnsi" w:cstheme="majorHAnsi"/>
          <w:b/>
          <w:bCs/>
        </w:rPr>
        <w:t>3</w:t>
      </w:r>
      <w:r>
        <w:rPr>
          <w:rFonts w:asciiTheme="majorHAnsi" w:hAnsiTheme="majorHAnsi" w:cstheme="majorHAnsi"/>
          <w:b/>
          <w:bCs/>
        </w:rPr>
        <w:t xml:space="preserve"> Apparent P recovery and relative agronomic efficiency of </w:t>
      </w:r>
      <w:r w:rsidR="001E6E12">
        <w:rPr>
          <w:rFonts w:asciiTheme="majorHAnsi" w:hAnsiTheme="majorHAnsi" w:cstheme="majorHAnsi"/>
          <w:b/>
          <w:bCs/>
        </w:rPr>
        <w:t>fertilizer and fertilizer mixture</w:t>
      </w:r>
      <w:r>
        <w:rPr>
          <w:rFonts w:asciiTheme="majorHAnsi" w:hAnsiTheme="majorHAnsi" w:cstheme="majorHAnsi"/>
          <w:b/>
          <w:bCs/>
        </w:rPr>
        <w:t>.</w:t>
      </w:r>
    </w:p>
    <w:p w14:paraId="1A1E6451" w14:textId="45972F86" w:rsidR="003747B3" w:rsidRDefault="003747B3" w:rsidP="003913D3">
      <w:pPr>
        <w:spacing w:line="360" w:lineRule="auto"/>
        <w:jc w:val="both"/>
        <w:rPr>
          <w:rFonts w:asciiTheme="majorHAnsi" w:hAnsiTheme="majorHAnsi" w:cstheme="majorHAnsi"/>
        </w:rPr>
      </w:pPr>
    </w:p>
    <w:p w14:paraId="349814F5" w14:textId="149C78A1" w:rsidR="00B537C9" w:rsidRPr="003747B3" w:rsidRDefault="00075211" w:rsidP="003913D3">
      <w:pPr>
        <w:spacing w:line="360" w:lineRule="auto"/>
        <w:jc w:val="both"/>
        <w:rPr>
          <w:rFonts w:asciiTheme="majorHAnsi" w:hAnsiTheme="majorHAnsi" w:cstheme="majorHAnsi"/>
          <w:b/>
          <w:bCs/>
        </w:rPr>
      </w:pPr>
      <w:r>
        <w:rPr>
          <w:rFonts w:asciiTheme="majorHAnsi" w:hAnsiTheme="majorHAnsi" w:cstheme="majorHAnsi"/>
        </w:rPr>
        <w:lastRenderedPageBreak/>
        <w:t xml:space="preserve">The relative agronomic efficiency measures the efficiency pf PAPR comparing to a standard P fertilizer i.e., DAP in case of the present study. The RAE recorded 100% in case of DAP i.e., standard </w:t>
      </w:r>
      <w:r w:rsidR="00A663FD">
        <w:rPr>
          <w:rFonts w:asciiTheme="majorHAnsi" w:hAnsiTheme="majorHAnsi" w:cstheme="majorHAnsi"/>
        </w:rPr>
        <w:t>fertiliser</w:t>
      </w:r>
      <w:r>
        <w:rPr>
          <w:rFonts w:asciiTheme="majorHAnsi" w:hAnsiTheme="majorHAnsi" w:cstheme="majorHAnsi"/>
        </w:rPr>
        <w:t>, whereas T7 recorded 107%, followed by T6 (83%), T5 (79%)</w:t>
      </w:r>
      <w:r w:rsidR="00A663FD">
        <w:rPr>
          <w:rFonts w:asciiTheme="majorHAnsi" w:hAnsiTheme="majorHAnsi" w:cstheme="majorHAnsi"/>
        </w:rPr>
        <w:t>. The</w:t>
      </w:r>
      <w:r>
        <w:rPr>
          <w:rFonts w:asciiTheme="majorHAnsi" w:hAnsiTheme="majorHAnsi" w:cstheme="majorHAnsi"/>
        </w:rPr>
        <w:t xml:space="preserve"> least RAE was recorded </w:t>
      </w:r>
      <w:r w:rsidR="00A663FD">
        <w:rPr>
          <w:rFonts w:asciiTheme="majorHAnsi" w:hAnsiTheme="majorHAnsi" w:cstheme="majorHAnsi"/>
        </w:rPr>
        <w:t xml:space="preserve">at </w:t>
      </w:r>
      <w:r>
        <w:rPr>
          <w:rFonts w:asciiTheme="majorHAnsi" w:hAnsiTheme="majorHAnsi" w:cstheme="majorHAnsi"/>
        </w:rPr>
        <w:t xml:space="preserve">13% in T4 (untreated PR). </w:t>
      </w:r>
      <w:r w:rsidR="00A663FD">
        <w:rPr>
          <w:rFonts w:asciiTheme="majorHAnsi" w:hAnsiTheme="majorHAnsi" w:cstheme="majorHAnsi"/>
        </w:rPr>
        <w:t xml:space="preserve">According to RAE classification, T7 falls in to High category, while T6 and T5 falls in to medium and T4 fall in to very low category. </w:t>
      </w:r>
      <w:r>
        <w:rPr>
          <w:rFonts w:asciiTheme="majorHAnsi" w:hAnsiTheme="majorHAnsi" w:cstheme="majorHAnsi"/>
        </w:rPr>
        <w:t>The apparent recovery of P was also calculated to measure the performance of the fertiliser mixture, PAPR, PR and DAP</w:t>
      </w:r>
      <w:r w:rsidR="00A663FD">
        <w:rPr>
          <w:rFonts w:asciiTheme="majorHAnsi" w:hAnsiTheme="majorHAnsi" w:cstheme="majorHAnsi"/>
        </w:rPr>
        <w:t>, and it follows the trend as T7 (54%) &gt; T3 (50%) &gt; T6 (36%) &gt; T5 (29%) &gt; T4 (7%).</w:t>
      </w:r>
    </w:p>
    <w:p w14:paraId="3A956395" w14:textId="1A5622F6" w:rsidR="003747B3" w:rsidRDefault="003747B3" w:rsidP="003913D3">
      <w:pPr>
        <w:spacing w:line="360" w:lineRule="auto"/>
        <w:jc w:val="both"/>
        <w:rPr>
          <w:rFonts w:asciiTheme="majorHAnsi" w:hAnsiTheme="majorHAnsi" w:cstheme="majorHAnsi"/>
        </w:rPr>
      </w:pPr>
    </w:p>
    <w:p w14:paraId="2F33E75B" w14:textId="39F8B2DB" w:rsidR="00A663FD" w:rsidRPr="00A663FD" w:rsidRDefault="00A663FD" w:rsidP="003913D3">
      <w:pPr>
        <w:spacing w:line="360" w:lineRule="auto"/>
        <w:jc w:val="both"/>
        <w:rPr>
          <w:rFonts w:asciiTheme="majorHAnsi" w:hAnsiTheme="majorHAnsi" w:cstheme="majorHAnsi"/>
        </w:rPr>
      </w:pPr>
    </w:p>
    <w:p w14:paraId="02DDCAC8" w14:textId="11EA73DB" w:rsidR="003107A6" w:rsidRDefault="003107A6" w:rsidP="00762237">
      <w:pPr>
        <w:spacing w:line="360" w:lineRule="auto"/>
        <w:jc w:val="both"/>
        <w:rPr>
          <w:rFonts w:asciiTheme="majorHAnsi" w:hAnsiTheme="majorHAnsi" w:cstheme="majorHAnsi"/>
          <w:b/>
          <w:bCs/>
        </w:rPr>
      </w:pPr>
    </w:p>
    <w:p w14:paraId="1E991198" w14:textId="6467F2E3" w:rsidR="003913D3" w:rsidRDefault="00100D18" w:rsidP="00762237">
      <w:pPr>
        <w:spacing w:line="360" w:lineRule="auto"/>
        <w:jc w:val="both"/>
        <w:rPr>
          <w:rFonts w:asciiTheme="majorHAnsi" w:hAnsiTheme="majorHAnsi" w:cstheme="majorHAnsi"/>
          <w:b/>
          <w:bCs/>
        </w:rPr>
      </w:pPr>
      <w:r>
        <w:rPr>
          <w:rFonts w:asciiTheme="majorHAnsi" w:hAnsiTheme="majorHAnsi" w:cstheme="majorHAnsi"/>
          <w:b/>
          <w:bCs/>
        </w:rPr>
        <w:t>3.4 Effect of P fertilization on alkaline phosphatase activity.</w:t>
      </w:r>
    </w:p>
    <w:p w14:paraId="28732B8E" w14:textId="0CF584B6" w:rsidR="00E2077B" w:rsidRDefault="00E2077B" w:rsidP="00762237">
      <w:pPr>
        <w:spacing w:line="360" w:lineRule="auto"/>
        <w:jc w:val="both"/>
        <w:rPr>
          <w:rFonts w:asciiTheme="majorHAnsi" w:hAnsiTheme="majorHAnsi" w:cstheme="majorHAnsi"/>
          <w:b/>
          <w:bCs/>
        </w:rPr>
      </w:pPr>
    </w:p>
    <w:p w14:paraId="7CED85D1" w14:textId="40045581" w:rsidR="00993C10" w:rsidRDefault="003107A6" w:rsidP="00E2077B">
      <w:pPr>
        <w:spacing w:line="360" w:lineRule="auto"/>
        <w:jc w:val="both"/>
        <w:rPr>
          <w:rFonts w:ascii="Times New Roman" w:hAnsi="Times New Roman" w:cs="Times New Roman"/>
          <w:bCs/>
        </w:rPr>
      </w:pPr>
      <w:r>
        <w:rPr>
          <w:noProof/>
          <w:lang w:eastAsia="en-IN"/>
        </w:rPr>
        <w:drawing>
          <wp:inline distT="0" distB="0" distL="0" distR="0" wp14:anchorId="0151042B" wp14:editId="1C1991FB">
            <wp:extent cx="4918075" cy="2743200"/>
            <wp:effectExtent l="0" t="0" r="15875" b="0"/>
            <wp:docPr id="833018379" name="Chart 1">
              <a:extLst xmlns:a="http://schemas.openxmlformats.org/drawingml/2006/main">
                <a:ext uri="{FF2B5EF4-FFF2-40B4-BE49-F238E27FC236}">
                  <a16:creationId xmlns:a16="http://schemas.microsoft.com/office/drawing/2014/main" id="{5849A862-B15F-2E5C-112C-800B113DA6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67D7FD" w14:textId="77777777" w:rsidR="00100D18" w:rsidRDefault="00100D18" w:rsidP="00E2077B">
      <w:pPr>
        <w:spacing w:line="360" w:lineRule="auto"/>
        <w:jc w:val="both"/>
        <w:rPr>
          <w:rFonts w:ascii="Times New Roman" w:hAnsi="Times New Roman" w:cs="Times New Roman"/>
          <w:bCs/>
        </w:rPr>
      </w:pPr>
    </w:p>
    <w:p w14:paraId="55829559" w14:textId="0FD5BDEF" w:rsidR="00E2077B" w:rsidRDefault="00E2077B" w:rsidP="00E2077B">
      <w:pPr>
        <w:spacing w:line="360" w:lineRule="auto"/>
        <w:jc w:val="both"/>
        <w:rPr>
          <w:rFonts w:asciiTheme="majorHAnsi" w:hAnsiTheme="majorHAnsi" w:cstheme="majorHAnsi"/>
          <w:b/>
          <w:bCs/>
        </w:rPr>
      </w:pPr>
      <w:r w:rsidRPr="00854575">
        <w:rPr>
          <w:rFonts w:ascii="Times New Roman" w:hAnsi="Times New Roman" w:cs="Times New Roman"/>
          <w:bCs/>
        </w:rPr>
        <w:t>(Different letters for each parameter show significant difference at p ≤ 0.05 by Duncan’s Multiple Range Test</w:t>
      </w:r>
      <w:r>
        <w:rPr>
          <w:rFonts w:ascii="Times New Roman" w:hAnsi="Times New Roman" w:cs="Times New Roman"/>
          <w:bCs/>
        </w:rPr>
        <w:t>)</w:t>
      </w:r>
    </w:p>
    <w:p w14:paraId="12A37674" w14:textId="2DCF07E0" w:rsidR="00E2077B" w:rsidRDefault="00E2077B" w:rsidP="00762237">
      <w:pPr>
        <w:spacing w:line="360" w:lineRule="auto"/>
        <w:jc w:val="both"/>
        <w:rPr>
          <w:rFonts w:asciiTheme="majorHAnsi" w:hAnsiTheme="majorHAnsi" w:cstheme="majorHAnsi"/>
          <w:b/>
          <w:bCs/>
        </w:rPr>
      </w:pPr>
      <w:r>
        <w:rPr>
          <w:rFonts w:asciiTheme="majorHAnsi" w:hAnsiTheme="majorHAnsi" w:cstheme="majorHAnsi"/>
          <w:b/>
          <w:bCs/>
        </w:rPr>
        <w:t>Fig. 4 Alkaline phosphatase activity</w:t>
      </w:r>
      <w:r w:rsidR="005539E8">
        <w:rPr>
          <w:rFonts w:asciiTheme="majorHAnsi" w:hAnsiTheme="majorHAnsi" w:cstheme="majorHAnsi"/>
          <w:b/>
          <w:bCs/>
        </w:rPr>
        <w:t xml:space="preserve"> (APA)</w:t>
      </w:r>
      <w:r>
        <w:rPr>
          <w:rFonts w:asciiTheme="majorHAnsi" w:hAnsiTheme="majorHAnsi" w:cstheme="majorHAnsi"/>
          <w:b/>
          <w:bCs/>
        </w:rPr>
        <w:t xml:space="preserve"> of soil collected at the time of flowering.</w:t>
      </w:r>
    </w:p>
    <w:p w14:paraId="3912821B" w14:textId="6E23E511" w:rsidR="003747B3" w:rsidRDefault="003747B3" w:rsidP="00762237">
      <w:pPr>
        <w:spacing w:line="360" w:lineRule="auto"/>
        <w:jc w:val="both"/>
        <w:rPr>
          <w:rFonts w:asciiTheme="majorHAnsi" w:hAnsiTheme="majorHAnsi" w:cstheme="majorHAnsi"/>
        </w:rPr>
      </w:pPr>
      <w:r w:rsidRPr="003747B3">
        <w:rPr>
          <w:rFonts w:asciiTheme="majorHAnsi" w:hAnsiTheme="majorHAnsi" w:cstheme="majorHAnsi"/>
        </w:rPr>
        <w:t xml:space="preserve">The </w:t>
      </w:r>
      <w:r>
        <w:rPr>
          <w:rFonts w:asciiTheme="majorHAnsi" w:hAnsiTheme="majorHAnsi" w:cstheme="majorHAnsi"/>
        </w:rPr>
        <w:t xml:space="preserve">alkaline phosphatase activity of soil collected at the time of flowering was presented in Fig. 4. The highest activity was reported in no P treatment, while lowest activity was reported </w:t>
      </w:r>
      <w:r>
        <w:rPr>
          <w:rFonts w:asciiTheme="majorHAnsi" w:hAnsiTheme="majorHAnsi" w:cstheme="majorHAnsi"/>
        </w:rPr>
        <w:lastRenderedPageBreak/>
        <w:t xml:space="preserve">in P treated soil with DAP. Treatments viz., T1, T2, and T4 (PR) were found to be at par in enzymatic activity. </w:t>
      </w:r>
      <w:r w:rsidR="005539E8">
        <w:rPr>
          <w:rFonts w:asciiTheme="majorHAnsi" w:hAnsiTheme="majorHAnsi" w:cstheme="majorHAnsi"/>
        </w:rPr>
        <w:t xml:space="preserve">The absolute control treatment (T1) and No P treatment (T2) have produced 38% and 34% significant more APA as compared to T3 (RDF), while comparing PAPR (T5) with RDF a significant 22% more activity was reported. </w:t>
      </w:r>
      <w:r>
        <w:rPr>
          <w:rFonts w:asciiTheme="majorHAnsi" w:hAnsiTheme="majorHAnsi" w:cstheme="majorHAnsi"/>
        </w:rPr>
        <w:t xml:space="preserve">The enzyme activity was found to be inversely proportional to P sufficiency in soil while directly proportional to </w:t>
      </w:r>
      <w:r w:rsidR="005539E8">
        <w:rPr>
          <w:rFonts w:asciiTheme="majorHAnsi" w:hAnsiTheme="majorHAnsi" w:cstheme="majorHAnsi"/>
        </w:rPr>
        <w:t>P limitation in soil.</w:t>
      </w:r>
    </w:p>
    <w:p w14:paraId="386CA869" w14:textId="1C9F61C1" w:rsidR="00993C10" w:rsidRPr="00100D18" w:rsidRDefault="00100D18" w:rsidP="00100D18">
      <w:pPr>
        <w:pStyle w:val="ListParagraph"/>
        <w:numPr>
          <w:ilvl w:val="0"/>
          <w:numId w:val="1"/>
        </w:numPr>
        <w:jc w:val="both"/>
        <w:rPr>
          <w:rFonts w:ascii="Times New Roman" w:hAnsi="Times New Roman" w:cs="Times New Roman"/>
          <w:b/>
        </w:rPr>
      </w:pPr>
      <w:r w:rsidRPr="00100D18">
        <w:rPr>
          <w:rFonts w:ascii="Times New Roman" w:hAnsi="Times New Roman" w:cs="Times New Roman"/>
          <w:b/>
        </w:rPr>
        <w:t>Discussion</w:t>
      </w:r>
    </w:p>
    <w:p w14:paraId="074D2F05" w14:textId="4A87B42B" w:rsidR="005539E8" w:rsidRDefault="00734C6A" w:rsidP="00762237">
      <w:pPr>
        <w:spacing w:line="360" w:lineRule="auto"/>
        <w:jc w:val="both"/>
        <w:rPr>
          <w:rFonts w:asciiTheme="majorHAnsi" w:hAnsiTheme="majorHAnsi" w:cstheme="majorHAnsi"/>
        </w:rPr>
      </w:pPr>
      <w:r>
        <w:rPr>
          <w:rFonts w:asciiTheme="majorHAnsi" w:hAnsiTheme="majorHAnsi" w:cstheme="majorHAnsi"/>
        </w:rPr>
        <w:t xml:space="preserve">The application of P fertilizer in the </w:t>
      </w:r>
      <w:r w:rsidR="00EC4E7C">
        <w:rPr>
          <w:rFonts w:asciiTheme="majorHAnsi" w:hAnsiTheme="majorHAnsi" w:cstheme="majorHAnsi"/>
        </w:rPr>
        <w:t xml:space="preserve">form of </w:t>
      </w:r>
      <w:r>
        <w:rPr>
          <w:rFonts w:asciiTheme="majorHAnsi" w:hAnsiTheme="majorHAnsi" w:cstheme="majorHAnsi"/>
        </w:rPr>
        <w:t>commercial DAP or PAPR or mixture of DAP and PAPR have positive impact on growth and yield attributes of maize as compared to absolute control and no P treatments. It clearly indicates the role of P in crop growth establishment and productivity. The newly formulated fertilizers i.e., the fertilizer mixture of DAP and PAPR</w:t>
      </w:r>
      <w:r w:rsidR="00EC4E7C">
        <w:rPr>
          <w:rFonts w:asciiTheme="majorHAnsi" w:hAnsiTheme="majorHAnsi" w:cstheme="majorHAnsi"/>
        </w:rPr>
        <w:t xml:space="preserve"> (50:50) (T7)</w:t>
      </w:r>
      <w:r>
        <w:rPr>
          <w:rFonts w:asciiTheme="majorHAnsi" w:hAnsiTheme="majorHAnsi" w:cstheme="majorHAnsi"/>
        </w:rPr>
        <w:t xml:space="preserve"> was found to be advantageous</w:t>
      </w:r>
      <w:r w:rsidR="00993C10">
        <w:rPr>
          <w:rFonts w:asciiTheme="majorHAnsi" w:hAnsiTheme="majorHAnsi" w:cstheme="majorHAnsi"/>
        </w:rPr>
        <w:t xml:space="preserve"> </w:t>
      </w:r>
      <w:r>
        <w:rPr>
          <w:rFonts w:asciiTheme="majorHAnsi" w:hAnsiTheme="majorHAnsi" w:cstheme="majorHAnsi"/>
        </w:rPr>
        <w:t>to some extent o</w:t>
      </w:r>
      <w:r w:rsidR="00993C10">
        <w:rPr>
          <w:rFonts w:asciiTheme="majorHAnsi" w:hAnsiTheme="majorHAnsi" w:cstheme="majorHAnsi"/>
        </w:rPr>
        <w:t>ver</w:t>
      </w:r>
      <w:r>
        <w:rPr>
          <w:rFonts w:asciiTheme="majorHAnsi" w:hAnsiTheme="majorHAnsi" w:cstheme="majorHAnsi"/>
        </w:rPr>
        <w:t xml:space="preserve"> commercial DAP (result indicates statistical equivalence among DAP and prepared fertilizer mixture)</w:t>
      </w:r>
      <w:r w:rsidR="00993C10">
        <w:rPr>
          <w:rFonts w:asciiTheme="majorHAnsi" w:hAnsiTheme="majorHAnsi" w:cstheme="majorHAnsi"/>
        </w:rPr>
        <w:t xml:space="preserve">, while it </w:t>
      </w:r>
      <w:r w:rsidR="00993C10">
        <w:rPr>
          <w:rFonts w:ascii="Times New Roman" w:hAnsi="Times New Roman" w:cs="Times New Roman"/>
          <w:bCs/>
        </w:rPr>
        <w:t>outperform</w:t>
      </w:r>
      <w:r w:rsidR="00EC4E7C">
        <w:rPr>
          <w:rFonts w:ascii="Times New Roman" w:hAnsi="Times New Roman" w:cs="Times New Roman"/>
          <w:bCs/>
        </w:rPr>
        <w:t>ed</w:t>
      </w:r>
      <w:r w:rsidR="00993C10">
        <w:rPr>
          <w:rFonts w:ascii="Times New Roman" w:hAnsi="Times New Roman" w:cs="Times New Roman"/>
          <w:bCs/>
        </w:rPr>
        <w:t xml:space="preserve"> the individual application of the PAPR</w:t>
      </w:r>
      <w:r w:rsidR="00EC4E7C">
        <w:rPr>
          <w:rFonts w:ascii="Times New Roman" w:hAnsi="Times New Roman" w:cs="Times New Roman"/>
          <w:bCs/>
        </w:rPr>
        <w:t>,</w:t>
      </w:r>
      <w:r w:rsidR="00993C10">
        <w:rPr>
          <w:rFonts w:ascii="Times New Roman" w:hAnsi="Times New Roman" w:cs="Times New Roman"/>
          <w:bCs/>
        </w:rPr>
        <w:t xml:space="preserve"> untreated LGPR (PR),</w:t>
      </w:r>
      <w:r w:rsidR="00EC4E7C">
        <w:rPr>
          <w:rFonts w:ascii="Times New Roman" w:hAnsi="Times New Roman" w:cs="Times New Roman"/>
          <w:bCs/>
        </w:rPr>
        <w:t xml:space="preserve"> and no P treatment. The T7, </w:t>
      </w:r>
      <w:r w:rsidR="00993C10">
        <w:rPr>
          <w:rFonts w:ascii="Times New Roman" w:hAnsi="Times New Roman" w:cs="Times New Roman"/>
          <w:bCs/>
        </w:rPr>
        <w:t xml:space="preserve">reducing the dose of water-soluble fertiliser and managing the yield gap created by the PAPR, whose water-soluble P content is still low compared to DAP. </w:t>
      </w:r>
      <w:r w:rsidR="00EC4E7C">
        <w:rPr>
          <w:rFonts w:ascii="Times New Roman" w:hAnsi="Times New Roman" w:cs="Times New Roman"/>
          <w:bCs/>
        </w:rPr>
        <w:t xml:space="preserve">The treatment receiving no P application shows a significant reduction in biomass and grain yield as compared to P-receiving treatments. </w:t>
      </w:r>
      <w:r w:rsidR="00EC4E7C" w:rsidRPr="009425F5">
        <w:rPr>
          <w:rFonts w:asciiTheme="majorHAnsi" w:hAnsiTheme="majorHAnsi" w:cstheme="majorHAnsi"/>
          <w:bCs/>
        </w:rPr>
        <w:t xml:space="preserve">This may be due to </w:t>
      </w:r>
      <w:r w:rsidR="00EC4E7C" w:rsidRPr="009425F5">
        <w:rPr>
          <w:rFonts w:asciiTheme="majorHAnsi" w:hAnsiTheme="majorHAnsi" w:cstheme="majorHAnsi"/>
          <w:spacing w:val="1"/>
        </w:rPr>
        <w:t>the inhibition of primary root development, manifested as decreased cell elongation, reduced cell division, and diminished meristematic activity</w:t>
      </w:r>
      <w:r w:rsidR="00EC4E7C">
        <w:rPr>
          <w:rFonts w:asciiTheme="majorHAnsi" w:hAnsiTheme="majorHAnsi" w:cstheme="majorHAnsi"/>
          <w:spacing w:val="1"/>
        </w:rPr>
        <w:t xml:space="preserve"> </w:t>
      </w:r>
      <w:r w:rsidR="00EC4E7C" w:rsidRPr="009425F5">
        <w:rPr>
          <w:rFonts w:asciiTheme="majorHAnsi" w:hAnsiTheme="majorHAnsi" w:cstheme="majorHAnsi"/>
          <w:spacing w:val="1"/>
        </w:rPr>
        <w:t>(</w:t>
      </w:r>
      <w:proofErr w:type="spellStart"/>
      <w:r w:rsidR="00EC4E7C" w:rsidRPr="009425F5">
        <w:rPr>
          <w:rFonts w:asciiTheme="majorHAnsi" w:hAnsiTheme="majorHAnsi" w:cstheme="majorHAnsi"/>
          <w:spacing w:val="1"/>
        </w:rPr>
        <w:t>Svistoonoff</w:t>
      </w:r>
      <w:proofErr w:type="spellEnd"/>
      <w:r w:rsidR="00EC4E7C" w:rsidRPr="009425F5">
        <w:rPr>
          <w:rFonts w:asciiTheme="majorHAnsi" w:hAnsiTheme="majorHAnsi" w:cstheme="majorHAnsi"/>
          <w:spacing w:val="1"/>
        </w:rPr>
        <w:t xml:space="preserve"> </w:t>
      </w:r>
      <w:r w:rsidR="00EC4E7C" w:rsidRPr="009425F5">
        <w:rPr>
          <w:rFonts w:asciiTheme="majorHAnsi" w:hAnsiTheme="majorHAnsi" w:cstheme="majorHAnsi"/>
          <w:i/>
          <w:iCs/>
          <w:spacing w:val="1"/>
        </w:rPr>
        <w:t>et al.</w:t>
      </w:r>
      <w:r w:rsidR="00EC4E7C">
        <w:rPr>
          <w:rFonts w:asciiTheme="majorHAnsi" w:hAnsiTheme="majorHAnsi" w:cstheme="majorHAnsi"/>
          <w:spacing w:val="1"/>
        </w:rPr>
        <w:t xml:space="preserve"> </w:t>
      </w:r>
      <w:r w:rsidR="00EC4E7C" w:rsidRPr="009425F5">
        <w:rPr>
          <w:rFonts w:asciiTheme="majorHAnsi" w:hAnsiTheme="majorHAnsi" w:cstheme="majorHAnsi"/>
          <w:spacing w:val="1"/>
        </w:rPr>
        <w:t>2007</w:t>
      </w:r>
      <w:proofErr w:type="gramStart"/>
      <w:r w:rsidR="00EC4E7C">
        <w:rPr>
          <w:rFonts w:asciiTheme="majorHAnsi" w:hAnsiTheme="majorHAnsi" w:cstheme="majorHAnsi"/>
          <w:spacing w:val="1"/>
        </w:rPr>
        <w:t>)</w:t>
      </w:r>
      <w:r w:rsidR="00EC4E7C" w:rsidRPr="009425F5">
        <w:rPr>
          <w:rFonts w:asciiTheme="majorHAnsi" w:hAnsiTheme="majorHAnsi" w:cstheme="majorHAnsi"/>
          <w:spacing w:val="1"/>
        </w:rPr>
        <w:t>.​</w:t>
      </w:r>
      <w:proofErr w:type="gramEnd"/>
      <w:r w:rsidR="00EC4E7C">
        <w:rPr>
          <w:rFonts w:asciiTheme="majorHAnsi" w:hAnsiTheme="majorHAnsi" w:cstheme="majorHAnsi"/>
          <w:spacing w:val="1"/>
        </w:rPr>
        <w:t xml:space="preserve"> </w:t>
      </w:r>
      <w:r>
        <w:rPr>
          <w:rFonts w:asciiTheme="majorHAnsi" w:hAnsiTheme="majorHAnsi" w:cstheme="majorHAnsi"/>
        </w:rPr>
        <w:t>So, this study clearly demonstrates impact of P on cell division, cell elongation and enlargement which have positive impact on maize growth and productivity</w:t>
      </w:r>
      <w:r w:rsidR="00EC4E7C">
        <w:rPr>
          <w:rFonts w:asciiTheme="majorHAnsi" w:hAnsiTheme="majorHAnsi" w:cstheme="majorHAnsi"/>
        </w:rPr>
        <w:t>.</w:t>
      </w:r>
    </w:p>
    <w:p w14:paraId="30152951" w14:textId="77777777" w:rsidR="00851FB9" w:rsidRDefault="00EC4E7C" w:rsidP="00EC4E7C">
      <w:pPr>
        <w:spacing w:line="360" w:lineRule="auto"/>
        <w:jc w:val="both"/>
        <w:rPr>
          <w:rFonts w:asciiTheme="majorHAnsi" w:hAnsiTheme="majorHAnsi" w:cstheme="majorHAnsi"/>
          <w:spacing w:val="1"/>
        </w:rPr>
      </w:pPr>
      <w:r>
        <w:rPr>
          <w:rFonts w:asciiTheme="majorHAnsi" w:hAnsiTheme="majorHAnsi" w:cstheme="majorHAnsi"/>
          <w:spacing w:val="1"/>
        </w:rPr>
        <w:t xml:space="preserve">The commercial water-soluble P fertiliser (DAP) releases active nutrient content within 5 days, whereas this study, which uses a fertiliser mixture, can provide active nutrients throughout the vegetative phase, helping in root proliferation and crop establishment (Sarkar </w:t>
      </w:r>
      <w:r w:rsidRPr="00EC4E7C">
        <w:rPr>
          <w:rFonts w:asciiTheme="majorHAnsi" w:hAnsiTheme="majorHAnsi" w:cstheme="majorHAnsi"/>
          <w:i/>
          <w:iCs/>
          <w:spacing w:val="1"/>
        </w:rPr>
        <w:t>et al.</w:t>
      </w:r>
      <w:r>
        <w:rPr>
          <w:rFonts w:asciiTheme="majorHAnsi" w:hAnsiTheme="majorHAnsi" w:cstheme="majorHAnsi"/>
          <w:spacing w:val="1"/>
        </w:rPr>
        <w:t xml:space="preserve"> 2018).</w:t>
      </w:r>
      <w:r w:rsidR="00EC5002">
        <w:rPr>
          <w:rFonts w:asciiTheme="majorHAnsi" w:hAnsiTheme="majorHAnsi" w:cstheme="majorHAnsi"/>
          <w:spacing w:val="1"/>
        </w:rPr>
        <w:t xml:space="preserve"> Here we can say that the mixture of PAPR and DAP react with each other following enhancing the P supply ability due to more dissolution unreacted part of apatite in PAPR and simultaneously it facilitates the slow realising ability of </w:t>
      </w:r>
      <w:r w:rsidR="00851FB9">
        <w:rPr>
          <w:rFonts w:asciiTheme="majorHAnsi" w:hAnsiTheme="majorHAnsi" w:cstheme="majorHAnsi"/>
          <w:spacing w:val="1"/>
        </w:rPr>
        <w:t xml:space="preserve">new </w:t>
      </w:r>
      <w:r w:rsidR="00EC5002">
        <w:rPr>
          <w:rFonts w:asciiTheme="majorHAnsi" w:hAnsiTheme="majorHAnsi" w:cstheme="majorHAnsi"/>
          <w:spacing w:val="1"/>
        </w:rPr>
        <w:t>P fertilizer</w:t>
      </w:r>
      <w:r w:rsidR="00851FB9">
        <w:rPr>
          <w:rFonts w:asciiTheme="majorHAnsi" w:hAnsiTheme="majorHAnsi" w:cstheme="majorHAnsi"/>
          <w:spacing w:val="1"/>
        </w:rPr>
        <w:t xml:space="preserve"> mixture</w:t>
      </w:r>
      <w:r w:rsidR="00EC5002">
        <w:rPr>
          <w:rFonts w:asciiTheme="majorHAnsi" w:hAnsiTheme="majorHAnsi" w:cstheme="majorHAnsi"/>
          <w:spacing w:val="1"/>
        </w:rPr>
        <w:t>.</w:t>
      </w:r>
      <w:r w:rsidR="00851FB9">
        <w:rPr>
          <w:rFonts w:asciiTheme="majorHAnsi" w:hAnsiTheme="majorHAnsi" w:cstheme="majorHAnsi"/>
          <w:spacing w:val="1"/>
        </w:rPr>
        <w:t xml:space="preserve"> </w:t>
      </w:r>
      <w:r w:rsidR="00851FB9" w:rsidRPr="00851FB9">
        <w:rPr>
          <w:rFonts w:asciiTheme="majorHAnsi" w:hAnsiTheme="majorHAnsi" w:cstheme="majorHAnsi"/>
          <w:spacing w:val="1"/>
        </w:rPr>
        <w:t>The dissolution of phosphate rocks (PRs) in soil is a dynamic process that depends crucially on the removal of the dissolution products, specifically calcium ions (Ca</w:t>
      </w:r>
      <w:r w:rsidR="00851FB9" w:rsidRPr="00851FB9">
        <w:rPr>
          <w:rFonts w:asciiTheme="majorHAnsi" w:hAnsiTheme="majorHAnsi" w:cstheme="majorHAnsi"/>
          <w:spacing w:val="1"/>
          <w:vertAlign w:val="superscript"/>
        </w:rPr>
        <w:t>2+)</w:t>
      </w:r>
      <w:r w:rsidR="00851FB9" w:rsidRPr="00851FB9">
        <w:rPr>
          <w:rFonts w:asciiTheme="majorHAnsi" w:hAnsiTheme="majorHAnsi" w:cstheme="majorHAnsi"/>
          <w:spacing w:val="1"/>
        </w:rPr>
        <w:t xml:space="preserve"> and dihydrogen phosphate ions (H</w:t>
      </w:r>
      <w:r w:rsidR="00851FB9" w:rsidRPr="00851FB9">
        <w:rPr>
          <w:rFonts w:asciiTheme="majorHAnsi" w:hAnsiTheme="majorHAnsi" w:cstheme="majorHAnsi"/>
          <w:spacing w:val="1"/>
          <w:vertAlign w:val="subscript"/>
        </w:rPr>
        <w:t>2</w:t>
      </w:r>
      <w:r w:rsidR="00851FB9" w:rsidRPr="00851FB9">
        <w:rPr>
          <w:rFonts w:asciiTheme="majorHAnsi" w:hAnsiTheme="majorHAnsi" w:cstheme="majorHAnsi"/>
          <w:spacing w:val="1"/>
        </w:rPr>
        <w:t>PO</w:t>
      </w:r>
      <w:r w:rsidR="00851FB9" w:rsidRPr="00851FB9">
        <w:rPr>
          <w:rFonts w:asciiTheme="majorHAnsi" w:hAnsiTheme="majorHAnsi" w:cstheme="majorHAnsi"/>
          <w:spacing w:val="1"/>
          <w:vertAlign w:val="subscript"/>
        </w:rPr>
        <w:t>4</w:t>
      </w:r>
      <w:r w:rsidR="00851FB9" w:rsidRPr="00851FB9">
        <w:rPr>
          <w:rFonts w:asciiTheme="majorHAnsi" w:hAnsiTheme="majorHAnsi" w:cstheme="majorHAnsi"/>
          <w:spacing w:val="1"/>
          <w:vertAlign w:val="superscript"/>
        </w:rPr>
        <w:t>-</w:t>
      </w:r>
      <w:r w:rsidR="00851FB9" w:rsidRPr="00851FB9">
        <w:rPr>
          <w:rFonts w:asciiTheme="majorHAnsi" w:hAnsiTheme="majorHAnsi" w:cstheme="majorHAnsi"/>
          <w:spacing w:val="1"/>
        </w:rPr>
        <w:t xml:space="preserve">), from the immediate vicinity of the phosphate rock particles. This removal is primarily facilitated through processes such as adsorption or ion exchange by soil particles, as well as uptake by plant roots. When these ions are removed from the solution surrounding the PR, the chemical equilibrium shifts, allowing further dissolution of the </w:t>
      </w:r>
      <w:r w:rsidR="00851FB9" w:rsidRPr="00851FB9">
        <w:rPr>
          <w:rFonts w:asciiTheme="majorHAnsi" w:hAnsiTheme="majorHAnsi" w:cstheme="majorHAnsi"/>
          <w:spacing w:val="1"/>
        </w:rPr>
        <w:lastRenderedPageBreak/>
        <w:t>phosphate rock</w:t>
      </w:r>
      <w:r w:rsidR="00851FB9">
        <w:rPr>
          <w:rFonts w:asciiTheme="majorHAnsi" w:hAnsiTheme="majorHAnsi" w:cstheme="majorHAnsi"/>
          <w:spacing w:val="1"/>
        </w:rPr>
        <w:t xml:space="preserve"> (Saied </w:t>
      </w:r>
      <w:r w:rsidR="00851FB9" w:rsidRPr="00851FB9">
        <w:rPr>
          <w:rFonts w:asciiTheme="majorHAnsi" w:hAnsiTheme="majorHAnsi" w:cstheme="majorHAnsi"/>
          <w:i/>
          <w:iCs/>
          <w:spacing w:val="1"/>
        </w:rPr>
        <w:t>et al.</w:t>
      </w:r>
      <w:r w:rsidR="00851FB9">
        <w:rPr>
          <w:rFonts w:asciiTheme="majorHAnsi" w:hAnsiTheme="majorHAnsi" w:cstheme="majorHAnsi"/>
          <w:spacing w:val="1"/>
        </w:rPr>
        <w:t xml:space="preserve"> 2022).</w:t>
      </w:r>
      <w:r>
        <w:rPr>
          <w:rFonts w:asciiTheme="majorHAnsi" w:hAnsiTheme="majorHAnsi" w:cstheme="majorHAnsi"/>
          <w:spacing w:val="1"/>
        </w:rPr>
        <w:t xml:space="preserve"> </w:t>
      </w:r>
      <w:r w:rsidRPr="009425F5">
        <w:rPr>
          <w:rFonts w:asciiTheme="majorHAnsi" w:hAnsiTheme="majorHAnsi" w:cstheme="majorHAnsi"/>
          <w:spacing w:val="1"/>
        </w:rPr>
        <w:t xml:space="preserve">Ryan </w:t>
      </w:r>
      <w:r w:rsidRPr="009425F5">
        <w:rPr>
          <w:rFonts w:asciiTheme="majorHAnsi" w:hAnsiTheme="majorHAnsi" w:cstheme="majorHAnsi"/>
          <w:i/>
          <w:iCs/>
          <w:spacing w:val="1"/>
        </w:rPr>
        <w:t>et al.</w:t>
      </w:r>
      <w:r w:rsidRPr="009425F5">
        <w:rPr>
          <w:rFonts w:asciiTheme="majorHAnsi" w:hAnsiTheme="majorHAnsi" w:cstheme="majorHAnsi"/>
          <w:spacing w:val="1"/>
        </w:rPr>
        <w:t xml:space="preserve"> (2015) demonstrated that enhanced early vigour contributes to improved plant growth under phosphorus-</w:t>
      </w:r>
      <w:r>
        <w:rPr>
          <w:rFonts w:asciiTheme="majorHAnsi" w:hAnsiTheme="majorHAnsi" w:cstheme="majorHAnsi"/>
          <w:spacing w:val="1"/>
        </w:rPr>
        <w:t>suboptimal</w:t>
      </w:r>
      <w:r w:rsidRPr="009425F5">
        <w:rPr>
          <w:rFonts w:asciiTheme="majorHAnsi" w:hAnsiTheme="majorHAnsi" w:cstheme="majorHAnsi"/>
          <w:spacing w:val="1"/>
        </w:rPr>
        <w:t xml:space="preserve"> conditions and thereby enhances the efficiency of phosphorus uptake and </w:t>
      </w:r>
      <w:r>
        <w:rPr>
          <w:rFonts w:asciiTheme="majorHAnsi" w:hAnsiTheme="majorHAnsi" w:cstheme="majorHAnsi"/>
          <w:spacing w:val="1"/>
        </w:rPr>
        <w:t>utilisation.</w:t>
      </w:r>
      <w:r w:rsidR="00100D18">
        <w:rPr>
          <w:rFonts w:asciiTheme="majorHAnsi" w:hAnsiTheme="majorHAnsi" w:cstheme="majorHAnsi"/>
          <w:spacing w:val="1"/>
        </w:rPr>
        <w:t xml:space="preserve"> </w:t>
      </w:r>
    </w:p>
    <w:p w14:paraId="088ED7B3" w14:textId="1C746AD8" w:rsidR="00EC4E7C" w:rsidRDefault="00100D18" w:rsidP="00EC4E7C">
      <w:pPr>
        <w:spacing w:line="360" w:lineRule="auto"/>
        <w:jc w:val="both"/>
        <w:rPr>
          <w:rFonts w:cstheme="minorHAnsi"/>
          <w:spacing w:val="1"/>
        </w:rPr>
      </w:pPr>
      <w:r>
        <w:rPr>
          <w:rFonts w:asciiTheme="majorHAnsi" w:hAnsiTheme="majorHAnsi" w:cstheme="majorHAnsi"/>
          <w:spacing w:val="1"/>
        </w:rPr>
        <w:t xml:space="preserve">The relative agronomic efficiency </w:t>
      </w:r>
      <w:r w:rsidR="004065A3">
        <w:rPr>
          <w:rFonts w:asciiTheme="majorHAnsi" w:hAnsiTheme="majorHAnsi" w:cstheme="majorHAnsi"/>
          <w:spacing w:val="1"/>
        </w:rPr>
        <w:t>(</w:t>
      </w:r>
      <w:r w:rsidR="004065A3" w:rsidRPr="004065A3">
        <w:rPr>
          <w:rFonts w:asciiTheme="majorHAnsi" w:hAnsiTheme="majorHAnsi" w:cstheme="majorHAnsi"/>
          <w:spacing w:val="1"/>
        </w:rPr>
        <w:t>RAE</w:t>
      </w:r>
      <w:r w:rsidR="004065A3">
        <w:rPr>
          <w:rFonts w:asciiTheme="majorHAnsi" w:hAnsiTheme="majorHAnsi" w:cstheme="majorHAnsi"/>
          <w:spacing w:val="1"/>
        </w:rPr>
        <w:t>)</w:t>
      </w:r>
      <w:r w:rsidR="004065A3" w:rsidRPr="004065A3">
        <w:rPr>
          <w:rFonts w:asciiTheme="majorHAnsi" w:hAnsiTheme="majorHAnsi" w:cstheme="majorHAnsi"/>
          <w:spacing w:val="1"/>
        </w:rPr>
        <w:t xml:space="preserve"> helps in evaluating how efficiently a particular P fertilizer releases phosphorus in available forms to plants compared to conventional or reference fertilizers.</w:t>
      </w:r>
      <w:r w:rsidR="004065A3">
        <w:rPr>
          <w:rFonts w:asciiTheme="majorHAnsi" w:hAnsiTheme="majorHAnsi" w:cstheme="majorHAnsi"/>
          <w:spacing w:val="1"/>
        </w:rPr>
        <w:t xml:space="preserve"> The mixture of DAP and PAPR increase the dry matter content corresponding increasing the RAE, which eventually stress the role of PAPR as potential slow release fertilizer. The result of the study is parallel to Fukuda </w:t>
      </w:r>
      <w:r w:rsidR="004065A3" w:rsidRPr="004065A3">
        <w:rPr>
          <w:rFonts w:asciiTheme="majorHAnsi" w:hAnsiTheme="majorHAnsi" w:cstheme="majorHAnsi"/>
          <w:i/>
          <w:iCs/>
          <w:spacing w:val="1"/>
        </w:rPr>
        <w:t>et al.</w:t>
      </w:r>
      <w:r w:rsidR="004065A3">
        <w:rPr>
          <w:rFonts w:asciiTheme="majorHAnsi" w:hAnsiTheme="majorHAnsi" w:cstheme="majorHAnsi"/>
          <w:spacing w:val="1"/>
        </w:rPr>
        <w:t xml:space="preserve"> (2022). The apparent P recovery aims at efficient P uptake and the DAP and PAPR fertilizer mixture act as efficient P fertilizer in supplying P to the maize crop. As the DAP supply quickly the nutrient P, while PAPR act as a slow release fertilizer aiming a steady flow of supply throughout the growth period of the crop</w:t>
      </w:r>
      <w:r w:rsidR="009365B9">
        <w:rPr>
          <w:rFonts w:asciiTheme="majorHAnsi" w:hAnsiTheme="majorHAnsi" w:cstheme="majorHAnsi"/>
          <w:spacing w:val="1"/>
        </w:rPr>
        <w:t xml:space="preserve">. </w:t>
      </w:r>
      <w:r w:rsidR="004065A3">
        <w:rPr>
          <w:rFonts w:asciiTheme="majorHAnsi" w:hAnsiTheme="majorHAnsi" w:cstheme="majorHAnsi"/>
          <w:spacing w:val="1"/>
        </w:rPr>
        <w:t xml:space="preserve"> </w:t>
      </w:r>
      <w:r w:rsidR="009365B9" w:rsidRPr="009365B9">
        <w:rPr>
          <w:rFonts w:cstheme="minorHAnsi"/>
          <w:spacing w:val="1"/>
        </w:rPr>
        <w:t>The distinct mechanisms governing phosphorus fertilizer dissolution are driven by their impact on the soil microenvironment: newly synthesized acidic fertilizers facilitate the release of P-reactive cations (Al, Fe, Ca) into solution, where they form soluble ion pairs with phosphate ions without precipitating as insoluble phosphates, thereby sustaining P availability; conversely, diammonium phosphate (DAP) dissolution generates localized alkalinity due to ammonia release, promoting the precipitation of metal phosphates as insoluble compounds around fertilizer granules, which limits immediate phosphorus solubility and availability</w:t>
      </w:r>
      <w:r w:rsidR="009365B9">
        <w:rPr>
          <w:rFonts w:cstheme="minorHAnsi"/>
          <w:spacing w:val="1"/>
        </w:rPr>
        <w:t xml:space="preserve"> (Sarkar </w:t>
      </w:r>
      <w:r w:rsidR="009365B9" w:rsidRPr="009365B9">
        <w:rPr>
          <w:rFonts w:cstheme="minorHAnsi"/>
          <w:i/>
          <w:iCs/>
          <w:spacing w:val="1"/>
        </w:rPr>
        <w:t>et al.</w:t>
      </w:r>
      <w:r w:rsidR="009365B9">
        <w:rPr>
          <w:rFonts w:cstheme="minorHAnsi"/>
          <w:spacing w:val="1"/>
        </w:rPr>
        <w:t xml:space="preserve"> </w:t>
      </w:r>
      <w:commentRangeStart w:id="7"/>
      <w:r w:rsidR="009365B9">
        <w:rPr>
          <w:rFonts w:cstheme="minorHAnsi"/>
          <w:spacing w:val="1"/>
        </w:rPr>
        <w:t>2022</w:t>
      </w:r>
      <w:commentRangeEnd w:id="7"/>
      <w:r w:rsidR="00371569">
        <w:rPr>
          <w:rStyle w:val="CommentReference"/>
        </w:rPr>
        <w:commentReference w:id="7"/>
      </w:r>
      <w:r w:rsidR="009365B9">
        <w:rPr>
          <w:rFonts w:cstheme="minorHAnsi"/>
          <w:spacing w:val="1"/>
        </w:rPr>
        <w:t>).</w:t>
      </w:r>
    </w:p>
    <w:p w14:paraId="5E76935D" w14:textId="110AAF6B" w:rsidR="000D076A" w:rsidRPr="00817EF3" w:rsidRDefault="009365B9" w:rsidP="00EC4E7C">
      <w:pPr>
        <w:spacing w:line="360" w:lineRule="auto"/>
        <w:jc w:val="both"/>
        <w:rPr>
          <w:rFonts w:asciiTheme="majorHAnsi" w:hAnsiTheme="majorHAnsi" w:cstheme="majorHAnsi"/>
          <w:i/>
          <w:iCs/>
          <w:spacing w:val="1"/>
        </w:rPr>
      </w:pPr>
      <w:r w:rsidRPr="009365B9">
        <w:rPr>
          <w:rFonts w:asciiTheme="majorHAnsi" w:hAnsiTheme="majorHAnsi" w:cstheme="majorHAnsi"/>
          <w:spacing w:val="1"/>
        </w:rPr>
        <w:t>Both soil microbes and plant roots contribute to acid phosphatase production, whereas alkaline phosphatase is exclusively synthesized by soil bacteria (McLachlan, 1980</w:t>
      </w:r>
      <w:r w:rsidR="00817EF3">
        <w:rPr>
          <w:rFonts w:asciiTheme="majorHAnsi" w:hAnsiTheme="majorHAnsi" w:cstheme="majorHAnsi"/>
          <w:spacing w:val="1"/>
        </w:rPr>
        <w:t>)</w:t>
      </w:r>
      <w:r w:rsidRPr="009365B9">
        <w:rPr>
          <w:rFonts w:asciiTheme="majorHAnsi" w:hAnsiTheme="majorHAnsi" w:cstheme="majorHAnsi"/>
          <w:spacing w:val="1"/>
        </w:rPr>
        <w:t>. During the flowering stage, enhanced root growth coupled with increased microbial activity elevates acid phosphatase levels to their peak. Concurrently, rhizosphere acidification driven by root exudation likely suppresses alkaline phosphatase activity to its minimum (</w:t>
      </w:r>
      <w:commentRangeStart w:id="8"/>
      <w:proofErr w:type="spellStart"/>
      <w:r w:rsidRPr="009365B9">
        <w:rPr>
          <w:rFonts w:asciiTheme="majorHAnsi" w:hAnsiTheme="majorHAnsi" w:cstheme="majorHAnsi"/>
          <w:spacing w:val="1"/>
        </w:rPr>
        <w:t>Eivazi</w:t>
      </w:r>
      <w:commentRangeEnd w:id="8"/>
      <w:proofErr w:type="spellEnd"/>
      <w:r w:rsidR="00371569">
        <w:rPr>
          <w:rStyle w:val="CommentReference"/>
        </w:rPr>
        <w:commentReference w:id="8"/>
      </w:r>
      <w:r w:rsidRPr="009365B9">
        <w:rPr>
          <w:rFonts w:asciiTheme="majorHAnsi" w:hAnsiTheme="majorHAnsi" w:cstheme="majorHAnsi"/>
          <w:spacing w:val="1"/>
        </w:rPr>
        <w:t xml:space="preserve"> and </w:t>
      </w:r>
      <w:proofErr w:type="spellStart"/>
      <w:r w:rsidRPr="009365B9">
        <w:rPr>
          <w:rFonts w:asciiTheme="majorHAnsi" w:hAnsiTheme="majorHAnsi" w:cstheme="majorHAnsi"/>
          <w:spacing w:val="1"/>
        </w:rPr>
        <w:t>Tabatabai</w:t>
      </w:r>
      <w:proofErr w:type="spellEnd"/>
      <w:r w:rsidRPr="009365B9">
        <w:rPr>
          <w:rFonts w:asciiTheme="majorHAnsi" w:hAnsiTheme="majorHAnsi" w:cstheme="majorHAnsi"/>
          <w:spacing w:val="1"/>
        </w:rPr>
        <w:t>, 1977</w:t>
      </w:r>
      <w:r w:rsidR="00817EF3">
        <w:rPr>
          <w:rFonts w:asciiTheme="majorHAnsi" w:hAnsiTheme="majorHAnsi" w:cstheme="majorHAnsi"/>
          <w:spacing w:val="1"/>
        </w:rPr>
        <w:t xml:space="preserve">; Biswas </w:t>
      </w:r>
      <w:r w:rsidR="00817EF3" w:rsidRPr="00817EF3">
        <w:rPr>
          <w:rFonts w:asciiTheme="majorHAnsi" w:hAnsiTheme="majorHAnsi" w:cstheme="majorHAnsi"/>
          <w:i/>
          <w:iCs/>
          <w:spacing w:val="1"/>
        </w:rPr>
        <w:t>et al.</w:t>
      </w:r>
      <w:r w:rsidR="00817EF3">
        <w:rPr>
          <w:rFonts w:asciiTheme="majorHAnsi" w:hAnsiTheme="majorHAnsi" w:cstheme="majorHAnsi"/>
          <w:spacing w:val="1"/>
        </w:rPr>
        <w:t xml:space="preserve"> 2022b)</w:t>
      </w:r>
      <w:r w:rsidRPr="009365B9">
        <w:rPr>
          <w:rFonts w:asciiTheme="majorHAnsi" w:hAnsiTheme="majorHAnsi" w:cstheme="majorHAnsi"/>
          <w:spacing w:val="1"/>
        </w:rPr>
        <w:t>.</w:t>
      </w:r>
      <w:r>
        <w:rPr>
          <w:rFonts w:asciiTheme="majorHAnsi" w:hAnsiTheme="majorHAnsi" w:cstheme="majorHAnsi"/>
          <w:spacing w:val="1"/>
        </w:rPr>
        <w:t xml:space="preserve"> </w:t>
      </w:r>
      <w:r w:rsidR="000D076A" w:rsidRPr="000D076A">
        <w:rPr>
          <w:rFonts w:asciiTheme="majorHAnsi" w:hAnsiTheme="majorHAnsi" w:cstheme="majorHAnsi"/>
          <w:spacing w:val="1"/>
        </w:rPr>
        <w:t xml:space="preserve">When PAPR is applied to soil, the mono-calcium phosphate present in it is </w:t>
      </w:r>
      <w:proofErr w:type="spellStart"/>
      <w:r w:rsidR="000D076A" w:rsidRPr="000D076A">
        <w:rPr>
          <w:rFonts w:asciiTheme="majorHAnsi" w:hAnsiTheme="majorHAnsi" w:cstheme="majorHAnsi"/>
          <w:spacing w:val="1"/>
        </w:rPr>
        <w:t>hydrolyzed</w:t>
      </w:r>
      <w:proofErr w:type="spellEnd"/>
      <w:r w:rsidR="000D076A" w:rsidRPr="000D076A">
        <w:rPr>
          <w:rFonts w:asciiTheme="majorHAnsi" w:hAnsiTheme="majorHAnsi" w:cstheme="majorHAnsi"/>
          <w:spacing w:val="1"/>
        </w:rPr>
        <w:t xml:space="preserve"> to H</w:t>
      </w:r>
      <w:r w:rsidR="000D076A" w:rsidRPr="000D076A">
        <w:rPr>
          <w:rFonts w:asciiTheme="majorHAnsi" w:hAnsiTheme="majorHAnsi" w:cstheme="majorHAnsi"/>
          <w:spacing w:val="1"/>
          <w:vertAlign w:val="subscript"/>
        </w:rPr>
        <w:t>3</w:t>
      </w:r>
      <w:r w:rsidR="000D076A" w:rsidRPr="000D076A">
        <w:rPr>
          <w:rFonts w:asciiTheme="majorHAnsi" w:hAnsiTheme="majorHAnsi" w:cstheme="majorHAnsi"/>
          <w:spacing w:val="1"/>
        </w:rPr>
        <w:t>PO</w:t>
      </w:r>
      <w:r w:rsidR="000D076A" w:rsidRPr="000D076A">
        <w:rPr>
          <w:rFonts w:asciiTheme="majorHAnsi" w:hAnsiTheme="majorHAnsi" w:cstheme="majorHAnsi"/>
          <w:spacing w:val="1"/>
          <w:vertAlign w:val="subscript"/>
        </w:rPr>
        <w:t>4</w:t>
      </w:r>
      <w:r w:rsidR="000D076A" w:rsidRPr="000D076A">
        <w:rPr>
          <w:rFonts w:asciiTheme="majorHAnsi" w:hAnsiTheme="majorHAnsi" w:cstheme="majorHAnsi"/>
          <w:spacing w:val="1"/>
        </w:rPr>
        <w:t xml:space="preserve"> which then reacts with the previously unreacted rock phosphates</w:t>
      </w:r>
      <w:r w:rsidR="000D076A">
        <w:rPr>
          <w:rFonts w:asciiTheme="majorHAnsi" w:hAnsiTheme="majorHAnsi" w:cstheme="majorHAnsi"/>
          <w:spacing w:val="1"/>
        </w:rPr>
        <w:t>.</w:t>
      </w:r>
      <w:r w:rsidR="000D076A" w:rsidRPr="000D076A">
        <w:rPr>
          <w:rFonts w:asciiTheme="majorHAnsi" w:hAnsiTheme="majorHAnsi" w:cstheme="majorHAnsi"/>
          <w:spacing w:val="1"/>
        </w:rPr>
        <w:t xml:space="preserve"> </w:t>
      </w:r>
      <w:r>
        <w:rPr>
          <w:rFonts w:asciiTheme="majorHAnsi" w:hAnsiTheme="majorHAnsi" w:cstheme="majorHAnsi"/>
          <w:spacing w:val="1"/>
        </w:rPr>
        <w:t xml:space="preserve">Thus, activity of alkaline phosphatase is maximum reported in P </w:t>
      </w:r>
      <w:r w:rsidR="000D076A">
        <w:rPr>
          <w:rFonts w:asciiTheme="majorHAnsi" w:hAnsiTheme="majorHAnsi" w:cstheme="majorHAnsi"/>
          <w:spacing w:val="1"/>
        </w:rPr>
        <w:t>deficient soil and result of our study is parallel with the findings.</w:t>
      </w:r>
    </w:p>
    <w:p w14:paraId="0EBECE8D" w14:textId="5B09F4CA" w:rsidR="009365B9" w:rsidRDefault="000D076A" w:rsidP="000D076A">
      <w:pPr>
        <w:pStyle w:val="ListParagraph"/>
        <w:numPr>
          <w:ilvl w:val="0"/>
          <w:numId w:val="1"/>
        </w:numPr>
        <w:spacing w:line="360" w:lineRule="auto"/>
        <w:jc w:val="both"/>
        <w:rPr>
          <w:rFonts w:asciiTheme="majorHAnsi" w:hAnsiTheme="majorHAnsi" w:cstheme="majorHAnsi"/>
          <w:b/>
          <w:bCs/>
          <w:spacing w:val="1"/>
        </w:rPr>
      </w:pPr>
      <w:r w:rsidRPr="000D076A">
        <w:rPr>
          <w:rFonts w:asciiTheme="majorHAnsi" w:hAnsiTheme="majorHAnsi" w:cstheme="majorHAnsi"/>
          <w:b/>
          <w:bCs/>
          <w:spacing w:val="1"/>
        </w:rPr>
        <w:t xml:space="preserve">Conclusion </w:t>
      </w:r>
    </w:p>
    <w:p w14:paraId="45F49389" w14:textId="5E46DCDF" w:rsidR="005B7310" w:rsidRDefault="000D076A" w:rsidP="000D076A">
      <w:pPr>
        <w:spacing w:line="360" w:lineRule="auto"/>
        <w:jc w:val="both"/>
        <w:rPr>
          <w:rFonts w:asciiTheme="majorHAnsi" w:hAnsiTheme="majorHAnsi" w:cstheme="majorHAnsi"/>
          <w:spacing w:val="1"/>
        </w:rPr>
      </w:pPr>
      <w:r>
        <w:rPr>
          <w:rFonts w:asciiTheme="majorHAnsi" w:hAnsiTheme="majorHAnsi" w:cstheme="majorHAnsi"/>
          <w:spacing w:val="1"/>
        </w:rPr>
        <w:t xml:space="preserve">The findings of the study revealed that application of DAP and PAPR in 50:50 proportion (T7) can augment the maize growth, yield, and productivity. In most of the yield parameters and P uptake this fertilizer mixture outperforming the sole application of PAPR, PR and no P </w:t>
      </w:r>
      <w:r>
        <w:rPr>
          <w:rFonts w:asciiTheme="majorHAnsi" w:hAnsiTheme="majorHAnsi" w:cstheme="majorHAnsi"/>
          <w:spacing w:val="1"/>
        </w:rPr>
        <w:lastRenderedPageBreak/>
        <w:t>treatments but it is at par with DAP (RDF) with an increment. The P uptake, RAE and P recovery index indicate</w:t>
      </w:r>
      <w:r w:rsidR="00366306">
        <w:rPr>
          <w:rFonts w:asciiTheme="majorHAnsi" w:hAnsiTheme="majorHAnsi" w:cstheme="majorHAnsi"/>
          <w:spacing w:val="1"/>
        </w:rPr>
        <w:t>s</w:t>
      </w:r>
      <w:r>
        <w:rPr>
          <w:rFonts w:asciiTheme="majorHAnsi" w:hAnsiTheme="majorHAnsi" w:cstheme="majorHAnsi"/>
          <w:spacing w:val="1"/>
        </w:rPr>
        <w:t xml:space="preserve"> that role of PAPR as a slow released fertilizer</w:t>
      </w:r>
      <w:r w:rsidR="00366306">
        <w:rPr>
          <w:rFonts w:asciiTheme="majorHAnsi" w:hAnsiTheme="majorHAnsi" w:cstheme="majorHAnsi"/>
          <w:spacing w:val="1"/>
        </w:rPr>
        <w:t xml:space="preserve">, which has the P supply ability throughout the vegetative phase of crop growth. The biomass yield and root weight at the time of the flowering are key indicator of this finding. </w:t>
      </w:r>
      <w:r w:rsidR="00495D64">
        <w:rPr>
          <w:rFonts w:asciiTheme="majorHAnsi" w:hAnsiTheme="majorHAnsi" w:cstheme="majorHAnsi"/>
          <w:spacing w:val="1"/>
        </w:rPr>
        <w:t xml:space="preserve">The available P content of post-harvest soil convey the residual ability in nourishing the P to the next crop. </w:t>
      </w:r>
      <w:r w:rsidR="00366306">
        <w:rPr>
          <w:rFonts w:asciiTheme="majorHAnsi" w:hAnsiTheme="majorHAnsi" w:cstheme="majorHAnsi"/>
          <w:spacing w:val="1"/>
        </w:rPr>
        <w:t xml:space="preserve">The alkaline phosphatase activity during flowering is the key indicator of P limitation, </w:t>
      </w:r>
      <w:r w:rsidR="005B7310">
        <w:rPr>
          <w:rFonts w:asciiTheme="majorHAnsi" w:hAnsiTheme="majorHAnsi" w:cstheme="majorHAnsi"/>
          <w:spacing w:val="1"/>
        </w:rPr>
        <w:t>which also suggest slow supply of P by PAPR. The experiment takes a note that use of DAP and PAPR fertilizer mixture not only reduce the dependency on DAP, but also augment the yield of the maize crop.</w:t>
      </w:r>
    </w:p>
    <w:p w14:paraId="607989EB" w14:textId="0AC0C2CA" w:rsidR="006A7C7F" w:rsidRPr="006A7C7F" w:rsidRDefault="006A7C7F" w:rsidP="006A7C7F">
      <w:pPr>
        <w:spacing w:line="360" w:lineRule="auto"/>
        <w:jc w:val="both"/>
        <w:rPr>
          <w:rFonts w:asciiTheme="majorHAnsi" w:hAnsiTheme="majorHAnsi" w:cstheme="majorHAnsi"/>
          <w:b/>
          <w:bCs/>
          <w:spacing w:val="1"/>
        </w:rPr>
      </w:pPr>
      <w:r w:rsidRPr="006A7C7F">
        <w:rPr>
          <w:rFonts w:asciiTheme="majorHAnsi" w:hAnsiTheme="majorHAnsi" w:cstheme="majorHAnsi"/>
          <w:b/>
          <w:bCs/>
          <w:spacing w:val="1"/>
        </w:rPr>
        <w:t>REFERENCES</w:t>
      </w:r>
    </w:p>
    <w:p w14:paraId="31ACE2CD"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Ashby, D. L., Fenster, W. E., and </w:t>
      </w:r>
      <w:proofErr w:type="spellStart"/>
      <w:r w:rsidRPr="00B8608B">
        <w:rPr>
          <w:rFonts w:ascii="Times New Roman" w:hAnsi="Times New Roman" w:cs="Times New Roman"/>
          <w:color w:val="222222"/>
          <w:shd w:val="clear" w:color="auto" w:fill="FFFFFF"/>
        </w:rPr>
        <w:t>Attoe</w:t>
      </w:r>
      <w:proofErr w:type="spellEnd"/>
      <w:r w:rsidRPr="00B8608B">
        <w:rPr>
          <w:rFonts w:ascii="Times New Roman" w:hAnsi="Times New Roman" w:cs="Times New Roman"/>
          <w:color w:val="222222"/>
          <w:shd w:val="clear" w:color="auto" w:fill="FFFFFF"/>
        </w:rPr>
        <w:t xml:space="preserve">, O. J. (1966). Effect of partial acidulation and elemental </w:t>
      </w:r>
      <w:proofErr w:type="spellStart"/>
      <w:r w:rsidRPr="00B8608B">
        <w:rPr>
          <w:rFonts w:ascii="Times New Roman" w:hAnsi="Times New Roman" w:cs="Times New Roman"/>
          <w:color w:val="222222"/>
          <w:shd w:val="clear" w:color="auto" w:fill="FFFFFF"/>
        </w:rPr>
        <w:t>sulfur</w:t>
      </w:r>
      <w:proofErr w:type="spellEnd"/>
      <w:r w:rsidRPr="00B8608B">
        <w:rPr>
          <w:rFonts w:ascii="Times New Roman" w:hAnsi="Times New Roman" w:cs="Times New Roman"/>
          <w:color w:val="222222"/>
          <w:shd w:val="clear" w:color="auto" w:fill="FFFFFF"/>
        </w:rPr>
        <w:t xml:space="preserve"> on availability of phosphorus in rock phosphate 1. </w:t>
      </w:r>
      <w:r w:rsidRPr="00B8608B">
        <w:rPr>
          <w:rFonts w:ascii="Times New Roman" w:hAnsi="Times New Roman" w:cs="Times New Roman"/>
          <w:i/>
          <w:iCs/>
          <w:color w:val="222222"/>
          <w:shd w:val="clear" w:color="auto" w:fill="FFFFFF"/>
        </w:rPr>
        <w:t>Agronomy Journal</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58</w:t>
      </w:r>
      <w:r w:rsidRPr="00B8608B">
        <w:rPr>
          <w:rFonts w:ascii="Times New Roman" w:hAnsi="Times New Roman" w:cs="Times New Roman"/>
          <w:color w:val="222222"/>
          <w:shd w:val="clear" w:color="auto" w:fill="FFFFFF"/>
        </w:rPr>
        <w:t>(6), 621-625.</w:t>
      </w:r>
    </w:p>
    <w:p w14:paraId="50859190"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Biswas, D. R., and </w:t>
      </w:r>
      <w:proofErr w:type="spellStart"/>
      <w:r w:rsidRPr="00B8608B">
        <w:rPr>
          <w:rFonts w:ascii="Times New Roman" w:hAnsi="Times New Roman" w:cs="Times New Roman"/>
          <w:color w:val="222222"/>
          <w:shd w:val="clear" w:color="auto" w:fill="FFFFFF"/>
        </w:rPr>
        <w:t>Narayanasamy</w:t>
      </w:r>
      <w:proofErr w:type="spellEnd"/>
      <w:r w:rsidRPr="00B8608B">
        <w:rPr>
          <w:rFonts w:ascii="Times New Roman" w:hAnsi="Times New Roman" w:cs="Times New Roman"/>
          <w:color w:val="222222"/>
          <w:shd w:val="clear" w:color="auto" w:fill="FFFFFF"/>
        </w:rPr>
        <w:t>, G. (1995). Characterization of partially acidulated phosphate rocks. </w:t>
      </w:r>
      <w:r w:rsidRPr="00B8608B">
        <w:rPr>
          <w:rFonts w:ascii="Times New Roman" w:hAnsi="Times New Roman" w:cs="Times New Roman"/>
          <w:i/>
          <w:iCs/>
          <w:color w:val="222222"/>
          <w:shd w:val="clear" w:color="auto" w:fill="FFFFFF"/>
        </w:rPr>
        <w:t>Journal of the Indian Society of Soil Science</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43</w:t>
      </w:r>
      <w:r w:rsidRPr="00B8608B">
        <w:rPr>
          <w:rFonts w:ascii="Times New Roman" w:hAnsi="Times New Roman" w:cs="Times New Roman"/>
          <w:color w:val="222222"/>
          <w:shd w:val="clear" w:color="auto" w:fill="FFFFFF"/>
        </w:rPr>
        <w:t>(4), 618-623.</w:t>
      </w:r>
    </w:p>
    <w:p w14:paraId="2F2E18E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color w:val="222222"/>
          <w:shd w:val="clear" w:color="auto" w:fill="FFFFFF"/>
        </w:rPr>
        <w:t xml:space="preserve">Biswas, S. S., Biswas, D. R., &amp; Roy, T. (2022b). Oxalic-acid-treated low-grade rock phosphate can supplement conventional phosphorus fertilizer to grow wheat in </w:t>
      </w:r>
      <w:proofErr w:type="spellStart"/>
      <w:r w:rsidRPr="00B8608B">
        <w:rPr>
          <w:rFonts w:ascii="Times New Roman" w:hAnsi="Times New Roman" w:cs="Times New Roman"/>
          <w:color w:val="222222"/>
          <w:shd w:val="clear" w:color="auto" w:fill="FFFFFF"/>
        </w:rPr>
        <w:t>Alfisol</w:t>
      </w:r>
      <w:proofErr w:type="spellEnd"/>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Journal of Soil Science and Plant Nutrition</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22</w:t>
      </w:r>
      <w:r w:rsidRPr="00B8608B">
        <w:rPr>
          <w:rFonts w:ascii="Times New Roman" w:hAnsi="Times New Roman" w:cs="Times New Roman"/>
          <w:color w:val="222222"/>
          <w:shd w:val="clear" w:color="auto" w:fill="FFFFFF"/>
        </w:rPr>
        <w:t>(2), 1885-1893.</w:t>
      </w:r>
    </w:p>
    <w:p w14:paraId="167E3CB9"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Biswas, S. S., Biswas, D. R., Ghosh, A., Sarkar, A., Das, A., and Roy, T. (2022a). Phosphate solubilizing bacteria inoculated low-grade rock phosphate can supplement P fertilizer to grow wheat in sub-tropical </w:t>
      </w:r>
      <w:proofErr w:type="spellStart"/>
      <w:r w:rsidRPr="00B8608B">
        <w:rPr>
          <w:rFonts w:ascii="Times New Roman" w:hAnsi="Times New Roman" w:cs="Times New Roman"/>
          <w:shd w:val="clear" w:color="auto" w:fill="FFFFFF"/>
        </w:rPr>
        <w:t>inceptisol</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Rhizosphere</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23</w:t>
      </w:r>
      <w:r w:rsidRPr="00B8608B">
        <w:rPr>
          <w:rFonts w:ascii="Times New Roman" w:hAnsi="Times New Roman" w:cs="Times New Roman"/>
          <w:shd w:val="clear" w:color="auto" w:fill="FFFFFF"/>
        </w:rPr>
        <w:t>, 100556.</w:t>
      </w:r>
    </w:p>
    <w:p w14:paraId="03EC40C7"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Bray, R. H., and Kurtz, L. T. (1945). Determination of total, organic, and available forms of phosphorus in soils. </w:t>
      </w:r>
      <w:r w:rsidRPr="00B8608B">
        <w:rPr>
          <w:rFonts w:ascii="Times New Roman" w:hAnsi="Times New Roman" w:cs="Times New Roman"/>
          <w:i/>
          <w:iCs/>
          <w:color w:val="222222"/>
          <w:shd w:val="clear" w:color="auto" w:fill="FFFFFF"/>
        </w:rPr>
        <w:t>Soil science</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59</w:t>
      </w:r>
      <w:r w:rsidRPr="00B8608B">
        <w:rPr>
          <w:rFonts w:ascii="Times New Roman" w:hAnsi="Times New Roman" w:cs="Times New Roman"/>
          <w:color w:val="222222"/>
          <w:shd w:val="clear" w:color="auto" w:fill="FFFFFF"/>
        </w:rPr>
        <w:t>(1), 39-46.</w:t>
      </w:r>
    </w:p>
    <w:p w14:paraId="197DD548"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Che, J., </w:t>
      </w:r>
      <w:proofErr w:type="spellStart"/>
      <w:r w:rsidRPr="00B8608B">
        <w:rPr>
          <w:rFonts w:ascii="Times New Roman" w:hAnsi="Times New Roman" w:cs="Times New Roman"/>
          <w:shd w:val="clear" w:color="auto" w:fill="FFFFFF"/>
        </w:rPr>
        <w:t>Yamaji</w:t>
      </w:r>
      <w:proofErr w:type="spellEnd"/>
      <w:r w:rsidRPr="00B8608B">
        <w:rPr>
          <w:rFonts w:ascii="Times New Roman" w:hAnsi="Times New Roman" w:cs="Times New Roman"/>
          <w:shd w:val="clear" w:color="auto" w:fill="FFFFFF"/>
        </w:rPr>
        <w:t xml:space="preserve">, N., Miyaji, T., </w:t>
      </w:r>
      <w:proofErr w:type="spellStart"/>
      <w:r w:rsidRPr="00B8608B">
        <w:rPr>
          <w:rFonts w:ascii="Times New Roman" w:hAnsi="Times New Roman" w:cs="Times New Roman"/>
          <w:shd w:val="clear" w:color="auto" w:fill="FFFFFF"/>
        </w:rPr>
        <w:t>Mitani</w:t>
      </w:r>
      <w:proofErr w:type="spellEnd"/>
      <w:r w:rsidRPr="00B8608B">
        <w:rPr>
          <w:rFonts w:ascii="Times New Roman" w:hAnsi="Times New Roman" w:cs="Times New Roman"/>
          <w:shd w:val="clear" w:color="auto" w:fill="FFFFFF"/>
        </w:rPr>
        <w:t>-Ueno, N., Kato, Y., Shen, R. F., and Ma, J. F. (2020). Node-localized transporters of phosphorus essential for seed development in rice. </w:t>
      </w:r>
      <w:r w:rsidRPr="00B8608B">
        <w:rPr>
          <w:rFonts w:ascii="Times New Roman" w:hAnsi="Times New Roman" w:cs="Times New Roman"/>
          <w:i/>
          <w:iCs/>
          <w:shd w:val="clear" w:color="auto" w:fill="FFFFFF"/>
        </w:rPr>
        <w:t>Plant and Cell Physiology</w:t>
      </w:r>
      <w:r w:rsidRPr="00B8608B">
        <w:rPr>
          <w:rFonts w:ascii="Times New Roman" w:hAnsi="Times New Roman" w:cs="Times New Roman"/>
          <w:shd w:val="clear" w:color="auto" w:fill="FFFFFF"/>
        </w:rPr>
        <w:t>, </w:t>
      </w:r>
      <w:r w:rsidRPr="00B8608B">
        <w:rPr>
          <w:rFonts w:ascii="Times New Roman" w:hAnsi="Times New Roman" w:cs="Times New Roman"/>
          <w:i/>
          <w:iCs/>
          <w:shd w:val="clear" w:color="auto" w:fill="FFFFFF"/>
        </w:rPr>
        <w:t>61</w:t>
      </w:r>
      <w:r w:rsidRPr="00B8608B">
        <w:rPr>
          <w:rFonts w:ascii="Times New Roman" w:hAnsi="Times New Roman" w:cs="Times New Roman"/>
          <w:shd w:val="clear" w:color="auto" w:fill="FFFFFF"/>
        </w:rPr>
        <w:t>(8), 1387-1398.</w:t>
      </w:r>
    </w:p>
    <w:p w14:paraId="0B6BED79"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proofErr w:type="spellStart"/>
      <w:r w:rsidRPr="00B8608B">
        <w:rPr>
          <w:rFonts w:ascii="Times New Roman" w:hAnsi="Times New Roman" w:cs="Times New Roman"/>
          <w:color w:val="222222"/>
          <w:shd w:val="clear" w:color="auto" w:fill="FFFFFF"/>
        </w:rPr>
        <w:t>Chien</w:t>
      </w:r>
      <w:proofErr w:type="spellEnd"/>
      <w:r w:rsidRPr="00B8608B">
        <w:rPr>
          <w:rFonts w:ascii="Times New Roman" w:hAnsi="Times New Roman" w:cs="Times New Roman"/>
          <w:color w:val="222222"/>
          <w:shd w:val="clear" w:color="auto" w:fill="FFFFFF"/>
        </w:rPr>
        <w:t>, S. H., Sale, P. W. G., &amp; Friesen, D. K. (1990). A discussion of the methods for comparing the relative effectiveness of phosphate fertilizers varying in solubility. </w:t>
      </w:r>
      <w:r w:rsidRPr="00B8608B">
        <w:rPr>
          <w:rFonts w:ascii="Times New Roman" w:hAnsi="Times New Roman" w:cs="Times New Roman"/>
          <w:i/>
          <w:iCs/>
          <w:color w:val="222222"/>
          <w:shd w:val="clear" w:color="auto" w:fill="FFFFFF"/>
        </w:rPr>
        <w:t>Fertilizer research</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24</w:t>
      </w:r>
      <w:r w:rsidRPr="00B8608B">
        <w:rPr>
          <w:rFonts w:ascii="Times New Roman" w:hAnsi="Times New Roman" w:cs="Times New Roman"/>
          <w:color w:val="222222"/>
          <w:shd w:val="clear" w:color="auto" w:fill="FFFFFF"/>
        </w:rPr>
        <w:t>(3), 149-157.</w:t>
      </w:r>
    </w:p>
    <w:p w14:paraId="4681E4EB"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lastRenderedPageBreak/>
        <w:t xml:space="preserve">FAI, (1985). </w:t>
      </w:r>
      <w:r w:rsidRPr="00B8608B">
        <w:rPr>
          <w:rFonts w:ascii="Times New Roman" w:hAnsi="Times New Roman" w:cs="Times New Roman"/>
          <w:i/>
          <w:color w:val="222222"/>
          <w:shd w:val="clear" w:color="auto" w:fill="FFFFFF"/>
        </w:rPr>
        <w:t>Fertilizer (control) order (1985) and Essential Commodities Act</w:t>
      </w:r>
      <w:r w:rsidRPr="00B8608B">
        <w:rPr>
          <w:rFonts w:ascii="Times New Roman" w:hAnsi="Times New Roman" w:cs="Times New Roman"/>
          <w:color w:val="222222"/>
          <w:shd w:val="clear" w:color="auto" w:fill="FFFFFF"/>
        </w:rPr>
        <w:t>, printed by the Fertilizer Association of India, New Delhi.</w:t>
      </w:r>
    </w:p>
    <w:p w14:paraId="0037DA6D"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FAI, (2012). Fertiliser Statistics 2011–2012. The Fertiliser Association of India, New Delhi.</w:t>
      </w:r>
    </w:p>
    <w:p w14:paraId="79C32CE9"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Fukuda, M., Soma, D. M., Iwasaki, S., Nakamura, S., Kanda, T., Ouattara, K., &amp; Nagumo, F. (2021). Site-specific responses of lowland rice to acidulated and calcined phosphate rock fertilizers in the </w:t>
      </w:r>
      <w:proofErr w:type="spellStart"/>
      <w:r w:rsidRPr="00B8608B">
        <w:rPr>
          <w:rFonts w:ascii="Times New Roman" w:hAnsi="Times New Roman" w:cs="Times New Roman"/>
          <w:color w:val="222222"/>
          <w:shd w:val="clear" w:color="auto" w:fill="FFFFFF"/>
        </w:rPr>
        <w:t>Center</w:t>
      </w:r>
      <w:proofErr w:type="spellEnd"/>
      <w:r w:rsidRPr="00B8608B">
        <w:rPr>
          <w:rFonts w:ascii="Times New Roman" w:hAnsi="Times New Roman" w:cs="Times New Roman"/>
          <w:color w:val="222222"/>
          <w:shd w:val="clear" w:color="auto" w:fill="FFFFFF"/>
        </w:rPr>
        <w:t>-West region of Burkina Faso. </w:t>
      </w:r>
      <w:proofErr w:type="spellStart"/>
      <w:r w:rsidRPr="00B8608B">
        <w:rPr>
          <w:rFonts w:ascii="Times New Roman" w:hAnsi="Times New Roman" w:cs="Times New Roman"/>
          <w:i/>
          <w:iCs/>
          <w:color w:val="222222"/>
          <w:shd w:val="clear" w:color="auto" w:fill="FFFFFF"/>
        </w:rPr>
        <w:t>Plos</w:t>
      </w:r>
      <w:proofErr w:type="spellEnd"/>
      <w:r w:rsidRPr="00B8608B">
        <w:rPr>
          <w:rFonts w:ascii="Times New Roman" w:hAnsi="Times New Roman" w:cs="Times New Roman"/>
          <w:i/>
          <w:iCs/>
          <w:color w:val="222222"/>
          <w:shd w:val="clear" w:color="auto" w:fill="FFFFFF"/>
        </w:rPr>
        <w:t xml:space="preserve"> one</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16</w:t>
      </w:r>
      <w:r w:rsidRPr="00B8608B">
        <w:rPr>
          <w:rFonts w:ascii="Times New Roman" w:hAnsi="Times New Roman" w:cs="Times New Roman"/>
          <w:color w:val="222222"/>
          <w:shd w:val="clear" w:color="auto" w:fill="FFFFFF"/>
        </w:rPr>
        <w:t>(4), e0250240.</w:t>
      </w:r>
    </w:p>
    <w:p w14:paraId="4F9ED205"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Hammond, L. L., &amp; Leon, L. A. (1983, </w:t>
      </w:r>
      <w:commentRangeStart w:id="9"/>
      <w:r w:rsidRPr="00B8608B">
        <w:rPr>
          <w:rFonts w:ascii="Times New Roman" w:hAnsi="Times New Roman" w:cs="Times New Roman"/>
          <w:color w:val="222222"/>
          <w:shd w:val="clear" w:color="auto" w:fill="FFFFFF"/>
        </w:rPr>
        <w:t>October</w:t>
      </w:r>
      <w:commentRangeEnd w:id="9"/>
      <w:r w:rsidR="00D82759">
        <w:rPr>
          <w:rStyle w:val="CommentReference"/>
        </w:rPr>
        <w:commentReference w:id="9"/>
      </w:r>
      <w:r w:rsidRPr="00B8608B">
        <w:rPr>
          <w:rFonts w:ascii="Times New Roman" w:hAnsi="Times New Roman" w:cs="Times New Roman"/>
          <w:color w:val="222222"/>
          <w:shd w:val="clear" w:color="auto" w:fill="FFFFFF"/>
        </w:rPr>
        <w:t>). Agronomic effectiveness of natural and altered phosphate rocks from Latin America. In </w:t>
      </w:r>
      <w:r w:rsidRPr="00B8608B">
        <w:rPr>
          <w:rFonts w:ascii="Times New Roman" w:hAnsi="Times New Roman" w:cs="Times New Roman"/>
          <w:i/>
          <w:iCs/>
          <w:color w:val="222222"/>
          <w:shd w:val="clear" w:color="auto" w:fill="FFFFFF"/>
        </w:rPr>
        <w:t>3rd international congress on phosphorus compounds</w:t>
      </w:r>
      <w:r w:rsidRPr="00B8608B">
        <w:rPr>
          <w:rFonts w:ascii="Times New Roman" w:hAnsi="Times New Roman" w:cs="Times New Roman"/>
          <w:color w:val="222222"/>
          <w:shd w:val="clear" w:color="auto" w:fill="FFFFFF"/>
        </w:rPr>
        <w:t> (pp. 503-518).</w:t>
      </w:r>
    </w:p>
    <w:p w14:paraId="1AEBD6EC"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Kumari, K., and </w:t>
      </w:r>
      <w:proofErr w:type="spellStart"/>
      <w:r w:rsidRPr="00B8608B">
        <w:rPr>
          <w:rFonts w:ascii="Times New Roman" w:hAnsi="Times New Roman" w:cs="Times New Roman"/>
          <w:shd w:val="clear" w:color="auto" w:fill="FFFFFF"/>
        </w:rPr>
        <w:t>Phogat</w:t>
      </w:r>
      <w:proofErr w:type="spellEnd"/>
      <w:r w:rsidRPr="00B8608B">
        <w:rPr>
          <w:rFonts w:ascii="Times New Roman" w:hAnsi="Times New Roman" w:cs="Times New Roman"/>
          <w:shd w:val="clear" w:color="auto" w:fill="FFFFFF"/>
        </w:rPr>
        <w:t xml:space="preserve">, V. K. (2008). Rock phosphate: Its availability and solubilization in the soil–A review. </w:t>
      </w:r>
      <w:r w:rsidRPr="00B8608B">
        <w:rPr>
          <w:rFonts w:ascii="Times New Roman" w:hAnsi="Times New Roman" w:cs="Times New Roman"/>
          <w:i/>
          <w:iCs/>
          <w:shd w:val="clear" w:color="auto" w:fill="FFFFFF"/>
        </w:rPr>
        <w:t>Agricultural Reviews</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29</w:t>
      </w:r>
      <w:r w:rsidRPr="00B8608B">
        <w:rPr>
          <w:rFonts w:ascii="Times New Roman" w:hAnsi="Times New Roman" w:cs="Times New Roman"/>
          <w:shd w:val="clear" w:color="auto" w:fill="FFFFFF"/>
        </w:rPr>
        <w:t>(2), 108-116.</w:t>
      </w:r>
    </w:p>
    <w:p w14:paraId="64A0CBB0"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McLachlan, K. D. (1980). Acid phosphatase activity of intact roots and phosphorus nutrition in plants. 1. Assay conditions and phosphatase activity. </w:t>
      </w:r>
      <w:r w:rsidRPr="00B8608B">
        <w:rPr>
          <w:rFonts w:ascii="Times New Roman" w:hAnsi="Times New Roman" w:cs="Times New Roman"/>
          <w:i/>
          <w:iCs/>
          <w:color w:val="222222"/>
          <w:shd w:val="clear" w:color="auto" w:fill="FFFFFF"/>
        </w:rPr>
        <w:t>Australian Journal of Agricultural Research</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31</w:t>
      </w:r>
      <w:r w:rsidRPr="00B8608B">
        <w:rPr>
          <w:rFonts w:ascii="Times New Roman" w:hAnsi="Times New Roman" w:cs="Times New Roman"/>
          <w:color w:val="222222"/>
          <w:shd w:val="clear" w:color="auto" w:fill="FFFFFF"/>
        </w:rPr>
        <w:t>(3), 429-440.</w:t>
      </w:r>
    </w:p>
    <w:p w14:paraId="07B3025F" w14:textId="77131BF9"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proofErr w:type="spellStart"/>
      <w:r w:rsidRPr="00B8608B">
        <w:rPr>
          <w:rFonts w:ascii="Times New Roman" w:hAnsi="Times New Roman" w:cs="Times New Roman"/>
          <w:shd w:val="clear" w:color="auto" w:fill="FFFFFF"/>
        </w:rPr>
        <w:t>Narayanasamy</w:t>
      </w:r>
      <w:proofErr w:type="spellEnd"/>
      <w:r w:rsidRPr="00B8608B">
        <w:rPr>
          <w:rFonts w:ascii="Times New Roman" w:hAnsi="Times New Roman" w:cs="Times New Roman"/>
          <w:shd w:val="clear" w:color="auto" w:fill="FFFFFF"/>
        </w:rPr>
        <w:t xml:space="preserve">, G., and Biswas, D. R. (1998). Phosphate rocks of India: Potentialities and constraints. </w:t>
      </w:r>
      <w:r w:rsidRPr="00B8608B">
        <w:rPr>
          <w:rFonts w:ascii="Times New Roman" w:hAnsi="Times New Roman" w:cs="Times New Roman"/>
          <w:i/>
          <w:iCs/>
          <w:shd w:val="clear" w:color="auto" w:fill="FFFFFF"/>
        </w:rPr>
        <w:t>Fertiliser news</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43</w:t>
      </w:r>
      <w:r w:rsidRPr="00B8608B">
        <w:rPr>
          <w:rFonts w:ascii="Times New Roman" w:hAnsi="Times New Roman" w:cs="Times New Roman"/>
          <w:shd w:val="clear" w:color="auto" w:fill="FFFFFF"/>
        </w:rPr>
        <w:t>(10).</w:t>
      </w:r>
      <w:commentRangeStart w:id="10"/>
      <w:r w:rsidR="00D82759">
        <w:rPr>
          <w:rFonts w:ascii="Times New Roman" w:hAnsi="Times New Roman" w:cs="Times New Roman"/>
          <w:shd w:val="clear" w:color="auto" w:fill="FFFFFF"/>
        </w:rPr>
        <w:t>------</w:t>
      </w:r>
      <w:commentRangeEnd w:id="10"/>
      <w:r w:rsidR="00D82759">
        <w:rPr>
          <w:rStyle w:val="CommentReference"/>
        </w:rPr>
        <w:commentReference w:id="10"/>
      </w:r>
    </w:p>
    <w:p w14:paraId="796EAB68" w14:textId="32C8BA7B"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bookmarkStart w:id="11" w:name="_Hlk209557363"/>
      <w:proofErr w:type="spellStart"/>
      <w:r w:rsidRPr="00B8608B">
        <w:rPr>
          <w:rFonts w:ascii="Times New Roman" w:hAnsi="Times New Roman" w:cs="Times New Roman"/>
          <w:shd w:val="clear" w:color="auto" w:fill="FFFFFF"/>
        </w:rPr>
        <w:t>Ndeleko-Barasa</w:t>
      </w:r>
      <w:bookmarkEnd w:id="11"/>
      <w:proofErr w:type="spellEnd"/>
      <w:r w:rsidRPr="00B8608B">
        <w:rPr>
          <w:rFonts w:ascii="Times New Roman" w:hAnsi="Times New Roman" w:cs="Times New Roman"/>
          <w:shd w:val="clear" w:color="auto" w:fill="FFFFFF"/>
        </w:rPr>
        <w:t xml:space="preserve">, E. M., </w:t>
      </w:r>
      <w:proofErr w:type="spellStart"/>
      <w:r w:rsidRPr="00B8608B">
        <w:rPr>
          <w:rFonts w:ascii="Times New Roman" w:hAnsi="Times New Roman" w:cs="Times New Roman"/>
          <w:shd w:val="clear" w:color="auto" w:fill="FFFFFF"/>
        </w:rPr>
        <w:t>Mucheru-Muna</w:t>
      </w:r>
      <w:proofErr w:type="spellEnd"/>
      <w:r w:rsidRPr="00B8608B">
        <w:rPr>
          <w:rFonts w:ascii="Times New Roman" w:hAnsi="Times New Roman" w:cs="Times New Roman"/>
          <w:shd w:val="clear" w:color="auto" w:fill="FFFFFF"/>
        </w:rPr>
        <w:t xml:space="preserve">, M. W., and </w:t>
      </w:r>
      <w:proofErr w:type="spellStart"/>
      <w:r w:rsidRPr="00B8608B">
        <w:rPr>
          <w:rFonts w:ascii="Times New Roman" w:hAnsi="Times New Roman" w:cs="Times New Roman"/>
          <w:shd w:val="clear" w:color="auto" w:fill="FFFFFF"/>
        </w:rPr>
        <w:t>Ngetich</w:t>
      </w:r>
      <w:proofErr w:type="spellEnd"/>
      <w:r w:rsidRPr="00B8608B">
        <w:rPr>
          <w:rFonts w:ascii="Times New Roman" w:hAnsi="Times New Roman" w:cs="Times New Roman"/>
          <w:shd w:val="clear" w:color="auto" w:fill="FFFFFF"/>
        </w:rPr>
        <w:t xml:space="preserve">, K. F. (2021). Agronomic and financial benefits of direct </w:t>
      </w:r>
      <w:proofErr w:type="spellStart"/>
      <w:r w:rsidRPr="00B8608B">
        <w:rPr>
          <w:rFonts w:ascii="Times New Roman" w:hAnsi="Times New Roman" w:cs="Times New Roman"/>
          <w:shd w:val="clear" w:color="auto" w:fill="FFFFFF"/>
        </w:rPr>
        <w:t>Minjingu</w:t>
      </w:r>
      <w:proofErr w:type="spellEnd"/>
      <w:r w:rsidRPr="00B8608B">
        <w:rPr>
          <w:rFonts w:ascii="Times New Roman" w:hAnsi="Times New Roman" w:cs="Times New Roman"/>
          <w:shd w:val="clear" w:color="auto" w:fill="FFFFFF"/>
        </w:rPr>
        <w:t xml:space="preserve"> phosphate rock use in acidic </w:t>
      </w:r>
      <w:proofErr w:type="spellStart"/>
      <w:r w:rsidRPr="00B8608B">
        <w:rPr>
          <w:rFonts w:ascii="Times New Roman" w:hAnsi="Times New Roman" w:cs="Times New Roman"/>
          <w:shd w:val="clear" w:color="auto" w:fill="FFFFFF"/>
        </w:rPr>
        <w:t>humic</w:t>
      </w:r>
      <w:proofErr w:type="spellEnd"/>
      <w:r w:rsidRPr="00B8608B">
        <w:rPr>
          <w:rFonts w:ascii="Times New Roman" w:hAnsi="Times New Roman" w:cs="Times New Roman"/>
          <w:shd w:val="clear" w:color="auto" w:fill="FFFFFF"/>
        </w:rPr>
        <w:t xml:space="preserve"> </w:t>
      </w:r>
      <w:proofErr w:type="spellStart"/>
      <w:r w:rsidRPr="00B8608B">
        <w:rPr>
          <w:rFonts w:ascii="Times New Roman" w:hAnsi="Times New Roman" w:cs="Times New Roman"/>
          <w:shd w:val="clear" w:color="auto" w:fill="FFFFFF"/>
        </w:rPr>
        <w:t>nitisols</w:t>
      </w:r>
      <w:proofErr w:type="spellEnd"/>
      <w:r w:rsidRPr="00B8608B">
        <w:rPr>
          <w:rFonts w:ascii="Times New Roman" w:hAnsi="Times New Roman" w:cs="Times New Roman"/>
          <w:shd w:val="clear" w:color="auto" w:fill="FFFFFF"/>
        </w:rPr>
        <w:t xml:space="preserve"> of Upper Eastern Kenya. </w:t>
      </w:r>
      <w:proofErr w:type="spellStart"/>
      <w:r w:rsidRPr="00B8608B">
        <w:rPr>
          <w:rFonts w:ascii="Times New Roman" w:hAnsi="Times New Roman" w:cs="Times New Roman"/>
          <w:i/>
          <w:iCs/>
          <w:shd w:val="clear" w:color="auto" w:fill="FFFFFF"/>
        </w:rPr>
        <w:t>Heliyon</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b/>
          <w:bCs/>
          <w:shd w:val="clear" w:color="auto" w:fill="FFFFFF"/>
        </w:rPr>
        <w:t>7</w:t>
      </w:r>
      <w:r w:rsidRPr="00B8608B">
        <w:rPr>
          <w:rFonts w:ascii="Times New Roman" w:hAnsi="Times New Roman" w:cs="Times New Roman"/>
          <w:shd w:val="clear" w:color="auto" w:fill="FFFFFF"/>
        </w:rPr>
        <w:t>(11).</w:t>
      </w:r>
      <w:commentRangeStart w:id="12"/>
      <w:r w:rsidR="00D82759">
        <w:rPr>
          <w:rFonts w:ascii="Times New Roman" w:hAnsi="Times New Roman" w:cs="Times New Roman"/>
          <w:shd w:val="clear" w:color="auto" w:fill="FFFFFF"/>
        </w:rPr>
        <w:t>-------</w:t>
      </w:r>
      <w:commentRangeEnd w:id="12"/>
      <w:r w:rsidR="00D82759">
        <w:rPr>
          <w:rStyle w:val="CommentReference"/>
        </w:rPr>
        <w:commentReference w:id="12"/>
      </w:r>
    </w:p>
    <w:p w14:paraId="25B2BE20" w14:textId="77777777" w:rsidR="006A7C7F" w:rsidRPr="00B8608B" w:rsidRDefault="006A7C7F" w:rsidP="006A7C7F">
      <w:pPr>
        <w:spacing w:line="360" w:lineRule="auto"/>
        <w:ind w:left="851" w:hanging="851"/>
        <w:jc w:val="both"/>
        <w:rPr>
          <w:rFonts w:ascii="Times New Roman" w:hAnsi="Times New Roman" w:cs="Times New Roman"/>
        </w:rPr>
      </w:pPr>
      <w:proofErr w:type="spellStart"/>
      <w:r w:rsidRPr="00B8608B">
        <w:rPr>
          <w:rFonts w:ascii="Times New Roman" w:hAnsi="Times New Roman" w:cs="Times New Roman"/>
          <w:color w:val="222222"/>
          <w:shd w:val="clear" w:color="auto" w:fill="FFFFFF"/>
        </w:rPr>
        <w:t>Nnadi</w:t>
      </w:r>
      <w:proofErr w:type="spellEnd"/>
      <w:r w:rsidRPr="00B8608B">
        <w:rPr>
          <w:rFonts w:ascii="Times New Roman" w:hAnsi="Times New Roman" w:cs="Times New Roman"/>
          <w:color w:val="222222"/>
          <w:shd w:val="clear" w:color="auto" w:fill="FFFFFF"/>
        </w:rPr>
        <w:t xml:space="preserve">, L. A., and Haque, I. (1988). Agronomic effectiveness of rock phosphate in an </w:t>
      </w:r>
      <w:proofErr w:type="spellStart"/>
      <w:r w:rsidRPr="00B8608B">
        <w:rPr>
          <w:rFonts w:ascii="Times New Roman" w:hAnsi="Times New Roman" w:cs="Times New Roman"/>
          <w:color w:val="222222"/>
          <w:shd w:val="clear" w:color="auto" w:fill="FFFFFF"/>
        </w:rPr>
        <w:t>Andept</w:t>
      </w:r>
      <w:proofErr w:type="spellEnd"/>
      <w:r w:rsidRPr="00B8608B">
        <w:rPr>
          <w:rFonts w:ascii="Times New Roman" w:hAnsi="Times New Roman" w:cs="Times New Roman"/>
          <w:color w:val="222222"/>
          <w:shd w:val="clear" w:color="auto" w:fill="FFFFFF"/>
        </w:rPr>
        <w:t xml:space="preserve"> of Ethiopia. </w:t>
      </w:r>
      <w:r w:rsidRPr="00B8608B">
        <w:rPr>
          <w:rFonts w:ascii="Times New Roman" w:hAnsi="Times New Roman" w:cs="Times New Roman"/>
          <w:i/>
          <w:iCs/>
          <w:color w:val="222222"/>
          <w:shd w:val="clear" w:color="auto" w:fill="FFFFFF"/>
        </w:rPr>
        <w:t>Communications in soil science and plant analysis</w:t>
      </w:r>
      <w:r w:rsidRPr="00B8608B">
        <w:rPr>
          <w:rFonts w:ascii="Times New Roman" w:hAnsi="Times New Roman" w:cs="Times New Roman"/>
          <w:color w:val="222222"/>
          <w:shd w:val="clear" w:color="auto" w:fill="FFFFFF"/>
        </w:rPr>
        <w:t>, </w:t>
      </w:r>
      <w:r w:rsidRPr="00B8608B">
        <w:rPr>
          <w:rFonts w:ascii="Times New Roman" w:hAnsi="Times New Roman" w:cs="Times New Roman"/>
          <w:bCs/>
          <w:i/>
          <w:color w:val="222222"/>
          <w:shd w:val="clear" w:color="auto" w:fill="FFFFFF"/>
        </w:rPr>
        <w:t>19</w:t>
      </w:r>
      <w:r w:rsidRPr="00B8608B">
        <w:rPr>
          <w:rFonts w:ascii="Times New Roman" w:hAnsi="Times New Roman" w:cs="Times New Roman"/>
          <w:color w:val="222222"/>
          <w:shd w:val="clear" w:color="auto" w:fill="FFFFFF"/>
        </w:rPr>
        <w:t>(1), 79-90.</w:t>
      </w:r>
    </w:p>
    <w:p w14:paraId="5534A984" w14:textId="77777777" w:rsidR="006A7C7F" w:rsidRPr="00B8608B" w:rsidRDefault="006A7C7F" w:rsidP="006A7C7F">
      <w:pPr>
        <w:autoSpaceDE w:val="0"/>
        <w:autoSpaceDN w:val="0"/>
        <w:adjustRightInd w:val="0"/>
        <w:spacing w:after="0" w:line="360" w:lineRule="auto"/>
        <w:ind w:left="720" w:right="-46" w:hanging="720"/>
        <w:jc w:val="both"/>
        <w:rPr>
          <w:rFonts w:ascii="Times New Roman" w:hAnsi="Times New Roman" w:cs="Times New Roman"/>
        </w:rPr>
      </w:pPr>
      <w:r w:rsidRPr="00B8608B">
        <w:rPr>
          <w:rFonts w:ascii="Times New Roman" w:hAnsi="Times New Roman" w:cs="Times New Roman"/>
        </w:rPr>
        <w:t xml:space="preserve">Olsen, S.R., and Sommers, L.E.  (1982). Phosphorus. pp. 403-430. </w:t>
      </w:r>
      <w:r w:rsidRPr="00B8608B">
        <w:rPr>
          <w:rFonts w:ascii="Times New Roman" w:hAnsi="Times New Roman" w:cs="Times New Roman"/>
          <w:i/>
          <w:iCs/>
        </w:rPr>
        <w:t>In</w:t>
      </w:r>
      <w:r w:rsidRPr="00B8608B">
        <w:rPr>
          <w:rFonts w:ascii="Times New Roman" w:hAnsi="Times New Roman" w:cs="Times New Roman"/>
        </w:rPr>
        <w:t>: A.L. Page. R.H. Miller, and D.R. Keeney (eds.), Methods of Soil Analysis. 2nd ed. Agronomy Series No.9, Part 2. Soil Science Society of America, Inc., Madison, WI.</w:t>
      </w:r>
    </w:p>
    <w:p w14:paraId="60580943"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Rashmi, C., and Prakash, S. (2023). Effect of Nano Phosphorus Fertilizers on Growth and Yield of Maize (</w:t>
      </w:r>
      <w:commentRangeStart w:id="13"/>
      <w:proofErr w:type="spellStart"/>
      <w:r w:rsidRPr="00B8608B">
        <w:rPr>
          <w:rFonts w:ascii="Times New Roman" w:hAnsi="Times New Roman" w:cs="Times New Roman"/>
          <w:color w:val="222222"/>
          <w:shd w:val="clear" w:color="auto" w:fill="FFFFFF"/>
        </w:rPr>
        <w:t>Zea</w:t>
      </w:r>
      <w:proofErr w:type="spellEnd"/>
      <w:r w:rsidRPr="00B8608B">
        <w:rPr>
          <w:rFonts w:ascii="Times New Roman" w:hAnsi="Times New Roman" w:cs="Times New Roman"/>
          <w:color w:val="222222"/>
          <w:shd w:val="clear" w:color="auto" w:fill="FFFFFF"/>
        </w:rPr>
        <w:t xml:space="preserve"> mays</w:t>
      </w:r>
      <w:commentRangeEnd w:id="13"/>
      <w:r w:rsidR="00D82759">
        <w:rPr>
          <w:rStyle w:val="CommentReference"/>
        </w:rPr>
        <w:commentReference w:id="13"/>
      </w:r>
      <w:r w:rsidRPr="00B8608B">
        <w:rPr>
          <w:rFonts w:ascii="Times New Roman" w:hAnsi="Times New Roman" w:cs="Times New Roman"/>
          <w:color w:val="222222"/>
          <w:shd w:val="clear" w:color="auto" w:fill="FFFFFF"/>
        </w:rPr>
        <w:t xml:space="preserve"> L.) in Central Dry Zone of Karnataka. </w:t>
      </w:r>
      <w:r w:rsidRPr="00B8608B">
        <w:rPr>
          <w:rFonts w:ascii="Times New Roman" w:hAnsi="Times New Roman" w:cs="Times New Roman"/>
          <w:i/>
          <w:iCs/>
          <w:color w:val="222222"/>
          <w:shd w:val="clear" w:color="auto" w:fill="FFFFFF"/>
        </w:rPr>
        <w:t>Mysore Journal of Agricultural Sci</w:t>
      </w:r>
      <w:r w:rsidRPr="00B8608B">
        <w:rPr>
          <w:rFonts w:ascii="Times New Roman" w:hAnsi="Times New Roman" w:cs="Times New Roman"/>
          <w:color w:val="222222"/>
          <w:shd w:val="clear" w:color="auto" w:fill="FFFFFF"/>
        </w:rPr>
        <w:t>ences, </w:t>
      </w:r>
      <w:r w:rsidRPr="00B8608B">
        <w:rPr>
          <w:rFonts w:ascii="Times New Roman" w:hAnsi="Times New Roman" w:cs="Times New Roman"/>
          <w:bCs/>
          <w:i/>
          <w:color w:val="222222"/>
          <w:shd w:val="clear" w:color="auto" w:fill="FFFFFF"/>
        </w:rPr>
        <w:t>57</w:t>
      </w:r>
      <w:r w:rsidRPr="00B8608B">
        <w:rPr>
          <w:rFonts w:ascii="Times New Roman" w:hAnsi="Times New Roman" w:cs="Times New Roman"/>
          <w:color w:val="222222"/>
          <w:shd w:val="clear" w:color="auto" w:fill="FFFFFF"/>
        </w:rPr>
        <w:t>(2), 286-293.</w:t>
      </w:r>
    </w:p>
    <w:p w14:paraId="2C684727"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lastRenderedPageBreak/>
        <w:t xml:space="preserve">Roy, T., Biswas, D. R., Datta, S. C., Dwivedi, B. S., Bandyopadhyay, K. K., Sarkar, A., and Shahi, D. K. (2015). Solubilization of Purulia rock phosphate through organic acid loaded </w:t>
      </w:r>
      <w:proofErr w:type="spellStart"/>
      <w:r w:rsidRPr="00B8608B">
        <w:rPr>
          <w:rFonts w:ascii="Times New Roman" w:hAnsi="Times New Roman" w:cs="Times New Roman"/>
          <w:shd w:val="clear" w:color="auto" w:fill="FFFFFF"/>
        </w:rPr>
        <w:t>nanoclay</w:t>
      </w:r>
      <w:proofErr w:type="spellEnd"/>
      <w:r w:rsidRPr="00B8608B">
        <w:rPr>
          <w:rFonts w:ascii="Times New Roman" w:hAnsi="Times New Roman" w:cs="Times New Roman"/>
          <w:shd w:val="clear" w:color="auto" w:fill="FFFFFF"/>
        </w:rPr>
        <w:t xml:space="preserve"> polymer composite and phosphate solubilizing bacteria and its effectiveness as P-fertilizer to wheat. </w:t>
      </w:r>
      <w:r w:rsidRPr="00B8608B">
        <w:rPr>
          <w:rFonts w:ascii="Times New Roman" w:hAnsi="Times New Roman" w:cs="Times New Roman"/>
          <w:i/>
          <w:iCs/>
          <w:shd w:val="clear" w:color="auto" w:fill="FFFFFF"/>
        </w:rPr>
        <w:t>Journal of the Indian Society of Soil Science</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63</w:t>
      </w:r>
      <w:r w:rsidRPr="00B8608B">
        <w:rPr>
          <w:rFonts w:ascii="Times New Roman" w:hAnsi="Times New Roman" w:cs="Times New Roman"/>
          <w:shd w:val="clear" w:color="auto" w:fill="FFFFFF"/>
        </w:rPr>
        <w:t>(3), 327-338.</w:t>
      </w:r>
    </w:p>
    <w:p w14:paraId="377E67A7"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Ryan, P. R., Liao, M., Delhaize, E., </w:t>
      </w:r>
      <w:proofErr w:type="spellStart"/>
      <w:r w:rsidRPr="00B8608B">
        <w:rPr>
          <w:rFonts w:ascii="Times New Roman" w:hAnsi="Times New Roman" w:cs="Times New Roman"/>
          <w:color w:val="222222"/>
          <w:shd w:val="clear" w:color="auto" w:fill="FFFFFF"/>
        </w:rPr>
        <w:t>Rebetzke</w:t>
      </w:r>
      <w:proofErr w:type="spellEnd"/>
      <w:r w:rsidRPr="00B8608B">
        <w:rPr>
          <w:rFonts w:ascii="Times New Roman" w:hAnsi="Times New Roman" w:cs="Times New Roman"/>
          <w:color w:val="222222"/>
          <w:shd w:val="clear" w:color="auto" w:fill="FFFFFF"/>
        </w:rPr>
        <w:t xml:space="preserve">, G. J., </w:t>
      </w:r>
      <w:proofErr w:type="spellStart"/>
      <w:r w:rsidRPr="00B8608B">
        <w:rPr>
          <w:rFonts w:ascii="Times New Roman" w:hAnsi="Times New Roman" w:cs="Times New Roman"/>
          <w:color w:val="222222"/>
          <w:shd w:val="clear" w:color="auto" w:fill="FFFFFF"/>
        </w:rPr>
        <w:t>Weligama</w:t>
      </w:r>
      <w:proofErr w:type="spellEnd"/>
      <w:r w:rsidRPr="00B8608B">
        <w:rPr>
          <w:rFonts w:ascii="Times New Roman" w:hAnsi="Times New Roman" w:cs="Times New Roman"/>
          <w:color w:val="222222"/>
          <w:shd w:val="clear" w:color="auto" w:fill="FFFFFF"/>
        </w:rPr>
        <w:t xml:space="preserve">, C., </w:t>
      </w:r>
      <w:proofErr w:type="spellStart"/>
      <w:r w:rsidRPr="00B8608B">
        <w:rPr>
          <w:rFonts w:ascii="Times New Roman" w:hAnsi="Times New Roman" w:cs="Times New Roman"/>
          <w:color w:val="222222"/>
          <w:shd w:val="clear" w:color="auto" w:fill="FFFFFF"/>
        </w:rPr>
        <w:t>Spielmeyer</w:t>
      </w:r>
      <w:proofErr w:type="spellEnd"/>
      <w:r w:rsidRPr="00B8608B">
        <w:rPr>
          <w:rFonts w:ascii="Times New Roman" w:hAnsi="Times New Roman" w:cs="Times New Roman"/>
          <w:color w:val="222222"/>
          <w:shd w:val="clear" w:color="auto" w:fill="FFFFFF"/>
        </w:rPr>
        <w:t>, W., &amp; James, R. A. (2015). Early vigour improves phosphate uptake in wheat. </w:t>
      </w:r>
      <w:r w:rsidRPr="00B8608B">
        <w:rPr>
          <w:rFonts w:ascii="Times New Roman" w:hAnsi="Times New Roman" w:cs="Times New Roman"/>
          <w:i/>
          <w:iCs/>
          <w:color w:val="222222"/>
          <w:shd w:val="clear" w:color="auto" w:fill="FFFFFF"/>
        </w:rPr>
        <w:t>Journal of Experimental Botany</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66</w:t>
      </w:r>
      <w:r w:rsidRPr="00B8608B">
        <w:rPr>
          <w:rFonts w:ascii="Times New Roman" w:hAnsi="Times New Roman" w:cs="Times New Roman"/>
          <w:color w:val="222222"/>
          <w:shd w:val="clear" w:color="auto" w:fill="FFFFFF"/>
        </w:rPr>
        <w:t>(22), 7089-7100.</w:t>
      </w:r>
    </w:p>
    <w:p w14:paraId="075B4C43"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r w:rsidRPr="00B8608B">
        <w:rPr>
          <w:rFonts w:ascii="Times New Roman" w:hAnsi="Times New Roman" w:cs="Times New Roman"/>
          <w:color w:val="222222"/>
          <w:shd w:val="clear" w:color="auto" w:fill="FFFFFF"/>
        </w:rPr>
        <w:t xml:space="preserve">Saied, H. S., </w:t>
      </w:r>
      <w:proofErr w:type="spellStart"/>
      <w:r w:rsidRPr="00B8608B">
        <w:rPr>
          <w:rFonts w:ascii="Times New Roman" w:hAnsi="Times New Roman" w:cs="Times New Roman"/>
          <w:color w:val="222222"/>
          <w:shd w:val="clear" w:color="auto" w:fill="FFFFFF"/>
        </w:rPr>
        <w:t>Aboelenin</w:t>
      </w:r>
      <w:proofErr w:type="spellEnd"/>
      <w:r w:rsidRPr="00B8608B">
        <w:rPr>
          <w:rFonts w:ascii="Times New Roman" w:hAnsi="Times New Roman" w:cs="Times New Roman"/>
          <w:color w:val="222222"/>
          <w:shd w:val="clear" w:color="auto" w:fill="FFFFFF"/>
        </w:rPr>
        <w:t xml:space="preserve">, S. M., </w:t>
      </w:r>
      <w:proofErr w:type="spellStart"/>
      <w:r w:rsidRPr="00B8608B">
        <w:rPr>
          <w:rFonts w:ascii="Times New Roman" w:hAnsi="Times New Roman" w:cs="Times New Roman"/>
          <w:color w:val="222222"/>
          <w:shd w:val="clear" w:color="auto" w:fill="FFFFFF"/>
        </w:rPr>
        <w:t>Kesba</w:t>
      </w:r>
      <w:proofErr w:type="spellEnd"/>
      <w:r w:rsidRPr="00B8608B">
        <w:rPr>
          <w:rFonts w:ascii="Times New Roman" w:hAnsi="Times New Roman" w:cs="Times New Roman"/>
          <w:color w:val="222222"/>
          <w:shd w:val="clear" w:color="auto" w:fill="FFFFFF"/>
        </w:rPr>
        <w:t>, H., El-</w:t>
      </w:r>
      <w:proofErr w:type="spellStart"/>
      <w:r w:rsidRPr="00B8608B">
        <w:rPr>
          <w:rFonts w:ascii="Times New Roman" w:hAnsi="Times New Roman" w:cs="Times New Roman"/>
          <w:color w:val="222222"/>
          <w:shd w:val="clear" w:color="auto" w:fill="FFFFFF"/>
        </w:rPr>
        <w:t>Sherbieny</w:t>
      </w:r>
      <w:proofErr w:type="spellEnd"/>
      <w:r w:rsidRPr="00B8608B">
        <w:rPr>
          <w:rFonts w:ascii="Times New Roman" w:hAnsi="Times New Roman" w:cs="Times New Roman"/>
          <w:color w:val="222222"/>
          <w:shd w:val="clear" w:color="auto" w:fill="FFFFFF"/>
        </w:rPr>
        <w:t xml:space="preserve">, A. E., Helmy, A. M., </w:t>
      </w:r>
      <w:proofErr w:type="spellStart"/>
      <w:r w:rsidRPr="00B8608B">
        <w:rPr>
          <w:rFonts w:ascii="Times New Roman" w:hAnsi="Times New Roman" w:cs="Times New Roman"/>
          <w:color w:val="222222"/>
          <w:shd w:val="clear" w:color="auto" w:fill="FFFFFF"/>
        </w:rPr>
        <w:t>Dahdouh</w:t>
      </w:r>
      <w:proofErr w:type="spellEnd"/>
      <w:r w:rsidRPr="00B8608B">
        <w:rPr>
          <w:rFonts w:ascii="Times New Roman" w:hAnsi="Times New Roman" w:cs="Times New Roman"/>
          <w:color w:val="222222"/>
          <w:shd w:val="clear" w:color="auto" w:fill="FFFFFF"/>
        </w:rPr>
        <w:t>, S. M., &amp; Soliman, M. M. (2022). Chemical evaluation of partially acidulated phosphate rocks and their impact on dry matter yield and phosphorus uptake of maize. </w:t>
      </w:r>
      <w:r w:rsidRPr="00B8608B">
        <w:rPr>
          <w:rFonts w:ascii="Times New Roman" w:hAnsi="Times New Roman" w:cs="Times New Roman"/>
          <w:i/>
          <w:iCs/>
          <w:color w:val="222222"/>
          <w:shd w:val="clear" w:color="auto" w:fill="FFFFFF"/>
        </w:rPr>
        <w:t>Saudi Journal of Biological Sciences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29</w:t>
      </w:r>
      <w:r w:rsidRPr="00B8608B">
        <w:rPr>
          <w:rFonts w:ascii="Times New Roman" w:hAnsi="Times New Roman" w:cs="Times New Roman"/>
          <w:color w:val="222222"/>
          <w:shd w:val="clear" w:color="auto" w:fill="FFFFFF"/>
        </w:rPr>
        <w:t>(5), 3511-3518.</w:t>
      </w:r>
    </w:p>
    <w:p w14:paraId="54894A9B" w14:textId="77777777" w:rsidR="006A7C7F" w:rsidRPr="00B8608B" w:rsidRDefault="006A7C7F" w:rsidP="006A7C7F">
      <w:pPr>
        <w:spacing w:before="100" w:beforeAutospacing="1" w:after="100" w:afterAutospacing="1" w:line="360" w:lineRule="auto"/>
        <w:ind w:left="720" w:hanging="720"/>
        <w:jc w:val="both"/>
        <w:rPr>
          <w:rFonts w:ascii="Times New Roman" w:hAnsi="Times New Roman" w:cs="Times New Roman"/>
          <w:shd w:val="clear" w:color="auto" w:fill="FFFFFF"/>
        </w:rPr>
      </w:pPr>
      <w:r w:rsidRPr="00B8608B">
        <w:rPr>
          <w:rFonts w:ascii="Times New Roman" w:hAnsi="Times New Roman" w:cs="Times New Roman"/>
          <w:shd w:val="clear" w:color="auto" w:fill="FFFFFF"/>
        </w:rPr>
        <w:t xml:space="preserve">Sarkar, A., Biswas, D. R., Datta, S. C., Roy, T., </w:t>
      </w:r>
      <w:proofErr w:type="spellStart"/>
      <w:r w:rsidRPr="00B8608B">
        <w:rPr>
          <w:rFonts w:ascii="Times New Roman" w:hAnsi="Times New Roman" w:cs="Times New Roman"/>
          <w:shd w:val="clear" w:color="auto" w:fill="FFFFFF"/>
        </w:rPr>
        <w:t>Moharana</w:t>
      </w:r>
      <w:proofErr w:type="spellEnd"/>
      <w:r w:rsidRPr="00B8608B">
        <w:rPr>
          <w:rFonts w:ascii="Times New Roman" w:hAnsi="Times New Roman" w:cs="Times New Roman"/>
          <w:shd w:val="clear" w:color="auto" w:fill="FFFFFF"/>
        </w:rPr>
        <w:t xml:space="preserve">, P. C., Biswas, S. S., and Ghosh, A. (2018). Polymer coated novel controlled release rock phosphate formulations for improving phosphorus use efficiency by wheat in an </w:t>
      </w:r>
      <w:proofErr w:type="spellStart"/>
      <w:r w:rsidRPr="00B8608B">
        <w:rPr>
          <w:rFonts w:ascii="Times New Roman" w:hAnsi="Times New Roman" w:cs="Times New Roman"/>
          <w:shd w:val="clear" w:color="auto" w:fill="FFFFFF"/>
        </w:rPr>
        <w:t>Inceptisol</w:t>
      </w:r>
      <w:proofErr w:type="spellEnd"/>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Soil and Tillage Research</w:t>
      </w:r>
      <w:r w:rsidRPr="00B8608B">
        <w:rPr>
          <w:rFonts w:ascii="Times New Roman" w:hAnsi="Times New Roman" w:cs="Times New Roman"/>
          <w:shd w:val="clear" w:color="auto" w:fill="FFFFFF"/>
        </w:rPr>
        <w:t xml:space="preserve">, </w:t>
      </w:r>
      <w:r w:rsidRPr="00B8608B">
        <w:rPr>
          <w:rFonts w:ascii="Times New Roman" w:hAnsi="Times New Roman" w:cs="Times New Roman"/>
          <w:i/>
          <w:iCs/>
          <w:shd w:val="clear" w:color="auto" w:fill="FFFFFF"/>
        </w:rPr>
        <w:t>180</w:t>
      </w:r>
      <w:r w:rsidRPr="00B8608B">
        <w:rPr>
          <w:rFonts w:ascii="Times New Roman" w:hAnsi="Times New Roman" w:cs="Times New Roman"/>
          <w:shd w:val="clear" w:color="auto" w:fill="FFFFFF"/>
        </w:rPr>
        <w:t>, 48-62.</w:t>
      </w:r>
    </w:p>
    <w:p w14:paraId="31FFF2DA" w14:textId="77777777" w:rsidR="006A7C7F" w:rsidRPr="00B8608B" w:rsidRDefault="006A7C7F" w:rsidP="006A7C7F">
      <w:pPr>
        <w:spacing w:line="360" w:lineRule="auto"/>
        <w:ind w:left="851" w:hanging="851"/>
        <w:jc w:val="both"/>
        <w:rPr>
          <w:rFonts w:ascii="Times New Roman" w:hAnsi="Times New Roman" w:cs="Times New Roman"/>
          <w:shd w:val="clear" w:color="auto" w:fill="FFFFFF"/>
        </w:rPr>
      </w:pPr>
      <w:r w:rsidRPr="00B8608B">
        <w:rPr>
          <w:rFonts w:ascii="Times New Roman" w:hAnsi="Times New Roman" w:cs="Times New Roman"/>
          <w:shd w:val="clear" w:color="auto" w:fill="FFFFFF"/>
        </w:rPr>
        <w:t>Suh, S., and Yee, S. (2011). Phosphorus use-efficiency of agriculture and food system in the US. </w:t>
      </w:r>
      <w:r w:rsidRPr="00B8608B">
        <w:rPr>
          <w:rFonts w:ascii="Times New Roman" w:hAnsi="Times New Roman" w:cs="Times New Roman"/>
          <w:i/>
          <w:iCs/>
          <w:shd w:val="clear" w:color="auto" w:fill="FFFFFF"/>
        </w:rPr>
        <w:t>Chemosphere</w:t>
      </w:r>
      <w:r w:rsidRPr="00B8608B">
        <w:rPr>
          <w:rFonts w:ascii="Times New Roman" w:hAnsi="Times New Roman" w:cs="Times New Roman"/>
          <w:shd w:val="clear" w:color="auto" w:fill="FFFFFF"/>
        </w:rPr>
        <w:t>, </w:t>
      </w:r>
      <w:r w:rsidRPr="00B8608B">
        <w:rPr>
          <w:rFonts w:ascii="Times New Roman" w:hAnsi="Times New Roman" w:cs="Times New Roman"/>
          <w:bCs/>
          <w:i/>
          <w:shd w:val="clear" w:color="auto" w:fill="FFFFFF"/>
        </w:rPr>
        <w:t>84</w:t>
      </w:r>
      <w:r w:rsidRPr="00B8608B">
        <w:rPr>
          <w:rFonts w:ascii="Times New Roman" w:hAnsi="Times New Roman" w:cs="Times New Roman"/>
          <w:shd w:val="clear" w:color="auto" w:fill="FFFFFF"/>
        </w:rPr>
        <w:t>(6), 806-813.</w:t>
      </w:r>
    </w:p>
    <w:p w14:paraId="4314672B" w14:textId="77777777" w:rsidR="006A7C7F" w:rsidRPr="00B8608B" w:rsidRDefault="006A7C7F" w:rsidP="006A7C7F">
      <w:pPr>
        <w:spacing w:line="360" w:lineRule="auto"/>
        <w:ind w:left="709" w:hanging="709"/>
        <w:jc w:val="both"/>
        <w:rPr>
          <w:rFonts w:ascii="Times New Roman" w:hAnsi="Times New Roman" w:cs="Times New Roman"/>
          <w:color w:val="222222"/>
          <w:shd w:val="clear" w:color="auto" w:fill="FFFFFF"/>
        </w:rPr>
      </w:pPr>
      <w:proofErr w:type="spellStart"/>
      <w:r w:rsidRPr="00B8608B">
        <w:rPr>
          <w:rFonts w:ascii="Times New Roman" w:hAnsi="Times New Roman" w:cs="Times New Roman"/>
          <w:color w:val="222222"/>
          <w:shd w:val="clear" w:color="auto" w:fill="FFFFFF"/>
        </w:rPr>
        <w:t>Svistoonoff</w:t>
      </w:r>
      <w:proofErr w:type="spellEnd"/>
      <w:r w:rsidRPr="00B8608B">
        <w:rPr>
          <w:rFonts w:ascii="Times New Roman" w:hAnsi="Times New Roman" w:cs="Times New Roman"/>
          <w:color w:val="222222"/>
          <w:shd w:val="clear" w:color="auto" w:fill="FFFFFF"/>
        </w:rPr>
        <w:t xml:space="preserve">, S., </w:t>
      </w:r>
      <w:proofErr w:type="spellStart"/>
      <w:r w:rsidRPr="00B8608B">
        <w:rPr>
          <w:rFonts w:ascii="Times New Roman" w:hAnsi="Times New Roman" w:cs="Times New Roman"/>
          <w:color w:val="222222"/>
          <w:shd w:val="clear" w:color="auto" w:fill="FFFFFF"/>
        </w:rPr>
        <w:t>Creff</w:t>
      </w:r>
      <w:proofErr w:type="spellEnd"/>
      <w:r w:rsidRPr="00B8608B">
        <w:rPr>
          <w:rFonts w:ascii="Times New Roman" w:hAnsi="Times New Roman" w:cs="Times New Roman"/>
          <w:color w:val="222222"/>
          <w:shd w:val="clear" w:color="auto" w:fill="FFFFFF"/>
        </w:rPr>
        <w:t xml:space="preserve">, A., </w:t>
      </w:r>
      <w:proofErr w:type="spellStart"/>
      <w:r w:rsidRPr="00B8608B">
        <w:rPr>
          <w:rFonts w:ascii="Times New Roman" w:hAnsi="Times New Roman" w:cs="Times New Roman"/>
          <w:color w:val="222222"/>
          <w:shd w:val="clear" w:color="auto" w:fill="FFFFFF"/>
        </w:rPr>
        <w:t>Reymond</w:t>
      </w:r>
      <w:proofErr w:type="spellEnd"/>
      <w:r w:rsidRPr="00B8608B">
        <w:rPr>
          <w:rFonts w:ascii="Times New Roman" w:hAnsi="Times New Roman" w:cs="Times New Roman"/>
          <w:color w:val="222222"/>
          <w:shd w:val="clear" w:color="auto" w:fill="FFFFFF"/>
        </w:rPr>
        <w:t xml:space="preserve">, M., </w:t>
      </w:r>
      <w:proofErr w:type="spellStart"/>
      <w:r w:rsidRPr="00B8608B">
        <w:rPr>
          <w:rFonts w:ascii="Times New Roman" w:hAnsi="Times New Roman" w:cs="Times New Roman"/>
          <w:color w:val="222222"/>
          <w:shd w:val="clear" w:color="auto" w:fill="FFFFFF"/>
        </w:rPr>
        <w:t>Sigoillot</w:t>
      </w:r>
      <w:proofErr w:type="spellEnd"/>
      <w:r w:rsidRPr="00B8608B">
        <w:rPr>
          <w:rFonts w:ascii="Times New Roman" w:hAnsi="Times New Roman" w:cs="Times New Roman"/>
          <w:color w:val="222222"/>
          <w:shd w:val="clear" w:color="auto" w:fill="FFFFFF"/>
        </w:rPr>
        <w:t xml:space="preserve">-Claude, C., </w:t>
      </w:r>
      <w:proofErr w:type="spellStart"/>
      <w:r w:rsidRPr="00B8608B">
        <w:rPr>
          <w:rFonts w:ascii="Times New Roman" w:hAnsi="Times New Roman" w:cs="Times New Roman"/>
          <w:color w:val="222222"/>
          <w:shd w:val="clear" w:color="auto" w:fill="FFFFFF"/>
        </w:rPr>
        <w:t>Ricaud</w:t>
      </w:r>
      <w:proofErr w:type="spellEnd"/>
      <w:r w:rsidRPr="00B8608B">
        <w:rPr>
          <w:rFonts w:ascii="Times New Roman" w:hAnsi="Times New Roman" w:cs="Times New Roman"/>
          <w:color w:val="222222"/>
          <w:shd w:val="clear" w:color="auto" w:fill="FFFFFF"/>
        </w:rPr>
        <w:t xml:space="preserve">, L., Blanchet, A., </w:t>
      </w:r>
      <w:commentRangeStart w:id="14"/>
      <w:r w:rsidRPr="00B8608B">
        <w:rPr>
          <w:rFonts w:ascii="Times New Roman" w:hAnsi="Times New Roman" w:cs="Times New Roman"/>
          <w:color w:val="222222"/>
          <w:shd w:val="clear" w:color="auto" w:fill="FFFFFF"/>
        </w:rPr>
        <w:t>...</w:t>
      </w:r>
      <w:commentRangeEnd w:id="14"/>
      <w:r w:rsidR="00D82759">
        <w:rPr>
          <w:rStyle w:val="CommentReference"/>
        </w:rPr>
        <w:commentReference w:id="14"/>
      </w:r>
      <w:r w:rsidRPr="00B8608B">
        <w:rPr>
          <w:rFonts w:ascii="Times New Roman" w:hAnsi="Times New Roman" w:cs="Times New Roman"/>
          <w:color w:val="222222"/>
          <w:shd w:val="clear" w:color="auto" w:fill="FFFFFF"/>
        </w:rPr>
        <w:t xml:space="preserve"> &amp; </w:t>
      </w:r>
      <w:proofErr w:type="spellStart"/>
      <w:r w:rsidRPr="00B8608B">
        <w:rPr>
          <w:rFonts w:ascii="Times New Roman" w:hAnsi="Times New Roman" w:cs="Times New Roman"/>
          <w:color w:val="222222"/>
          <w:shd w:val="clear" w:color="auto" w:fill="FFFFFF"/>
        </w:rPr>
        <w:t>Desnos</w:t>
      </w:r>
      <w:proofErr w:type="spellEnd"/>
      <w:r w:rsidRPr="00B8608B">
        <w:rPr>
          <w:rFonts w:ascii="Times New Roman" w:hAnsi="Times New Roman" w:cs="Times New Roman"/>
          <w:color w:val="222222"/>
          <w:shd w:val="clear" w:color="auto" w:fill="FFFFFF"/>
        </w:rPr>
        <w:t>, T. (2007). Root tip contact with low-phosphate media reprograms plant root architecture. </w:t>
      </w:r>
      <w:r w:rsidRPr="00B8608B">
        <w:rPr>
          <w:rFonts w:ascii="Times New Roman" w:hAnsi="Times New Roman" w:cs="Times New Roman"/>
          <w:i/>
          <w:iCs/>
          <w:color w:val="222222"/>
          <w:shd w:val="clear" w:color="auto" w:fill="FFFFFF"/>
        </w:rPr>
        <w:t>Nature genetics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39</w:t>
      </w:r>
      <w:r w:rsidRPr="00B8608B">
        <w:rPr>
          <w:rFonts w:ascii="Times New Roman" w:hAnsi="Times New Roman" w:cs="Times New Roman"/>
          <w:color w:val="222222"/>
          <w:shd w:val="clear" w:color="auto" w:fill="FFFFFF"/>
        </w:rPr>
        <w:t>(6), 792-796.</w:t>
      </w:r>
    </w:p>
    <w:p w14:paraId="00C6AB86" w14:textId="77777777" w:rsidR="006A7C7F" w:rsidRPr="00B8608B" w:rsidRDefault="006A7C7F" w:rsidP="006A7C7F">
      <w:pPr>
        <w:spacing w:line="360" w:lineRule="auto"/>
        <w:ind w:left="720" w:hanging="720"/>
        <w:jc w:val="both"/>
        <w:rPr>
          <w:rFonts w:ascii="Times New Roman" w:hAnsi="Times New Roman" w:cs="Times New Roman"/>
          <w:color w:val="222222"/>
          <w:shd w:val="clear" w:color="auto" w:fill="FFFFFF"/>
        </w:rPr>
      </w:pPr>
      <w:proofErr w:type="spellStart"/>
      <w:r w:rsidRPr="00B8608B">
        <w:rPr>
          <w:rFonts w:ascii="Times New Roman" w:hAnsi="Times New Roman" w:cs="Times New Roman"/>
          <w:color w:val="222222"/>
          <w:shd w:val="clear" w:color="auto" w:fill="FFFFFF"/>
        </w:rPr>
        <w:t>Tabatabai</w:t>
      </w:r>
      <w:proofErr w:type="spellEnd"/>
      <w:r w:rsidRPr="00B8608B">
        <w:rPr>
          <w:rFonts w:ascii="Times New Roman" w:hAnsi="Times New Roman" w:cs="Times New Roman"/>
          <w:color w:val="222222"/>
          <w:shd w:val="clear" w:color="auto" w:fill="FFFFFF"/>
        </w:rPr>
        <w:t>, M. A. (1994). Soil enzymes. </w:t>
      </w:r>
      <w:r w:rsidRPr="00B8608B">
        <w:rPr>
          <w:rFonts w:ascii="Times New Roman" w:hAnsi="Times New Roman" w:cs="Times New Roman"/>
          <w:i/>
          <w:iCs/>
          <w:color w:val="222222"/>
          <w:shd w:val="clear" w:color="auto" w:fill="FFFFFF"/>
        </w:rPr>
        <w:t>Methods of soil analysis: Part 2 Microbiological and biochemical properties</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5</w:t>
      </w:r>
      <w:r w:rsidRPr="00B8608B">
        <w:rPr>
          <w:rFonts w:ascii="Times New Roman" w:hAnsi="Times New Roman" w:cs="Times New Roman"/>
          <w:color w:val="222222"/>
          <w:shd w:val="clear" w:color="auto" w:fill="FFFFFF"/>
        </w:rPr>
        <w:t>, 775-833.</w:t>
      </w:r>
    </w:p>
    <w:p w14:paraId="60AEF16B" w14:textId="77777777" w:rsidR="006A7C7F" w:rsidRPr="00B8608B" w:rsidRDefault="006A7C7F" w:rsidP="006A7C7F">
      <w:pPr>
        <w:spacing w:line="360" w:lineRule="auto"/>
        <w:ind w:left="709" w:hanging="709"/>
        <w:jc w:val="both"/>
        <w:rPr>
          <w:rFonts w:ascii="Times New Roman" w:hAnsi="Times New Roman" w:cs="Times New Roman"/>
        </w:rPr>
      </w:pPr>
      <w:proofErr w:type="spellStart"/>
      <w:r w:rsidRPr="00B8608B">
        <w:rPr>
          <w:rFonts w:ascii="Times New Roman" w:hAnsi="Times New Roman" w:cs="Times New Roman"/>
          <w:color w:val="222222"/>
          <w:shd w:val="clear" w:color="auto" w:fill="FFFFFF"/>
        </w:rPr>
        <w:t>Tabatabai</w:t>
      </w:r>
      <w:proofErr w:type="spellEnd"/>
      <w:r w:rsidRPr="00B8608B">
        <w:rPr>
          <w:rFonts w:ascii="Times New Roman" w:hAnsi="Times New Roman" w:cs="Times New Roman"/>
          <w:color w:val="222222"/>
          <w:shd w:val="clear" w:color="auto" w:fill="FFFFFF"/>
        </w:rPr>
        <w:t xml:space="preserve">, M. A., &amp; </w:t>
      </w:r>
      <w:proofErr w:type="spellStart"/>
      <w:r w:rsidRPr="00B8608B">
        <w:rPr>
          <w:rFonts w:ascii="Times New Roman" w:hAnsi="Times New Roman" w:cs="Times New Roman"/>
          <w:color w:val="222222"/>
          <w:shd w:val="clear" w:color="auto" w:fill="FFFFFF"/>
        </w:rPr>
        <w:t>Bremner</w:t>
      </w:r>
      <w:proofErr w:type="spellEnd"/>
      <w:r w:rsidRPr="00B8608B">
        <w:rPr>
          <w:rFonts w:ascii="Times New Roman" w:hAnsi="Times New Roman" w:cs="Times New Roman"/>
          <w:color w:val="222222"/>
          <w:shd w:val="clear" w:color="auto" w:fill="FFFFFF"/>
        </w:rPr>
        <w:t>, J. M. (1969). Use of p-nitrophenyl phosphate for assay of soil phosphatase activity. </w:t>
      </w:r>
      <w:r w:rsidRPr="00B8608B">
        <w:rPr>
          <w:rFonts w:ascii="Times New Roman" w:hAnsi="Times New Roman" w:cs="Times New Roman"/>
          <w:i/>
          <w:iCs/>
          <w:color w:val="222222"/>
          <w:shd w:val="clear" w:color="auto" w:fill="FFFFFF"/>
        </w:rPr>
        <w:t>Soil biology and biochemistry</w:t>
      </w:r>
      <w:r w:rsidRPr="00B8608B">
        <w:rPr>
          <w:rFonts w:ascii="Times New Roman" w:hAnsi="Times New Roman" w:cs="Times New Roman"/>
          <w:color w:val="222222"/>
          <w:shd w:val="clear" w:color="auto" w:fill="FFFFFF"/>
        </w:rPr>
        <w:t>, </w:t>
      </w:r>
      <w:r w:rsidRPr="00B8608B">
        <w:rPr>
          <w:rFonts w:ascii="Times New Roman" w:hAnsi="Times New Roman" w:cs="Times New Roman"/>
          <w:i/>
          <w:iCs/>
          <w:color w:val="222222"/>
          <w:shd w:val="clear" w:color="auto" w:fill="FFFFFF"/>
        </w:rPr>
        <w:t>1</w:t>
      </w:r>
      <w:r w:rsidRPr="00B8608B">
        <w:rPr>
          <w:rFonts w:ascii="Times New Roman" w:hAnsi="Times New Roman" w:cs="Times New Roman"/>
          <w:color w:val="222222"/>
          <w:shd w:val="clear" w:color="auto" w:fill="FFFFFF"/>
        </w:rPr>
        <w:t>(4), 301-307.</w:t>
      </w:r>
    </w:p>
    <w:p w14:paraId="6BD188C9" w14:textId="77777777" w:rsidR="006A7C7F" w:rsidRPr="008C0359" w:rsidRDefault="006A7C7F" w:rsidP="000D076A">
      <w:pPr>
        <w:spacing w:line="360" w:lineRule="auto"/>
        <w:jc w:val="both"/>
        <w:rPr>
          <w:rFonts w:asciiTheme="majorHAnsi" w:hAnsiTheme="majorHAnsi" w:cstheme="majorHAnsi"/>
          <w:spacing w:val="1"/>
        </w:rPr>
      </w:pPr>
    </w:p>
    <w:p w14:paraId="24764715" w14:textId="77777777" w:rsidR="00EC4E7C" w:rsidRPr="009425F5" w:rsidRDefault="00EC4E7C" w:rsidP="00EC4E7C">
      <w:pPr>
        <w:spacing w:line="360" w:lineRule="auto"/>
        <w:jc w:val="both"/>
        <w:rPr>
          <w:rFonts w:asciiTheme="majorHAnsi" w:hAnsiTheme="majorHAnsi" w:cstheme="majorHAnsi"/>
          <w:spacing w:val="1"/>
        </w:rPr>
      </w:pPr>
    </w:p>
    <w:p w14:paraId="6CEAECF0" w14:textId="77777777" w:rsidR="00EC4E7C" w:rsidRPr="003747B3" w:rsidRDefault="00EC4E7C" w:rsidP="00762237">
      <w:pPr>
        <w:spacing w:line="360" w:lineRule="auto"/>
        <w:jc w:val="both"/>
        <w:rPr>
          <w:rFonts w:asciiTheme="majorHAnsi" w:hAnsiTheme="majorHAnsi" w:cstheme="majorHAnsi"/>
        </w:rPr>
      </w:pPr>
    </w:p>
    <w:sectPr w:rsidR="00EC4E7C" w:rsidRPr="003747B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kesh Kumar" w:date="2025-10-23T10:54:00Z" w:initials="RK">
    <w:p w14:paraId="342E5391" w14:textId="3445CDA2" w:rsidR="00D82759" w:rsidRDefault="00D82759">
      <w:pPr>
        <w:pStyle w:val="CommentText"/>
      </w:pPr>
      <w:r>
        <w:rPr>
          <w:rStyle w:val="CommentReference"/>
        </w:rPr>
        <w:annotationRef/>
      </w:r>
      <w:r>
        <w:t>First, write full form</w:t>
      </w:r>
    </w:p>
  </w:comment>
  <w:comment w:id="2" w:author="Rakesh Kumar" w:date="2025-10-23T10:11:00Z" w:initials="RK">
    <w:p w14:paraId="2DE96422" w14:textId="1AF0C41E" w:rsidR="00A8543B" w:rsidRDefault="00A8543B">
      <w:pPr>
        <w:pStyle w:val="CommentText"/>
      </w:pPr>
      <w:r>
        <w:rPr>
          <w:rStyle w:val="CommentReference"/>
        </w:rPr>
        <w:annotationRef/>
      </w:r>
      <w:r>
        <w:t>Not found in reference section</w:t>
      </w:r>
    </w:p>
  </w:comment>
  <w:comment w:id="3" w:author="Rakesh Kumar" w:date="2025-10-23T10:19:00Z" w:initials="RK">
    <w:p w14:paraId="42433ACB" w14:textId="28BD9B43" w:rsidR="001F4708" w:rsidRDefault="001F4708">
      <w:pPr>
        <w:pStyle w:val="CommentText"/>
      </w:pPr>
      <w:r>
        <w:rPr>
          <w:rStyle w:val="CommentReference"/>
        </w:rPr>
        <w:annotationRef/>
      </w:r>
      <w:r>
        <w:t>Not found in reference section</w:t>
      </w:r>
    </w:p>
  </w:comment>
  <w:comment w:id="4" w:author="Rakesh Kumar" w:date="2025-10-23T10:22:00Z" w:initials="RK">
    <w:p w14:paraId="0CFA2E76" w14:textId="29A7B2C3" w:rsidR="001F4708" w:rsidRDefault="001F4708">
      <w:pPr>
        <w:pStyle w:val="CommentText"/>
      </w:pPr>
      <w:r>
        <w:rPr>
          <w:rStyle w:val="CommentReference"/>
        </w:rPr>
        <w:annotationRef/>
      </w:r>
      <w:r>
        <w:t>Stover</w:t>
      </w:r>
    </w:p>
  </w:comment>
  <w:comment w:id="5" w:author="Rakesh Kumar" w:date="2025-10-23T10:23:00Z" w:initials="RK">
    <w:p w14:paraId="2181BCE8" w14:textId="7A7015C6" w:rsidR="001F4708" w:rsidRDefault="001F4708">
      <w:pPr>
        <w:pStyle w:val="CommentText"/>
      </w:pPr>
      <w:r>
        <w:rPr>
          <w:rStyle w:val="CommentReference"/>
        </w:rPr>
        <w:annotationRef/>
      </w:r>
      <w:r>
        <w:t>Root</w:t>
      </w:r>
    </w:p>
  </w:comment>
  <w:comment w:id="6" w:author="Rakesh Kumar" w:date="2025-10-23T10:30:00Z" w:initials="RK">
    <w:p w14:paraId="1E6E1801" w14:textId="0AC40E0B" w:rsidR="003D1FA4" w:rsidRDefault="003D1FA4">
      <w:pPr>
        <w:pStyle w:val="CommentText"/>
      </w:pPr>
      <w:r>
        <w:rPr>
          <w:rStyle w:val="CommentReference"/>
        </w:rPr>
        <w:annotationRef/>
      </w:r>
      <w:r>
        <w:t>flowering</w:t>
      </w:r>
    </w:p>
  </w:comment>
  <w:comment w:id="7" w:author="Rakesh Kumar" w:date="2025-10-23T10:41:00Z" w:initials="RK">
    <w:p w14:paraId="2BA7DF19" w14:textId="0E8E55D1" w:rsidR="00371569" w:rsidRDefault="00371569">
      <w:pPr>
        <w:pStyle w:val="CommentText"/>
      </w:pPr>
      <w:r>
        <w:rPr>
          <w:rStyle w:val="CommentReference"/>
        </w:rPr>
        <w:annotationRef/>
      </w:r>
      <w:r>
        <w:t>2018</w:t>
      </w:r>
    </w:p>
  </w:comment>
  <w:comment w:id="8" w:author="Rakesh Kumar" w:date="2025-10-23T10:43:00Z" w:initials="RK">
    <w:p w14:paraId="057EE582" w14:textId="4386F891" w:rsidR="00371569" w:rsidRDefault="00371569">
      <w:pPr>
        <w:pStyle w:val="CommentText"/>
      </w:pPr>
      <w:r>
        <w:rPr>
          <w:rStyle w:val="CommentReference"/>
        </w:rPr>
        <w:annotationRef/>
      </w:r>
      <w:r>
        <w:t>Not found in reference section</w:t>
      </w:r>
    </w:p>
  </w:comment>
  <w:comment w:id="9" w:author="Rakesh Kumar" w:date="2025-10-23T10:46:00Z" w:initials="RK">
    <w:p w14:paraId="46FA95F9" w14:textId="229C2FBD" w:rsidR="00D82759" w:rsidRDefault="00D82759">
      <w:pPr>
        <w:pStyle w:val="CommentText"/>
      </w:pPr>
      <w:r>
        <w:rPr>
          <w:rStyle w:val="CommentReference"/>
        </w:rPr>
        <w:annotationRef/>
      </w:r>
      <w:r>
        <w:t>Delete</w:t>
      </w:r>
    </w:p>
  </w:comment>
  <w:comment w:id="10" w:author="Rakesh Kumar" w:date="2025-10-23T10:47:00Z" w:initials="RK">
    <w:p w14:paraId="33252581" w14:textId="7E6981E1" w:rsidR="00D82759" w:rsidRDefault="00D82759">
      <w:pPr>
        <w:pStyle w:val="CommentText"/>
      </w:pPr>
      <w:r>
        <w:rPr>
          <w:rStyle w:val="CommentReference"/>
        </w:rPr>
        <w:annotationRef/>
      </w:r>
      <w:r>
        <w:t>Page no</w:t>
      </w:r>
    </w:p>
  </w:comment>
  <w:comment w:id="12" w:author="Rakesh Kumar" w:date="2025-10-23T10:47:00Z" w:initials="RK">
    <w:p w14:paraId="59A6BD13" w14:textId="63C50BEC" w:rsidR="00D82759" w:rsidRDefault="00D82759">
      <w:pPr>
        <w:pStyle w:val="CommentText"/>
      </w:pPr>
      <w:r>
        <w:rPr>
          <w:rStyle w:val="CommentReference"/>
        </w:rPr>
        <w:annotationRef/>
      </w:r>
      <w:r>
        <w:t>Page no</w:t>
      </w:r>
    </w:p>
  </w:comment>
  <w:comment w:id="13" w:author="Rakesh Kumar" w:date="2025-10-23T10:48:00Z" w:initials="RK">
    <w:p w14:paraId="196751B3" w14:textId="5DAF9095" w:rsidR="00D82759" w:rsidRDefault="00D82759">
      <w:pPr>
        <w:pStyle w:val="CommentText"/>
      </w:pPr>
      <w:r>
        <w:rPr>
          <w:rStyle w:val="CommentReference"/>
        </w:rPr>
        <w:annotationRef/>
      </w:r>
      <w:r>
        <w:t>Italic</w:t>
      </w:r>
    </w:p>
  </w:comment>
  <w:comment w:id="14" w:author="Rakesh Kumar" w:date="2025-10-23T10:49:00Z" w:initials="RK">
    <w:p w14:paraId="334A9C51" w14:textId="63BF124F" w:rsidR="00D82759" w:rsidRDefault="00D82759">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2E5391" w15:done="0"/>
  <w15:commentEx w15:paraId="2DE96422" w15:done="0"/>
  <w15:commentEx w15:paraId="42433ACB" w15:done="0"/>
  <w15:commentEx w15:paraId="0CFA2E76" w15:done="0"/>
  <w15:commentEx w15:paraId="2181BCE8" w15:done="0"/>
  <w15:commentEx w15:paraId="1E6E1801" w15:done="0"/>
  <w15:commentEx w15:paraId="2BA7DF19" w15:done="0"/>
  <w15:commentEx w15:paraId="057EE582" w15:done="0"/>
  <w15:commentEx w15:paraId="46FA95F9" w15:done="0"/>
  <w15:commentEx w15:paraId="33252581" w15:done="0"/>
  <w15:commentEx w15:paraId="59A6BD13" w15:done="0"/>
  <w15:commentEx w15:paraId="196751B3" w15:done="0"/>
  <w15:commentEx w15:paraId="334A9C5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DB3C2" w14:textId="77777777" w:rsidR="00EA22F1" w:rsidRDefault="00EA22F1" w:rsidP="006D10C4">
      <w:pPr>
        <w:spacing w:after="0" w:line="240" w:lineRule="auto"/>
      </w:pPr>
      <w:r>
        <w:separator/>
      </w:r>
    </w:p>
  </w:endnote>
  <w:endnote w:type="continuationSeparator" w:id="0">
    <w:p w14:paraId="28E37F68" w14:textId="77777777" w:rsidR="00EA22F1" w:rsidRDefault="00EA22F1" w:rsidP="006D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468F" w14:textId="77777777" w:rsidR="006D10C4" w:rsidRDefault="006D10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35375" w14:textId="77777777" w:rsidR="006D10C4" w:rsidRDefault="006D10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8F88" w14:textId="77777777" w:rsidR="006D10C4" w:rsidRDefault="006D10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84EB" w14:textId="77777777" w:rsidR="00EA22F1" w:rsidRDefault="00EA22F1" w:rsidP="006D10C4">
      <w:pPr>
        <w:spacing w:after="0" w:line="240" w:lineRule="auto"/>
      </w:pPr>
      <w:r>
        <w:separator/>
      </w:r>
    </w:p>
  </w:footnote>
  <w:footnote w:type="continuationSeparator" w:id="0">
    <w:p w14:paraId="5D9C8452" w14:textId="77777777" w:rsidR="00EA22F1" w:rsidRDefault="00EA22F1" w:rsidP="006D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1553" w14:textId="3C9BD693" w:rsidR="006D10C4" w:rsidRDefault="00EA22F1">
    <w:pPr>
      <w:pStyle w:val="Header"/>
    </w:pPr>
    <w:r>
      <w:rPr>
        <w:noProof/>
      </w:rPr>
      <w:pict w14:anchorId="0411D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A2003" w14:textId="35B5BA8F" w:rsidR="006D10C4" w:rsidRDefault="00EA22F1">
    <w:pPr>
      <w:pStyle w:val="Header"/>
    </w:pPr>
    <w:r>
      <w:rPr>
        <w:noProof/>
      </w:rPr>
      <w:pict w14:anchorId="166ED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41ED" w14:textId="4D24EF46" w:rsidR="006D10C4" w:rsidRDefault="00EA22F1">
    <w:pPr>
      <w:pStyle w:val="Header"/>
    </w:pPr>
    <w:r>
      <w:rPr>
        <w:noProof/>
      </w:rPr>
      <w:pict w14:anchorId="00A4C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7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76131"/>
    <w:multiLevelType w:val="multilevel"/>
    <w:tmpl w:val="A54255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kesh Kumar">
    <w15:presenceInfo w15:providerId="Windows Live" w15:userId="36d74d2e4b42f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CB"/>
    <w:rsid w:val="000228E3"/>
    <w:rsid w:val="00025BCA"/>
    <w:rsid w:val="00044420"/>
    <w:rsid w:val="0005530F"/>
    <w:rsid w:val="00056F6A"/>
    <w:rsid w:val="0006615C"/>
    <w:rsid w:val="00075211"/>
    <w:rsid w:val="000941AC"/>
    <w:rsid w:val="00095F94"/>
    <w:rsid w:val="000D076A"/>
    <w:rsid w:val="000E142F"/>
    <w:rsid w:val="000E1D94"/>
    <w:rsid w:val="000E50B5"/>
    <w:rsid w:val="00100D18"/>
    <w:rsid w:val="0018332E"/>
    <w:rsid w:val="0019400D"/>
    <w:rsid w:val="001E6E12"/>
    <w:rsid w:val="001F4708"/>
    <w:rsid w:val="001F641C"/>
    <w:rsid w:val="002107D2"/>
    <w:rsid w:val="00215A68"/>
    <w:rsid w:val="00235A76"/>
    <w:rsid w:val="00236007"/>
    <w:rsid w:val="00261C67"/>
    <w:rsid w:val="00273B54"/>
    <w:rsid w:val="00294934"/>
    <w:rsid w:val="002977B2"/>
    <w:rsid w:val="002E5078"/>
    <w:rsid w:val="00305343"/>
    <w:rsid w:val="003107A6"/>
    <w:rsid w:val="00313592"/>
    <w:rsid w:val="003144DB"/>
    <w:rsid w:val="00366306"/>
    <w:rsid w:val="00371569"/>
    <w:rsid w:val="003747B3"/>
    <w:rsid w:val="003913D3"/>
    <w:rsid w:val="00394EFC"/>
    <w:rsid w:val="003C12BF"/>
    <w:rsid w:val="003D1FA4"/>
    <w:rsid w:val="004065A3"/>
    <w:rsid w:val="004156CB"/>
    <w:rsid w:val="00435980"/>
    <w:rsid w:val="00461D8E"/>
    <w:rsid w:val="00466993"/>
    <w:rsid w:val="00495D64"/>
    <w:rsid w:val="004C75B8"/>
    <w:rsid w:val="004D7F59"/>
    <w:rsid w:val="004E6082"/>
    <w:rsid w:val="00531043"/>
    <w:rsid w:val="00533FB3"/>
    <w:rsid w:val="00544C2A"/>
    <w:rsid w:val="005470F2"/>
    <w:rsid w:val="005539E8"/>
    <w:rsid w:val="00570D04"/>
    <w:rsid w:val="0057275A"/>
    <w:rsid w:val="005877CC"/>
    <w:rsid w:val="005B2C27"/>
    <w:rsid w:val="005B7310"/>
    <w:rsid w:val="005C6167"/>
    <w:rsid w:val="005F539D"/>
    <w:rsid w:val="00640228"/>
    <w:rsid w:val="00646389"/>
    <w:rsid w:val="00656200"/>
    <w:rsid w:val="00660879"/>
    <w:rsid w:val="00667431"/>
    <w:rsid w:val="006A7C7F"/>
    <w:rsid w:val="006D10C4"/>
    <w:rsid w:val="007063CD"/>
    <w:rsid w:val="00733872"/>
    <w:rsid w:val="00734C6A"/>
    <w:rsid w:val="007400F3"/>
    <w:rsid w:val="00746A1A"/>
    <w:rsid w:val="00762237"/>
    <w:rsid w:val="00777EE9"/>
    <w:rsid w:val="00790647"/>
    <w:rsid w:val="007C6308"/>
    <w:rsid w:val="00804CE3"/>
    <w:rsid w:val="00817EF3"/>
    <w:rsid w:val="008308B1"/>
    <w:rsid w:val="0084753C"/>
    <w:rsid w:val="00851FB9"/>
    <w:rsid w:val="00854575"/>
    <w:rsid w:val="008739BC"/>
    <w:rsid w:val="008902B1"/>
    <w:rsid w:val="008B4932"/>
    <w:rsid w:val="008C0359"/>
    <w:rsid w:val="009022BF"/>
    <w:rsid w:val="009365B9"/>
    <w:rsid w:val="00937F89"/>
    <w:rsid w:val="0094087A"/>
    <w:rsid w:val="009425F5"/>
    <w:rsid w:val="00993C10"/>
    <w:rsid w:val="00995557"/>
    <w:rsid w:val="009B35ED"/>
    <w:rsid w:val="00A1527A"/>
    <w:rsid w:val="00A52D07"/>
    <w:rsid w:val="00A6353C"/>
    <w:rsid w:val="00A663FD"/>
    <w:rsid w:val="00A80CF0"/>
    <w:rsid w:val="00A8229B"/>
    <w:rsid w:val="00A8543B"/>
    <w:rsid w:val="00AA1CEA"/>
    <w:rsid w:val="00B537C9"/>
    <w:rsid w:val="00B63B85"/>
    <w:rsid w:val="00BB6342"/>
    <w:rsid w:val="00BD2663"/>
    <w:rsid w:val="00BF6A3D"/>
    <w:rsid w:val="00C2586D"/>
    <w:rsid w:val="00C26E30"/>
    <w:rsid w:val="00C33C37"/>
    <w:rsid w:val="00C830D7"/>
    <w:rsid w:val="00CA5DE6"/>
    <w:rsid w:val="00CB183E"/>
    <w:rsid w:val="00CB2097"/>
    <w:rsid w:val="00CD4919"/>
    <w:rsid w:val="00D5654D"/>
    <w:rsid w:val="00D80BE1"/>
    <w:rsid w:val="00D82759"/>
    <w:rsid w:val="00D96D56"/>
    <w:rsid w:val="00DA1B28"/>
    <w:rsid w:val="00DC2718"/>
    <w:rsid w:val="00DC63EB"/>
    <w:rsid w:val="00E2077B"/>
    <w:rsid w:val="00EA22F1"/>
    <w:rsid w:val="00EA24C0"/>
    <w:rsid w:val="00EC2736"/>
    <w:rsid w:val="00EC4E7C"/>
    <w:rsid w:val="00EC5002"/>
    <w:rsid w:val="00ED0597"/>
    <w:rsid w:val="00F0783E"/>
    <w:rsid w:val="00F55C3C"/>
    <w:rsid w:val="00F95425"/>
    <w:rsid w:val="00FA0556"/>
    <w:rsid w:val="00FC2CD5"/>
    <w:rsid w:val="00FC4E33"/>
    <w:rsid w:val="00FC7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B698DA"/>
  <w15:chartTrackingRefBased/>
  <w15:docId w15:val="{7C97146A-A2F5-4D23-9DCF-617EB27F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6CB"/>
    <w:rPr>
      <w:rFonts w:eastAsiaTheme="majorEastAsia" w:cstheme="majorBidi"/>
      <w:color w:val="272727" w:themeColor="text1" w:themeTint="D8"/>
    </w:rPr>
  </w:style>
  <w:style w:type="paragraph" w:styleId="Title">
    <w:name w:val="Title"/>
    <w:basedOn w:val="Normal"/>
    <w:next w:val="Normal"/>
    <w:link w:val="TitleChar"/>
    <w:uiPriority w:val="10"/>
    <w:qFormat/>
    <w:rsid w:val="0041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6CB"/>
    <w:pPr>
      <w:spacing w:before="160"/>
      <w:jc w:val="center"/>
    </w:pPr>
    <w:rPr>
      <w:i/>
      <w:iCs/>
      <w:color w:val="404040" w:themeColor="text1" w:themeTint="BF"/>
    </w:rPr>
  </w:style>
  <w:style w:type="character" w:customStyle="1" w:styleId="QuoteChar">
    <w:name w:val="Quote Char"/>
    <w:basedOn w:val="DefaultParagraphFont"/>
    <w:link w:val="Quote"/>
    <w:uiPriority w:val="29"/>
    <w:rsid w:val="004156CB"/>
    <w:rPr>
      <w:i/>
      <w:iCs/>
      <w:color w:val="404040" w:themeColor="text1" w:themeTint="BF"/>
    </w:rPr>
  </w:style>
  <w:style w:type="paragraph" w:styleId="ListParagraph">
    <w:name w:val="List Paragraph"/>
    <w:basedOn w:val="Normal"/>
    <w:uiPriority w:val="34"/>
    <w:qFormat/>
    <w:rsid w:val="004156CB"/>
    <w:pPr>
      <w:ind w:left="720"/>
      <w:contextualSpacing/>
    </w:pPr>
  </w:style>
  <w:style w:type="character" w:styleId="IntenseEmphasis">
    <w:name w:val="Intense Emphasis"/>
    <w:basedOn w:val="DefaultParagraphFont"/>
    <w:uiPriority w:val="21"/>
    <w:qFormat/>
    <w:rsid w:val="004156CB"/>
    <w:rPr>
      <w:i/>
      <w:iCs/>
      <w:color w:val="0F4761" w:themeColor="accent1" w:themeShade="BF"/>
    </w:rPr>
  </w:style>
  <w:style w:type="paragraph" w:styleId="IntenseQuote">
    <w:name w:val="Intense Quote"/>
    <w:basedOn w:val="Normal"/>
    <w:next w:val="Normal"/>
    <w:link w:val="IntenseQuoteChar"/>
    <w:uiPriority w:val="30"/>
    <w:qFormat/>
    <w:rsid w:val="0041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6CB"/>
    <w:rPr>
      <w:i/>
      <w:iCs/>
      <w:color w:val="0F4761" w:themeColor="accent1" w:themeShade="BF"/>
    </w:rPr>
  </w:style>
  <w:style w:type="character" w:styleId="IntenseReference">
    <w:name w:val="Intense Reference"/>
    <w:basedOn w:val="DefaultParagraphFont"/>
    <w:uiPriority w:val="32"/>
    <w:qFormat/>
    <w:rsid w:val="004156CB"/>
    <w:rPr>
      <w:b/>
      <w:bCs/>
      <w:smallCaps/>
      <w:color w:val="0F4761" w:themeColor="accent1" w:themeShade="BF"/>
      <w:spacing w:val="5"/>
    </w:rPr>
  </w:style>
  <w:style w:type="character" w:styleId="Hyperlink">
    <w:name w:val="Hyperlink"/>
    <w:basedOn w:val="DefaultParagraphFont"/>
    <w:uiPriority w:val="99"/>
    <w:unhideWhenUsed/>
    <w:rsid w:val="00790647"/>
    <w:rPr>
      <w:color w:val="467886" w:themeColor="hyperlink"/>
      <w:u w:val="single"/>
    </w:rPr>
  </w:style>
  <w:style w:type="character" w:customStyle="1" w:styleId="UnresolvedMention">
    <w:name w:val="Unresolved Mention"/>
    <w:basedOn w:val="DefaultParagraphFont"/>
    <w:uiPriority w:val="99"/>
    <w:semiHidden/>
    <w:unhideWhenUsed/>
    <w:rsid w:val="00790647"/>
    <w:rPr>
      <w:color w:val="605E5C"/>
      <w:shd w:val="clear" w:color="auto" w:fill="E1DFDD"/>
    </w:rPr>
  </w:style>
  <w:style w:type="table" w:styleId="TableGrid">
    <w:name w:val="Table Grid"/>
    <w:basedOn w:val="TableNormal"/>
    <w:uiPriority w:val="39"/>
    <w:rsid w:val="00C2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6A3D"/>
    <w:rPr>
      <w:color w:val="666666"/>
    </w:rPr>
  </w:style>
  <w:style w:type="paragraph" w:styleId="Header">
    <w:name w:val="header"/>
    <w:basedOn w:val="Normal"/>
    <w:link w:val="HeaderChar"/>
    <w:uiPriority w:val="99"/>
    <w:unhideWhenUsed/>
    <w:rsid w:val="006D1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0C4"/>
  </w:style>
  <w:style w:type="paragraph" w:styleId="Footer">
    <w:name w:val="footer"/>
    <w:basedOn w:val="Normal"/>
    <w:link w:val="FooterChar"/>
    <w:uiPriority w:val="99"/>
    <w:unhideWhenUsed/>
    <w:rsid w:val="006D1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0C4"/>
  </w:style>
  <w:style w:type="character" w:styleId="CommentReference">
    <w:name w:val="annotation reference"/>
    <w:basedOn w:val="DefaultParagraphFont"/>
    <w:uiPriority w:val="99"/>
    <w:semiHidden/>
    <w:unhideWhenUsed/>
    <w:rsid w:val="00656200"/>
    <w:rPr>
      <w:sz w:val="16"/>
      <w:szCs w:val="16"/>
    </w:rPr>
  </w:style>
  <w:style w:type="paragraph" w:styleId="CommentText">
    <w:name w:val="annotation text"/>
    <w:basedOn w:val="Normal"/>
    <w:link w:val="CommentTextChar"/>
    <w:uiPriority w:val="99"/>
    <w:semiHidden/>
    <w:unhideWhenUsed/>
    <w:rsid w:val="00656200"/>
    <w:pPr>
      <w:spacing w:line="240" w:lineRule="auto"/>
    </w:pPr>
    <w:rPr>
      <w:sz w:val="20"/>
      <w:szCs w:val="20"/>
    </w:rPr>
  </w:style>
  <w:style w:type="character" w:customStyle="1" w:styleId="CommentTextChar">
    <w:name w:val="Comment Text Char"/>
    <w:basedOn w:val="DefaultParagraphFont"/>
    <w:link w:val="CommentText"/>
    <w:uiPriority w:val="99"/>
    <w:semiHidden/>
    <w:rsid w:val="00656200"/>
    <w:rPr>
      <w:sz w:val="20"/>
      <w:szCs w:val="20"/>
    </w:rPr>
  </w:style>
  <w:style w:type="paragraph" w:styleId="CommentSubject">
    <w:name w:val="annotation subject"/>
    <w:basedOn w:val="CommentText"/>
    <w:next w:val="CommentText"/>
    <w:link w:val="CommentSubjectChar"/>
    <w:uiPriority w:val="99"/>
    <w:semiHidden/>
    <w:unhideWhenUsed/>
    <w:rsid w:val="00656200"/>
    <w:rPr>
      <w:b/>
      <w:bCs/>
    </w:rPr>
  </w:style>
  <w:style w:type="character" w:customStyle="1" w:styleId="CommentSubjectChar">
    <w:name w:val="Comment Subject Char"/>
    <w:basedOn w:val="CommentTextChar"/>
    <w:link w:val="CommentSubject"/>
    <w:uiPriority w:val="99"/>
    <w:semiHidden/>
    <w:rsid w:val="00656200"/>
    <w:rPr>
      <w:b/>
      <w:bCs/>
      <w:sz w:val="20"/>
      <w:szCs w:val="20"/>
    </w:rPr>
  </w:style>
  <w:style w:type="paragraph" w:styleId="BalloonText">
    <w:name w:val="Balloon Text"/>
    <w:basedOn w:val="Normal"/>
    <w:link w:val="BalloonTextChar"/>
    <w:uiPriority w:val="99"/>
    <w:semiHidden/>
    <w:unhideWhenUsed/>
    <w:rsid w:val="00656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6618547681539"/>
          <c:y val="5.0925925925925923E-2"/>
          <c:w val="0.848178258967629"/>
          <c:h val="0.6806517935258094"/>
        </c:manualLayout>
      </c:layout>
      <c:barChart>
        <c:barDir val="col"/>
        <c:grouping val="clustered"/>
        <c:varyColors val="0"/>
        <c:ser>
          <c:idx val="0"/>
          <c:order val="0"/>
          <c:tx>
            <c:strRef>
              <c:f>'Summary of PR and PAPR'!$J$3</c:f>
              <c:strCache>
                <c:ptCount val="1"/>
                <c:pt idx="0">
                  <c:v>PR</c:v>
                </c:pt>
              </c:strCache>
            </c:strRef>
          </c:tx>
          <c:spPr>
            <a:solidFill>
              <a:schemeClr val="accent1"/>
            </a:solidFill>
            <a:ln>
              <a:noFill/>
            </a:ln>
            <a:effectLst/>
          </c:spPr>
          <c:invertIfNegative val="0"/>
          <c:cat>
            <c:strRef>
              <c:f>'Summary of PR and PAPR'!$K$2:$O$2</c:f>
              <c:strCache>
                <c:ptCount val="5"/>
                <c:pt idx="0">
                  <c:v>TP</c:v>
                </c:pt>
                <c:pt idx="1">
                  <c:v>WSP</c:v>
                </c:pt>
                <c:pt idx="2">
                  <c:v>CSP</c:v>
                </c:pt>
                <c:pt idx="3">
                  <c:v>WSP+CSP</c:v>
                </c:pt>
                <c:pt idx="4">
                  <c:v>CISP</c:v>
                </c:pt>
              </c:strCache>
            </c:strRef>
          </c:cat>
          <c:val>
            <c:numRef>
              <c:f>'Summary of PR and PAPR'!$K$3:$O$3</c:f>
              <c:numCache>
                <c:formatCode>General</c:formatCode>
                <c:ptCount val="5"/>
                <c:pt idx="0">
                  <c:v>8.41</c:v>
                </c:pt>
                <c:pt idx="1">
                  <c:v>0.19</c:v>
                </c:pt>
                <c:pt idx="2">
                  <c:v>1.71</c:v>
                </c:pt>
                <c:pt idx="3">
                  <c:v>1.9</c:v>
                </c:pt>
                <c:pt idx="4">
                  <c:v>6.51</c:v>
                </c:pt>
              </c:numCache>
            </c:numRef>
          </c:val>
          <c:extLst>
            <c:ext xmlns:c16="http://schemas.microsoft.com/office/drawing/2014/chart" uri="{C3380CC4-5D6E-409C-BE32-E72D297353CC}">
              <c16:uniqueId val="{00000000-F097-4BB5-9394-14866E12FD28}"/>
            </c:ext>
          </c:extLst>
        </c:ser>
        <c:ser>
          <c:idx val="1"/>
          <c:order val="1"/>
          <c:tx>
            <c:strRef>
              <c:f>'Summary of PR and PAPR'!$J$4</c:f>
              <c:strCache>
                <c:ptCount val="1"/>
                <c:pt idx="0">
                  <c:v>PAPR (H3PO4)</c:v>
                </c:pt>
              </c:strCache>
            </c:strRef>
          </c:tx>
          <c:spPr>
            <a:solidFill>
              <a:schemeClr val="accent2"/>
            </a:solidFill>
            <a:ln>
              <a:noFill/>
            </a:ln>
            <a:effectLst/>
          </c:spPr>
          <c:invertIfNegative val="0"/>
          <c:cat>
            <c:strRef>
              <c:f>'Summary of PR and PAPR'!$K$2:$O$2</c:f>
              <c:strCache>
                <c:ptCount val="5"/>
                <c:pt idx="0">
                  <c:v>TP</c:v>
                </c:pt>
                <c:pt idx="1">
                  <c:v>WSP</c:v>
                </c:pt>
                <c:pt idx="2">
                  <c:v>CSP</c:v>
                </c:pt>
                <c:pt idx="3">
                  <c:v>WSP+CSP</c:v>
                </c:pt>
                <c:pt idx="4">
                  <c:v>CISP</c:v>
                </c:pt>
              </c:strCache>
            </c:strRef>
          </c:cat>
          <c:val>
            <c:numRef>
              <c:f>'Summary of PR and PAPR'!$K$4:$O$4</c:f>
              <c:numCache>
                <c:formatCode>General</c:formatCode>
                <c:ptCount val="5"/>
                <c:pt idx="0">
                  <c:v>9.4</c:v>
                </c:pt>
                <c:pt idx="1">
                  <c:v>1.9</c:v>
                </c:pt>
                <c:pt idx="2">
                  <c:v>1.37</c:v>
                </c:pt>
                <c:pt idx="3">
                  <c:v>3.27</c:v>
                </c:pt>
                <c:pt idx="4">
                  <c:v>6.13</c:v>
                </c:pt>
              </c:numCache>
            </c:numRef>
          </c:val>
          <c:extLst>
            <c:ext xmlns:c16="http://schemas.microsoft.com/office/drawing/2014/chart" uri="{C3380CC4-5D6E-409C-BE32-E72D297353CC}">
              <c16:uniqueId val="{00000001-F097-4BB5-9394-14866E12FD28}"/>
            </c:ext>
          </c:extLst>
        </c:ser>
        <c:dLbls>
          <c:showLegendKey val="0"/>
          <c:showVal val="0"/>
          <c:showCatName val="0"/>
          <c:showSerName val="0"/>
          <c:showPercent val="0"/>
          <c:showBubbleSize val="0"/>
        </c:dLbls>
        <c:gapWidth val="219"/>
        <c:overlap val="-27"/>
        <c:axId val="166452896"/>
        <c:axId val="166463936"/>
      </c:barChart>
      <c:catAx>
        <c:axId val="166452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Forms</a:t>
                </a:r>
                <a:r>
                  <a:rPr lang="en-IN" b="1" baseline="0">
                    <a:latin typeface="Times New Roman" panose="02020603050405020304" pitchFamily="18" charset="0"/>
                    <a:cs typeface="Times New Roman" panose="02020603050405020304" pitchFamily="18" charset="0"/>
                  </a:rPr>
                  <a:t> of Phosphorus</a:t>
                </a:r>
                <a:endParaRPr lang="en-IN" b="1">
                  <a:latin typeface="Times New Roman" panose="02020603050405020304" pitchFamily="18" charset="0"/>
                  <a:cs typeface="Times New Roman" panose="02020603050405020304" pitchFamily="18" charset="0"/>
                </a:endParaRPr>
              </a:p>
            </c:rich>
          </c:tx>
          <c:layout>
            <c:manualLayout>
              <c:xMode val="edge"/>
              <c:yMode val="edge"/>
              <c:x val="0.38192475940507437"/>
              <c:y val="0.8219251239428404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463936"/>
        <c:crosses val="autoZero"/>
        <c:auto val="1"/>
        <c:lblAlgn val="ctr"/>
        <c:lblOffset val="100"/>
        <c:noMultiLvlLbl val="0"/>
      </c:catAx>
      <c:valAx>
        <c:axId val="16646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P</a:t>
                </a:r>
                <a:r>
                  <a:rPr lang="en-IN" b="1" baseline="0">
                    <a:latin typeface="Times New Roman" panose="02020603050405020304" pitchFamily="18" charset="0"/>
                    <a:cs typeface="Times New Roman" panose="02020603050405020304" pitchFamily="18" charset="0"/>
                  </a:rPr>
                  <a:t> content (%)</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45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99978040593532E-2"/>
          <c:y val="5.0784856879039705E-2"/>
          <c:w val="0.90179975635515675"/>
          <c:h val="0.73044946597741767"/>
        </c:manualLayout>
      </c:layout>
      <c:barChart>
        <c:barDir val="col"/>
        <c:grouping val="clustered"/>
        <c:varyColors val="0"/>
        <c:ser>
          <c:idx val="0"/>
          <c:order val="0"/>
          <c:tx>
            <c:strRef>
              <c:f>P!$L$2</c:f>
              <c:strCache>
                <c:ptCount val="1"/>
                <c:pt idx="0">
                  <c:v>Grain </c:v>
                </c:pt>
              </c:strCache>
            </c:strRef>
          </c:tx>
          <c:spPr>
            <a:solidFill>
              <a:schemeClr val="accent2"/>
            </a:solidFill>
            <a:ln>
              <a:noFill/>
            </a:ln>
            <a:effectLst/>
          </c:spPr>
          <c:invertIfNegative val="0"/>
          <c:dLbls>
            <c:dLbl>
              <c:idx val="0"/>
              <c:layout>
                <c:manualLayout>
                  <c:x val="0"/>
                  <c:y val="-6.0018467220683373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7F-4C1D-9818-D54C9A440989}"/>
                </c:ext>
              </c:extLst>
            </c:dLbl>
            <c:dLbl>
              <c:idx val="1"/>
              <c:layout>
                <c:manualLayout>
                  <c:x val="0"/>
                  <c:y val="-5.5401662049861494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7F-4C1D-9818-D54C9A440989}"/>
                </c:ext>
              </c:extLst>
            </c:dLbl>
            <c:dLbl>
              <c:idx val="2"/>
              <c:layout>
                <c:manualLayout>
                  <c:x val="0"/>
                  <c:y val="-4.15512465373961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7F-4C1D-9818-D54C9A440989}"/>
                </c:ext>
              </c:extLst>
            </c:dLbl>
            <c:dLbl>
              <c:idx val="3"/>
              <c:layout>
                <c:manualLayout>
                  <c:x val="-6.0866937408860521E-17"/>
                  <c:y val="-7.3868882733148664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7F-4C1D-9818-D54C9A440989}"/>
                </c:ext>
              </c:extLst>
            </c:dLbl>
            <c:dLbl>
              <c:idx val="4"/>
              <c:layout>
                <c:manualLayout>
                  <c:x val="-1.2173387481772104E-16"/>
                  <c:y val="-5.0784856879039747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7F-4C1D-9818-D54C9A440989}"/>
                </c:ext>
              </c:extLst>
            </c:dLbl>
            <c:dLbl>
              <c:idx val="5"/>
              <c:layout>
                <c:manualLayout>
                  <c:x val="0"/>
                  <c:y val="-5.540166204986153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7F-4C1D-9818-D54C9A440989}"/>
                </c:ext>
              </c:extLst>
            </c:dLbl>
            <c:dLbl>
              <c:idx val="6"/>
              <c:layout>
                <c:manualLayout>
                  <c:x val="0"/>
                  <c:y val="-5.078485687903970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P!$L$3:$L$9</c:f>
              <c:numCache>
                <c:formatCode>General</c:formatCode>
                <c:ptCount val="7"/>
                <c:pt idx="0">
                  <c:v>9.9370000000000012</c:v>
                </c:pt>
                <c:pt idx="1">
                  <c:v>25.07</c:v>
                </c:pt>
                <c:pt idx="2">
                  <c:v>65.12</c:v>
                </c:pt>
                <c:pt idx="3">
                  <c:v>30.680000000000007</c:v>
                </c:pt>
                <c:pt idx="4">
                  <c:v>48.599999999999994</c:v>
                </c:pt>
                <c:pt idx="5">
                  <c:v>54.45</c:v>
                </c:pt>
                <c:pt idx="6">
                  <c:v>68.780000000000015</c:v>
                </c:pt>
              </c:numCache>
            </c:numRef>
          </c:val>
          <c:extLst>
            <c:ext xmlns:c16="http://schemas.microsoft.com/office/drawing/2014/chart" uri="{C3380CC4-5D6E-409C-BE32-E72D297353CC}">
              <c16:uniqueId val="{00000007-F47F-4C1D-9818-D54C9A440989}"/>
            </c:ext>
          </c:extLst>
        </c:ser>
        <c:ser>
          <c:idx val="1"/>
          <c:order val="1"/>
          <c:tx>
            <c:strRef>
              <c:f>P!$M$2</c:f>
              <c:strCache>
                <c:ptCount val="1"/>
                <c:pt idx="0">
                  <c:v>Stover </c:v>
                </c:pt>
              </c:strCache>
            </c:strRef>
          </c:tx>
          <c:spPr>
            <a:solidFill>
              <a:schemeClr val="accent4"/>
            </a:solidFill>
            <a:ln>
              <a:noFill/>
            </a:ln>
            <a:effectLst/>
          </c:spPr>
          <c:invertIfNegative val="0"/>
          <c:dLbls>
            <c:dLbl>
              <c:idx val="0"/>
              <c:layout>
                <c:manualLayout>
                  <c:x val="-1.521673435221513E-17"/>
                  <c:y val="-5.5401662049861577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7F-4C1D-9818-D54C9A440989}"/>
                </c:ext>
              </c:extLst>
            </c:dLbl>
            <c:dLbl>
              <c:idx val="1"/>
              <c:layout>
                <c:manualLayout>
                  <c:x val="0"/>
                  <c:y val="-4.6168051708217916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7F-4C1D-9818-D54C9A440989}"/>
                </c:ext>
              </c:extLst>
            </c:dLbl>
            <c:dLbl>
              <c:idx val="2"/>
              <c:layout>
                <c:manualLayout>
                  <c:x val="-1.6600265604250276E-3"/>
                  <c:y val="-3.693444136657437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7F-4C1D-9818-D54C9A440989}"/>
                </c:ext>
              </c:extLst>
            </c:dLbl>
            <c:dLbl>
              <c:idx val="3"/>
              <c:layout>
                <c:manualLayout>
                  <c:x val="0"/>
                  <c:y val="-3.6934441366574415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7F-4C1D-9818-D54C9A440989}"/>
                </c:ext>
              </c:extLst>
            </c:dLbl>
            <c:dLbl>
              <c:idx val="4"/>
              <c:layout>
                <c:manualLayout>
                  <c:x val="-1.2173387481772104E-16"/>
                  <c:y val="-5.078485687903974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7F-4C1D-9818-D54C9A440989}"/>
                </c:ext>
              </c:extLst>
            </c:dLbl>
            <c:dLbl>
              <c:idx val="5"/>
              <c:layout>
                <c:manualLayout>
                  <c:x val="-1.2173387481772104E-16"/>
                  <c:y val="-2.7700831024930789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7F-4C1D-9818-D54C9A440989}"/>
                </c:ext>
              </c:extLst>
            </c:dLbl>
            <c:dLbl>
              <c:idx val="6"/>
              <c:layout>
                <c:manualLayout>
                  <c:x val="-1.2173387481772104E-16"/>
                  <c:y val="-3.231763619575253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P!$M$3:$M$9</c:f>
              <c:numCache>
                <c:formatCode>General</c:formatCode>
                <c:ptCount val="7"/>
                <c:pt idx="0">
                  <c:v>10.780000000000001</c:v>
                </c:pt>
                <c:pt idx="1">
                  <c:v>21.319999999999997</c:v>
                </c:pt>
                <c:pt idx="2">
                  <c:v>52.669999999999995</c:v>
                </c:pt>
                <c:pt idx="3">
                  <c:v>28.32</c:v>
                </c:pt>
                <c:pt idx="4">
                  <c:v>41.61</c:v>
                </c:pt>
                <c:pt idx="5">
                  <c:v>46.2</c:v>
                </c:pt>
                <c:pt idx="6">
                  <c:v>56.4</c:v>
                </c:pt>
              </c:numCache>
            </c:numRef>
          </c:val>
          <c:extLst>
            <c:ext xmlns:c16="http://schemas.microsoft.com/office/drawing/2014/chart" uri="{C3380CC4-5D6E-409C-BE32-E72D297353CC}">
              <c16:uniqueId val="{0000000F-F47F-4C1D-9818-D54C9A440989}"/>
            </c:ext>
          </c:extLst>
        </c:ser>
        <c:ser>
          <c:idx val="2"/>
          <c:order val="2"/>
          <c:tx>
            <c:strRef>
              <c:f>P!$N$2</c:f>
              <c:strCache>
                <c:ptCount val="1"/>
                <c:pt idx="0">
                  <c:v>Biomass (flowering)</c:v>
                </c:pt>
              </c:strCache>
            </c:strRef>
          </c:tx>
          <c:spPr>
            <a:solidFill>
              <a:schemeClr val="accent6"/>
            </a:solidFill>
            <a:ln>
              <a:noFill/>
            </a:ln>
            <a:effectLst/>
          </c:spPr>
          <c:invertIfNegative val="0"/>
          <c:dLbls>
            <c:dLbl>
              <c:idx val="0"/>
              <c:layout>
                <c:manualLayout>
                  <c:x val="1.6600265604249668E-3"/>
                  <c:y val="-4.6168051708217916E-2"/>
                </c:manualLayout>
              </c:layout>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7F-4C1D-9818-D54C9A440989}"/>
                </c:ext>
              </c:extLst>
            </c:dLbl>
            <c:dLbl>
              <c:idx val="1"/>
              <c:layout>
                <c:manualLayout>
                  <c:x val="0"/>
                  <c:y val="-6.0018467220683373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47F-4C1D-9818-D54C9A440989}"/>
                </c:ext>
              </c:extLst>
            </c:dLbl>
            <c:dLbl>
              <c:idx val="2"/>
              <c:layout>
                <c:manualLayout>
                  <c:x val="3.3200531208498725E-3"/>
                  <c:y val="-7.3868882733148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7F-4C1D-9818-D54C9A440989}"/>
                </c:ext>
              </c:extLst>
            </c:dLbl>
            <c:dLbl>
              <c:idx val="3"/>
              <c:layout>
                <c:manualLayout>
                  <c:x val="-1.6600265604250276E-3"/>
                  <c:y val="-6.9252077562326916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7F-4C1D-9818-D54C9A440989}"/>
                </c:ext>
              </c:extLst>
            </c:dLbl>
            <c:dLbl>
              <c:idx val="4"/>
              <c:layout>
                <c:manualLayout>
                  <c:x val="0"/>
                  <c:y val="-7.3868882733148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47F-4C1D-9818-D54C9A440989}"/>
                </c:ext>
              </c:extLst>
            </c:dLbl>
            <c:dLbl>
              <c:idx val="5"/>
              <c:layout>
                <c:manualLayout>
                  <c:x val="1.660026560424845E-3"/>
                  <c:y val="-6.001846722068331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47F-4C1D-9818-D54C9A440989}"/>
                </c:ext>
              </c:extLst>
            </c:dLbl>
            <c:dLbl>
              <c:idx val="6"/>
              <c:layout>
                <c:manualLayout>
                  <c:x val="-3.3200531208499337E-3"/>
                  <c:y val="-5.54016620498614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P!$N$3:$N$9</c:f>
              <c:numCache>
                <c:formatCode>General</c:formatCode>
                <c:ptCount val="7"/>
                <c:pt idx="0">
                  <c:v>12.12</c:v>
                </c:pt>
                <c:pt idx="1">
                  <c:v>25.5</c:v>
                </c:pt>
                <c:pt idx="2">
                  <c:v>79.360000000000014</c:v>
                </c:pt>
                <c:pt idx="3">
                  <c:v>34.200000000000003</c:v>
                </c:pt>
                <c:pt idx="4">
                  <c:v>55.440000000000005</c:v>
                </c:pt>
                <c:pt idx="5">
                  <c:v>62.100000000000009</c:v>
                </c:pt>
                <c:pt idx="6">
                  <c:v>75.3</c:v>
                </c:pt>
              </c:numCache>
            </c:numRef>
          </c:val>
          <c:extLst>
            <c:ext xmlns:c16="http://schemas.microsoft.com/office/drawing/2014/chart" uri="{C3380CC4-5D6E-409C-BE32-E72D297353CC}">
              <c16:uniqueId val="{00000017-F47F-4C1D-9818-D54C9A440989}"/>
            </c:ext>
          </c:extLst>
        </c:ser>
        <c:ser>
          <c:idx val="3"/>
          <c:order val="3"/>
          <c:tx>
            <c:strRef>
              <c:f>P!$O$2</c:f>
              <c:strCache>
                <c:ptCount val="1"/>
                <c:pt idx="0">
                  <c:v>Root (flowering)</c:v>
                </c:pt>
              </c:strCache>
            </c:strRef>
          </c:tx>
          <c:spPr>
            <a:solidFill>
              <a:schemeClr val="accent2">
                <a:lumMod val="60000"/>
              </a:schemeClr>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47F-4C1D-9818-D54C9A440989}"/>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47F-4C1D-9818-D54C9A440989}"/>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47F-4C1D-9818-D54C9A440989}"/>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47F-4C1D-9818-D54C9A44098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47F-4C1D-9818-D54C9A440989}"/>
                </c:ext>
              </c:extLst>
            </c:dLbl>
            <c:dLbl>
              <c:idx val="5"/>
              <c:layout>
                <c:manualLayout>
                  <c:x val="-1.6600265604250885E-3"/>
                  <c:y val="-8.4640450358027651E-1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47F-4C1D-9818-D54C9A440989}"/>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47F-4C1D-9818-D54C9A44098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P!$C$3:$C$9</c:f>
              <c:strCache>
                <c:ptCount val="7"/>
                <c:pt idx="0">
                  <c:v>T1</c:v>
                </c:pt>
                <c:pt idx="1">
                  <c:v>T2</c:v>
                </c:pt>
                <c:pt idx="2">
                  <c:v>T3</c:v>
                </c:pt>
                <c:pt idx="3">
                  <c:v>T4</c:v>
                </c:pt>
                <c:pt idx="4">
                  <c:v>T5</c:v>
                </c:pt>
                <c:pt idx="5">
                  <c:v>T6</c:v>
                </c:pt>
                <c:pt idx="6">
                  <c:v>T7</c:v>
                </c:pt>
              </c:strCache>
            </c:strRef>
          </c:cat>
          <c:val>
            <c:numRef>
              <c:f>P!$O$3:$O$9</c:f>
              <c:numCache>
                <c:formatCode>General</c:formatCode>
                <c:ptCount val="7"/>
                <c:pt idx="0">
                  <c:v>0.78</c:v>
                </c:pt>
                <c:pt idx="1">
                  <c:v>1.62</c:v>
                </c:pt>
                <c:pt idx="2">
                  <c:v>8.5500000000000007</c:v>
                </c:pt>
                <c:pt idx="3">
                  <c:v>3.19</c:v>
                </c:pt>
                <c:pt idx="4">
                  <c:v>6.1499999999999986</c:v>
                </c:pt>
                <c:pt idx="5">
                  <c:v>6.7200000000000006</c:v>
                </c:pt>
                <c:pt idx="6">
                  <c:v>9.1199999999999992</c:v>
                </c:pt>
              </c:numCache>
            </c:numRef>
          </c:val>
          <c:extLst>
            <c:ext xmlns:c16="http://schemas.microsoft.com/office/drawing/2014/chart" uri="{C3380CC4-5D6E-409C-BE32-E72D297353CC}">
              <c16:uniqueId val="{0000001F-F47F-4C1D-9818-D54C9A440989}"/>
            </c:ext>
          </c:extLst>
        </c:ser>
        <c:dLbls>
          <c:dLblPos val="outEnd"/>
          <c:showLegendKey val="0"/>
          <c:showVal val="1"/>
          <c:showCatName val="0"/>
          <c:showSerName val="0"/>
          <c:showPercent val="0"/>
          <c:showBubbleSize val="0"/>
        </c:dLbls>
        <c:gapWidth val="219"/>
        <c:overlap val="-27"/>
        <c:axId val="2128814000"/>
        <c:axId val="2128813520"/>
      </c:barChart>
      <c:catAx>
        <c:axId val="212881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530080927384077"/>
              <c:y val="0.836725049258039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28813520"/>
        <c:crosses val="autoZero"/>
        <c:auto val="1"/>
        <c:lblAlgn val="ctr"/>
        <c:lblOffset val="100"/>
        <c:noMultiLvlLbl val="0"/>
      </c:catAx>
      <c:valAx>
        <c:axId val="2128813520"/>
        <c:scaling>
          <c:orientation val="minMax"/>
          <c:max val="9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a:t>
                </a:r>
                <a:r>
                  <a:rPr lang="en-IN" b="1" baseline="0"/>
                  <a:t> Uptake (mg pot</a:t>
                </a:r>
                <a:r>
                  <a:rPr lang="en-IN" b="1" baseline="30000"/>
                  <a:t>-1</a:t>
                </a:r>
                <a:r>
                  <a:rPr lang="en-IN" b="1" baseline="0"/>
                  <a:t>)</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81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661854768154"/>
          <c:y val="5.0925925925925923E-2"/>
          <c:w val="0.8217893700787402"/>
          <c:h val="0.69362496354622327"/>
        </c:manualLayout>
      </c:layout>
      <c:barChart>
        <c:barDir val="col"/>
        <c:grouping val="clustered"/>
        <c:varyColors val="0"/>
        <c:ser>
          <c:idx val="0"/>
          <c:order val="0"/>
          <c:tx>
            <c:strRef>
              <c:f>P!$Q$2:$Q$4</c:f>
              <c:strCache>
                <c:ptCount val="3"/>
                <c:pt idx="0">
                  <c:v>APR</c:v>
                </c:pt>
              </c:strCache>
            </c:strRef>
          </c:tx>
          <c:spPr>
            <a:solidFill>
              <a:schemeClr val="accent2"/>
            </a:solidFill>
            <a:ln>
              <a:noFill/>
            </a:ln>
            <a:effectLst/>
          </c:spPr>
          <c:invertIfNegative val="0"/>
          <c:cat>
            <c:strRef>
              <c:f>P!$P$5:$P$9</c:f>
              <c:strCache>
                <c:ptCount val="5"/>
                <c:pt idx="0">
                  <c:v>T3</c:v>
                </c:pt>
                <c:pt idx="1">
                  <c:v>T4</c:v>
                </c:pt>
                <c:pt idx="2">
                  <c:v>T5</c:v>
                </c:pt>
                <c:pt idx="3">
                  <c:v>T6</c:v>
                </c:pt>
                <c:pt idx="4">
                  <c:v>T7</c:v>
                </c:pt>
              </c:strCache>
            </c:strRef>
          </c:cat>
          <c:val>
            <c:numRef>
              <c:f>P!$Q$5:$Q$9</c:f>
              <c:numCache>
                <c:formatCode>General</c:formatCode>
                <c:ptCount val="5"/>
                <c:pt idx="0">
                  <c:v>50.062500000000007</c:v>
                </c:pt>
                <c:pt idx="1">
                  <c:v>7.0125000000000082</c:v>
                </c:pt>
                <c:pt idx="2">
                  <c:v>29.412499999999994</c:v>
                </c:pt>
                <c:pt idx="3">
                  <c:v>36.725000000000009</c:v>
                </c:pt>
                <c:pt idx="4">
                  <c:v>54.637500000000024</c:v>
                </c:pt>
              </c:numCache>
            </c:numRef>
          </c:val>
          <c:extLst>
            <c:ext xmlns:c16="http://schemas.microsoft.com/office/drawing/2014/chart" uri="{C3380CC4-5D6E-409C-BE32-E72D297353CC}">
              <c16:uniqueId val="{00000000-3AA2-4F95-AD55-69771E1A5BAE}"/>
            </c:ext>
          </c:extLst>
        </c:ser>
        <c:ser>
          <c:idx val="1"/>
          <c:order val="1"/>
          <c:tx>
            <c:strRef>
              <c:f>P!$T$2:$T$4</c:f>
              <c:strCache>
                <c:ptCount val="3"/>
                <c:pt idx="0">
                  <c:v>RAE</c:v>
                </c:pt>
              </c:strCache>
            </c:strRef>
          </c:tx>
          <c:spPr>
            <a:solidFill>
              <a:schemeClr val="accent4"/>
            </a:solidFill>
            <a:ln>
              <a:noFill/>
            </a:ln>
            <a:effectLst/>
          </c:spPr>
          <c:invertIfNegative val="0"/>
          <c:cat>
            <c:strRef>
              <c:f>P!$P$5:$P$9</c:f>
              <c:strCache>
                <c:ptCount val="5"/>
                <c:pt idx="0">
                  <c:v>T3</c:v>
                </c:pt>
                <c:pt idx="1">
                  <c:v>T4</c:v>
                </c:pt>
                <c:pt idx="2">
                  <c:v>T5</c:v>
                </c:pt>
                <c:pt idx="3">
                  <c:v>T6</c:v>
                </c:pt>
                <c:pt idx="4">
                  <c:v>T7</c:v>
                </c:pt>
              </c:strCache>
            </c:strRef>
          </c:cat>
          <c:val>
            <c:numRef>
              <c:f>P!$T$5:$T$9</c:f>
              <c:numCache>
                <c:formatCode>General</c:formatCode>
                <c:ptCount val="5"/>
                <c:pt idx="0">
                  <c:v>100</c:v>
                </c:pt>
                <c:pt idx="1">
                  <c:v>13.432835820895525</c:v>
                </c:pt>
                <c:pt idx="2">
                  <c:v>79.104477611940268</c:v>
                </c:pt>
                <c:pt idx="3">
                  <c:v>83.582089552238799</c:v>
                </c:pt>
                <c:pt idx="4">
                  <c:v>107.46268656716418</c:v>
                </c:pt>
              </c:numCache>
            </c:numRef>
          </c:val>
          <c:extLst>
            <c:ext xmlns:c16="http://schemas.microsoft.com/office/drawing/2014/chart" uri="{C3380CC4-5D6E-409C-BE32-E72D297353CC}">
              <c16:uniqueId val="{00000001-3AA2-4F95-AD55-69771E1A5BAE}"/>
            </c:ext>
          </c:extLst>
        </c:ser>
        <c:dLbls>
          <c:showLegendKey val="0"/>
          <c:showVal val="0"/>
          <c:showCatName val="0"/>
          <c:showSerName val="0"/>
          <c:showPercent val="0"/>
          <c:showBubbleSize val="0"/>
        </c:dLbls>
        <c:gapWidth val="219"/>
        <c:overlap val="-27"/>
        <c:axId val="1070877600"/>
        <c:axId val="1070873760"/>
      </c:barChart>
      <c:catAx>
        <c:axId val="10708776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7390332727125056"/>
              <c:y val="0.8176817296018543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73760"/>
        <c:crosses val="autoZero"/>
        <c:auto val="1"/>
        <c:lblAlgn val="ctr"/>
        <c:lblOffset val="100"/>
        <c:noMultiLvlLbl val="0"/>
      </c:catAx>
      <c:valAx>
        <c:axId val="1070873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7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8098840769903765"/>
          <c:y val="3.7037037037037035E-2"/>
          <c:w val="0.77734492563429569"/>
          <c:h val="0.75318678915135606"/>
        </c:manualLayout>
      </c:layout>
      <c:barChart>
        <c:barDir val="col"/>
        <c:grouping val="clustered"/>
        <c:varyColors val="0"/>
        <c:ser>
          <c:idx val="0"/>
          <c:order val="0"/>
          <c:spPr>
            <a:solidFill>
              <a:schemeClr val="accent5"/>
            </a:solidFill>
            <a:ln>
              <a:noFill/>
            </a:ln>
            <a:effectLst/>
          </c:spPr>
          <c:invertIfNegative val="0"/>
          <c:dLbls>
            <c:dLbl>
              <c:idx val="0"/>
              <c:layout>
                <c:manualLayout>
                  <c:x val="-2.5462668816039986E-17"/>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7D-4BDB-8385-B05280DCDF7A}"/>
                </c:ext>
              </c:extLst>
            </c:dLbl>
            <c:dLbl>
              <c:idx val="1"/>
              <c:layout>
                <c:manualLayout>
                  <c:x val="-5.5555555555555558E-3"/>
                  <c:y val="-7.407407407407411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7D-4BDB-8385-B05280DCDF7A}"/>
                </c:ext>
              </c:extLst>
            </c:dLbl>
            <c:dLbl>
              <c:idx val="2"/>
              <c:layout>
                <c:manualLayout>
                  <c:x val="-8.3333333333333835E-3"/>
                  <c:y val="-4.1666666666666664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7D-4BDB-8385-B05280DCDF7A}"/>
                </c:ext>
              </c:extLst>
            </c:dLbl>
            <c:dLbl>
              <c:idx val="3"/>
              <c:layout>
                <c:manualLayout>
                  <c:x val="0"/>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7D-4BDB-8385-B05280DCDF7A}"/>
                </c:ext>
              </c:extLst>
            </c:dLbl>
            <c:dLbl>
              <c:idx val="4"/>
              <c:layout>
                <c:manualLayout>
                  <c:x val="-1.0185067526415994E-16"/>
                  <c:y val="-5.55555555555555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7D-4BDB-8385-B05280DCDF7A}"/>
                </c:ext>
              </c:extLst>
            </c:dLbl>
            <c:dLbl>
              <c:idx val="5"/>
              <c:layout>
                <c:manualLayout>
                  <c:x val="-3.3641211246271084E-3"/>
                  <c:y val="-7.8703703703703706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7D-4BDB-8385-B05280DCDF7A}"/>
                </c:ext>
              </c:extLst>
            </c:dLbl>
            <c:dLbl>
              <c:idx val="6"/>
              <c:layout>
                <c:manualLayout>
                  <c:x val="-2.777777777777676E-3"/>
                  <c:y val="-4.6296296296296294E-2"/>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7D-4BDB-8385-B05280DCDF7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ALP!$C$3:$C$9</c:f>
              <c:strCache>
                <c:ptCount val="7"/>
                <c:pt idx="0">
                  <c:v>T1</c:v>
                </c:pt>
                <c:pt idx="1">
                  <c:v>T2</c:v>
                </c:pt>
                <c:pt idx="2">
                  <c:v>T3</c:v>
                </c:pt>
                <c:pt idx="3">
                  <c:v>T4</c:v>
                </c:pt>
                <c:pt idx="4">
                  <c:v>T5</c:v>
                </c:pt>
                <c:pt idx="5">
                  <c:v>T6</c:v>
                </c:pt>
                <c:pt idx="6">
                  <c:v>T7</c:v>
                </c:pt>
              </c:strCache>
            </c:strRef>
          </c:cat>
          <c:val>
            <c:numRef>
              <c:f>ALP!$D$3:$D$9</c:f>
              <c:numCache>
                <c:formatCode>General</c:formatCode>
                <c:ptCount val="7"/>
                <c:pt idx="0">
                  <c:v>68.34</c:v>
                </c:pt>
                <c:pt idx="1">
                  <c:v>66.650000000000006</c:v>
                </c:pt>
                <c:pt idx="2">
                  <c:v>49.56</c:v>
                </c:pt>
                <c:pt idx="3">
                  <c:v>65.45</c:v>
                </c:pt>
                <c:pt idx="4">
                  <c:v>60.23</c:v>
                </c:pt>
                <c:pt idx="5">
                  <c:v>58.45</c:v>
                </c:pt>
                <c:pt idx="6">
                  <c:v>54.29</c:v>
                </c:pt>
              </c:numCache>
            </c:numRef>
          </c:val>
          <c:extLst>
            <c:ext xmlns:c16="http://schemas.microsoft.com/office/drawing/2014/chart" uri="{C3380CC4-5D6E-409C-BE32-E72D297353CC}">
              <c16:uniqueId val="{00000007-727D-4BDB-8385-B05280DCDF7A}"/>
            </c:ext>
          </c:extLst>
        </c:ser>
        <c:dLbls>
          <c:dLblPos val="outEnd"/>
          <c:showLegendKey val="0"/>
          <c:showVal val="1"/>
          <c:showCatName val="0"/>
          <c:showSerName val="0"/>
          <c:showPercent val="0"/>
          <c:showBubbleSize val="0"/>
        </c:dLbls>
        <c:gapWidth val="219"/>
        <c:overlap val="-27"/>
        <c:axId val="1070881440"/>
        <c:axId val="1070881920"/>
      </c:barChart>
      <c:catAx>
        <c:axId val="1070881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Treatments</a:t>
                </a:r>
              </a:p>
            </c:rich>
          </c:tx>
          <c:layout>
            <c:manualLayout>
              <c:xMode val="edge"/>
              <c:yMode val="edge"/>
              <c:x val="0.46250799347305604"/>
              <c:y val="0.9004629629629629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81920"/>
        <c:crosses val="autoZero"/>
        <c:auto val="1"/>
        <c:lblAlgn val="ctr"/>
        <c:lblOffset val="100"/>
        <c:noMultiLvlLbl val="0"/>
      </c:catAx>
      <c:valAx>
        <c:axId val="107088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Alkaline</a:t>
                </a:r>
                <a:r>
                  <a:rPr lang="en-IN" b="1" baseline="0"/>
                  <a:t> phosphatase activity</a:t>
                </a:r>
              </a:p>
              <a:p>
                <a:pPr>
                  <a:defRPr/>
                </a:pPr>
                <a:r>
                  <a:rPr lang="en-IN" b="1" baseline="0"/>
                  <a:t>(µg P-nitrophenol g</a:t>
                </a:r>
                <a:r>
                  <a:rPr lang="en-IN" b="1" baseline="30000"/>
                  <a:t>-1</a:t>
                </a:r>
                <a:r>
                  <a:rPr lang="en-IN" b="1" baseline="0"/>
                  <a:t> soil hr</a:t>
                </a:r>
                <a:r>
                  <a:rPr lang="en-IN" b="1" baseline="30000"/>
                  <a:t>-1</a:t>
                </a:r>
                <a:r>
                  <a:rPr lang="en-IN" b="1" baseline="0"/>
                  <a:t>)</a:t>
                </a:r>
                <a:endParaRPr lang="en-IN" b="1"/>
              </a:p>
            </c:rich>
          </c:tx>
          <c:layout>
            <c:manualLayout>
              <c:xMode val="edge"/>
              <c:yMode val="edge"/>
              <c:x val="2.8229744361360897E-2"/>
              <c:y val="0.133584135316418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70881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5635-F177-4F42-9347-F19AE579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6777</TotalTime>
  <Pages>15</Pages>
  <Words>4587</Words>
  <Characters>26147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DIBYAJYOTI PANDA</dc:creator>
  <cp:keywords/>
  <dc:description/>
  <cp:lastModifiedBy>Rakesh Kumar</cp:lastModifiedBy>
  <cp:revision>90</cp:revision>
  <dcterms:created xsi:type="dcterms:W3CDTF">2025-10-09T13:31:00Z</dcterms:created>
  <dcterms:modified xsi:type="dcterms:W3CDTF">2025-10-23T05:24:00Z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add591e3-c9ff-465a-9544-622509bd27eb</vt:lpwstr>
  </property>
</Properties>
</file>