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850C" w14:textId="77777777" w:rsidR="00754C9A" w:rsidRDefault="00754C9A" w:rsidP="00441B6F">
      <w:pPr>
        <w:pStyle w:val="Title"/>
        <w:spacing w:after="0"/>
        <w:jc w:val="both"/>
        <w:rPr>
          <w:rFonts w:ascii="Arial" w:hAnsi="Arial" w:cs="Arial"/>
        </w:rPr>
      </w:pPr>
    </w:p>
    <w:p w14:paraId="7654C0A6" w14:textId="77777777" w:rsidR="00050013" w:rsidRDefault="00050013" w:rsidP="000416CF">
      <w:pPr>
        <w:pStyle w:val="Author"/>
        <w:rPr>
          <w:rFonts w:ascii="Arial" w:hAnsi="Arial" w:cs="Arial"/>
          <w:bCs/>
          <w:iCs/>
          <w:kern w:val="28"/>
          <w:sz w:val="36"/>
        </w:rPr>
      </w:pPr>
    </w:p>
    <w:p w14:paraId="364B06A2" w14:textId="6C258463" w:rsidR="00163BC4" w:rsidRPr="00163BC4" w:rsidRDefault="000416CF" w:rsidP="000416CF">
      <w:pPr>
        <w:pStyle w:val="Author"/>
        <w:rPr>
          <w:rFonts w:ascii="Arial" w:hAnsi="Arial" w:cs="Arial"/>
          <w:bCs/>
          <w:iCs/>
          <w:kern w:val="28"/>
          <w:sz w:val="36"/>
        </w:rPr>
      </w:pPr>
      <w:r w:rsidRPr="000416CF">
        <w:rPr>
          <w:rFonts w:ascii="Arial" w:hAnsi="Arial" w:cs="Arial"/>
          <w:bCs/>
          <w:iCs/>
          <w:kern w:val="28"/>
          <w:sz w:val="36"/>
        </w:rPr>
        <w:t>Relationship Between Systemic Arterial Hypertension and Cognitive Impairment in Older Adults: A Cross-Sectional Study</w:t>
      </w:r>
    </w:p>
    <w:p w14:paraId="774A568E" w14:textId="77777777" w:rsidR="00A258C3" w:rsidRPr="00790ADA" w:rsidRDefault="00A258C3" w:rsidP="00441B6F">
      <w:pPr>
        <w:pStyle w:val="Author"/>
        <w:spacing w:line="240" w:lineRule="auto"/>
        <w:jc w:val="both"/>
        <w:rPr>
          <w:rFonts w:ascii="Arial" w:hAnsi="Arial" w:cs="Arial"/>
          <w:sz w:val="36"/>
        </w:rPr>
      </w:pPr>
    </w:p>
    <w:p w14:paraId="0A63A8CE" w14:textId="4A6084D2"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86B08A0" w14:textId="77777777" w:rsidR="008D7A4E" w:rsidRPr="00FB3A86" w:rsidRDefault="008D7A4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814423D" w14:textId="77777777" w:rsidTr="001E44FE">
        <w:tc>
          <w:tcPr>
            <w:tcW w:w="9576" w:type="dxa"/>
            <w:shd w:val="clear" w:color="auto" w:fill="F2F2F2"/>
          </w:tcPr>
          <w:p w14:paraId="23754CE1" w14:textId="01E1AF13" w:rsidR="004075B8" w:rsidRPr="004075B8" w:rsidRDefault="004075B8" w:rsidP="008D7A4E">
            <w:pPr>
              <w:pStyle w:val="Body"/>
              <w:spacing w:after="0"/>
              <w:rPr>
                <w:rFonts w:ascii="Arial" w:eastAsia="Calibri" w:hAnsi="Arial" w:cs="Arial"/>
              </w:rPr>
            </w:pPr>
            <w:r>
              <w:rPr>
                <w:rFonts w:ascii="Arial" w:eastAsia="Calibri" w:hAnsi="Arial" w:cs="Arial"/>
                <w:b/>
                <w:bCs/>
                <w:sz w:val="22"/>
                <w:szCs w:val="22"/>
              </w:rPr>
              <w:t xml:space="preserve">Background: </w:t>
            </w:r>
            <w:r w:rsidRPr="004075B8">
              <w:rPr>
                <w:rFonts w:ascii="Arial" w:hAnsi="Arial" w:cs="Arial"/>
              </w:rPr>
              <w:t xml:space="preserve">Hypertension is one of the most common chronic-degenerative diseases </w:t>
            </w:r>
            <w:commentRangeStart w:id="0"/>
            <w:r w:rsidRPr="004075B8">
              <w:rPr>
                <w:rFonts w:ascii="Arial" w:hAnsi="Arial" w:cs="Arial"/>
              </w:rPr>
              <w:t>in Mexico</w:t>
            </w:r>
            <w:commentRangeEnd w:id="0"/>
            <w:r w:rsidR="00C06CB4">
              <w:rPr>
                <w:rStyle w:val="CommentReference"/>
                <w:rFonts w:ascii="Times New Roman" w:hAnsi="Times New Roman"/>
                <w:lang w:val="nb-NO" w:eastAsia="nb-NO"/>
              </w:rPr>
              <w:commentReference w:id="0"/>
            </w:r>
            <w:r w:rsidRPr="004075B8">
              <w:rPr>
                <w:rFonts w:ascii="Arial" w:hAnsi="Arial" w:cs="Arial"/>
              </w:rPr>
              <w:t>. It leads to systemic vascular damage, resulting in complications across various organ systems, including the cardiovascular, ophthalmologic, renal, and neurological systems. Neurological damage secondary to hypertension is mediated by several mechanisms, such as endothelial injury, inflammation, and alterations in the blood–brain barrier, among others. These changes have been shown to accelerate the aging process and are therefore associated with conditions such as mild cognitive impairment</w:t>
            </w:r>
            <w:r>
              <w:rPr>
                <w:rFonts w:ascii="Arial" w:hAnsi="Arial" w:cs="Arial"/>
              </w:rPr>
              <w:t xml:space="preserve"> (MCI)</w:t>
            </w:r>
            <w:r w:rsidRPr="004075B8">
              <w:rPr>
                <w:rFonts w:ascii="Arial" w:hAnsi="Arial" w:cs="Arial"/>
              </w:rPr>
              <w:t xml:space="preserve"> and dementia. In this context, given the high prevalence of hypertension among older adults, it is of utmost importance to understand its relationship with cognitive alterations in this population.</w:t>
            </w:r>
          </w:p>
          <w:p w14:paraId="25BADD4A" w14:textId="1990E9B7" w:rsidR="008D7A4E" w:rsidRDefault="000416CF" w:rsidP="008D7A4E">
            <w:pPr>
              <w:pStyle w:val="Body"/>
              <w:spacing w:after="0"/>
              <w:rPr>
                <w:rFonts w:ascii="Arial" w:eastAsia="Calibri" w:hAnsi="Arial" w:cs="Arial"/>
                <w:szCs w:val="22"/>
              </w:rPr>
            </w:pPr>
            <w:r w:rsidRPr="008D7A4E">
              <w:rPr>
                <w:rFonts w:ascii="Arial" w:eastAsia="Calibri" w:hAnsi="Arial" w:cs="Arial"/>
                <w:b/>
                <w:bCs/>
                <w:sz w:val="22"/>
                <w:szCs w:val="22"/>
              </w:rPr>
              <w:t>Objective</w:t>
            </w:r>
            <w:r w:rsidR="00FF5869" w:rsidRPr="00FF5869">
              <w:rPr>
                <w:rFonts w:ascii="Arial" w:eastAsia="Calibri" w:hAnsi="Arial" w:cs="Arial"/>
                <w:szCs w:val="22"/>
              </w:rPr>
              <w:t xml:space="preserve">: </w:t>
            </w:r>
            <w:r w:rsidRPr="000416CF">
              <w:rPr>
                <w:rFonts w:ascii="Arial" w:eastAsia="Calibri" w:hAnsi="Arial" w:cs="Arial"/>
                <w:szCs w:val="22"/>
              </w:rPr>
              <w:t>The objective of the present study was to determine the relationship hypertension and MCI in adults aged 60 years and older attending the outpatient clinic of the Guanajuato General Hospital.</w:t>
            </w:r>
          </w:p>
          <w:p w14:paraId="209CAF2A" w14:textId="7018A229"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Study Design</w:t>
            </w:r>
            <w:r w:rsidR="00FF5869" w:rsidRPr="00FF5869">
              <w:rPr>
                <w:rFonts w:ascii="Arial" w:eastAsia="Calibri" w:hAnsi="Arial" w:cs="Arial"/>
                <w:szCs w:val="22"/>
              </w:rPr>
              <w:t xml:space="preserve">: </w:t>
            </w:r>
            <w:r w:rsidRPr="000416CF">
              <w:rPr>
                <w:rFonts w:ascii="Arial" w:eastAsia="Calibri" w:hAnsi="Arial" w:cs="Arial"/>
                <w:szCs w:val="22"/>
              </w:rPr>
              <w:t xml:space="preserve">Cross-sectional, observational, analytical, quantitative, and </w:t>
            </w:r>
            <w:commentRangeStart w:id="1"/>
            <w:proofErr w:type="spellStart"/>
            <w:r w:rsidRPr="000416CF">
              <w:rPr>
                <w:rFonts w:ascii="Arial" w:eastAsia="Calibri" w:hAnsi="Arial" w:cs="Arial"/>
                <w:szCs w:val="22"/>
              </w:rPr>
              <w:t>prolective</w:t>
            </w:r>
            <w:commentRangeEnd w:id="1"/>
            <w:proofErr w:type="spellEnd"/>
            <w:r w:rsidR="00C06CB4">
              <w:rPr>
                <w:rStyle w:val="CommentReference"/>
                <w:rFonts w:ascii="Times New Roman" w:hAnsi="Times New Roman"/>
                <w:lang w:val="nb-NO" w:eastAsia="nb-NO"/>
              </w:rPr>
              <w:commentReference w:id="1"/>
            </w:r>
            <w:r w:rsidRPr="000416CF">
              <w:rPr>
                <w:rFonts w:ascii="Arial" w:eastAsia="Calibri" w:hAnsi="Arial" w:cs="Arial"/>
                <w:szCs w:val="22"/>
              </w:rPr>
              <w:t xml:space="preserve"> study.</w:t>
            </w:r>
            <w:r>
              <w:rPr>
                <w:rFonts w:ascii="Arial" w:eastAsia="Calibri" w:hAnsi="Arial" w:cs="Arial"/>
                <w:szCs w:val="22"/>
              </w:rPr>
              <w:t xml:space="preserve"> </w:t>
            </w:r>
            <w:r>
              <w:rPr>
                <w:rFonts w:ascii="Arial" w:eastAsia="Calibri" w:hAnsi="Arial" w:cs="Arial"/>
              </w:rPr>
              <w:t>Study site and date</w:t>
            </w:r>
            <w:r w:rsidR="00FF5869" w:rsidRPr="00FF5869">
              <w:rPr>
                <w:rFonts w:ascii="Arial" w:eastAsia="Calibri" w:hAnsi="Arial" w:cs="Arial"/>
                <w:szCs w:val="22"/>
              </w:rPr>
              <w:t xml:space="preserve">: </w:t>
            </w:r>
            <w:r w:rsidRPr="000416CF">
              <w:rPr>
                <w:rFonts w:ascii="Arial" w:eastAsia="Calibri" w:hAnsi="Arial" w:cs="Arial"/>
                <w:szCs w:val="22"/>
              </w:rPr>
              <w:t>The study was conducted in the outpatient clinic of the Guanajuato General Hospital between January and June 2025.</w:t>
            </w:r>
            <w:r>
              <w:rPr>
                <w:rFonts w:ascii="Arial" w:eastAsia="Calibri" w:hAnsi="Arial" w:cs="Arial"/>
                <w:szCs w:val="22"/>
              </w:rPr>
              <w:t xml:space="preserve"> </w:t>
            </w:r>
            <w:r w:rsidRPr="000416CF">
              <w:rPr>
                <w:rFonts w:ascii="Arial" w:eastAsia="Calibri" w:hAnsi="Arial" w:cs="Arial"/>
                <w:szCs w:val="22"/>
              </w:rPr>
              <w:t xml:space="preserve">Methodology: The study included a sample of 124 participants aged ≥ 60 years. Participants were classified according to the presence or absence of hypertension. The MoCA® test was administered to determine the presence or absence of MCI. Quantitative variables such as age, height, weight, waist circumference, blood pressure, and body mass index were measured, along with categorical variables including sex, marital status, educational level, and comorbidities. The relationship between </w:t>
            </w:r>
            <w:r>
              <w:rPr>
                <w:rFonts w:ascii="Arial" w:eastAsia="Calibri" w:hAnsi="Arial" w:cs="Arial"/>
                <w:szCs w:val="22"/>
              </w:rPr>
              <w:t>hypertension</w:t>
            </w:r>
            <w:r w:rsidRPr="000416CF">
              <w:rPr>
                <w:rFonts w:ascii="Arial" w:eastAsia="Calibri" w:hAnsi="Arial" w:cs="Arial"/>
                <w:szCs w:val="22"/>
              </w:rPr>
              <w:t xml:space="preserve"> and MCI was analyzed. In addition, the scores of the different MoCA® test domains were compared between hypertensive and non-hypertensive participants.</w:t>
            </w:r>
          </w:p>
          <w:p w14:paraId="35F89901" w14:textId="0717DE38" w:rsidR="00FF5869" w:rsidRPr="00FF5869" w:rsidRDefault="000416CF" w:rsidP="008D7A4E">
            <w:pPr>
              <w:pStyle w:val="Body"/>
              <w:spacing w:after="0"/>
              <w:rPr>
                <w:rFonts w:ascii="Arial" w:eastAsia="Calibri" w:hAnsi="Arial" w:cs="Arial"/>
                <w:szCs w:val="22"/>
              </w:rPr>
            </w:pPr>
            <w:r>
              <w:rPr>
                <w:rFonts w:ascii="Arial" w:eastAsia="Calibri" w:hAnsi="Arial" w:cs="Arial"/>
                <w:b/>
                <w:bCs/>
                <w:sz w:val="22"/>
                <w:szCs w:val="28"/>
              </w:rPr>
              <w:t>Results</w:t>
            </w:r>
            <w:r w:rsidR="00FF5869" w:rsidRPr="00FF5869">
              <w:rPr>
                <w:rFonts w:ascii="Arial" w:eastAsia="Calibri" w:hAnsi="Arial" w:cs="Arial"/>
                <w:szCs w:val="22"/>
              </w:rPr>
              <w:t xml:space="preserve">: </w:t>
            </w:r>
            <w:r w:rsidRPr="000416CF">
              <w:rPr>
                <w:rFonts w:ascii="Arial" w:eastAsia="Calibri" w:hAnsi="Arial" w:cs="Arial"/>
                <w:szCs w:val="22"/>
              </w:rPr>
              <w:t xml:space="preserve">A total of 60.48% of participants presented hypertension. MCI was observed in 79.67% of hypertensive individuals and in 46.94% of non-hypertensive individuals. Logistic regression analysis showed a significant association between </w:t>
            </w:r>
            <w:r>
              <w:rPr>
                <w:rFonts w:ascii="Arial" w:eastAsia="Calibri" w:hAnsi="Arial" w:cs="Arial"/>
                <w:szCs w:val="22"/>
              </w:rPr>
              <w:t>hypertension</w:t>
            </w:r>
            <w:r w:rsidRPr="000416CF">
              <w:rPr>
                <w:rFonts w:ascii="Arial" w:eastAsia="Calibri" w:hAnsi="Arial" w:cs="Arial"/>
                <w:szCs w:val="22"/>
              </w:rPr>
              <w:t xml:space="preserve"> and MCI (OR: 4.17; 95% CI: 1.90–9.16; </w:t>
            </w:r>
            <w:r w:rsidRPr="000416CF">
              <w:rPr>
                <w:rFonts w:ascii="Arial" w:eastAsia="Calibri" w:hAnsi="Arial" w:cs="Arial"/>
                <w:i/>
                <w:iCs/>
                <w:szCs w:val="22"/>
              </w:rPr>
              <w:t>P</w:t>
            </w:r>
            <w:r w:rsidRPr="000416CF">
              <w:rPr>
                <w:rFonts w:ascii="Arial" w:eastAsia="Calibri" w:hAnsi="Arial" w:cs="Arial"/>
                <w:szCs w:val="22"/>
              </w:rPr>
              <w:t xml:space="preserve"> = 0.0003). The cognitive domains affected were visuospatial/executive function, attention, language, abstraction, and orientation (</w:t>
            </w:r>
            <w:r w:rsidRPr="000416CF">
              <w:rPr>
                <w:rFonts w:ascii="Arial" w:eastAsia="Calibri" w:hAnsi="Arial" w:cs="Arial"/>
                <w:i/>
                <w:iCs/>
                <w:szCs w:val="22"/>
              </w:rPr>
              <w:t>P</w:t>
            </w:r>
            <w:r w:rsidRPr="000416CF">
              <w:rPr>
                <w:rFonts w:ascii="Arial" w:eastAsia="Calibri" w:hAnsi="Arial" w:cs="Arial"/>
                <w:szCs w:val="22"/>
              </w:rPr>
              <w:t xml:space="preserve"> &lt; .05).</w:t>
            </w:r>
          </w:p>
          <w:p w14:paraId="3761F3AA" w14:textId="548A9F9F" w:rsidR="00FF5869" w:rsidRPr="00BA1B01" w:rsidRDefault="00FF5869" w:rsidP="008D7A4E">
            <w:pPr>
              <w:pStyle w:val="Body"/>
              <w:spacing w:after="0"/>
              <w:rPr>
                <w:rFonts w:ascii="Arial" w:eastAsia="Calibri" w:hAnsi="Arial" w:cs="Arial"/>
                <w:szCs w:val="22"/>
              </w:rPr>
            </w:pPr>
            <w:r w:rsidRPr="008D7A4E">
              <w:rPr>
                <w:rFonts w:ascii="Arial" w:eastAsia="Calibri" w:hAnsi="Arial" w:cs="Arial"/>
                <w:b/>
                <w:bCs/>
                <w:sz w:val="22"/>
                <w:szCs w:val="28"/>
              </w:rPr>
              <w:t>Conclusion</w:t>
            </w:r>
            <w:r w:rsidRPr="00FF5869">
              <w:rPr>
                <w:rFonts w:ascii="Arial" w:eastAsia="Calibri" w:hAnsi="Arial" w:cs="Arial"/>
                <w:szCs w:val="22"/>
              </w:rPr>
              <w:t xml:space="preserve">: </w:t>
            </w:r>
            <w:r w:rsidR="000416CF">
              <w:rPr>
                <w:rFonts w:ascii="Arial" w:eastAsia="Calibri" w:hAnsi="Arial" w:cs="Arial"/>
                <w:szCs w:val="22"/>
              </w:rPr>
              <w:t>Hypertension</w:t>
            </w:r>
            <w:r w:rsidR="000416CF" w:rsidRPr="000416CF">
              <w:rPr>
                <w:rFonts w:ascii="Arial" w:eastAsia="Calibri" w:hAnsi="Arial" w:cs="Arial"/>
                <w:szCs w:val="22"/>
              </w:rPr>
              <w:t xml:space="preserve"> was significantly associated with MCI, suggesting possible early vascular neurocognitive damage. These findings highlight the importance of timely screening and adequate blood pressure control.</w:t>
            </w:r>
          </w:p>
          <w:p w14:paraId="427CC812" w14:textId="1D4DCD0D" w:rsidR="00505F06" w:rsidRPr="00BA1B01" w:rsidRDefault="00505F06" w:rsidP="00441B6F">
            <w:pPr>
              <w:pStyle w:val="Body"/>
              <w:spacing w:after="0"/>
              <w:rPr>
                <w:rFonts w:ascii="Arial" w:eastAsia="Calibri" w:hAnsi="Arial" w:cs="Arial"/>
                <w:szCs w:val="22"/>
              </w:rPr>
            </w:pPr>
          </w:p>
        </w:tc>
      </w:tr>
    </w:tbl>
    <w:p w14:paraId="4C3E06FC" w14:textId="77777777" w:rsidR="00636EB2" w:rsidRDefault="00636EB2" w:rsidP="00441B6F">
      <w:pPr>
        <w:pStyle w:val="Body"/>
        <w:spacing w:after="0"/>
        <w:rPr>
          <w:rFonts w:ascii="Arial" w:hAnsi="Arial" w:cs="Arial"/>
          <w:i/>
        </w:rPr>
      </w:pPr>
    </w:p>
    <w:p w14:paraId="36075BA5" w14:textId="2C7333C7" w:rsidR="0024282C" w:rsidRPr="008D7A4E" w:rsidRDefault="000416CF" w:rsidP="00441B6F">
      <w:pPr>
        <w:pStyle w:val="Body"/>
        <w:spacing w:after="0"/>
        <w:rPr>
          <w:rFonts w:ascii="Arial" w:hAnsi="Arial" w:cs="Arial"/>
          <w:i/>
        </w:rPr>
      </w:pPr>
      <w:r>
        <w:rPr>
          <w:rFonts w:ascii="Arial" w:hAnsi="Arial" w:cs="Arial"/>
          <w:i/>
        </w:rPr>
        <w:t>Keywords</w:t>
      </w:r>
      <w:r w:rsidR="008D7A4E" w:rsidRPr="008D7A4E">
        <w:rPr>
          <w:rFonts w:ascii="Arial" w:hAnsi="Arial" w:cs="Arial"/>
          <w:i/>
        </w:rPr>
        <w:t xml:space="preserve">: </w:t>
      </w:r>
      <w:r w:rsidR="00F417AC" w:rsidRPr="00F417AC">
        <w:rPr>
          <w:rFonts w:ascii="Arial" w:hAnsi="Arial" w:cs="Arial"/>
          <w:i/>
        </w:rPr>
        <w:t>Aging, cognitive impairment, higher mental functions, systemic arterial hypertension, older adults</w:t>
      </w:r>
    </w:p>
    <w:p w14:paraId="5353AC25" w14:textId="77777777" w:rsidR="00505F06" w:rsidRPr="00A24E7E" w:rsidRDefault="00505F06" w:rsidP="00441B6F">
      <w:pPr>
        <w:pStyle w:val="Body"/>
        <w:spacing w:after="0"/>
        <w:rPr>
          <w:rFonts w:ascii="Arial" w:hAnsi="Arial" w:cs="Arial"/>
          <w:i/>
        </w:rPr>
      </w:pPr>
    </w:p>
    <w:p w14:paraId="4BFFF429" w14:textId="564061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12064FD" w14:textId="77777777" w:rsidR="002F4227" w:rsidRDefault="002F4227" w:rsidP="00153A75">
      <w:pPr>
        <w:pStyle w:val="Body"/>
        <w:rPr>
          <w:rFonts w:ascii="Arial" w:hAnsi="Arial" w:cs="Arial"/>
        </w:rPr>
      </w:pPr>
    </w:p>
    <w:p w14:paraId="6A96DB40" w14:textId="65EB8B07" w:rsidR="000C3856" w:rsidRDefault="00F417AC" w:rsidP="00DC5FE0">
      <w:pPr>
        <w:pStyle w:val="Body"/>
        <w:spacing w:after="0"/>
        <w:rPr>
          <w:rFonts w:ascii="Arial" w:hAnsi="Arial" w:cs="Arial"/>
        </w:rPr>
      </w:pPr>
      <w:r>
        <w:rPr>
          <w:rFonts w:ascii="Arial" w:hAnsi="Arial" w:cs="Arial"/>
        </w:rPr>
        <w:t>H</w:t>
      </w:r>
      <w:r w:rsidRPr="00F417AC">
        <w:rPr>
          <w:rFonts w:ascii="Arial" w:hAnsi="Arial" w:cs="Arial"/>
        </w:rPr>
        <w:t xml:space="preserve">ypertension is one of the most common chronic-degenerative diseases in Mexico, with an estimated prevalence of up to 74.80% among adults over 60 years of age (Shamah-Levy et </w:t>
      </w:r>
      <w:r w:rsidRPr="00F417AC">
        <w:rPr>
          <w:rFonts w:ascii="Arial" w:hAnsi="Arial" w:cs="Arial"/>
        </w:rPr>
        <w:lastRenderedPageBreak/>
        <w:t xml:space="preserve">al., National Health and Nutrition Survey 2021 on COVID-19. National Results, 2022). In the state of Guanajuato, this figure is approximately 67.5% in the same age group (Shamah-Levy et al., National Health and Nutrition Survey [Continuous Ensanut 2023] for the State of Guanajuato, 2023). Within this context, it is of great importance to </w:t>
      </w:r>
      <w:commentRangeStart w:id="2"/>
      <w:r w:rsidRPr="00F417AC">
        <w:rPr>
          <w:rFonts w:ascii="Arial" w:hAnsi="Arial" w:cs="Arial"/>
        </w:rPr>
        <w:t>analyze</w:t>
      </w:r>
      <w:commentRangeEnd w:id="2"/>
      <w:r w:rsidR="003B0386">
        <w:rPr>
          <w:rStyle w:val="CommentReference"/>
          <w:rFonts w:ascii="Times New Roman" w:hAnsi="Times New Roman"/>
          <w:lang w:val="nb-NO" w:eastAsia="nb-NO"/>
        </w:rPr>
        <w:commentReference w:id="2"/>
      </w:r>
      <w:r w:rsidRPr="00F417AC">
        <w:rPr>
          <w:rFonts w:ascii="Arial" w:hAnsi="Arial" w:cs="Arial"/>
        </w:rPr>
        <w:t xml:space="preserve"> the relationship between hypertension and M</w:t>
      </w:r>
      <w:r w:rsidR="008660F8">
        <w:rPr>
          <w:rFonts w:ascii="Arial" w:hAnsi="Arial" w:cs="Arial"/>
        </w:rPr>
        <w:t xml:space="preserve">ild </w:t>
      </w:r>
      <w:r w:rsidRPr="00F417AC">
        <w:rPr>
          <w:rFonts w:ascii="Arial" w:hAnsi="Arial" w:cs="Arial"/>
        </w:rPr>
        <w:t>C</w:t>
      </w:r>
      <w:r w:rsidR="008660F8">
        <w:rPr>
          <w:rFonts w:ascii="Arial" w:hAnsi="Arial" w:cs="Arial"/>
        </w:rPr>
        <w:t xml:space="preserve">ognitive </w:t>
      </w:r>
      <w:r w:rsidRPr="00F417AC">
        <w:rPr>
          <w:rFonts w:ascii="Arial" w:hAnsi="Arial" w:cs="Arial"/>
        </w:rPr>
        <w:t>I</w:t>
      </w:r>
      <w:r w:rsidR="008660F8">
        <w:rPr>
          <w:rFonts w:ascii="Arial" w:hAnsi="Arial" w:cs="Arial"/>
        </w:rPr>
        <w:t>mpairment</w:t>
      </w:r>
      <w:r w:rsidRPr="00F417AC">
        <w:rPr>
          <w:rFonts w:ascii="Arial" w:hAnsi="Arial" w:cs="Arial"/>
        </w:rPr>
        <w:t>, given the potential impact that both conditions have on the quality of life of older adults.</w:t>
      </w:r>
    </w:p>
    <w:p w14:paraId="5398DCA9" w14:textId="77777777" w:rsidR="000C3856" w:rsidRPr="000C3856" w:rsidRDefault="000C3856" w:rsidP="000C3856">
      <w:pPr>
        <w:pStyle w:val="Body"/>
        <w:spacing w:after="0"/>
        <w:rPr>
          <w:rFonts w:ascii="Arial" w:hAnsi="Arial" w:cs="Arial"/>
        </w:rPr>
      </w:pPr>
    </w:p>
    <w:p w14:paraId="1AA5DE17" w14:textId="2AFE5840" w:rsidR="000C3856" w:rsidRDefault="00F417AC" w:rsidP="000C3856">
      <w:pPr>
        <w:pStyle w:val="Body"/>
        <w:spacing w:after="0"/>
        <w:rPr>
          <w:rFonts w:ascii="Arial" w:hAnsi="Arial" w:cs="Arial"/>
        </w:rPr>
      </w:pPr>
      <w:commentRangeStart w:id="3"/>
      <w:r>
        <w:rPr>
          <w:rFonts w:ascii="Arial" w:hAnsi="Arial" w:cs="Arial"/>
        </w:rPr>
        <w:t>Is</w:t>
      </w:r>
      <w:commentRangeEnd w:id="3"/>
      <w:r w:rsidR="003B0386">
        <w:rPr>
          <w:rStyle w:val="CommentReference"/>
          <w:rFonts w:ascii="Times New Roman" w:hAnsi="Times New Roman"/>
          <w:lang w:val="nb-NO" w:eastAsia="nb-NO"/>
        </w:rPr>
        <w:commentReference w:id="3"/>
      </w:r>
      <w:r>
        <w:rPr>
          <w:rFonts w:ascii="Arial" w:hAnsi="Arial" w:cs="Arial"/>
        </w:rPr>
        <w:t xml:space="preserve"> considered that hypertension</w:t>
      </w:r>
      <w:r w:rsidRPr="00F417AC">
        <w:rPr>
          <w:rFonts w:ascii="Arial" w:hAnsi="Arial" w:cs="Arial"/>
        </w:rPr>
        <w:t xml:space="preserve"> is one of the leading causes of morbidity and mortality worldwide due to its chronic complications affecting various target organs. It is characterized by persistent endothelial damage secondary to elevated blood pressure, leading to vascular remodeling, accelerated atherosclerosis, and dysfunction of hemodynamic regulation (Appel et al., 1997). Consequently, </w:t>
      </w:r>
      <w:r>
        <w:rPr>
          <w:rFonts w:ascii="Arial" w:hAnsi="Arial" w:cs="Arial"/>
        </w:rPr>
        <w:t>hypertension</w:t>
      </w:r>
      <w:r w:rsidRPr="00F417AC">
        <w:rPr>
          <w:rFonts w:ascii="Arial" w:hAnsi="Arial" w:cs="Arial"/>
        </w:rPr>
        <w:t xml:space="preserve"> increases the risk of developing cardiovascular, renal, ophthalmologic, and neurological complications.</w:t>
      </w:r>
    </w:p>
    <w:p w14:paraId="57F451C8" w14:textId="77777777" w:rsidR="00F417AC" w:rsidRPr="000C3856" w:rsidRDefault="00F417AC" w:rsidP="000C3856">
      <w:pPr>
        <w:pStyle w:val="Body"/>
        <w:spacing w:after="0"/>
        <w:rPr>
          <w:rFonts w:ascii="Arial" w:hAnsi="Arial" w:cs="Arial"/>
        </w:rPr>
      </w:pPr>
    </w:p>
    <w:p w14:paraId="2424ECC6" w14:textId="34F5262B" w:rsidR="000C3856" w:rsidRDefault="00F417AC" w:rsidP="000C3856">
      <w:pPr>
        <w:pStyle w:val="Body"/>
        <w:spacing w:after="0"/>
        <w:rPr>
          <w:rFonts w:ascii="Arial" w:hAnsi="Arial" w:cs="Arial"/>
        </w:rPr>
      </w:pPr>
      <w:r w:rsidRPr="00F417AC">
        <w:rPr>
          <w:rFonts w:ascii="Arial" w:hAnsi="Arial" w:cs="Arial"/>
        </w:rPr>
        <w:t>Among the neurological manifestations associated with hypertension, dementia and progressive cognitive decline stand out, primarily attributable to cerebral microvascular damage. Prolonged exposure to elevated blood pressure levels has been shown to contribute to deficits in executive function and memory in older adults (</w:t>
      </w:r>
      <w:proofErr w:type="spellStart"/>
      <w:r w:rsidRPr="00F417AC">
        <w:rPr>
          <w:rFonts w:ascii="Arial" w:hAnsi="Arial" w:cs="Arial"/>
        </w:rPr>
        <w:t>Iadecola</w:t>
      </w:r>
      <w:proofErr w:type="spellEnd"/>
      <w:r w:rsidRPr="00F417AC">
        <w:rPr>
          <w:rFonts w:ascii="Arial" w:hAnsi="Arial" w:cs="Arial"/>
        </w:rPr>
        <w:t xml:space="preserve"> et al., 2016; </w:t>
      </w:r>
      <w:proofErr w:type="spellStart"/>
      <w:r w:rsidRPr="00F417AC">
        <w:rPr>
          <w:rFonts w:ascii="Arial" w:hAnsi="Arial" w:cs="Arial"/>
        </w:rPr>
        <w:t>Oparil</w:t>
      </w:r>
      <w:proofErr w:type="spellEnd"/>
      <w:r w:rsidRPr="00F417AC">
        <w:rPr>
          <w:rFonts w:ascii="Arial" w:hAnsi="Arial" w:cs="Arial"/>
        </w:rPr>
        <w:t xml:space="preserve"> et al., 2018). Likewise</w:t>
      </w:r>
      <w:r>
        <w:rPr>
          <w:rFonts w:ascii="Arial" w:hAnsi="Arial" w:cs="Arial"/>
        </w:rPr>
        <w:t>, hypertension</w:t>
      </w:r>
      <w:r w:rsidRPr="00F417AC">
        <w:rPr>
          <w:rFonts w:ascii="Arial" w:hAnsi="Arial" w:cs="Arial"/>
        </w:rPr>
        <w:t xml:space="preserve"> promotes accelerated brain atrophy, alterations in cerebral blood flow, and dysfunction of the blood–brain barrier—mechanisms that collectively may explain the cognitive vulnerability observed in this population (Canavan &amp; O'Donnell, 2022).</w:t>
      </w:r>
    </w:p>
    <w:p w14:paraId="6BEB4E4F" w14:textId="77777777" w:rsidR="00F417AC" w:rsidRDefault="00F417AC" w:rsidP="000C3856">
      <w:pPr>
        <w:pStyle w:val="Body"/>
        <w:spacing w:after="0"/>
        <w:rPr>
          <w:rFonts w:ascii="Arial" w:hAnsi="Arial" w:cs="Arial"/>
        </w:rPr>
      </w:pPr>
    </w:p>
    <w:p w14:paraId="4E1FDE24" w14:textId="5CDFFC28" w:rsidR="000C3856" w:rsidRDefault="00F417AC" w:rsidP="000C3856">
      <w:pPr>
        <w:pStyle w:val="Body"/>
        <w:spacing w:after="0"/>
        <w:rPr>
          <w:rFonts w:ascii="Arial" w:hAnsi="Arial" w:cs="Arial"/>
        </w:rPr>
      </w:pPr>
      <w:r w:rsidRPr="00F417AC">
        <w:rPr>
          <w:rFonts w:ascii="Arial" w:hAnsi="Arial" w:cs="Arial"/>
        </w:rPr>
        <w:t xml:space="preserve">MCI is defined as a decline in cognitive performance greater than expected for age and educational level, without significantly affecting activities of daily living (Petersen et al., 2018). The presence of </w:t>
      </w:r>
      <w:r>
        <w:rPr>
          <w:rFonts w:ascii="Arial" w:hAnsi="Arial" w:cs="Arial"/>
        </w:rPr>
        <w:t>hypertension</w:t>
      </w:r>
      <w:r w:rsidRPr="00F417AC">
        <w:rPr>
          <w:rFonts w:ascii="Arial" w:hAnsi="Arial" w:cs="Arial"/>
        </w:rPr>
        <w:t xml:space="preserve"> has been reported to increase the risk of MCI by up to 40% and the risk of dementia by up to 70%, highlighting the importance of early identification of this association (Reitz et al., 2007).</w:t>
      </w:r>
    </w:p>
    <w:p w14:paraId="00745671" w14:textId="77777777" w:rsidR="00F417AC" w:rsidRDefault="00F417AC" w:rsidP="000C3856">
      <w:pPr>
        <w:pStyle w:val="Body"/>
        <w:spacing w:after="0"/>
        <w:rPr>
          <w:rFonts w:ascii="Arial" w:hAnsi="Arial" w:cs="Arial"/>
        </w:rPr>
      </w:pPr>
    </w:p>
    <w:p w14:paraId="2C7238B3" w14:textId="2F6C22ED" w:rsidR="000C3856" w:rsidRDefault="00F417AC" w:rsidP="000C3856">
      <w:pPr>
        <w:pStyle w:val="Body"/>
        <w:spacing w:after="0"/>
        <w:rPr>
          <w:rFonts w:ascii="Arial" w:hAnsi="Arial" w:cs="Arial"/>
        </w:rPr>
      </w:pPr>
      <w:r w:rsidRPr="00F417AC">
        <w:rPr>
          <w:rFonts w:ascii="Arial" w:hAnsi="Arial" w:cs="Arial"/>
        </w:rPr>
        <w:t>Despite the growing evidence on the relationship between systemic arterial hypertension and cognitive decline, this topic has been scarcely studied in the Mexican population, which presents unique conditions that may influence the results obtained in other populations.</w:t>
      </w:r>
    </w:p>
    <w:p w14:paraId="04096071" w14:textId="77777777" w:rsidR="00F417AC" w:rsidRDefault="00F417AC" w:rsidP="000C3856">
      <w:pPr>
        <w:pStyle w:val="Body"/>
        <w:spacing w:after="0"/>
        <w:rPr>
          <w:rFonts w:ascii="Arial" w:hAnsi="Arial" w:cs="Arial"/>
        </w:rPr>
      </w:pPr>
    </w:p>
    <w:p w14:paraId="4E4A4115" w14:textId="2723EC68" w:rsidR="00790ADA" w:rsidRDefault="00F417AC" w:rsidP="00441B6F">
      <w:pPr>
        <w:pStyle w:val="Body"/>
        <w:spacing w:after="0"/>
        <w:rPr>
          <w:rFonts w:ascii="Arial" w:hAnsi="Arial" w:cs="Arial"/>
        </w:rPr>
      </w:pPr>
      <w:r w:rsidRPr="00F417AC">
        <w:rPr>
          <w:rFonts w:ascii="Arial" w:hAnsi="Arial" w:cs="Arial"/>
        </w:rPr>
        <w:t>Therefore, the present study aimed to evaluate the association between systemic arterial hypertension and mild cognitive impairment in older adults attending primary care units in the state of Guanajuato.</w:t>
      </w:r>
    </w:p>
    <w:p w14:paraId="79A1700F" w14:textId="77777777" w:rsidR="00F417AC" w:rsidRPr="00FB3A86" w:rsidRDefault="00F417AC" w:rsidP="00441B6F">
      <w:pPr>
        <w:pStyle w:val="Body"/>
        <w:spacing w:after="0"/>
        <w:rPr>
          <w:rFonts w:ascii="Arial" w:hAnsi="Arial" w:cs="Arial"/>
        </w:rPr>
      </w:pPr>
    </w:p>
    <w:p w14:paraId="11AFAF34" w14:textId="420AA78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82E9BB" w14:textId="77777777" w:rsidR="00153A75" w:rsidRDefault="00153A75" w:rsidP="00441B6F">
      <w:pPr>
        <w:pStyle w:val="Body"/>
        <w:spacing w:after="0"/>
        <w:rPr>
          <w:rFonts w:ascii="Arial" w:hAnsi="Arial" w:cs="Arial"/>
        </w:rPr>
      </w:pPr>
    </w:p>
    <w:p w14:paraId="6D835544" w14:textId="1E6BA45D" w:rsidR="008D7A4E" w:rsidRPr="008D7A4E" w:rsidRDefault="008D7A4E" w:rsidP="00153A75">
      <w:pPr>
        <w:jc w:val="both"/>
        <w:rPr>
          <w:rFonts w:ascii="Arial" w:hAnsi="Arial" w:cs="Arial"/>
          <w:b/>
          <w:bCs/>
          <w:sz w:val="22"/>
          <w:szCs w:val="22"/>
        </w:rPr>
      </w:pPr>
      <w:r w:rsidRPr="008D7A4E">
        <w:rPr>
          <w:rFonts w:ascii="Arial" w:hAnsi="Arial" w:cs="Arial"/>
          <w:b/>
          <w:bCs/>
          <w:sz w:val="22"/>
          <w:szCs w:val="22"/>
        </w:rPr>
        <w:t xml:space="preserve">2.1 </w:t>
      </w:r>
      <w:r w:rsidR="00F417AC">
        <w:rPr>
          <w:rFonts w:ascii="Arial" w:hAnsi="Arial" w:cs="Arial"/>
          <w:b/>
          <w:bCs/>
          <w:sz w:val="22"/>
          <w:szCs w:val="22"/>
        </w:rPr>
        <w:t>Design and Participants</w:t>
      </w:r>
    </w:p>
    <w:p w14:paraId="6E8A4599" w14:textId="77777777" w:rsidR="008D7A4E" w:rsidRDefault="008D7A4E" w:rsidP="00153A75">
      <w:pPr>
        <w:jc w:val="both"/>
        <w:rPr>
          <w:rFonts w:ascii="Arial" w:hAnsi="Arial" w:cs="Arial"/>
        </w:rPr>
      </w:pPr>
    </w:p>
    <w:p w14:paraId="477A2E93" w14:textId="49C05120" w:rsidR="00153A75" w:rsidRDefault="00F417AC" w:rsidP="00441B6F">
      <w:pPr>
        <w:pStyle w:val="Body"/>
        <w:spacing w:after="0"/>
        <w:rPr>
          <w:rFonts w:ascii="Arial" w:hAnsi="Arial" w:cs="Arial"/>
        </w:rPr>
      </w:pPr>
      <w:r w:rsidRPr="00F417AC">
        <w:rPr>
          <w:rFonts w:ascii="Arial" w:hAnsi="Arial" w:cs="Arial"/>
        </w:rPr>
        <w:t xml:space="preserve">The study design was cross-sectional, observational, analytical, quantitative, and </w:t>
      </w:r>
      <w:proofErr w:type="spellStart"/>
      <w:r w:rsidRPr="00F417AC">
        <w:rPr>
          <w:rFonts w:ascii="Arial" w:hAnsi="Arial" w:cs="Arial"/>
        </w:rPr>
        <w:t>prolective</w:t>
      </w:r>
      <w:proofErr w:type="spellEnd"/>
      <w:r w:rsidRPr="00F417AC">
        <w:rPr>
          <w:rFonts w:ascii="Arial" w:hAnsi="Arial" w:cs="Arial"/>
        </w:rPr>
        <w:t>, involving a total of 124 participants who received care at the Guanajuato General Hospital (HGG), Mexico. Data were collected between January and April 2025.</w:t>
      </w:r>
    </w:p>
    <w:p w14:paraId="1B178DA7" w14:textId="77777777" w:rsidR="00F417AC" w:rsidRDefault="00F417AC" w:rsidP="00441B6F">
      <w:pPr>
        <w:pStyle w:val="Body"/>
        <w:spacing w:after="0"/>
        <w:rPr>
          <w:rFonts w:ascii="Arial" w:hAnsi="Arial" w:cs="Arial"/>
        </w:rPr>
      </w:pPr>
    </w:p>
    <w:p w14:paraId="0D95B296" w14:textId="6FD39561" w:rsidR="00A03B96" w:rsidRPr="00153A75" w:rsidRDefault="00153A75" w:rsidP="00441B6F">
      <w:pPr>
        <w:pStyle w:val="Body"/>
        <w:spacing w:after="0"/>
        <w:rPr>
          <w:rFonts w:ascii="Arial" w:hAnsi="Arial" w:cs="Arial"/>
          <w:b/>
          <w:bCs/>
          <w:sz w:val="22"/>
          <w:szCs w:val="22"/>
        </w:rPr>
      </w:pPr>
      <w:r w:rsidRPr="00153A75">
        <w:rPr>
          <w:rFonts w:ascii="Arial" w:hAnsi="Arial" w:cs="Arial"/>
          <w:b/>
          <w:bCs/>
          <w:sz w:val="22"/>
          <w:szCs w:val="22"/>
        </w:rPr>
        <w:t>2.</w:t>
      </w:r>
      <w:r w:rsidR="008D7A4E">
        <w:rPr>
          <w:rFonts w:ascii="Arial" w:hAnsi="Arial" w:cs="Arial"/>
          <w:b/>
          <w:bCs/>
          <w:sz w:val="22"/>
          <w:szCs w:val="22"/>
        </w:rPr>
        <w:t>2</w:t>
      </w:r>
      <w:r w:rsidRPr="00153A75">
        <w:rPr>
          <w:rFonts w:ascii="Arial" w:hAnsi="Arial" w:cs="Arial"/>
          <w:b/>
          <w:bCs/>
          <w:sz w:val="22"/>
          <w:szCs w:val="22"/>
        </w:rPr>
        <w:t xml:space="preserve"> </w:t>
      </w:r>
      <w:r w:rsidR="00F417AC">
        <w:rPr>
          <w:rFonts w:ascii="Arial" w:hAnsi="Arial" w:cs="Arial"/>
          <w:b/>
          <w:bCs/>
          <w:sz w:val="22"/>
          <w:szCs w:val="22"/>
        </w:rPr>
        <w:t>Selection Criteria</w:t>
      </w:r>
    </w:p>
    <w:p w14:paraId="59B75953" w14:textId="77777777" w:rsidR="00153A75" w:rsidRDefault="00153A75" w:rsidP="00153A75">
      <w:pPr>
        <w:jc w:val="both"/>
        <w:rPr>
          <w:rFonts w:ascii="Arial" w:hAnsi="Arial" w:cs="Arial"/>
        </w:rPr>
      </w:pPr>
    </w:p>
    <w:p w14:paraId="3F82CCD4" w14:textId="0BA9CC44"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2.2.1 </w:t>
      </w:r>
      <w:r w:rsidR="00F417AC">
        <w:rPr>
          <w:rFonts w:ascii="Arial" w:hAnsi="Arial" w:cs="Arial"/>
          <w:b/>
          <w:bCs/>
          <w:u w:val="single"/>
        </w:rPr>
        <w:t>Inclusion Criteria</w:t>
      </w:r>
    </w:p>
    <w:p w14:paraId="3891A40B" w14:textId="77777777" w:rsidR="00B177ED" w:rsidRDefault="00B177ED" w:rsidP="00153A75">
      <w:pPr>
        <w:jc w:val="both"/>
        <w:rPr>
          <w:rFonts w:ascii="Arial" w:hAnsi="Arial" w:cs="Arial"/>
        </w:rPr>
      </w:pPr>
    </w:p>
    <w:p w14:paraId="248918FA" w14:textId="2BB6BCA3" w:rsidR="008D7A4E" w:rsidRDefault="00F417AC" w:rsidP="00153A75">
      <w:pPr>
        <w:jc w:val="both"/>
        <w:rPr>
          <w:rFonts w:ascii="Arial" w:hAnsi="Arial" w:cs="Arial"/>
        </w:rPr>
      </w:pPr>
      <w:r w:rsidRPr="00F417AC">
        <w:rPr>
          <w:rFonts w:ascii="Arial" w:hAnsi="Arial" w:cs="Arial"/>
        </w:rPr>
        <w:t xml:space="preserve">Adults aged ≥ 60 years, male or female, who received care at the </w:t>
      </w:r>
      <w:r>
        <w:rPr>
          <w:rFonts w:ascii="Arial" w:hAnsi="Arial" w:cs="Arial"/>
        </w:rPr>
        <w:t xml:space="preserve">HGG, </w:t>
      </w:r>
      <w:r w:rsidRPr="00F417AC">
        <w:rPr>
          <w:rFonts w:ascii="Arial" w:hAnsi="Arial" w:cs="Arial"/>
        </w:rPr>
        <w:t xml:space="preserve">with or without a diagnosis of </w:t>
      </w:r>
      <w:r>
        <w:rPr>
          <w:rFonts w:ascii="Arial" w:hAnsi="Arial" w:cs="Arial"/>
        </w:rPr>
        <w:t>hypertension</w:t>
      </w:r>
      <w:r w:rsidRPr="00F417AC">
        <w:rPr>
          <w:rFonts w:ascii="Arial" w:hAnsi="Arial" w:cs="Arial"/>
        </w:rPr>
        <w:t>, and who also agreed to participate in the study by signing informed consent.</w:t>
      </w:r>
    </w:p>
    <w:p w14:paraId="6433E1DB" w14:textId="77777777" w:rsidR="00F417AC" w:rsidRDefault="00F417AC" w:rsidP="00153A75">
      <w:pPr>
        <w:jc w:val="both"/>
        <w:rPr>
          <w:rFonts w:ascii="Arial" w:hAnsi="Arial" w:cs="Arial"/>
        </w:rPr>
      </w:pPr>
    </w:p>
    <w:p w14:paraId="285AD9C1" w14:textId="5AE25F69"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2.2.2 </w:t>
      </w:r>
      <w:r w:rsidR="00F417AC">
        <w:rPr>
          <w:rFonts w:ascii="Arial" w:hAnsi="Arial" w:cs="Arial"/>
          <w:b/>
          <w:bCs/>
          <w:u w:val="single"/>
        </w:rPr>
        <w:t>Exclusion Criteria</w:t>
      </w:r>
    </w:p>
    <w:p w14:paraId="0310124A" w14:textId="77777777" w:rsidR="00B177ED" w:rsidRDefault="00B177ED" w:rsidP="00153A75">
      <w:pPr>
        <w:jc w:val="both"/>
        <w:rPr>
          <w:rFonts w:ascii="Arial" w:hAnsi="Arial" w:cs="Arial"/>
        </w:rPr>
      </w:pPr>
    </w:p>
    <w:p w14:paraId="5B2F41C5" w14:textId="73B65CA2" w:rsidR="008D7A4E" w:rsidRDefault="00F417AC" w:rsidP="00153A75">
      <w:pPr>
        <w:jc w:val="both"/>
        <w:rPr>
          <w:rFonts w:ascii="Arial" w:hAnsi="Arial" w:cs="Arial"/>
        </w:rPr>
      </w:pPr>
      <w:r w:rsidRPr="00F417AC">
        <w:rPr>
          <w:rFonts w:ascii="Arial" w:hAnsi="Arial" w:cs="Arial"/>
        </w:rPr>
        <w:t>Adults with psychomotor developmental delay and/or mental disability, adults with a previous diagnosis of dementia, and adults with a history of cerebrovascular event.</w:t>
      </w:r>
    </w:p>
    <w:p w14:paraId="1C72FEC5" w14:textId="77777777" w:rsidR="00F417AC" w:rsidRDefault="00F417AC" w:rsidP="00153A75">
      <w:pPr>
        <w:jc w:val="both"/>
        <w:rPr>
          <w:rFonts w:ascii="Arial" w:hAnsi="Arial" w:cs="Arial"/>
        </w:rPr>
      </w:pPr>
    </w:p>
    <w:p w14:paraId="5B2BD42C" w14:textId="7A66CF13" w:rsidR="00B177ED" w:rsidRPr="00B177ED" w:rsidRDefault="00B177ED" w:rsidP="00153A75">
      <w:pPr>
        <w:jc w:val="both"/>
        <w:rPr>
          <w:rFonts w:ascii="Arial" w:hAnsi="Arial" w:cs="Arial"/>
          <w:b/>
          <w:bCs/>
          <w:u w:val="single"/>
        </w:rPr>
      </w:pPr>
      <w:r w:rsidRPr="00B177ED">
        <w:rPr>
          <w:rFonts w:ascii="Arial" w:hAnsi="Arial" w:cs="Arial"/>
          <w:b/>
          <w:bCs/>
          <w:u w:val="single"/>
        </w:rPr>
        <w:t xml:space="preserve">2.2.3 </w:t>
      </w:r>
      <w:r w:rsidR="00F417AC">
        <w:rPr>
          <w:rFonts w:ascii="Arial" w:hAnsi="Arial" w:cs="Arial"/>
          <w:b/>
          <w:bCs/>
          <w:u w:val="single"/>
        </w:rPr>
        <w:t>Eliminated</w:t>
      </w:r>
    </w:p>
    <w:p w14:paraId="5A7F2FCE" w14:textId="77777777" w:rsidR="00B177ED" w:rsidRDefault="00B177ED" w:rsidP="00153A75">
      <w:pPr>
        <w:jc w:val="both"/>
        <w:rPr>
          <w:rFonts w:ascii="Arial" w:hAnsi="Arial" w:cs="Arial"/>
        </w:rPr>
      </w:pPr>
    </w:p>
    <w:p w14:paraId="74B96964" w14:textId="4A97C52D" w:rsidR="00153A75" w:rsidRDefault="00F417AC" w:rsidP="00153A75">
      <w:pPr>
        <w:jc w:val="both"/>
        <w:rPr>
          <w:rFonts w:ascii="Arial" w:hAnsi="Arial" w:cs="Arial"/>
        </w:rPr>
      </w:pPr>
      <w:r w:rsidRPr="00F417AC">
        <w:rPr>
          <w:rFonts w:ascii="Arial" w:hAnsi="Arial" w:cs="Arial"/>
        </w:rPr>
        <w:t>Participants who decided to withdraw from the study and those with incomplete records.</w:t>
      </w:r>
    </w:p>
    <w:p w14:paraId="52B666D1" w14:textId="77777777" w:rsidR="00153A75" w:rsidRDefault="00153A75" w:rsidP="00153A75">
      <w:pPr>
        <w:jc w:val="both"/>
        <w:rPr>
          <w:rFonts w:ascii="Arial" w:hAnsi="Arial" w:cs="Arial"/>
        </w:rPr>
      </w:pPr>
    </w:p>
    <w:p w14:paraId="455D955F" w14:textId="77777777" w:rsidR="008D7A4E" w:rsidRPr="00153A75" w:rsidRDefault="008D7A4E" w:rsidP="008D7A4E">
      <w:pPr>
        <w:pStyle w:val="Body"/>
        <w:spacing w:after="0"/>
        <w:rPr>
          <w:rFonts w:ascii="Arial" w:hAnsi="Arial" w:cs="Arial"/>
          <w:b/>
          <w:bCs/>
          <w:sz w:val="22"/>
          <w:szCs w:val="22"/>
        </w:rPr>
      </w:pPr>
      <w:r w:rsidRPr="00153A75">
        <w:rPr>
          <w:rFonts w:ascii="Arial" w:hAnsi="Arial" w:cs="Arial"/>
          <w:b/>
          <w:bCs/>
          <w:sz w:val="22"/>
          <w:szCs w:val="22"/>
        </w:rPr>
        <w:t>2.3 Variables</w:t>
      </w:r>
    </w:p>
    <w:p w14:paraId="32383BFF" w14:textId="77777777" w:rsidR="008D7A4E" w:rsidRDefault="008D7A4E" w:rsidP="008D7A4E">
      <w:pPr>
        <w:pStyle w:val="Body"/>
        <w:spacing w:after="0"/>
        <w:rPr>
          <w:rFonts w:ascii="Arial" w:hAnsi="Arial" w:cs="Arial"/>
          <w:b/>
          <w:bCs/>
        </w:rPr>
      </w:pPr>
    </w:p>
    <w:p w14:paraId="3262815A" w14:textId="3D73EADD" w:rsidR="008D7A4E" w:rsidRDefault="008D7A4E" w:rsidP="008D7A4E">
      <w:pPr>
        <w:pStyle w:val="Body"/>
        <w:spacing w:after="0"/>
        <w:rPr>
          <w:rFonts w:ascii="Arial" w:hAnsi="Arial" w:cs="Arial"/>
        </w:rPr>
      </w:pPr>
      <w:r>
        <w:rPr>
          <w:rFonts w:ascii="Arial" w:hAnsi="Arial" w:cs="Arial"/>
          <w:b/>
          <w:bCs/>
          <w:u w:val="single"/>
        </w:rPr>
        <w:t xml:space="preserve">2.3.1 </w:t>
      </w:r>
      <w:r w:rsidR="00F417AC">
        <w:rPr>
          <w:rFonts w:ascii="Arial" w:hAnsi="Arial" w:cs="Arial"/>
          <w:b/>
          <w:bCs/>
          <w:u w:val="single"/>
        </w:rPr>
        <w:t>Sociodemographic Variables</w:t>
      </w:r>
    </w:p>
    <w:p w14:paraId="080919C3" w14:textId="77777777" w:rsidR="008D7A4E" w:rsidRDefault="008D7A4E" w:rsidP="008D7A4E">
      <w:pPr>
        <w:pStyle w:val="Body"/>
        <w:spacing w:after="0"/>
        <w:rPr>
          <w:rFonts w:ascii="Arial" w:hAnsi="Arial" w:cs="Arial"/>
        </w:rPr>
      </w:pPr>
    </w:p>
    <w:p w14:paraId="61B2DE0D" w14:textId="0A03B5D6" w:rsidR="008D7A4E" w:rsidRDefault="000F7978" w:rsidP="008D7A4E">
      <w:pPr>
        <w:pStyle w:val="Body"/>
        <w:spacing w:after="0"/>
        <w:rPr>
          <w:rFonts w:ascii="Arial" w:hAnsi="Arial" w:cs="Arial"/>
        </w:rPr>
      </w:pPr>
      <w:r w:rsidRPr="000F7978">
        <w:rPr>
          <w:rFonts w:ascii="Arial" w:hAnsi="Arial" w:cs="Arial"/>
        </w:rPr>
        <w:t>Age, marital status, sex, educational level, comorbidities, weight (kg), height (m), body mass index (BMI) (kg/m²), and waist circumference (WC) (cm) were included.</w:t>
      </w:r>
    </w:p>
    <w:p w14:paraId="4ABA0CC6" w14:textId="77777777" w:rsidR="000F7978" w:rsidRDefault="000F7978" w:rsidP="008D7A4E">
      <w:pPr>
        <w:pStyle w:val="Body"/>
        <w:spacing w:after="0"/>
        <w:rPr>
          <w:rFonts w:ascii="Arial" w:hAnsi="Arial" w:cs="Arial"/>
        </w:rPr>
      </w:pPr>
    </w:p>
    <w:p w14:paraId="25FD7F87" w14:textId="412AD469" w:rsidR="008D7A4E" w:rsidRDefault="008D7A4E" w:rsidP="008D7A4E">
      <w:pPr>
        <w:pStyle w:val="Body"/>
        <w:spacing w:after="0"/>
        <w:rPr>
          <w:rFonts w:ascii="Arial" w:hAnsi="Arial" w:cs="Arial"/>
        </w:rPr>
      </w:pPr>
      <w:r>
        <w:rPr>
          <w:rFonts w:ascii="Arial" w:hAnsi="Arial" w:cs="Arial"/>
          <w:b/>
          <w:bCs/>
          <w:u w:val="single"/>
        </w:rPr>
        <w:t xml:space="preserve">2.3.2 </w:t>
      </w:r>
      <w:commentRangeStart w:id="4"/>
      <w:r w:rsidR="000F7978">
        <w:rPr>
          <w:rFonts w:ascii="Arial" w:hAnsi="Arial" w:cs="Arial"/>
          <w:b/>
          <w:bCs/>
          <w:u w:val="single"/>
        </w:rPr>
        <w:t>Independent Variables</w:t>
      </w:r>
      <w:commentRangeEnd w:id="4"/>
      <w:r w:rsidR="00D94729">
        <w:rPr>
          <w:rStyle w:val="CommentReference"/>
          <w:rFonts w:ascii="Times New Roman" w:hAnsi="Times New Roman"/>
          <w:lang w:val="nb-NO" w:eastAsia="nb-NO"/>
        </w:rPr>
        <w:commentReference w:id="4"/>
      </w:r>
    </w:p>
    <w:p w14:paraId="0912199D" w14:textId="77777777" w:rsidR="008D7A4E" w:rsidRDefault="008D7A4E" w:rsidP="008D7A4E">
      <w:pPr>
        <w:pStyle w:val="Body"/>
        <w:spacing w:after="0"/>
        <w:rPr>
          <w:rFonts w:ascii="Arial" w:hAnsi="Arial" w:cs="Arial"/>
        </w:rPr>
      </w:pPr>
    </w:p>
    <w:p w14:paraId="166D5F06" w14:textId="75C18B62" w:rsidR="008D7A4E" w:rsidRPr="00153A75" w:rsidRDefault="008D7A4E" w:rsidP="00D661E9">
      <w:pPr>
        <w:pStyle w:val="Body"/>
        <w:numPr>
          <w:ilvl w:val="0"/>
          <w:numId w:val="32"/>
        </w:numPr>
        <w:spacing w:after="0"/>
        <w:rPr>
          <w:rFonts w:ascii="Arial" w:hAnsi="Arial" w:cs="Arial"/>
        </w:rPr>
      </w:pPr>
      <w:r w:rsidRPr="008D7A4E">
        <w:rPr>
          <w:rFonts w:ascii="Arial" w:hAnsi="Arial" w:cs="Arial"/>
          <w:b/>
          <w:bCs/>
        </w:rPr>
        <w:t>H</w:t>
      </w:r>
      <w:r w:rsidR="000F7978">
        <w:rPr>
          <w:rFonts w:ascii="Arial" w:hAnsi="Arial" w:cs="Arial"/>
          <w:b/>
          <w:bCs/>
        </w:rPr>
        <w:t>ypertension</w:t>
      </w:r>
      <w:r w:rsidRPr="00153A75">
        <w:rPr>
          <w:rFonts w:ascii="Arial" w:hAnsi="Arial" w:cs="Arial"/>
        </w:rPr>
        <w:t xml:space="preserve">: </w:t>
      </w:r>
      <w:r w:rsidR="000F7978">
        <w:t>This is a dichotomous categorical variable. It is defined as the pressure exerted by blood against the arterial walls and is classified according to the Clinical Practice Guideline “Promotion, Prevention, Diagnosis, and Treatment of Arterial Hypertension in Primary Health Care.” Hypertension is diagnosed when systolic blood pressure (SBP) ≥ 140 mm Hg or diastolic blood pressure (DBP) ≥ 90 mm Hg (CENETEC, 2021). It is measured as present or absent and presented as frequencies and percentages.</w:t>
      </w:r>
    </w:p>
    <w:p w14:paraId="7CE32B7D" w14:textId="614A6B63" w:rsidR="008D7A4E" w:rsidRPr="00153A75" w:rsidRDefault="000F7978" w:rsidP="00D661E9">
      <w:pPr>
        <w:pStyle w:val="Body"/>
        <w:numPr>
          <w:ilvl w:val="0"/>
          <w:numId w:val="32"/>
        </w:numPr>
        <w:spacing w:after="0"/>
        <w:rPr>
          <w:rFonts w:ascii="Arial" w:hAnsi="Arial" w:cs="Arial"/>
        </w:rPr>
      </w:pPr>
      <w:r>
        <w:rPr>
          <w:rFonts w:ascii="Arial" w:hAnsi="Arial" w:cs="Arial"/>
          <w:b/>
          <w:bCs/>
        </w:rPr>
        <w:t>Duration of Hypertension</w:t>
      </w:r>
      <w:r w:rsidR="008D7A4E" w:rsidRPr="00153A75">
        <w:rPr>
          <w:rFonts w:ascii="Arial" w:hAnsi="Arial" w:cs="Arial"/>
        </w:rPr>
        <w:t xml:space="preserve">: </w:t>
      </w:r>
      <w:r>
        <w:t>This is a continuous quantitative variable. It represents the time elapsed from the diagnosis of hypertension to the moment of inclusion in the study. It is measured in years and presented as mean and standard deviation.</w:t>
      </w:r>
    </w:p>
    <w:p w14:paraId="32085119" w14:textId="45C559C0" w:rsidR="008D7A4E" w:rsidRDefault="000F7978" w:rsidP="008D7A4E">
      <w:pPr>
        <w:pStyle w:val="Body"/>
        <w:numPr>
          <w:ilvl w:val="0"/>
          <w:numId w:val="32"/>
        </w:numPr>
        <w:spacing w:after="0"/>
        <w:rPr>
          <w:rFonts w:ascii="Arial" w:hAnsi="Arial" w:cs="Arial"/>
        </w:rPr>
      </w:pPr>
      <w:commentRangeStart w:id="5"/>
      <w:r>
        <w:rPr>
          <w:rFonts w:ascii="Arial" w:hAnsi="Arial" w:cs="Arial"/>
          <w:b/>
          <w:bCs/>
        </w:rPr>
        <w:t>Blood Pressure</w:t>
      </w:r>
      <w:r w:rsidR="008D7A4E" w:rsidRPr="00153A75">
        <w:rPr>
          <w:rFonts w:ascii="Arial" w:hAnsi="Arial" w:cs="Arial"/>
        </w:rPr>
        <w:t xml:space="preserve">: </w:t>
      </w:r>
      <w:r w:rsidRPr="000F7978">
        <w:rPr>
          <w:rFonts w:ascii="Arial" w:hAnsi="Arial" w:cs="Arial"/>
        </w:rPr>
        <w:t xml:space="preserve">This is a continuous quantitative variable. It refers to the pressure exerted by blood against the arterial walls. It is further classified into </w:t>
      </w:r>
      <w:r>
        <w:rPr>
          <w:rFonts w:ascii="Arial" w:hAnsi="Arial" w:cs="Arial"/>
        </w:rPr>
        <w:t xml:space="preserve">SBP </w:t>
      </w:r>
      <w:r w:rsidRPr="000F7978">
        <w:rPr>
          <w:rFonts w:ascii="Arial" w:hAnsi="Arial" w:cs="Arial"/>
        </w:rPr>
        <w:t xml:space="preserve">and </w:t>
      </w:r>
      <w:r>
        <w:rPr>
          <w:rFonts w:ascii="Arial" w:hAnsi="Arial" w:cs="Arial"/>
        </w:rPr>
        <w:t xml:space="preserve">ABP </w:t>
      </w:r>
      <w:r w:rsidRPr="000F7978">
        <w:rPr>
          <w:rFonts w:ascii="Arial" w:hAnsi="Arial" w:cs="Arial"/>
        </w:rPr>
        <w:t>pressure. It is measured in mmHg and presented as mean and standard deviation.</w:t>
      </w:r>
      <w:commentRangeEnd w:id="5"/>
      <w:r w:rsidR="003B0386">
        <w:rPr>
          <w:rStyle w:val="CommentReference"/>
          <w:rFonts w:ascii="Times New Roman" w:hAnsi="Times New Roman"/>
          <w:lang w:val="nb-NO" w:eastAsia="nb-NO"/>
        </w:rPr>
        <w:commentReference w:id="5"/>
      </w:r>
    </w:p>
    <w:p w14:paraId="06BC060F" w14:textId="77777777" w:rsidR="008D7A4E" w:rsidRDefault="008D7A4E" w:rsidP="008D7A4E">
      <w:pPr>
        <w:pStyle w:val="Body"/>
        <w:spacing w:after="0"/>
        <w:rPr>
          <w:rFonts w:ascii="Arial" w:hAnsi="Arial" w:cs="Arial"/>
        </w:rPr>
      </w:pPr>
    </w:p>
    <w:p w14:paraId="0A526EB6" w14:textId="04B0947A" w:rsidR="008D7A4E" w:rsidRDefault="00F538E5" w:rsidP="00F538E5">
      <w:pPr>
        <w:pStyle w:val="Body"/>
        <w:spacing w:after="0"/>
        <w:rPr>
          <w:rFonts w:ascii="Arial" w:hAnsi="Arial" w:cs="Arial"/>
        </w:rPr>
      </w:pPr>
      <w:r>
        <w:rPr>
          <w:rFonts w:ascii="Arial" w:hAnsi="Arial" w:cs="Arial"/>
          <w:b/>
          <w:bCs/>
          <w:u w:val="single"/>
        </w:rPr>
        <w:t>2.3.2 Dependent Variables</w:t>
      </w:r>
    </w:p>
    <w:p w14:paraId="176DFB96" w14:textId="77777777" w:rsidR="008D7A4E" w:rsidRDefault="008D7A4E" w:rsidP="008D7A4E">
      <w:pPr>
        <w:pStyle w:val="Body"/>
        <w:spacing w:after="0"/>
        <w:rPr>
          <w:rFonts w:ascii="Arial" w:hAnsi="Arial" w:cs="Arial"/>
        </w:rPr>
      </w:pPr>
    </w:p>
    <w:p w14:paraId="71595732" w14:textId="1AD4CA53" w:rsidR="008D7A4E" w:rsidRPr="0000240A" w:rsidRDefault="000F7978" w:rsidP="0000240A">
      <w:pPr>
        <w:pStyle w:val="Body"/>
        <w:numPr>
          <w:ilvl w:val="0"/>
          <w:numId w:val="31"/>
        </w:numPr>
        <w:spacing w:after="0"/>
        <w:rPr>
          <w:rFonts w:ascii="Arial" w:hAnsi="Arial" w:cs="Arial"/>
        </w:rPr>
      </w:pPr>
      <w:r>
        <w:rPr>
          <w:rFonts w:ascii="Arial" w:hAnsi="Arial" w:cs="Arial"/>
          <w:b/>
          <w:bCs/>
        </w:rPr>
        <w:t>Mild Cognitive Impairment</w:t>
      </w:r>
      <w:r w:rsidR="008D7A4E" w:rsidRPr="00153A75">
        <w:rPr>
          <w:rFonts w:ascii="Arial" w:hAnsi="Arial" w:cs="Arial"/>
        </w:rPr>
        <w:t xml:space="preserve">: </w:t>
      </w:r>
      <w:r>
        <w:t>This is a dichotomous categorical variable in which cognitive impairment may be present or absent. It is a clinical syndrome representing an intermediate stage between normal cognition and dementia. It was defined based on neurocognitive evaluation using the Montreal Cognitive Assessment® (MoCA®) test; a score ≥ 26 indicates normal cognition, while a score ≤ 25 indicates MCI. For participants with ≤ 12 years of education, one point was added to the total score obtained (Nasreddine et al., 2005). It is measured as present or absent and presented as frequencies and percentages.</w:t>
      </w:r>
    </w:p>
    <w:p w14:paraId="41F5C664" w14:textId="0657EFD6" w:rsidR="000E599B" w:rsidRDefault="000E599B" w:rsidP="00BB7834">
      <w:pPr>
        <w:pStyle w:val="Body"/>
        <w:numPr>
          <w:ilvl w:val="0"/>
          <w:numId w:val="31"/>
        </w:numPr>
        <w:spacing w:after="0"/>
        <w:rPr>
          <w:rFonts w:ascii="Arial" w:hAnsi="Arial" w:cs="Arial"/>
        </w:rPr>
      </w:pPr>
      <w:r w:rsidRPr="000E599B">
        <w:rPr>
          <w:rFonts w:ascii="Arial" w:hAnsi="Arial" w:cs="Arial"/>
          <w:b/>
          <w:bCs/>
        </w:rPr>
        <w:t>Vis</w:t>
      </w:r>
      <w:r w:rsidR="000F7978">
        <w:rPr>
          <w:rFonts w:ascii="Arial" w:hAnsi="Arial" w:cs="Arial"/>
          <w:b/>
          <w:bCs/>
        </w:rPr>
        <w:t>uospatial/Executive</w:t>
      </w:r>
      <w:r>
        <w:rPr>
          <w:rFonts w:ascii="Arial" w:hAnsi="Arial" w:cs="Arial"/>
        </w:rPr>
        <w:t xml:space="preserve">: </w:t>
      </w:r>
      <w:r w:rsidR="000F7978">
        <w:t>This is a continuous quantitative variable. It represents the ability to integrate visual and spatial information in order to plan, organize, and execute complex tasks. It is measured according to the MoCA® test, ranging from 0 to 5 points (Nasreddine et al., 2005). It is presented as mean and standard deviation.</w:t>
      </w:r>
    </w:p>
    <w:p w14:paraId="48ECE8CB" w14:textId="21D9A4E0" w:rsidR="000E599B" w:rsidRDefault="000F7978" w:rsidP="00BB7834">
      <w:pPr>
        <w:pStyle w:val="Body"/>
        <w:numPr>
          <w:ilvl w:val="0"/>
          <w:numId w:val="31"/>
        </w:numPr>
        <w:spacing w:after="0"/>
        <w:rPr>
          <w:rFonts w:ascii="Arial" w:hAnsi="Arial" w:cs="Arial"/>
        </w:rPr>
      </w:pPr>
      <w:r>
        <w:rPr>
          <w:rFonts w:ascii="Arial" w:hAnsi="Arial" w:cs="Arial"/>
          <w:b/>
          <w:bCs/>
        </w:rPr>
        <w:t>Naming</w:t>
      </w:r>
      <w:r w:rsidR="00BB7834">
        <w:rPr>
          <w:rFonts w:ascii="Arial" w:hAnsi="Arial" w:cs="Arial"/>
        </w:rPr>
        <w:t>:</w:t>
      </w:r>
      <w:r w:rsidR="00BB7834" w:rsidRPr="00BB7834">
        <w:t xml:space="preserve"> </w:t>
      </w:r>
      <w:r w:rsidRPr="000F7978">
        <w:t>This is a continuous quantitative variable. It represents the ability to recognize and name previously learned objects or stimuli. It is measured according to the MoCA® test, ranging from 0 to 3 points (Nasreddine et al., 2005). It is presented as mean and standard deviation.</w:t>
      </w:r>
    </w:p>
    <w:p w14:paraId="20A247B3" w14:textId="650E910D" w:rsidR="00BB7834" w:rsidRDefault="00BB7834" w:rsidP="00BB7834">
      <w:pPr>
        <w:pStyle w:val="Body"/>
        <w:numPr>
          <w:ilvl w:val="0"/>
          <w:numId w:val="31"/>
        </w:numPr>
        <w:spacing w:after="0"/>
        <w:rPr>
          <w:rFonts w:ascii="Arial" w:hAnsi="Arial" w:cs="Arial"/>
        </w:rPr>
      </w:pPr>
      <w:r>
        <w:rPr>
          <w:rFonts w:ascii="Arial" w:hAnsi="Arial" w:cs="Arial"/>
          <w:b/>
          <w:bCs/>
        </w:rPr>
        <w:t>At</w:t>
      </w:r>
      <w:r w:rsidR="000F7978">
        <w:rPr>
          <w:rFonts w:ascii="Arial" w:hAnsi="Arial" w:cs="Arial"/>
          <w:b/>
          <w:bCs/>
        </w:rPr>
        <w:t>tention</w:t>
      </w:r>
      <w:r>
        <w:rPr>
          <w:rFonts w:ascii="Arial" w:hAnsi="Arial" w:cs="Arial"/>
        </w:rPr>
        <w:t xml:space="preserve">: </w:t>
      </w:r>
      <w:r w:rsidR="000F7978">
        <w:t>This is a continuous quantitative variable. It represents the ability to maintain concentration and direct cognitive resources toward a specific stimulus or task over a given period. It is measured according to the MoCA® test, ranging from 0 to 6 points (Nasreddine et al., 2005). It is presented as mean and standard deviation.</w:t>
      </w:r>
    </w:p>
    <w:p w14:paraId="05B3A5C8" w14:textId="288344AA" w:rsidR="00BB7834" w:rsidRPr="009220D1" w:rsidRDefault="000F7978" w:rsidP="00BB7834">
      <w:pPr>
        <w:pStyle w:val="Body"/>
        <w:numPr>
          <w:ilvl w:val="0"/>
          <w:numId w:val="31"/>
        </w:numPr>
        <w:spacing w:after="0"/>
        <w:rPr>
          <w:rFonts w:ascii="Arial" w:hAnsi="Arial" w:cs="Arial"/>
        </w:rPr>
      </w:pPr>
      <w:r>
        <w:rPr>
          <w:rFonts w:ascii="Arial" w:hAnsi="Arial" w:cs="Arial"/>
          <w:b/>
          <w:bCs/>
        </w:rPr>
        <w:lastRenderedPageBreak/>
        <w:t>Language</w:t>
      </w:r>
      <w:r w:rsidR="00BB7834">
        <w:rPr>
          <w:rFonts w:ascii="Arial" w:hAnsi="Arial" w:cs="Arial"/>
        </w:rPr>
        <w:t xml:space="preserve">: </w:t>
      </w:r>
      <w:r w:rsidR="00F538E5">
        <w:t>This is a continuous quantitative variable. It encompasses a set of skills that enable comprehension, expression, and organization of thought through spoken or written words. It is measured according to the MoCA® test, ranging from 0 to 3 points (Nasreddine et al., 2005). It is presented as mean and standard deviation.</w:t>
      </w:r>
    </w:p>
    <w:p w14:paraId="413F8066" w14:textId="505403EF" w:rsidR="00BB7834" w:rsidRDefault="00BB7834" w:rsidP="00BB7834">
      <w:pPr>
        <w:pStyle w:val="Body"/>
        <w:numPr>
          <w:ilvl w:val="0"/>
          <w:numId w:val="31"/>
        </w:numPr>
        <w:spacing w:after="0"/>
        <w:rPr>
          <w:rFonts w:ascii="Arial" w:hAnsi="Arial" w:cs="Arial"/>
        </w:rPr>
      </w:pPr>
      <w:r>
        <w:rPr>
          <w:rFonts w:ascii="Arial" w:hAnsi="Arial" w:cs="Arial"/>
          <w:b/>
          <w:bCs/>
        </w:rPr>
        <w:t>Abstrac</w:t>
      </w:r>
      <w:r w:rsidR="000F7978">
        <w:rPr>
          <w:rFonts w:ascii="Arial" w:hAnsi="Arial" w:cs="Arial"/>
          <w:b/>
          <w:bCs/>
        </w:rPr>
        <w:t>tio</w:t>
      </w:r>
      <w:r>
        <w:rPr>
          <w:rFonts w:ascii="Arial" w:hAnsi="Arial" w:cs="Arial"/>
          <w:b/>
          <w:bCs/>
        </w:rPr>
        <w:t>n</w:t>
      </w:r>
      <w:r>
        <w:rPr>
          <w:rFonts w:ascii="Arial" w:hAnsi="Arial" w:cs="Arial"/>
        </w:rPr>
        <w:t xml:space="preserve">: </w:t>
      </w:r>
      <w:r w:rsidR="00F538E5">
        <w:t>This is a continuous quantitative variable. It represents the ability to identify conceptual relationships among objects, ideas, or situations, and to think symbolically or abstractly. It is measured according to the MoCA® test, ranging from 0 to 2 points (Nasreddine et al., 2005). It is presented as mean and standard deviation.</w:t>
      </w:r>
    </w:p>
    <w:p w14:paraId="1315BB1C" w14:textId="2A71FF57" w:rsidR="00BB7834" w:rsidRDefault="000F7978" w:rsidP="00BB7834">
      <w:pPr>
        <w:pStyle w:val="Body"/>
        <w:numPr>
          <w:ilvl w:val="0"/>
          <w:numId w:val="31"/>
        </w:numPr>
        <w:spacing w:after="0"/>
        <w:rPr>
          <w:rFonts w:ascii="Arial" w:hAnsi="Arial" w:cs="Arial"/>
        </w:rPr>
      </w:pPr>
      <w:r>
        <w:rPr>
          <w:rFonts w:ascii="Arial" w:hAnsi="Arial" w:cs="Arial"/>
          <w:b/>
          <w:bCs/>
        </w:rPr>
        <w:t>Delayed Recall</w:t>
      </w:r>
      <w:r w:rsidR="00BB7834">
        <w:rPr>
          <w:rFonts w:ascii="Arial" w:hAnsi="Arial" w:cs="Arial"/>
        </w:rPr>
        <w:t>:</w:t>
      </w:r>
      <w:r w:rsidR="00D661E9">
        <w:t xml:space="preserve"> </w:t>
      </w:r>
      <w:r w:rsidR="00F538E5">
        <w:t>This is a continuous quantitative variable. It represents the ability to retrieve learned information after a period of time without external cues. It is measured according to the MoCA® test, ranging from 0 to 5 points (Nasreddine et al., 2005). It is presented as mean and standard deviation.</w:t>
      </w:r>
    </w:p>
    <w:p w14:paraId="607488B7" w14:textId="4509F9DD" w:rsidR="00D661E9" w:rsidRDefault="00D661E9" w:rsidP="00D661E9">
      <w:pPr>
        <w:pStyle w:val="Body"/>
        <w:numPr>
          <w:ilvl w:val="0"/>
          <w:numId w:val="31"/>
        </w:numPr>
        <w:spacing w:after="0"/>
        <w:rPr>
          <w:rFonts w:ascii="Arial" w:hAnsi="Arial" w:cs="Arial"/>
        </w:rPr>
      </w:pPr>
      <w:r>
        <w:rPr>
          <w:rFonts w:ascii="Arial" w:hAnsi="Arial" w:cs="Arial"/>
          <w:b/>
          <w:bCs/>
        </w:rPr>
        <w:t>Orienta</w:t>
      </w:r>
      <w:r w:rsidR="000F7978">
        <w:rPr>
          <w:rFonts w:ascii="Arial" w:hAnsi="Arial" w:cs="Arial"/>
          <w:b/>
          <w:bCs/>
        </w:rPr>
        <w:t>tion</w:t>
      </w:r>
      <w:r>
        <w:rPr>
          <w:rFonts w:ascii="Arial" w:hAnsi="Arial" w:cs="Arial"/>
        </w:rPr>
        <w:t>:</w:t>
      </w:r>
      <w:r>
        <w:t xml:space="preserve"> </w:t>
      </w:r>
      <w:r w:rsidR="00F538E5">
        <w:t>This is a continuous quantitative variable. It represents the ability to recognize one’s own orientation in time, space, and person. It is measured according to the MoCA® test, ranging from 0 to 6 points (Nasreddine et al., 2005). It is presented as mean and standard deviation.</w:t>
      </w:r>
    </w:p>
    <w:p w14:paraId="5496A9D5" w14:textId="77777777" w:rsidR="00BB7834" w:rsidRPr="00D661E9" w:rsidRDefault="00BB7834" w:rsidP="00D661E9">
      <w:pPr>
        <w:pStyle w:val="Body"/>
        <w:spacing w:after="0"/>
        <w:ind w:left="720"/>
        <w:rPr>
          <w:rFonts w:ascii="Arial" w:hAnsi="Arial" w:cs="Arial"/>
        </w:rPr>
      </w:pPr>
    </w:p>
    <w:p w14:paraId="1885BC28" w14:textId="0E139CE6" w:rsidR="00153A75" w:rsidRDefault="00153A75" w:rsidP="00153A75">
      <w:pPr>
        <w:pStyle w:val="Body"/>
        <w:spacing w:after="0"/>
        <w:rPr>
          <w:rFonts w:ascii="Arial" w:hAnsi="Arial" w:cs="Arial"/>
          <w:sz w:val="22"/>
          <w:szCs w:val="22"/>
        </w:rPr>
      </w:pPr>
      <w:r w:rsidRPr="00153A75">
        <w:rPr>
          <w:rFonts w:ascii="Arial" w:hAnsi="Arial" w:cs="Arial"/>
          <w:b/>
          <w:bCs/>
          <w:sz w:val="22"/>
          <w:szCs w:val="22"/>
        </w:rPr>
        <w:t>2.</w:t>
      </w:r>
      <w:r w:rsidR="00F538E5">
        <w:rPr>
          <w:rFonts w:ascii="Arial" w:hAnsi="Arial" w:cs="Arial"/>
          <w:b/>
          <w:bCs/>
          <w:sz w:val="22"/>
          <w:szCs w:val="22"/>
        </w:rPr>
        <w:t>4</w:t>
      </w:r>
      <w:r w:rsidRPr="00153A75">
        <w:rPr>
          <w:rFonts w:ascii="Arial" w:hAnsi="Arial" w:cs="Arial"/>
          <w:b/>
          <w:bCs/>
          <w:sz w:val="22"/>
          <w:szCs w:val="22"/>
        </w:rPr>
        <w:t xml:space="preserve"> </w:t>
      </w:r>
      <w:r w:rsidR="00F538E5">
        <w:rPr>
          <w:rFonts w:ascii="Arial" w:hAnsi="Arial" w:cs="Arial"/>
          <w:b/>
          <w:bCs/>
          <w:sz w:val="22"/>
          <w:szCs w:val="22"/>
        </w:rPr>
        <w:t>Procedures</w:t>
      </w:r>
    </w:p>
    <w:p w14:paraId="438AB1D4" w14:textId="77777777" w:rsidR="00153A75" w:rsidRPr="00153A75" w:rsidRDefault="00153A75" w:rsidP="00153A75">
      <w:pPr>
        <w:pStyle w:val="Body"/>
        <w:spacing w:after="0"/>
        <w:rPr>
          <w:rFonts w:ascii="Arial" w:hAnsi="Arial" w:cs="Arial"/>
          <w:sz w:val="22"/>
          <w:szCs w:val="22"/>
        </w:rPr>
      </w:pPr>
    </w:p>
    <w:p w14:paraId="706C04FE" w14:textId="505561EC" w:rsidR="009220D1" w:rsidRDefault="00F538E5" w:rsidP="00153A75">
      <w:pPr>
        <w:jc w:val="both"/>
        <w:rPr>
          <w:rFonts w:ascii="Arial" w:hAnsi="Arial" w:cs="Arial"/>
        </w:rPr>
      </w:pPr>
      <w:r>
        <w:t>Once approved by the Research Ethics Committee, the HGG was visited, and adults aged 60 years and older were identified. After identification, eligible candidates were invited to participate. The study objectives were explained in detail, an information sheet was provided, and any questions were addressed. Subsequently, the informed consent form was given, and those who agreed to participate signed it after reading.</w:t>
      </w:r>
    </w:p>
    <w:p w14:paraId="08D7F358" w14:textId="77777777" w:rsidR="00F538E5" w:rsidRDefault="00F538E5" w:rsidP="00153A75">
      <w:pPr>
        <w:jc w:val="both"/>
        <w:rPr>
          <w:rFonts w:ascii="Arial" w:hAnsi="Arial" w:cs="Arial"/>
        </w:rPr>
      </w:pPr>
    </w:p>
    <w:p w14:paraId="62EB77B5" w14:textId="36A3EDBD" w:rsidR="009220D1" w:rsidRDefault="00F538E5" w:rsidP="00153A75">
      <w:pPr>
        <w:jc w:val="both"/>
        <w:rPr>
          <w:rFonts w:ascii="Arial" w:hAnsi="Arial" w:cs="Arial"/>
        </w:rPr>
      </w:pPr>
      <w:r>
        <w:t>Participants were weighed and measured using a DETECTO scale, model 2491, following the manufacturer’s specifications. Waist circumference was measured with a measuring tape, ensuring that the measurement was taken at the level of the navel and at the end of a normal exhalation. Blood pressure was measured using a Welch Allyn® 767 Tycos® Aneroid sphygmomanometer with a mobile stand, ensuring that the measurement was taken after a 5-minute rest period, with the participant seated, back supported, legs straight, and both feet flat on the floor. The blood pressure was taken over the cubital fossa of the left arm.</w:t>
      </w:r>
    </w:p>
    <w:p w14:paraId="135B0913" w14:textId="77777777" w:rsidR="00F538E5" w:rsidRDefault="00F538E5" w:rsidP="00153A75">
      <w:pPr>
        <w:jc w:val="both"/>
        <w:rPr>
          <w:rFonts w:ascii="Arial" w:hAnsi="Arial" w:cs="Arial"/>
        </w:rPr>
      </w:pPr>
    </w:p>
    <w:p w14:paraId="011A562C" w14:textId="5EC31422" w:rsidR="009220D1" w:rsidRDefault="00F538E5" w:rsidP="00153A75">
      <w:pPr>
        <w:jc w:val="both"/>
        <w:rPr>
          <w:rFonts w:ascii="Arial" w:hAnsi="Arial" w:cs="Arial"/>
        </w:rPr>
      </w:pPr>
      <w:r>
        <w:t>The MoCA® test was administered to assess the participants’ global neurocognitive function and cognitive domains.</w:t>
      </w:r>
    </w:p>
    <w:p w14:paraId="66E64EF4" w14:textId="77777777" w:rsidR="00F538E5" w:rsidRDefault="00F538E5" w:rsidP="00153A75">
      <w:pPr>
        <w:jc w:val="both"/>
        <w:rPr>
          <w:rFonts w:ascii="Arial" w:hAnsi="Arial" w:cs="Arial"/>
        </w:rPr>
      </w:pPr>
    </w:p>
    <w:p w14:paraId="5ED28D9B" w14:textId="4AEE79B9" w:rsidR="009220D1" w:rsidRPr="00153A75" w:rsidRDefault="009220D1" w:rsidP="009220D1">
      <w:pPr>
        <w:jc w:val="both"/>
        <w:rPr>
          <w:rFonts w:ascii="Arial" w:hAnsi="Arial" w:cs="Arial"/>
          <w:b/>
          <w:bCs/>
          <w:sz w:val="22"/>
          <w:szCs w:val="22"/>
        </w:rPr>
      </w:pPr>
      <w:r w:rsidRPr="00153A75">
        <w:rPr>
          <w:rFonts w:ascii="Arial" w:hAnsi="Arial" w:cs="Arial"/>
          <w:b/>
          <w:bCs/>
          <w:sz w:val="22"/>
          <w:szCs w:val="22"/>
        </w:rPr>
        <w:t>2.</w:t>
      </w:r>
      <w:r w:rsidR="00F538E5">
        <w:rPr>
          <w:rFonts w:ascii="Arial" w:hAnsi="Arial" w:cs="Arial"/>
          <w:b/>
          <w:bCs/>
          <w:sz w:val="22"/>
          <w:szCs w:val="22"/>
        </w:rPr>
        <w:t>5</w:t>
      </w:r>
      <w:r w:rsidRPr="00153A75">
        <w:rPr>
          <w:rFonts w:ascii="Arial" w:hAnsi="Arial" w:cs="Arial"/>
          <w:b/>
          <w:bCs/>
          <w:sz w:val="22"/>
          <w:szCs w:val="22"/>
        </w:rPr>
        <w:t xml:space="preserve"> </w:t>
      </w:r>
      <w:r w:rsidR="00F538E5" w:rsidRPr="00153A75">
        <w:rPr>
          <w:rFonts w:ascii="Arial" w:hAnsi="Arial" w:cs="Arial"/>
          <w:b/>
          <w:bCs/>
          <w:sz w:val="22"/>
          <w:szCs w:val="22"/>
        </w:rPr>
        <w:t>Instruments</w:t>
      </w:r>
    </w:p>
    <w:p w14:paraId="4E8F60A1" w14:textId="77777777" w:rsidR="009220D1" w:rsidRDefault="009220D1" w:rsidP="009220D1">
      <w:pPr>
        <w:pStyle w:val="Body"/>
        <w:spacing w:after="0"/>
        <w:rPr>
          <w:rFonts w:ascii="Arial" w:hAnsi="Arial" w:cs="Arial"/>
          <w:b/>
          <w:bCs/>
        </w:rPr>
      </w:pPr>
    </w:p>
    <w:p w14:paraId="6E44F02A" w14:textId="06CD53D8" w:rsidR="00F538E5" w:rsidRDefault="00F538E5" w:rsidP="00F538E5">
      <w:pPr>
        <w:pStyle w:val="Body"/>
        <w:spacing w:after="0"/>
        <w:rPr>
          <w:rFonts w:ascii="Arial" w:hAnsi="Arial" w:cs="Arial"/>
        </w:rPr>
      </w:pPr>
      <w:r w:rsidRPr="00F538E5">
        <w:rPr>
          <w:rFonts w:ascii="Arial" w:hAnsi="Arial" w:cs="Arial"/>
        </w:rPr>
        <w:t>For neurocognitive assessment, the MoCA® test was used. This test evaluates eight different cognitive abilities: visuospatial/executive function, identification, memory, attention, language, abstraction, delayed recall, and orientation (Nasreddine et al., 2005).</w:t>
      </w:r>
    </w:p>
    <w:p w14:paraId="3CA2AAC2" w14:textId="77777777" w:rsidR="00F538E5" w:rsidRDefault="00F538E5" w:rsidP="00F538E5">
      <w:pPr>
        <w:pStyle w:val="Body"/>
        <w:spacing w:after="0"/>
        <w:rPr>
          <w:rFonts w:ascii="Arial" w:hAnsi="Arial" w:cs="Arial"/>
        </w:rPr>
      </w:pPr>
    </w:p>
    <w:p w14:paraId="6673E5C0" w14:textId="2FD11E1B" w:rsidR="00153A75" w:rsidRDefault="00F538E5" w:rsidP="00153A75">
      <w:pPr>
        <w:jc w:val="both"/>
      </w:pPr>
      <w:r>
        <w:t>The MoCA has been validated in the Mexican population, demonstrating adequate validity and reliability. Aguilar-Navarro et al. (2018) reported a Cronbach’s alpha coefficient of α = 0.891 and an intraclass correlation coefficient of 0.955 (95% CI: 0.918–0.975; ≥ 0.001).</w:t>
      </w:r>
    </w:p>
    <w:p w14:paraId="6B42F488" w14:textId="77777777" w:rsidR="00F538E5" w:rsidRDefault="00F538E5" w:rsidP="00153A75">
      <w:pPr>
        <w:jc w:val="both"/>
        <w:rPr>
          <w:rFonts w:ascii="Arial" w:hAnsi="Arial" w:cs="Arial"/>
        </w:rPr>
      </w:pPr>
    </w:p>
    <w:p w14:paraId="2BA44C11" w14:textId="0386F2F5" w:rsidR="00153A75" w:rsidRPr="003C1CDA" w:rsidRDefault="008E6D74" w:rsidP="00153A75">
      <w:pPr>
        <w:jc w:val="both"/>
        <w:rPr>
          <w:rFonts w:ascii="Arial" w:hAnsi="Arial" w:cs="Arial"/>
          <w:sz w:val="22"/>
          <w:szCs w:val="22"/>
        </w:rPr>
      </w:pPr>
      <w:r w:rsidRPr="003C1CDA">
        <w:rPr>
          <w:rFonts w:ascii="Arial" w:hAnsi="Arial" w:cs="Arial"/>
          <w:b/>
          <w:bCs/>
          <w:sz w:val="22"/>
          <w:szCs w:val="22"/>
        </w:rPr>
        <w:t xml:space="preserve">2.5 </w:t>
      </w:r>
      <w:r w:rsidR="004B795A">
        <w:rPr>
          <w:rFonts w:ascii="Arial" w:hAnsi="Arial" w:cs="Arial"/>
          <w:b/>
          <w:bCs/>
          <w:sz w:val="22"/>
          <w:szCs w:val="22"/>
        </w:rPr>
        <w:t>Sample Size Calculation</w:t>
      </w:r>
    </w:p>
    <w:p w14:paraId="59D812EC" w14:textId="77777777" w:rsidR="008E6D74" w:rsidRDefault="008E6D74" w:rsidP="00153A75">
      <w:pPr>
        <w:jc w:val="both"/>
        <w:rPr>
          <w:rFonts w:ascii="Arial" w:hAnsi="Arial" w:cs="Arial"/>
        </w:rPr>
      </w:pPr>
    </w:p>
    <w:p w14:paraId="37D57BCD" w14:textId="038BA163" w:rsidR="008E6D74" w:rsidRDefault="004B795A" w:rsidP="00153A75">
      <w:pPr>
        <w:jc w:val="both"/>
      </w:pPr>
      <w:r>
        <w:t>Assuming that 30% of hypertensive individuals (Qin et al., 2021) and 7% of non-hypertensive individuals (Garcia, Gonzalez, Herrera Olvera, Guerrero-Gonzalez, &amp; Muñoz, 2023) present cognitive impairment, the minimum sample size required is 52 hypertensive and 52 non-hypertensive participants, with 95% precision and 80% power (EPI INFO 7.2.6.0, 2023, CDC, Atlanta, GA, USA).</w:t>
      </w:r>
    </w:p>
    <w:p w14:paraId="3DFD9E3E" w14:textId="77777777" w:rsidR="004B795A" w:rsidRDefault="004B795A" w:rsidP="00153A75">
      <w:pPr>
        <w:jc w:val="both"/>
        <w:rPr>
          <w:rFonts w:ascii="Arial" w:hAnsi="Arial" w:cs="Arial"/>
        </w:rPr>
      </w:pPr>
    </w:p>
    <w:p w14:paraId="20CEDB4E" w14:textId="60A24417" w:rsidR="008E6D74" w:rsidRPr="003C1CDA" w:rsidRDefault="008E6D74" w:rsidP="00153A75">
      <w:pPr>
        <w:jc w:val="both"/>
        <w:rPr>
          <w:rFonts w:ascii="Arial" w:hAnsi="Arial" w:cs="Arial"/>
          <w:b/>
          <w:bCs/>
          <w:sz w:val="22"/>
          <w:szCs w:val="22"/>
        </w:rPr>
      </w:pPr>
      <w:r w:rsidRPr="003C1CDA">
        <w:rPr>
          <w:rFonts w:ascii="Arial" w:hAnsi="Arial" w:cs="Arial"/>
          <w:b/>
          <w:bCs/>
          <w:sz w:val="22"/>
          <w:szCs w:val="22"/>
        </w:rPr>
        <w:t xml:space="preserve">2.6 </w:t>
      </w:r>
      <w:r w:rsidR="004B795A">
        <w:rPr>
          <w:rFonts w:ascii="Arial" w:hAnsi="Arial" w:cs="Arial"/>
          <w:b/>
          <w:bCs/>
          <w:sz w:val="22"/>
          <w:szCs w:val="22"/>
        </w:rPr>
        <w:t>Statistical Analysis</w:t>
      </w:r>
    </w:p>
    <w:p w14:paraId="291F7620" w14:textId="77777777" w:rsidR="008E6D74" w:rsidRDefault="008E6D74" w:rsidP="00153A75">
      <w:pPr>
        <w:jc w:val="both"/>
        <w:rPr>
          <w:rFonts w:ascii="Arial" w:hAnsi="Arial" w:cs="Arial"/>
          <w:b/>
          <w:bCs/>
        </w:rPr>
      </w:pPr>
    </w:p>
    <w:p w14:paraId="595716DF" w14:textId="4B5246DA" w:rsidR="00CC2E6E" w:rsidRDefault="004B795A" w:rsidP="008E6D74">
      <w:pPr>
        <w:jc w:val="both"/>
        <w:rPr>
          <w:rFonts w:ascii="Arial" w:hAnsi="Arial" w:cs="Arial"/>
        </w:rPr>
      </w:pPr>
      <w:r w:rsidRPr="004B795A">
        <w:rPr>
          <w:rFonts w:ascii="Arial" w:hAnsi="Arial" w:cs="Arial"/>
        </w:rPr>
        <w:t>Descriptive statistics were used for sociodemographic variables. Categorical variables were expressed as frequencies and percentages, while continuous variables were presented as means and standard deviations</w:t>
      </w:r>
    </w:p>
    <w:p w14:paraId="23FB681E" w14:textId="77777777" w:rsidR="004B795A" w:rsidRPr="008E6D74" w:rsidRDefault="004B795A" w:rsidP="008E6D74">
      <w:pPr>
        <w:jc w:val="both"/>
        <w:rPr>
          <w:rFonts w:ascii="Arial" w:hAnsi="Arial" w:cs="Arial"/>
        </w:rPr>
      </w:pPr>
    </w:p>
    <w:p w14:paraId="25FC5783" w14:textId="02CE4B3C" w:rsidR="00CC2E6E" w:rsidRDefault="004B795A" w:rsidP="008E6D74">
      <w:pPr>
        <w:jc w:val="both"/>
        <w:rPr>
          <w:rFonts w:ascii="Arial" w:hAnsi="Arial" w:cs="Arial"/>
        </w:rPr>
      </w:pPr>
      <w:r w:rsidRPr="004B795A">
        <w:rPr>
          <w:rFonts w:ascii="Arial" w:hAnsi="Arial" w:cs="Arial"/>
        </w:rPr>
        <w:t xml:space="preserve">To assess the association between mild cognitive impairment and systemic arterial hypertension, the chi-square test and </w:t>
      </w:r>
      <w:r w:rsidRPr="008660F8">
        <w:rPr>
          <w:rFonts w:ascii="Arial" w:hAnsi="Arial" w:cs="Arial"/>
          <w:i/>
          <w:iCs/>
        </w:rPr>
        <w:t>p</w:t>
      </w:r>
      <w:r w:rsidRPr="004B795A">
        <w:rPr>
          <w:rFonts w:ascii="Arial" w:hAnsi="Arial" w:cs="Arial"/>
        </w:rPr>
        <w:t>-value were calculated. A multivariable analysis was performed using logistic regression, including sociodemographic variables such as age, gender, marital status, educational level, waist circumference, disease duration, body mass index, and comorbidities.</w:t>
      </w:r>
    </w:p>
    <w:p w14:paraId="3CA5E13C" w14:textId="77777777" w:rsidR="004B795A" w:rsidRPr="008E6D74" w:rsidRDefault="004B795A" w:rsidP="008E6D74">
      <w:pPr>
        <w:jc w:val="both"/>
        <w:rPr>
          <w:rFonts w:ascii="Arial" w:hAnsi="Arial" w:cs="Arial"/>
        </w:rPr>
      </w:pPr>
    </w:p>
    <w:p w14:paraId="28D7D858" w14:textId="6897F751" w:rsidR="00CC2E6E" w:rsidRDefault="004B795A" w:rsidP="008E6D74">
      <w:pPr>
        <w:jc w:val="both"/>
      </w:pPr>
      <w:r>
        <w:t xml:space="preserve">For the cognitive impairment questionnaire dimensions, the mean and standard deviation of the scores were obtained for hypertensive and non-hypertensive participants. Student’s </w:t>
      </w:r>
      <w:r>
        <w:rPr>
          <w:rStyle w:val="Emphasis"/>
        </w:rPr>
        <w:t>t</w:t>
      </w:r>
      <w:r>
        <w:t xml:space="preserve">-test for independent means was calculated, along with degrees of freedom and </w:t>
      </w:r>
      <w:r>
        <w:rPr>
          <w:rStyle w:val="Emphasis"/>
        </w:rPr>
        <w:t xml:space="preserve">P </w:t>
      </w:r>
      <w:r>
        <w:t>value.</w:t>
      </w:r>
    </w:p>
    <w:p w14:paraId="6D91194C" w14:textId="77777777" w:rsidR="004B795A" w:rsidRPr="008E6D74" w:rsidRDefault="004B795A" w:rsidP="008E6D74">
      <w:pPr>
        <w:jc w:val="both"/>
        <w:rPr>
          <w:rFonts w:ascii="Arial" w:hAnsi="Arial" w:cs="Arial"/>
        </w:rPr>
      </w:pPr>
    </w:p>
    <w:p w14:paraId="7062F8BF" w14:textId="107CF04B" w:rsidR="00790ADA" w:rsidRDefault="004B795A" w:rsidP="00441B6F">
      <w:pPr>
        <w:pStyle w:val="Body"/>
        <w:spacing w:after="0"/>
      </w:pPr>
      <w:r>
        <w:t>In all cases, the alpha value was set at 0.05. Statistical analyses were performed using STATA software version 13.0 (</w:t>
      </w:r>
      <w:proofErr w:type="spellStart"/>
      <w:r>
        <w:t>StataCorp</w:t>
      </w:r>
      <w:proofErr w:type="spellEnd"/>
      <w:r>
        <w:t>, College Station, TX, USA).</w:t>
      </w:r>
    </w:p>
    <w:p w14:paraId="566E2A10" w14:textId="77777777" w:rsidR="004B795A" w:rsidRPr="00FB3A86" w:rsidRDefault="004B795A" w:rsidP="00441B6F">
      <w:pPr>
        <w:pStyle w:val="Body"/>
        <w:spacing w:after="0"/>
        <w:rPr>
          <w:rFonts w:ascii="Arial" w:hAnsi="Arial" w:cs="Arial"/>
        </w:rPr>
      </w:pPr>
    </w:p>
    <w:p w14:paraId="1FEDB3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D0514E5" w14:textId="77777777" w:rsidR="00790ADA" w:rsidRPr="00FB3A86" w:rsidRDefault="00790ADA" w:rsidP="00441B6F">
      <w:pPr>
        <w:pStyle w:val="Head1"/>
        <w:spacing w:after="0"/>
        <w:jc w:val="both"/>
        <w:rPr>
          <w:rFonts w:ascii="Arial" w:hAnsi="Arial" w:cs="Arial"/>
        </w:rPr>
      </w:pPr>
    </w:p>
    <w:p w14:paraId="7AD6B064" w14:textId="32DE478A" w:rsidR="00CE062C" w:rsidRDefault="004B795A" w:rsidP="008E6D74">
      <w:pPr>
        <w:jc w:val="both"/>
      </w:pPr>
      <w:r>
        <w:t>The sample of 124 participants consisted mainly of women (75.81%). The most frequent educational level was none (34.68%), and the most common marital status was married (52.42%). Most participants presented hypertension (60.48%), MCI was more frequent (66.13%), and the most prevalent comorbidity was type 2 diabetes (T2D) (29.03%) (Table 1).</w:t>
      </w:r>
    </w:p>
    <w:p w14:paraId="562229F7" w14:textId="77777777" w:rsidR="004B795A" w:rsidRDefault="004B795A" w:rsidP="008E6D74">
      <w:pPr>
        <w:jc w:val="both"/>
        <w:rPr>
          <w:rFonts w:ascii="Arial" w:hAnsi="Arial" w:cs="Arial"/>
        </w:rPr>
      </w:pPr>
    </w:p>
    <w:p w14:paraId="3A9E672A" w14:textId="73F6661C" w:rsidR="00CE062C" w:rsidRDefault="004B795A" w:rsidP="008E6D74">
      <w:pPr>
        <w:jc w:val="both"/>
        <w:rPr>
          <w:rFonts w:ascii="Arial" w:hAnsi="Arial" w:cs="Arial"/>
        </w:rPr>
      </w:pPr>
      <w:r w:rsidRPr="004B795A">
        <w:rPr>
          <w:rFonts w:ascii="Arial" w:hAnsi="Arial" w:cs="Arial"/>
        </w:rPr>
        <w:t xml:space="preserve">In the total sample, the mean age was 68.82 ± 5.91 years, the mean duration of </w:t>
      </w:r>
      <w:r>
        <w:rPr>
          <w:rFonts w:ascii="Arial" w:hAnsi="Arial" w:cs="Arial"/>
        </w:rPr>
        <w:t xml:space="preserve">hypertension </w:t>
      </w:r>
      <w:r w:rsidRPr="004B795A">
        <w:rPr>
          <w:rFonts w:ascii="Arial" w:hAnsi="Arial" w:cs="Arial"/>
        </w:rPr>
        <w:t>was 8.46 ± 11.87 years, the mean weight was 68.46 ± 11.87 kg, the mean height was 1.54 ± 0.08 meters, the mean BMI was 28.64 ± 5 kg/m², the mean SBP was 122.38 ± 18.48 mmHg, the mean DBP was 73.61 ± 10.54 mmHg, and the mean WC was 99.08 ± 11.9 cm (Table 2).</w:t>
      </w:r>
    </w:p>
    <w:p w14:paraId="7CAA539C" w14:textId="77777777" w:rsidR="008E6D74" w:rsidRDefault="008E6D74" w:rsidP="008E6D74">
      <w:pPr>
        <w:jc w:val="both"/>
        <w:rPr>
          <w:rFonts w:ascii="Arial" w:hAnsi="Arial" w:cs="Arial"/>
        </w:rPr>
      </w:pPr>
    </w:p>
    <w:p w14:paraId="52B7835E" w14:textId="694239E9" w:rsidR="008E6D74" w:rsidRPr="00D313DB" w:rsidRDefault="004905BF" w:rsidP="00D313DB">
      <w:pPr>
        <w:pStyle w:val="Body"/>
        <w:spacing w:after="0"/>
        <w:jc w:val="center"/>
        <w:rPr>
          <w:rFonts w:ascii="Arial" w:hAnsi="Arial" w:cs="Arial"/>
          <w:b/>
          <w:bCs/>
        </w:rPr>
      </w:pPr>
      <w:r>
        <w:rPr>
          <w:rFonts w:ascii="Arial" w:hAnsi="Arial" w:cs="Arial"/>
          <w:b/>
          <w:bCs/>
        </w:rPr>
        <w:t>Table</w:t>
      </w:r>
      <w:r w:rsidR="008E6D74">
        <w:rPr>
          <w:rFonts w:ascii="Arial" w:hAnsi="Arial" w:cs="Arial"/>
          <w:b/>
          <w:bCs/>
        </w:rPr>
        <w:t xml:space="preserve"> 1. Distribu</w:t>
      </w:r>
      <w:r w:rsidR="004B795A">
        <w:rPr>
          <w:rFonts w:ascii="Arial" w:hAnsi="Arial" w:cs="Arial"/>
          <w:b/>
          <w:bCs/>
        </w:rPr>
        <w:t>tion of Categorical Variables of the Participants</w:t>
      </w:r>
      <w:r w:rsidR="008E6D74">
        <w:rPr>
          <w:rFonts w:ascii="Arial" w:hAnsi="Arial" w:cs="Arial"/>
          <w:b/>
          <w:bCs/>
        </w:rPr>
        <w:t xml:space="preserve"> (n=124)</w:t>
      </w:r>
    </w:p>
    <w:tbl>
      <w:tblPr>
        <w:tblW w:w="4592" w:type="dxa"/>
        <w:jc w:val="center"/>
        <w:tblCellMar>
          <w:top w:w="15" w:type="dxa"/>
          <w:left w:w="70" w:type="dxa"/>
          <w:right w:w="70" w:type="dxa"/>
        </w:tblCellMar>
        <w:tblLook w:val="04A0" w:firstRow="1" w:lastRow="0" w:firstColumn="1" w:lastColumn="0" w:noHBand="0" w:noVBand="1"/>
      </w:tblPr>
      <w:tblGrid>
        <w:gridCol w:w="2324"/>
        <w:gridCol w:w="1134"/>
        <w:gridCol w:w="1134"/>
      </w:tblGrid>
      <w:tr w:rsidR="008E6D74" w:rsidRPr="00CB51B7" w14:paraId="092337ED" w14:textId="77777777" w:rsidTr="00D313DB">
        <w:trPr>
          <w:trHeight w:val="340"/>
          <w:jc w:val="center"/>
        </w:trPr>
        <w:tc>
          <w:tcPr>
            <w:tcW w:w="2324" w:type="dxa"/>
            <w:tcBorders>
              <w:top w:val="single" w:sz="4" w:space="0" w:color="auto"/>
              <w:left w:val="nil"/>
              <w:bottom w:val="single" w:sz="8" w:space="0" w:color="auto"/>
              <w:right w:val="nil"/>
            </w:tcBorders>
            <w:noWrap/>
            <w:vAlign w:val="center"/>
            <w:hideMark/>
          </w:tcPr>
          <w:p w14:paraId="32DD69D8" w14:textId="7777777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Variable</w:t>
            </w:r>
          </w:p>
        </w:tc>
        <w:tc>
          <w:tcPr>
            <w:tcW w:w="1134" w:type="dxa"/>
            <w:tcBorders>
              <w:top w:val="single" w:sz="4" w:space="0" w:color="auto"/>
              <w:left w:val="nil"/>
              <w:bottom w:val="single" w:sz="8" w:space="0" w:color="auto"/>
              <w:right w:val="nil"/>
            </w:tcBorders>
            <w:noWrap/>
            <w:vAlign w:val="center"/>
            <w:hideMark/>
          </w:tcPr>
          <w:p w14:paraId="733246AD" w14:textId="77777777" w:rsidR="008E6D74" w:rsidRPr="00CB51B7" w:rsidRDefault="008E6D74" w:rsidP="004F0515">
            <w:pPr>
              <w:jc w:val="center"/>
              <w:rPr>
                <w:rFonts w:ascii="Arial" w:hAnsi="Arial" w:cs="Arial"/>
                <w:b/>
                <w:bCs/>
                <w:color w:val="000000"/>
                <w:lang w:eastAsia="es-MX"/>
              </w:rPr>
            </w:pPr>
            <w:r w:rsidRPr="00CB51B7">
              <w:rPr>
                <w:rFonts w:ascii="Arial" w:hAnsi="Arial" w:cs="Arial"/>
                <w:b/>
                <w:bCs/>
                <w:color w:val="000000"/>
                <w:lang w:eastAsia="es-MX"/>
              </w:rPr>
              <w:t>n=124</w:t>
            </w:r>
          </w:p>
        </w:tc>
        <w:tc>
          <w:tcPr>
            <w:tcW w:w="1134" w:type="dxa"/>
            <w:tcBorders>
              <w:top w:val="single" w:sz="4" w:space="0" w:color="auto"/>
              <w:left w:val="nil"/>
              <w:bottom w:val="single" w:sz="8" w:space="0" w:color="auto"/>
              <w:right w:val="nil"/>
            </w:tcBorders>
            <w:noWrap/>
            <w:vAlign w:val="center"/>
            <w:hideMark/>
          </w:tcPr>
          <w:p w14:paraId="6ACE586D" w14:textId="77777777" w:rsidR="008E6D74" w:rsidRPr="00CB51B7" w:rsidRDefault="008E6D74" w:rsidP="004F0515">
            <w:pPr>
              <w:jc w:val="center"/>
              <w:rPr>
                <w:rFonts w:ascii="Arial" w:hAnsi="Arial" w:cs="Arial"/>
                <w:b/>
                <w:bCs/>
                <w:i/>
                <w:iCs/>
                <w:color w:val="000000"/>
                <w:lang w:eastAsia="es-MX"/>
              </w:rPr>
            </w:pPr>
            <w:r w:rsidRPr="00CB51B7">
              <w:rPr>
                <w:rFonts w:ascii="Arial" w:hAnsi="Arial" w:cs="Arial"/>
                <w:b/>
                <w:bCs/>
                <w:i/>
                <w:iCs/>
                <w:color w:val="000000"/>
                <w:lang w:eastAsia="es-MX"/>
              </w:rPr>
              <w:t>%</w:t>
            </w:r>
          </w:p>
        </w:tc>
      </w:tr>
      <w:tr w:rsidR="008E6D74" w:rsidRPr="00CB51B7" w14:paraId="166AF685" w14:textId="77777777" w:rsidTr="008E6D74">
        <w:trPr>
          <w:trHeight w:val="113"/>
          <w:jc w:val="center"/>
        </w:trPr>
        <w:tc>
          <w:tcPr>
            <w:tcW w:w="2324" w:type="dxa"/>
            <w:tcBorders>
              <w:top w:val="nil"/>
              <w:left w:val="nil"/>
              <w:bottom w:val="nil"/>
              <w:right w:val="nil"/>
            </w:tcBorders>
            <w:noWrap/>
            <w:vAlign w:val="center"/>
            <w:hideMark/>
          </w:tcPr>
          <w:p w14:paraId="272528FC" w14:textId="1864AEF6" w:rsidR="008E6D74" w:rsidRPr="00CB51B7" w:rsidRDefault="004B795A" w:rsidP="004F0515">
            <w:pPr>
              <w:rPr>
                <w:rFonts w:ascii="Arial" w:hAnsi="Arial" w:cs="Arial"/>
                <w:b/>
                <w:bCs/>
                <w:color w:val="000000"/>
                <w:lang w:eastAsia="es-MX"/>
              </w:rPr>
            </w:pPr>
            <w:r>
              <w:rPr>
                <w:rFonts w:ascii="Arial" w:hAnsi="Arial" w:cs="Arial"/>
                <w:b/>
                <w:bCs/>
                <w:color w:val="000000"/>
                <w:lang w:eastAsia="es-MX"/>
              </w:rPr>
              <w:t>Sex</w:t>
            </w:r>
          </w:p>
        </w:tc>
        <w:tc>
          <w:tcPr>
            <w:tcW w:w="1134" w:type="dxa"/>
            <w:tcBorders>
              <w:top w:val="nil"/>
              <w:left w:val="nil"/>
              <w:bottom w:val="nil"/>
              <w:right w:val="nil"/>
            </w:tcBorders>
            <w:noWrap/>
            <w:vAlign w:val="center"/>
            <w:hideMark/>
          </w:tcPr>
          <w:p w14:paraId="57A213A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FD7D749" w14:textId="77777777" w:rsidR="008E6D74" w:rsidRPr="00CB51B7" w:rsidRDefault="008E6D74" w:rsidP="004F0515">
            <w:pPr>
              <w:rPr>
                <w:rFonts w:ascii="Times New Roman" w:hAnsi="Times New Roman"/>
                <w:lang w:eastAsia="es-MX"/>
              </w:rPr>
            </w:pPr>
          </w:p>
        </w:tc>
      </w:tr>
      <w:tr w:rsidR="008E6D74" w:rsidRPr="00CB51B7" w14:paraId="57423A62" w14:textId="77777777" w:rsidTr="008E6D74">
        <w:trPr>
          <w:trHeight w:val="113"/>
          <w:jc w:val="center"/>
        </w:trPr>
        <w:tc>
          <w:tcPr>
            <w:tcW w:w="2324" w:type="dxa"/>
            <w:tcBorders>
              <w:top w:val="nil"/>
              <w:left w:val="nil"/>
              <w:bottom w:val="nil"/>
              <w:right w:val="nil"/>
            </w:tcBorders>
            <w:noWrap/>
            <w:vAlign w:val="center"/>
            <w:hideMark/>
          </w:tcPr>
          <w:p w14:paraId="20800E7B" w14:textId="1C2707B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Fem</w:t>
            </w:r>
            <w:r w:rsidR="004B795A">
              <w:rPr>
                <w:rFonts w:ascii="Arial" w:hAnsi="Arial" w:cs="Arial"/>
                <w:color w:val="000000"/>
                <w:lang w:eastAsia="es-MX"/>
              </w:rPr>
              <w:t>ale</w:t>
            </w:r>
          </w:p>
        </w:tc>
        <w:tc>
          <w:tcPr>
            <w:tcW w:w="1134" w:type="dxa"/>
            <w:tcBorders>
              <w:top w:val="nil"/>
              <w:left w:val="nil"/>
              <w:bottom w:val="nil"/>
              <w:right w:val="nil"/>
            </w:tcBorders>
            <w:noWrap/>
            <w:vAlign w:val="center"/>
            <w:hideMark/>
          </w:tcPr>
          <w:p w14:paraId="6BB847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94</w:t>
            </w:r>
          </w:p>
        </w:tc>
        <w:tc>
          <w:tcPr>
            <w:tcW w:w="1134" w:type="dxa"/>
            <w:tcBorders>
              <w:top w:val="nil"/>
              <w:left w:val="nil"/>
              <w:bottom w:val="nil"/>
              <w:right w:val="nil"/>
            </w:tcBorders>
            <w:noWrap/>
            <w:vAlign w:val="center"/>
            <w:hideMark/>
          </w:tcPr>
          <w:p w14:paraId="178B54D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75.81%</w:t>
            </w:r>
          </w:p>
        </w:tc>
      </w:tr>
      <w:tr w:rsidR="008E6D74" w:rsidRPr="00CB51B7" w14:paraId="6B810A5A" w14:textId="77777777" w:rsidTr="008E6D74">
        <w:trPr>
          <w:trHeight w:val="113"/>
          <w:jc w:val="center"/>
        </w:trPr>
        <w:tc>
          <w:tcPr>
            <w:tcW w:w="2324" w:type="dxa"/>
            <w:tcBorders>
              <w:top w:val="nil"/>
              <w:left w:val="nil"/>
              <w:bottom w:val="single" w:sz="8" w:space="0" w:color="auto"/>
              <w:right w:val="nil"/>
            </w:tcBorders>
            <w:noWrap/>
            <w:vAlign w:val="center"/>
            <w:hideMark/>
          </w:tcPr>
          <w:p w14:paraId="22C694A0" w14:textId="7A6C684A"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M</w:t>
            </w:r>
            <w:r w:rsidR="004B795A">
              <w:rPr>
                <w:rFonts w:ascii="Arial" w:hAnsi="Arial" w:cs="Arial"/>
                <w:color w:val="000000"/>
                <w:lang w:eastAsia="es-MX"/>
              </w:rPr>
              <w:t>ale</w:t>
            </w:r>
          </w:p>
        </w:tc>
        <w:tc>
          <w:tcPr>
            <w:tcW w:w="1134" w:type="dxa"/>
            <w:tcBorders>
              <w:top w:val="nil"/>
              <w:left w:val="nil"/>
              <w:bottom w:val="single" w:sz="8" w:space="0" w:color="auto"/>
              <w:right w:val="nil"/>
            </w:tcBorders>
            <w:noWrap/>
            <w:vAlign w:val="center"/>
            <w:hideMark/>
          </w:tcPr>
          <w:p w14:paraId="37407B7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single" w:sz="8" w:space="0" w:color="auto"/>
              <w:right w:val="nil"/>
            </w:tcBorders>
            <w:noWrap/>
            <w:vAlign w:val="center"/>
            <w:hideMark/>
          </w:tcPr>
          <w:p w14:paraId="3FCE618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212054AD" w14:textId="77777777" w:rsidTr="008E6D74">
        <w:trPr>
          <w:trHeight w:val="113"/>
          <w:jc w:val="center"/>
        </w:trPr>
        <w:tc>
          <w:tcPr>
            <w:tcW w:w="2324" w:type="dxa"/>
            <w:tcBorders>
              <w:top w:val="nil"/>
              <w:left w:val="nil"/>
              <w:bottom w:val="nil"/>
              <w:right w:val="nil"/>
            </w:tcBorders>
            <w:noWrap/>
            <w:vAlign w:val="center"/>
            <w:hideMark/>
          </w:tcPr>
          <w:p w14:paraId="50771E5F" w14:textId="7177DB07"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E</w:t>
            </w:r>
            <w:r w:rsidR="004B795A">
              <w:rPr>
                <w:rFonts w:ascii="Arial" w:hAnsi="Arial" w:cs="Arial"/>
                <w:b/>
                <w:bCs/>
                <w:color w:val="000000"/>
                <w:lang w:eastAsia="es-MX"/>
              </w:rPr>
              <w:t>ducation level</w:t>
            </w:r>
          </w:p>
        </w:tc>
        <w:tc>
          <w:tcPr>
            <w:tcW w:w="1134" w:type="dxa"/>
            <w:tcBorders>
              <w:top w:val="nil"/>
              <w:left w:val="nil"/>
              <w:bottom w:val="nil"/>
              <w:right w:val="nil"/>
            </w:tcBorders>
            <w:noWrap/>
            <w:vAlign w:val="center"/>
            <w:hideMark/>
          </w:tcPr>
          <w:p w14:paraId="04D51023"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7CD8B839" w14:textId="77777777" w:rsidR="008E6D74" w:rsidRPr="00CB51B7" w:rsidRDefault="008E6D74" w:rsidP="004F0515">
            <w:pPr>
              <w:rPr>
                <w:rFonts w:ascii="Times New Roman" w:hAnsi="Times New Roman"/>
                <w:lang w:eastAsia="es-MX"/>
              </w:rPr>
            </w:pPr>
          </w:p>
        </w:tc>
      </w:tr>
      <w:tr w:rsidR="008E6D74" w:rsidRPr="00CB51B7" w14:paraId="751D4603" w14:textId="77777777" w:rsidTr="008E6D74">
        <w:trPr>
          <w:trHeight w:val="113"/>
          <w:jc w:val="center"/>
        </w:trPr>
        <w:tc>
          <w:tcPr>
            <w:tcW w:w="2324" w:type="dxa"/>
            <w:tcBorders>
              <w:top w:val="nil"/>
              <w:left w:val="nil"/>
              <w:bottom w:val="nil"/>
              <w:right w:val="nil"/>
            </w:tcBorders>
            <w:noWrap/>
            <w:vAlign w:val="center"/>
            <w:hideMark/>
          </w:tcPr>
          <w:p w14:paraId="705D2EF6" w14:textId="4215B8E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41DF837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43</w:t>
            </w:r>
          </w:p>
        </w:tc>
        <w:tc>
          <w:tcPr>
            <w:tcW w:w="1134" w:type="dxa"/>
            <w:tcBorders>
              <w:top w:val="nil"/>
              <w:left w:val="nil"/>
              <w:bottom w:val="nil"/>
              <w:right w:val="nil"/>
            </w:tcBorders>
            <w:noWrap/>
            <w:vAlign w:val="center"/>
            <w:hideMark/>
          </w:tcPr>
          <w:p w14:paraId="36C3158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34.68%</w:t>
            </w:r>
          </w:p>
        </w:tc>
      </w:tr>
      <w:tr w:rsidR="008E6D74" w:rsidRPr="00CB51B7" w14:paraId="5544FA0E" w14:textId="77777777" w:rsidTr="008E6D74">
        <w:trPr>
          <w:trHeight w:val="113"/>
          <w:jc w:val="center"/>
        </w:trPr>
        <w:tc>
          <w:tcPr>
            <w:tcW w:w="2324" w:type="dxa"/>
            <w:tcBorders>
              <w:top w:val="nil"/>
              <w:left w:val="nil"/>
              <w:bottom w:val="nil"/>
              <w:right w:val="nil"/>
            </w:tcBorders>
            <w:noWrap/>
            <w:vAlign w:val="center"/>
            <w:hideMark/>
          </w:tcPr>
          <w:p w14:paraId="7F13D1DA" w14:textId="3400F1F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Primar</w:t>
            </w:r>
            <w:r w:rsidR="004B795A">
              <w:rPr>
                <w:rFonts w:ascii="Arial" w:hAnsi="Arial" w:cs="Arial"/>
                <w:color w:val="000000"/>
                <w:lang w:eastAsia="es-MX"/>
              </w:rPr>
              <w:t>y</w:t>
            </w:r>
          </w:p>
        </w:tc>
        <w:tc>
          <w:tcPr>
            <w:tcW w:w="1134" w:type="dxa"/>
            <w:tcBorders>
              <w:top w:val="nil"/>
              <w:left w:val="nil"/>
              <w:bottom w:val="nil"/>
              <w:right w:val="nil"/>
            </w:tcBorders>
            <w:noWrap/>
            <w:vAlign w:val="center"/>
            <w:hideMark/>
          </w:tcPr>
          <w:p w14:paraId="3666A6A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30</w:t>
            </w:r>
          </w:p>
        </w:tc>
        <w:tc>
          <w:tcPr>
            <w:tcW w:w="1134" w:type="dxa"/>
            <w:tcBorders>
              <w:top w:val="nil"/>
              <w:left w:val="nil"/>
              <w:bottom w:val="nil"/>
              <w:right w:val="nil"/>
            </w:tcBorders>
            <w:noWrap/>
            <w:vAlign w:val="center"/>
            <w:hideMark/>
          </w:tcPr>
          <w:p w14:paraId="1B137A3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24.19%</w:t>
            </w:r>
          </w:p>
        </w:tc>
      </w:tr>
      <w:tr w:rsidR="008E6D74" w:rsidRPr="00CB51B7" w14:paraId="6E75AA75" w14:textId="77777777" w:rsidTr="008E6D74">
        <w:trPr>
          <w:trHeight w:val="113"/>
          <w:jc w:val="center"/>
        </w:trPr>
        <w:tc>
          <w:tcPr>
            <w:tcW w:w="2324" w:type="dxa"/>
            <w:tcBorders>
              <w:top w:val="nil"/>
              <w:left w:val="nil"/>
              <w:bottom w:val="nil"/>
              <w:right w:val="nil"/>
            </w:tcBorders>
            <w:noWrap/>
            <w:vAlign w:val="center"/>
            <w:hideMark/>
          </w:tcPr>
          <w:p w14:paraId="5239D602" w14:textId="67E8894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Se</w:t>
            </w:r>
            <w:r w:rsidR="004B795A">
              <w:rPr>
                <w:rFonts w:ascii="Arial" w:hAnsi="Arial" w:cs="Arial"/>
                <w:color w:val="000000"/>
                <w:lang w:eastAsia="es-MX"/>
              </w:rPr>
              <w:t>condary</w:t>
            </w:r>
          </w:p>
        </w:tc>
        <w:tc>
          <w:tcPr>
            <w:tcW w:w="1134" w:type="dxa"/>
            <w:tcBorders>
              <w:top w:val="nil"/>
              <w:left w:val="nil"/>
              <w:bottom w:val="nil"/>
              <w:right w:val="nil"/>
            </w:tcBorders>
            <w:noWrap/>
            <w:vAlign w:val="center"/>
            <w:hideMark/>
          </w:tcPr>
          <w:p w14:paraId="0FD3EC4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14</w:t>
            </w:r>
          </w:p>
        </w:tc>
        <w:tc>
          <w:tcPr>
            <w:tcW w:w="1134" w:type="dxa"/>
            <w:tcBorders>
              <w:top w:val="nil"/>
              <w:left w:val="nil"/>
              <w:bottom w:val="nil"/>
              <w:right w:val="nil"/>
            </w:tcBorders>
            <w:noWrap/>
            <w:vAlign w:val="center"/>
            <w:hideMark/>
          </w:tcPr>
          <w:p w14:paraId="501C730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11.29%</w:t>
            </w:r>
          </w:p>
        </w:tc>
      </w:tr>
      <w:tr w:rsidR="008E6D74" w:rsidRPr="00CB51B7" w14:paraId="202EE435" w14:textId="77777777" w:rsidTr="008E6D74">
        <w:trPr>
          <w:trHeight w:val="113"/>
          <w:jc w:val="center"/>
        </w:trPr>
        <w:tc>
          <w:tcPr>
            <w:tcW w:w="2324" w:type="dxa"/>
            <w:tcBorders>
              <w:top w:val="nil"/>
              <w:left w:val="nil"/>
              <w:bottom w:val="nil"/>
              <w:right w:val="nil"/>
            </w:tcBorders>
            <w:noWrap/>
            <w:vAlign w:val="center"/>
            <w:hideMark/>
          </w:tcPr>
          <w:p w14:paraId="33193F51" w14:textId="45CB6BB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High school</w:t>
            </w:r>
          </w:p>
        </w:tc>
        <w:tc>
          <w:tcPr>
            <w:tcW w:w="1134" w:type="dxa"/>
            <w:tcBorders>
              <w:top w:val="nil"/>
              <w:left w:val="nil"/>
              <w:bottom w:val="nil"/>
              <w:right w:val="nil"/>
            </w:tcBorders>
            <w:noWrap/>
            <w:vAlign w:val="center"/>
            <w:hideMark/>
          </w:tcPr>
          <w:p w14:paraId="6A9EE72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6D16D67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1DA38D4D" w14:textId="77777777" w:rsidTr="008E6D74">
        <w:trPr>
          <w:trHeight w:val="113"/>
          <w:jc w:val="center"/>
        </w:trPr>
        <w:tc>
          <w:tcPr>
            <w:tcW w:w="2324" w:type="dxa"/>
            <w:tcBorders>
              <w:top w:val="nil"/>
              <w:left w:val="nil"/>
              <w:bottom w:val="nil"/>
              <w:right w:val="nil"/>
            </w:tcBorders>
            <w:noWrap/>
            <w:vAlign w:val="center"/>
            <w:hideMark/>
          </w:tcPr>
          <w:p w14:paraId="41F58FA8" w14:textId="3656805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Bachelor’s degree</w:t>
            </w:r>
          </w:p>
        </w:tc>
        <w:tc>
          <w:tcPr>
            <w:tcW w:w="1134" w:type="dxa"/>
            <w:tcBorders>
              <w:top w:val="nil"/>
              <w:left w:val="nil"/>
              <w:bottom w:val="nil"/>
              <w:right w:val="nil"/>
            </w:tcBorders>
            <w:noWrap/>
            <w:vAlign w:val="center"/>
            <w:hideMark/>
          </w:tcPr>
          <w:p w14:paraId="04950809"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11</w:t>
            </w:r>
          </w:p>
        </w:tc>
        <w:tc>
          <w:tcPr>
            <w:tcW w:w="1134" w:type="dxa"/>
            <w:tcBorders>
              <w:top w:val="nil"/>
              <w:left w:val="nil"/>
              <w:bottom w:val="nil"/>
              <w:right w:val="nil"/>
            </w:tcBorders>
            <w:noWrap/>
            <w:vAlign w:val="center"/>
            <w:hideMark/>
          </w:tcPr>
          <w:p w14:paraId="6461F93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8.87%</w:t>
            </w:r>
          </w:p>
        </w:tc>
      </w:tr>
      <w:tr w:rsidR="008E6D74" w:rsidRPr="00CB51B7" w14:paraId="0C917C38" w14:textId="77777777" w:rsidTr="008E6D74">
        <w:trPr>
          <w:trHeight w:val="113"/>
          <w:jc w:val="center"/>
        </w:trPr>
        <w:tc>
          <w:tcPr>
            <w:tcW w:w="2324" w:type="dxa"/>
            <w:tcBorders>
              <w:top w:val="nil"/>
              <w:left w:val="nil"/>
              <w:bottom w:val="single" w:sz="8" w:space="0" w:color="auto"/>
              <w:right w:val="nil"/>
            </w:tcBorders>
            <w:noWrap/>
            <w:vAlign w:val="center"/>
            <w:hideMark/>
          </w:tcPr>
          <w:p w14:paraId="26708B48" w14:textId="256E637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P</w:t>
            </w:r>
            <w:r w:rsidR="004B795A">
              <w:rPr>
                <w:rFonts w:ascii="Arial" w:hAnsi="Arial" w:cs="Arial"/>
                <w:color w:val="000000"/>
                <w:lang w:eastAsia="es-MX"/>
              </w:rPr>
              <w:t>ostgraduate</w:t>
            </w:r>
          </w:p>
        </w:tc>
        <w:tc>
          <w:tcPr>
            <w:tcW w:w="1134" w:type="dxa"/>
            <w:tcBorders>
              <w:top w:val="nil"/>
              <w:left w:val="nil"/>
              <w:bottom w:val="single" w:sz="8" w:space="0" w:color="auto"/>
              <w:right w:val="nil"/>
            </w:tcBorders>
            <w:noWrap/>
            <w:vAlign w:val="center"/>
            <w:hideMark/>
          </w:tcPr>
          <w:p w14:paraId="469C077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w:t>
            </w:r>
          </w:p>
        </w:tc>
        <w:tc>
          <w:tcPr>
            <w:tcW w:w="1134" w:type="dxa"/>
            <w:tcBorders>
              <w:top w:val="nil"/>
              <w:left w:val="nil"/>
              <w:bottom w:val="single" w:sz="8" w:space="0" w:color="auto"/>
              <w:right w:val="nil"/>
            </w:tcBorders>
            <w:noWrap/>
            <w:vAlign w:val="center"/>
            <w:hideMark/>
          </w:tcPr>
          <w:p w14:paraId="6AD871C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3.23%</w:t>
            </w:r>
          </w:p>
        </w:tc>
      </w:tr>
      <w:tr w:rsidR="008E6D74" w:rsidRPr="00CB51B7" w14:paraId="5D3D2A76" w14:textId="77777777" w:rsidTr="008E6D74">
        <w:trPr>
          <w:trHeight w:val="113"/>
          <w:jc w:val="center"/>
        </w:trPr>
        <w:tc>
          <w:tcPr>
            <w:tcW w:w="2324" w:type="dxa"/>
            <w:tcBorders>
              <w:top w:val="nil"/>
              <w:left w:val="nil"/>
              <w:bottom w:val="nil"/>
              <w:right w:val="nil"/>
            </w:tcBorders>
            <w:noWrap/>
            <w:vAlign w:val="center"/>
            <w:hideMark/>
          </w:tcPr>
          <w:p w14:paraId="4457282A" w14:textId="141F89B3"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Marital status</w:t>
            </w:r>
          </w:p>
        </w:tc>
        <w:tc>
          <w:tcPr>
            <w:tcW w:w="1134" w:type="dxa"/>
            <w:tcBorders>
              <w:top w:val="nil"/>
              <w:left w:val="nil"/>
              <w:bottom w:val="nil"/>
              <w:right w:val="nil"/>
            </w:tcBorders>
            <w:noWrap/>
            <w:vAlign w:val="center"/>
            <w:hideMark/>
          </w:tcPr>
          <w:p w14:paraId="5EACB975"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2353B46B" w14:textId="77777777" w:rsidR="008E6D74" w:rsidRPr="00CB51B7" w:rsidRDefault="008E6D74" w:rsidP="004F0515">
            <w:pPr>
              <w:rPr>
                <w:rFonts w:ascii="Times New Roman" w:hAnsi="Times New Roman"/>
                <w:lang w:eastAsia="es-MX"/>
              </w:rPr>
            </w:pPr>
          </w:p>
        </w:tc>
      </w:tr>
      <w:tr w:rsidR="008E6D74" w:rsidRPr="00CB51B7" w14:paraId="65B1192C" w14:textId="77777777" w:rsidTr="008E6D74">
        <w:trPr>
          <w:trHeight w:val="113"/>
          <w:jc w:val="center"/>
        </w:trPr>
        <w:tc>
          <w:tcPr>
            <w:tcW w:w="2324" w:type="dxa"/>
            <w:tcBorders>
              <w:top w:val="nil"/>
              <w:left w:val="nil"/>
              <w:bottom w:val="nil"/>
              <w:right w:val="nil"/>
            </w:tcBorders>
            <w:noWrap/>
            <w:vAlign w:val="center"/>
            <w:hideMark/>
          </w:tcPr>
          <w:p w14:paraId="0E92D68C" w14:textId="3F384CD4"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Married</w:t>
            </w:r>
          </w:p>
        </w:tc>
        <w:tc>
          <w:tcPr>
            <w:tcW w:w="1134" w:type="dxa"/>
            <w:tcBorders>
              <w:top w:val="nil"/>
              <w:left w:val="nil"/>
              <w:bottom w:val="nil"/>
              <w:right w:val="nil"/>
            </w:tcBorders>
            <w:noWrap/>
            <w:vAlign w:val="center"/>
            <w:hideMark/>
          </w:tcPr>
          <w:p w14:paraId="323D7E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65</w:t>
            </w:r>
          </w:p>
        </w:tc>
        <w:tc>
          <w:tcPr>
            <w:tcW w:w="1134" w:type="dxa"/>
            <w:tcBorders>
              <w:top w:val="nil"/>
              <w:left w:val="nil"/>
              <w:bottom w:val="nil"/>
              <w:right w:val="nil"/>
            </w:tcBorders>
            <w:noWrap/>
            <w:vAlign w:val="center"/>
            <w:hideMark/>
          </w:tcPr>
          <w:p w14:paraId="7C3DB0B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52.42%</w:t>
            </w:r>
          </w:p>
        </w:tc>
      </w:tr>
      <w:tr w:rsidR="008E6D74" w:rsidRPr="00CB51B7" w14:paraId="03B5631C" w14:textId="77777777" w:rsidTr="008E6D74">
        <w:trPr>
          <w:trHeight w:val="113"/>
          <w:jc w:val="center"/>
        </w:trPr>
        <w:tc>
          <w:tcPr>
            <w:tcW w:w="2324" w:type="dxa"/>
            <w:tcBorders>
              <w:top w:val="nil"/>
              <w:left w:val="nil"/>
              <w:bottom w:val="nil"/>
              <w:right w:val="nil"/>
            </w:tcBorders>
            <w:noWrap/>
            <w:vAlign w:val="center"/>
            <w:hideMark/>
          </w:tcPr>
          <w:p w14:paraId="561F8BC5" w14:textId="65EC1C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w:t>
            </w:r>
            <w:r w:rsidR="004B795A">
              <w:rPr>
                <w:rFonts w:ascii="Arial" w:hAnsi="Arial" w:cs="Arial"/>
                <w:color w:val="000000"/>
                <w:lang w:eastAsia="es-MX"/>
              </w:rPr>
              <w:t>ingle</w:t>
            </w:r>
          </w:p>
        </w:tc>
        <w:tc>
          <w:tcPr>
            <w:tcW w:w="1134" w:type="dxa"/>
            <w:tcBorders>
              <w:top w:val="nil"/>
              <w:left w:val="nil"/>
              <w:bottom w:val="nil"/>
              <w:right w:val="nil"/>
            </w:tcBorders>
            <w:noWrap/>
            <w:vAlign w:val="center"/>
            <w:hideMark/>
          </w:tcPr>
          <w:p w14:paraId="1341D5C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5FB37C53"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33ABEEA4" w14:textId="77777777" w:rsidTr="008E6D74">
        <w:trPr>
          <w:trHeight w:val="113"/>
          <w:jc w:val="center"/>
        </w:trPr>
        <w:tc>
          <w:tcPr>
            <w:tcW w:w="2324" w:type="dxa"/>
            <w:tcBorders>
              <w:top w:val="nil"/>
              <w:left w:val="nil"/>
              <w:bottom w:val="nil"/>
              <w:right w:val="nil"/>
            </w:tcBorders>
            <w:noWrap/>
            <w:vAlign w:val="center"/>
            <w:hideMark/>
          </w:tcPr>
          <w:p w14:paraId="60A7CC50" w14:textId="22783900"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Div</w:t>
            </w:r>
            <w:r w:rsidR="004B795A">
              <w:rPr>
                <w:rFonts w:ascii="Arial" w:hAnsi="Arial" w:cs="Arial"/>
                <w:color w:val="000000"/>
                <w:lang w:eastAsia="es-MX"/>
              </w:rPr>
              <w:t>orced</w:t>
            </w:r>
          </w:p>
        </w:tc>
        <w:tc>
          <w:tcPr>
            <w:tcW w:w="1134" w:type="dxa"/>
            <w:tcBorders>
              <w:top w:val="nil"/>
              <w:left w:val="nil"/>
              <w:bottom w:val="nil"/>
              <w:right w:val="nil"/>
            </w:tcBorders>
            <w:noWrap/>
            <w:vAlign w:val="center"/>
            <w:hideMark/>
          </w:tcPr>
          <w:p w14:paraId="2055FA2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10</w:t>
            </w:r>
          </w:p>
        </w:tc>
        <w:tc>
          <w:tcPr>
            <w:tcW w:w="1134" w:type="dxa"/>
            <w:tcBorders>
              <w:top w:val="nil"/>
              <w:left w:val="nil"/>
              <w:bottom w:val="nil"/>
              <w:right w:val="nil"/>
            </w:tcBorders>
            <w:noWrap/>
            <w:vAlign w:val="center"/>
            <w:hideMark/>
          </w:tcPr>
          <w:p w14:paraId="1D6B2D0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8.06%</w:t>
            </w:r>
          </w:p>
        </w:tc>
      </w:tr>
      <w:tr w:rsidR="008E6D74" w:rsidRPr="00CB51B7" w14:paraId="12733FCA" w14:textId="77777777" w:rsidTr="008E6D74">
        <w:trPr>
          <w:trHeight w:val="113"/>
          <w:jc w:val="center"/>
        </w:trPr>
        <w:tc>
          <w:tcPr>
            <w:tcW w:w="2324" w:type="dxa"/>
            <w:tcBorders>
              <w:top w:val="nil"/>
              <w:left w:val="nil"/>
              <w:bottom w:val="nil"/>
              <w:right w:val="nil"/>
            </w:tcBorders>
            <w:noWrap/>
            <w:vAlign w:val="center"/>
            <w:hideMark/>
          </w:tcPr>
          <w:p w14:paraId="65EED5C7" w14:textId="6195DC6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Widowed</w:t>
            </w:r>
          </w:p>
        </w:tc>
        <w:tc>
          <w:tcPr>
            <w:tcW w:w="1134" w:type="dxa"/>
            <w:tcBorders>
              <w:top w:val="nil"/>
              <w:left w:val="nil"/>
              <w:bottom w:val="nil"/>
              <w:right w:val="nil"/>
            </w:tcBorders>
            <w:noWrap/>
            <w:vAlign w:val="center"/>
            <w:hideMark/>
          </w:tcPr>
          <w:p w14:paraId="168C291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22</w:t>
            </w:r>
          </w:p>
        </w:tc>
        <w:tc>
          <w:tcPr>
            <w:tcW w:w="1134" w:type="dxa"/>
            <w:tcBorders>
              <w:top w:val="nil"/>
              <w:left w:val="nil"/>
              <w:bottom w:val="nil"/>
              <w:right w:val="nil"/>
            </w:tcBorders>
            <w:noWrap/>
            <w:vAlign w:val="center"/>
            <w:hideMark/>
          </w:tcPr>
          <w:p w14:paraId="1A10D2C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17.74%</w:t>
            </w:r>
          </w:p>
        </w:tc>
      </w:tr>
      <w:tr w:rsidR="008E6D74" w:rsidRPr="00CB51B7" w14:paraId="6A11EA40" w14:textId="77777777" w:rsidTr="008E6D74">
        <w:trPr>
          <w:trHeight w:val="113"/>
          <w:jc w:val="center"/>
        </w:trPr>
        <w:tc>
          <w:tcPr>
            <w:tcW w:w="2324" w:type="dxa"/>
            <w:tcBorders>
              <w:top w:val="nil"/>
              <w:left w:val="nil"/>
              <w:bottom w:val="single" w:sz="8" w:space="0" w:color="auto"/>
              <w:right w:val="nil"/>
            </w:tcBorders>
            <w:noWrap/>
            <w:vAlign w:val="center"/>
            <w:hideMark/>
          </w:tcPr>
          <w:p w14:paraId="6A62E8E5" w14:textId="7A1F46AE"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Common-law union</w:t>
            </w:r>
          </w:p>
        </w:tc>
        <w:tc>
          <w:tcPr>
            <w:tcW w:w="1134" w:type="dxa"/>
            <w:tcBorders>
              <w:top w:val="nil"/>
              <w:left w:val="nil"/>
              <w:bottom w:val="single" w:sz="8" w:space="0" w:color="auto"/>
              <w:right w:val="nil"/>
            </w:tcBorders>
            <w:noWrap/>
            <w:vAlign w:val="center"/>
            <w:hideMark/>
          </w:tcPr>
          <w:p w14:paraId="6F8D8217"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single" w:sz="8" w:space="0" w:color="auto"/>
              <w:right w:val="nil"/>
            </w:tcBorders>
            <w:noWrap/>
            <w:vAlign w:val="center"/>
            <w:hideMark/>
          </w:tcPr>
          <w:p w14:paraId="22C49196"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4.03%</w:t>
            </w:r>
          </w:p>
        </w:tc>
      </w:tr>
      <w:tr w:rsidR="008E6D74" w:rsidRPr="00CB51B7" w14:paraId="4B2D7A71" w14:textId="77777777" w:rsidTr="008E6D74">
        <w:trPr>
          <w:trHeight w:val="113"/>
          <w:jc w:val="center"/>
        </w:trPr>
        <w:tc>
          <w:tcPr>
            <w:tcW w:w="2324" w:type="dxa"/>
            <w:tcBorders>
              <w:top w:val="nil"/>
              <w:left w:val="nil"/>
              <w:bottom w:val="nil"/>
              <w:right w:val="nil"/>
            </w:tcBorders>
            <w:noWrap/>
            <w:vAlign w:val="center"/>
            <w:hideMark/>
          </w:tcPr>
          <w:p w14:paraId="4C549362" w14:textId="5A1CABC1"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H</w:t>
            </w:r>
            <w:r w:rsidR="004B795A">
              <w:rPr>
                <w:rFonts w:ascii="Arial" w:hAnsi="Arial" w:cs="Arial"/>
                <w:b/>
                <w:bCs/>
                <w:color w:val="000000"/>
                <w:lang w:eastAsia="es-MX"/>
              </w:rPr>
              <w:t>ypertension</w:t>
            </w:r>
          </w:p>
        </w:tc>
        <w:tc>
          <w:tcPr>
            <w:tcW w:w="1134" w:type="dxa"/>
            <w:tcBorders>
              <w:top w:val="nil"/>
              <w:left w:val="nil"/>
              <w:bottom w:val="nil"/>
              <w:right w:val="nil"/>
            </w:tcBorders>
            <w:noWrap/>
            <w:vAlign w:val="center"/>
            <w:hideMark/>
          </w:tcPr>
          <w:p w14:paraId="63A6F349"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16D02BD0" w14:textId="77777777" w:rsidR="008E6D74" w:rsidRPr="00CB51B7" w:rsidRDefault="008E6D74" w:rsidP="004F0515">
            <w:pPr>
              <w:rPr>
                <w:rFonts w:ascii="Times New Roman" w:hAnsi="Times New Roman"/>
                <w:lang w:eastAsia="es-MX"/>
              </w:rPr>
            </w:pPr>
          </w:p>
        </w:tc>
      </w:tr>
      <w:tr w:rsidR="008E6D74" w:rsidRPr="00CB51B7" w14:paraId="4645D927" w14:textId="77777777" w:rsidTr="008E6D74">
        <w:trPr>
          <w:trHeight w:val="113"/>
          <w:jc w:val="center"/>
        </w:trPr>
        <w:tc>
          <w:tcPr>
            <w:tcW w:w="2324" w:type="dxa"/>
            <w:tcBorders>
              <w:top w:val="nil"/>
              <w:left w:val="nil"/>
              <w:bottom w:val="nil"/>
              <w:right w:val="nil"/>
            </w:tcBorders>
            <w:noWrap/>
            <w:vAlign w:val="center"/>
            <w:hideMark/>
          </w:tcPr>
          <w:p w14:paraId="2ABF1D84" w14:textId="0779C06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lastRenderedPageBreak/>
              <w:t xml:space="preserve">  </w:t>
            </w:r>
            <w:r w:rsidR="004B795A">
              <w:rPr>
                <w:rFonts w:ascii="Arial" w:hAnsi="Arial" w:cs="Arial"/>
                <w:color w:val="000000"/>
                <w:lang w:eastAsia="es-MX"/>
              </w:rPr>
              <w:t>Yes</w:t>
            </w:r>
          </w:p>
        </w:tc>
        <w:tc>
          <w:tcPr>
            <w:tcW w:w="1134" w:type="dxa"/>
            <w:tcBorders>
              <w:top w:val="nil"/>
              <w:left w:val="nil"/>
              <w:bottom w:val="nil"/>
              <w:right w:val="nil"/>
            </w:tcBorders>
            <w:noWrap/>
            <w:vAlign w:val="center"/>
            <w:hideMark/>
          </w:tcPr>
          <w:p w14:paraId="00DC09F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75</w:t>
            </w:r>
          </w:p>
        </w:tc>
        <w:tc>
          <w:tcPr>
            <w:tcW w:w="1134" w:type="dxa"/>
            <w:tcBorders>
              <w:top w:val="nil"/>
              <w:left w:val="nil"/>
              <w:bottom w:val="nil"/>
              <w:right w:val="nil"/>
            </w:tcBorders>
            <w:noWrap/>
            <w:vAlign w:val="center"/>
            <w:hideMark/>
          </w:tcPr>
          <w:p w14:paraId="1477781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60.48%</w:t>
            </w:r>
          </w:p>
        </w:tc>
      </w:tr>
      <w:tr w:rsidR="008E6D74" w:rsidRPr="00CB51B7" w14:paraId="7F73B9F3" w14:textId="77777777" w:rsidTr="008E6D74">
        <w:trPr>
          <w:trHeight w:val="113"/>
          <w:jc w:val="center"/>
        </w:trPr>
        <w:tc>
          <w:tcPr>
            <w:tcW w:w="2324" w:type="dxa"/>
            <w:tcBorders>
              <w:top w:val="nil"/>
              <w:left w:val="nil"/>
              <w:bottom w:val="single" w:sz="8" w:space="0" w:color="auto"/>
              <w:right w:val="nil"/>
            </w:tcBorders>
            <w:noWrap/>
            <w:vAlign w:val="center"/>
            <w:hideMark/>
          </w:tcPr>
          <w:p w14:paraId="00A87C42"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5AB3ABF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49</w:t>
            </w:r>
          </w:p>
        </w:tc>
        <w:tc>
          <w:tcPr>
            <w:tcW w:w="1134" w:type="dxa"/>
            <w:tcBorders>
              <w:top w:val="nil"/>
              <w:left w:val="nil"/>
              <w:bottom w:val="single" w:sz="8" w:space="0" w:color="auto"/>
              <w:right w:val="nil"/>
            </w:tcBorders>
            <w:noWrap/>
            <w:vAlign w:val="center"/>
            <w:hideMark/>
          </w:tcPr>
          <w:p w14:paraId="39DA1C1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39.52%</w:t>
            </w:r>
          </w:p>
        </w:tc>
      </w:tr>
      <w:tr w:rsidR="008E6D74" w:rsidRPr="00CB51B7" w14:paraId="0B14F188" w14:textId="77777777" w:rsidTr="008E6D74">
        <w:trPr>
          <w:trHeight w:val="113"/>
          <w:jc w:val="center"/>
        </w:trPr>
        <w:tc>
          <w:tcPr>
            <w:tcW w:w="2324" w:type="dxa"/>
            <w:tcBorders>
              <w:top w:val="nil"/>
              <w:left w:val="nil"/>
              <w:bottom w:val="nil"/>
              <w:right w:val="nil"/>
            </w:tcBorders>
            <w:noWrap/>
            <w:vAlign w:val="center"/>
            <w:hideMark/>
          </w:tcPr>
          <w:p w14:paraId="15B19032" w14:textId="6923B55D" w:rsidR="008E6D74" w:rsidRPr="00CB51B7" w:rsidRDefault="004B795A" w:rsidP="004F0515">
            <w:pPr>
              <w:rPr>
                <w:rFonts w:ascii="Arial" w:hAnsi="Arial" w:cs="Arial"/>
                <w:b/>
                <w:bCs/>
                <w:color w:val="000000"/>
                <w:lang w:eastAsia="es-MX"/>
              </w:rPr>
            </w:pPr>
            <w:r>
              <w:rPr>
                <w:rFonts w:ascii="Arial" w:hAnsi="Arial" w:cs="Arial"/>
                <w:b/>
                <w:bCs/>
                <w:color w:val="000000"/>
                <w:lang w:eastAsia="es-MX"/>
              </w:rPr>
              <w:t>MCI</w:t>
            </w:r>
            <w:r w:rsidR="008E6D74" w:rsidRPr="00CB51B7">
              <w:rPr>
                <w:rFonts w:ascii="Arial" w:hAnsi="Arial" w:cs="Arial"/>
                <w:b/>
                <w:bCs/>
                <w:color w:val="000000"/>
                <w:lang w:eastAsia="es-MX"/>
              </w:rPr>
              <w:t xml:space="preserve"> </w:t>
            </w:r>
          </w:p>
        </w:tc>
        <w:tc>
          <w:tcPr>
            <w:tcW w:w="1134" w:type="dxa"/>
            <w:tcBorders>
              <w:top w:val="nil"/>
              <w:left w:val="nil"/>
              <w:bottom w:val="nil"/>
              <w:right w:val="nil"/>
            </w:tcBorders>
            <w:noWrap/>
            <w:vAlign w:val="center"/>
            <w:hideMark/>
          </w:tcPr>
          <w:p w14:paraId="57F59DD0"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04B411A1" w14:textId="77777777" w:rsidR="008E6D74" w:rsidRPr="00CB51B7" w:rsidRDefault="008E6D74" w:rsidP="004F0515">
            <w:pPr>
              <w:rPr>
                <w:rFonts w:ascii="Times New Roman" w:hAnsi="Times New Roman"/>
                <w:lang w:eastAsia="es-MX"/>
              </w:rPr>
            </w:pPr>
          </w:p>
        </w:tc>
      </w:tr>
      <w:tr w:rsidR="008E6D74" w:rsidRPr="00CB51B7" w14:paraId="0CD02B57" w14:textId="77777777" w:rsidTr="008E6D74">
        <w:trPr>
          <w:trHeight w:val="113"/>
          <w:jc w:val="center"/>
        </w:trPr>
        <w:tc>
          <w:tcPr>
            <w:tcW w:w="2324" w:type="dxa"/>
            <w:tcBorders>
              <w:top w:val="nil"/>
              <w:left w:val="nil"/>
              <w:bottom w:val="nil"/>
              <w:right w:val="nil"/>
            </w:tcBorders>
            <w:noWrap/>
            <w:vAlign w:val="center"/>
            <w:hideMark/>
          </w:tcPr>
          <w:p w14:paraId="3D82B00B"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Si</w:t>
            </w:r>
          </w:p>
        </w:tc>
        <w:tc>
          <w:tcPr>
            <w:tcW w:w="1134" w:type="dxa"/>
            <w:tcBorders>
              <w:top w:val="nil"/>
              <w:left w:val="nil"/>
              <w:bottom w:val="nil"/>
              <w:right w:val="nil"/>
            </w:tcBorders>
            <w:noWrap/>
            <w:vAlign w:val="center"/>
            <w:hideMark/>
          </w:tcPr>
          <w:p w14:paraId="59A8745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82</w:t>
            </w:r>
          </w:p>
        </w:tc>
        <w:tc>
          <w:tcPr>
            <w:tcW w:w="1134" w:type="dxa"/>
            <w:tcBorders>
              <w:top w:val="nil"/>
              <w:left w:val="nil"/>
              <w:bottom w:val="nil"/>
              <w:right w:val="nil"/>
            </w:tcBorders>
            <w:noWrap/>
            <w:vAlign w:val="center"/>
            <w:hideMark/>
          </w:tcPr>
          <w:p w14:paraId="2E83AEA8"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66.13</w:t>
            </w:r>
          </w:p>
        </w:tc>
      </w:tr>
      <w:tr w:rsidR="008E6D74" w:rsidRPr="00CB51B7" w14:paraId="432EDD69" w14:textId="77777777" w:rsidTr="008E6D74">
        <w:trPr>
          <w:trHeight w:val="113"/>
          <w:jc w:val="center"/>
        </w:trPr>
        <w:tc>
          <w:tcPr>
            <w:tcW w:w="2324" w:type="dxa"/>
            <w:tcBorders>
              <w:top w:val="nil"/>
              <w:left w:val="nil"/>
              <w:bottom w:val="single" w:sz="8" w:space="0" w:color="auto"/>
              <w:right w:val="nil"/>
            </w:tcBorders>
            <w:noWrap/>
            <w:vAlign w:val="center"/>
            <w:hideMark/>
          </w:tcPr>
          <w:p w14:paraId="291B66F3" w14:textId="7777777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No</w:t>
            </w:r>
          </w:p>
        </w:tc>
        <w:tc>
          <w:tcPr>
            <w:tcW w:w="1134" w:type="dxa"/>
            <w:tcBorders>
              <w:top w:val="nil"/>
              <w:left w:val="nil"/>
              <w:bottom w:val="single" w:sz="8" w:space="0" w:color="auto"/>
              <w:right w:val="nil"/>
            </w:tcBorders>
            <w:noWrap/>
            <w:vAlign w:val="center"/>
            <w:hideMark/>
          </w:tcPr>
          <w:p w14:paraId="1B49308D"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42</w:t>
            </w:r>
          </w:p>
        </w:tc>
        <w:tc>
          <w:tcPr>
            <w:tcW w:w="1134" w:type="dxa"/>
            <w:tcBorders>
              <w:top w:val="nil"/>
              <w:left w:val="nil"/>
              <w:bottom w:val="single" w:sz="8" w:space="0" w:color="auto"/>
              <w:right w:val="nil"/>
            </w:tcBorders>
            <w:noWrap/>
            <w:vAlign w:val="center"/>
            <w:hideMark/>
          </w:tcPr>
          <w:p w14:paraId="61D8548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33.87</w:t>
            </w:r>
          </w:p>
        </w:tc>
      </w:tr>
      <w:tr w:rsidR="008E6D74" w:rsidRPr="00CB51B7" w14:paraId="15FD07ED" w14:textId="77777777" w:rsidTr="008E6D74">
        <w:trPr>
          <w:trHeight w:val="113"/>
          <w:jc w:val="center"/>
        </w:trPr>
        <w:tc>
          <w:tcPr>
            <w:tcW w:w="2324" w:type="dxa"/>
            <w:tcBorders>
              <w:top w:val="nil"/>
              <w:left w:val="nil"/>
              <w:bottom w:val="nil"/>
              <w:right w:val="nil"/>
            </w:tcBorders>
            <w:noWrap/>
            <w:vAlign w:val="center"/>
            <w:hideMark/>
          </w:tcPr>
          <w:p w14:paraId="77F0EB58" w14:textId="14B9769C" w:rsidR="008E6D74" w:rsidRPr="00CB51B7" w:rsidRDefault="008E6D74" w:rsidP="004F0515">
            <w:pPr>
              <w:rPr>
                <w:rFonts w:ascii="Arial" w:hAnsi="Arial" w:cs="Arial"/>
                <w:b/>
                <w:bCs/>
                <w:color w:val="000000"/>
                <w:lang w:eastAsia="es-MX"/>
              </w:rPr>
            </w:pPr>
            <w:r w:rsidRPr="00CB51B7">
              <w:rPr>
                <w:rFonts w:ascii="Arial" w:hAnsi="Arial" w:cs="Arial"/>
                <w:b/>
                <w:bCs/>
                <w:color w:val="000000"/>
                <w:lang w:eastAsia="es-MX"/>
              </w:rPr>
              <w:t>Comorb</w:t>
            </w:r>
            <w:r w:rsidR="004B795A">
              <w:rPr>
                <w:rFonts w:ascii="Arial" w:hAnsi="Arial" w:cs="Arial"/>
                <w:b/>
                <w:bCs/>
                <w:color w:val="000000"/>
                <w:lang w:eastAsia="es-MX"/>
              </w:rPr>
              <w:t>idities</w:t>
            </w:r>
          </w:p>
        </w:tc>
        <w:tc>
          <w:tcPr>
            <w:tcW w:w="1134" w:type="dxa"/>
            <w:tcBorders>
              <w:top w:val="nil"/>
              <w:left w:val="nil"/>
              <w:bottom w:val="nil"/>
              <w:right w:val="nil"/>
            </w:tcBorders>
            <w:noWrap/>
            <w:vAlign w:val="center"/>
            <w:hideMark/>
          </w:tcPr>
          <w:p w14:paraId="708185E1" w14:textId="77777777" w:rsidR="008E6D74" w:rsidRPr="00CB51B7" w:rsidRDefault="008E6D74" w:rsidP="004F0515">
            <w:pPr>
              <w:rPr>
                <w:rFonts w:ascii="Arial" w:hAnsi="Arial" w:cs="Arial"/>
                <w:b/>
                <w:bCs/>
                <w:color w:val="000000"/>
                <w:lang w:eastAsia="es-MX"/>
              </w:rPr>
            </w:pPr>
          </w:p>
        </w:tc>
        <w:tc>
          <w:tcPr>
            <w:tcW w:w="1134" w:type="dxa"/>
            <w:tcBorders>
              <w:top w:val="nil"/>
              <w:left w:val="nil"/>
              <w:bottom w:val="nil"/>
              <w:right w:val="nil"/>
            </w:tcBorders>
            <w:noWrap/>
            <w:vAlign w:val="center"/>
            <w:hideMark/>
          </w:tcPr>
          <w:p w14:paraId="33F9ECC5" w14:textId="77777777" w:rsidR="008E6D74" w:rsidRPr="00CB51B7" w:rsidRDefault="008E6D74" w:rsidP="004F0515">
            <w:pPr>
              <w:rPr>
                <w:rFonts w:ascii="Times New Roman" w:hAnsi="Times New Roman"/>
                <w:lang w:eastAsia="es-MX"/>
              </w:rPr>
            </w:pPr>
          </w:p>
        </w:tc>
      </w:tr>
      <w:tr w:rsidR="008E6D74" w:rsidRPr="00CB51B7" w14:paraId="0FA3CAAB" w14:textId="77777777" w:rsidTr="008E6D74">
        <w:trPr>
          <w:trHeight w:val="113"/>
          <w:jc w:val="center"/>
        </w:trPr>
        <w:tc>
          <w:tcPr>
            <w:tcW w:w="2324" w:type="dxa"/>
            <w:tcBorders>
              <w:top w:val="nil"/>
              <w:left w:val="nil"/>
              <w:bottom w:val="nil"/>
              <w:right w:val="nil"/>
            </w:tcBorders>
            <w:noWrap/>
            <w:vAlign w:val="center"/>
            <w:hideMark/>
          </w:tcPr>
          <w:p w14:paraId="2725D814" w14:textId="66EEE4A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N</w:t>
            </w:r>
            <w:r w:rsidR="004B795A">
              <w:rPr>
                <w:rFonts w:ascii="Arial" w:hAnsi="Arial" w:cs="Arial"/>
                <w:color w:val="000000"/>
                <w:lang w:eastAsia="es-MX"/>
              </w:rPr>
              <w:t>one</w:t>
            </w:r>
          </w:p>
        </w:tc>
        <w:tc>
          <w:tcPr>
            <w:tcW w:w="1134" w:type="dxa"/>
            <w:tcBorders>
              <w:top w:val="nil"/>
              <w:left w:val="nil"/>
              <w:bottom w:val="nil"/>
              <w:right w:val="nil"/>
            </w:tcBorders>
            <w:noWrap/>
            <w:vAlign w:val="center"/>
            <w:hideMark/>
          </w:tcPr>
          <w:p w14:paraId="71DF4DF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32</w:t>
            </w:r>
          </w:p>
        </w:tc>
        <w:tc>
          <w:tcPr>
            <w:tcW w:w="1134" w:type="dxa"/>
            <w:tcBorders>
              <w:top w:val="nil"/>
              <w:left w:val="nil"/>
              <w:bottom w:val="nil"/>
              <w:right w:val="nil"/>
            </w:tcBorders>
            <w:noWrap/>
            <w:vAlign w:val="center"/>
            <w:hideMark/>
          </w:tcPr>
          <w:p w14:paraId="1EBE8FE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25.81%</w:t>
            </w:r>
          </w:p>
        </w:tc>
      </w:tr>
      <w:tr w:rsidR="008E6D74" w:rsidRPr="00CB51B7" w14:paraId="32275D65" w14:textId="77777777" w:rsidTr="008E6D74">
        <w:trPr>
          <w:trHeight w:val="113"/>
          <w:jc w:val="center"/>
        </w:trPr>
        <w:tc>
          <w:tcPr>
            <w:tcW w:w="2324" w:type="dxa"/>
            <w:tcBorders>
              <w:top w:val="nil"/>
              <w:left w:val="nil"/>
              <w:bottom w:val="nil"/>
              <w:right w:val="nil"/>
            </w:tcBorders>
            <w:noWrap/>
            <w:vAlign w:val="center"/>
            <w:hideMark/>
          </w:tcPr>
          <w:p w14:paraId="19A2C09D" w14:textId="3343A735"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T2D</w:t>
            </w:r>
          </w:p>
        </w:tc>
        <w:tc>
          <w:tcPr>
            <w:tcW w:w="1134" w:type="dxa"/>
            <w:tcBorders>
              <w:top w:val="nil"/>
              <w:left w:val="nil"/>
              <w:bottom w:val="nil"/>
              <w:right w:val="nil"/>
            </w:tcBorders>
            <w:noWrap/>
            <w:vAlign w:val="center"/>
            <w:hideMark/>
          </w:tcPr>
          <w:p w14:paraId="13C40D3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36</w:t>
            </w:r>
          </w:p>
        </w:tc>
        <w:tc>
          <w:tcPr>
            <w:tcW w:w="1134" w:type="dxa"/>
            <w:tcBorders>
              <w:top w:val="nil"/>
              <w:left w:val="nil"/>
              <w:bottom w:val="nil"/>
              <w:right w:val="nil"/>
            </w:tcBorders>
            <w:noWrap/>
            <w:vAlign w:val="center"/>
            <w:hideMark/>
          </w:tcPr>
          <w:p w14:paraId="633CE4EE"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29.03%</w:t>
            </w:r>
          </w:p>
        </w:tc>
      </w:tr>
      <w:tr w:rsidR="008E6D74" w:rsidRPr="00CB51B7" w14:paraId="11D395A8" w14:textId="77777777" w:rsidTr="008E6D74">
        <w:trPr>
          <w:trHeight w:val="113"/>
          <w:jc w:val="center"/>
        </w:trPr>
        <w:tc>
          <w:tcPr>
            <w:tcW w:w="2324" w:type="dxa"/>
            <w:tcBorders>
              <w:top w:val="nil"/>
              <w:left w:val="nil"/>
              <w:bottom w:val="nil"/>
              <w:right w:val="nil"/>
            </w:tcBorders>
            <w:noWrap/>
            <w:vAlign w:val="center"/>
            <w:hideMark/>
          </w:tcPr>
          <w:p w14:paraId="2B36CADA" w14:textId="5C96CEE1"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H</w:t>
            </w:r>
            <w:r w:rsidR="004B795A">
              <w:rPr>
                <w:rFonts w:ascii="Arial" w:hAnsi="Arial" w:cs="Arial"/>
                <w:color w:val="000000"/>
                <w:lang w:eastAsia="es-MX"/>
              </w:rPr>
              <w:t>ypothyroidism</w:t>
            </w:r>
          </w:p>
        </w:tc>
        <w:tc>
          <w:tcPr>
            <w:tcW w:w="1134" w:type="dxa"/>
            <w:tcBorders>
              <w:top w:val="nil"/>
              <w:left w:val="nil"/>
              <w:bottom w:val="nil"/>
              <w:right w:val="nil"/>
            </w:tcBorders>
            <w:noWrap/>
            <w:vAlign w:val="center"/>
            <w:hideMark/>
          </w:tcPr>
          <w:p w14:paraId="7010DAE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9</w:t>
            </w:r>
          </w:p>
        </w:tc>
        <w:tc>
          <w:tcPr>
            <w:tcW w:w="1134" w:type="dxa"/>
            <w:tcBorders>
              <w:top w:val="nil"/>
              <w:left w:val="nil"/>
              <w:bottom w:val="nil"/>
              <w:right w:val="nil"/>
            </w:tcBorders>
            <w:noWrap/>
            <w:vAlign w:val="center"/>
            <w:hideMark/>
          </w:tcPr>
          <w:p w14:paraId="51AA6AE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7.26%</w:t>
            </w:r>
          </w:p>
        </w:tc>
      </w:tr>
      <w:tr w:rsidR="008E6D74" w:rsidRPr="00CB51B7" w14:paraId="29BF2F0D" w14:textId="77777777" w:rsidTr="008E6D74">
        <w:trPr>
          <w:trHeight w:val="113"/>
          <w:jc w:val="center"/>
        </w:trPr>
        <w:tc>
          <w:tcPr>
            <w:tcW w:w="2324" w:type="dxa"/>
            <w:tcBorders>
              <w:top w:val="nil"/>
              <w:left w:val="nil"/>
              <w:bottom w:val="nil"/>
              <w:right w:val="nil"/>
            </w:tcBorders>
            <w:noWrap/>
            <w:vAlign w:val="center"/>
            <w:hideMark/>
          </w:tcPr>
          <w:p w14:paraId="7D2105ED" w14:textId="61F603AC"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COPD</w:t>
            </w:r>
          </w:p>
        </w:tc>
        <w:tc>
          <w:tcPr>
            <w:tcW w:w="1134" w:type="dxa"/>
            <w:tcBorders>
              <w:top w:val="nil"/>
              <w:left w:val="nil"/>
              <w:bottom w:val="nil"/>
              <w:right w:val="nil"/>
            </w:tcBorders>
            <w:noWrap/>
            <w:vAlign w:val="center"/>
            <w:hideMark/>
          </w:tcPr>
          <w:p w14:paraId="76ED4244"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w:t>
            </w:r>
          </w:p>
        </w:tc>
        <w:tc>
          <w:tcPr>
            <w:tcW w:w="1134" w:type="dxa"/>
            <w:tcBorders>
              <w:top w:val="nil"/>
              <w:left w:val="nil"/>
              <w:bottom w:val="nil"/>
              <w:right w:val="nil"/>
            </w:tcBorders>
            <w:noWrap/>
            <w:vAlign w:val="center"/>
            <w:hideMark/>
          </w:tcPr>
          <w:p w14:paraId="07141D92"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1.61%</w:t>
            </w:r>
          </w:p>
        </w:tc>
      </w:tr>
      <w:tr w:rsidR="008E6D74" w:rsidRPr="00CB51B7" w14:paraId="7BC05FCE" w14:textId="77777777" w:rsidTr="008E6D74">
        <w:trPr>
          <w:trHeight w:val="113"/>
          <w:jc w:val="center"/>
        </w:trPr>
        <w:tc>
          <w:tcPr>
            <w:tcW w:w="2324" w:type="dxa"/>
            <w:tcBorders>
              <w:top w:val="nil"/>
              <w:left w:val="nil"/>
              <w:bottom w:val="nil"/>
              <w:right w:val="nil"/>
            </w:tcBorders>
            <w:noWrap/>
            <w:vAlign w:val="center"/>
            <w:hideMark/>
          </w:tcPr>
          <w:p w14:paraId="267CC45D" w14:textId="5316E196"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proofErr w:type="spellStart"/>
            <w:r w:rsidRPr="00CB51B7">
              <w:rPr>
                <w:rFonts w:ascii="Arial" w:hAnsi="Arial" w:cs="Arial"/>
                <w:color w:val="000000"/>
                <w:lang w:eastAsia="es-MX"/>
              </w:rPr>
              <w:t>Gonart</w:t>
            </w:r>
            <w:r w:rsidR="004B795A">
              <w:rPr>
                <w:rFonts w:ascii="Arial" w:hAnsi="Arial" w:cs="Arial"/>
                <w:color w:val="000000"/>
                <w:lang w:eastAsia="es-MX"/>
              </w:rPr>
              <w:t>h</w:t>
            </w:r>
            <w:r w:rsidRPr="00CB51B7">
              <w:rPr>
                <w:rFonts w:ascii="Arial" w:hAnsi="Arial" w:cs="Arial"/>
                <w:color w:val="000000"/>
                <w:lang w:eastAsia="es-MX"/>
              </w:rPr>
              <w:t>rosis</w:t>
            </w:r>
            <w:proofErr w:type="spellEnd"/>
          </w:p>
        </w:tc>
        <w:tc>
          <w:tcPr>
            <w:tcW w:w="1134" w:type="dxa"/>
            <w:tcBorders>
              <w:top w:val="nil"/>
              <w:left w:val="nil"/>
              <w:bottom w:val="nil"/>
              <w:right w:val="nil"/>
            </w:tcBorders>
            <w:noWrap/>
            <w:vAlign w:val="center"/>
            <w:hideMark/>
          </w:tcPr>
          <w:p w14:paraId="1B85F7E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w:t>
            </w:r>
          </w:p>
        </w:tc>
        <w:tc>
          <w:tcPr>
            <w:tcW w:w="1134" w:type="dxa"/>
            <w:tcBorders>
              <w:top w:val="nil"/>
              <w:left w:val="nil"/>
              <w:bottom w:val="nil"/>
              <w:right w:val="nil"/>
            </w:tcBorders>
            <w:noWrap/>
            <w:vAlign w:val="center"/>
            <w:hideMark/>
          </w:tcPr>
          <w:p w14:paraId="7D853E9F"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12.90%</w:t>
            </w:r>
          </w:p>
        </w:tc>
      </w:tr>
      <w:tr w:rsidR="008E6D74" w:rsidRPr="00CB51B7" w14:paraId="65847B39" w14:textId="77777777" w:rsidTr="008E6D74">
        <w:trPr>
          <w:trHeight w:val="113"/>
          <w:jc w:val="center"/>
        </w:trPr>
        <w:tc>
          <w:tcPr>
            <w:tcW w:w="2324" w:type="dxa"/>
            <w:tcBorders>
              <w:top w:val="nil"/>
              <w:left w:val="nil"/>
              <w:bottom w:val="nil"/>
              <w:right w:val="nil"/>
            </w:tcBorders>
            <w:noWrap/>
            <w:vAlign w:val="center"/>
            <w:hideMark/>
          </w:tcPr>
          <w:p w14:paraId="1E286064" w14:textId="39FBFC92"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BPH</w:t>
            </w:r>
          </w:p>
        </w:tc>
        <w:tc>
          <w:tcPr>
            <w:tcW w:w="1134" w:type="dxa"/>
            <w:tcBorders>
              <w:top w:val="nil"/>
              <w:left w:val="nil"/>
              <w:bottom w:val="nil"/>
              <w:right w:val="nil"/>
            </w:tcBorders>
            <w:noWrap/>
            <w:vAlign w:val="center"/>
            <w:hideMark/>
          </w:tcPr>
          <w:p w14:paraId="0E06AE3A"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3</w:t>
            </w:r>
          </w:p>
        </w:tc>
        <w:tc>
          <w:tcPr>
            <w:tcW w:w="1134" w:type="dxa"/>
            <w:tcBorders>
              <w:top w:val="nil"/>
              <w:left w:val="nil"/>
              <w:bottom w:val="nil"/>
              <w:right w:val="nil"/>
            </w:tcBorders>
            <w:noWrap/>
            <w:vAlign w:val="center"/>
            <w:hideMark/>
          </w:tcPr>
          <w:p w14:paraId="3156AF01"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2.42%</w:t>
            </w:r>
          </w:p>
        </w:tc>
      </w:tr>
      <w:tr w:rsidR="008E6D74" w:rsidRPr="00CB51B7" w14:paraId="703D3212" w14:textId="77777777" w:rsidTr="008E6D74">
        <w:trPr>
          <w:trHeight w:val="66"/>
          <w:jc w:val="center"/>
        </w:trPr>
        <w:tc>
          <w:tcPr>
            <w:tcW w:w="2324" w:type="dxa"/>
            <w:tcBorders>
              <w:top w:val="nil"/>
              <w:left w:val="nil"/>
              <w:bottom w:val="nil"/>
              <w:right w:val="nil"/>
            </w:tcBorders>
            <w:noWrap/>
            <w:vAlign w:val="center"/>
            <w:hideMark/>
          </w:tcPr>
          <w:p w14:paraId="26782CF3" w14:textId="51BC6057"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w:t>
            </w:r>
            <w:r w:rsidR="004B795A">
              <w:rPr>
                <w:rFonts w:ascii="Arial" w:hAnsi="Arial" w:cs="Arial"/>
                <w:color w:val="000000"/>
                <w:lang w:eastAsia="es-MX"/>
              </w:rPr>
              <w:t>CKD</w:t>
            </w:r>
          </w:p>
        </w:tc>
        <w:tc>
          <w:tcPr>
            <w:tcW w:w="1134" w:type="dxa"/>
            <w:tcBorders>
              <w:top w:val="nil"/>
              <w:left w:val="nil"/>
              <w:bottom w:val="nil"/>
              <w:right w:val="nil"/>
            </w:tcBorders>
            <w:noWrap/>
            <w:vAlign w:val="center"/>
            <w:hideMark/>
          </w:tcPr>
          <w:p w14:paraId="6B6127B0"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5</w:t>
            </w:r>
          </w:p>
        </w:tc>
        <w:tc>
          <w:tcPr>
            <w:tcW w:w="1134" w:type="dxa"/>
            <w:tcBorders>
              <w:top w:val="nil"/>
              <w:left w:val="nil"/>
              <w:bottom w:val="nil"/>
              <w:right w:val="nil"/>
            </w:tcBorders>
            <w:noWrap/>
            <w:vAlign w:val="center"/>
            <w:hideMark/>
          </w:tcPr>
          <w:p w14:paraId="093C7ABC"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4.03%</w:t>
            </w:r>
          </w:p>
        </w:tc>
      </w:tr>
      <w:tr w:rsidR="008E6D74" w:rsidRPr="00CB51B7" w14:paraId="2796D8B2" w14:textId="77777777" w:rsidTr="008E6D74">
        <w:trPr>
          <w:trHeight w:val="113"/>
          <w:jc w:val="center"/>
        </w:trPr>
        <w:tc>
          <w:tcPr>
            <w:tcW w:w="2324" w:type="dxa"/>
            <w:tcBorders>
              <w:top w:val="nil"/>
              <w:left w:val="nil"/>
              <w:bottom w:val="single" w:sz="8" w:space="0" w:color="auto"/>
              <w:right w:val="nil"/>
            </w:tcBorders>
            <w:noWrap/>
            <w:vAlign w:val="center"/>
            <w:hideMark/>
          </w:tcPr>
          <w:p w14:paraId="76B6CA15" w14:textId="736029B2" w:rsidR="008E6D74" w:rsidRPr="00CB51B7" w:rsidRDefault="008E6D74" w:rsidP="004F0515">
            <w:pPr>
              <w:rPr>
                <w:rFonts w:ascii="Arial" w:hAnsi="Arial" w:cs="Arial"/>
                <w:color w:val="000000"/>
                <w:lang w:eastAsia="es-MX"/>
              </w:rPr>
            </w:pPr>
            <w:r w:rsidRPr="00CB51B7">
              <w:rPr>
                <w:rFonts w:ascii="Arial" w:hAnsi="Arial" w:cs="Arial"/>
                <w:color w:val="000000"/>
                <w:lang w:eastAsia="es-MX"/>
              </w:rPr>
              <w:t xml:space="preserve">  Ot</w:t>
            </w:r>
            <w:r w:rsidR="004B795A">
              <w:rPr>
                <w:rFonts w:ascii="Arial" w:hAnsi="Arial" w:cs="Arial"/>
                <w:color w:val="000000"/>
                <w:lang w:eastAsia="es-MX"/>
              </w:rPr>
              <w:t>hers</w:t>
            </w:r>
          </w:p>
        </w:tc>
        <w:tc>
          <w:tcPr>
            <w:tcW w:w="1134" w:type="dxa"/>
            <w:tcBorders>
              <w:top w:val="nil"/>
              <w:left w:val="nil"/>
              <w:bottom w:val="single" w:sz="8" w:space="0" w:color="auto"/>
              <w:right w:val="nil"/>
            </w:tcBorders>
            <w:noWrap/>
            <w:vAlign w:val="center"/>
            <w:hideMark/>
          </w:tcPr>
          <w:p w14:paraId="5D7376E5"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21</w:t>
            </w:r>
          </w:p>
        </w:tc>
        <w:tc>
          <w:tcPr>
            <w:tcW w:w="1134" w:type="dxa"/>
            <w:tcBorders>
              <w:top w:val="nil"/>
              <w:left w:val="nil"/>
              <w:bottom w:val="single" w:sz="8" w:space="0" w:color="auto"/>
              <w:right w:val="nil"/>
            </w:tcBorders>
            <w:noWrap/>
            <w:vAlign w:val="center"/>
            <w:hideMark/>
          </w:tcPr>
          <w:p w14:paraId="31A5255B" w14:textId="77777777" w:rsidR="008E6D74" w:rsidRPr="00CB51B7" w:rsidRDefault="008E6D74" w:rsidP="004F0515">
            <w:pPr>
              <w:jc w:val="center"/>
              <w:rPr>
                <w:rFonts w:ascii="Arial" w:hAnsi="Arial" w:cs="Arial"/>
                <w:color w:val="000000"/>
                <w:lang w:eastAsia="es-MX"/>
              </w:rPr>
            </w:pPr>
            <w:r w:rsidRPr="00CB51B7">
              <w:rPr>
                <w:rFonts w:ascii="Arial" w:hAnsi="Arial" w:cs="Arial"/>
                <w:color w:val="000000"/>
                <w:lang w:eastAsia="es-MX"/>
              </w:rPr>
              <w:t>16.94%</w:t>
            </w:r>
          </w:p>
        </w:tc>
      </w:tr>
    </w:tbl>
    <w:p w14:paraId="325E110F" w14:textId="43A14D4A" w:rsidR="00905CE8" w:rsidRDefault="004B795A" w:rsidP="00905CE8">
      <w:pPr>
        <w:jc w:val="center"/>
        <w:rPr>
          <w:rFonts w:ascii="Arial" w:hAnsi="Arial" w:cs="Arial"/>
          <w:i/>
          <w:iCs/>
          <w:color w:val="000000"/>
          <w:lang w:eastAsia="es-MX"/>
        </w:rPr>
      </w:pPr>
      <w:r>
        <w:rPr>
          <w:rFonts w:ascii="Arial" w:hAnsi="Arial" w:cs="Arial"/>
          <w:i/>
          <w:iCs/>
          <w:color w:val="000000"/>
          <w:lang w:eastAsia="es-MX"/>
        </w:rPr>
        <w:t>T2D: Type 2 Diabetes;</w:t>
      </w:r>
      <w:r w:rsidR="00905CE8" w:rsidRPr="00CB51B7">
        <w:rPr>
          <w:rFonts w:ascii="Arial" w:hAnsi="Arial" w:cs="Arial"/>
          <w:i/>
          <w:iCs/>
          <w:color w:val="000000"/>
          <w:lang w:eastAsia="es-MX"/>
        </w:rPr>
        <w:t xml:space="preserve"> </w:t>
      </w:r>
      <w:r>
        <w:rPr>
          <w:rFonts w:ascii="Arial" w:hAnsi="Arial" w:cs="Arial"/>
          <w:i/>
          <w:iCs/>
          <w:color w:val="000000"/>
          <w:lang w:eastAsia="es-MX"/>
        </w:rPr>
        <w:t>COPD</w:t>
      </w:r>
      <w:r w:rsidR="00905CE8" w:rsidRPr="00CB51B7">
        <w:rPr>
          <w:rFonts w:ascii="Arial" w:hAnsi="Arial" w:cs="Arial"/>
          <w:i/>
          <w:iCs/>
          <w:color w:val="000000"/>
          <w:lang w:eastAsia="es-MX"/>
        </w:rPr>
        <w:t>:</w:t>
      </w:r>
      <w:r>
        <w:rPr>
          <w:rFonts w:ascii="Arial" w:hAnsi="Arial" w:cs="Arial"/>
          <w:i/>
          <w:iCs/>
          <w:color w:val="000000"/>
          <w:lang w:eastAsia="es-MX"/>
        </w:rPr>
        <w:t xml:space="preserve"> Chronic Obstructive Pulmonary Disease;</w:t>
      </w:r>
      <w:r w:rsidR="00905CE8" w:rsidRPr="00CB51B7">
        <w:rPr>
          <w:rFonts w:ascii="Arial" w:hAnsi="Arial" w:cs="Arial"/>
          <w:i/>
          <w:iCs/>
          <w:color w:val="000000"/>
          <w:lang w:eastAsia="es-MX"/>
        </w:rPr>
        <w:t xml:space="preserve"> </w:t>
      </w:r>
      <w:proofErr w:type="spellStart"/>
      <w:proofErr w:type="gramStart"/>
      <w:r>
        <w:rPr>
          <w:rFonts w:ascii="Arial" w:hAnsi="Arial" w:cs="Arial"/>
          <w:i/>
          <w:iCs/>
          <w:color w:val="000000"/>
          <w:lang w:eastAsia="es-MX"/>
        </w:rPr>
        <w:t>BPH</w:t>
      </w:r>
      <w:r w:rsidR="00905CE8" w:rsidRPr="00CB51B7">
        <w:rPr>
          <w:rFonts w:ascii="Arial" w:hAnsi="Arial" w:cs="Arial"/>
          <w:i/>
          <w:iCs/>
          <w:color w:val="000000"/>
          <w:lang w:eastAsia="es-MX"/>
        </w:rPr>
        <w:t>:</w:t>
      </w:r>
      <w:r>
        <w:rPr>
          <w:rFonts w:ascii="Arial" w:hAnsi="Arial" w:cs="Arial"/>
          <w:i/>
          <w:iCs/>
          <w:color w:val="000000"/>
          <w:lang w:eastAsia="es-MX"/>
        </w:rPr>
        <w:t>Benign</w:t>
      </w:r>
      <w:proofErr w:type="spellEnd"/>
      <w:proofErr w:type="gramEnd"/>
      <w:r>
        <w:rPr>
          <w:rFonts w:ascii="Arial" w:hAnsi="Arial" w:cs="Arial"/>
          <w:i/>
          <w:iCs/>
          <w:color w:val="000000"/>
          <w:lang w:eastAsia="es-MX"/>
        </w:rPr>
        <w:t xml:space="preserve"> Prostatic Hyperplasia;</w:t>
      </w:r>
      <w:r w:rsidR="00905CE8" w:rsidRPr="00CB51B7">
        <w:rPr>
          <w:rFonts w:ascii="Arial" w:hAnsi="Arial" w:cs="Arial"/>
          <w:i/>
          <w:iCs/>
          <w:color w:val="000000"/>
          <w:lang w:eastAsia="es-MX"/>
        </w:rPr>
        <w:t xml:space="preserve"> </w:t>
      </w:r>
      <w:r w:rsidR="00FB6869">
        <w:rPr>
          <w:rFonts w:ascii="Arial" w:hAnsi="Arial" w:cs="Arial"/>
          <w:i/>
          <w:iCs/>
          <w:color w:val="000000"/>
          <w:lang w:eastAsia="es-MX"/>
        </w:rPr>
        <w:t>CKD</w:t>
      </w:r>
      <w:r w:rsidR="00905CE8" w:rsidRPr="00CB51B7">
        <w:rPr>
          <w:rFonts w:ascii="Arial" w:hAnsi="Arial" w:cs="Arial"/>
          <w:i/>
          <w:iCs/>
          <w:color w:val="000000"/>
          <w:lang w:eastAsia="es-MX"/>
        </w:rPr>
        <w:t xml:space="preserve">: </w:t>
      </w:r>
      <w:r w:rsidR="00FB6869">
        <w:rPr>
          <w:rFonts w:ascii="Arial" w:hAnsi="Arial" w:cs="Arial"/>
          <w:i/>
          <w:iCs/>
          <w:color w:val="000000"/>
          <w:lang w:eastAsia="es-MX"/>
        </w:rPr>
        <w:t>Chronic Kidney Disease</w:t>
      </w:r>
    </w:p>
    <w:p w14:paraId="3EE0DCFB" w14:textId="4A3884EE" w:rsidR="008E6D74"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585841A8" w14:textId="77777777" w:rsidR="00D313DB" w:rsidRDefault="00D313DB" w:rsidP="00441B6F">
      <w:pPr>
        <w:pStyle w:val="Body"/>
        <w:spacing w:after="0"/>
        <w:rPr>
          <w:rFonts w:ascii="Arial" w:hAnsi="Arial" w:cs="Arial"/>
        </w:rPr>
      </w:pPr>
    </w:p>
    <w:p w14:paraId="74007EBA" w14:textId="745C8284" w:rsidR="00D313DB" w:rsidRPr="00D313DB" w:rsidRDefault="00D313DB" w:rsidP="00D313DB">
      <w:pPr>
        <w:pStyle w:val="Body"/>
        <w:spacing w:after="0"/>
        <w:jc w:val="center"/>
        <w:rPr>
          <w:rFonts w:ascii="Arial" w:hAnsi="Arial" w:cs="Arial"/>
          <w:b/>
          <w:bCs/>
        </w:rPr>
      </w:pPr>
      <w:r>
        <w:rPr>
          <w:rFonts w:ascii="Arial" w:hAnsi="Arial" w:cs="Arial"/>
          <w:b/>
          <w:bCs/>
        </w:rPr>
        <w:t>Tabl</w:t>
      </w:r>
      <w:r w:rsidR="00FB6869">
        <w:rPr>
          <w:rFonts w:ascii="Arial" w:hAnsi="Arial" w:cs="Arial"/>
          <w:b/>
          <w:bCs/>
        </w:rPr>
        <w:t>e</w:t>
      </w:r>
      <w:r>
        <w:rPr>
          <w:rFonts w:ascii="Arial" w:hAnsi="Arial" w:cs="Arial"/>
          <w:b/>
          <w:bCs/>
        </w:rPr>
        <w:t xml:space="preserve"> 2. </w:t>
      </w:r>
      <w:r w:rsidR="00FB6869">
        <w:rPr>
          <w:rFonts w:ascii="Arial" w:hAnsi="Arial" w:cs="Arial"/>
          <w:b/>
          <w:bCs/>
        </w:rPr>
        <w:t>Distribution of Quantitative Variables of the Participants (n=124)</w:t>
      </w:r>
    </w:p>
    <w:tbl>
      <w:tblPr>
        <w:tblW w:w="8229" w:type="dxa"/>
        <w:jc w:val="center"/>
        <w:tblCellMar>
          <w:top w:w="15" w:type="dxa"/>
          <w:left w:w="70" w:type="dxa"/>
          <w:right w:w="70" w:type="dxa"/>
        </w:tblCellMar>
        <w:tblLook w:val="04A0" w:firstRow="1" w:lastRow="0" w:firstColumn="1" w:lastColumn="0" w:noHBand="0" w:noVBand="1"/>
      </w:tblPr>
      <w:tblGrid>
        <w:gridCol w:w="3061"/>
        <w:gridCol w:w="2053"/>
        <w:gridCol w:w="3115"/>
      </w:tblGrid>
      <w:tr w:rsidR="00D313DB" w:rsidRPr="00906869" w14:paraId="306A1077" w14:textId="77777777" w:rsidTr="00D313DB">
        <w:trPr>
          <w:trHeight w:val="57"/>
          <w:jc w:val="center"/>
        </w:trPr>
        <w:tc>
          <w:tcPr>
            <w:tcW w:w="3061" w:type="dxa"/>
            <w:tcBorders>
              <w:top w:val="single" w:sz="4" w:space="0" w:color="auto"/>
              <w:left w:val="nil"/>
              <w:bottom w:val="single" w:sz="8" w:space="0" w:color="auto"/>
              <w:right w:val="nil"/>
            </w:tcBorders>
            <w:noWrap/>
            <w:vAlign w:val="center"/>
            <w:hideMark/>
          </w:tcPr>
          <w:p w14:paraId="5EAFAB10" w14:textId="77777777" w:rsidR="00D313DB" w:rsidRPr="00906869" w:rsidRDefault="00D313DB" w:rsidP="004F0515">
            <w:pPr>
              <w:rPr>
                <w:rFonts w:ascii="Arial" w:hAnsi="Arial" w:cs="Arial"/>
                <w:b/>
                <w:bCs/>
                <w:color w:val="000000"/>
                <w:lang w:eastAsia="es-MX"/>
              </w:rPr>
            </w:pPr>
            <w:r w:rsidRPr="00906869">
              <w:rPr>
                <w:rFonts w:ascii="Arial" w:hAnsi="Arial" w:cs="Arial"/>
                <w:b/>
                <w:bCs/>
                <w:color w:val="000000"/>
                <w:lang w:eastAsia="es-MX"/>
              </w:rPr>
              <w:t>Variable</w:t>
            </w:r>
          </w:p>
        </w:tc>
        <w:tc>
          <w:tcPr>
            <w:tcW w:w="2053" w:type="dxa"/>
            <w:tcBorders>
              <w:top w:val="single" w:sz="4" w:space="0" w:color="auto"/>
              <w:left w:val="nil"/>
              <w:bottom w:val="single" w:sz="8" w:space="0" w:color="auto"/>
              <w:right w:val="nil"/>
            </w:tcBorders>
            <w:noWrap/>
            <w:vAlign w:val="center"/>
            <w:hideMark/>
          </w:tcPr>
          <w:p w14:paraId="14427BCD" w14:textId="5528BCEF"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Range</w:t>
            </w:r>
          </w:p>
        </w:tc>
        <w:tc>
          <w:tcPr>
            <w:tcW w:w="3115" w:type="dxa"/>
            <w:tcBorders>
              <w:top w:val="single" w:sz="4" w:space="0" w:color="auto"/>
              <w:left w:val="nil"/>
              <w:bottom w:val="single" w:sz="8" w:space="0" w:color="auto"/>
              <w:right w:val="nil"/>
            </w:tcBorders>
            <w:noWrap/>
            <w:vAlign w:val="center"/>
            <w:hideMark/>
          </w:tcPr>
          <w:p w14:paraId="55942C08" w14:textId="08C3A2E3" w:rsidR="00D313DB" w:rsidRPr="00906869" w:rsidRDefault="00FB6869" w:rsidP="004F0515">
            <w:pPr>
              <w:jc w:val="center"/>
              <w:rPr>
                <w:rFonts w:ascii="Arial" w:hAnsi="Arial" w:cs="Arial"/>
                <w:b/>
                <w:bCs/>
                <w:i/>
                <w:iCs/>
                <w:color w:val="000000"/>
                <w:lang w:eastAsia="es-MX"/>
              </w:rPr>
            </w:pPr>
            <w:r>
              <w:rPr>
                <w:rFonts w:ascii="Arial" w:hAnsi="Arial" w:cs="Arial"/>
                <w:b/>
                <w:bCs/>
                <w:i/>
                <w:iCs/>
                <w:color w:val="000000"/>
                <w:lang w:eastAsia="es-MX"/>
              </w:rPr>
              <w:t>Mean</w:t>
            </w:r>
            <w:r w:rsidR="00D313DB" w:rsidRPr="00906869">
              <w:rPr>
                <w:rFonts w:ascii="Arial" w:hAnsi="Arial" w:cs="Arial"/>
                <w:b/>
                <w:bCs/>
                <w:i/>
                <w:iCs/>
                <w:color w:val="000000"/>
                <w:lang w:eastAsia="es-MX"/>
              </w:rPr>
              <w:t xml:space="preserve"> ± </w:t>
            </w:r>
            <w:r w:rsidR="004905BF">
              <w:rPr>
                <w:rFonts w:ascii="Arial" w:hAnsi="Arial" w:cs="Arial"/>
                <w:b/>
                <w:bCs/>
                <w:i/>
                <w:iCs/>
                <w:color w:val="000000"/>
                <w:lang w:eastAsia="es-MX"/>
              </w:rPr>
              <w:t>Standard</w:t>
            </w:r>
            <w:r>
              <w:rPr>
                <w:rFonts w:ascii="Arial" w:hAnsi="Arial" w:cs="Arial"/>
                <w:b/>
                <w:bCs/>
                <w:i/>
                <w:iCs/>
                <w:color w:val="000000"/>
                <w:lang w:eastAsia="es-MX"/>
              </w:rPr>
              <w:t xml:space="preserve"> Deviation</w:t>
            </w:r>
          </w:p>
        </w:tc>
      </w:tr>
      <w:tr w:rsidR="00D313DB" w:rsidRPr="00906869" w14:paraId="5A80F2A3" w14:textId="77777777" w:rsidTr="00D313DB">
        <w:trPr>
          <w:trHeight w:val="57"/>
          <w:jc w:val="center"/>
        </w:trPr>
        <w:tc>
          <w:tcPr>
            <w:tcW w:w="3061" w:type="dxa"/>
            <w:tcBorders>
              <w:top w:val="nil"/>
              <w:left w:val="nil"/>
              <w:bottom w:val="nil"/>
              <w:right w:val="nil"/>
            </w:tcBorders>
            <w:noWrap/>
            <w:vAlign w:val="center"/>
            <w:hideMark/>
          </w:tcPr>
          <w:p w14:paraId="70066BBC" w14:textId="1D50784D"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Age</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41600894"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60 a 84</w:t>
            </w:r>
          </w:p>
        </w:tc>
        <w:tc>
          <w:tcPr>
            <w:tcW w:w="3115" w:type="dxa"/>
            <w:tcBorders>
              <w:top w:val="nil"/>
              <w:left w:val="nil"/>
              <w:bottom w:val="nil"/>
              <w:right w:val="nil"/>
            </w:tcBorders>
            <w:noWrap/>
            <w:vAlign w:val="center"/>
            <w:hideMark/>
          </w:tcPr>
          <w:p w14:paraId="1C35E43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68.62 ±5.91</w:t>
            </w:r>
          </w:p>
        </w:tc>
      </w:tr>
      <w:tr w:rsidR="00D313DB" w:rsidRPr="00906869" w14:paraId="50E2E1B9" w14:textId="77777777" w:rsidTr="00D313DB">
        <w:trPr>
          <w:trHeight w:val="57"/>
          <w:jc w:val="center"/>
        </w:trPr>
        <w:tc>
          <w:tcPr>
            <w:tcW w:w="3061" w:type="dxa"/>
            <w:tcBorders>
              <w:top w:val="nil"/>
              <w:left w:val="nil"/>
              <w:bottom w:val="nil"/>
              <w:right w:val="nil"/>
            </w:tcBorders>
            <w:noWrap/>
            <w:vAlign w:val="center"/>
            <w:hideMark/>
          </w:tcPr>
          <w:p w14:paraId="1FE93D32" w14:textId="6DF5B9AA"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Duration of hypertension</w:t>
            </w:r>
            <w:r w:rsidRPr="00906869">
              <w:rPr>
                <w:rFonts w:ascii="Arial" w:hAnsi="Arial" w:cs="Arial"/>
                <w:color w:val="000000"/>
                <w:lang w:eastAsia="es-MX"/>
              </w:rPr>
              <w:t xml:space="preserve"> (</w:t>
            </w:r>
            <w:r w:rsidR="00FB6869">
              <w:rPr>
                <w:rFonts w:ascii="Arial" w:hAnsi="Arial" w:cs="Arial"/>
                <w:color w:val="000000"/>
                <w:lang w:eastAsia="es-MX"/>
              </w:rPr>
              <w:t>years</w:t>
            </w:r>
            <w:r w:rsidRPr="00906869">
              <w:rPr>
                <w:rFonts w:ascii="Arial" w:hAnsi="Arial" w:cs="Arial"/>
                <w:color w:val="000000"/>
                <w:lang w:eastAsia="es-MX"/>
              </w:rPr>
              <w:t>)</w:t>
            </w:r>
          </w:p>
        </w:tc>
        <w:tc>
          <w:tcPr>
            <w:tcW w:w="2053" w:type="dxa"/>
            <w:tcBorders>
              <w:top w:val="nil"/>
              <w:left w:val="nil"/>
              <w:bottom w:val="nil"/>
              <w:right w:val="nil"/>
            </w:tcBorders>
            <w:noWrap/>
            <w:vAlign w:val="center"/>
            <w:hideMark/>
          </w:tcPr>
          <w:p w14:paraId="51DD62CE"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0 a 50</w:t>
            </w:r>
          </w:p>
        </w:tc>
        <w:tc>
          <w:tcPr>
            <w:tcW w:w="3115" w:type="dxa"/>
            <w:tcBorders>
              <w:top w:val="nil"/>
              <w:left w:val="nil"/>
              <w:bottom w:val="nil"/>
              <w:right w:val="nil"/>
            </w:tcBorders>
            <w:noWrap/>
            <w:vAlign w:val="center"/>
            <w:hideMark/>
          </w:tcPr>
          <w:p w14:paraId="35246928"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8.46 ± 11.87</w:t>
            </w:r>
          </w:p>
        </w:tc>
      </w:tr>
      <w:tr w:rsidR="00D313DB" w:rsidRPr="00906869" w14:paraId="331FF319" w14:textId="77777777" w:rsidTr="00D313DB">
        <w:trPr>
          <w:trHeight w:val="57"/>
          <w:jc w:val="center"/>
        </w:trPr>
        <w:tc>
          <w:tcPr>
            <w:tcW w:w="3061" w:type="dxa"/>
            <w:tcBorders>
              <w:top w:val="nil"/>
              <w:left w:val="nil"/>
              <w:bottom w:val="nil"/>
              <w:right w:val="nil"/>
            </w:tcBorders>
            <w:noWrap/>
            <w:vAlign w:val="center"/>
            <w:hideMark/>
          </w:tcPr>
          <w:p w14:paraId="2AFA46E8" w14:textId="28761412"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Weight</w:t>
            </w:r>
            <w:r w:rsidRPr="00906869">
              <w:rPr>
                <w:rFonts w:ascii="Arial" w:hAnsi="Arial" w:cs="Arial"/>
                <w:color w:val="000000"/>
                <w:lang w:eastAsia="es-MX"/>
              </w:rPr>
              <w:t xml:space="preserve"> (kg)</w:t>
            </w:r>
          </w:p>
        </w:tc>
        <w:tc>
          <w:tcPr>
            <w:tcW w:w="2053" w:type="dxa"/>
            <w:tcBorders>
              <w:top w:val="nil"/>
              <w:left w:val="nil"/>
              <w:bottom w:val="nil"/>
              <w:right w:val="nil"/>
            </w:tcBorders>
            <w:noWrap/>
            <w:vAlign w:val="center"/>
            <w:hideMark/>
          </w:tcPr>
          <w:p w14:paraId="5E7EFDC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38.6 a 137</w:t>
            </w:r>
          </w:p>
        </w:tc>
        <w:tc>
          <w:tcPr>
            <w:tcW w:w="3115" w:type="dxa"/>
            <w:tcBorders>
              <w:top w:val="nil"/>
              <w:left w:val="nil"/>
              <w:bottom w:val="nil"/>
              <w:right w:val="nil"/>
            </w:tcBorders>
            <w:noWrap/>
            <w:vAlign w:val="center"/>
            <w:hideMark/>
          </w:tcPr>
          <w:p w14:paraId="48DBCBA2"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68.32 ± 14.53</w:t>
            </w:r>
          </w:p>
        </w:tc>
      </w:tr>
      <w:tr w:rsidR="00D313DB" w:rsidRPr="00906869" w14:paraId="4BB409D9" w14:textId="77777777" w:rsidTr="00D313DB">
        <w:trPr>
          <w:trHeight w:val="57"/>
          <w:jc w:val="center"/>
        </w:trPr>
        <w:tc>
          <w:tcPr>
            <w:tcW w:w="3061" w:type="dxa"/>
            <w:tcBorders>
              <w:top w:val="nil"/>
              <w:left w:val="nil"/>
              <w:bottom w:val="nil"/>
              <w:right w:val="nil"/>
            </w:tcBorders>
            <w:noWrap/>
            <w:vAlign w:val="center"/>
            <w:hideMark/>
          </w:tcPr>
          <w:p w14:paraId="6BBDD97A" w14:textId="28DDBE46"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Height</w:t>
            </w:r>
            <w:r w:rsidRPr="00906869">
              <w:rPr>
                <w:rFonts w:ascii="Arial" w:hAnsi="Arial" w:cs="Arial"/>
                <w:color w:val="000000"/>
                <w:lang w:eastAsia="es-MX"/>
              </w:rPr>
              <w:t xml:space="preserve"> (m)</w:t>
            </w:r>
          </w:p>
        </w:tc>
        <w:tc>
          <w:tcPr>
            <w:tcW w:w="2053" w:type="dxa"/>
            <w:tcBorders>
              <w:top w:val="nil"/>
              <w:left w:val="nil"/>
              <w:bottom w:val="nil"/>
              <w:right w:val="nil"/>
            </w:tcBorders>
            <w:noWrap/>
            <w:vAlign w:val="center"/>
            <w:hideMark/>
          </w:tcPr>
          <w:p w14:paraId="6D4CFD87"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1.34 a 1.72</w:t>
            </w:r>
          </w:p>
        </w:tc>
        <w:tc>
          <w:tcPr>
            <w:tcW w:w="3115" w:type="dxa"/>
            <w:tcBorders>
              <w:top w:val="nil"/>
              <w:left w:val="nil"/>
              <w:bottom w:val="nil"/>
              <w:right w:val="nil"/>
            </w:tcBorders>
            <w:noWrap/>
            <w:vAlign w:val="center"/>
            <w:hideMark/>
          </w:tcPr>
          <w:p w14:paraId="3DA70693"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1.54 ± 0.08</w:t>
            </w:r>
          </w:p>
        </w:tc>
      </w:tr>
      <w:tr w:rsidR="00D313DB" w:rsidRPr="00906869" w14:paraId="59FA1FBF" w14:textId="77777777" w:rsidTr="00D313DB">
        <w:trPr>
          <w:trHeight w:val="57"/>
          <w:jc w:val="center"/>
        </w:trPr>
        <w:tc>
          <w:tcPr>
            <w:tcW w:w="3061" w:type="dxa"/>
            <w:tcBorders>
              <w:top w:val="nil"/>
              <w:left w:val="nil"/>
              <w:bottom w:val="nil"/>
              <w:right w:val="nil"/>
            </w:tcBorders>
            <w:noWrap/>
            <w:vAlign w:val="center"/>
            <w:hideMark/>
          </w:tcPr>
          <w:p w14:paraId="54EA9881" w14:textId="2F9837C2"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 xml:space="preserve">BMI </w:t>
            </w:r>
            <w:r w:rsidRPr="00906869">
              <w:rPr>
                <w:rFonts w:ascii="Arial" w:hAnsi="Arial" w:cs="Arial"/>
                <w:color w:val="000000"/>
                <w:lang w:eastAsia="es-MX"/>
              </w:rPr>
              <w:t>(kg/m²)</w:t>
            </w:r>
          </w:p>
        </w:tc>
        <w:tc>
          <w:tcPr>
            <w:tcW w:w="2053" w:type="dxa"/>
            <w:tcBorders>
              <w:top w:val="nil"/>
              <w:left w:val="nil"/>
              <w:bottom w:val="nil"/>
              <w:right w:val="nil"/>
            </w:tcBorders>
            <w:noWrap/>
            <w:vAlign w:val="center"/>
            <w:hideMark/>
          </w:tcPr>
          <w:p w14:paraId="46E9826D" w14:textId="5E418ED1"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17.2</w:t>
            </w:r>
            <w:r w:rsidR="00D95B35">
              <w:rPr>
                <w:rFonts w:ascii="Arial" w:hAnsi="Arial" w:cs="Arial"/>
                <w:color w:val="000000"/>
                <w:lang w:eastAsia="es-MX"/>
              </w:rPr>
              <w:t xml:space="preserve"> a </w:t>
            </w:r>
            <w:r w:rsidR="00D95B35" w:rsidRPr="00906869">
              <w:rPr>
                <w:rFonts w:ascii="Arial" w:hAnsi="Arial" w:cs="Arial"/>
                <w:color w:val="000000"/>
                <w:lang w:eastAsia="es-MX"/>
              </w:rPr>
              <w:t>47.4</w:t>
            </w:r>
          </w:p>
        </w:tc>
        <w:tc>
          <w:tcPr>
            <w:tcW w:w="3115" w:type="dxa"/>
            <w:tcBorders>
              <w:top w:val="nil"/>
              <w:left w:val="nil"/>
              <w:bottom w:val="nil"/>
              <w:right w:val="nil"/>
            </w:tcBorders>
            <w:noWrap/>
            <w:vAlign w:val="center"/>
            <w:hideMark/>
          </w:tcPr>
          <w:p w14:paraId="073D6937"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28.64 ± 5.43</w:t>
            </w:r>
          </w:p>
        </w:tc>
      </w:tr>
      <w:tr w:rsidR="00D313DB" w:rsidRPr="00906869" w14:paraId="6B94E8D7" w14:textId="77777777" w:rsidTr="00D313DB">
        <w:trPr>
          <w:trHeight w:val="57"/>
          <w:jc w:val="center"/>
        </w:trPr>
        <w:tc>
          <w:tcPr>
            <w:tcW w:w="3061" w:type="dxa"/>
            <w:tcBorders>
              <w:top w:val="nil"/>
              <w:left w:val="nil"/>
              <w:bottom w:val="nil"/>
              <w:right w:val="nil"/>
            </w:tcBorders>
            <w:noWrap/>
            <w:vAlign w:val="center"/>
            <w:hideMark/>
          </w:tcPr>
          <w:p w14:paraId="6BA0C823" w14:textId="7F4FB323"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SBP</w:t>
            </w:r>
            <w:r w:rsidRPr="00906869">
              <w:rPr>
                <w:rFonts w:ascii="Arial" w:hAnsi="Arial" w:cs="Arial"/>
                <w:color w:val="000000"/>
                <w:lang w:eastAsia="es-MX"/>
              </w:rPr>
              <w:t xml:space="preserve"> (mmHg)</w:t>
            </w:r>
          </w:p>
        </w:tc>
        <w:tc>
          <w:tcPr>
            <w:tcW w:w="2053" w:type="dxa"/>
            <w:tcBorders>
              <w:top w:val="nil"/>
              <w:left w:val="nil"/>
              <w:bottom w:val="nil"/>
              <w:right w:val="nil"/>
            </w:tcBorders>
            <w:noWrap/>
            <w:vAlign w:val="center"/>
            <w:hideMark/>
          </w:tcPr>
          <w:p w14:paraId="122ADA2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90 a 175</w:t>
            </w:r>
          </w:p>
        </w:tc>
        <w:tc>
          <w:tcPr>
            <w:tcW w:w="3115" w:type="dxa"/>
            <w:tcBorders>
              <w:top w:val="nil"/>
              <w:left w:val="nil"/>
              <w:bottom w:val="nil"/>
              <w:right w:val="nil"/>
            </w:tcBorders>
            <w:noWrap/>
            <w:vAlign w:val="center"/>
            <w:hideMark/>
          </w:tcPr>
          <w:p w14:paraId="1100ED1B"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122.38 ± 18.48</w:t>
            </w:r>
          </w:p>
        </w:tc>
      </w:tr>
      <w:tr w:rsidR="00D313DB" w:rsidRPr="00906869" w14:paraId="049E97BD" w14:textId="77777777" w:rsidTr="00D313DB">
        <w:trPr>
          <w:trHeight w:val="66"/>
          <w:jc w:val="center"/>
        </w:trPr>
        <w:tc>
          <w:tcPr>
            <w:tcW w:w="3061" w:type="dxa"/>
            <w:tcBorders>
              <w:top w:val="nil"/>
              <w:left w:val="nil"/>
              <w:bottom w:val="nil"/>
              <w:right w:val="nil"/>
            </w:tcBorders>
            <w:noWrap/>
            <w:vAlign w:val="center"/>
            <w:hideMark/>
          </w:tcPr>
          <w:p w14:paraId="4AB57D9C" w14:textId="3F905620"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DBP</w:t>
            </w:r>
            <w:r w:rsidRPr="00906869">
              <w:rPr>
                <w:rFonts w:ascii="Arial" w:hAnsi="Arial" w:cs="Arial"/>
                <w:color w:val="000000"/>
                <w:lang w:eastAsia="es-MX"/>
              </w:rPr>
              <w:t xml:space="preserve"> (mmHg)</w:t>
            </w:r>
          </w:p>
        </w:tc>
        <w:tc>
          <w:tcPr>
            <w:tcW w:w="2053" w:type="dxa"/>
            <w:tcBorders>
              <w:top w:val="nil"/>
              <w:left w:val="nil"/>
              <w:bottom w:val="nil"/>
              <w:right w:val="nil"/>
            </w:tcBorders>
            <w:noWrap/>
            <w:vAlign w:val="center"/>
            <w:hideMark/>
          </w:tcPr>
          <w:p w14:paraId="2FA0AD1A"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50 a 105</w:t>
            </w:r>
          </w:p>
        </w:tc>
        <w:tc>
          <w:tcPr>
            <w:tcW w:w="3115" w:type="dxa"/>
            <w:tcBorders>
              <w:top w:val="nil"/>
              <w:left w:val="nil"/>
              <w:bottom w:val="nil"/>
              <w:right w:val="nil"/>
            </w:tcBorders>
            <w:noWrap/>
            <w:vAlign w:val="center"/>
            <w:hideMark/>
          </w:tcPr>
          <w:p w14:paraId="421D99B5"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73.61 ± 10.54</w:t>
            </w:r>
          </w:p>
        </w:tc>
      </w:tr>
      <w:tr w:rsidR="00D313DB" w:rsidRPr="00906869" w14:paraId="38CC83CF" w14:textId="77777777" w:rsidTr="00D313DB">
        <w:trPr>
          <w:trHeight w:val="57"/>
          <w:jc w:val="center"/>
        </w:trPr>
        <w:tc>
          <w:tcPr>
            <w:tcW w:w="3061" w:type="dxa"/>
            <w:tcBorders>
              <w:top w:val="nil"/>
              <w:left w:val="nil"/>
              <w:bottom w:val="single" w:sz="8" w:space="0" w:color="auto"/>
              <w:right w:val="nil"/>
            </w:tcBorders>
            <w:noWrap/>
            <w:vAlign w:val="center"/>
            <w:hideMark/>
          </w:tcPr>
          <w:p w14:paraId="532FDF1D" w14:textId="4FD84DD0" w:rsidR="00D313DB" w:rsidRPr="00906869" w:rsidRDefault="00D313DB" w:rsidP="004F0515">
            <w:pPr>
              <w:rPr>
                <w:rFonts w:ascii="Arial" w:hAnsi="Arial" w:cs="Arial"/>
                <w:color w:val="000000"/>
                <w:lang w:eastAsia="es-MX"/>
              </w:rPr>
            </w:pPr>
            <w:r>
              <w:rPr>
                <w:rFonts w:ascii="Arial" w:hAnsi="Arial" w:cs="Arial"/>
                <w:color w:val="000000"/>
                <w:lang w:eastAsia="es-MX"/>
              </w:rPr>
              <w:t xml:space="preserve"> </w:t>
            </w:r>
            <w:r w:rsidR="00FB6869">
              <w:rPr>
                <w:rFonts w:ascii="Arial" w:hAnsi="Arial" w:cs="Arial"/>
                <w:color w:val="000000"/>
                <w:lang w:eastAsia="es-MX"/>
              </w:rPr>
              <w:t>WC</w:t>
            </w:r>
            <w:r w:rsidRPr="00906869">
              <w:rPr>
                <w:rFonts w:ascii="Arial" w:hAnsi="Arial" w:cs="Arial"/>
                <w:color w:val="000000"/>
                <w:lang w:eastAsia="es-MX"/>
              </w:rPr>
              <w:t xml:space="preserve"> (cm)</w:t>
            </w:r>
          </w:p>
        </w:tc>
        <w:tc>
          <w:tcPr>
            <w:tcW w:w="2053" w:type="dxa"/>
            <w:tcBorders>
              <w:top w:val="nil"/>
              <w:left w:val="nil"/>
              <w:bottom w:val="single" w:sz="8" w:space="0" w:color="auto"/>
              <w:right w:val="nil"/>
            </w:tcBorders>
            <w:noWrap/>
            <w:vAlign w:val="center"/>
            <w:hideMark/>
          </w:tcPr>
          <w:p w14:paraId="6E8F30E0"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64 a 140</w:t>
            </w:r>
          </w:p>
        </w:tc>
        <w:tc>
          <w:tcPr>
            <w:tcW w:w="3115" w:type="dxa"/>
            <w:tcBorders>
              <w:top w:val="nil"/>
              <w:left w:val="nil"/>
              <w:bottom w:val="single" w:sz="8" w:space="0" w:color="auto"/>
              <w:right w:val="nil"/>
            </w:tcBorders>
            <w:noWrap/>
            <w:vAlign w:val="center"/>
            <w:hideMark/>
          </w:tcPr>
          <w:p w14:paraId="0652FD4F" w14:textId="77777777" w:rsidR="00D313DB" w:rsidRPr="00906869" w:rsidRDefault="00D313DB" w:rsidP="004F0515">
            <w:pPr>
              <w:jc w:val="center"/>
              <w:rPr>
                <w:rFonts w:ascii="Arial" w:hAnsi="Arial" w:cs="Arial"/>
                <w:color w:val="000000"/>
                <w:lang w:eastAsia="es-MX"/>
              </w:rPr>
            </w:pPr>
            <w:r w:rsidRPr="00906869">
              <w:rPr>
                <w:rFonts w:ascii="Arial" w:hAnsi="Arial" w:cs="Arial"/>
                <w:color w:val="000000"/>
                <w:lang w:eastAsia="es-MX"/>
              </w:rPr>
              <w:t>99.08 ± 11.9</w:t>
            </w:r>
          </w:p>
        </w:tc>
      </w:tr>
    </w:tbl>
    <w:p w14:paraId="57447C9E" w14:textId="7AECDE39" w:rsidR="00905CE8" w:rsidRDefault="00FB6869" w:rsidP="00905CE8">
      <w:pPr>
        <w:jc w:val="center"/>
        <w:rPr>
          <w:rFonts w:ascii="Arial" w:hAnsi="Arial" w:cs="Arial"/>
          <w:i/>
          <w:iCs/>
          <w:color w:val="000000"/>
          <w:lang w:eastAsia="es-MX"/>
        </w:rPr>
      </w:pPr>
      <w:r>
        <w:rPr>
          <w:rFonts w:ascii="Arial" w:hAnsi="Arial" w:cs="Arial"/>
          <w:i/>
          <w:iCs/>
          <w:color w:val="000000"/>
          <w:lang w:eastAsia="es-MX"/>
        </w:rPr>
        <w:t>BMI: Body Mass Index; SBP: Systolic Blood Pressure; DBP: Diastolic Blood Pressure; WC: Waist Circumference</w:t>
      </w:r>
    </w:p>
    <w:p w14:paraId="3BFCBC20" w14:textId="5D0E335B" w:rsidR="00D313DB" w:rsidRPr="008660F8" w:rsidRDefault="00FB6869" w:rsidP="00905CE8">
      <w:pPr>
        <w:pStyle w:val="Body"/>
        <w:spacing w:after="0"/>
        <w:jc w:val="center"/>
        <w:rPr>
          <w:rFonts w:ascii="Arial" w:hAnsi="Arial" w:cs="Arial"/>
          <w:i/>
          <w:iCs/>
        </w:rPr>
      </w:pPr>
      <w:r w:rsidRPr="008660F8">
        <w:rPr>
          <w:rFonts w:ascii="Arial" w:hAnsi="Arial" w:cs="Arial"/>
          <w:i/>
          <w:iCs/>
          <w:color w:val="000000"/>
          <w:lang w:eastAsia="es-MX"/>
        </w:rPr>
        <w:t>Source: Author’s design</w:t>
      </w:r>
    </w:p>
    <w:p w14:paraId="24630CC1" w14:textId="77777777" w:rsidR="00905CE8" w:rsidRDefault="00905CE8" w:rsidP="00905CE8">
      <w:pPr>
        <w:pStyle w:val="Body"/>
        <w:spacing w:after="0"/>
        <w:jc w:val="center"/>
        <w:rPr>
          <w:rFonts w:ascii="Arial" w:hAnsi="Arial" w:cs="Arial"/>
        </w:rPr>
      </w:pPr>
    </w:p>
    <w:p w14:paraId="260C556C" w14:textId="7AB4A06D" w:rsidR="00D313DB" w:rsidRDefault="00FB6869" w:rsidP="00D313DB">
      <w:pPr>
        <w:pStyle w:val="Body"/>
        <w:spacing w:after="0"/>
        <w:jc w:val="left"/>
      </w:pPr>
      <w:r>
        <w:t xml:space="preserve">Table 3 shows the relationship between </w:t>
      </w:r>
      <w:r w:rsidR="00FB4BD4">
        <w:t xml:space="preserve">hypertension </w:t>
      </w:r>
      <w:r>
        <w:t>and MCI (</w:t>
      </w:r>
      <w:r>
        <w:rPr>
          <w:rStyle w:val="Emphasis"/>
        </w:rPr>
        <w:t>P</w:t>
      </w:r>
      <w:r>
        <w:t xml:space="preserve"> = 0.000</w:t>
      </w:r>
      <w:r w:rsidR="008660F8">
        <w:t>1</w:t>
      </w:r>
      <w:r>
        <w:t>).</w:t>
      </w:r>
    </w:p>
    <w:p w14:paraId="1A5C93B5" w14:textId="77777777" w:rsidR="00FB6869" w:rsidRDefault="00FB6869" w:rsidP="00D313DB">
      <w:pPr>
        <w:pStyle w:val="Body"/>
        <w:spacing w:after="0"/>
        <w:jc w:val="left"/>
        <w:rPr>
          <w:rFonts w:ascii="Arial" w:hAnsi="Arial" w:cs="Arial"/>
        </w:rPr>
      </w:pPr>
    </w:p>
    <w:p w14:paraId="53F777D6" w14:textId="2E1FB9B4" w:rsidR="00D313DB" w:rsidRPr="00D313DB" w:rsidRDefault="00FB6869" w:rsidP="00D313DB">
      <w:pPr>
        <w:pStyle w:val="Body"/>
        <w:spacing w:after="0"/>
        <w:jc w:val="center"/>
        <w:rPr>
          <w:rFonts w:ascii="Arial" w:hAnsi="Arial" w:cs="Arial"/>
          <w:b/>
          <w:bCs/>
        </w:rPr>
      </w:pPr>
      <w:r>
        <w:rPr>
          <w:rFonts w:ascii="Arial" w:hAnsi="Arial" w:cs="Arial"/>
          <w:b/>
          <w:bCs/>
          <w:color w:val="000000"/>
          <w:lang w:eastAsia="es-MX"/>
        </w:rPr>
        <w:t xml:space="preserve">Table </w:t>
      </w:r>
      <w:r w:rsidR="00D313DB">
        <w:rPr>
          <w:rFonts w:ascii="Arial" w:hAnsi="Arial" w:cs="Arial"/>
          <w:b/>
          <w:bCs/>
          <w:color w:val="000000"/>
          <w:lang w:eastAsia="es-MX"/>
        </w:rPr>
        <w:t>3</w:t>
      </w:r>
      <w:r w:rsidR="00D313DB" w:rsidRPr="00794CA6">
        <w:rPr>
          <w:rFonts w:ascii="Arial" w:hAnsi="Arial" w:cs="Arial"/>
          <w:b/>
          <w:bCs/>
          <w:color w:val="000000"/>
          <w:lang w:eastAsia="es-MX"/>
        </w:rPr>
        <w:t xml:space="preserve">. </w:t>
      </w:r>
      <w:r>
        <w:rPr>
          <w:rFonts w:ascii="Arial" w:hAnsi="Arial" w:cs="Arial"/>
          <w:b/>
          <w:bCs/>
          <w:color w:val="000000"/>
          <w:lang w:eastAsia="es-MX"/>
        </w:rPr>
        <w:t>Association between hypertension and MCI</w:t>
      </w:r>
    </w:p>
    <w:tbl>
      <w:tblPr>
        <w:tblW w:w="9071" w:type="dxa"/>
        <w:jc w:val="center"/>
        <w:tblCellMar>
          <w:left w:w="70" w:type="dxa"/>
          <w:right w:w="70" w:type="dxa"/>
        </w:tblCellMar>
        <w:tblLook w:val="04A0" w:firstRow="1" w:lastRow="0" w:firstColumn="1" w:lastColumn="0" w:noHBand="0" w:noVBand="1"/>
      </w:tblPr>
      <w:tblGrid>
        <w:gridCol w:w="1419"/>
        <w:gridCol w:w="482"/>
        <w:gridCol w:w="1012"/>
        <w:gridCol w:w="482"/>
        <w:gridCol w:w="1012"/>
        <w:gridCol w:w="1012"/>
        <w:gridCol w:w="397"/>
        <w:gridCol w:w="1417"/>
        <w:gridCol w:w="801"/>
        <w:gridCol w:w="1592"/>
      </w:tblGrid>
      <w:tr w:rsidR="00D313DB" w:rsidRPr="00794CA6" w14:paraId="2408E38A" w14:textId="77777777" w:rsidTr="00D313DB">
        <w:trPr>
          <w:trHeight w:val="340"/>
          <w:jc w:val="center"/>
        </w:trPr>
        <w:tc>
          <w:tcPr>
            <w:tcW w:w="864" w:type="dxa"/>
            <w:tcBorders>
              <w:top w:val="single" w:sz="4" w:space="0" w:color="auto"/>
              <w:left w:val="nil"/>
              <w:bottom w:val="nil"/>
              <w:right w:val="nil"/>
            </w:tcBorders>
            <w:noWrap/>
            <w:vAlign w:val="center"/>
            <w:hideMark/>
          </w:tcPr>
          <w:p w14:paraId="4B92E986" w14:textId="77777777" w:rsidR="00D313DB" w:rsidRPr="00794CA6" w:rsidRDefault="00D313DB" w:rsidP="004F0515">
            <w:pPr>
              <w:jc w:val="center"/>
              <w:rPr>
                <w:rFonts w:ascii="Arial" w:hAnsi="Arial" w:cs="Arial"/>
                <w:b/>
                <w:bCs/>
                <w:color w:val="000000"/>
                <w:lang w:eastAsia="es-MX"/>
              </w:rPr>
            </w:pPr>
          </w:p>
        </w:tc>
        <w:tc>
          <w:tcPr>
            <w:tcW w:w="1494" w:type="dxa"/>
            <w:gridSpan w:val="2"/>
            <w:tcBorders>
              <w:top w:val="single" w:sz="4" w:space="0" w:color="auto"/>
              <w:left w:val="nil"/>
              <w:bottom w:val="single" w:sz="8" w:space="0" w:color="auto"/>
              <w:right w:val="nil"/>
            </w:tcBorders>
            <w:vAlign w:val="center"/>
            <w:hideMark/>
          </w:tcPr>
          <w:p w14:paraId="5E159F5B" w14:textId="45FD4BE3"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MCI</w:t>
            </w:r>
            <w:r w:rsidR="00D313DB" w:rsidRPr="00794CA6">
              <w:rPr>
                <w:rFonts w:ascii="Arial" w:hAnsi="Arial" w:cs="Arial"/>
                <w:b/>
                <w:bCs/>
                <w:color w:val="000000"/>
                <w:lang w:eastAsia="es-MX"/>
              </w:rPr>
              <w:t xml:space="preserve"> (MoCA ≥ 26)</w:t>
            </w:r>
          </w:p>
        </w:tc>
        <w:tc>
          <w:tcPr>
            <w:tcW w:w="1494" w:type="dxa"/>
            <w:gridSpan w:val="2"/>
            <w:tcBorders>
              <w:top w:val="single" w:sz="4" w:space="0" w:color="auto"/>
              <w:left w:val="nil"/>
              <w:bottom w:val="single" w:sz="8" w:space="0" w:color="auto"/>
              <w:right w:val="nil"/>
            </w:tcBorders>
            <w:vAlign w:val="center"/>
            <w:hideMark/>
          </w:tcPr>
          <w:p w14:paraId="7E8F528D" w14:textId="5201FFAF"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 xml:space="preserve">No </w:t>
            </w:r>
            <w:r w:rsidR="00FB6869">
              <w:rPr>
                <w:rFonts w:ascii="Arial" w:hAnsi="Arial" w:cs="Arial"/>
                <w:b/>
                <w:bCs/>
                <w:color w:val="000000"/>
                <w:lang w:eastAsia="es-MX"/>
              </w:rPr>
              <w:t>MCI</w:t>
            </w:r>
            <w:r w:rsidRPr="00794CA6">
              <w:rPr>
                <w:rFonts w:ascii="Arial" w:hAnsi="Arial" w:cs="Arial"/>
                <w:b/>
                <w:bCs/>
                <w:color w:val="000000"/>
                <w:lang w:eastAsia="es-MX"/>
              </w:rPr>
              <w:t xml:space="preserve"> (MoCA ≤ 25)</w:t>
            </w:r>
          </w:p>
        </w:tc>
        <w:tc>
          <w:tcPr>
            <w:tcW w:w="1012" w:type="dxa"/>
            <w:tcBorders>
              <w:top w:val="single" w:sz="4" w:space="0" w:color="auto"/>
              <w:left w:val="nil"/>
              <w:bottom w:val="nil"/>
              <w:right w:val="nil"/>
            </w:tcBorders>
            <w:noWrap/>
            <w:vAlign w:val="center"/>
            <w:hideMark/>
          </w:tcPr>
          <w:p w14:paraId="5B5EEC06" w14:textId="77777777" w:rsidR="00D313DB" w:rsidRPr="00794CA6" w:rsidRDefault="00D313DB" w:rsidP="004F0515">
            <w:pPr>
              <w:jc w:val="center"/>
              <w:rPr>
                <w:rFonts w:ascii="Arial" w:hAnsi="Arial" w:cs="Arial"/>
                <w:b/>
                <w:bCs/>
                <w:color w:val="000000"/>
                <w:lang w:eastAsia="es-MX"/>
              </w:rPr>
            </w:pPr>
            <w:r w:rsidRPr="00794CA6">
              <w:rPr>
                <w:rFonts w:ascii="Arial" w:hAnsi="Arial" w:cs="Arial"/>
                <w:b/>
                <w:bCs/>
                <w:color w:val="000000"/>
                <w:lang w:eastAsia="es-MX"/>
              </w:rPr>
              <w:t>χ2</w:t>
            </w:r>
          </w:p>
        </w:tc>
        <w:tc>
          <w:tcPr>
            <w:tcW w:w="397" w:type="dxa"/>
            <w:tcBorders>
              <w:top w:val="single" w:sz="4" w:space="0" w:color="auto"/>
              <w:left w:val="nil"/>
              <w:bottom w:val="nil"/>
              <w:right w:val="nil"/>
            </w:tcBorders>
            <w:noWrap/>
            <w:vAlign w:val="center"/>
            <w:hideMark/>
          </w:tcPr>
          <w:p w14:paraId="6391854F" w14:textId="378F50BF"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df</w:t>
            </w:r>
          </w:p>
        </w:tc>
        <w:tc>
          <w:tcPr>
            <w:tcW w:w="1417" w:type="dxa"/>
            <w:tcBorders>
              <w:top w:val="single" w:sz="4" w:space="0" w:color="auto"/>
              <w:left w:val="nil"/>
              <w:bottom w:val="nil"/>
              <w:right w:val="nil"/>
            </w:tcBorders>
            <w:vAlign w:val="center"/>
            <w:hideMark/>
          </w:tcPr>
          <w:p w14:paraId="60B40D73" w14:textId="643A779E" w:rsidR="00D313DB" w:rsidRPr="00FB6869" w:rsidRDefault="00D313DB" w:rsidP="004F0515">
            <w:pPr>
              <w:jc w:val="center"/>
              <w:rPr>
                <w:rFonts w:ascii="Arial" w:hAnsi="Arial" w:cs="Arial"/>
                <w:b/>
                <w:bCs/>
                <w:color w:val="000000"/>
                <w:lang w:eastAsia="es-MX"/>
              </w:rPr>
            </w:pPr>
            <w:r w:rsidRPr="00FB6869">
              <w:rPr>
                <w:rFonts w:ascii="Arial" w:hAnsi="Arial" w:cs="Arial"/>
                <w:b/>
                <w:bCs/>
                <w:i/>
                <w:iCs/>
                <w:color w:val="000000"/>
                <w:lang w:eastAsia="es-MX"/>
              </w:rPr>
              <w:t>P</w:t>
            </w:r>
            <w:r w:rsidR="00FB6869">
              <w:rPr>
                <w:rFonts w:ascii="Arial" w:hAnsi="Arial" w:cs="Arial"/>
                <w:b/>
                <w:bCs/>
                <w:color w:val="000000"/>
                <w:lang w:eastAsia="es-MX"/>
              </w:rPr>
              <w:t xml:space="preserve"> Value</w:t>
            </w:r>
          </w:p>
        </w:tc>
        <w:tc>
          <w:tcPr>
            <w:tcW w:w="801" w:type="dxa"/>
            <w:tcBorders>
              <w:top w:val="single" w:sz="4" w:space="0" w:color="auto"/>
              <w:left w:val="nil"/>
              <w:bottom w:val="nil"/>
              <w:right w:val="nil"/>
            </w:tcBorders>
            <w:noWrap/>
            <w:vAlign w:val="center"/>
            <w:hideMark/>
          </w:tcPr>
          <w:p w14:paraId="7674E83D" w14:textId="7DFD2E12"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OR</w:t>
            </w:r>
          </w:p>
        </w:tc>
        <w:tc>
          <w:tcPr>
            <w:tcW w:w="1592" w:type="dxa"/>
            <w:tcBorders>
              <w:top w:val="single" w:sz="4" w:space="0" w:color="auto"/>
              <w:left w:val="nil"/>
              <w:bottom w:val="nil"/>
              <w:right w:val="nil"/>
            </w:tcBorders>
            <w:noWrap/>
            <w:vAlign w:val="center"/>
            <w:hideMark/>
          </w:tcPr>
          <w:p w14:paraId="7DFE68D6" w14:textId="1E4BEC4B" w:rsidR="00D313DB" w:rsidRPr="00794CA6" w:rsidRDefault="00FB6869" w:rsidP="004F0515">
            <w:pPr>
              <w:jc w:val="center"/>
              <w:rPr>
                <w:rFonts w:ascii="Arial" w:hAnsi="Arial" w:cs="Arial"/>
                <w:b/>
                <w:bCs/>
                <w:color w:val="000000"/>
                <w:lang w:eastAsia="es-MX"/>
              </w:rPr>
            </w:pPr>
            <w:r>
              <w:rPr>
                <w:rFonts w:ascii="Arial" w:hAnsi="Arial" w:cs="Arial"/>
                <w:b/>
                <w:bCs/>
                <w:color w:val="000000"/>
                <w:lang w:eastAsia="es-MX"/>
              </w:rPr>
              <w:t>CI</w:t>
            </w:r>
            <w:r w:rsidR="00D313DB" w:rsidRPr="00794CA6">
              <w:rPr>
                <w:rFonts w:ascii="Arial" w:hAnsi="Arial" w:cs="Arial"/>
                <w:b/>
                <w:bCs/>
                <w:color w:val="000000"/>
                <w:lang w:eastAsia="es-MX"/>
              </w:rPr>
              <w:t xml:space="preserve"> (95%)</w:t>
            </w:r>
          </w:p>
        </w:tc>
      </w:tr>
      <w:tr w:rsidR="00D313DB" w:rsidRPr="00794CA6" w14:paraId="5B902AF1" w14:textId="77777777" w:rsidTr="004F0515">
        <w:trPr>
          <w:trHeight w:val="320"/>
          <w:jc w:val="center"/>
        </w:trPr>
        <w:tc>
          <w:tcPr>
            <w:tcW w:w="864" w:type="dxa"/>
            <w:tcBorders>
              <w:top w:val="nil"/>
              <w:left w:val="nil"/>
              <w:bottom w:val="nil"/>
              <w:right w:val="nil"/>
            </w:tcBorders>
            <w:noWrap/>
            <w:vAlign w:val="bottom"/>
            <w:hideMark/>
          </w:tcPr>
          <w:p w14:paraId="040DDA1C" w14:textId="77777777" w:rsidR="00D313DB" w:rsidRPr="00794CA6" w:rsidRDefault="00D313DB" w:rsidP="004F0515">
            <w:pPr>
              <w:jc w:val="center"/>
              <w:rPr>
                <w:rFonts w:ascii="Arial" w:hAnsi="Arial" w:cs="Arial"/>
                <w:b/>
                <w:bCs/>
                <w:color w:val="000000"/>
                <w:lang w:eastAsia="es-MX"/>
              </w:rPr>
            </w:pPr>
          </w:p>
        </w:tc>
        <w:tc>
          <w:tcPr>
            <w:tcW w:w="482" w:type="dxa"/>
            <w:tcBorders>
              <w:top w:val="nil"/>
              <w:left w:val="nil"/>
              <w:bottom w:val="nil"/>
              <w:right w:val="nil"/>
            </w:tcBorders>
            <w:noWrap/>
            <w:vAlign w:val="center"/>
            <w:hideMark/>
          </w:tcPr>
          <w:p w14:paraId="227527C2"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383112D"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482" w:type="dxa"/>
            <w:tcBorders>
              <w:top w:val="nil"/>
              <w:left w:val="nil"/>
              <w:bottom w:val="nil"/>
              <w:right w:val="nil"/>
            </w:tcBorders>
            <w:noWrap/>
            <w:vAlign w:val="center"/>
            <w:hideMark/>
          </w:tcPr>
          <w:p w14:paraId="56369AB4"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n</w:t>
            </w:r>
          </w:p>
        </w:tc>
        <w:tc>
          <w:tcPr>
            <w:tcW w:w="1012" w:type="dxa"/>
            <w:tcBorders>
              <w:top w:val="nil"/>
              <w:left w:val="nil"/>
              <w:bottom w:val="nil"/>
              <w:right w:val="nil"/>
            </w:tcBorders>
            <w:noWrap/>
            <w:vAlign w:val="center"/>
            <w:hideMark/>
          </w:tcPr>
          <w:p w14:paraId="07D9BD71" w14:textId="77777777"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w:t>
            </w:r>
          </w:p>
        </w:tc>
        <w:tc>
          <w:tcPr>
            <w:tcW w:w="1012" w:type="dxa"/>
            <w:tcBorders>
              <w:top w:val="nil"/>
              <w:left w:val="nil"/>
              <w:bottom w:val="nil"/>
              <w:right w:val="nil"/>
            </w:tcBorders>
            <w:noWrap/>
            <w:vAlign w:val="bottom"/>
            <w:hideMark/>
          </w:tcPr>
          <w:p w14:paraId="4745478E" w14:textId="77777777" w:rsidR="00D313DB" w:rsidRPr="00794CA6" w:rsidRDefault="00D313DB" w:rsidP="004F0515">
            <w:pPr>
              <w:rPr>
                <w:rFonts w:ascii="Arial" w:hAnsi="Arial" w:cs="Arial"/>
                <w:b/>
                <w:bCs/>
                <w:color w:val="000000"/>
                <w:lang w:eastAsia="es-MX"/>
              </w:rPr>
            </w:pPr>
          </w:p>
        </w:tc>
        <w:tc>
          <w:tcPr>
            <w:tcW w:w="397" w:type="dxa"/>
            <w:tcBorders>
              <w:top w:val="nil"/>
              <w:left w:val="nil"/>
              <w:bottom w:val="nil"/>
              <w:right w:val="nil"/>
            </w:tcBorders>
            <w:noWrap/>
            <w:vAlign w:val="bottom"/>
            <w:hideMark/>
          </w:tcPr>
          <w:p w14:paraId="47D6F292"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1C2498AB"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4301927E"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2E5DB25B" w14:textId="77777777" w:rsidR="00D313DB" w:rsidRPr="00794CA6" w:rsidRDefault="00D313DB" w:rsidP="004F0515">
            <w:pPr>
              <w:rPr>
                <w:rFonts w:ascii="Times New Roman" w:hAnsi="Times New Roman"/>
                <w:lang w:eastAsia="es-MX"/>
              </w:rPr>
            </w:pPr>
          </w:p>
        </w:tc>
      </w:tr>
      <w:tr w:rsidR="00D313DB" w:rsidRPr="00794CA6" w14:paraId="20B4359E" w14:textId="77777777" w:rsidTr="004F0515">
        <w:trPr>
          <w:trHeight w:val="340"/>
          <w:jc w:val="center"/>
        </w:trPr>
        <w:tc>
          <w:tcPr>
            <w:tcW w:w="864" w:type="dxa"/>
            <w:tcBorders>
              <w:top w:val="nil"/>
              <w:left w:val="nil"/>
              <w:bottom w:val="single" w:sz="8" w:space="0" w:color="auto"/>
              <w:right w:val="nil"/>
            </w:tcBorders>
            <w:noWrap/>
            <w:vAlign w:val="center"/>
            <w:hideMark/>
          </w:tcPr>
          <w:p w14:paraId="44CC503E" w14:textId="7EFA8BB5" w:rsidR="00D313DB" w:rsidRPr="00794CA6" w:rsidRDefault="00D313DB" w:rsidP="004F0515">
            <w:pPr>
              <w:rPr>
                <w:rFonts w:ascii="Arial" w:hAnsi="Arial" w:cs="Arial"/>
                <w:b/>
                <w:bCs/>
                <w:color w:val="000000"/>
                <w:lang w:eastAsia="es-MX"/>
              </w:rPr>
            </w:pPr>
            <w:r w:rsidRPr="00794CA6">
              <w:rPr>
                <w:rFonts w:ascii="Arial" w:hAnsi="Arial" w:cs="Arial"/>
                <w:b/>
                <w:bCs/>
                <w:color w:val="000000"/>
                <w:lang w:eastAsia="es-MX"/>
              </w:rPr>
              <w:t>H</w:t>
            </w:r>
            <w:r w:rsidR="00FB6869">
              <w:rPr>
                <w:rFonts w:ascii="Arial" w:hAnsi="Arial" w:cs="Arial"/>
                <w:b/>
                <w:bCs/>
                <w:color w:val="000000"/>
                <w:lang w:eastAsia="es-MX"/>
              </w:rPr>
              <w:t>ypertension</w:t>
            </w:r>
          </w:p>
        </w:tc>
        <w:tc>
          <w:tcPr>
            <w:tcW w:w="482" w:type="dxa"/>
            <w:tcBorders>
              <w:top w:val="nil"/>
              <w:left w:val="nil"/>
              <w:bottom w:val="single" w:sz="8" w:space="0" w:color="auto"/>
              <w:right w:val="nil"/>
            </w:tcBorders>
            <w:noWrap/>
            <w:vAlign w:val="center"/>
            <w:hideMark/>
          </w:tcPr>
          <w:p w14:paraId="6D2F3B8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480C990B"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482" w:type="dxa"/>
            <w:tcBorders>
              <w:top w:val="nil"/>
              <w:left w:val="nil"/>
              <w:bottom w:val="single" w:sz="8" w:space="0" w:color="auto"/>
              <w:right w:val="nil"/>
            </w:tcBorders>
            <w:noWrap/>
            <w:vAlign w:val="center"/>
            <w:hideMark/>
          </w:tcPr>
          <w:p w14:paraId="26580866"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1A46FCE2"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012" w:type="dxa"/>
            <w:tcBorders>
              <w:top w:val="nil"/>
              <w:left w:val="nil"/>
              <w:bottom w:val="single" w:sz="8" w:space="0" w:color="auto"/>
              <w:right w:val="nil"/>
            </w:tcBorders>
            <w:noWrap/>
            <w:vAlign w:val="center"/>
            <w:hideMark/>
          </w:tcPr>
          <w:p w14:paraId="30603D0C"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13.32</w:t>
            </w:r>
          </w:p>
        </w:tc>
        <w:tc>
          <w:tcPr>
            <w:tcW w:w="397" w:type="dxa"/>
            <w:tcBorders>
              <w:top w:val="nil"/>
              <w:left w:val="nil"/>
              <w:bottom w:val="single" w:sz="8" w:space="0" w:color="auto"/>
              <w:right w:val="nil"/>
            </w:tcBorders>
            <w:noWrap/>
            <w:vAlign w:val="center"/>
            <w:hideMark/>
          </w:tcPr>
          <w:p w14:paraId="7712D21E"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w:t>
            </w:r>
          </w:p>
        </w:tc>
        <w:tc>
          <w:tcPr>
            <w:tcW w:w="1417" w:type="dxa"/>
            <w:tcBorders>
              <w:top w:val="nil"/>
              <w:left w:val="nil"/>
              <w:bottom w:val="single" w:sz="8" w:space="0" w:color="auto"/>
              <w:right w:val="nil"/>
            </w:tcBorders>
            <w:noWrap/>
            <w:vAlign w:val="center"/>
            <w:hideMark/>
          </w:tcPr>
          <w:p w14:paraId="2813C428"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0.0001</w:t>
            </w:r>
          </w:p>
        </w:tc>
        <w:tc>
          <w:tcPr>
            <w:tcW w:w="801" w:type="dxa"/>
            <w:tcBorders>
              <w:top w:val="nil"/>
              <w:left w:val="nil"/>
              <w:bottom w:val="single" w:sz="8" w:space="0" w:color="auto"/>
              <w:right w:val="nil"/>
            </w:tcBorders>
            <w:noWrap/>
            <w:vAlign w:val="center"/>
            <w:hideMark/>
          </w:tcPr>
          <w:p w14:paraId="195904BB"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4.17</w:t>
            </w:r>
          </w:p>
        </w:tc>
        <w:tc>
          <w:tcPr>
            <w:tcW w:w="1592" w:type="dxa"/>
            <w:tcBorders>
              <w:top w:val="nil"/>
              <w:left w:val="nil"/>
              <w:bottom w:val="single" w:sz="8" w:space="0" w:color="auto"/>
              <w:right w:val="nil"/>
            </w:tcBorders>
            <w:noWrap/>
            <w:vAlign w:val="center"/>
            <w:hideMark/>
          </w:tcPr>
          <w:p w14:paraId="07173761" w14:textId="77777777" w:rsidR="00D313DB" w:rsidRPr="00794CA6" w:rsidRDefault="00D313DB" w:rsidP="004F0515">
            <w:pPr>
              <w:jc w:val="center"/>
              <w:rPr>
                <w:rFonts w:ascii="Arial" w:hAnsi="Arial" w:cs="Arial"/>
                <w:color w:val="000000"/>
                <w:lang w:eastAsia="es-MX"/>
              </w:rPr>
            </w:pPr>
            <w:r w:rsidRPr="00794CA6">
              <w:rPr>
                <w:rFonts w:ascii="Arial" w:hAnsi="Arial" w:cs="Arial"/>
                <w:color w:val="000000"/>
                <w:lang w:eastAsia="es-MX"/>
              </w:rPr>
              <w:t>1.90 - 9.16</w:t>
            </w:r>
          </w:p>
        </w:tc>
      </w:tr>
      <w:tr w:rsidR="00D313DB" w:rsidRPr="00794CA6" w14:paraId="553020EA" w14:textId="77777777" w:rsidTr="004F0515">
        <w:trPr>
          <w:trHeight w:val="320"/>
          <w:jc w:val="center"/>
        </w:trPr>
        <w:tc>
          <w:tcPr>
            <w:tcW w:w="864" w:type="dxa"/>
            <w:tcBorders>
              <w:top w:val="nil"/>
              <w:left w:val="nil"/>
              <w:bottom w:val="nil"/>
              <w:right w:val="nil"/>
            </w:tcBorders>
            <w:noWrap/>
            <w:vAlign w:val="center"/>
            <w:hideMark/>
          </w:tcPr>
          <w:p w14:paraId="3C79BCC6" w14:textId="42E37C84"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w:t>
            </w:r>
            <w:r w:rsidR="00FB6869">
              <w:rPr>
                <w:rFonts w:ascii="Arial" w:hAnsi="Arial" w:cs="Arial"/>
                <w:color w:val="000000"/>
                <w:lang w:eastAsia="es-MX"/>
              </w:rPr>
              <w:t>Yes</w:t>
            </w:r>
          </w:p>
        </w:tc>
        <w:tc>
          <w:tcPr>
            <w:tcW w:w="482" w:type="dxa"/>
            <w:tcBorders>
              <w:top w:val="nil"/>
              <w:left w:val="nil"/>
              <w:bottom w:val="nil"/>
              <w:right w:val="nil"/>
            </w:tcBorders>
            <w:noWrap/>
            <w:vAlign w:val="center"/>
            <w:hideMark/>
          </w:tcPr>
          <w:p w14:paraId="254BD19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59</w:t>
            </w:r>
          </w:p>
        </w:tc>
        <w:tc>
          <w:tcPr>
            <w:tcW w:w="1012" w:type="dxa"/>
            <w:tcBorders>
              <w:top w:val="nil"/>
              <w:left w:val="nil"/>
              <w:bottom w:val="nil"/>
              <w:right w:val="nil"/>
            </w:tcBorders>
            <w:noWrap/>
            <w:vAlign w:val="center"/>
            <w:hideMark/>
          </w:tcPr>
          <w:p w14:paraId="68B5847F"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78.67</w:t>
            </w:r>
          </w:p>
        </w:tc>
        <w:tc>
          <w:tcPr>
            <w:tcW w:w="482" w:type="dxa"/>
            <w:tcBorders>
              <w:top w:val="nil"/>
              <w:left w:val="nil"/>
              <w:bottom w:val="nil"/>
              <w:right w:val="nil"/>
            </w:tcBorders>
            <w:noWrap/>
            <w:vAlign w:val="center"/>
            <w:hideMark/>
          </w:tcPr>
          <w:p w14:paraId="16A8DDC5"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16</w:t>
            </w:r>
          </w:p>
        </w:tc>
        <w:tc>
          <w:tcPr>
            <w:tcW w:w="1012" w:type="dxa"/>
            <w:tcBorders>
              <w:top w:val="nil"/>
              <w:left w:val="nil"/>
              <w:bottom w:val="nil"/>
              <w:right w:val="nil"/>
            </w:tcBorders>
            <w:noWrap/>
            <w:vAlign w:val="center"/>
            <w:hideMark/>
          </w:tcPr>
          <w:p w14:paraId="67509C0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21.33</w:t>
            </w:r>
          </w:p>
        </w:tc>
        <w:tc>
          <w:tcPr>
            <w:tcW w:w="1012" w:type="dxa"/>
            <w:tcBorders>
              <w:top w:val="nil"/>
              <w:left w:val="nil"/>
              <w:bottom w:val="nil"/>
              <w:right w:val="nil"/>
            </w:tcBorders>
            <w:noWrap/>
            <w:vAlign w:val="bottom"/>
            <w:hideMark/>
          </w:tcPr>
          <w:p w14:paraId="1A7F24CB" w14:textId="77777777" w:rsidR="00D313DB" w:rsidRPr="00794CA6" w:rsidRDefault="00D313DB" w:rsidP="004F0515">
            <w:pPr>
              <w:jc w:val="right"/>
              <w:rPr>
                <w:rFonts w:ascii="Arial" w:hAnsi="Arial" w:cs="Arial"/>
                <w:color w:val="000000"/>
                <w:lang w:eastAsia="es-MX"/>
              </w:rPr>
            </w:pPr>
          </w:p>
        </w:tc>
        <w:tc>
          <w:tcPr>
            <w:tcW w:w="397" w:type="dxa"/>
            <w:tcBorders>
              <w:top w:val="nil"/>
              <w:left w:val="nil"/>
              <w:bottom w:val="nil"/>
              <w:right w:val="nil"/>
            </w:tcBorders>
            <w:noWrap/>
            <w:vAlign w:val="bottom"/>
            <w:hideMark/>
          </w:tcPr>
          <w:p w14:paraId="1AB34E93" w14:textId="77777777" w:rsidR="00D313DB" w:rsidRPr="00794CA6" w:rsidRDefault="00D313DB" w:rsidP="004F0515">
            <w:pPr>
              <w:rPr>
                <w:rFonts w:ascii="Times New Roman" w:hAnsi="Times New Roman"/>
                <w:lang w:eastAsia="es-MX"/>
              </w:rPr>
            </w:pPr>
          </w:p>
        </w:tc>
        <w:tc>
          <w:tcPr>
            <w:tcW w:w="1417" w:type="dxa"/>
            <w:tcBorders>
              <w:top w:val="nil"/>
              <w:left w:val="nil"/>
              <w:bottom w:val="nil"/>
              <w:right w:val="nil"/>
            </w:tcBorders>
            <w:noWrap/>
            <w:vAlign w:val="bottom"/>
            <w:hideMark/>
          </w:tcPr>
          <w:p w14:paraId="6BDA142C" w14:textId="77777777" w:rsidR="00D313DB" w:rsidRPr="00794CA6" w:rsidRDefault="00D313DB" w:rsidP="004F0515">
            <w:pPr>
              <w:rPr>
                <w:rFonts w:ascii="Times New Roman" w:hAnsi="Times New Roman"/>
                <w:lang w:eastAsia="es-MX"/>
              </w:rPr>
            </w:pPr>
          </w:p>
        </w:tc>
        <w:tc>
          <w:tcPr>
            <w:tcW w:w="801" w:type="dxa"/>
            <w:tcBorders>
              <w:top w:val="nil"/>
              <w:left w:val="nil"/>
              <w:bottom w:val="nil"/>
              <w:right w:val="nil"/>
            </w:tcBorders>
            <w:noWrap/>
            <w:vAlign w:val="bottom"/>
            <w:hideMark/>
          </w:tcPr>
          <w:p w14:paraId="2844D3B9" w14:textId="77777777" w:rsidR="00D313DB" w:rsidRPr="00794CA6" w:rsidRDefault="00D313DB" w:rsidP="004F0515">
            <w:pPr>
              <w:rPr>
                <w:rFonts w:ascii="Times New Roman" w:hAnsi="Times New Roman"/>
                <w:lang w:eastAsia="es-MX"/>
              </w:rPr>
            </w:pPr>
          </w:p>
        </w:tc>
        <w:tc>
          <w:tcPr>
            <w:tcW w:w="1592" w:type="dxa"/>
            <w:tcBorders>
              <w:top w:val="nil"/>
              <w:left w:val="nil"/>
              <w:bottom w:val="nil"/>
              <w:right w:val="nil"/>
            </w:tcBorders>
            <w:noWrap/>
            <w:vAlign w:val="bottom"/>
            <w:hideMark/>
          </w:tcPr>
          <w:p w14:paraId="737B1DB8" w14:textId="77777777" w:rsidR="00D313DB" w:rsidRPr="00794CA6" w:rsidRDefault="00D313DB" w:rsidP="004F0515">
            <w:pPr>
              <w:rPr>
                <w:rFonts w:ascii="Times New Roman" w:hAnsi="Times New Roman"/>
                <w:lang w:eastAsia="es-MX"/>
              </w:rPr>
            </w:pPr>
          </w:p>
        </w:tc>
      </w:tr>
      <w:tr w:rsidR="00D313DB" w:rsidRPr="00794CA6" w14:paraId="3FA93AE9" w14:textId="77777777" w:rsidTr="004F0515">
        <w:trPr>
          <w:trHeight w:val="340"/>
          <w:jc w:val="center"/>
        </w:trPr>
        <w:tc>
          <w:tcPr>
            <w:tcW w:w="864" w:type="dxa"/>
            <w:tcBorders>
              <w:top w:val="nil"/>
              <w:left w:val="nil"/>
              <w:bottom w:val="single" w:sz="8" w:space="0" w:color="auto"/>
              <w:right w:val="nil"/>
            </w:tcBorders>
            <w:noWrap/>
            <w:vAlign w:val="center"/>
            <w:hideMark/>
          </w:tcPr>
          <w:p w14:paraId="326BA1A0" w14:textId="77777777" w:rsidR="00D313DB" w:rsidRPr="00794CA6" w:rsidRDefault="00D313DB" w:rsidP="004F0515">
            <w:pPr>
              <w:rPr>
                <w:rFonts w:ascii="Arial" w:hAnsi="Arial" w:cs="Arial"/>
                <w:color w:val="000000"/>
                <w:lang w:eastAsia="es-MX"/>
              </w:rPr>
            </w:pPr>
            <w:r w:rsidRPr="00794CA6">
              <w:rPr>
                <w:rFonts w:ascii="Arial" w:hAnsi="Arial" w:cs="Arial"/>
                <w:color w:val="000000"/>
                <w:lang w:eastAsia="es-MX"/>
              </w:rPr>
              <w:t xml:space="preserve"> No</w:t>
            </w:r>
          </w:p>
        </w:tc>
        <w:tc>
          <w:tcPr>
            <w:tcW w:w="482" w:type="dxa"/>
            <w:tcBorders>
              <w:top w:val="nil"/>
              <w:left w:val="nil"/>
              <w:bottom w:val="single" w:sz="8" w:space="0" w:color="auto"/>
              <w:right w:val="nil"/>
            </w:tcBorders>
            <w:noWrap/>
            <w:vAlign w:val="center"/>
            <w:hideMark/>
          </w:tcPr>
          <w:p w14:paraId="66245130"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23</w:t>
            </w:r>
          </w:p>
        </w:tc>
        <w:tc>
          <w:tcPr>
            <w:tcW w:w="1012" w:type="dxa"/>
            <w:tcBorders>
              <w:top w:val="nil"/>
              <w:left w:val="nil"/>
              <w:bottom w:val="single" w:sz="8" w:space="0" w:color="auto"/>
              <w:right w:val="nil"/>
            </w:tcBorders>
            <w:noWrap/>
            <w:vAlign w:val="center"/>
            <w:hideMark/>
          </w:tcPr>
          <w:p w14:paraId="1A4B8504"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46.94</w:t>
            </w:r>
          </w:p>
        </w:tc>
        <w:tc>
          <w:tcPr>
            <w:tcW w:w="482" w:type="dxa"/>
            <w:tcBorders>
              <w:top w:val="nil"/>
              <w:left w:val="nil"/>
              <w:bottom w:val="single" w:sz="8" w:space="0" w:color="auto"/>
              <w:right w:val="nil"/>
            </w:tcBorders>
            <w:noWrap/>
            <w:vAlign w:val="center"/>
            <w:hideMark/>
          </w:tcPr>
          <w:p w14:paraId="5E3AB77A"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26</w:t>
            </w:r>
          </w:p>
        </w:tc>
        <w:tc>
          <w:tcPr>
            <w:tcW w:w="1012" w:type="dxa"/>
            <w:tcBorders>
              <w:top w:val="nil"/>
              <w:left w:val="nil"/>
              <w:bottom w:val="single" w:sz="8" w:space="0" w:color="auto"/>
              <w:right w:val="nil"/>
            </w:tcBorders>
            <w:noWrap/>
            <w:vAlign w:val="center"/>
            <w:hideMark/>
          </w:tcPr>
          <w:p w14:paraId="0D9DB909" w14:textId="77777777" w:rsidR="00D313DB" w:rsidRPr="00794CA6" w:rsidRDefault="00D313DB" w:rsidP="004F0515">
            <w:pPr>
              <w:jc w:val="right"/>
              <w:rPr>
                <w:rFonts w:ascii="Arial" w:hAnsi="Arial" w:cs="Arial"/>
                <w:color w:val="000000"/>
                <w:lang w:eastAsia="es-MX"/>
              </w:rPr>
            </w:pPr>
            <w:r w:rsidRPr="00794CA6">
              <w:rPr>
                <w:rFonts w:ascii="Arial" w:hAnsi="Arial" w:cs="Arial"/>
                <w:color w:val="000000"/>
                <w:lang w:eastAsia="es-MX"/>
              </w:rPr>
              <w:t>53.06</w:t>
            </w:r>
          </w:p>
        </w:tc>
        <w:tc>
          <w:tcPr>
            <w:tcW w:w="1012" w:type="dxa"/>
            <w:tcBorders>
              <w:top w:val="nil"/>
              <w:left w:val="nil"/>
              <w:bottom w:val="single" w:sz="8" w:space="0" w:color="auto"/>
              <w:right w:val="nil"/>
            </w:tcBorders>
            <w:noWrap/>
            <w:vAlign w:val="bottom"/>
            <w:hideMark/>
          </w:tcPr>
          <w:p w14:paraId="76D04F74"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397" w:type="dxa"/>
            <w:tcBorders>
              <w:top w:val="nil"/>
              <w:left w:val="nil"/>
              <w:bottom w:val="single" w:sz="8" w:space="0" w:color="auto"/>
              <w:right w:val="nil"/>
            </w:tcBorders>
            <w:noWrap/>
            <w:vAlign w:val="bottom"/>
            <w:hideMark/>
          </w:tcPr>
          <w:p w14:paraId="30851665"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417" w:type="dxa"/>
            <w:tcBorders>
              <w:top w:val="nil"/>
              <w:left w:val="nil"/>
              <w:bottom w:val="single" w:sz="8" w:space="0" w:color="auto"/>
              <w:right w:val="nil"/>
            </w:tcBorders>
            <w:noWrap/>
            <w:vAlign w:val="bottom"/>
            <w:hideMark/>
          </w:tcPr>
          <w:p w14:paraId="7CB8E0E7"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801" w:type="dxa"/>
            <w:tcBorders>
              <w:top w:val="nil"/>
              <w:left w:val="nil"/>
              <w:bottom w:val="single" w:sz="8" w:space="0" w:color="auto"/>
              <w:right w:val="nil"/>
            </w:tcBorders>
            <w:noWrap/>
            <w:vAlign w:val="bottom"/>
            <w:hideMark/>
          </w:tcPr>
          <w:p w14:paraId="5B98F14E"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c>
          <w:tcPr>
            <w:tcW w:w="1592" w:type="dxa"/>
            <w:tcBorders>
              <w:top w:val="nil"/>
              <w:left w:val="nil"/>
              <w:bottom w:val="single" w:sz="8" w:space="0" w:color="auto"/>
              <w:right w:val="nil"/>
            </w:tcBorders>
            <w:noWrap/>
            <w:vAlign w:val="bottom"/>
            <w:hideMark/>
          </w:tcPr>
          <w:p w14:paraId="156E330D" w14:textId="77777777" w:rsidR="00D313DB" w:rsidRPr="00794CA6" w:rsidRDefault="00D313DB" w:rsidP="004F0515">
            <w:pPr>
              <w:rPr>
                <w:rFonts w:ascii="Calibri" w:hAnsi="Calibri" w:cs="Calibri"/>
                <w:color w:val="000000"/>
                <w:lang w:eastAsia="es-MX"/>
              </w:rPr>
            </w:pPr>
            <w:r w:rsidRPr="00794CA6">
              <w:rPr>
                <w:rFonts w:ascii="Calibri" w:hAnsi="Calibri" w:cs="Calibri"/>
                <w:color w:val="000000"/>
                <w:lang w:eastAsia="es-MX"/>
              </w:rPr>
              <w:t> </w:t>
            </w:r>
          </w:p>
        </w:tc>
      </w:tr>
    </w:tbl>
    <w:p w14:paraId="54266FCC" w14:textId="1FA8D629" w:rsidR="00905CE8" w:rsidRDefault="00905CE8" w:rsidP="00905CE8">
      <w:pPr>
        <w:pStyle w:val="Body"/>
        <w:spacing w:after="0"/>
        <w:jc w:val="center"/>
        <w:rPr>
          <w:rFonts w:ascii="Arial" w:hAnsi="Arial" w:cs="Arial"/>
          <w:i/>
          <w:iCs/>
          <w:color w:val="000000"/>
          <w:lang w:eastAsia="es-MX"/>
        </w:rPr>
      </w:pPr>
      <w:r w:rsidRPr="00794CA6">
        <w:rPr>
          <w:rFonts w:ascii="Arial" w:hAnsi="Arial" w:cs="Arial"/>
          <w:i/>
          <w:iCs/>
          <w:color w:val="000000"/>
          <w:lang w:eastAsia="es-MX"/>
        </w:rPr>
        <w:t xml:space="preserve"> </w:t>
      </w:r>
      <w:r w:rsidR="00FB6869">
        <w:rPr>
          <w:rFonts w:ascii="Arial" w:hAnsi="Arial" w:cs="Arial"/>
          <w:i/>
          <w:iCs/>
          <w:color w:val="000000"/>
          <w:lang w:eastAsia="es-MX"/>
        </w:rPr>
        <w:t>MCI</w:t>
      </w:r>
      <w:r w:rsidRPr="00794CA6">
        <w:rPr>
          <w:rFonts w:ascii="Arial" w:hAnsi="Arial" w:cs="Arial"/>
          <w:i/>
          <w:iCs/>
          <w:color w:val="000000"/>
          <w:lang w:eastAsia="es-MX"/>
        </w:rPr>
        <w:t xml:space="preserve">: </w:t>
      </w:r>
      <w:r w:rsidR="00FB6869">
        <w:rPr>
          <w:rFonts w:ascii="Arial" w:hAnsi="Arial" w:cs="Arial"/>
          <w:i/>
          <w:iCs/>
          <w:color w:val="000000"/>
          <w:lang w:eastAsia="es-MX"/>
        </w:rPr>
        <w:t>Mild Cognitive Impairment</w:t>
      </w:r>
      <w:r w:rsidR="00B87E8C">
        <w:rPr>
          <w:rFonts w:ascii="Arial" w:hAnsi="Arial" w:cs="Arial"/>
          <w:i/>
          <w:iCs/>
          <w:color w:val="000000"/>
          <w:lang w:eastAsia="es-MX"/>
        </w:rPr>
        <w:t>; df: degree of freedom; OR: odds ratio</w:t>
      </w:r>
      <w:r w:rsidR="00166920">
        <w:rPr>
          <w:rFonts w:ascii="Arial" w:hAnsi="Arial" w:cs="Arial"/>
          <w:i/>
          <w:iCs/>
          <w:color w:val="000000"/>
          <w:lang w:eastAsia="es-MX"/>
        </w:rPr>
        <w:t>; CI: Confidence Interval.</w:t>
      </w:r>
    </w:p>
    <w:p w14:paraId="139CCE24" w14:textId="5E753C09" w:rsidR="00D313DB" w:rsidRDefault="00FB6869" w:rsidP="00905CE8">
      <w:pPr>
        <w:pStyle w:val="Body"/>
        <w:spacing w:after="0"/>
        <w:jc w:val="center"/>
        <w:rPr>
          <w:rFonts w:ascii="Arial" w:hAnsi="Arial" w:cs="Arial"/>
        </w:rPr>
      </w:pPr>
      <w:r>
        <w:rPr>
          <w:rFonts w:ascii="Arial" w:hAnsi="Arial" w:cs="Arial"/>
          <w:i/>
          <w:iCs/>
          <w:color w:val="000000"/>
          <w:lang w:eastAsia="es-MX"/>
        </w:rPr>
        <w:t>Source: Author’s design</w:t>
      </w:r>
    </w:p>
    <w:p w14:paraId="5CB0066D" w14:textId="77777777" w:rsidR="00905CE8" w:rsidRDefault="00905CE8" w:rsidP="00905CE8">
      <w:pPr>
        <w:pStyle w:val="Body"/>
        <w:spacing w:after="0"/>
        <w:rPr>
          <w:rFonts w:ascii="Arial" w:hAnsi="Arial" w:cs="Arial"/>
        </w:rPr>
      </w:pPr>
    </w:p>
    <w:p w14:paraId="72962CB9" w14:textId="124CCD67" w:rsidR="00D661E9" w:rsidRDefault="00FB6869" w:rsidP="00D661E9">
      <w:pPr>
        <w:pStyle w:val="Body"/>
        <w:rPr>
          <w:rFonts w:ascii="Arial" w:hAnsi="Arial" w:cs="Arial"/>
        </w:rPr>
      </w:pPr>
      <w:r>
        <w:t>Logistic regression analyses were performed to evaluate the association between hypertension and various factors in the presence of MCI.</w:t>
      </w:r>
    </w:p>
    <w:p w14:paraId="7B222E2D" w14:textId="48065681" w:rsidR="00D313DB" w:rsidRDefault="00B87E8C" w:rsidP="00D661E9">
      <w:pPr>
        <w:pStyle w:val="Body"/>
        <w:rPr>
          <w:rFonts w:ascii="Arial" w:hAnsi="Arial" w:cs="Arial"/>
        </w:rPr>
      </w:pPr>
      <w:r w:rsidRPr="00B87E8C">
        <w:rPr>
          <w:rFonts w:ascii="Arial" w:hAnsi="Arial" w:cs="Arial"/>
        </w:rPr>
        <w:lastRenderedPageBreak/>
        <w:t xml:space="preserve">Table 4 describes the relationship between </w:t>
      </w:r>
      <w:r>
        <w:rPr>
          <w:rFonts w:ascii="Arial" w:hAnsi="Arial" w:cs="Arial"/>
        </w:rPr>
        <w:t>hypertension</w:t>
      </w:r>
      <w:r w:rsidRPr="00B87E8C">
        <w:rPr>
          <w:rFonts w:ascii="Arial" w:hAnsi="Arial" w:cs="Arial"/>
        </w:rPr>
        <w:t xml:space="preserve"> and MCI, with an OR of 4.17 (95% CI: 1.90–9.16; </w:t>
      </w:r>
      <w:r w:rsidRPr="00B87E8C">
        <w:rPr>
          <w:rFonts w:ascii="Arial" w:hAnsi="Arial" w:cs="Arial"/>
          <w:i/>
          <w:iCs/>
        </w:rPr>
        <w:t>P</w:t>
      </w:r>
      <w:r w:rsidRPr="00B87E8C">
        <w:rPr>
          <w:rFonts w:ascii="Arial" w:hAnsi="Arial" w:cs="Arial"/>
        </w:rPr>
        <w:t xml:space="preserve"> = 0.0003). In addition, the associations with other confounding variables are also shown (Table 4</w:t>
      </w:r>
      <w:r w:rsidR="00667ACC">
        <w:rPr>
          <w:rFonts w:ascii="Arial" w:hAnsi="Arial" w:cs="Arial"/>
        </w:rPr>
        <w:t>)</w:t>
      </w:r>
      <w:r w:rsidR="00D313DB" w:rsidRPr="00D313DB">
        <w:rPr>
          <w:rFonts w:ascii="Arial" w:hAnsi="Arial" w:cs="Arial"/>
        </w:rPr>
        <w:t>.</w:t>
      </w:r>
    </w:p>
    <w:p w14:paraId="168C6955" w14:textId="77777777" w:rsidR="00667ACC" w:rsidRDefault="00667ACC" w:rsidP="00D313DB">
      <w:pPr>
        <w:pStyle w:val="Body"/>
        <w:spacing w:after="0"/>
        <w:rPr>
          <w:rFonts w:ascii="Arial" w:hAnsi="Arial" w:cs="Arial"/>
        </w:rPr>
      </w:pPr>
    </w:p>
    <w:p w14:paraId="41E210A8" w14:textId="0A79E3B4" w:rsidR="00667ACC" w:rsidRPr="00166920" w:rsidRDefault="00667ACC" w:rsidP="00667ACC">
      <w:pPr>
        <w:pStyle w:val="Body"/>
        <w:spacing w:after="0"/>
        <w:jc w:val="center"/>
        <w:rPr>
          <w:rFonts w:ascii="Arial" w:hAnsi="Arial" w:cs="Arial"/>
          <w:sz w:val="16"/>
          <w:szCs w:val="16"/>
        </w:rPr>
      </w:pPr>
      <w:r w:rsidRPr="00166920">
        <w:rPr>
          <w:rFonts w:ascii="Arial" w:hAnsi="Arial" w:cs="Arial"/>
          <w:b/>
          <w:bCs/>
          <w:color w:val="000000"/>
        </w:rPr>
        <w:t>Tabl</w:t>
      </w:r>
      <w:r w:rsidR="004905BF">
        <w:rPr>
          <w:rFonts w:ascii="Arial" w:hAnsi="Arial" w:cs="Arial"/>
          <w:b/>
          <w:bCs/>
          <w:color w:val="000000"/>
        </w:rPr>
        <w:t>e 4</w:t>
      </w:r>
      <w:r w:rsidR="00166920" w:rsidRPr="00166920">
        <w:rPr>
          <w:rFonts w:ascii="Arial" w:hAnsi="Arial" w:cs="Arial"/>
          <w:b/>
          <w:bCs/>
          <w:color w:val="000000"/>
        </w:rPr>
        <w:t>. Logistic regression models with confounding variables</w:t>
      </w:r>
    </w:p>
    <w:tbl>
      <w:tblPr>
        <w:tblW w:w="9581" w:type="dxa"/>
        <w:jc w:val="center"/>
        <w:tblCellMar>
          <w:left w:w="70" w:type="dxa"/>
          <w:right w:w="70" w:type="dxa"/>
        </w:tblCellMar>
        <w:tblLook w:val="04A0" w:firstRow="1" w:lastRow="0" w:firstColumn="1" w:lastColumn="0" w:noHBand="0" w:noVBand="1"/>
      </w:tblPr>
      <w:tblGrid>
        <w:gridCol w:w="964"/>
        <w:gridCol w:w="1163"/>
        <w:gridCol w:w="1163"/>
        <w:gridCol w:w="1163"/>
        <w:gridCol w:w="1163"/>
        <w:gridCol w:w="1163"/>
        <w:gridCol w:w="1163"/>
        <w:gridCol w:w="1163"/>
        <w:gridCol w:w="1163"/>
        <w:gridCol w:w="1163"/>
      </w:tblGrid>
      <w:tr w:rsidR="00667ACC" w:rsidRPr="00960291" w14:paraId="38E98B13" w14:textId="77777777" w:rsidTr="00D22DD3">
        <w:trPr>
          <w:trHeight w:val="454"/>
          <w:jc w:val="center"/>
        </w:trPr>
        <w:tc>
          <w:tcPr>
            <w:tcW w:w="964" w:type="dxa"/>
            <w:tcBorders>
              <w:top w:val="single" w:sz="6" w:space="0" w:color="auto"/>
              <w:left w:val="nil"/>
              <w:bottom w:val="single" w:sz="6" w:space="0" w:color="auto"/>
              <w:right w:val="nil"/>
            </w:tcBorders>
            <w:vAlign w:val="bottom"/>
            <w:hideMark/>
          </w:tcPr>
          <w:p w14:paraId="36ED3891" w14:textId="77777777" w:rsidR="00667ACC" w:rsidRPr="00151DE8" w:rsidRDefault="00667ACC" w:rsidP="00D22DD3">
            <w:pPr>
              <w:rPr>
                <w:rFonts w:ascii="Arial" w:hAnsi="Arial" w:cs="Arial"/>
                <w:color w:val="000000"/>
                <w:sz w:val="16"/>
                <w:szCs w:val="16"/>
              </w:rPr>
            </w:pPr>
            <w:r w:rsidRPr="00151DE8">
              <w:rPr>
                <w:rFonts w:ascii="Arial" w:hAnsi="Arial" w:cs="Arial"/>
                <w:color w:val="000000"/>
                <w:sz w:val="16"/>
                <w:szCs w:val="16"/>
              </w:rPr>
              <w:t> </w:t>
            </w:r>
          </w:p>
        </w:tc>
        <w:tc>
          <w:tcPr>
            <w:tcW w:w="907" w:type="dxa"/>
            <w:tcBorders>
              <w:top w:val="single" w:sz="6" w:space="0" w:color="auto"/>
              <w:left w:val="nil"/>
              <w:bottom w:val="single" w:sz="6" w:space="0" w:color="auto"/>
              <w:right w:val="nil"/>
            </w:tcBorders>
            <w:vAlign w:val="center"/>
            <w:hideMark/>
          </w:tcPr>
          <w:p w14:paraId="459FDF41" w14:textId="28C0B862"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p>
        </w:tc>
        <w:tc>
          <w:tcPr>
            <w:tcW w:w="907" w:type="dxa"/>
            <w:tcBorders>
              <w:top w:val="single" w:sz="6" w:space="0" w:color="auto"/>
              <w:left w:val="nil"/>
              <w:bottom w:val="single" w:sz="6" w:space="0" w:color="auto"/>
              <w:right w:val="nil"/>
            </w:tcBorders>
            <w:vAlign w:val="center"/>
            <w:hideMark/>
          </w:tcPr>
          <w:p w14:paraId="21448C85" w14:textId="7B1C0516"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Sex</w:t>
            </w:r>
          </w:p>
        </w:tc>
        <w:tc>
          <w:tcPr>
            <w:tcW w:w="907" w:type="dxa"/>
            <w:tcBorders>
              <w:top w:val="single" w:sz="6" w:space="0" w:color="auto"/>
              <w:left w:val="nil"/>
              <w:bottom w:val="single" w:sz="6" w:space="0" w:color="auto"/>
              <w:right w:val="nil"/>
            </w:tcBorders>
            <w:vAlign w:val="center"/>
            <w:hideMark/>
          </w:tcPr>
          <w:p w14:paraId="5DCF7DDE" w14:textId="6C7F9E1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MS</w:t>
            </w:r>
          </w:p>
        </w:tc>
        <w:tc>
          <w:tcPr>
            <w:tcW w:w="907" w:type="dxa"/>
            <w:tcBorders>
              <w:top w:val="single" w:sz="6" w:space="0" w:color="auto"/>
              <w:left w:val="nil"/>
              <w:bottom w:val="single" w:sz="6" w:space="0" w:color="auto"/>
              <w:right w:val="nil"/>
            </w:tcBorders>
            <w:vAlign w:val="center"/>
            <w:hideMark/>
          </w:tcPr>
          <w:p w14:paraId="7C1C8649" w14:textId="3399CDAE"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E</w:t>
            </w:r>
            <w:r>
              <w:rPr>
                <w:rFonts w:ascii="Arial" w:hAnsi="Arial" w:cs="Arial"/>
                <w:b/>
                <w:bCs/>
                <w:color w:val="000000"/>
                <w:sz w:val="16"/>
                <w:szCs w:val="16"/>
              </w:rPr>
              <w:t>L</w:t>
            </w:r>
          </w:p>
        </w:tc>
        <w:tc>
          <w:tcPr>
            <w:tcW w:w="907" w:type="dxa"/>
            <w:tcBorders>
              <w:top w:val="single" w:sz="6" w:space="0" w:color="auto"/>
              <w:left w:val="nil"/>
              <w:bottom w:val="single" w:sz="6" w:space="0" w:color="auto"/>
              <w:right w:val="nil"/>
            </w:tcBorders>
            <w:vAlign w:val="center"/>
            <w:hideMark/>
          </w:tcPr>
          <w:p w14:paraId="6D589A26" w14:textId="1C0848C4"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 MCI</w:t>
            </w:r>
            <w:r w:rsidR="00667ACC" w:rsidRPr="00151DE8">
              <w:rPr>
                <w:rFonts w:ascii="Arial" w:hAnsi="Arial" w:cs="Arial"/>
                <w:b/>
                <w:bCs/>
                <w:color w:val="000000"/>
                <w:sz w:val="16"/>
                <w:szCs w:val="16"/>
              </w:rPr>
              <w:t xml:space="preserve"> </w:t>
            </w:r>
            <w:r>
              <w:rPr>
                <w:rFonts w:ascii="Arial" w:hAnsi="Arial" w:cs="Arial"/>
                <w:b/>
                <w:bCs/>
                <w:color w:val="000000"/>
                <w:sz w:val="16"/>
                <w:szCs w:val="16"/>
              </w:rPr>
              <w:t>Age</w:t>
            </w:r>
          </w:p>
        </w:tc>
        <w:tc>
          <w:tcPr>
            <w:tcW w:w="1020" w:type="dxa"/>
            <w:tcBorders>
              <w:top w:val="single" w:sz="6" w:space="0" w:color="auto"/>
              <w:left w:val="nil"/>
              <w:bottom w:val="single" w:sz="6" w:space="0" w:color="auto"/>
              <w:right w:val="nil"/>
            </w:tcBorders>
            <w:vAlign w:val="center"/>
            <w:hideMark/>
          </w:tcPr>
          <w:p w14:paraId="7B1E98C4" w14:textId="48E95877" w:rsidR="00667ACC" w:rsidRPr="00151DE8" w:rsidRDefault="00667ACC" w:rsidP="00D22DD3">
            <w:pPr>
              <w:jc w:val="center"/>
              <w:rPr>
                <w:rFonts w:ascii="Arial" w:hAnsi="Arial" w:cs="Arial"/>
                <w:b/>
                <w:bCs/>
                <w:color w:val="000000"/>
                <w:sz w:val="16"/>
                <w:szCs w:val="16"/>
              </w:rPr>
            </w:pPr>
            <w:r w:rsidRPr="00151DE8">
              <w:rPr>
                <w:rFonts w:ascii="Arial" w:hAnsi="Arial" w:cs="Arial"/>
                <w:b/>
                <w:bCs/>
                <w:color w:val="000000"/>
                <w:sz w:val="16"/>
                <w:szCs w:val="16"/>
              </w:rPr>
              <w:t>H</w:t>
            </w:r>
            <w:r w:rsidR="00B87E8C">
              <w:rPr>
                <w:rFonts w:ascii="Arial" w:hAnsi="Arial" w:cs="Arial"/>
                <w:b/>
                <w:bCs/>
                <w:color w:val="000000"/>
                <w:sz w:val="16"/>
                <w:szCs w:val="16"/>
              </w:rPr>
              <w:t>ypertension</w:t>
            </w:r>
            <w:r w:rsidRPr="00151DE8">
              <w:rPr>
                <w:rFonts w:ascii="Arial" w:hAnsi="Arial" w:cs="Arial"/>
                <w:b/>
                <w:bCs/>
                <w:color w:val="000000"/>
                <w:sz w:val="16"/>
                <w:szCs w:val="16"/>
              </w:rPr>
              <w:t xml:space="preserve"> </w:t>
            </w:r>
            <w:r w:rsidR="00B87E8C">
              <w:rPr>
                <w:rFonts w:ascii="Arial" w:hAnsi="Arial" w:cs="Arial"/>
                <w:b/>
                <w:bCs/>
                <w:color w:val="000000"/>
                <w:sz w:val="16"/>
                <w:szCs w:val="16"/>
              </w:rPr>
              <w:t>MCI</w:t>
            </w:r>
            <w:r w:rsidRPr="00151DE8">
              <w:rPr>
                <w:rFonts w:ascii="Arial" w:hAnsi="Arial" w:cs="Arial"/>
                <w:b/>
                <w:bCs/>
                <w:color w:val="000000"/>
                <w:sz w:val="16"/>
                <w:szCs w:val="16"/>
              </w:rPr>
              <w:t xml:space="preserve"> </w:t>
            </w:r>
            <w:r w:rsidR="00B87E8C">
              <w:rPr>
                <w:rFonts w:ascii="Arial" w:hAnsi="Arial" w:cs="Arial"/>
                <w:b/>
                <w:bCs/>
                <w:color w:val="000000"/>
                <w:sz w:val="16"/>
                <w:szCs w:val="16"/>
              </w:rPr>
              <w:t>WC</w:t>
            </w:r>
          </w:p>
        </w:tc>
        <w:tc>
          <w:tcPr>
            <w:tcW w:w="1020" w:type="dxa"/>
            <w:tcBorders>
              <w:top w:val="single" w:sz="6" w:space="0" w:color="auto"/>
              <w:left w:val="nil"/>
              <w:bottom w:val="single" w:sz="6" w:space="0" w:color="auto"/>
              <w:right w:val="nil"/>
            </w:tcBorders>
            <w:vAlign w:val="center"/>
            <w:hideMark/>
          </w:tcPr>
          <w:p w14:paraId="5FD785DF" w14:textId="6E04322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w:t>
            </w:r>
            <w:r>
              <w:rPr>
                <w:rFonts w:ascii="Arial" w:hAnsi="Arial" w:cs="Arial"/>
                <w:b/>
                <w:bCs/>
                <w:color w:val="000000"/>
                <w:sz w:val="16"/>
                <w:szCs w:val="16"/>
              </w:rPr>
              <w:t>MCI</w:t>
            </w:r>
            <w:r w:rsidR="00667ACC" w:rsidRPr="00151DE8">
              <w:rPr>
                <w:rFonts w:ascii="Arial" w:hAnsi="Arial" w:cs="Arial"/>
                <w:b/>
                <w:bCs/>
                <w:color w:val="000000"/>
                <w:sz w:val="16"/>
                <w:szCs w:val="16"/>
              </w:rPr>
              <w:t xml:space="preserve"> </w:t>
            </w:r>
            <w:r>
              <w:rPr>
                <w:rFonts w:ascii="Arial" w:hAnsi="Arial" w:cs="Arial"/>
                <w:b/>
                <w:bCs/>
                <w:color w:val="000000"/>
                <w:sz w:val="16"/>
                <w:szCs w:val="16"/>
              </w:rPr>
              <w:t>BMI</w:t>
            </w:r>
          </w:p>
        </w:tc>
        <w:tc>
          <w:tcPr>
            <w:tcW w:w="1020" w:type="dxa"/>
            <w:tcBorders>
              <w:top w:val="single" w:sz="6" w:space="0" w:color="auto"/>
              <w:left w:val="nil"/>
              <w:bottom w:val="single" w:sz="6" w:space="0" w:color="auto"/>
              <w:right w:val="nil"/>
            </w:tcBorders>
            <w:vAlign w:val="center"/>
            <w:hideMark/>
          </w:tcPr>
          <w:p w14:paraId="6A37A0CA" w14:textId="5611A4C3"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Hypertension</w:t>
            </w:r>
            <w:r w:rsidR="00667ACC" w:rsidRPr="00151DE8">
              <w:rPr>
                <w:rFonts w:ascii="Arial" w:hAnsi="Arial" w:cs="Arial"/>
                <w:b/>
                <w:bCs/>
                <w:color w:val="000000"/>
                <w:sz w:val="16"/>
                <w:szCs w:val="16"/>
              </w:rPr>
              <w:t xml:space="preserve"> DCL </w:t>
            </w:r>
            <w:r>
              <w:rPr>
                <w:rFonts w:ascii="Arial" w:hAnsi="Arial" w:cs="Arial"/>
                <w:b/>
                <w:bCs/>
                <w:color w:val="000000"/>
                <w:sz w:val="16"/>
                <w:szCs w:val="16"/>
              </w:rPr>
              <w:t>DH</w:t>
            </w:r>
          </w:p>
        </w:tc>
        <w:tc>
          <w:tcPr>
            <w:tcW w:w="1022" w:type="dxa"/>
            <w:tcBorders>
              <w:top w:val="single" w:sz="6" w:space="0" w:color="auto"/>
              <w:left w:val="nil"/>
              <w:bottom w:val="single" w:sz="6" w:space="0" w:color="auto"/>
              <w:right w:val="nil"/>
            </w:tcBorders>
            <w:vAlign w:val="center"/>
            <w:hideMark/>
          </w:tcPr>
          <w:p w14:paraId="73204AFC" w14:textId="7F1A924D" w:rsidR="00667ACC" w:rsidRPr="00151DE8" w:rsidRDefault="00B87E8C" w:rsidP="00D22DD3">
            <w:pPr>
              <w:jc w:val="center"/>
              <w:rPr>
                <w:rFonts w:ascii="Arial" w:hAnsi="Arial" w:cs="Arial"/>
                <w:b/>
                <w:bCs/>
                <w:color w:val="000000"/>
                <w:sz w:val="16"/>
                <w:szCs w:val="16"/>
              </w:rPr>
            </w:pPr>
            <w:r>
              <w:rPr>
                <w:rFonts w:ascii="Arial" w:hAnsi="Arial" w:cs="Arial"/>
                <w:b/>
                <w:bCs/>
                <w:color w:val="000000"/>
                <w:sz w:val="16"/>
                <w:szCs w:val="16"/>
              </w:rPr>
              <w:t xml:space="preserve">Hypertension MCI </w:t>
            </w:r>
            <w:r w:rsidR="00667ACC" w:rsidRPr="00151DE8">
              <w:rPr>
                <w:rFonts w:ascii="Arial" w:hAnsi="Arial" w:cs="Arial"/>
                <w:b/>
                <w:bCs/>
                <w:color w:val="000000"/>
                <w:sz w:val="16"/>
                <w:szCs w:val="16"/>
              </w:rPr>
              <w:t>CC</w:t>
            </w:r>
          </w:p>
        </w:tc>
      </w:tr>
      <w:tr w:rsidR="00667ACC" w:rsidRPr="00960291" w14:paraId="012C8F12" w14:textId="77777777" w:rsidTr="00D22DD3">
        <w:trPr>
          <w:trHeight w:val="323"/>
          <w:jc w:val="center"/>
        </w:trPr>
        <w:tc>
          <w:tcPr>
            <w:tcW w:w="964" w:type="dxa"/>
            <w:tcBorders>
              <w:top w:val="single" w:sz="6" w:space="0" w:color="auto"/>
              <w:left w:val="nil"/>
              <w:bottom w:val="nil"/>
              <w:right w:val="nil"/>
            </w:tcBorders>
            <w:noWrap/>
            <w:vAlign w:val="center"/>
            <w:hideMark/>
          </w:tcPr>
          <w:p w14:paraId="72893689" w14:textId="7F760A37"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OR</w:t>
            </w:r>
          </w:p>
        </w:tc>
        <w:tc>
          <w:tcPr>
            <w:tcW w:w="907" w:type="dxa"/>
            <w:tcBorders>
              <w:top w:val="single" w:sz="6" w:space="0" w:color="auto"/>
              <w:left w:val="nil"/>
              <w:bottom w:val="nil"/>
              <w:right w:val="nil"/>
            </w:tcBorders>
            <w:noWrap/>
            <w:vAlign w:val="center"/>
            <w:hideMark/>
          </w:tcPr>
          <w:p w14:paraId="14FE0F6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1A25A0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4.17</w:t>
            </w:r>
          </w:p>
        </w:tc>
        <w:tc>
          <w:tcPr>
            <w:tcW w:w="907" w:type="dxa"/>
            <w:tcBorders>
              <w:top w:val="single" w:sz="6" w:space="0" w:color="auto"/>
              <w:left w:val="nil"/>
              <w:bottom w:val="nil"/>
              <w:right w:val="nil"/>
            </w:tcBorders>
            <w:noWrap/>
            <w:vAlign w:val="center"/>
            <w:hideMark/>
          </w:tcPr>
          <w:p w14:paraId="7C65B14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3.83</w:t>
            </w:r>
          </w:p>
        </w:tc>
        <w:tc>
          <w:tcPr>
            <w:tcW w:w="907" w:type="dxa"/>
            <w:tcBorders>
              <w:top w:val="single" w:sz="6" w:space="0" w:color="auto"/>
              <w:left w:val="nil"/>
              <w:bottom w:val="nil"/>
              <w:right w:val="nil"/>
            </w:tcBorders>
            <w:noWrap/>
            <w:vAlign w:val="center"/>
            <w:hideMark/>
          </w:tcPr>
          <w:p w14:paraId="644F346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4.05</w:t>
            </w:r>
          </w:p>
        </w:tc>
        <w:tc>
          <w:tcPr>
            <w:tcW w:w="907" w:type="dxa"/>
            <w:tcBorders>
              <w:top w:val="single" w:sz="6" w:space="0" w:color="auto"/>
              <w:left w:val="nil"/>
              <w:bottom w:val="nil"/>
              <w:right w:val="nil"/>
            </w:tcBorders>
            <w:noWrap/>
            <w:vAlign w:val="center"/>
            <w:hideMark/>
          </w:tcPr>
          <w:p w14:paraId="4D9B43F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4.01</w:t>
            </w:r>
          </w:p>
        </w:tc>
        <w:tc>
          <w:tcPr>
            <w:tcW w:w="1020" w:type="dxa"/>
            <w:tcBorders>
              <w:top w:val="single" w:sz="6" w:space="0" w:color="auto"/>
              <w:left w:val="nil"/>
              <w:bottom w:val="nil"/>
              <w:right w:val="nil"/>
            </w:tcBorders>
            <w:noWrap/>
            <w:vAlign w:val="center"/>
            <w:hideMark/>
          </w:tcPr>
          <w:p w14:paraId="588C2D8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4.32</w:t>
            </w:r>
          </w:p>
        </w:tc>
        <w:tc>
          <w:tcPr>
            <w:tcW w:w="1020" w:type="dxa"/>
            <w:tcBorders>
              <w:top w:val="single" w:sz="6" w:space="0" w:color="auto"/>
              <w:left w:val="nil"/>
              <w:bottom w:val="nil"/>
              <w:right w:val="nil"/>
            </w:tcBorders>
            <w:noWrap/>
            <w:vAlign w:val="center"/>
            <w:hideMark/>
          </w:tcPr>
          <w:p w14:paraId="14BC88F7"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4.56</w:t>
            </w:r>
          </w:p>
        </w:tc>
        <w:tc>
          <w:tcPr>
            <w:tcW w:w="1020" w:type="dxa"/>
            <w:tcBorders>
              <w:top w:val="single" w:sz="6" w:space="0" w:color="auto"/>
              <w:left w:val="nil"/>
              <w:bottom w:val="nil"/>
              <w:right w:val="nil"/>
            </w:tcBorders>
            <w:noWrap/>
            <w:vAlign w:val="center"/>
            <w:hideMark/>
          </w:tcPr>
          <w:p w14:paraId="1FDF202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3.58</w:t>
            </w:r>
          </w:p>
        </w:tc>
        <w:tc>
          <w:tcPr>
            <w:tcW w:w="1022" w:type="dxa"/>
            <w:tcBorders>
              <w:top w:val="single" w:sz="6" w:space="0" w:color="auto"/>
              <w:left w:val="nil"/>
              <w:bottom w:val="nil"/>
              <w:right w:val="nil"/>
            </w:tcBorders>
            <w:noWrap/>
            <w:vAlign w:val="center"/>
            <w:hideMark/>
          </w:tcPr>
          <w:p w14:paraId="4DE2643E"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4.20</w:t>
            </w:r>
          </w:p>
        </w:tc>
      </w:tr>
      <w:tr w:rsidR="00667ACC" w:rsidRPr="00960291" w14:paraId="5A75EF5A" w14:textId="77777777" w:rsidTr="00D22DD3">
        <w:trPr>
          <w:trHeight w:val="323"/>
          <w:jc w:val="center"/>
        </w:trPr>
        <w:tc>
          <w:tcPr>
            <w:tcW w:w="964" w:type="dxa"/>
            <w:tcBorders>
              <w:top w:val="nil"/>
              <w:left w:val="nil"/>
              <w:bottom w:val="nil"/>
              <w:right w:val="nil"/>
            </w:tcBorders>
            <w:noWrap/>
            <w:vAlign w:val="center"/>
            <w:hideMark/>
          </w:tcPr>
          <w:p w14:paraId="25795246" w14:textId="7DEDA4B1"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CI</w:t>
            </w:r>
            <w:r w:rsidR="00667ACC" w:rsidRPr="00151DE8">
              <w:rPr>
                <w:rFonts w:ascii="Arial" w:hAnsi="Arial" w:cs="Arial"/>
                <w:b/>
                <w:bCs/>
                <w:color w:val="000000"/>
                <w:sz w:val="16"/>
                <w:szCs w:val="16"/>
              </w:rPr>
              <w:t xml:space="preserve"> 95%</w:t>
            </w:r>
          </w:p>
        </w:tc>
        <w:tc>
          <w:tcPr>
            <w:tcW w:w="907" w:type="dxa"/>
            <w:tcBorders>
              <w:top w:val="nil"/>
              <w:left w:val="nil"/>
              <w:bottom w:val="nil"/>
              <w:right w:val="nil"/>
            </w:tcBorders>
            <w:noWrap/>
            <w:vAlign w:val="center"/>
            <w:hideMark/>
          </w:tcPr>
          <w:p w14:paraId="3A560BC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120E365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1.90 - 9.16</w:t>
            </w:r>
          </w:p>
        </w:tc>
        <w:tc>
          <w:tcPr>
            <w:tcW w:w="907" w:type="dxa"/>
            <w:tcBorders>
              <w:top w:val="nil"/>
              <w:left w:val="nil"/>
              <w:bottom w:val="nil"/>
              <w:right w:val="nil"/>
            </w:tcBorders>
            <w:noWrap/>
            <w:vAlign w:val="center"/>
            <w:hideMark/>
          </w:tcPr>
          <w:p w14:paraId="464822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1.71 - 8.62</w:t>
            </w:r>
          </w:p>
        </w:tc>
        <w:tc>
          <w:tcPr>
            <w:tcW w:w="907" w:type="dxa"/>
            <w:tcBorders>
              <w:top w:val="nil"/>
              <w:left w:val="nil"/>
              <w:bottom w:val="nil"/>
              <w:right w:val="nil"/>
            </w:tcBorders>
            <w:noWrap/>
            <w:vAlign w:val="center"/>
            <w:hideMark/>
          </w:tcPr>
          <w:p w14:paraId="5864CDE8"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1.73 - 9.47</w:t>
            </w:r>
          </w:p>
        </w:tc>
        <w:tc>
          <w:tcPr>
            <w:tcW w:w="907" w:type="dxa"/>
            <w:tcBorders>
              <w:top w:val="nil"/>
              <w:left w:val="nil"/>
              <w:bottom w:val="nil"/>
              <w:right w:val="nil"/>
            </w:tcBorders>
            <w:noWrap/>
            <w:vAlign w:val="center"/>
            <w:hideMark/>
          </w:tcPr>
          <w:p w14:paraId="2E3C143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1.82 - 8.86</w:t>
            </w:r>
          </w:p>
        </w:tc>
        <w:tc>
          <w:tcPr>
            <w:tcW w:w="1020" w:type="dxa"/>
            <w:tcBorders>
              <w:top w:val="nil"/>
              <w:left w:val="nil"/>
              <w:bottom w:val="nil"/>
              <w:right w:val="nil"/>
            </w:tcBorders>
            <w:noWrap/>
            <w:vAlign w:val="center"/>
            <w:hideMark/>
          </w:tcPr>
          <w:p w14:paraId="51DFB6FA"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1.81 - 10.28</w:t>
            </w:r>
          </w:p>
        </w:tc>
        <w:tc>
          <w:tcPr>
            <w:tcW w:w="1020" w:type="dxa"/>
            <w:tcBorders>
              <w:top w:val="nil"/>
              <w:left w:val="nil"/>
              <w:bottom w:val="nil"/>
              <w:right w:val="nil"/>
            </w:tcBorders>
            <w:noWrap/>
            <w:vAlign w:val="center"/>
            <w:hideMark/>
          </w:tcPr>
          <w:p w14:paraId="0E7B757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2.00 - 10.40</w:t>
            </w:r>
          </w:p>
        </w:tc>
        <w:tc>
          <w:tcPr>
            <w:tcW w:w="1020" w:type="dxa"/>
            <w:tcBorders>
              <w:top w:val="nil"/>
              <w:left w:val="nil"/>
              <w:bottom w:val="nil"/>
              <w:right w:val="nil"/>
            </w:tcBorders>
            <w:noWrap/>
            <w:vAlign w:val="center"/>
            <w:hideMark/>
          </w:tcPr>
          <w:p w14:paraId="3156AF4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1.33 - 9.68</w:t>
            </w:r>
          </w:p>
        </w:tc>
        <w:tc>
          <w:tcPr>
            <w:tcW w:w="1022" w:type="dxa"/>
            <w:tcBorders>
              <w:top w:val="nil"/>
              <w:left w:val="nil"/>
              <w:bottom w:val="nil"/>
              <w:right w:val="nil"/>
            </w:tcBorders>
            <w:noWrap/>
            <w:vAlign w:val="center"/>
            <w:hideMark/>
          </w:tcPr>
          <w:p w14:paraId="658FD8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1.89 – 9.35</w:t>
            </w:r>
          </w:p>
        </w:tc>
      </w:tr>
      <w:tr w:rsidR="00667ACC" w:rsidRPr="00960291" w14:paraId="6BD0FCB4" w14:textId="77777777" w:rsidTr="00D22DD3">
        <w:trPr>
          <w:trHeight w:val="323"/>
          <w:jc w:val="center"/>
        </w:trPr>
        <w:tc>
          <w:tcPr>
            <w:tcW w:w="964" w:type="dxa"/>
            <w:tcBorders>
              <w:top w:val="nil"/>
              <w:left w:val="nil"/>
              <w:bottom w:val="nil"/>
              <w:right w:val="nil"/>
            </w:tcBorders>
            <w:noWrap/>
            <w:vAlign w:val="center"/>
            <w:hideMark/>
          </w:tcPr>
          <w:p w14:paraId="796C343F" w14:textId="2F8F0EFC" w:rsidR="00667ACC" w:rsidRPr="00151DE8" w:rsidRDefault="00B87E8C" w:rsidP="00D22DD3">
            <w:pPr>
              <w:rPr>
                <w:rFonts w:ascii="Arial" w:hAnsi="Arial" w:cs="Arial"/>
                <w:b/>
                <w:bCs/>
                <w:color w:val="000000"/>
                <w:sz w:val="16"/>
                <w:szCs w:val="16"/>
              </w:rPr>
            </w:pPr>
            <w:r>
              <w:rPr>
                <w:rFonts w:ascii="Arial" w:hAnsi="Arial" w:cs="Arial"/>
                <w:b/>
                <w:bCs/>
                <w:color w:val="000000"/>
                <w:sz w:val="16"/>
                <w:szCs w:val="16"/>
              </w:rPr>
              <w:t>LR T</w:t>
            </w:r>
          </w:p>
        </w:tc>
        <w:tc>
          <w:tcPr>
            <w:tcW w:w="907" w:type="dxa"/>
            <w:tcBorders>
              <w:top w:val="nil"/>
              <w:left w:val="nil"/>
              <w:bottom w:val="nil"/>
              <w:right w:val="nil"/>
            </w:tcBorders>
            <w:noWrap/>
            <w:vAlign w:val="center"/>
            <w:hideMark/>
          </w:tcPr>
          <w:p w14:paraId="471D4BF3"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13.27</w:t>
            </w:r>
          </w:p>
        </w:tc>
        <w:tc>
          <w:tcPr>
            <w:tcW w:w="907" w:type="dxa"/>
            <w:tcBorders>
              <w:top w:val="nil"/>
              <w:left w:val="nil"/>
              <w:bottom w:val="nil"/>
              <w:right w:val="nil"/>
            </w:tcBorders>
            <w:noWrap/>
            <w:vAlign w:val="center"/>
            <w:hideMark/>
          </w:tcPr>
          <w:p w14:paraId="49F774E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0.27</w:t>
            </w:r>
          </w:p>
        </w:tc>
        <w:tc>
          <w:tcPr>
            <w:tcW w:w="907" w:type="dxa"/>
            <w:tcBorders>
              <w:top w:val="nil"/>
              <w:left w:val="nil"/>
              <w:bottom w:val="nil"/>
              <w:right w:val="nil"/>
            </w:tcBorders>
            <w:noWrap/>
            <w:vAlign w:val="center"/>
            <w:hideMark/>
          </w:tcPr>
          <w:p w14:paraId="354BC025"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0.65</w:t>
            </w:r>
          </w:p>
        </w:tc>
        <w:tc>
          <w:tcPr>
            <w:tcW w:w="907" w:type="dxa"/>
            <w:tcBorders>
              <w:top w:val="nil"/>
              <w:left w:val="nil"/>
              <w:bottom w:val="nil"/>
              <w:right w:val="nil"/>
            </w:tcBorders>
            <w:noWrap/>
            <w:vAlign w:val="center"/>
            <w:hideMark/>
          </w:tcPr>
          <w:p w14:paraId="36170E3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15.83</w:t>
            </w:r>
          </w:p>
        </w:tc>
        <w:tc>
          <w:tcPr>
            <w:tcW w:w="907" w:type="dxa"/>
            <w:tcBorders>
              <w:top w:val="nil"/>
              <w:left w:val="nil"/>
              <w:bottom w:val="nil"/>
              <w:right w:val="nil"/>
            </w:tcBorders>
            <w:noWrap/>
            <w:vAlign w:val="center"/>
            <w:hideMark/>
          </w:tcPr>
          <w:p w14:paraId="2D88B4A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0.78</w:t>
            </w:r>
          </w:p>
        </w:tc>
        <w:tc>
          <w:tcPr>
            <w:tcW w:w="1020" w:type="dxa"/>
            <w:tcBorders>
              <w:top w:val="nil"/>
              <w:left w:val="nil"/>
              <w:bottom w:val="nil"/>
              <w:right w:val="nil"/>
            </w:tcBorders>
            <w:noWrap/>
            <w:vAlign w:val="center"/>
            <w:hideMark/>
          </w:tcPr>
          <w:p w14:paraId="7087941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0.04</w:t>
            </w:r>
          </w:p>
        </w:tc>
        <w:tc>
          <w:tcPr>
            <w:tcW w:w="1020" w:type="dxa"/>
            <w:tcBorders>
              <w:top w:val="nil"/>
              <w:left w:val="nil"/>
              <w:bottom w:val="nil"/>
              <w:right w:val="nil"/>
            </w:tcBorders>
            <w:noWrap/>
            <w:vAlign w:val="center"/>
            <w:hideMark/>
          </w:tcPr>
          <w:p w14:paraId="1C48B78F"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1.00</w:t>
            </w:r>
          </w:p>
        </w:tc>
        <w:tc>
          <w:tcPr>
            <w:tcW w:w="1020" w:type="dxa"/>
            <w:tcBorders>
              <w:top w:val="nil"/>
              <w:left w:val="nil"/>
              <w:bottom w:val="nil"/>
              <w:right w:val="nil"/>
            </w:tcBorders>
            <w:noWrap/>
            <w:vAlign w:val="center"/>
            <w:hideMark/>
          </w:tcPr>
          <w:p w14:paraId="2CB698D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0.23</w:t>
            </w:r>
          </w:p>
        </w:tc>
        <w:tc>
          <w:tcPr>
            <w:tcW w:w="1022" w:type="dxa"/>
            <w:tcBorders>
              <w:top w:val="nil"/>
              <w:left w:val="nil"/>
              <w:bottom w:val="nil"/>
              <w:right w:val="nil"/>
            </w:tcBorders>
            <w:noWrap/>
            <w:vAlign w:val="center"/>
            <w:hideMark/>
          </w:tcPr>
          <w:p w14:paraId="7411D979"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0.01</w:t>
            </w:r>
          </w:p>
        </w:tc>
      </w:tr>
      <w:tr w:rsidR="00667ACC" w:rsidRPr="00960291" w14:paraId="4C690C48" w14:textId="77777777" w:rsidTr="00D22DD3">
        <w:trPr>
          <w:trHeight w:val="323"/>
          <w:jc w:val="center"/>
        </w:trPr>
        <w:tc>
          <w:tcPr>
            <w:tcW w:w="964" w:type="dxa"/>
            <w:tcBorders>
              <w:top w:val="nil"/>
              <w:left w:val="nil"/>
              <w:bottom w:val="single" w:sz="6" w:space="0" w:color="auto"/>
              <w:right w:val="nil"/>
            </w:tcBorders>
            <w:noWrap/>
            <w:vAlign w:val="center"/>
            <w:hideMark/>
          </w:tcPr>
          <w:p w14:paraId="4B7B6812" w14:textId="6DEF9B58" w:rsidR="00667ACC" w:rsidRPr="00B87E8C" w:rsidRDefault="00667ACC" w:rsidP="00D22DD3">
            <w:pPr>
              <w:rPr>
                <w:rFonts w:ascii="Arial" w:hAnsi="Arial" w:cs="Arial"/>
                <w:b/>
                <w:bCs/>
                <w:color w:val="000000"/>
                <w:sz w:val="16"/>
                <w:szCs w:val="16"/>
              </w:rPr>
            </w:pPr>
            <w:r w:rsidRPr="00B87E8C">
              <w:rPr>
                <w:rFonts w:ascii="Arial" w:hAnsi="Arial" w:cs="Arial"/>
                <w:b/>
                <w:bCs/>
                <w:i/>
                <w:iCs/>
                <w:color w:val="000000"/>
                <w:sz w:val="16"/>
                <w:szCs w:val="16"/>
              </w:rPr>
              <w:t>P</w:t>
            </w:r>
            <w:r w:rsidR="00B87E8C">
              <w:rPr>
                <w:rFonts w:ascii="Arial" w:hAnsi="Arial" w:cs="Arial"/>
                <w:b/>
                <w:bCs/>
                <w:color w:val="000000"/>
                <w:sz w:val="16"/>
                <w:szCs w:val="16"/>
              </w:rPr>
              <w:t>-value</w:t>
            </w:r>
          </w:p>
        </w:tc>
        <w:tc>
          <w:tcPr>
            <w:tcW w:w="907" w:type="dxa"/>
            <w:tcBorders>
              <w:top w:val="nil"/>
              <w:left w:val="nil"/>
              <w:bottom w:val="single" w:sz="6" w:space="0" w:color="auto"/>
              <w:right w:val="nil"/>
            </w:tcBorders>
            <w:noWrap/>
            <w:vAlign w:val="center"/>
            <w:hideMark/>
          </w:tcPr>
          <w:p w14:paraId="58545CE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0.0003</w:t>
            </w:r>
          </w:p>
        </w:tc>
        <w:tc>
          <w:tcPr>
            <w:tcW w:w="907" w:type="dxa"/>
            <w:tcBorders>
              <w:top w:val="nil"/>
              <w:left w:val="nil"/>
              <w:bottom w:val="single" w:sz="6" w:space="0" w:color="auto"/>
              <w:right w:val="nil"/>
            </w:tcBorders>
            <w:noWrap/>
            <w:vAlign w:val="center"/>
            <w:hideMark/>
          </w:tcPr>
          <w:p w14:paraId="377D902B"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0.60</w:t>
            </w:r>
          </w:p>
        </w:tc>
        <w:tc>
          <w:tcPr>
            <w:tcW w:w="907" w:type="dxa"/>
            <w:tcBorders>
              <w:top w:val="nil"/>
              <w:left w:val="nil"/>
              <w:bottom w:val="single" w:sz="6" w:space="0" w:color="auto"/>
              <w:right w:val="nil"/>
            </w:tcBorders>
            <w:noWrap/>
            <w:vAlign w:val="center"/>
            <w:hideMark/>
          </w:tcPr>
          <w:p w14:paraId="6710919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0.42</w:t>
            </w:r>
          </w:p>
        </w:tc>
        <w:tc>
          <w:tcPr>
            <w:tcW w:w="907" w:type="dxa"/>
            <w:tcBorders>
              <w:top w:val="nil"/>
              <w:left w:val="nil"/>
              <w:bottom w:val="single" w:sz="6" w:space="0" w:color="auto"/>
              <w:right w:val="nil"/>
            </w:tcBorders>
            <w:noWrap/>
            <w:vAlign w:val="center"/>
            <w:hideMark/>
          </w:tcPr>
          <w:p w14:paraId="01AD609D"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0.0001</w:t>
            </w:r>
          </w:p>
        </w:tc>
        <w:tc>
          <w:tcPr>
            <w:tcW w:w="907" w:type="dxa"/>
            <w:tcBorders>
              <w:top w:val="nil"/>
              <w:left w:val="nil"/>
              <w:bottom w:val="single" w:sz="6" w:space="0" w:color="auto"/>
              <w:right w:val="nil"/>
            </w:tcBorders>
            <w:noWrap/>
            <w:vAlign w:val="center"/>
            <w:hideMark/>
          </w:tcPr>
          <w:p w14:paraId="736020F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0.38</w:t>
            </w:r>
          </w:p>
        </w:tc>
        <w:tc>
          <w:tcPr>
            <w:tcW w:w="1020" w:type="dxa"/>
            <w:tcBorders>
              <w:top w:val="nil"/>
              <w:left w:val="nil"/>
              <w:bottom w:val="single" w:sz="6" w:space="0" w:color="auto"/>
              <w:right w:val="nil"/>
            </w:tcBorders>
            <w:noWrap/>
            <w:vAlign w:val="center"/>
            <w:hideMark/>
          </w:tcPr>
          <w:p w14:paraId="49DD1A24"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0.85</w:t>
            </w:r>
          </w:p>
        </w:tc>
        <w:tc>
          <w:tcPr>
            <w:tcW w:w="1020" w:type="dxa"/>
            <w:tcBorders>
              <w:top w:val="nil"/>
              <w:left w:val="nil"/>
              <w:bottom w:val="single" w:sz="6" w:space="0" w:color="auto"/>
              <w:right w:val="nil"/>
            </w:tcBorders>
            <w:noWrap/>
            <w:vAlign w:val="center"/>
            <w:hideMark/>
          </w:tcPr>
          <w:p w14:paraId="4240BE41"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0.32</w:t>
            </w:r>
          </w:p>
        </w:tc>
        <w:tc>
          <w:tcPr>
            <w:tcW w:w="1020" w:type="dxa"/>
            <w:tcBorders>
              <w:top w:val="nil"/>
              <w:left w:val="nil"/>
              <w:bottom w:val="single" w:sz="6" w:space="0" w:color="auto"/>
              <w:right w:val="nil"/>
            </w:tcBorders>
            <w:noWrap/>
            <w:vAlign w:val="center"/>
            <w:hideMark/>
          </w:tcPr>
          <w:p w14:paraId="48CFA206"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0.63</w:t>
            </w:r>
          </w:p>
        </w:tc>
        <w:tc>
          <w:tcPr>
            <w:tcW w:w="1022" w:type="dxa"/>
            <w:tcBorders>
              <w:top w:val="nil"/>
              <w:left w:val="nil"/>
              <w:bottom w:val="single" w:sz="6" w:space="0" w:color="auto"/>
              <w:right w:val="nil"/>
            </w:tcBorders>
            <w:noWrap/>
            <w:vAlign w:val="center"/>
            <w:hideMark/>
          </w:tcPr>
          <w:p w14:paraId="608794EC" w14:textId="77777777" w:rsidR="00667ACC" w:rsidRPr="00151DE8" w:rsidRDefault="00667ACC" w:rsidP="00D22DD3">
            <w:pPr>
              <w:jc w:val="right"/>
              <w:rPr>
                <w:rFonts w:ascii="Arial" w:hAnsi="Arial" w:cs="Arial"/>
                <w:color w:val="000000"/>
                <w:sz w:val="16"/>
                <w:szCs w:val="16"/>
              </w:rPr>
            </w:pPr>
            <w:r w:rsidRPr="00151DE8">
              <w:rPr>
                <w:rFonts w:ascii="Arial" w:hAnsi="Arial" w:cs="Arial"/>
                <w:color w:val="000000"/>
                <w:sz w:val="16"/>
                <w:szCs w:val="16"/>
              </w:rPr>
              <w:t>0.92</w:t>
            </w:r>
          </w:p>
        </w:tc>
      </w:tr>
      <w:tr w:rsidR="00667ACC" w:rsidRPr="00960291" w14:paraId="7667DAAF" w14:textId="77777777" w:rsidTr="00D22DD3">
        <w:trPr>
          <w:trHeight w:val="320"/>
          <w:jc w:val="center"/>
        </w:trPr>
        <w:tc>
          <w:tcPr>
            <w:tcW w:w="9581" w:type="dxa"/>
            <w:gridSpan w:val="10"/>
            <w:tcBorders>
              <w:top w:val="single" w:sz="6" w:space="0" w:color="auto"/>
              <w:left w:val="nil"/>
              <w:bottom w:val="nil"/>
              <w:right w:val="nil"/>
            </w:tcBorders>
            <w:noWrap/>
            <w:vAlign w:val="bottom"/>
            <w:hideMark/>
          </w:tcPr>
          <w:p w14:paraId="75090B3B" w14:textId="2B42146D"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OR</w:t>
            </w:r>
            <w:r w:rsidR="00667ACC" w:rsidRPr="00151DE8">
              <w:rPr>
                <w:rFonts w:ascii="Arial" w:hAnsi="Arial" w:cs="Arial"/>
                <w:i/>
                <w:iCs/>
                <w:color w:val="000000"/>
                <w:sz w:val="18"/>
                <w:szCs w:val="18"/>
              </w:rPr>
              <w:t xml:space="preserve">: </w:t>
            </w:r>
            <w:r>
              <w:rPr>
                <w:rFonts w:ascii="Arial" w:hAnsi="Arial" w:cs="Arial"/>
                <w:i/>
                <w:iCs/>
                <w:color w:val="000000"/>
                <w:sz w:val="18"/>
                <w:szCs w:val="18"/>
              </w:rPr>
              <w:t>Odds Ratio; CI: Confidence Interval; LRT: Likelihood Ratio Test</w:t>
            </w:r>
            <w:r w:rsidR="00B87E8C">
              <w:rPr>
                <w:rFonts w:ascii="Arial" w:hAnsi="Arial" w:cs="Arial"/>
                <w:i/>
                <w:iCs/>
                <w:color w:val="000000"/>
                <w:sz w:val="18"/>
                <w:szCs w:val="18"/>
              </w:rPr>
              <w: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MCI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Mild Cognitive Impairment;</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MS</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Marital Status; EL; Education </w:t>
            </w:r>
            <w:r>
              <w:rPr>
                <w:rFonts w:ascii="Arial" w:hAnsi="Arial" w:cs="Arial"/>
                <w:i/>
                <w:iCs/>
                <w:color w:val="000000"/>
                <w:sz w:val="18"/>
                <w:szCs w:val="18"/>
              </w:rPr>
              <w:t>level;</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WC</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Waist Circumference</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BMI</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Body Mass Index;</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DH</w:t>
            </w:r>
            <w:r w:rsidR="00667ACC" w:rsidRPr="00151DE8">
              <w:rPr>
                <w:rFonts w:ascii="Arial" w:hAnsi="Arial" w:cs="Arial"/>
                <w:i/>
                <w:iCs/>
                <w:color w:val="000000"/>
                <w:sz w:val="18"/>
                <w:szCs w:val="18"/>
              </w:rPr>
              <w:t xml:space="preserve">: </w:t>
            </w:r>
            <w:r w:rsidR="00B87E8C">
              <w:rPr>
                <w:rFonts w:ascii="Arial" w:hAnsi="Arial" w:cs="Arial"/>
                <w:i/>
                <w:iCs/>
                <w:color w:val="000000"/>
                <w:sz w:val="18"/>
                <w:szCs w:val="18"/>
              </w:rPr>
              <w:t xml:space="preserve">Duration of hypertension; CC: </w:t>
            </w:r>
            <w:r>
              <w:rPr>
                <w:rFonts w:ascii="Arial" w:hAnsi="Arial" w:cs="Arial"/>
                <w:i/>
                <w:iCs/>
                <w:color w:val="000000"/>
                <w:sz w:val="18"/>
                <w:szCs w:val="18"/>
              </w:rPr>
              <w:t>Comorbidities.</w:t>
            </w:r>
            <w:r w:rsidR="00B87E8C">
              <w:rPr>
                <w:rFonts w:ascii="Arial" w:hAnsi="Arial" w:cs="Arial"/>
                <w:i/>
                <w:iCs/>
                <w:color w:val="000000"/>
                <w:sz w:val="18"/>
                <w:szCs w:val="18"/>
              </w:rPr>
              <w:t xml:space="preserve"> </w:t>
            </w:r>
          </w:p>
          <w:p w14:paraId="7700D7E8" w14:textId="719D2217" w:rsidR="00667ACC" w:rsidRPr="00151DE8" w:rsidRDefault="00166920" w:rsidP="00D22DD3">
            <w:pPr>
              <w:jc w:val="center"/>
              <w:rPr>
                <w:rFonts w:ascii="Arial" w:hAnsi="Arial" w:cs="Arial"/>
                <w:i/>
                <w:iCs/>
                <w:color w:val="000000"/>
                <w:sz w:val="18"/>
                <w:szCs w:val="18"/>
              </w:rPr>
            </w:pPr>
            <w:r>
              <w:rPr>
                <w:rFonts w:ascii="Arial" w:hAnsi="Arial" w:cs="Arial"/>
                <w:i/>
                <w:iCs/>
                <w:color w:val="000000"/>
                <w:sz w:val="18"/>
                <w:szCs w:val="18"/>
              </w:rPr>
              <w:t>Source: Author’s design</w:t>
            </w:r>
          </w:p>
        </w:tc>
      </w:tr>
    </w:tbl>
    <w:p w14:paraId="554D7CD4" w14:textId="1DDBFA49" w:rsidR="00667ACC" w:rsidRDefault="00667ACC" w:rsidP="00D313DB">
      <w:pPr>
        <w:pStyle w:val="Body"/>
        <w:spacing w:after="0"/>
        <w:rPr>
          <w:rFonts w:ascii="Arial" w:hAnsi="Arial" w:cs="Arial"/>
        </w:rPr>
      </w:pPr>
    </w:p>
    <w:p w14:paraId="2DA383B1" w14:textId="6AC3613F" w:rsidR="00166920" w:rsidRDefault="00166920" w:rsidP="00D313DB">
      <w:pPr>
        <w:pStyle w:val="Body"/>
        <w:spacing w:after="0"/>
        <w:rPr>
          <w:rFonts w:ascii="Arial" w:hAnsi="Arial" w:cs="Arial"/>
        </w:rPr>
      </w:pPr>
      <w:r w:rsidRPr="00166920">
        <w:rPr>
          <w:rFonts w:ascii="Arial" w:hAnsi="Arial" w:cs="Arial"/>
        </w:rPr>
        <w:t xml:space="preserve">Table 5 shows the differences in means and standard deviations of the scores for the different dimensions (visuospatial, identification, attention, language, abstraction, delayed recall, and orientation) measured by the MoCA test in participants with and without </w:t>
      </w:r>
      <w:r>
        <w:rPr>
          <w:rFonts w:ascii="Arial" w:hAnsi="Arial" w:cs="Arial"/>
        </w:rPr>
        <w:t>hypertension</w:t>
      </w:r>
      <w:r w:rsidRPr="00166920">
        <w:rPr>
          <w:rFonts w:ascii="Arial" w:hAnsi="Arial" w:cs="Arial"/>
        </w:rPr>
        <w:t xml:space="preserve">. Student’s </w:t>
      </w:r>
      <w:r w:rsidRPr="00166920">
        <w:rPr>
          <w:rFonts w:ascii="Arial" w:hAnsi="Arial" w:cs="Arial"/>
          <w:i/>
          <w:iCs/>
        </w:rPr>
        <w:t>t</w:t>
      </w:r>
      <w:r w:rsidRPr="00166920">
        <w:rPr>
          <w:rFonts w:ascii="Arial" w:hAnsi="Arial" w:cs="Arial"/>
        </w:rPr>
        <w:t xml:space="preserve">-test was used to compare means, with </w:t>
      </w:r>
      <w:r w:rsidRPr="00166920">
        <w:rPr>
          <w:rFonts w:ascii="Arial" w:hAnsi="Arial" w:cs="Arial"/>
          <w:i/>
          <w:iCs/>
        </w:rPr>
        <w:t>P</w:t>
      </w:r>
      <w:r w:rsidRPr="00166920">
        <w:rPr>
          <w:rFonts w:ascii="Arial" w:hAnsi="Arial" w:cs="Arial"/>
        </w:rPr>
        <w:t>-values indicating statistical significance and degrees of freedom.</w:t>
      </w:r>
    </w:p>
    <w:p w14:paraId="108042AA" w14:textId="77777777" w:rsidR="00166920" w:rsidRDefault="00166920" w:rsidP="00D313DB">
      <w:pPr>
        <w:pStyle w:val="Body"/>
        <w:spacing w:after="0"/>
        <w:rPr>
          <w:rFonts w:ascii="Arial" w:hAnsi="Arial" w:cs="Arial"/>
        </w:rPr>
      </w:pPr>
    </w:p>
    <w:p w14:paraId="0A84F2B1" w14:textId="36346ECB" w:rsidR="00667ACC" w:rsidRDefault="00667ACC" w:rsidP="00667ACC">
      <w:pPr>
        <w:pStyle w:val="Body"/>
        <w:spacing w:after="0"/>
        <w:jc w:val="center"/>
        <w:rPr>
          <w:rFonts w:ascii="Arial" w:hAnsi="Arial" w:cs="Arial"/>
        </w:rPr>
      </w:pPr>
      <w:r w:rsidRPr="00C25C8B">
        <w:rPr>
          <w:rFonts w:ascii="Arial" w:hAnsi="Arial" w:cs="Arial"/>
          <w:b/>
          <w:bCs/>
          <w:color w:val="000000"/>
          <w:lang w:eastAsia="es-MX"/>
        </w:rPr>
        <w:t>Tabl</w:t>
      </w:r>
      <w:r w:rsidR="00166920">
        <w:rPr>
          <w:rFonts w:ascii="Arial" w:hAnsi="Arial" w:cs="Arial"/>
          <w:b/>
          <w:bCs/>
          <w:color w:val="000000"/>
          <w:lang w:eastAsia="es-MX"/>
        </w:rPr>
        <w:t>e</w:t>
      </w:r>
      <w:r w:rsidRPr="00C25C8B">
        <w:rPr>
          <w:rFonts w:ascii="Arial" w:hAnsi="Arial" w:cs="Arial"/>
          <w:b/>
          <w:bCs/>
          <w:color w:val="000000"/>
          <w:lang w:eastAsia="es-MX"/>
        </w:rPr>
        <w:t xml:space="preserve"> </w:t>
      </w:r>
      <w:r>
        <w:rPr>
          <w:rFonts w:ascii="Arial" w:hAnsi="Arial" w:cs="Arial"/>
          <w:b/>
          <w:bCs/>
          <w:color w:val="000000"/>
          <w:lang w:eastAsia="es-MX"/>
        </w:rPr>
        <w:t>5</w:t>
      </w:r>
      <w:r w:rsidRPr="00C25C8B">
        <w:rPr>
          <w:rFonts w:ascii="Arial" w:hAnsi="Arial" w:cs="Arial"/>
          <w:b/>
          <w:bCs/>
          <w:color w:val="000000"/>
          <w:lang w:eastAsia="es-MX"/>
        </w:rPr>
        <w:t xml:space="preserve">. </w:t>
      </w:r>
      <w:r w:rsidR="00166920">
        <w:rPr>
          <w:rFonts w:ascii="Arial" w:hAnsi="Arial" w:cs="Arial"/>
          <w:b/>
          <w:bCs/>
          <w:color w:val="000000"/>
          <w:lang w:eastAsia="es-MX"/>
        </w:rPr>
        <w:t>Differences in cognitive domain scores between participants with and without hypertension</w:t>
      </w:r>
    </w:p>
    <w:tbl>
      <w:tblPr>
        <w:tblW w:w="9071" w:type="dxa"/>
        <w:jc w:val="center"/>
        <w:tblCellMar>
          <w:left w:w="70" w:type="dxa"/>
          <w:right w:w="70" w:type="dxa"/>
        </w:tblCellMar>
        <w:tblLook w:val="04A0" w:firstRow="1" w:lastRow="0" w:firstColumn="1" w:lastColumn="0" w:noHBand="0" w:noVBand="1"/>
      </w:tblPr>
      <w:tblGrid>
        <w:gridCol w:w="1642"/>
        <w:gridCol w:w="1647"/>
        <w:gridCol w:w="1647"/>
        <w:gridCol w:w="1826"/>
        <w:gridCol w:w="474"/>
        <w:gridCol w:w="1826"/>
        <w:gridCol w:w="9"/>
      </w:tblGrid>
      <w:tr w:rsidR="00667ACC" w:rsidRPr="00C25C8B" w14:paraId="6DA43259" w14:textId="77777777" w:rsidTr="00667ACC">
        <w:trPr>
          <w:gridAfter w:val="1"/>
          <w:wAfter w:w="9" w:type="dxa"/>
          <w:trHeight w:val="340"/>
          <w:jc w:val="center"/>
        </w:trPr>
        <w:tc>
          <w:tcPr>
            <w:tcW w:w="1642" w:type="dxa"/>
            <w:tcBorders>
              <w:top w:val="single" w:sz="4" w:space="0" w:color="auto"/>
              <w:left w:val="nil"/>
              <w:bottom w:val="nil"/>
              <w:right w:val="nil"/>
            </w:tcBorders>
            <w:vAlign w:val="center"/>
            <w:hideMark/>
          </w:tcPr>
          <w:p w14:paraId="6C62FA90" w14:textId="77777777" w:rsidR="00667ACC" w:rsidRPr="00C25C8B" w:rsidRDefault="00667ACC" w:rsidP="00667ACC">
            <w:pPr>
              <w:rPr>
                <w:rFonts w:ascii="Arial" w:hAnsi="Arial" w:cs="Arial"/>
                <w:b/>
                <w:bCs/>
                <w:color w:val="000000"/>
                <w:lang w:eastAsia="es-MX"/>
              </w:rPr>
            </w:pPr>
          </w:p>
        </w:tc>
        <w:tc>
          <w:tcPr>
            <w:tcW w:w="3294" w:type="dxa"/>
            <w:gridSpan w:val="2"/>
            <w:tcBorders>
              <w:top w:val="single" w:sz="4" w:space="0" w:color="auto"/>
              <w:left w:val="nil"/>
              <w:bottom w:val="single" w:sz="4" w:space="0" w:color="auto"/>
              <w:right w:val="nil"/>
            </w:tcBorders>
            <w:vAlign w:val="center"/>
            <w:hideMark/>
          </w:tcPr>
          <w:p w14:paraId="2C334B3E" w14:textId="2A5D8E21"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H</w:t>
            </w:r>
            <w:r w:rsidR="00166920">
              <w:rPr>
                <w:rFonts w:ascii="Arial" w:hAnsi="Arial" w:cs="Arial"/>
                <w:b/>
                <w:bCs/>
                <w:color w:val="000000"/>
                <w:lang w:eastAsia="es-MX"/>
              </w:rPr>
              <w:t>ypertension</w:t>
            </w:r>
          </w:p>
        </w:tc>
        <w:tc>
          <w:tcPr>
            <w:tcW w:w="1826" w:type="dxa"/>
            <w:tcBorders>
              <w:top w:val="single" w:sz="4" w:space="0" w:color="auto"/>
              <w:left w:val="nil"/>
              <w:bottom w:val="nil"/>
              <w:right w:val="nil"/>
            </w:tcBorders>
            <w:noWrap/>
            <w:vAlign w:val="center"/>
            <w:hideMark/>
          </w:tcPr>
          <w:p w14:paraId="46DA56C6" w14:textId="1DBF7FC2" w:rsidR="00667ACC" w:rsidRPr="00166920" w:rsidRDefault="00166920" w:rsidP="00D22DD3">
            <w:pPr>
              <w:jc w:val="center"/>
              <w:rPr>
                <w:rFonts w:ascii="Arial" w:hAnsi="Arial" w:cs="Arial"/>
                <w:b/>
                <w:bCs/>
                <w:color w:val="000000"/>
                <w:lang w:eastAsia="es-MX"/>
              </w:rPr>
            </w:pPr>
            <w:r>
              <w:rPr>
                <w:rFonts w:ascii="Arial" w:hAnsi="Arial" w:cs="Arial"/>
                <w:b/>
                <w:bCs/>
                <w:color w:val="000000"/>
                <w:lang w:eastAsia="es-MX"/>
              </w:rPr>
              <w:t xml:space="preserve">Student’s </w:t>
            </w:r>
            <w:r>
              <w:rPr>
                <w:rFonts w:ascii="Arial" w:hAnsi="Arial" w:cs="Arial"/>
                <w:b/>
                <w:bCs/>
                <w:i/>
                <w:iCs/>
                <w:color w:val="000000"/>
                <w:lang w:eastAsia="es-MX"/>
              </w:rPr>
              <w:t xml:space="preserve">t </w:t>
            </w:r>
            <w:r>
              <w:rPr>
                <w:rFonts w:ascii="Arial" w:hAnsi="Arial" w:cs="Arial"/>
                <w:b/>
                <w:bCs/>
                <w:color w:val="000000"/>
                <w:lang w:eastAsia="es-MX"/>
              </w:rPr>
              <w:t>test</w:t>
            </w:r>
          </w:p>
        </w:tc>
        <w:tc>
          <w:tcPr>
            <w:tcW w:w="474" w:type="dxa"/>
            <w:tcBorders>
              <w:top w:val="single" w:sz="4" w:space="0" w:color="auto"/>
              <w:left w:val="nil"/>
              <w:bottom w:val="nil"/>
              <w:right w:val="nil"/>
            </w:tcBorders>
            <w:noWrap/>
            <w:vAlign w:val="center"/>
            <w:hideMark/>
          </w:tcPr>
          <w:p w14:paraId="413FCE2F" w14:textId="706DAE6A" w:rsidR="00667ACC" w:rsidRPr="00C25C8B" w:rsidRDefault="00166920" w:rsidP="00D22DD3">
            <w:pPr>
              <w:jc w:val="center"/>
              <w:rPr>
                <w:rFonts w:ascii="Arial" w:hAnsi="Arial" w:cs="Arial"/>
                <w:b/>
                <w:bCs/>
                <w:color w:val="000000"/>
                <w:lang w:eastAsia="es-MX"/>
              </w:rPr>
            </w:pPr>
            <w:r>
              <w:rPr>
                <w:rFonts w:ascii="Arial" w:hAnsi="Arial" w:cs="Arial"/>
                <w:b/>
                <w:bCs/>
                <w:color w:val="000000"/>
                <w:lang w:eastAsia="es-MX"/>
              </w:rPr>
              <w:t>df</w:t>
            </w:r>
          </w:p>
        </w:tc>
        <w:tc>
          <w:tcPr>
            <w:tcW w:w="1826" w:type="dxa"/>
            <w:tcBorders>
              <w:top w:val="single" w:sz="4" w:space="0" w:color="auto"/>
              <w:left w:val="nil"/>
              <w:bottom w:val="nil"/>
              <w:right w:val="nil"/>
            </w:tcBorders>
            <w:noWrap/>
            <w:vAlign w:val="center"/>
            <w:hideMark/>
          </w:tcPr>
          <w:p w14:paraId="47D5BC43" w14:textId="3465B3CA" w:rsidR="00667ACC" w:rsidRPr="00C25C8B" w:rsidRDefault="00667ACC" w:rsidP="00D22DD3">
            <w:pPr>
              <w:jc w:val="center"/>
              <w:rPr>
                <w:rFonts w:ascii="Arial" w:hAnsi="Arial" w:cs="Arial"/>
                <w:b/>
                <w:bCs/>
                <w:color w:val="000000"/>
                <w:lang w:eastAsia="es-MX"/>
              </w:rPr>
            </w:pPr>
            <w:r w:rsidRPr="00166920">
              <w:rPr>
                <w:rFonts w:ascii="Arial" w:hAnsi="Arial" w:cs="Arial"/>
                <w:b/>
                <w:bCs/>
                <w:i/>
                <w:iCs/>
                <w:color w:val="000000"/>
                <w:lang w:eastAsia="es-MX"/>
              </w:rPr>
              <w:t>P</w:t>
            </w:r>
            <w:r w:rsidR="00166920">
              <w:rPr>
                <w:rFonts w:ascii="Arial" w:hAnsi="Arial" w:cs="Arial"/>
                <w:b/>
                <w:bCs/>
                <w:color w:val="000000"/>
                <w:lang w:eastAsia="es-MX"/>
              </w:rPr>
              <w:t>-value</w:t>
            </w:r>
          </w:p>
        </w:tc>
      </w:tr>
      <w:tr w:rsidR="00667ACC" w:rsidRPr="00C25C8B" w14:paraId="2FB996BF" w14:textId="77777777" w:rsidTr="00D22DD3">
        <w:trPr>
          <w:gridAfter w:val="1"/>
          <w:wAfter w:w="9" w:type="dxa"/>
          <w:trHeight w:val="340"/>
          <w:jc w:val="center"/>
        </w:trPr>
        <w:tc>
          <w:tcPr>
            <w:tcW w:w="1642" w:type="dxa"/>
            <w:tcBorders>
              <w:top w:val="single" w:sz="4" w:space="0" w:color="auto"/>
              <w:left w:val="nil"/>
              <w:bottom w:val="single" w:sz="8" w:space="0" w:color="auto"/>
              <w:right w:val="nil"/>
            </w:tcBorders>
            <w:noWrap/>
            <w:vAlign w:val="center"/>
            <w:hideMark/>
          </w:tcPr>
          <w:p w14:paraId="4F2C82A2"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647" w:type="dxa"/>
            <w:tcBorders>
              <w:top w:val="single" w:sz="4" w:space="0" w:color="auto"/>
              <w:left w:val="nil"/>
              <w:bottom w:val="single" w:sz="8" w:space="0" w:color="auto"/>
              <w:right w:val="nil"/>
            </w:tcBorders>
            <w:noWrap/>
            <w:vAlign w:val="center"/>
            <w:hideMark/>
          </w:tcPr>
          <w:p w14:paraId="799C55E4" w14:textId="0B732ACA" w:rsidR="00667ACC" w:rsidRPr="00C25C8B" w:rsidRDefault="00166920" w:rsidP="00D22DD3">
            <w:pPr>
              <w:jc w:val="center"/>
              <w:rPr>
                <w:rFonts w:ascii="Arial" w:hAnsi="Arial" w:cs="Arial"/>
                <w:b/>
                <w:bCs/>
                <w:color w:val="000000"/>
                <w:lang w:eastAsia="es-MX"/>
              </w:rPr>
            </w:pPr>
            <w:r>
              <w:rPr>
                <w:rFonts w:ascii="Arial" w:hAnsi="Arial" w:cs="Arial"/>
                <w:b/>
                <w:bCs/>
                <w:color w:val="000000"/>
                <w:lang w:eastAsia="es-MX"/>
              </w:rPr>
              <w:t>Yes</w:t>
            </w:r>
          </w:p>
        </w:tc>
        <w:tc>
          <w:tcPr>
            <w:tcW w:w="1647" w:type="dxa"/>
            <w:tcBorders>
              <w:top w:val="single" w:sz="4" w:space="0" w:color="auto"/>
              <w:left w:val="nil"/>
              <w:bottom w:val="single" w:sz="8" w:space="0" w:color="auto"/>
              <w:right w:val="nil"/>
            </w:tcBorders>
            <w:noWrap/>
            <w:vAlign w:val="center"/>
            <w:hideMark/>
          </w:tcPr>
          <w:p w14:paraId="7D98123F" w14:textId="345E17B7" w:rsidR="00667ACC" w:rsidRPr="00C25C8B" w:rsidRDefault="00667ACC" w:rsidP="00D22DD3">
            <w:pPr>
              <w:jc w:val="center"/>
              <w:rPr>
                <w:rFonts w:ascii="Arial" w:hAnsi="Arial" w:cs="Arial"/>
                <w:b/>
                <w:bCs/>
                <w:color w:val="000000"/>
                <w:lang w:eastAsia="es-MX"/>
              </w:rPr>
            </w:pPr>
            <w:r w:rsidRPr="00C25C8B">
              <w:rPr>
                <w:rFonts w:ascii="Arial" w:hAnsi="Arial" w:cs="Arial"/>
                <w:b/>
                <w:bCs/>
                <w:color w:val="000000"/>
                <w:lang w:eastAsia="es-MX"/>
              </w:rPr>
              <w:t>N</w:t>
            </w:r>
            <w:r w:rsidR="00166920">
              <w:rPr>
                <w:rFonts w:ascii="Arial" w:hAnsi="Arial" w:cs="Arial"/>
                <w:b/>
                <w:bCs/>
                <w:color w:val="000000"/>
                <w:lang w:eastAsia="es-MX"/>
              </w:rPr>
              <w:t>o</w:t>
            </w:r>
          </w:p>
        </w:tc>
        <w:tc>
          <w:tcPr>
            <w:tcW w:w="1826" w:type="dxa"/>
            <w:tcBorders>
              <w:top w:val="nil"/>
              <w:left w:val="nil"/>
              <w:bottom w:val="single" w:sz="8" w:space="0" w:color="auto"/>
              <w:right w:val="nil"/>
            </w:tcBorders>
            <w:noWrap/>
            <w:vAlign w:val="center"/>
            <w:hideMark/>
          </w:tcPr>
          <w:p w14:paraId="4E00F5D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474" w:type="dxa"/>
            <w:tcBorders>
              <w:top w:val="nil"/>
              <w:left w:val="nil"/>
              <w:bottom w:val="single" w:sz="8" w:space="0" w:color="auto"/>
              <w:right w:val="nil"/>
            </w:tcBorders>
            <w:noWrap/>
            <w:vAlign w:val="center"/>
            <w:hideMark/>
          </w:tcPr>
          <w:p w14:paraId="15E43C28"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c>
          <w:tcPr>
            <w:tcW w:w="1826" w:type="dxa"/>
            <w:tcBorders>
              <w:top w:val="nil"/>
              <w:left w:val="nil"/>
              <w:bottom w:val="single" w:sz="8" w:space="0" w:color="auto"/>
              <w:right w:val="nil"/>
            </w:tcBorders>
            <w:noWrap/>
            <w:vAlign w:val="center"/>
            <w:hideMark/>
          </w:tcPr>
          <w:p w14:paraId="6FE49874" w14:textId="77777777" w:rsidR="00667ACC" w:rsidRPr="00C25C8B" w:rsidRDefault="00667ACC" w:rsidP="00D22DD3">
            <w:pPr>
              <w:rPr>
                <w:rFonts w:ascii="Calibri" w:hAnsi="Calibri" w:cs="Calibri"/>
                <w:color w:val="000000"/>
                <w:lang w:eastAsia="es-MX"/>
              </w:rPr>
            </w:pPr>
            <w:r w:rsidRPr="00C25C8B">
              <w:rPr>
                <w:rFonts w:ascii="Calibri" w:hAnsi="Calibri" w:cs="Calibri"/>
                <w:color w:val="000000"/>
                <w:lang w:eastAsia="es-MX"/>
              </w:rPr>
              <w:t> </w:t>
            </w:r>
          </w:p>
        </w:tc>
      </w:tr>
      <w:tr w:rsidR="00667ACC" w:rsidRPr="00C25C8B" w14:paraId="2694D655" w14:textId="77777777" w:rsidTr="00D22DD3">
        <w:trPr>
          <w:gridAfter w:val="1"/>
          <w:wAfter w:w="9" w:type="dxa"/>
          <w:trHeight w:val="340"/>
          <w:jc w:val="center"/>
        </w:trPr>
        <w:tc>
          <w:tcPr>
            <w:tcW w:w="3289" w:type="dxa"/>
            <w:gridSpan w:val="2"/>
            <w:tcBorders>
              <w:top w:val="nil"/>
              <w:left w:val="nil"/>
              <w:bottom w:val="nil"/>
              <w:right w:val="nil"/>
            </w:tcBorders>
            <w:noWrap/>
            <w:vAlign w:val="center"/>
            <w:hideMark/>
          </w:tcPr>
          <w:p w14:paraId="7DD8F9EB" w14:textId="0769815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Visuospatial</w:t>
            </w:r>
          </w:p>
        </w:tc>
        <w:tc>
          <w:tcPr>
            <w:tcW w:w="1647" w:type="dxa"/>
            <w:tcBorders>
              <w:top w:val="nil"/>
              <w:left w:val="nil"/>
              <w:bottom w:val="nil"/>
              <w:right w:val="nil"/>
            </w:tcBorders>
            <w:noWrap/>
            <w:vAlign w:val="center"/>
            <w:hideMark/>
          </w:tcPr>
          <w:p w14:paraId="07F8B917"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6BE15F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-3.38</w:t>
            </w:r>
          </w:p>
        </w:tc>
        <w:tc>
          <w:tcPr>
            <w:tcW w:w="474" w:type="dxa"/>
            <w:tcBorders>
              <w:top w:val="nil"/>
              <w:left w:val="nil"/>
              <w:bottom w:val="nil"/>
              <w:right w:val="nil"/>
            </w:tcBorders>
            <w:noWrap/>
            <w:vAlign w:val="center"/>
            <w:hideMark/>
          </w:tcPr>
          <w:p w14:paraId="4018A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0CCCC4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0.001</w:t>
            </w:r>
          </w:p>
        </w:tc>
      </w:tr>
      <w:tr w:rsidR="00667ACC" w:rsidRPr="00C25C8B" w14:paraId="3534297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6EF5279" w14:textId="31E45FC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163BAC6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0A5180A0"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5</w:t>
            </w:r>
          </w:p>
        </w:tc>
        <w:tc>
          <w:tcPr>
            <w:tcW w:w="1826" w:type="dxa"/>
            <w:tcBorders>
              <w:top w:val="nil"/>
              <w:left w:val="nil"/>
              <w:bottom w:val="nil"/>
              <w:right w:val="nil"/>
            </w:tcBorders>
            <w:noWrap/>
            <w:vAlign w:val="center"/>
            <w:hideMark/>
          </w:tcPr>
          <w:p w14:paraId="73C03D1C"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30F543D9"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4C38AC3B" w14:textId="77777777" w:rsidR="00667ACC" w:rsidRPr="00C25C8B" w:rsidRDefault="00667ACC" w:rsidP="00D22DD3">
            <w:pPr>
              <w:rPr>
                <w:rFonts w:ascii="Times New Roman" w:hAnsi="Times New Roman"/>
                <w:lang w:eastAsia="es-MX"/>
              </w:rPr>
            </w:pPr>
          </w:p>
        </w:tc>
      </w:tr>
      <w:tr w:rsidR="00667ACC" w:rsidRPr="00C25C8B" w14:paraId="36110B12"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2D270EB3" w14:textId="7F304D6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w:t>
            </w:r>
            <w:r w:rsidR="00166920">
              <w:rPr>
                <w:rFonts w:ascii="Arial" w:hAnsi="Arial" w:cs="Arial"/>
                <w:color w:val="000000"/>
                <w:lang w:eastAsia="es-MX"/>
              </w:rPr>
              <w:t>Mean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4E6BAE69"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2.91 ± 1.52</w:t>
            </w:r>
          </w:p>
        </w:tc>
        <w:tc>
          <w:tcPr>
            <w:tcW w:w="1647" w:type="dxa"/>
            <w:tcBorders>
              <w:top w:val="nil"/>
              <w:left w:val="nil"/>
              <w:bottom w:val="single" w:sz="8" w:space="0" w:color="auto"/>
              <w:right w:val="nil"/>
            </w:tcBorders>
            <w:noWrap/>
            <w:vAlign w:val="center"/>
            <w:hideMark/>
          </w:tcPr>
          <w:p w14:paraId="140ED3A1"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3.76 ± 1.09</w:t>
            </w:r>
          </w:p>
        </w:tc>
        <w:tc>
          <w:tcPr>
            <w:tcW w:w="1826" w:type="dxa"/>
            <w:tcBorders>
              <w:top w:val="nil"/>
              <w:left w:val="nil"/>
              <w:bottom w:val="single" w:sz="8" w:space="0" w:color="auto"/>
              <w:right w:val="nil"/>
            </w:tcBorders>
            <w:noWrap/>
            <w:vAlign w:val="center"/>
            <w:hideMark/>
          </w:tcPr>
          <w:p w14:paraId="17D9870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0F1DF29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AF00C3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026A9FD4" w14:textId="77777777" w:rsidTr="00D22DD3">
        <w:trPr>
          <w:gridAfter w:val="1"/>
          <w:wAfter w:w="9" w:type="dxa"/>
          <w:trHeight w:val="320"/>
          <w:jc w:val="center"/>
        </w:trPr>
        <w:tc>
          <w:tcPr>
            <w:tcW w:w="3289" w:type="dxa"/>
            <w:gridSpan w:val="2"/>
            <w:tcBorders>
              <w:top w:val="nil"/>
              <w:left w:val="nil"/>
              <w:bottom w:val="nil"/>
              <w:right w:val="nil"/>
            </w:tcBorders>
            <w:noWrap/>
            <w:vAlign w:val="center"/>
            <w:hideMark/>
          </w:tcPr>
          <w:p w14:paraId="46E285C2" w14:textId="18FA79B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Identification</w:t>
            </w:r>
          </w:p>
        </w:tc>
        <w:tc>
          <w:tcPr>
            <w:tcW w:w="1647" w:type="dxa"/>
            <w:tcBorders>
              <w:top w:val="nil"/>
              <w:left w:val="nil"/>
              <w:bottom w:val="nil"/>
              <w:right w:val="nil"/>
            </w:tcBorders>
            <w:noWrap/>
            <w:vAlign w:val="center"/>
            <w:hideMark/>
          </w:tcPr>
          <w:p w14:paraId="7B32439B" w14:textId="77777777" w:rsidR="00667ACC" w:rsidRPr="00C25C8B" w:rsidRDefault="00667ACC" w:rsidP="00D22DD3">
            <w:pPr>
              <w:rPr>
                <w:rFonts w:ascii="Arial" w:hAnsi="Arial" w:cs="Arial"/>
                <w:b/>
                <w:bCs/>
                <w:color w:val="000000"/>
                <w:lang w:eastAsia="es-MX"/>
              </w:rPr>
            </w:pPr>
          </w:p>
        </w:tc>
        <w:tc>
          <w:tcPr>
            <w:tcW w:w="1826" w:type="dxa"/>
            <w:tcBorders>
              <w:top w:val="nil"/>
              <w:left w:val="nil"/>
              <w:bottom w:val="nil"/>
              <w:right w:val="nil"/>
            </w:tcBorders>
            <w:noWrap/>
            <w:vAlign w:val="center"/>
            <w:hideMark/>
          </w:tcPr>
          <w:p w14:paraId="52589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-1.67</w:t>
            </w:r>
          </w:p>
        </w:tc>
        <w:tc>
          <w:tcPr>
            <w:tcW w:w="474" w:type="dxa"/>
            <w:tcBorders>
              <w:top w:val="nil"/>
              <w:left w:val="nil"/>
              <w:bottom w:val="nil"/>
              <w:right w:val="nil"/>
            </w:tcBorders>
            <w:noWrap/>
            <w:vAlign w:val="center"/>
            <w:hideMark/>
          </w:tcPr>
          <w:p w14:paraId="2B153D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68DD07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w:t>
            </w:r>
          </w:p>
        </w:tc>
      </w:tr>
      <w:tr w:rsidR="00667ACC" w:rsidRPr="00C25C8B" w14:paraId="386077D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4F822922" w14:textId="595720EC"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F70E22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38A008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6E768BAE"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54D9719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4E7B6E6" w14:textId="77777777" w:rsidR="00667ACC" w:rsidRPr="00C25C8B" w:rsidRDefault="00667ACC" w:rsidP="00D22DD3">
            <w:pPr>
              <w:rPr>
                <w:rFonts w:ascii="Times New Roman" w:hAnsi="Times New Roman"/>
                <w:lang w:eastAsia="es-MX"/>
              </w:rPr>
            </w:pPr>
          </w:p>
        </w:tc>
      </w:tr>
      <w:tr w:rsidR="00667ACC" w:rsidRPr="00C25C8B" w14:paraId="3DA7AFDF"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67E318BF" w14:textId="6DFC478F"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0E3951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2.57 ± 0.76</w:t>
            </w:r>
          </w:p>
        </w:tc>
        <w:tc>
          <w:tcPr>
            <w:tcW w:w="1647" w:type="dxa"/>
            <w:tcBorders>
              <w:top w:val="nil"/>
              <w:left w:val="nil"/>
              <w:bottom w:val="single" w:sz="8" w:space="0" w:color="auto"/>
              <w:right w:val="nil"/>
            </w:tcBorders>
            <w:noWrap/>
            <w:vAlign w:val="center"/>
            <w:hideMark/>
          </w:tcPr>
          <w:p w14:paraId="4804B77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2.78 ± 0.55</w:t>
            </w:r>
          </w:p>
        </w:tc>
        <w:tc>
          <w:tcPr>
            <w:tcW w:w="1826" w:type="dxa"/>
            <w:tcBorders>
              <w:top w:val="nil"/>
              <w:left w:val="nil"/>
              <w:bottom w:val="single" w:sz="8" w:space="0" w:color="auto"/>
              <w:right w:val="nil"/>
            </w:tcBorders>
            <w:noWrap/>
            <w:vAlign w:val="center"/>
            <w:hideMark/>
          </w:tcPr>
          <w:p w14:paraId="77FFF3D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313AC9F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3761CAA3"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96ED58F"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6512E3FD" w14:textId="4E1E3314"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Attention</w:t>
            </w:r>
          </w:p>
        </w:tc>
        <w:tc>
          <w:tcPr>
            <w:tcW w:w="1647" w:type="dxa"/>
            <w:tcBorders>
              <w:top w:val="nil"/>
              <w:left w:val="nil"/>
              <w:bottom w:val="nil"/>
              <w:right w:val="nil"/>
            </w:tcBorders>
            <w:noWrap/>
            <w:vAlign w:val="center"/>
            <w:hideMark/>
          </w:tcPr>
          <w:p w14:paraId="20C142EB"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3130FB5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3F2683B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-2.91</w:t>
            </w:r>
          </w:p>
        </w:tc>
        <w:tc>
          <w:tcPr>
            <w:tcW w:w="474" w:type="dxa"/>
            <w:tcBorders>
              <w:top w:val="nil"/>
              <w:left w:val="nil"/>
              <w:bottom w:val="nil"/>
              <w:right w:val="nil"/>
            </w:tcBorders>
            <w:noWrap/>
            <w:vAlign w:val="center"/>
            <w:hideMark/>
          </w:tcPr>
          <w:p w14:paraId="4397877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73438A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0.004</w:t>
            </w:r>
          </w:p>
        </w:tc>
      </w:tr>
      <w:tr w:rsidR="00667ACC" w:rsidRPr="00C25C8B" w14:paraId="16C2D3E4"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4C0395D5" w14:textId="6C8F88A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w:t>
            </w:r>
            <w:r w:rsidR="00166920">
              <w:rPr>
                <w:rFonts w:ascii="Arial" w:hAnsi="Arial" w:cs="Arial"/>
                <w:color w:val="000000"/>
                <w:lang w:eastAsia="es-MX"/>
              </w:rPr>
              <w:t>ange</w:t>
            </w:r>
          </w:p>
        </w:tc>
        <w:tc>
          <w:tcPr>
            <w:tcW w:w="1647" w:type="dxa"/>
            <w:tcBorders>
              <w:top w:val="nil"/>
              <w:left w:val="nil"/>
              <w:bottom w:val="nil"/>
              <w:right w:val="nil"/>
            </w:tcBorders>
            <w:noWrap/>
            <w:vAlign w:val="center"/>
            <w:hideMark/>
          </w:tcPr>
          <w:p w14:paraId="4097DFC6"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6</w:t>
            </w:r>
          </w:p>
        </w:tc>
        <w:tc>
          <w:tcPr>
            <w:tcW w:w="1647" w:type="dxa"/>
            <w:tcBorders>
              <w:top w:val="nil"/>
              <w:left w:val="nil"/>
              <w:bottom w:val="nil"/>
              <w:right w:val="nil"/>
            </w:tcBorders>
            <w:noWrap/>
            <w:vAlign w:val="center"/>
            <w:hideMark/>
          </w:tcPr>
          <w:p w14:paraId="1D708F2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6</w:t>
            </w:r>
          </w:p>
        </w:tc>
        <w:tc>
          <w:tcPr>
            <w:tcW w:w="1826" w:type="dxa"/>
            <w:tcBorders>
              <w:top w:val="nil"/>
              <w:left w:val="nil"/>
              <w:bottom w:val="nil"/>
              <w:right w:val="nil"/>
            </w:tcBorders>
            <w:noWrap/>
            <w:vAlign w:val="center"/>
            <w:hideMark/>
          </w:tcPr>
          <w:p w14:paraId="02301440"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0985894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62EF70AF" w14:textId="77777777" w:rsidR="00667ACC" w:rsidRPr="00C25C8B" w:rsidRDefault="00667ACC" w:rsidP="00D22DD3">
            <w:pPr>
              <w:rPr>
                <w:rFonts w:ascii="Times New Roman" w:hAnsi="Times New Roman"/>
                <w:lang w:eastAsia="es-MX"/>
              </w:rPr>
            </w:pPr>
          </w:p>
        </w:tc>
      </w:tr>
      <w:tr w:rsidR="00667ACC" w:rsidRPr="00C25C8B" w14:paraId="1B26C883" w14:textId="77777777" w:rsidTr="00D22DD3">
        <w:trPr>
          <w:gridAfter w:val="1"/>
          <w:wAfter w:w="9" w:type="dxa"/>
          <w:trHeight w:val="320"/>
          <w:jc w:val="center"/>
        </w:trPr>
        <w:tc>
          <w:tcPr>
            <w:tcW w:w="1642" w:type="dxa"/>
            <w:tcBorders>
              <w:top w:val="nil"/>
              <w:left w:val="nil"/>
              <w:bottom w:val="single" w:sz="8" w:space="0" w:color="auto"/>
              <w:right w:val="nil"/>
            </w:tcBorders>
            <w:noWrap/>
            <w:vAlign w:val="center"/>
            <w:hideMark/>
          </w:tcPr>
          <w:p w14:paraId="4B4792B7" w14:textId="4C9DF230"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13D45BD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3.67 ± 1.73</w:t>
            </w:r>
          </w:p>
        </w:tc>
        <w:tc>
          <w:tcPr>
            <w:tcW w:w="1647" w:type="dxa"/>
            <w:tcBorders>
              <w:top w:val="nil"/>
              <w:left w:val="nil"/>
              <w:bottom w:val="single" w:sz="8" w:space="0" w:color="auto"/>
              <w:right w:val="nil"/>
            </w:tcBorders>
            <w:noWrap/>
            <w:vAlign w:val="center"/>
            <w:hideMark/>
          </w:tcPr>
          <w:p w14:paraId="54D4D78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4.53 ± 1.40</w:t>
            </w:r>
          </w:p>
        </w:tc>
        <w:tc>
          <w:tcPr>
            <w:tcW w:w="1826" w:type="dxa"/>
            <w:tcBorders>
              <w:top w:val="nil"/>
              <w:left w:val="nil"/>
              <w:bottom w:val="single" w:sz="8" w:space="0" w:color="auto"/>
              <w:right w:val="nil"/>
            </w:tcBorders>
            <w:noWrap/>
            <w:vAlign w:val="center"/>
            <w:hideMark/>
          </w:tcPr>
          <w:p w14:paraId="045DDA6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F911C6E"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1CFC6E7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F4F16B7"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E7180A" w14:textId="6FA07B8C"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Language</w:t>
            </w:r>
          </w:p>
        </w:tc>
        <w:tc>
          <w:tcPr>
            <w:tcW w:w="1647" w:type="dxa"/>
            <w:tcBorders>
              <w:top w:val="nil"/>
              <w:left w:val="nil"/>
              <w:bottom w:val="nil"/>
              <w:right w:val="nil"/>
            </w:tcBorders>
            <w:noWrap/>
            <w:vAlign w:val="center"/>
            <w:hideMark/>
          </w:tcPr>
          <w:p w14:paraId="7192184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CBAB4DD"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1B93E00"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-2.23</w:t>
            </w:r>
          </w:p>
        </w:tc>
        <w:tc>
          <w:tcPr>
            <w:tcW w:w="474" w:type="dxa"/>
            <w:tcBorders>
              <w:top w:val="nil"/>
              <w:left w:val="nil"/>
              <w:bottom w:val="nil"/>
              <w:right w:val="nil"/>
            </w:tcBorders>
            <w:noWrap/>
            <w:vAlign w:val="center"/>
            <w:hideMark/>
          </w:tcPr>
          <w:p w14:paraId="6A8C7D4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2AAF39F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787AAF7D"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3827327D" w14:textId="3EA85F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52C8AE3D"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647" w:type="dxa"/>
            <w:tcBorders>
              <w:top w:val="nil"/>
              <w:left w:val="nil"/>
              <w:bottom w:val="nil"/>
              <w:right w:val="nil"/>
            </w:tcBorders>
            <w:noWrap/>
            <w:vAlign w:val="center"/>
            <w:hideMark/>
          </w:tcPr>
          <w:p w14:paraId="77D1494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3</w:t>
            </w:r>
          </w:p>
        </w:tc>
        <w:tc>
          <w:tcPr>
            <w:tcW w:w="1826" w:type="dxa"/>
            <w:tcBorders>
              <w:top w:val="nil"/>
              <w:left w:val="nil"/>
              <w:bottom w:val="nil"/>
              <w:right w:val="nil"/>
            </w:tcBorders>
            <w:noWrap/>
            <w:vAlign w:val="center"/>
            <w:hideMark/>
          </w:tcPr>
          <w:p w14:paraId="32F510F2"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E97D9D2"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28C3930" w14:textId="77777777" w:rsidR="00667ACC" w:rsidRPr="00C25C8B" w:rsidRDefault="00667ACC" w:rsidP="00D22DD3">
            <w:pPr>
              <w:rPr>
                <w:rFonts w:ascii="Times New Roman" w:hAnsi="Times New Roman"/>
                <w:lang w:eastAsia="es-MX"/>
              </w:rPr>
            </w:pPr>
          </w:p>
        </w:tc>
      </w:tr>
      <w:tr w:rsidR="00667ACC" w:rsidRPr="00C25C8B" w14:paraId="759305C0"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15AB5270" w14:textId="15B25AEA"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886481C"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1.57 ± 1.04</w:t>
            </w:r>
          </w:p>
        </w:tc>
        <w:tc>
          <w:tcPr>
            <w:tcW w:w="1647" w:type="dxa"/>
            <w:tcBorders>
              <w:top w:val="nil"/>
              <w:left w:val="nil"/>
              <w:bottom w:val="single" w:sz="8" w:space="0" w:color="auto"/>
              <w:right w:val="nil"/>
            </w:tcBorders>
            <w:noWrap/>
            <w:vAlign w:val="center"/>
            <w:hideMark/>
          </w:tcPr>
          <w:p w14:paraId="02894792"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2.0 ± 1.06</w:t>
            </w:r>
          </w:p>
        </w:tc>
        <w:tc>
          <w:tcPr>
            <w:tcW w:w="1826" w:type="dxa"/>
            <w:tcBorders>
              <w:top w:val="nil"/>
              <w:left w:val="nil"/>
              <w:bottom w:val="single" w:sz="8" w:space="0" w:color="auto"/>
              <w:right w:val="nil"/>
            </w:tcBorders>
            <w:noWrap/>
            <w:vAlign w:val="center"/>
            <w:hideMark/>
          </w:tcPr>
          <w:p w14:paraId="678B670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69FB8FB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2C4739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C91FA8"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245082E0" w14:textId="503BE400"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Abstraction</w:t>
            </w:r>
          </w:p>
        </w:tc>
        <w:tc>
          <w:tcPr>
            <w:tcW w:w="1647" w:type="dxa"/>
            <w:tcBorders>
              <w:top w:val="nil"/>
              <w:left w:val="nil"/>
              <w:bottom w:val="nil"/>
              <w:right w:val="nil"/>
            </w:tcBorders>
            <w:noWrap/>
            <w:vAlign w:val="center"/>
            <w:hideMark/>
          </w:tcPr>
          <w:p w14:paraId="3FB9830C"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AE53BA0"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572D41E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-2.71</w:t>
            </w:r>
          </w:p>
        </w:tc>
        <w:tc>
          <w:tcPr>
            <w:tcW w:w="474" w:type="dxa"/>
            <w:tcBorders>
              <w:top w:val="nil"/>
              <w:left w:val="nil"/>
              <w:bottom w:val="nil"/>
              <w:right w:val="nil"/>
            </w:tcBorders>
            <w:noWrap/>
            <w:vAlign w:val="center"/>
            <w:hideMark/>
          </w:tcPr>
          <w:p w14:paraId="7E46913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743DB156"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0.008</w:t>
            </w:r>
          </w:p>
        </w:tc>
      </w:tr>
      <w:tr w:rsidR="00667ACC" w:rsidRPr="00C25C8B" w14:paraId="1099057B"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27D07422" w14:textId="6B0DFC87"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0303F8D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2</w:t>
            </w:r>
          </w:p>
        </w:tc>
        <w:tc>
          <w:tcPr>
            <w:tcW w:w="1647" w:type="dxa"/>
            <w:tcBorders>
              <w:top w:val="nil"/>
              <w:left w:val="nil"/>
              <w:bottom w:val="nil"/>
              <w:right w:val="nil"/>
            </w:tcBorders>
            <w:noWrap/>
            <w:vAlign w:val="center"/>
            <w:hideMark/>
          </w:tcPr>
          <w:p w14:paraId="4A6D5A2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 a 2</w:t>
            </w:r>
          </w:p>
        </w:tc>
        <w:tc>
          <w:tcPr>
            <w:tcW w:w="1826" w:type="dxa"/>
            <w:tcBorders>
              <w:top w:val="nil"/>
              <w:left w:val="nil"/>
              <w:bottom w:val="nil"/>
              <w:right w:val="nil"/>
            </w:tcBorders>
            <w:noWrap/>
            <w:vAlign w:val="center"/>
            <w:hideMark/>
          </w:tcPr>
          <w:p w14:paraId="60290135"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20203A14"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F60D35B" w14:textId="77777777" w:rsidR="00667ACC" w:rsidRPr="00C25C8B" w:rsidRDefault="00667ACC" w:rsidP="00D22DD3">
            <w:pPr>
              <w:rPr>
                <w:rFonts w:ascii="Times New Roman" w:hAnsi="Times New Roman"/>
                <w:lang w:eastAsia="es-MX"/>
              </w:rPr>
            </w:pPr>
          </w:p>
        </w:tc>
      </w:tr>
      <w:tr w:rsidR="00667ACC" w:rsidRPr="00C25C8B" w14:paraId="24FE446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5973F4BB" w14:textId="16652F4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50809AD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1.51 ± 0.67</w:t>
            </w:r>
          </w:p>
        </w:tc>
        <w:tc>
          <w:tcPr>
            <w:tcW w:w="1647" w:type="dxa"/>
            <w:tcBorders>
              <w:top w:val="nil"/>
              <w:left w:val="nil"/>
              <w:bottom w:val="single" w:sz="8" w:space="0" w:color="auto"/>
              <w:right w:val="nil"/>
            </w:tcBorders>
            <w:noWrap/>
            <w:vAlign w:val="center"/>
            <w:hideMark/>
          </w:tcPr>
          <w:p w14:paraId="70C16CC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1.80 ± 0.41</w:t>
            </w:r>
          </w:p>
        </w:tc>
        <w:tc>
          <w:tcPr>
            <w:tcW w:w="1826" w:type="dxa"/>
            <w:tcBorders>
              <w:top w:val="nil"/>
              <w:left w:val="nil"/>
              <w:bottom w:val="single" w:sz="8" w:space="0" w:color="auto"/>
              <w:right w:val="nil"/>
            </w:tcBorders>
            <w:noWrap/>
            <w:vAlign w:val="center"/>
            <w:hideMark/>
          </w:tcPr>
          <w:p w14:paraId="477697A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2BA4FCFF"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738A8AD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567601D1" w14:textId="77777777" w:rsidTr="00D22DD3">
        <w:trPr>
          <w:gridAfter w:val="1"/>
          <w:wAfter w:w="9" w:type="dxa"/>
          <w:trHeight w:val="560"/>
          <w:jc w:val="center"/>
        </w:trPr>
        <w:tc>
          <w:tcPr>
            <w:tcW w:w="1642" w:type="dxa"/>
            <w:tcBorders>
              <w:top w:val="nil"/>
              <w:left w:val="nil"/>
              <w:bottom w:val="nil"/>
              <w:right w:val="nil"/>
            </w:tcBorders>
            <w:vAlign w:val="center"/>
            <w:hideMark/>
          </w:tcPr>
          <w:p w14:paraId="4992466F" w14:textId="1D69F178" w:rsidR="00667ACC" w:rsidRPr="00C25C8B" w:rsidRDefault="00166920" w:rsidP="00D22DD3">
            <w:pPr>
              <w:rPr>
                <w:rFonts w:ascii="Arial" w:hAnsi="Arial" w:cs="Arial"/>
                <w:b/>
                <w:bCs/>
                <w:color w:val="000000"/>
                <w:lang w:eastAsia="es-MX"/>
              </w:rPr>
            </w:pPr>
            <w:r>
              <w:rPr>
                <w:rFonts w:ascii="Arial" w:hAnsi="Arial" w:cs="Arial"/>
                <w:b/>
                <w:bCs/>
                <w:color w:val="000000"/>
                <w:lang w:eastAsia="es-MX"/>
              </w:rPr>
              <w:t>Delayed Recall</w:t>
            </w:r>
          </w:p>
        </w:tc>
        <w:tc>
          <w:tcPr>
            <w:tcW w:w="1647" w:type="dxa"/>
            <w:tcBorders>
              <w:top w:val="nil"/>
              <w:left w:val="nil"/>
              <w:bottom w:val="nil"/>
              <w:right w:val="nil"/>
            </w:tcBorders>
            <w:noWrap/>
            <w:vAlign w:val="center"/>
            <w:hideMark/>
          </w:tcPr>
          <w:p w14:paraId="0BA4DA35"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4E53DA7A"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1F14F2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-1.53</w:t>
            </w:r>
          </w:p>
        </w:tc>
        <w:tc>
          <w:tcPr>
            <w:tcW w:w="474" w:type="dxa"/>
            <w:tcBorders>
              <w:top w:val="nil"/>
              <w:left w:val="nil"/>
              <w:bottom w:val="nil"/>
              <w:right w:val="nil"/>
            </w:tcBorders>
            <w:noWrap/>
            <w:vAlign w:val="center"/>
            <w:hideMark/>
          </w:tcPr>
          <w:p w14:paraId="2175E33C"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429B2F6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0.13</w:t>
            </w:r>
          </w:p>
        </w:tc>
      </w:tr>
      <w:tr w:rsidR="00667ACC" w:rsidRPr="00C25C8B" w14:paraId="4438AE94" w14:textId="77777777" w:rsidTr="00D22DD3">
        <w:trPr>
          <w:gridAfter w:val="1"/>
          <w:wAfter w:w="9" w:type="dxa"/>
          <w:trHeight w:val="340"/>
          <w:jc w:val="center"/>
        </w:trPr>
        <w:tc>
          <w:tcPr>
            <w:tcW w:w="1642" w:type="dxa"/>
            <w:tcBorders>
              <w:top w:val="nil"/>
              <w:left w:val="nil"/>
              <w:bottom w:val="nil"/>
              <w:right w:val="nil"/>
            </w:tcBorders>
            <w:noWrap/>
            <w:vAlign w:val="center"/>
            <w:hideMark/>
          </w:tcPr>
          <w:p w14:paraId="08309DC0" w14:textId="5C600DB4" w:rsidR="00667ACC" w:rsidRPr="00C25C8B" w:rsidRDefault="00667ACC" w:rsidP="00D22DD3">
            <w:pPr>
              <w:rPr>
                <w:rFonts w:ascii="Arial" w:hAnsi="Arial" w:cs="Arial"/>
                <w:color w:val="000000"/>
                <w:lang w:eastAsia="es-MX"/>
              </w:rPr>
            </w:pPr>
            <w:r w:rsidRPr="00C25C8B">
              <w:rPr>
                <w:rFonts w:ascii="Arial" w:hAnsi="Arial" w:cs="Arial"/>
                <w:color w:val="000000"/>
                <w:lang w:eastAsia="es-MX"/>
              </w:rPr>
              <w:lastRenderedPageBreak/>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4C2074AA"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647" w:type="dxa"/>
            <w:tcBorders>
              <w:top w:val="nil"/>
              <w:left w:val="nil"/>
              <w:bottom w:val="nil"/>
              <w:right w:val="nil"/>
            </w:tcBorders>
            <w:noWrap/>
            <w:vAlign w:val="center"/>
            <w:hideMark/>
          </w:tcPr>
          <w:p w14:paraId="14287427"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0 a 5</w:t>
            </w:r>
          </w:p>
        </w:tc>
        <w:tc>
          <w:tcPr>
            <w:tcW w:w="1826" w:type="dxa"/>
            <w:tcBorders>
              <w:top w:val="nil"/>
              <w:left w:val="nil"/>
              <w:bottom w:val="nil"/>
              <w:right w:val="nil"/>
            </w:tcBorders>
            <w:noWrap/>
            <w:vAlign w:val="center"/>
            <w:hideMark/>
          </w:tcPr>
          <w:p w14:paraId="6EFCC033"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71666208"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7FCBB055" w14:textId="77777777" w:rsidR="00667ACC" w:rsidRPr="00C25C8B" w:rsidRDefault="00667ACC" w:rsidP="00D22DD3">
            <w:pPr>
              <w:rPr>
                <w:rFonts w:ascii="Times New Roman" w:hAnsi="Times New Roman"/>
                <w:lang w:eastAsia="es-MX"/>
              </w:rPr>
            </w:pPr>
          </w:p>
        </w:tc>
      </w:tr>
      <w:tr w:rsidR="00667ACC" w:rsidRPr="00C25C8B" w14:paraId="2FCE1DBF"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4D8E4DCA" w14:textId="5D46898B"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74B190B"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1.83 ± 1.85</w:t>
            </w:r>
          </w:p>
        </w:tc>
        <w:tc>
          <w:tcPr>
            <w:tcW w:w="1647" w:type="dxa"/>
            <w:tcBorders>
              <w:top w:val="nil"/>
              <w:left w:val="nil"/>
              <w:bottom w:val="single" w:sz="8" w:space="0" w:color="auto"/>
              <w:right w:val="nil"/>
            </w:tcBorders>
            <w:noWrap/>
            <w:vAlign w:val="center"/>
            <w:hideMark/>
          </w:tcPr>
          <w:p w14:paraId="470CB2F5"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2.31 ± 1.45</w:t>
            </w:r>
          </w:p>
        </w:tc>
        <w:tc>
          <w:tcPr>
            <w:tcW w:w="1826" w:type="dxa"/>
            <w:tcBorders>
              <w:top w:val="nil"/>
              <w:left w:val="nil"/>
              <w:bottom w:val="single" w:sz="8" w:space="0" w:color="auto"/>
              <w:right w:val="nil"/>
            </w:tcBorders>
            <w:noWrap/>
            <w:vAlign w:val="center"/>
            <w:hideMark/>
          </w:tcPr>
          <w:p w14:paraId="4D3A336D"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4CD3AEF2"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6FEB454A"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7D261A2D"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1157F797" w14:textId="221946E7" w:rsidR="00667ACC" w:rsidRPr="00C25C8B" w:rsidRDefault="00166920" w:rsidP="00D22DD3">
            <w:pPr>
              <w:rPr>
                <w:rFonts w:ascii="Arial" w:hAnsi="Arial" w:cs="Arial"/>
                <w:b/>
                <w:bCs/>
                <w:color w:val="000000"/>
                <w:lang w:eastAsia="es-MX"/>
              </w:rPr>
            </w:pPr>
            <w:r w:rsidRPr="00C25C8B">
              <w:rPr>
                <w:rFonts w:ascii="Arial" w:hAnsi="Arial" w:cs="Arial"/>
                <w:b/>
                <w:bCs/>
                <w:color w:val="000000"/>
                <w:lang w:eastAsia="es-MX"/>
              </w:rPr>
              <w:t>Orientation</w:t>
            </w:r>
          </w:p>
        </w:tc>
        <w:tc>
          <w:tcPr>
            <w:tcW w:w="1647" w:type="dxa"/>
            <w:tcBorders>
              <w:top w:val="nil"/>
              <w:left w:val="nil"/>
              <w:bottom w:val="nil"/>
              <w:right w:val="nil"/>
            </w:tcBorders>
            <w:noWrap/>
            <w:vAlign w:val="center"/>
            <w:hideMark/>
          </w:tcPr>
          <w:p w14:paraId="76C20F1A" w14:textId="77777777" w:rsidR="00667ACC" w:rsidRPr="00C25C8B" w:rsidRDefault="00667ACC" w:rsidP="00D22DD3">
            <w:pPr>
              <w:rPr>
                <w:rFonts w:ascii="Arial" w:hAnsi="Arial" w:cs="Arial"/>
                <w:b/>
                <w:bCs/>
                <w:color w:val="000000"/>
                <w:lang w:eastAsia="es-MX"/>
              </w:rPr>
            </w:pPr>
          </w:p>
        </w:tc>
        <w:tc>
          <w:tcPr>
            <w:tcW w:w="1647" w:type="dxa"/>
            <w:tcBorders>
              <w:top w:val="nil"/>
              <w:left w:val="nil"/>
              <w:bottom w:val="nil"/>
              <w:right w:val="nil"/>
            </w:tcBorders>
            <w:noWrap/>
            <w:vAlign w:val="center"/>
            <w:hideMark/>
          </w:tcPr>
          <w:p w14:paraId="0DCA61F1"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281C1A04"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-2.22</w:t>
            </w:r>
          </w:p>
        </w:tc>
        <w:tc>
          <w:tcPr>
            <w:tcW w:w="474" w:type="dxa"/>
            <w:tcBorders>
              <w:top w:val="nil"/>
              <w:left w:val="nil"/>
              <w:bottom w:val="nil"/>
              <w:right w:val="nil"/>
            </w:tcBorders>
            <w:noWrap/>
            <w:vAlign w:val="center"/>
            <w:hideMark/>
          </w:tcPr>
          <w:p w14:paraId="591EDF85"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122</w:t>
            </w:r>
          </w:p>
        </w:tc>
        <w:tc>
          <w:tcPr>
            <w:tcW w:w="1826" w:type="dxa"/>
            <w:tcBorders>
              <w:top w:val="nil"/>
              <w:left w:val="nil"/>
              <w:bottom w:val="nil"/>
              <w:right w:val="nil"/>
            </w:tcBorders>
            <w:noWrap/>
            <w:vAlign w:val="center"/>
            <w:hideMark/>
          </w:tcPr>
          <w:p w14:paraId="1071E9E1"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0.03</w:t>
            </w:r>
          </w:p>
        </w:tc>
      </w:tr>
      <w:tr w:rsidR="00667ACC" w:rsidRPr="00C25C8B" w14:paraId="0F1B949A" w14:textId="77777777" w:rsidTr="00D22DD3">
        <w:trPr>
          <w:gridAfter w:val="1"/>
          <w:wAfter w:w="9" w:type="dxa"/>
          <w:trHeight w:val="320"/>
          <w:jc w:val="center"/>
        </w:trPr>
        <w:tc>
          <w:tcPr>
            <w:tcW w:w="1642" w:type="dxa"/>
            <w:tcBorders>
              <w:top w:val="nil"/>
              <w:left w:val="nil"/>
              <w:bottom w:val="nil"/>
              <w:right w:val="nil"/>
            </w:tcBorders>
            <w:noWrap/>
            <w:vAlign w:val="center"/>
            <w:hideMark/>
          </w:tcPr>
          <w:p w14:paraId="39C72E74" w14:textId="7E8226F6"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Rang</w:t>
            </w:r>
            <w:r w:rsidR="00166920">
              <w:rPr>
                <w:rFonts w:ascii="Arial" w:hAnsi="Arial" w:cs="Arial"/>
                <w:color w:val="000000"/>
                <w:lang w:eastAsia="es-MX"/>
              </w:rPr>
              <w:t>e</w:t>
            </w:r>
          </w:p>
        </w:tc>
        <w:tc>
          <w:tcPr>
            <w:tcW w:w="1647" w:type="dxa"/>
            <w:tcBorders>
              <w:top w:val="nil"/>
              <w:left w:val="nil"/>
              <w:bottom w:val="nil"/>
              <w:right w:val="nil"/>
            </w:tcBorders>
            <w:noWrap/>
            <w:vAlign w:val="center"/>
            <w:hideMark/>
          </w:tcPr>
          <w:p w14:paraId="294DE698"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2 a 6</w:t>
            </w:r>
          </w:p>
        </w:tc>
        <w:tc>
          <w:tcPr>
            <w:tcW w:w="1647" w:type="dxa"/>
            <w:tcBorders>
              <w:top w:val="nil"/>
              <w:left w:val="nil"/>
              <w:bottom w:val="nil"/>
              <w:right w:val="nil"/>
            </w:tcBorders>
            <w:noWrap/>
            <w:vAlign w:val="center"/>
            <w:hideMark/>
          </w:tcPr>
          <w:p w14:paraId="2C940F84"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 a 6</w:t>
            </w:r>
          </w:p>
        </w:tc>
        <w:tc>
          <w:tcPr>
            <w:tcW w:w="1826" w:type="dxa"/>
            <w:tcBorders>
              <w:top w:val="nil"/>
              <w:left w:val="nil"/>
              <w:bottom w:val="nil"/>
              <w:right w:val="nil"/>
            </w:tcBorders>
            <w:noWrap/>
            <w:vAlign w:val="center"/>
            <w:hideMark/>
          </w:tcPr>
          <w:p w14:paraId="4723FA91" w14:textId="77777777" w:rsidR="00667ACC" w:rsidRPr="00C25C8B" w:rsidRDefault="00667ACC" w:rsidP="00D22DD3">
            <w:pPr>
              <w:ind w:firstLineChars="100" w:firstLine="200"/>
              <w:jc w:val="right"/>
              <w:rPr>
                <w:rFonts w:ascii="Arial" w:hAnsi="Arial" w:cs="Arial"/>
                <w:color w:val="000000"/>
                <w:lang w:eastAsia="es-MX"/>
              </w:rPr>
            </w:pPr>
          </w:p>
        </w:tc>
        <w:tc>
          <w:tcPr>
            <w:tcW w:w="474" w:type="dxa"/>
            <w:tcBorders>
              <w:top w:val="nil"/>
              <w:left w:val="nil"/>
              <w:bottom w:val="nil"/>
              <w:right w:val="nil"/>
            </w:tcBorders>
            <w:noWrap/>
            <w:vAlign w:val="center"/>
            <w:hideMark/>
          </w:tcPr>
          <w:p w14:paraId="4A506EAF" w14:textId="77777777" w:rsidR="00667ACC" w:rsidRPr="00C25C8B" w:rsidRDefault="00667ACC" w:rsidP="00D22DD3">
            <w:pPr>
              <w:rPr>
                <w:rFonts w:ascii="Times New Roman" w:hAnsi="Times New Roman"/>
                <w:lang w:eastAsia="es-MX"/>
              </w:rPr>
            </w:pPr>
          </w:p>
        </w:tc>
        <w:tc>
          <w:tcPr>
            <w:tcW w:w="1826" w:type="dxa"/>
            <w:tcBorders>
              <w:top w:val="nil"/>
              <w:left w:val="nil"/>
              <w:bottom w:val="nil"/>
              <w:right w:val="nil"/>
            </w:tcBorders>
            <w:noWrap/>
            <w:vAlign w:val="center"/>
            <w:hideMark/>
          </w:tcPr>
          <w:p w14:paraId="0AB2F988" w14:textId="77777777" w:rsidR="00667ACC" w:rsidRPr="00C25C8B" w:rsidRDefault="00667ACC" w:rsidP="00D22DD3">
            <w:pPr>
              <w:rPr>
                <w:rFonts w:ascii="Times New Roman" w:hAnsi="Times New Roman"/>
                <w:lang w:eastAsia="es-MX"/>
              </w:rPr>
            </w:pPr>
          </w:p>
        </w:tc>
      </w:tr>
      <w:tr w:rsidR="00667ACC" w:rsidRPr="00C25C8B" w14:paraId="2780D2F3" w14:textId="77777777" w:rsidTr="00D22DD3">
        <w:trPr>
          <w:gridAfter w:val="1"/>
          <w:wAfter w:w="9" w:type="dxa"/>
          <w:trHeight w:val="340"/>
          <w:jc w:val="center"/>
        </w:trPr>
        <w:tc>
          <w:tcPr>
            <w:tcW w:w="1642" w:type="dxa"/>
            <w:tcBorders>
              <w:top w:val="nil"/>
              <w:left w:val="nil"/>
              <w:bottom w:val="single" w:sz="8" w:space="0" w:color="auto"/>
              <w:right w:val="nil"/>
            </w:tcBorders>
            <w:noWrap/>
            <w:vAlign w:val="center"/>
            <w:hideMark/>
          </w:tcPr>
          <w:p w14:paraId="30208248" w14:textId="1D5A3B08" w:rsidR="00667ACC" w:rsidRPr="00C25C8B" w:rsidRDefault="00667ACC" w:rsidP="00D22DD3">
            <w:pPr>
              <w:rPr>
                <w:rFonts w:ascii="Arial" w:hAnsi="Arial" w:cs="Arial"/>
                <w:color w:val="000000"/>
                <w:lang w:eastAsia="es-MX"/>
              </w:rPr>
            </w:pPr>
            <w:r w:rsidRPr="00C25C8B">
              <w:rPr>
                <w:rFonts w:ascii="Arial" w:hAnsi="Arial" w:cs="Arial"/>
                <w:color w:val="000000"/>
                <w:lang w:eastAsia="es-MX"/>
              </w:rPr>
              <w:t xml:space="preserve">  Me</w:t>
            </w:r>
            <w:r w:rsidR="00166920">
              <w:rPr>
                <w:rFonts w:ascii="Arial" w:hAnsi="Arial" w:cs="Arial"/>
                <w:color w:val="000000"/>
                <w:lang w:eastAsia="es-MX"/>
              </w:rPr>
              <w:t>an</w:t>
            </w:r>
            <w:r w:rsidRPr="00C25C8B">
              <w:rPr>
                <w:rFonts w:ascii="Arial" w:hAnsi="Arial" w:cs="Arial"/>
                <w:color w:val="000000"/>
                <w:lang w:eastAsia="es-MX"/>
              </w:rPr>
              <w:t xml:space="preserve"> ± </w:t>
            </w:r>
            <w:r w:rsidR="00166920">
              <w:rPr>
                <w:rFonts w:ascii="Arial" w:hAnsi="Arial" w:cs="Arial"/>
                <w:color w:val="000000"/>
                <w:lang w:eastAsia="es-MX"/>
              </w:rPr>
              <w:t>SD</w:t>
            </w:r>
          </w:p>
        </w:tc>
        <w:tc>
          <w:tcPr>
            <w:tcW w:w="1647" w:type="dxa"/>
            <w:tcBorders>
              <w:top w:val="nil"/>
              <w:left w:val="nil"/>
              <w:bottom w:val="single" w:sz="8" w:space="0" w:color="auto"/>
              <w:right w:val="nil"/>
            </w:tcBorders>
            <w:noWrap/>
            <w:vAlign w:val="center"/>
            <w:hideMark/>
          </w:tcPr>
          <w:p w14:paraId="6A32CFAF"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5.72 ± 0.81</w:t>
            </w:r>
          </w:p>
        </w:tc>
        <w:tc>
          <w:tcPr>
            <w:tcW w:w="1647" w:type="dxa"/>
            <w:tcBorders>
              <w:top w:val="nil"/>
              <w:left w:val="nil"/>
              <w:bottom w:val="single" w:sz="8" w:space="0" w:color="auto"/>
              <w:right w:val="nil"/>
            </w:tcBorders>
            <w:noWrap/>
            <w:vAlign w:val="center"/>
            <w:hideMark/>
          </w:tcPr>
          <w:p w14:paraId="3A564A03" w14:textId="77777777" w:rsidR="00667ACC" w:rsidRPr="00C25C8B" w:rsidRDefault="00667ACC" w:rsidP="00D22DD3">
            <w:pPr>
              <w:ind w:firstLineChars="100" w:firstLine="200"/>
              <w:jc w:val="right"/>
              <w:rPr>
                <w:rFonts w:ascii="Arial" w:hAnsi="Arial" w:cs="Arial"/>
                <w:color w:val="000000"/>
                <w:lang w:eastAsia="es-MX"/>
              </w:rPr>
            </w:pPr>
            <w:r w:rsidRPr="00C25C8B">
              <w:rPr>
                <w:rFonts w:ascii="Arial" w:hAnsi="Arial" w:cs="Arial"/>
                <w:color w:val="000000"/>
                <w:lang w:eastAsia="es-MX"/>
              </w:rPr>
              <w:t>5.98 ± 0.14</w:t>
            </w:r>
          </w:p>
        </w:tc>
        <w:tc>
          <w:tcPr>
            <w:tcW w:w="1826" w:type="dxa"/>
            <w:tcBorders>
              <w:top w:val="nil"/>
              <w:left w:val="nil"/>
              <w:bottom w:val="single" w:sz="8" w:space="0" w:color="auto"/>
              <w:right w:val="nil"/>
            </w:tcBorders>
            <w:noWrap/>
            <w:vAlign w:val="center"/>
            <w:hideMark/>
          </w:tcPr>
          <w:p w14:paraId="1B621BF9"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474" w:type="dxa"/>
            <w:tcBorders>
              <w:top w:val="nil"/>
              <w:left w:val="nil"/>
              <w:bottom w:val="single" w:sz="8" w:space="0" w:color="auto"/>
              <w:right w:val="nil"/>
            </w:tcBorders>
            <w:noWrap/>
            <w:vAlign w:val="center"/>
            <w:hideMark/>
          </w:tcPr>
          <w:p w14:paraId="1DD7F2DB"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c>
          <w:tcPr>
            <w:tcW w:w="1826" w:type="dxa"/>
            <w:tcBorders>
              <w:top w:val="nil"/>
              <w:left w:val="nil"/>
              <w:bottom w:val="single" w:sz="8" w:space="0" w:color="auto"/>
              <w:right w:val="nil"/>
            </w:tcBorders>
            <w:noWrap/>
            <w:vAlign w:val="center"/>
            <w:hideMark/>
          </w:tcPr>
          <w:p w14:paraId="008C7568" w14:textId="77777777" w:rsidR="00667ACC" w:rsidRPr="00C25C8B" w:rsidRDefault="00667ACC" w:rsidP="00D22DD3">
            <w:pPr>
              <w:jc w:val="right"/>
              <w:rPr>
                <w:rFonts w:ascii="Arial" w:hAnsi="Arial" w:cs="Arial"/>
                <w:color w:val="000000"/>
                <w:lang w:eastAsia="es-MX"/>
              </w:rPr>
            </w:pPr>
            <w:r w:rsidRPr="00C25C8B">
              <w:rPr>
                <w:rFonts w:ascii="Arial" w:hAnsi="Arial" w:cs="Arial"/>
                <w:color w:val="000000"/>
                <w:lang w:eastAsia="es-MX"/>
              </w:rPr>
              <w:t> </w:t>
            </w:r>
          </w:p>
        </w:tc>
      </w:tr>
      <w:tr w:rsidR="00667ACC" w:rsidRPr="00C25C8B" w14:paraId="186C1B84" w14:textId="77777777" w:rsidTr="00D22DD3">
        <w:trPr>
          <w:trHeight w:val="320"/>
          <w:jc w:val="center"/>
        </w:trPr>
        <w:tc>
          <w:tcPr>
            <w:tcW w:w="9071" w:type="dxa"/>
            <w:gridSpan w:val="7"/>
            <w:tcBorders>
              <w:top w:val="single" w:sz="8" w:space="0" w:color="auto"/>
              <w:left w:val="nil"/>
              <w:bottom w:val="nil"/>
              <w:right w:val="nil"/>
            </w:tcBorders>
            <w:noWrap/>
            <w:vAlign w:val="center"/>
            <w:hideMark/>
          </w:tcPr>
          <w:p w14:paraId="2A49C1D8" w14:textId="637F41EE" w:rsidR="00166920" w:rsidRPr="00166920" w:rsidRDefault="00166920" w:rsidP="00D22DD3">
            <w:pPr>
              <w:jc w:val="center"/>
              <w:rPr>
                <w:rFonts w:ascii="Arial" w:hAnsi="Arial" w:cs="Arial"/>
                <w:i/>
                <w:iCs/>
                <w:color w:val="000000"/>
                <w:lang w:eastAsia="es-MX"/>
              </w:rPr>
            </w:pPr>
            <w:r w:rsidRPr="00166920">
              <w:rPr>
                <w:rFonts w:ascii="Arial" w:hAnsi="Arial" w:cs="Arial"/>
                <w:i/>
                <w:iCs/>
                <w:color w:val="000000"/>
                <w:lang w:eastAsia="es-MX"/>
              </w:rPr>
              <w:t xml:space="preserve">df: </w:t>
            </w:r>
            <w:r>
              <w:rPr>
                <w:rFonts w:ascii="Arial" w:hAnsi="Arial" w:cs="Arial"/>
                <w:i/>
                <w:iCs/>
                <w:color w:val="000000"/>
                <w:lang w:eastAsia="es-MX"/>
              </w:rPr>
              <w:t xml:space="preserve">degrees of freedom; </w:t>
            </w:r>
            <w:r w:rsidR="00CB6BE1">
              <w:rPr>
                <w:rFonts w:ascii="Arial" w:hAnsi="Arial" w:cs="Arial"/>
                <w:i/>
                <w:iCs/>
                <w:color w:val="000000"/>
                <w:lang w:eastAsia="es-MX"/>
              </w:rPr>
              <w:t>SD: Standard Deviation</w:t>
            </w:r>
            <w:r w:rsidRPr="00166920">
              <w:rPr>
                <w:rFonts w:ascii="Arial" w:hAnsi="Arial" w:cs="Arial"/>
                <w:i/>
                <w:iCs/>
                <w:color w:val="000000"/>
                <w:lang w:eastAsia="es-MX"/>
              </w:rPr>
              <w:t xml:space="preserve"> </w:t>
            </w:r>
          </w:p>
          <w:p w14:paraId="142988A7" w14:textId="34CAF720" w:rsidR="00667ACC" w:rsidRPr="00C25C8B" w:rsidRDefault="00CB6BE1" w:rsidP="00D22DD3">
            <w:pPr>
              <w:jc w:val="center"/>
              <w:rPr>
                <w:rFonts w:ascii="Arial" w:hAnsi="Arial" w:cs="Arial"/>
                <w:i/>
                <w:iCs/>
                <w:color w:val="000000"/>
                <w:lang w:eastAsia="es-MX"/>
              </w:rPr>
            </w:pPr>
            <w:r>
              <w:rPr>
                <w:rFonts w:ascii="Arial" w:hAnsi="Arial" w:cs="Arial"/>
                <w:i/>
                <w:iCs/>
                <w:color w:val="000000"/>
                <w:lang w:eastAsia="es-MX"/>
              </w:rPr>
              <w:t>Source</w:t>
            </w:r>
            <w:r w:rsidR="00667ACC" w:rsidRPr="00C25C8B">
              <w:rPr>
                <w:rFonts w:ascii="Arial" w:hAnsi="Arial" w:cs="Arial"/>
                <w:i/>
                <w:iCs/>
                <w:color w:val="000000"/>
                <w:lang w:eastAsia="es-MX"/>
              </w:rPr>
              <w:t xml:space="preserve">: </w:t>
            </w:r>
            <w:r>
              <w:rPr>
                <w:rFonts w:ascii="Arial" w:hAnsi="Arial" w:cs="Arial"/>
                <w:i/>
                <w:iCs/>
                <w:color w:val="000000"/>
                <w:lang w:eastAsia="es-MX"/>
              </w:rPr>
              <w:t>Author’s design</w:t>
            </w:r>
          </w:p>
        </w:tc>
      </w:tr>
    </w:tbl>
    <w:p w14:paraId="060F3C36" w14:textId="77777777" w:rsidR="00667ACC" w:rsidRDefault="00667ACC" w:rsidP="00D313DB">
      <w:pPr>
        <w:pStyle w:val="Body"/>
        <w:spacing w:after="0"/>
        <w:rPr>
          <w:rFonts w:ascii="Arial" w:hAnsi="Arial" w:cs="Arial"/>
        </w:rPr>
      </w:pPr>
    </w:p>
    <w:p w14:paraId="0F8D5F94" w14:textId="4B840DED" w:rsidR="00667ACC" w:rsidRDefault="00CB6BE1" w:rsidP="00667ACC">
      <w:pPr>
        <w:jc w:val="both"/>
        <w:rPr>
          <w:rFonts w:ascii="Arial" w:hAnsi="Arial" w:cs="Arial"/>
        </w:rPr>
      </w:pPr>
      <w:r w:rsidRPr="00CB6BE1">
        <w:rPr>
          <w:rFonts w:ascii="Arial" w:hAnsi="Arial" w:cs="Arial"/>
        </w:rPr>
        <w:t xml:space="preserve">The main objective of this study was to establish the relationship between </w:t>
      </w:r>
      <w:r>
        <w:rPr>
          <w:rFonts w:ascii="Arial" w:hAnsi="Arial" w:cs="Arial"/>
        </w:rPr>
        <w:t>hypertension</w:t>
      </w:r>
      <w:r w:rsidRPr="00CB6BE1">
        <w:rPr>
          <w:rFonts w:ascii="Arial" w:hAnsi="Arial" w:cs="Arial"/>
        </w:rPr>
        <w:t xml:space="preserve"> and MCI. The results indicate that participants diagnosed with </w:t>
      </w:r>
      <w:r>
        <w:rPr>
          <w:rFonts w:ascii="Arial" w:hAnsi="Arial" w:cs="Arial"/>
        </w:rPr>
        <w:t xml:space="preserve">hypertension </w:t>
      </w:r>
      <w:r w:rsidRPr="00CB6BE1">
        <w:rPr>
          <w:rFonts w:ascii="Arial" w:hAnsi="Arial" w:cs="Arial"/>
        </w:rPr>
        <w:t xml:space="preserve">presented a higher frequency of cognitive impairment compared to those without </w:t>
      </w:r>
      <w:r>
        <w:rPr>
          <w:rFonts w:ascii="Arial" w:hAnsi="Arial" w:cs="Arial"/>
        </w:rPr>
        <w:t>it</w:t>
      </w:r>
      <w:r w:rsidRPr="00CB6BE1">
        <w:rPr>
          <w:rFonts w:ascii="Arial" w:hAnsi="Arial" w:cs="Arial"/>
        </w:rPr>
        <w:t>.</w:t>
      </w:r>
    </w:p>
    <w:p w14:paraId="7A7A0528" w14:textId="77777777" w:rsidR="00CB6BE1" w:rsidRDefault="00CB6BE1" w:rsidP="00667ACC">
      <w:pPr>
        <w:jc w:val="both"/>
        <w:rPr>
          <w:rFonts w:ascii="Arial" w:hAnsi="Arial" w:cs="Arial"/>
        </w:rPr>
      </w:pPr>
    </w:p>
    <w:p w14:paraId="45917C44" w14:textId="681E5CF4" w:rsidR="00667ACC" w:rsidRDefault="00CB6BE1" w:rsidP="00667ACC">
      <w:pPr>
        <w:jc w:val="both"/>
        <w:rPr>
          <w:rFonts w:ascii="Arial" w:hAnsi="Arial" w:cs="Arial"/>
        </w:rPr>
      </w:pPr>
      <w:r w:rsidRPr="00CB6BE1">
        <w:rPr>
          <w:rFonts w:ascii="Arial" w:hAnsi="Arial" w:cs="Arial"/>
        </w:rPr>
        <w:t xml:space="preserve">In the present study, 78.67% of participants with </w:t>
      </w:r>
      <w:r w:rsidR="00FB4BD4">
        <w:rPr>
          <w:rFonts w:ascii="Arial" w:hAnsi="Arial" w:cs="Arial"/>
        </w:rPr>
        <w:t>hypertension</w:t>
      </w:r>
      <w:r w:rsidRPr="00CB6BE1">
        <w:rPr>
          <w:rFonts w:ascii="Arial" w:hAnsi="Arial" w:cs="Arial"/>
        </w:rPr>
        <w:t xml:space="preserve"> presented MCI, compared to 46.94% of those without </w:t>
      </w:r>
      <w:r w:rsidR="00FB4BD4">
        <w:rPr>
          <w:rFonts w:ascii="Arial" w:hAnsi="Arial" w:cs="Arial"/>
        </w:rPr>
        <w:t>hypertension</w:t>
      </w:r>
      <w:r w:rsidRPr="00CB6BE1">
        <w:rPr>
          <w:rFonts w:ascii="Arial" w:hAnsi="Arial" w:cs="Arial"/>
        </w:rPr>
        <w:t xml:space="preserve">, with a chi-square value of 13.32, 1 degree of freedom, p = 0.0001, and an OR of 4.17 (95% CI: 1.90–9.16). In their study, Suleman, Padwal, Hamilton, </w:t>
      </w:r>
      <w:proofErr w:type="spellStart"/>
      <w:r w:rsidRPr="00CB6BE1">
        <w:rPr>
          <w:rFonts w:ascii="Arial" w:hAnsi="Arial" w:cs="Arial"/>
        </w:rPr>
        <w:t>Senthilselvan</w:t>
      </w:r>
      <w:proofErr w:type="spellEnd"/>
      <w:r w:rsidRPr="00CB6BE1">
        <w:rPr>
          <w:rFonts w:ascii="Arial" w:hAnsi="Arial" w:cs="Arial"/>
        </w:rPr>
        <w:t xml:space="preserve">, and </w:t>
      </w:r>
      <w:proofErr w:type="spellStart"/>
      <w:r w:rsidRPr="00CB6BE1">
        <w:rPr>
          <w:rFonts w:ascii="Arial" w:hAnsi="Arial" w:cs="Arial"/>
        </w:rPr>
        <w:t>Alagiakrishnan</w:t>
      </w:r>
      <w:proofErr w:type="spellEnd"/>
      <w:r w:rsidRPr="00CB6BE1">
        <w:rPr>
          <w:rFonts w:ascii="Arial" w:hAnsi="Arial" w:cs="Arial"/>
        </w:rPr>
        <w:t xml:space="preserve"> (2017) reported a prevalence of MCI of 52% among individuals with </w:t>
      </w:r>
      <w:r w:rsidR="00FB4BD4">
        <w:rPr>
          <w:rFonts w:ascii="Arial" w:hAnsi="Arial" w:cs="Arial"/>
        </w:rPr>
        <w:t>hypertension</w:t>
      </w:r>
      <w:r w:rsidRPr="00CB6BE1">
        <w:rPr>
          <w:rFonts w:ascii="Arial" w:hAnsi="Arial" w:cs="Arial"/>
        </w:rPr>
        <w:t>, in a sample with sociodemographic characteristics similar to those of the present study. For instance, the mean age was 70 ± 12 years compared to 68.62 ± 5.91 years, the BMI was 29 ± 6 kg/m² compared to 28.64 ± 5.43 kg/m</w:t>
      </w:r>
      <w:commentRangeStart w:id="6"/>
      <w:r w:rsidRPr="00CB6BE1">
        <w:rPr>
          <w:rFonts w:ascii="Arial" w:hAnsi="Arial" w:cs="Arial"/>
        </w:rPr>
        <w:t xml:space="preserve">², and the prevalence of T2D was 38% </w:t>
      </w:r>
      <w:commentRangeEnd w:id="6"/>
      <w:r w:rsidR="00DC18EC">
        <w:rPr>
          <w:rStyle w:val="CommentReference"/>
          <w:rFonts w:ascii="Times New Roman" w:hAnsi="Times New Roman"/>
          <w:lang w:val="nb-NO" w:eastAsia="nb-NO"/>
        </w:rPr>
        <w:commentReference w:id="6"/>
      </w:r>
      <w:r w:rsidRPr="00CB6BE1">
        <w:rPr>
          <w:rFonts w:ascii="Arial" w:hAnsi="Arial" w:cs="Arial"/>
        </w:rPr>
        <w:t xml:space="preserve">compared to 29.03% in the present study. However, in our study, the prevalence of MCI among participants with </w:t>
      </w:r>
      <w:r>
        <w:rPr>
          <w:rFonts w:ascii="Arial" w:hAnsi="Arial" w:cs="Arial"/>
        </w:rPr>
        <w:t>hypertension</w:t>
      </w:r>
      <w:r w:rsidRPr="00CB6BE1">
        <w:rPr>
          <w:rFonts w:ascii="Arial" w:hAnsi="Arial" w:cs="Arial"/>
        </w:rPr>
        <w:t xml:space="preserve"> was considerably higher (78.67%).</w:t>
      </w:r>
    </w:p>
    <w:p w14:paraId="2E70EBB6" w14:textId="77777777" w:rsidR="00CB6BE1" w:rsidRPr="00667ACC" w:rsidRDefault="00CB6BE1" w:rsidP="00667ACC">
      <w:pPr>
        <w:jc w:val="both"/>
        <w:rPr>
          <w:rFonts w:ascii="Arial" w:hAnsi="Arial" w:cs="Arial"/>
        </w:rPr>
      </w:pPr>
    </w:p>
    <w:p w14:paraId="31C8FD3C" w14:textId="488796E7" w:rsidR="00667ACC" w:rsidRDefault="00CB6BE1" w:rsidP="00667ACC">
      <w:pPr>
        <w:jc w:val="both"/>
        <w:rPr>
          <w:rFonts w:ascii="Arial" w:hAnsi="Arial" w:cs="Arial"/>
        </w:rPr>
      </w:pPr>
      <w:r>
        <w:t xml:space="preserve">Similarly, </w:t>
      </w:r>
      <w:r w:rsidRPr="00CB6BE1">
        <w:rPr>
          <w:rStyle w:val="Strong"/>
          <w:b w:val="0"/>
          <w:bCs w:val="0"/>
        </w:rPr>
        <w:t>Cisneros-Zuñiga and Razo-Mendoza (2024)</w:t>
      </w:r>
      <w:r>
        <w:t xml:space="preserve">, in a sample of 382 participants, reported a prevalence of MCI of 66.06%, which was also lower than that observed in the present study. Likewise, </w:t>
      </w:r>
      <w:r w:rsidRPr="00CB6BE1">
        <w:rPr>
          <w:rStyle w:val="Strong"/>
          <w:b w:val="0"/>
          <w:bCs w:val="0"/>
        </w:rPr>
        <w:t>Moreno-Briones (2019)</w:t>
      </w:r>
      <w:r>
        <w:t xml:space="preserve"> evaluated a population comparable to that of Cisneros-Zuñiga, finding a prevalence of MCI of 60.9% among participants with hypertension.</w:t>
      </w:r>
    </w:p>
    <w:p w14:paraId="03FD6F96" w14:textId="77777777" w:rsidR="00CB6BE1" w:rsidRPr="00667ACC" w:rsidRDefault="00CB6BE1" w:rsidP="00667ACC">
      <w:pPr>
        <w:jc w:val="both"/>
        <w:rPr>
          <w:rFonts w:ascii="Arial" w:hAnsi="Arial" w:cs="Arial"/>
        </w:rPr>
      </w:pPr>
    </w:p>
    <w:p w14:paraId="6C2E838A" w14:textId="02C268F2" w:rsidR="00667ACC" w:rsidRDefault="00CB6BE1" w:rsidP="00667ACC">
      <w:pPr>
        <w:jc w:val="both"/>
        <w:rPr>
          <w:rFonts w:ascii="Arial" w:hAnsi="Arial" w:cs="Arial"/>
        </w:rPr>
      </w:pPr>
      <w:r w:rsidRPr="00CB6BE1">
        <w:rPr>
          <w:rFonts w:ascii="Arial" w:hAnsi="Arial" w:cs="Arial"/>
        </w:rPr>
        <w:t>These differences in the prevalence of MCI could be attributed to methodological variations. For instance, Suleman et al. (2017) used the criteria of the European Consortium, which may have influenced their results. Moreover, both Cisneros-Zuñiga and Moreno-Briones employed the MMSE as a screening tool, which has lower sensitivity compared to the MoCA for detecting MCI, potentially explaining the discrepancies observed.</w:t>
      </w:r>
    </w:p>
    <w:p w14:paraId="6748195D" w14:textId="77777777" w:rsidR="00CB6BE1" w:rsidRPr="00667ACC" w:rsidRDefault="00CB6BE1" w:rsidP="00667ACC">
      <w:pPr>
        <w:jc w:val="both"/>
        <w:rPr>
          <w:rFonts w:ascii="Arial" w:hAnsi="Arial" w:cs="Arial"/>
        </w:rPr>
      </w:pPr>
    </w:p>
    <w:p w14:paraId="4F793FCA" w14:textId="731AEC39" w:rsidR="00667ACC" w:rsidRPr="00667ACC" w:rsidRDefault="00357D29" w:rsidP="00667ACC">
      <w:pPr>
        <w:jc w:val="both"/>
        <w:rPr>
          <w:rFonts w:ascii="Arial" w:hAnsi="Arial" w:cs="Arial"/>
        </w:rPr>
      </w:pPr>
      <w:r>
        <w:t xml:space="preserve">The overall statistical analysis confirmed a significant association between </w:t>
      </w:r>
      <w:r w:rsidR="00FB4BD4">
        <w:t>hypertension</w:t>
      </w:r>
      <w:r>
        <w:t xml:space="preserve"> and MCI, with an OR of 4.17 (95% CI: 1.90–9.16), a likelihood ratio test (LRT) value of 13.27, and a </w:t>
      </w:r>
      <w:r>
        <w:rPr>
          <w:rStyle w:val="Emphasis"/>
        </w:rPr>
        <w:t>P</w:t>
      </w:r>
      <w:r>
        <w:t xml:space="preserve">-value of 0.0001 (Table 3). This indicates that individuals with hypertension are approximately four times more likely to present MCI compared to those without the condition. These findings are consistent with those reported by </w:t>
      </w:r>
      <w:proofErr w:type="spellStart"/>
      <w:r w:rsidRPr="00357D29">
        <w:rPr>
          <w:rStyle w:val="Strong"/>
          <w:b w:val="0"/>
          <w:bCs w:val="0"/>
        </w:rPr>
        <w:t>Tzourio</w:t>
      </w:r>
      <w:proofErr w:type="spellEnd"/>
      <w:r w:rsidRPr="00357D29">
        <w:rPr>
          <w:rStyle w:val="Strong"/>
          <w:b w:val="0"/>
          <w:bCs w:val="0"/>
        </w:rPr>
        <w:t xml:space="preserve">, </w:t>
      </w:r>
      <w:proofErr w:type="spellStart"/>
      <w:r w:rsidRPr="00357D29">
        <w:rPr>
          <w:rStyle w:val="Strong"/>
          <w:b w:val="0"/>
          <w:bCs w:val="0"/>
        </w:rPr>
        <w:t>Dufouil</w:t>
      </w:r>
      <w:proofErr w:type="spellEnd"/>
      <w:r w:rsidRPr="00357D29">
        <w:rPr>
          <w:rStyle w:val="Strong"/>
          <w:b w:val="0"/>
          <w:bCs w:val="0"/>
        </w:rPr>
        <w:t xml:space="preserve">, </w:t>
      </w:r>
      <w:proofErr w:type="spellStart"/>
      <w:r w:rsidRPr="00357D29">
        <w:rPr>
          <w:rStyle w:val="Strong"/>
          <w:b w:val="0"/>
          <w:bCs w:val="0"/>
        </w:rPr>
        <w:t>Ducimetiere</w:t>
      </w:r>
      <w:proofErr w:type="spellEnd"/>
      <w:r w:rsidRPr="00357D29">
        <w:rPr>
          <w:rStyle w:val="Strong"/>
          <w:b w:val="0"/>
          <w:bCs w:val="0"/>
        </w:rPr>
        <w:t xml:space="preserve">, and </w:t>
      </w:r>
      <w:proofErr w:type="spellStart"/>
      <w:r w:rsidRPr="00357D29">
        <w:rPr>
          <w:rStyle w:val="Strong"/>
          <w:b w:val="0"/>
          <w:bCs w:val="0"/>
        </w:rPr>
        <w:t>Alperovitch</w:t>
      </w:r>
      <w:proofErr w:type="spellEnd"/>
      <w:r w:rsidRPr="00357D29">
        <w:rPr>
          <w:rStyle w:val="Strong"/>
          <w:b w:val="0"/>
          <w:bCs w:val="0"/>
        </w:rPr>
        <w:t xml:space="preserve"> (1999)</w:t>
      </w:r>
      <w:r>
        <w:t xml:space="preserve">, who, in a longitudinal study, documented an overall OR of 2.8, with notable differences depending on </w:t>
      </w:r>
      <w:commentRangeStart w:id="7"/>
      <w:r>
        <w:t>antihypertensive treatment: an OR of 4.3 among untreated participants and 1.9 among those under treatment. Furthermore, after two years of follow-up, they observed an increase in the OR to 6.0 in the untreated group, while in the treated group it decreased to 1.3.</w:t>
      </w:r>
      <w:commentRangeEnd w:id="7"/>
      <w:r w:rsidR="00DC18EC">
        <w:rPr>
          <w:rStyle w:val="CommentReference"/>
          <w:rFonts w:ascii="Times New Roman" w:hAnsi="Times New Roman"/>
          <w:lang w:val="nb-NO" w:eastAsia="nb-NO"/>
        </w:rPr>
        <w:commentReference w:id="7"/>
      </w:r>
    </w:p>
    <w:p w14:paraId="79910F8E" w14:textId="77777777" w:rsidR="00667ACC" w:rsidRPr="00667ACC" w:rsidRDefault="00667ACC" w:rsidP="00667ACC">
      <w:pPr>
        <w:jc w:val="both"/>
        <w:rPr>
          <w:rFonts w:ascii="Arial" w:hAnsi="Arial" w:cs="Arial"/>
        </w:rPr>
      </w:pPr>
    </w:p>
    <w:p w14:paraId="49D0012A" w14:textId="405F4549" w:rsidR="00667ACC" w:rsidRDefault="00357D29" w:rsidP="00667ACC">
      <w:pPr>
        <w:jc w:val="both"/>
        <w:rPr>
          <w:rFonts w:ascii="Arial" w:hAnsi="Arial" w:cs="Arial"/>
        </w:rPr>
      </w:pPr>
      <w:r w:rsidRPr="00357D29">
        <w:rPr>
          <w:rFonts w:ascii="Arial" w:hAnsi="Arial" w:cs="Arial"/>
        </w:rPr>
        <w:t>These findings reinforce the hypothesis that hypertension contributes to cognitive decline through mechanisms such as cerebrovascular dysfunction, chronic inflammation, and oxidative stress</w:t>
      </w:r>
      <w:r>
        <w:rPr>
          <w:rFonts w:ascii="Arial" w:hAnsi="Arial" w:cs="Arial"/>
        </w:rPr>
        <w:t xml:space="preserve"> </w:t>
      </w:r>
      <w:r w:rsidRPr="00357D29">
        <w:rPr>
          <w:rFonts w:ascii="Arial" w:hAnsi="Arial" w:cs="Arial"/>
        </w:rPr>
        <w:t xml:space="preserve">—all of which are associated with accelerated brain aging. In this regard, early detection and timely management of </w:t>
      </w:r>
      <w:r>
        <w:rPr>
          <w:rFonts w:ascii="Arial" w:hAnsi="Arial" w:cs="Arial"/>
        </w:rPr>
        <w:t>hypertension</w:t>
      </w:r>
      <w:r w:rsidRPr="00357D29">
        <w:rPr>
          <w:rFonts w:ascii="Arial" w:hAnsi="Arial" w:cs="Arial"/>
        </w:rPr>
        <w:t xml:space="preserve"> could represent a relevant strategy for the prevention of MCI.</w:t>
      </w:r>
    </w:p>
    <w:p w14:paraId="72B6A426" w14:textId="77777777" w:rsidR="00357D29" w:rsidRPr="00667ACC" w:rsidRDefault="00357D29" w:rsidP="00667ACC">
      <w:pPr>
        <w:jc w:val="both"/>
        <w:rPr>
          <w:rFonts w:ascii="Arial" w:hAnsi="Arial" w:cs="Arial"/>
        </w:rPr>
      </w:pPr>
    </w:p>
    <w:p w14:paraId="0F11CDEB" w14:textId="54264174" w:rsidR="00667ACC" w:rsidRDefault="00357D29" w:rsidP="00667ACC">
      <w:pPr>
        <w:jc w:val="both"/>
        <w:rPr>
          <w:rFonts w:ascii="Arial" w:hAnsi="Arial" w:cs="Arial"/>
        </w:rPr>
      </w:pPr>
      <w:r>
        <w:lastRenderedPageBreak/>
        <w:t>Regarding other variables such as sex, marital status, age, BMI, waist circumference, and the presence of comorbidities, none showed a statistically significant association with MCI (Table 4). However, educational level acted as a confounding factor in the relationship between hypertension and MCI, reducing the OR to 4.05. Education is an essential component of cognitive reserve, and lower educational attainment has been associated with increased vulnerability to cognitive decline (</w:t>
      </w:r>
      <w:r>
        <w:rPr>
          <w:rStyle w:val="Emphasis"/>
        </w:rPr>
        <w:t>Stern, 20</w:t>
      </w:r>
      <w:r w:rsidR="00664827">
        <w:rPr>
          <w:rStyle w:val="Emphasis"/>
        </w:rPr>
        <w:t>1</w:t>
      </w:r>
      <w:r>
        <w:rPr>
          <w:rStyle w:val="Emphasis"/>
        </w:rPr>
        <w:t>2</w:t>
      </w:r>
      <w:r>
        <w:t>). This could explain, at least in part, the modulation of the observed effect.</w:t>
      </w:r>
    </w:p>
    <w:p w14:paraId="37FAA295" w14:textId="77777777" w:rsidR="00357D29" w:rsidRPr="00667ACC" w:rsidRDefault="00357D29" w:rsidP="00667ACC">
      <w:pPr>
        <w:jc w:val="both"/>
        <w:rPr>
          <w:rFonts w:ascii="Arial" w:hAnsi="Arial" w:cs="Arial"/>
        </w:rPr>
      </w:pPr>
    </w:p>
    <w:p w14:paraId="04D52B4F" w14:textId="322C4544" w:rsidR="00667ACC" w:rsidRDefault="00357D29" w:rsidP="00667ACC">
      <w:pPr>
        <w:jc w:val="both"/>
        <w:rPr>
          <w:rFonts w:ascii="Arial" w:hAnsi="Arial" w:cs="Arial"/>
        </w:rPr>
      </w:pPr>
      <w:r w:rsidRPr="00357D29">
        <w:rPr>
          <w:rFonts w:ascii="Arial" w:hAnsi="Arial" w:cs="Arial"/>
        </w:rPr>
        <w:t xml:space="preserve">The analysis by cognitive domains showed that individuals with </w:t>
      </w:r>
      <w:r w:rsidR="00FB4BD4">
        <w:rPr>
          <w:rFonts w:ascii="Arial" w:hAnsi="Arial" w:cs="Arial"/>
        </w:rPr>
        <w:t>hypertension</w:t>
      </w:r>
      <w:r w:rsidRPr="00357D29">
        <w:rPr>
          <w:rFonts w:ascii="Arial" w:hAnsi="Arial" w:cs="Arial"/>
        </w:rPr>
        <w:t xml:space="preserve"> exhibited poorer performance in the visuospatial, attention, language, abstraction, and orientation areas (p &lt; 0.05) compared to those without hypertension (Table 5). However, no significant differences were observed in the identification or delayed recall domains. These results suggest that </w:t>
      </w:r>
      <w:r w:rsidR="00FB4BD4">
        <w:rPr>
          <w:rFonts w:ascii="Arial" w:hAnsi="Arial" w:cs="Arial"/>
        </w:rPr>
        <w:t>hypertension</w:t>
      </w:r>
      <w:r w:rsidRPr="00357D29">
        <w:rPr>
          <w:rFonts w:ascii="Arial" w:hAnsi="Arial" w:cs="Arial"/>
        </w:rPr>
        <w:t xml:space="preserve"> may selectively affect certain cognitive domains, particularly those related to executive function and sustained attention.</w:t>
      </w:r>
    </w:p>
    <w:p w14:paraId="377146CB" w14:textId="77777777" w:rsidR="00357D29" w:rsidRPr="00667ACC" w:rsidRDefault="00357D29" w:rsidP="00667ACC">
      <w:pPr>
        <w:jc w:val="both"/>
        <w:rPr>
          <w:rFonts w:ascii="Arial" w:hAnsi="Arial" w:cs="Arial"/>
        </w:rPr>
      </w:pPr>
    </w:p>
    <w:p w14:paraId="59860A49" w14:textId="79D30507" w:rsidR="00667ACC" w:rsidRDefault="00357D29" w:rsidP="00667ACC">
      <w:pPr>
        <w:jc w:val="both"/>
        <w:rPr>
          <w:rFonts w:ascii="Arial" w:hAnsi="Arial" w:cs="Arial"/>
        </w:rPr>
      </w:pPr>
      <w:r w:rsidRPr="00357D29">
        <w:rPr>
          <w:rFonts w:ascii="Arial" w:hAnsi="Arial" w:cs="Arial"/>
        </w:rPr>
        <w:t>Taken together, these findings underscore the importance of strict blood pressure control as a potential strategy for preventing cognitive decline in older adults. Future longitudinal studies could help clarify the causal direction of this relationship and assess the impact of antihypertensive interventions on cognitive outcomes.</w:t>
      </w:r>
    </w:p>
    <w:p w14:paraId="20845649" w14:textId="77777777" w:rsidR="00357D29" w:rsidRPr="00667ACC" w:rsidRDefault="00357D29" w:rsidP="00667ACC">
      <w:pPr>
        <w:jc w:val="both"/>
        <w:rPr>
          <w:rFonts w:ascii="Arial" w:hAnsi="Arial" w:cs="Arial"/>
        </w:rPr>
      </w:pPr>
    </w:p>
    <w:p w14:paraId="4C15483A" w14:textId="0D17DCA4" w:rsidR="003C1CDA" w:rsidRDefault="00357D29" w:rsidP="00AC2937">
      <w:pPr>
        <w:jc w:val="both"/>
        <w:rPr>
          <w:rFonts w:ascii="Arial" w:hAnsi="Arial" w:cs="Arial"/>
        </w:rPr>
      </w:pPr>
      <w:r w:rsidRPr="00357D29">
        <w:rPr>
          <w:rFonts w:ascii="Arial" w:hAnsi="Arial" w:cs="Arial"/>
        </w:rPr>
        <w:t xml:space="preserve">Based on the results obtained—78.67% of participants with </w:t>
      </w:r>
      <w:r w:rsidR="00FB4BD4">
        <w:rPr>
          <w:rFonts w:ascii="Arial" w:hAnsi="Arial" w:cs="Arial"/>
        </w:rPr>
        <w:t>hypertension</w:t>
      </w:r>
      <w:r w:rsidR="008660F8">
        <w:rPr>
          <w:rFonts w:ascii="Arial" w:hAnsi="Arial" w:cs="Arial"/>
        </w:rPr>
        <w:t xml:space="preserve"> </w:t>
      </w:r>
      <w:r w:rsidRPr="00357D29">
        <w:rPr>
          <w:rFonts w:ascii="Arial" w:hAnsi="Arial" w:cs="Arial"/>
        </w:rPr>
        <w:t xml:space="preserve">presented MCI, compared to 46.94% of those without </w:t>
      </w:r>
      <w:r w:rsidR="00FB4BD4">
        <w:rPr>
          <w:rFonts w:ascii="Arial" w:hAnsi="Arial" w:cs="Arial"/>
        </w:rPr>
        <w:t>hypertension</w:t>
      </w:r>
      <w:r w:rsidRPr="00357D29">
        <w:rPr>
          <w:rFonts w:ascii="Arial" w:hAnsi="Arial" w:cs="Arial"/>
        </w:rPr>
        <w:t xml:space="preserve">—the minimum sample size was estimated at 36 participants with </w:t>
      </w:r>
      <w:r w:rsidR="00FB4BD4">
        <w:rPr>
          <w:rFonts w:ascii="Arial" w:hAnsi="Arial" w:cs="Arial"/>
        </w:rPr>
        <w:t>hypertension</w:t>
      </w:r>
      <w:r w:rsidRPr="00357D29">
        <w:rPr>
          <w:rFonts w:ascii="Arial" w:hAnsi="Arial" w:cs="Arial"/>
        </w:rPr>
        <w:t xml:space="preserve"> and 36 without </w:t>
      </w:r>
      <w:r w:rsidR="00FB4BD4">
        <w:rPr>
          <w:rFonts w:ascii="Arial" w:hAnsi="Arial" w:cs="Arial"/>
        </w:rPr>
        <w:t>hypertension</w:t>
      </w:r>
      <w:r w:rsidRPr="00357D29">
        <w:rPr>
          <w:rFonts w:ascii="Arial" w:hAnsi="Arial" w:cs="Arial"/>
        </w:rPr>
        <w:t xml:space="preserve">, with 95% precision and 80% power (EPIDAT 4.2, 2016, Pan American Health Organization, </w:t>
      </w:r>
      <w:proofErr w:type="spellStart"/>
      <w:r w:rsidRPr="00357D29">
        <w:rPr>
          <w:rFonts w:ascii="Arial" w:hAnsi="Arial" w:cs="Arial"/>
        </w:rPr>
        <w:t>Xunta</w:t>
      </w:r>
      <w:proofErr w:type="spellEnd"/>
      <w:r w:rsidRPr="00357D29">
        <w:rPr>
          <w:rFonts w:ascii="Arial" w:hAnsi="Arial" w:cs="Arial"/>
        </w:rPr>
        <w:t xml:space="preserve"> de Galicia, WHO, University of Santiago de Compostela).</w:t>
      </w:r>
    </w:p>
    <w:p w14:paraId="6DDF58D0" w14:textId="77777777" w:rsidR="00357D29" w:rsidRDefault="00357D29" w:rsidP="00AC2937">
      <w:pPr>
        <w:jc w:val="both"/>
        <w:rPr>
          <w:rFonts w:ascii="Arial" w:hAnsi="Arial" w:cs="Arial"/>
        </w:rPr>
      </w:pPr>
    </w:p>
    <w:p w14:paraId="55F6B801" w14:textId="17748536" w:rsidR="003C1CDA" w:rsidRPr="003C1CDA" w:rsidRDefault="003C1CDA" w:rsidP="00AC2937">
      <w:pPr>
        <w:jc w:val="both"/>
        <w:rPr>
          <w:rFonts w:ascii="Arial" w:hAnsi="Arial" w:cs="Arial"/>
          <w:b/>
          <w:bCs/>
          <w:sz w:val="22"/>
          <w:szCs w:val="22"/>
        </w:rPr>
      </w:pPr>
      <w:r w:rsidRPr="003C1CDA">
        <w:rPr>
          <w:rFonts w:ascii="Arial" w:hAnsi="Arial" w:cs="Arial"/>
          <w:b/>
          <w:bCs/>
          <w:sz w:val="22"/>
          <w:szCs w:val="22"/>
        </w:rPr>
        <w:t xml:space="preserve">3.1 </w:t>
      </w:r>
      <w:r w:rsidR="00FB4BD4" w:rsidRPr="003C1CDA">
        <w:rPr>
          <w:rFonts w:ascii="Arial" w:hAnsi="Arial" w:cs="Arial"/>
          <w:b/>
          <w:bCs/>
          <w:sz w:val="22"/>
          <w:szCs w:val="22"/>
        </w:rPr>
        <w:t>Limitations</w:t>
      </w:r>
    </w:p>
    <w:p w14:paraId="3D8C363E" w14:textId="77777777" w:rsidR="003C1CDA" w:rsidRDefault="003C1CDA" w:rsidP="00AC2937">
      <w:pPr>
        <w:jc w:val="both"/>
        <w:rPr>
          <w:rFonts w:ascii="Arial" w:hAnsi="Arial" w:cs="Arial"/>
          <w:b/>
          <w:bCs/>
        </w:rPr>
      </w:pPr>
    </w:p>
    <w:p w14:paraId="5E33F2DE" w14:textId="5E2D3EAE" w:rsidR="00790ADA" w:rsidRDefault="00FB4BD4" w:rsidP="00441B6F">
      <w:pPr>
        <w:pStyle w:val="Body"/>
        <w:spacing w:after="0"/>
        <w:rPr>
          <w:rFonts w:ascii="Arial" w:hAnsi="Arial" w:cs="Arial"/>
        </w:rPr>
      </w:pPr>
      <w:r w:rsidRPr="00FB4BD4">
        <w:rPr>
          <w:rFonts w:ascii="Arial" w:hAnsi="Arial" w:cs="Arial"/>
        </w:rPr>
        <w:t xml:space="preserve">This study has limitations inherent to its cross-sectional design. First, the simultaneous measurement of </w:t>
      </w:r>
      <w:r>
        <w:rPr>
          <w:rFonts w:ascii="Arial" w:hAnsi="Arial" w:cs="Arial"/>
        </w:rPr>
        <w:t>hypertension</w:t>
      </w:r>
      <w:r w:rsidRPr="00FB4BD4">
        <w:rPr>
          <w:rFonts w:ascii="Arial" w:hAnsi="Arial" w:cs="Arial"/>
        </w:rPr>
        <w:t xml:space="preserve"> and MCI prevents the establishment of a temporal or causal relationship. Second, although adjustments were made for variables such as age and diabetes, residual confounding factors may have influenced the results. Additionally, the sample derived from a hospital outpatient setting may limit the generalizability of the findings to other populations.</w:t>
      </w:r>
    </w:p>
    <w:p w14:paraId="76662966" w14:textId="77777777" w:rsidR="00FB4BD4" w:rsidRPr="00FB3A86" w:rsidRDefault="00FB4BD4" w:rsidP="00441B6F">
      <w:pPr>
        <w:pStyle w:val="Body"/>
        <w:spacing w:after="0"/>
        <w:rPr>
          <w:rFonts w:ascii="Arial" w:hAnsi="Arial" w:cs="Arial"/>
        </w:rPr>
      </w:pPr>
    </w:p>
    <w:p w14:paraId="09F90F1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2C469B4" w14:textId="77777777" w:rsidR="00790ADA" w:rsidRPr="00FB3A86" w:rsidRDefault="00790ADA" w:rsidP="00441B6F">
      <w:pPr>
        <w:pStyle w:val="ConcHead"/>
        <w:spacing w:after="0"/>
        <w:jc w:val="both"/>
        <w:rPr>
          <w:rFonts w:ascii="Arial" w:hAnsi="Arial" w:cs="Arial"/>
        </w:rPr>
      </w:pPr>
    </w:p>
    <w:p w14:paraId="3417E666" w14:textId="26D427F9" w:rsidR="00B01FCD" w:rsidRDefault="00FB4BD4" w:rsidP="00441B6F">
      <w:pPr>
        <w:pStyle w:val="Body"/>
        <w:spacing w:after="0"/>
        <w:rPr>
          <w:rFonts w:ascii="Arial" w:hAnsi="Arial" w:cs="Arial"/>
        </w:rPr>
      </w:pPr>
      <w:r w:rsidRPr="00FB4BD4">
        <w:rPr>
          <w:rFonts w:ascii="Arial" w:hAnsi="Arial" w:cs="Arial"/>
        </w:rPr>
        <w:t xml:space="preserve">The findings of this study demonstrated a significant association between </w:t>
      </w:r>
      <w:r>
        <w:rPr>
          <w:rFonts w:ascii="Arial" w:hAnsi="Arial" w:cs="Arial"/>
        </w:rPr>
        <w:t>hypertension</w:t>
      </w:r>
      <w:r w:rsidRPr="00FB4BD4">
        <w:rPr>
          <w:rFonts w:ascii="Arial" w:hAnsi="Arial" w:cs="Arial"/>
        </w:rPr>
        <w:t xml:space="preserve"> and MCI in older adults. The high prevalence of MCI observed among hypertensive individuals, compared to those without a diagnosis of </w:t>
      </w:r>
      <w:r>
        <w:rPr>
          <w:rFonts w:ascii="Arial" w:hAnsi="Arial" w:cs="Arial"/>
        </w:rPr>
        <w:t>hypertension</w:t>
      </w:r>
      <w:r w:rsidRPr="00FB4BD4">
        <w:rPr>
          <w:rFonts w:ascii="Arial" w:hAnsi="Arial" w:cs="Arial"/>
        </w:rPr>
        <w:t xml:space="preserve">, suggests that chronic vascular impairment may accelerate the aging process while simultaneously affecting cognition. Individuals with </w:t>
      </w:r>
      <w:r>
        <w:rPr>
          <w:rFonts w:ascii="Arial" w:hAnsi="Arial" w:cs="Arial"/>
        </w:rPr>
        <w:t>hypertension</w:t>
      </w:r>
      <w:r w:rsidRPr="00FB4BD4">
        <w:rPr>
          <w:rFonts w:ascii="Arial" w:hAnsi="Arial" w:cs="Arial"/>
        </w:rPr>
        <w:t xml:space="preserve"> showed a greater likelihood of presenting MCI, as well as poorer performance across several cognitive domains, particularly in attention, orientation, abstraction, language, and visuospatial abilities. This study provides evidence supporting the need to implement preventive and follow-up strategies in hypertensive patients to prevent the development and/or progression of MCI.</w:t>
      </w:r>
    </w:p>
    <w:p w14:paraId="13EE9FE3" w14:textId="77777777" w:rsidR="00790ADA" w:rsidRPr="00FB3A86" w:rsidRDefault="00790ADA" w:rsidP="00441B6F">
      <w:pPr>
        <w:pStyle w:val="Body"/>
        <w:spacing w:after="0"/>
        <w:rPr>
          <w:rFonts w:ascii="Arial" w:hAnsi="Arial" w:cs="Arial"/>
        </w:rPr>
      </w:pPr>
    </w:p>
    <w:p w14:paraId="2811B9A6" w14:textId="77777777" w:rsidR="002B685A" w:rsidRDefault="002B685A" w:rsidP="00441B6F">
      <w:pPr>
        <w:pStyle w:val="ReferHead"/>
        <w:spacing w:after="0"/>
        <w:jc w:val="both"/>
        <w:rPr>
          <w:rFonts w:ascii="Arial" w:hAnsi="Arial" w:cs="Arial"/>
          <w:b w:val="0"/>
          <w:caps w:val="0"/>
          <w:sz w:val="20"/>
        </w:rPr>
      </w:pPr>
    </w:p>
    <w:p w14:paraId="4B0BEF98" w14:textId="3A1A6E20" w:rsidR="002B685A" w:rsidRDefault="002B685A" w:rsidP="00441B6F">
      <w:pPr>
        <w:pStyle w:val="ReferHead"/>
        <w:spacing w:after="0"/>
        <w:jc w:val="both"/>
        <w:rPr>
          <w:rFonts w:ascii="Arial" w:hAnsi="Arial" w:cs="Arial"/>
          <w:bCs/>
        </w:rPr>
      </w:pPr>
      <w:r w:rsidRPr="002B685A">
        <w:rPr>
          <w:rFonts w:ascii="Arial" w:hAnsi="Arial" w:cs="Arial"/>
          <w:bCs/>
        </w:rPr>
        <w:t>Consent</w:t>
      </w:r>
    </w:p>
    <w:p w14:paraId="23F36F57" w14:textId="77777777" w:rsidR="002B685A" w:rsidRPr="002B685A" w:rsidRDefault="002B685A" w:rsidP="00441B6F">
      <w:pPr>
        <w:pStyle w:val="ReferHead"/>
        <w:spacing w:after="0"/>
        <w:jc w:val="both"/>
        <w:rPr>
          <w:rFonts w:ascii="Arial" w:hAnsi="Arial" w:cs="Arial"/>
          <w:bCs/>
        </w:rPr>
      </w:pPr>
    </w:p>
    <w:p w14:paraId="54B775EB" w14:textId="012C92C9" w:rsidR="001A29D8" w:rsidRDefault="00AC2937" w:rsidP="00441B6F">
      <w:pPr>
        <w:pStyle w:val="ReferHead"/>
        <w:spacing w:after="0"/>
        <w:jc w:val="both"/>
        <w:rPr>
          <w:rFonts w:ascii="Arial" w:hAnsi="Arial" w:cs="Arial"/>
          <w:b w:val="0"/>
          <w:caps w:val="0"/>
          <w:sz w:val="20"/>
        </w:rPr>
      </w:pPr>
      <w:r w:rsidRPr="00AC2937">
        <w:rPr>
          <w:rFonts w:ascii="Arial" w:hAnsi="Arial" w:cs="Arial"/>
          <w:b w:val="0"/>
          <w:caps w:val="0"/>
          <w:sz w:val="20"/>
        </w:rPr>
        <w:t>All authors declare that written informed consent was obtained and signed by the participating</w:t>
      </w:r>
      <w:r>
        <w:rPr>
          <w:rFonts w:ascii="Arial" w:hAnsi="Arial" w:cs="Arial"/>
          <w:b w:val="0"/>
          <w:caps w:val="0"/>
          <w:sz w:val="20"/>
        </w:rPr>
        <w:t xml:space="preserve"> </w:t>
      </w:r>
      <w:r w:rsidRPr="00AC2937">
        <w:rPr>
          <w:rFonts w:ascii="Arial" w:hAnsi="Arial" w:cs="Arial"/>
          <w:b w:val="0"/>
          <w:caps w:val="0"/>
          <w:sz w:val="20"/>
        </w:rPr>
        <w:t>subjects</w:t>
      </w:r>
    </w:p>
    <w:p w14:paraId="1D33A47F" w14:textId="77777777" w:rsidR="005C784C" w:rsidRDefault="005C784C" w:rsidP="00441B6F">
      <w:pPr>
        <w:pStyle w:val="ReferHead"/>
        <w:spacing w:after="0"/>
        <w:jc w:val="both"/>
        <w:rPr>
          <w:rFonts w:ascii="Arial" w:hAnsi="Arial" w:cs="Arial"/>
          <w:b w:val="0"/>
          <w:caps w:val="0"/>
          <w:sz w:val="20"/>
        </w:rPr>
      </w:pPr>
    </w:p>
    <w:p w14:paraId="613A53BB" w14:textId="71E3F415" w:rsidR="005C784C" w:rsidRDefault="005C784C" w:rsidP="00441B6F">
      <w:pPr>
        <w:pStyle w:val="ReferHead"/>
        <w:spacing w:after="0"/>
        <w:jc w:val="both"/>
        <w:rPr>
          <w:rFonts w:ascii="Arial" w:hAnsi="Arial" w:cs="Arial"/>
          <w:bCs/>
        </w:rPr>
      </w:pPr>
      <w:r>
        <w:rPr>
          <w:rFonts w:ascii="Arial" w:hAnsi="Arial" w:cs="Arial"/>
          <w:bCs/>
        </w:rPr>
        <w:t>Ethical approval</w:t>
      </w:r>
    </w:p>
    <w:p w14:paraId="15AB2499" w14:textId="77777777" w:rsidR="005C784C" w:rsidRPr="002B685A" w:rsidRDefault="005C784C" w:rsidP="00441B6F">
      <w:pPr>
        <w:pStyle w:val="ReferHead"/>
        <w:spacing w:after="0"/>
        <w:jc w:val="both"/>
        <w:rPr>
          <w:rFonts w:ascii="Arial" w:hAnsi="Arial" w:cs="Arial"/>
          <w:bCs/>
        </w:rPr>
      </w:pPr>
    </w:p>
    <w:p w14:paraId="578EF3D3" w14:textId="76AFE129" w:rsidR="00AC2937" w:rsidRDefault="00AC2937" w:rsidP="00AC2937">
      <w:pPr>
        <w:pStyle w:val="ReferHead"/>
        <w:spacing w:after="0"/>
        <w:jc w:val="both"/>
        <w:rPr>
          <w:rFonts w:ascii="Arial" w:hAnsi="Arial" w:cs="Arial"/>
          <w:b w:val="0"/>
          <w:caps w:val="0"/>
          <w:sz w:val="20"/>
        </w:rPr>
      </w:pPr>
      <w:r w:rsidRPr="00AC2937">
        <w:rPr>
          <w:rFonts w:ascii="Arial" w:hAnsi="Arial" w:cs="Arial"/>
          <w:b w:val="0"/>
          <w:caps w:val="0"/>
          <w:sz w:val="20"/>
        </w:rPr>
        <w:t>The protocol was approved by the Research</w:t>
      </w:r>
      <w:r>
        <w:rPr>
          <w:rFonts w:ascii="Arial" w:hAnsi="Arial" w:cs="Arial"/>
          <w:b w:val="0"/>
          <w:caps w:val="0"/>
          <w:sz w:val="20"/>
        </w:rPr>
        <w:t xml:space="preserve"> </w:t>
      </w:r>
      <w:r w:rsidRPr="00AC2937">
        <w:rPr>
          <w:rFonts w:ascii="Arial" w:hAnsi="Arial" w:cs="Arial"/>
          <w:b w:val="0"/>
          <w:caps w:val="0"/>
          <w:sz w:val="20"/>
        </w:rPr>
        <w:t>Ethics Committee of the Hospital General</w:t>
      </w:r>
      <w:r>
        <w:rPr>
          <w:rFonts w:ascii="Arial" w:hAnsi="Arial" w:cs="Arial"/>
          <w:b w:val="0"/>
          <w:caps w:val="0"/>
          <w:sz w:val="20"/>
        </w:rPr>
        <w:t xml:space="preserve"> </w:t>
      </w:r>
      <w:r w:rsidRPr="00AC2937">
        <w:rPr>
          <w:rFonts w:ascii="Arial" w:hAnsi="Arial" w:cs="Arial"/>
          <w:b w:val="0"/>
          <w:caps w:val="0"/>
          <w:sz w:val="20"/>
        </w:rPr>
        <w:t>de Salamanca, with registration number</w:t>
      </w:r>
      <w:r>
        <w:rPr>
          <w:rFonts w:ascii="Arial" w:hAnsi="Arial" w:cs="Arial"/>
          <w:b w:val="0"/>
          <w:caps w:val="0"/>
          <w:sz w:val="20"/>
        </w:rPr>
        <w:t xml:space="preserve"> </w:t>
      </w:r>
      <w:r w:rsidRPr="00AC2937">
        <w:rPr>
          <w:rFonts w:ascii="Arial" w:hAnsi="Arial" w:cs="Arial"/>
          <w:b w:val="0"/>
          <w:caps w:val="0"/>
          <w:sz w:val="20"/>
        </w:rPr>
        <w:t>CONBIOETICA-11CEI-002-20210302</w:t>
      </w:r>
      <w:r>
        <w:rPr>
          <w:rFonts w:ascii="Arial" w:hAnsi="Arial" w:cs="Arial"/>
          <w:b w:val="0"/>
          <w:caps w:val="0"/>
          <w:sz w:val="20"/>
        </w:rPr>
        <w:t xml:space="preserve"> </w:t>
      </w:r>
      <w:r w:rsidRPr="00AC2937">
        <w:rPr>
          <w:rFonts w:ascii="Arial" w:hAnsi="Arial" w:cs="Arial"/>
          <w:b w:val="0"/>
          <w:caps w:val="0"/>
          <w:sz w:val="20"/>
        </w:rPr>
        <w:t>and registry number</w:t>
      </w:r>
      <w:r w:rsidRPr="00AC2937">
        <w:t xml:space="preserve"> </w:t>
      </w:r>
      <w:r w:rsidRPr="00AC2937">
        <w:rPr>
          <w:rFonts w:ascii="Arial" w:hAnsi="Arial" w:cs="Arial"/>
          <w:b w:val="0"/>
          <w:caps w:val="0"/>
          <w:sz w:val="20"/>
        </w:rPr>
        <w:t>CEI-HGS007-2024</w:t>
      </w:r>
      <w:r>
        <w:rPr>
          <w:rFonts w:ascii="Arial" w:hAnsi="Arial" w:cs="Arial"/>
          <w:b w:val="0"/>
          <w:caps w:val="0"/>
          <w:sz w:val="20"/>
        </w:rPr>
        <w:t xml:space="preserve"> also was approved by </w:t>
      </w:r>
      <w:r w:rsidRPr="00AC2937">
        <w:rPr>
          <w:rFonts w:ascii="Arial" w:hAnsi="Arial" w:cs="Arial"/>
          <w:b w:val="0"/>
          <w:caps w:val="0"/>
          <w:sz w:val="20"/>
        </w:rPr>
        <w:t>Research Committee in Health Sciences of the Quetzalcoatl University in Irapuato, with registration number</w:t>
      </w:r>
      <w:r>
        <w:rPr>
          <w:rFonts w:ascii="Arial" w:hAnsi="Arial" w:cs="Arial"/>
          <w:b w:val="0"/>
          <w:caps w:val="0"/>
          <w:sz w:val="20"/>
        </w:rPr>
        <w:t xml:space="preserve"> </w:t>
      </w:r>
      <w:r w:rsidRPr="00AC2937">
        <w:rPr>
          <w:rFonts w:ascii="Arial" w:hAnsi="Arial" w:cs="Arial"/>
          <w:b w:val="0"/>
          <w:caps w:val="0"/>
          <w:sz w:val="20"/>
        </w:rPr>
        <w:t>UQIMED-10042025/162. All authors</w:t>
      </w:r>
      <w:r>
        <w:rPr>
          <w:rFonts w:ascii="Arial" w:hAnsi="Arial" w:cs="Arial"/>
          <w:b w:val="0"/>
          <w:caps w:val="0"/>
          <w:sz w:val="20"/>
        </w:rPr>
        <w:t xml:space="preserve"> </w:t>
      </w:r>
      <w:r w:rsidRPr="00AC2937">
        <w:rPr>
          <w:rFonts w:ascii="Arial" w:hAnsi="Arial" w:cs="Arial"/>
          <w:b w:val="0"/>
          <w:caps w:val="0"/>
          <w:sz w:val="20"/>
        </w:rPr>
        <w:t>declare that the research was approved by the</w:t>
      </w:r>
      <w:r>
        <w:rPr>
          <w:rFonts w:ascii="Arial" w:hAnsi="Arial" w:cs="Arial"/>
          <w:b w:val="0"/>
          <w:caps w:val="0"/>
          <w:sz w:val="20"/>
        </w:rPr>
        <w:t xml:space="preserve"> </w:t>
      </w:r>
      <w:r w:rsidRPr="00AC2937">
        <w:rPr>
          <w:rFonts w:ascii="Arial" w:hAnsi="Arial" w:cs="Arial"/>
          <w:b w:val="0"/>
          <w:caps w:val="0"/>
          <w:sz w:val="20"/>
        </w:rPr>
        <w:t>corresponding committee and, therefore, was</w:t>
      </w:r>
      <w:r>
        <w:rPr>
          <w:rFonts w:ascii="Arial" w:hAnsi="Arial" w:cs="Arial"/>
          <w:b w:val="0"/>
          <w:caps w:val="0"/>
          <w:sz w:val="20"/>
        </w:rPr>
        <w:t xml:space="preserve"> </w:t>
      </w:r>
      <w:r w:rsidRPr="00AC2937">
        <w:rPr>
          <w:rFonts w:ascii="Arial" w:hAnsi="Arial" w:cs="Arial"/>
          <w:b w:val="0"/>
          <w:caps w:val="0"/>
          <w:sz w:val="20"/>
        </w:rPr>
        <w:t>conducted by the ethical standards of the</w:t>
      </w:r>
      <w:r>
        <w:rPr>
          <w:rFonts w:ascii="Arial" w:hAnsi="Arial" w:cs="Arial"/>
          <w:b w:val="0"/>
          <w:caps w:val="0"/>
          <w:sz w:val="20"/>
        </w:rPr>
        <w:t xml:space="preserve"> </w:t>
      </w:r>
      <w:r w:rsidRPr="00AC2937">
        <w:rPr>
          <w:rFonts w:ascii="Arial" w:hAnsi="Arial" w:cs="Arial"/>
          <w:b w:val="0"/>
          <w:caps w:val="0"/>
          <w:sz w:val="20"/>
        </w:rPr>
        <w:t>Declaration of Helsinki</w:t>
      </w:r>
      <w:r>
        <w:rPr>
          <w:rFonts w:ascii="Arial" w:hAnsi="Arial" w:cs="Arial"/>
          <w:b w:val="0"/>
          <w:caps w:val="0"/>
          <w:sz w:val="20"/>
        </w:rPr>
        <w:t>.</w:t>
      </w:r>
    </w:p>
    <w:p w14:paraId="60CAFDD3" w14:textId="77777777" w:rsidR="00AC2937" w:rsidRDefault="00AC2937" w:rsidP="00AC2937">
      <w:pPr>
        <w:pStyle w:val="ReferHead"/>
        <w:spacing w:after="0"/>
        <w:jc w:val="both"/>
        <w:rPr>
          <w:rFonts w:ascii="Arial" w:hAnsi="Arial" w:cs="Arial"/>
          <w:b w:val="0"/>
          <w:caps w:val="0"/>
          <w:sz w:val="20"/>
        </w:rPr>
      </w:pPr>
    </w:p>
    <w:p w14:paraId="230BE39D" w14:textId="1AE84303" w:rsidR="00B01FCD" w:rsidRPr="00050013" w:rsidRDefault="00B01FCD" w:rsidP="00AC2937">
      <w:pPr>
        <w:pStyle w:val="ReferHead"/>
        <w:spacing w:after="0"/>
        <w:jc w:val="both"/>
        <w:rPr>
          <w:rFonts w:ascii="Arial" w:hAnsi="Arial" w:cs="Arial"/>
          <w:b w:val="0"/>
          <w:caps w:val="0"/>
          <w:sz w:val="20"/>
          <w:lang w:val="es-MX"/>
        </w:rPr>
      </w:pPr>
      <w:r w:rsidRPr="00050013">
        <w:rPr>
          <w:rFonts w:ascii="Arial" w:hAnsi="Arial" w:cs="Arial"/>
          <w:lang w:val="es-MX"/>
        </w:rPr>
        <w:t>References</w:t>
      </w:r>
    </w:p>
    <w:p w14:paraId="60CC58E1" w14:textId="77777777" w:rsidR="008B459E" w:rsidRPr="00050013" w:rsidRDefault="008B459E" w:rsidP="00441B6F">
      <w:pPr>
        <w:pStyle w:val="Body"/>
        <w:spacing w:after="0"/>
        <w:rPr>
          <w:rFonts w:ascii="Arial" w:hAnsi="Arial" w:cs="Arial"/>
          <w:lang w:val="es-MX"/>
        </w:rPr>
      </w:pPr>
    </w:p>
    <w:p w14:paraId="7C2E8E0F" w14:textId="77777777" w:rsidR="00446D36" w:rsidRPr="00446D36" w:rsidRDefault="00446D36" w:rsidP="00446D36">
      <w:pPr>
        <w:pStyle w:val="Body"/>
        <w:ind w:left="360"/>
        <w:rPr>
          <w:lang w:val="es-MX"/>
        </w:rPr>
      </w:pPr>
      <w:r w:rsidRPr="00446D36">
        <w:rPr>
          <w:lang w:val="es-MX"/>
        </w:rPr>
        <w:t>Aguilar-Navarro, S., Mimenza-Alvarado, A., Palacios-</w:t>
      </w:r>
      <w:proofErr w:type="spellStart"/>
      <w:r w:rsidRPr="00446D36">
        <w:rPr>
          <w:lang w:val="es-MX"/>
        </w:rPr>
        <w:t>Garcia</w:t>
      </w:r>
      <w:proofErr w:type="spellEnd"/>
      <w:r w:rsidRPr="00446D36">
        <w:rPr>
          <w:lang w:val="es-MX"/>
        </w:rPr>
        <w:t xml:space="preserve">, A. A., Samudio-Cruz, A., </w:t>
      </w:r>
      <w:proofErr w:type="spellStart"/>
      <w:r w:rsidRPr="00446D36">
        <w:rPr>
          <w:lang w:val="es-MX"/>
        </w:rPr>
        <w:t>Gutierrez-Gutierrez</w:t>
      </w:r>
      <w:proofErr w:type="spellEnd"/>
      <w:r w:rsidRPr="00446D36">
        <w:rPr>
          <w:lang w:val="es-MX"/>
        </w:rPr>
        <w:t xml:space="preserve">, L. A., &amp; </w:t>
      </w:r>
      <w:proofErr w:type="spellStart"/>
      <w:r w:rsidRPr="00446D36">
        <w:rPr>
          <w:lang w:val="es-MX"/>
        </w:rPr>
        <w:t>Avila</w:t>
      </w:r>
      <w:proofErr w:type="spellEnd"/>
      <w:r w:rsidRPr="00446D36">
        <w:rPr>
          <w:lang w:val="es-MX"/>
        </w:rPr>
        <w:t xml:space="preserve">-Funes, J. A. (2018). </w:t>
      </w:r>
      <w:proofErr w:type="spellStart"/>
      <w:r w:rsidRPr="00446D36">
        <w:rPr>
          <w:lang w:val="es-MX"/>
        </w:rPr>
        <w:t>Validity</w:t>
      </w:r>
      <w:proofErr w:type="spellEnd"/>
      <w:r w:rsidRPr="00446D36">
        <w:rPr>
          <w:lang w:val="es-MX"/>
        </w:rPr>
        <w:t xml:space="preserve"> and </w:t>
      </w:r>
      <w:proofErr w:type="spellStart"/>
      <w:r w:rsidRPr="00446D36">
        <w:rPr>
          <w:lang w:val="es-MX"/>
        </w:rPr>
        <w:t>reliability</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MoCA</w:t>
      </w:r>
      <w:proofErr w:type="spellEnd"/>
      <w:r w:rsidRPr="00446D36">
        <w:rPr>
          <w:lang w:val="es-MX"/>
        </w:rPr>
        <w:t xml:space="preserve"> (Montreal Cognitive </w:t>
      </w:r>
      <w:proofErr w:type="spellStart"/>
      <w:r w:rsidRPr="00446D36">
        <w:rPr>
          <w:lang w:val="es-MX"/>
        </w:rPr>
        <w:t>Assessment</w:t>
      </w:r>
      <w:proofErr w:type="spellEnd"/>
      <w:r w:rsidRPr="00446D36">
        <w:rPr>
          <w:lang w:val="es-MX"/>
        </w:rPr>
        <w:t xml:space="preserve">) </w:t>
      </w:r>
      <w:proofErr w:type="spellStart"/>
      <w:r w:rsidRPr="00446D36">
        <w:rPr>
          <w:lang w:val="es-MX"/>
        </w:rPr>
        <w:t>for</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prevention</w:t>
      </w:r>
      <w:proofErr w:type="spellEnd"/>
      <w:r w:rsidRPr="00446D36">
        <w:rPr>
          <w:lang w:val="es-MX"/>
        </w:rPr>
        <w:t xml:space="preserve"> </w:t>
      </w:r>
      <w:proofErr w:type="spellStart"/>
      <w:r w:rsidRPr="00446D36">
        <w:rPr>
          <w:lang w:val="es-MX"/>
        </w:rPr>
        <w:t>of</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in </w:t>
      </w:r>
      <w:proofErr w:type="spellStart"/>
      <w:r w:rsidRPr="00446D36">
        <w:rPr>
          <w:lang w:val="es-MX"/>
        </w:rPr>
        <w:t>Mexico</w:t>
      </w:r>
      <w:proofErr w:type="spellEnd"/>
      <w:r w:rsidRPr="00446D36">
        <w:rPr>
          <w:lang w:val="es-MX"/>
        </w:rPr>
        <w:t>. Revista Colombiana de Psiquiatría, 47(4), 237-243. https://doi.org/10.1016/j.rcp.2017.05.003</w:t>
      </w:r>
    </w:p>
    <w:p w14:paraId="210CD1FB" w14:textId="77777777" w:rsidR="00446D36" w:rsidRPr="00446D36" w:rsidRDefault="00446D36" w:rsidP="00446D36">
      <w:pPr>
        <w:pStyle w:val="Body"/>
        <w:ind w:left="360"/>
        <w:rPr>
          <w:lang w:val="es-MX"/>
        </w:rPr>
      </w:pPr>
    </w:p>
    <w:p w14:paraId="03E05FD5" w14:textId="77777777" w:rsidR="00446D36" w:rsidRPr="00446D36" w:rsidRDefault="00446D36" w:rsidP="00446D36">
      <w:pPr>
        <w:pStyle w:val="Body"/>
        <w:ind w:left="360"/>
        <w:rPr>
          <w:lang w:val="es-MX"/>
        </w:rPr>
      </w:pPr>
      <w:proofErr w:type="spellStart"/>
      <w:r w:rsidRPr="00446D36">
        <w:rPr>
          <w:lang w:val="es-MX"/>
        </w:rPr>
        <w:t>Appel</w:t>
      </w:r>
      <w:proofErr w:type="spellEnd"/>
      <w:r w:rsidRPr="00446D36">
        <w:rPr>
          <w:lang w:val="es-MX"/>
        </w:rPr>
        <w:t xml:space="preserve">, L. J., Moore, T. J., </w:t>
      </w:r>
      <w:proofErr w:type="spellStart"/>
      <w:r w:rsidRPr="00446D36">
        <w:rPr>
          <w:lang w:val="es-MX"/>
        </w:rPr>
        <w:t>Obarzanek</w:t>
      </w:r>
      <w:proofErr w:type="spellEnd"/>
      <w:r w:rsidRPr="00446D36">
        <w:rPr>
          <w:lang w:val="es-MX"/>
        </w:rPr>
        <w:t xml:space="preserve">, E., </w:t>
      </w:r>
      <w:proofErr w:type="spellStart"/>
      <w:r w:rsidRPr="00446D36">
        <w:rPr>
          <w:lang w:val="es-MX"/>
        </w:rPr>
        <w:t>Vollmer</w:t>
      </w:r>
      <w:proofErr w:type="spellEnd"/>
      <w:r w:rsidRPr="00446D36">
        <w:rPr>
          <w:lang w:val="es-MX"/>
        </w:rPr>
        <w:t xml:space="preserve">, W. M., </w:t>
      </w:r>
      <w:proofErr w:type="spellStart"/>
      <w:r w:rsidRPr="00446D36">
        <w:rPr>
          <w:lang w:val="es-MX"/>
        </w:rPr>
        <w:t>Svetkey</w:t>
      </w:r>
      <w:proofErr w:type="spellEnd"/>
      <w:r w:rsidRPr="00446D36">
        <w:rPr>
          <w:lang w:val="es-MX"/>
        </w:rPr>
        <w:t xml:space="preserve">, L. P., Sacks, F. M., Bray, G. A., Vogt, T. M., Cutler, J. A., </w:t>
      </w:r>
      <w:proofErr w:type="spellStart"/>
      <w:r w:rsidRPr="00446D36">
        <w:rPr>
          <w:lang w:val="es-MX"/>
        </w:rPr>
        <w:t>Windhauser</w:t>
      </w:r>
      <w:proofErr w:type="spellEnd"/>
      <w:r w:rsidRPr="00446D36">
        <w:rPr>
          <w:lang w:val="es-MX"/>
        </w:rPr>
        <w:t xml:space="preserve">, M. M., Lin, P. H., &amp; </w:t>
      </w:r>
      <w:proofErr w:type="spellStart"/>
      <w:r w:rsidRPr="00446D36">
        <w:rPr>
          <w:lang w:val="es-MX"/>
        </w:rPr>
        <w:t>Karanja</w:t>
      </w:r>
      <w:proofErr w:type="spellEnd"/>
      <w:r w:rsidRPr="00446D36">
        <w:rPr>
          <w:lang w:val="es-MX"/>
        </w:rPr>
        <w:t xml:space="preserve">, N. (1997). A </w:t>
      </w:r>
      <w:proofErr w:type="spellStart"/>
      <w:r w:rsidRPr="00446D36">
        <w:rPr>
          <w:lang w:val="es-MX"/>
        </w:rPr>
        <w:t>clinical</w:t>
      </w:r>
      <w:proofErr w:type="spellEnd"/>
      <w:r w:rsidRPr="00446D36">
        <w:rPr>
          <w:lang w:val="es-MX"/>
        </w:rPr>
        <w:t xml:space="preserve"> trial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effects</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dietary</w:t>
      </w:r>
      <w:proofErr w:type="spellEnd"/>
      <w:r w:rsidRPr="00446D36">
        <w:rPr>
          <w:lang w:val="es-MX"/>
        </w:rPr>
        <w:t xml:space="preserve"> </w:t>
      </w:r>
      <w:proofErr w:type="spellStart"/>
      <w:r w:rsidRPr="00446D36">
        <w:rPr>
          <w:lang w:val="es-MX"/>
        </w:rPr>
        <w:t>patterns</w:t>
      </w:r>
      <w:proofErr w:type="spellEnd"/>
      <w:r w:rsidRPr="00446D36">
        <w:rPr>
          <w:lang w:val="es-MX"/>
        </w:rPr>
        <w:t xml:space="preserve"> </w:t>
      </w:r>
      <w:proofErr w:type="spellStart"/>
      <w:r w:rsidRPr="00446D36">
        <w:rPr>
          <w:lang w:val="es-MX"/>
        </w:rPr>
        <w:t>on</w:t>
      </w:r>
      <w:proofErr w:type="spellEnd"/>
      <w:r w:rsidRPr="00446D36">
        <w:rPr>
          <w:lang w:val="es-MX"/>
        </w:rPr>
        <w:t xml:space="preserve"> </w:t>
      </w:r>
      <w:proofErr w:type="spellStart"/>
      <w:r w:rsidRPr="00446D36">
        <w:rPr>
          <w:lang w:val="es-MX"/>
        </w:rPr>
        <w:t>blood</w:t>
      </w:r>
      <w:proofErr w:type="spellEnd"/>
      <w:r w:rsidRPr="00446D36">
        <w:rPr>
          <w:lang w:val="es-MX"/>
        </w:rPr>
        <w:t xml:space="preserve"> </w:t>
      </w:r>
      <w:proofErr w:type="spellStart"/>
      <w:r w:rsidRPr="00446D36">
        <w:rPr>
          <w:lang w:val="es-MX"/>
        </w:rPr>
        <w:t>pressure</w:t>
      </w:r>
      <w:proofErr w:type="spellEnd"/>
      <w:r w:rsidRPr="00446D36">
        <w:rPr>
          <w:lang w:val="es-MX"/>
        </w:rPr>
        <w:t xml:space="preserve">. DASH </w:t>
      </w:r>
      <w:proofErr w:type="spellStart"/>
      <w:r w:rsidRPr="00446D36">
        <w:rPr>
          <w:lang w:val="es-MX"/>
        </w:rPr>
        <w:t>Collaborative</w:t>
      </w:r>
      <w:proofErr w:type="spellEnd"/>
      <w:r w:rsidRPr="00446D36">
        <w:rPr>
          <w:lang w:val="es-MX"/>
        </w:rPr>
        <w:t xml:space="preserve"> </w:t>
      </w:r>
      <w:proofErr w:type="spellStart"/>
      <w:r w:rsidRPr="00446D36">
        <w:rPr>
          <w:lang w:val="es-MX"/>
        </w:rPr>
        <w:t>Research</w:t>
      </w:r>
      <w:proofErr w:type="spellEnd"/>
      <w:r w:rsidRPr="00446D36">
        <w:rPr>
          <w:lang w:val="es-MX"/>
        </w:rPr>
        <w:t xml:space="preserve"> </w:t>
      </w:r>
      <w:proofErr w:type="spellStart"/>
      <w:r w:rsidRPr="00446D36">
        <w:rPr>
          <w:lang w:val="es-MX"/>
        </w:rPr>
        <w:t>Group</w:t>
      </w:r>
      <w:proofErr w:type="spellEnd"/>
      <w:r w:rsidRPr="00446D36">
        <w:rPr>
          <w:lang w:val="es-MX"/>
        </w:rPr>
        <w:t xml:space="preserve">. </w:t>
      </w:r>
      <w:proofErr w:type="spellStart"/>
      <w:r w:rsidRPr="00446D36">
        <w:rPr>
          <w:lang w:val="es-MX"/>
        </w:rPr>
        <w:t>The</w:t>
      </w:r>
      <w:proofErr w:type="spellEnd"/>
      <w:r w:rsidRPr="00446D36">
        <w:rPr>
          <w:lang w:val="es-MX"/>
        </w:rPr>
        <w:t xml:space="preserve"> New </w:t>
      </w:r>
      <w:proofErr w:type="spellStart"/>
      <w:r w:rsidRPr="00446D36">
        <w:rPr>
          <w:lang w:val="es-MX"/>
        </w:rPr>
        <w:t>England</w:t>
      </w:r>
      <w:proofErr w:type="spellEnd"/>
      <w:r w:rsidRPr="00446D36">
        <w:rPr>
          <w:lang w:val="es-MX"/>
        </w:rPr>
        <w:t xml:space="preserve"> </w:t>
      </w:r>
      <w:proofErr w:type="spellStart"/>
      <w:r w:rsidRPr="00446D36">
        <w:rPr>
          <w:lang w:val="es-MX"/>
        </w:rPr>
        <w:t>journal</w:t>
      </w:r>
      <w:proofErr w:type="spellEnd"/>
      <w:r w:rsidRPr="00446D36">
        <w:rPr>
          <w:lang w:val="es-MX"/>
        </w:rPr>
        <w:t xml:space="preserve"> of medicine, 336(16), 1117–1124. https://doi.org/10.1056/NEJM199704173361601</w:t>
      </w:r>
    </w:p>
    <w:p w14:paraId="51C91318" w14:textId="77777777" w:rsidR="00446D36" w:rsidRPr="00446D36" w:rsidRDefault="00446D36" w:rsidP="00446D36">
      <w:pPr>
        <w:pStyle w:val="Body"/>
        <w:ind w:left="360"/>
        <w:rPr>
          <w:lang w:val="es-MX"/>
        </w:rPr>
      </w:pPr>
    </w:p>
    <w:p w14:paraId="29EE59B6" w14:textId="77777777" w:rsidR="00446D36" w:rsidRPr="00446D36" w:rsidRDefault="00446D36" w:rsidP="00446D36">
      <w:pPr>
        <w:pStyle w:val="Body"/>
        <w:ind w:left="360"/>
        <w:rPr>
          <w:lang w:val="es-MX"/>
        </w:rPr>
      </w:pPr>
      <w:proofErr w:type="spellStart"/>
      <w:r w:rsidRPr="00446D36">
        <w:rPr>
          <w:lang w:val="es-MX"/>
        </w:rPr>
        <w:t>Canavan</w:t>
      </w:r>
      <w:proofErr w:type="spellEnd"/>
      <w:r w:rsidRPr="00446D36">
        <w:rPr>
          <w:lang w:val="es-MX"/>
        </w:rPr>
        <w:t xml:space="preserve">, M., &amp; O'Donnell, M. J. (Febrero de 2022). </w:t>
      </w:r>
      <w:proofErr w:type="spellStart"/>
      <w:r w:rsidRPr="00446D36">
        <w:rPr>
          <w:lang w:val="es-MX"/>
        </w:rPr>
        <w:t>Hypertension</w:t>
      </w:r>
      <w:proofErr w:type="spellEnd"/>
      <w:r w:rsidRPr="00446D36">
        <w:rPr>
          <w:lang w:val="es-MX"/>
        </w:rPr>
        <w:t xml:space="preserve"> and Cognitive </w:t>
      </w:r>
      <w:proofErr w:type="spellStart"/>
      <w:r w:rsidRPr="00446D36">
        <w:rPr>
          <w:lang w:val="es-MX"/>
        </w:rPr>
        <w:t>Impairment</w:t>
      </w:r>
      <w:proofErr w:type="spellEnd"/>
      <w:r w:rsidRPr="00446D36">
        <w:rPr>
          <w:lang w:val="es-MX"/>
        </w:rPr>
        <w:t xml:space="preserve">: A </w:t>
      </w:r>
      <w:proofErr w:type="spellStart"/>
      <w:r w:rsidRPr="00446D36">
        <w:rPr>
          <w:lang w:val="es-MX"/>
        </w:rPr>
        <w:t>Review</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Mechanisms</w:t>
      </w:r>
      <w:proofErr w:type="spellEnd"/>
      <w:r w:rsidRPr="00446D36">
        <w:rPr>
          <w:lang w:val="es-MX"/>
        </w:rPr>
        <w:t xml:space="preserve"> and Key </w:t>
      </w:r>
      <w:proofErr w:type="spellStart"/>
      <w:r w:rsidRPr="00446D36">
        <w:rPr>
          <w:lang w:val="es-MX"/>
        </w:rPr>
        <w:t>Concepts</w:t>
      </w:r>
      <w:proofErr w:type="spellEnd"/>
      <w:r w:rsidRPr="00446D36">
        <w:rPr>
          <w:lang w:val="es-MX"/>
        </w:rPr>
        <w:t xml:space="preserve">. </w:t>
      </w:r>
      <w:proofErr w:type="spellStart"/>
      <w:r w:rsidRPr="00446D36">
        <w:rPr>
          <w:lang w:val="es-MX"/>
        </w:rPr>
        <w:t>Frontiers</w:t>
      </w:r>
      <w:proofErr w:type="spellEnd"/>
      <w:r w:rsidRPr="00446D36">
        <w:rPr>
          <w:lang w:val="es-MX"/>
        </w:rPr>
        <w:t xml:space="preserve"> in </w:t>
      </w:r>
      <w:proofErr w:type="spellStart"/>
      <w:r w:rsidRPr="00446D36">
        <w:rPr>
          <w:lang w:val="es-MX"/>
        </w:rPr>
        <w:t>neurology</w:t>
      </w:r>
      <w:proofErr w:type="spellEnd"/>
      <w:r w:rsidRPr="00446D36">
        <w:rPr>
          <w:lang w:val="es-MX"/>
        </w:rPr>
        <w:t>, 13(821135). https://doi.org/10.3389/fneur.2022.821135</w:t>
      </w:r>
    </w:p>
    <w:p w14:paraId="37F4545D" w14:textId="77777777" w:rsidR="00446D36" w:rsidRPr="00446D36" w:rsidRDefault="00446D36" w:rsidP="00446D36">
      <w:pPr>
        <w:pStyle w:val="Body"/>
        <w:ind w:left="360"/>
        <w:rPr>
          <w:lang w:val="es-MX"/>
        </w:rPr>
      </w:pPr>
    </w:p>
    <w:p w14:paraId="335544EF" w14:textId="77777777" w:rsidR="00446D36" w:rsidRPr="00446D36" w:rsidRDefault="00446D36" w:rsidP="00446D36">
      <w:pPr>
        <w:pStyle w:val="Body"/>
        <w:ind w:left="360"/>
        <w:rPr>
          <w:lang w:val="es-MX"/>
        </w:rPr>
      </w:pPr>
      <w:r w:rsidRPr="00446D36">
        <w:rPr>
          <w:lang w:val="es-MX"/>
        </w:rPr>
        <w:t xml:space="preserve">CENETEC, C. N. (2021). </w:t>
      </w:r>
      <w:proofErr w:type="spellStart"/>
      <w:r w:rsidRPr="00446D36">
        <w:rPr>
          <w:lang w:val="es-MX"/>
        </w:rPr>
        <w:t>Cenetec</w:t>
      </w:r>
      <w:proofErr w:type="spellEnd"/>
      <w:r w:rsidRPr="00446D36">
        <w:rPr>
          <w:lang w:val="es-MX"/>
        </w:rPr>
        <w:t xml:space="preserve">-difusión. </w:t>
      </w:r>
      <w:proofErr w:type="spellStart"/>
      <w:r w:rsidRPr="00446D36">
        <w:rPr>
          <w:lang w:val="es-MX"/>
        </w:rPr>
        <w:t>Clinical</w:t>
      </w:r>
      <w:proofErr w:type="spellEnd"/>
      <w:r w:rsidRPr="00446D36">
        <w:rPr>
          <w:lang w:val="es-MX"/>
        </w:rPr>
        <w:t xml:space="preserve"> </w:t>
      </w:r>
      <w:proofErr w:type="spellStart"/>
      <w:r w:rsidRPr="00446D36">
        <w:rPr>
          <w:lang w:val="es-MX"/>
        </w:rPr>
        <w:t>Practice</w:t>
      </w:r>
      <w:proofErr w:type="spellEnd"/>
      <w:r w:rsidRPr="00446D36">
        <w:rPr>
          <w:lang w:val="es-MX"/>
        </w:rPr>
        <w:t xml:space="preserve"> Guide: Diagnosis and </w:t>
      </w:r>
      <w:proofErr w:type="spellStart"/>
      <w:r w:rsidRPr="00446D36">
        <w:rPr>
          <w:lang w:val="es-MX"/>
        </w:rPr>
        <w:t>treatment</w:t>
      </w:r>
      <w:proofErr w:type="spellEnd"/>
      <w:r w:rsidRPr="00446D36">
        <w:rPr>
          <w:lang w:val="es-MX"/>
        </w:rPr>
        <w:t xml:space="preserve"> </w:t>
      </w:r>
      <w:proofErr w:type="spellStart"/>
      <w:r w:rsidRPr="00446D36">
        <w:rPr>
          <w:lang w:val="es-MX"/>
        </w:rPr>
        <w:t>of</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in </w:t>
      </w:r>
      <w:proofErr w:type="spellStart"/>
      <w:r w:rsidRPr="00446D36">
        <w:rPr>
          <w:lang w:val="es-MX"/>
        </w:rPr>
        <w:t>adults</w:t>
      </w:r>
      <w:proofErr w:type="spellEnd"/>
      <w:r w:rsidRPr="00446D36">
        <w:rPr>
          <w:lang w:val="es-MX"/>
        </w:rPr>
        <w:t xml:space="preserve">: http://www.cenetec-difusion.com/CMGPC/GPC-IMSS-076-21/ER.pdf </w:t>
      </w:r>
      <w:proofErr w:type="spellStart"/>
      <w:r w:rsidRPr="00446D36">
        <w:rPr>
          <w:lang w:val="es-MX"/>
        </w:rPr>
        <w:t>Cenetec</w:t>
      </w:r>
      <w:proofErr w:type="spellEnd"/>
      <w:r w:rsidRPr="00446D36">
        <w:rPr>
          <w:lang w:val="es-MX"/>
        </w:rPr>
        <w:t xml:space="preserve"> Difusión</w:t>
      </w:r>
    </w:p>
    <w:p w14:paraId="694253CC" w14:textId="77777777" w:rsidR="00446D36" w:rsidRPr="00446D36" w:rsidRDefault="00446D36" w:rsidP="00446D36">
      <w:pPr>
        <w:pStyle w:val="Body"/>
        <w:ind w:left="360"/>
        <w:rPr>
          <w:lang w:val="es-MX"/>
        </w:rPr>
      </w:pPr>
    </w:p>
    <w:p w14:paraId="3095A42F" w14:textId="77777777" w:rsidR="00446D36" w:rsidRPr="00446D36" w:rsidRDefault="00446D36" w:rsidP="00446D36">
      <w:pPr>
        <w:pStyle w:val="Body"/>
        <w:ind w:left="360"/>
        <w:rPr>
          <w:lang w:val="es-MX"/>
        </w:rPr>
      </w:pPr>
      <w:r w:rsidRPr="00446D36">
        <w:rPr>
          <w:lang w:val="es-MX"/>
        </w:rPr>
        <w:t xml:space="preserve">Cisneros </w:t>
      </w:r>
      <w:proofErr w:type="spellStart"/>
      <w:r w:rsidRPr="00446D36">
        <w:rPr>
          <w:lang w:val="es-MX"/>
        </w:rPr>
        <w:t>Zuñiga</w:t>
      </w:r>
      <w:proofErr w:type="spellEnd"/>
      <w:r w:rsidRPr="00446D36">
        <w:rPr>
          <w:lang w:val="es-MX"/>
        </w:rPr>
        <w:t xml:space="preserve">, J., &amp; Razo Mendoza, L. R. (2024).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older</w:t>
      </w:r>
      <w:proofErr w:type="spellEnd"/>
      <w:r w:rsidRPr="00446D36">
        <w:rPr>
          <w:lang w:val="es-MX"/>
        </w:rPr>
        <w:t xml:space="preserve"> </w:t>
      </w:r>
      <w:proofErr w:type="spellStart"/>
      <w:r w:rsidRPr="00446D36">
        <w:rPr>
          <w:lang w:val="es-MX"/>
        </w:rPr>
        <w:t>than</w:t>
      </w:r>
      <w:proofErr w:type="spellEnd"/>
      <w:r w:rsidRPr="00446D36">
        <w:rPr>
          <w:lang w:val="es-MX"/>
        </w:rPr>
        <w:t xml:space="preserve"> 65 </w:t>
      </w:r>
      <w:proofErr w:type="spellStart"/>
      <w:r w:rsidRPr="00446D36">
        <w:rPr>
          <w:lang w:val="es-MX"/>
        </w:rPr>
        <w:t>years</w:t>
      </w:r>
      <w:proofErr w:type="spellEnd"/>
      <w:r w:rsidRPr="00446D36">
        <w:rPr>
          <w:lang w:val="es-MX"/>
        </w:rPr>
        <w:t xml:space="preserve"> </w:t>
      </w:r>
      <w:proofErr w:type="spellStart"/>
      <w:r w:rsidRPr="00446D36">
        <w:rPr>
          <w:lang w:val="es-MX"/>
        </w:rPr>
        <w:t>with</w:t>
      </w:r>
      <w:proofErr w:type="spellEnd"/>
      <w:r w:rsidRPr="00446D36">
        <w:rPr>
          <w:lang w:val="es-MX"/>
        </w:rPr>
        <w:t xml:space="preserve"> </w:t>
      </w:r>
      <w:proofErr w:type="spellStart"/>
      <w:r w:rsidRPr="00446D36">
        <w:rPr>
          <w:lang w:val="es-MX"/>
        </w:rPr>
        <w:t>systemic</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diagnosis at </w:t>
      </w:r>
      <w:proofErr w:type="spellStart"/>
      <w:r w:rsidRPr="00446D36">
        <w:rPr>
          <w:lang w:val="es-MX"/>
        </w:rPr>
        <w:t>the</w:t>
      </w:r>
      <w:proofErr w:type="spellEnd"/>
      <w:r w:rsidRPr="00446D36">
        <w:rPr>
          <w:lang w:val="es-MX"/>
        </w:rPr>
        <w:t xml:space="preserve"> </w:t>
      </w:r>
      <w:proofErr w:type="spellStart"/>
      <w:r w:rsidRPr="00446D36">
        <w:rPr>
          <w:lang w:val="es-MX"/>
        </w:rPr>
        <w:t>first</w:t>
      </w:r>
      <w:proofErr w:type="spellEnd"/>
      <w:r w:rsidRPr="00446D36">
        <w:rPr>
          <w:lang w:val="es-MX"/>
        </w:rPr>
        <w:t xml:space="preserve"> </w:t>
      </w:r>
      <w:proofErr w:type="spellStart"/>
      <w:r w:rsidRPr="00446D36">
        <w:rPr>
          <w:lang w:val="es-MX"/>
        </w:rPr>
        <w:t>level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attention</w:t>
      </w:r>
      <w:proofErr w:type="spellEnd"/>
      <w:r w:rsidRPr="00446D36">
        <w:rPr>
          <w:lang w:val="es-MX"/>
        </w:rPr>
        <w:t xml:space="preserve">.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older</w:t>
      </w:r>
      <w:proofErr w:type="spellEnd"/>
      <w:r w:rsidRPr="00446D36">
        <w:rPr>
          <w:lang w:val="es-MX"/>
        </w:rPr>
        <w:t xml:space="preserve"> </w:t>
      </w:r>
      <w:proofErr w:type="spellStart"/>
      <w:r w:rsidRPr="00446D36">
        <w:rPr>
          <w:lang w:val="es-MX"/>
        </w:rPr>
        <w:t>than</w:t>
      </w:r>
      <w:proofErr w:type="spellEnd"/>
      <w:r w:rsidRPr="00446D36">
        <w:rPr>
          <w:lang w:val="es-MX"/>
        </w:rPr>
        <w:t xml:space="preserve"> 65 </w:t>
      </w:r>
      <w:proofErr w:type="spellStart"/>
      <w:r w:rsidRPr="00446D36">
        <w:rPr>
          <w:lang w:val="es-MX"/>
        </w:rPr>
        <w:t>years</w:t>
      </w:r>
      <w:proofErr w:type="spellEnd"/>
      <w:r w:rsidRPr="00446D36">
        <w:rPr>
          <w:lang w:val="es-MX"/>
        </w:rPr>
        <w:t xml:space="preserve"> </w:t>
      </w:r>
      <w:proofErr w:type="spellStart"/>
      <w:r w:rsidRPr="00446D36">
        <w:rPr>
          <w:lang w:val="es-MX"/>
        </w:rPr>
        <w:t>with</w:t>
      </w:r>
      <w:proofErr w:type="spellEnd"/>
      <w:r w:rsidRPr="00446D36">
        <w:rPr>
          <w:lang w:val="es-MX"/>
        </w:rPr>
        <w:t xml:space="preserve"> diagnosis </w:t>
      </w:r>
      <w:proofErr w:type="spellStart"/>
      <w:r w:rsidRPr="00446D36">
        <w:rPr>
          <w:lang w:val="es-MX"/>
        </w:rPr>
        <w:t>of</w:t>
      </w:r>
      <w:proofErr w:type="spellEnd"/>
      <w:r w:rsidRPr="00446D36">
        <w:rPr>
          <w:lang w:val="es-MX"/>
        </w:rPr>
        <w:t xml:space="preserve"> XX </w:t>
      </w:r>
      <w:proofErr w:type="spellStart"/>
      <w:r w:rsidRPr="00446D36">
        <w:rPr>
          <w:lang w:val="es-MX"/>
        </w:rPr>
        <w:t>systemic</w:t>
      </w:r>
      <w:proofErr w:type="spellEnd"/>
      <w:r w:rsidRPr="00446D36">
        <w:rPr>
          <w:lang w:val="es-MX"/>
        </w:rPr>
        <w:t xml:space="preserve"> arterial </w:t>
      </w:r>
      <w:proofErr w:type="spellStart"/>
      <w:r w:rsidRPr="00446D36">
        <w:rPr>
          <w:lang w:val="es-MX"/>
        </w:rPr>
        <w:t>hypertension</w:t>
      </w:r>
      <w:proofErr w:type="spellEnd"/>
      <w:r w:rsidRPr="00446D36">
        <w:rPr>
          <w:lang w:val="es-MX"/>
        </w:rPr>
        <w:t xml:space="preserve"> at </w:t>
      </w:r>
      <w:proofErr w:type="spellStart"/>
      <w:r w:rsidRPr="00446D36">
        <w:rPr>
          <w:lang w:val="es-MX"/>
        </w:rPr>
        <w:t>the</w:t>
      </w:r>
      <w:proofErr w:type="spellEnd"/>
      <w:r w:rsidRPr="00446D36">
        <w:rPr>
          <w:lang w:val="es-MX"/>
        </w:rPr>
        <w:t xml:space="preserve"> </w:t>
      </w:r>
      <w:proofErr w:type="spellStart"/>
      <w:r w:rsidRPr="00446D36">
        <w:rPr>
          <w:lang w:val="es-MX"/>
        </w:rPr>
        <w:t>first</w:t>
      </w:r>
      <w:proofErr w:type="spellEnd"/>
      <w:r w:rsidRPr="00446D36">
        <w:rPr>
          <w:lang w:val="es-MX"/>
        </w:rPr>
        <w:t xml:space="preserve"> </w:t>
      </w:r>
      <w:proofErr w:type="spellStart"/>
      <w:r w:rsidRPr="00446D36">
        <w:rPr>
          <w:lang w:val="es-MX"/>
        </w:rPr>
        <w:t>level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attention</w:t>
      </w:r>
      <w:proofErr w:type="spellEnd"/>
      <w:r w:rsidRPr="00446D36">
        <w:rPr>
          <w:lang w:val="es-MX"/>
        </w:rPr>
        <w:t xml:space="preserve">. León, Guanajuato, </w:t>
      </w:r>
      <w:proofErr w:type="spellStart"/>
      <w:r w:rsidRPr="00446D36">
        <w:rPr>
          <w:lang w:val="es-MX"/>
        </w:rPr>
        <w:t>Mexico</w:t>
      </w:r>
      <w:proofErr w:type="spellEnd"/>
      <w:r w:rsidRPr="00446D36">
        <w:rPr>
          <w:lang w:val="es-MX"/>
        </w:rPr>
        <w:t>: Universidad de Guanajuato. http://repositorio.ugto.mx/handle/20.500.12059/10545</w:t>
      </w:r>
    </w:p>
    <w:p w14:paraId="77C86833" w14:textId="77777777" w:rsidR="00446D36" w:rsidRPr="00446D36" w:rsidRDefault="00446D36" w:rsidP="00446D36">
      <w:pPr>
        <w:pStyle w:val="Body"/>
        <w:ind w:left="360"/>
        <w:rPr>
          <w:lang w:val="es-MX"/>
        </w:rPr>
      </w:pPr>
    </w:p>
    <w:p w14:paraId="5E527785" w14:textId="77777777" w:rsidR="00446D36" w:rsidRPr="00446D36" w:rsidRDefault="00446D36" w:rsidP="00446D36">
      <w:pPr>
        <w:pStyle w:val="Body"/>
        <w:ind w:left="360"/>
        <w:rPr>
          <w:lang w:val="es-MX"/>
        </w:rPr>
      </w:pPr>
      <w:proofErr w:type="spellStart"/>
      <w:r w:rsidRPr="00446D36">
        <w:rPr>
          <w:lang w:val="es-MX"/>
        </w:rPr>
        <w:t>Garcia</w:t>
      </w:r>
      <w:proofErr w:type="spellEnd"/>
      <w:r w:rsidRPr="00446D36">
        <w:rPr>
          <w:lang w:val="es-MX"/>
        </w:rPr>
        <w:t xml:space="preserve">, L. P., </w:t>
      </w:r>
      <w:proofErr w:type="spellStart"/>
      <w:r w:rsidRPr="00446D36">
        <w:rPr>
          <w:lang w:val="es-MX"/>
        </w:rPr>
        <w:t>Gonzalez</w:t>
      </w:r>
      <w:proofErr w:type="spellEnd"/>
      <w:r w:rsidRPr="00446D36">
        <w:rPr>
          <w:lang w:val="es-MX"/>
        </w:rPr>
        <w:t>, N. H., Herrera Olvera, I. G., Guerrero-</w:t>
      </w:r>
      <w:proofErr w:type="spellStart"/>
      <w:r w:rsidRPr="00446D36">
        <w:rPr>
          <w:lang w:val="es-MX"/>
        </w:rPr>
        <w:t>Gonzalez</w:t>
      </w:r>
      <w:proofErr w:type="spellEnd"/>
      <w:r w:rsidRPr="00446D36">
        <w:rPr>
          <w:lang w:val="es-MX"/>
        </w:rPr>
        <w:t xml:space="preserve">, A., &amp; Muñoz, E. (2023). Cognitive </w:t>
      </w:r>
      <w:proofErr w:type="spellStart"/>
      <w:r w:rsidRPr="00446D36">
        <w:rPr>
          <w:lang w:val="es-MX"/>
        </w:rPr>
        <w:t>deterioration</w:t>
      </w:r>
      <w:proofErr w:type="spellEnd"/>
      <w:r w:rsidRPr="00446D36">
        <w:rPr>
          <w:lang w:val="es-MX"/>
        </w:rPr>
        <w:t xml:space="preserve"> and </w:t>
      </w:r>
      <w:proofErr w:type="spellStart"/>
      <w:r w:rsidRPr="00446D36">
        <w:rPr>
          <w:lang w:val="es-MX"/>
        </w:rPr>
        <w:t>physical</w:t>
      </w:r>
      <w:proofErr w:type="spellEnd"/>
      <w:r w:rsidRPr="00446D36">
        <w:rPr>
          <w:lang w:val="es-MX"/>
        </w:rPr>
        <w:t xml:space="preserve"> </w:t>
      </w:r>
      <w:proofErr w:type="spellStart"/>
      <w:r w:rsidRPr="00446D36">
        <w:rPr>
          <w:lang w:val="es-MX"/>
        </w:rPr>
        <w:t>fragility</w:t>
      </w:r>
      <w:proofErr w:type="spellEnd"/>
      <w:r w:rsidRPr="00446D36">
        <w:rPr>
          <w:lang w:val="es-MX"/>
        </w:rPr>
        <w:t xml:space="preserve"> in </w:t>
      </w:r>
      <w:proofErr w:type="spellStart"/>
      <w:r w:rsidRPr="00446D36">
        <w:rPr>
          <w:lang w:val="es-MX"/>
        </w:rPr>
        <w:t>older</w:t>
      </w:r>
      <w:proofErr w:type="spellEnd"/>
      <w:r w:rsidRPr="00446D36">
        <w:rPr>
          <w:lang w:val="es-MX"/>
        </w:rPr>
        <w:t xml:space="preserve"> </w:t>
      </w:r>
      <w:proofErr w:type="spellStart"/>
      <w:r w:rsidRPr="00446D36">
        <w:rPr>
          <w:lang w:val="es-MX"/>
        </w:rPr>
        <w:t>adults</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UMF No. 75 Nezahualcóyotl. </w:t>
      </w:r>
      <w:proofErr w:type="spellStart"/>
      <w:r w:rsidRPr="00446D36">
        <w:rPr>
          <w:lang w:val="es-MX"/>
        </w:rPr>
        <w:t>Inveclimex</w:t>
      </w:r>
      <w:proofErr w:type="spellEnd"/>
      <w:r w:rsidRPr="00446D36">
        <w:rPr>
          <w:lang w:val="es-MX"/>
        </w:rPr>
        <w:t>, 2(1), 9-12. https://revistaisem.edomex.gob.mx/index.php/inveclimex/article/view/129/50</w:t>
      </w:r>
    </w:p>
    <w:p w14:paraId="1CC0010F" w14:textId="77777777" w:rsidR="00446D36" w:rsidRPr="00446D36" w:rsidRDefault="00446D36" w:rsidP="00446D36">
      <w:pPr>
        <w:pStyle w:val="Body"/>
        <w:ind w:left="360"/>
        <w:rPr>
          <w:lang w:val="es-MX"/>
        </w:rPr>
      </w:pPr>
    </w:p>
    <w:p w14:paraId="0CF56AD4" w14:textId="77777777" w:rsidR="00446D36" w:rsidRPr="00446D36" w:rsidRDefault="00446D36" w:rsidP="00446D36">
      <w:pPr>
        <w:pStyle w:val="Body"/>
        <w:ind w:left="360"/>
        <w:rPr>
          <w:lang w:val="es-MX"/>
        </w:rPr>
      </w:pPr>
      <w:proofErr w:type="spellStart"/>
      <w:r w:rsidRPr="00446D36">
        <w:rPr>
          <w:lang w:val="es-MX"/>
        </w:rPr>
        <w:t>Iadecola</w:t>
      </w:r>
      <w:proofErr w:type="spellEnd"/>
      <w:r w:rsidRPr="00446D36">
        <w:rPr>
          <w:lang w:val="es-MX"/>
        </w:rPr>
        <w:t xml:space="preserve">, C., </w:t>
      </w:r>
      <w:proofErr w:type="spellStart"/>
      <w:r w:rsidRPr="00446D36">
        <w:rPr>
          <w:lang w:val="es-MX"/>
        </w:rPr>
        <w:t>Yaffe</w:t>
      </w:r>
      <w:proofErr w:type="spellEnd"/>
      <w:r w:rsidRPr="00446D36">
        <w:rPr>
          <w:lang w:val="es-MX"/>
        </w:rPr>
        <w:t xml:space="preserve">, K., </w:t>
      </w:r>
      <w:proofErr w:type="spellStart"/>
      <w:r w:rsidRPr="00446D36">
        <w:rPr>
          <w:lang w:val="es-MX"/>
        </w:rPr>
        <w:t>Biller</w:t>
      </w:r>
      <w:proofErr w:type="spellEnd"/>
      <w:r w:rsidRPr="00446D36">
        <w:rPr>
          <w:lang w:val="es-MX"/>
        </w:rPr>
        <w:t xml:space="preserve">, J., </w:t>
      </w:r>
      <w:proofErr w:type="spellStart"/>
      <w:r w:rsidRPr="00446D36">
        <w:rPr>
          <w:lang w:val="es-MX"/>
        </w:rPr>
        <w:t>Bratzke</w:t>
      </w:r>
      <w:proofErr w:type="spellEnd"/>
      <w:r w:rsidRPr="00446D36">
        <w:rPr>
          <w:lang w:val="es-MX"/>
        </w:rPr>
        <w:t xml:space="preserve">, L., </w:t>
      </w:r>
      <w:proofErr w:type="spellStart"/>
      <w:r w:rsidRPr="00446D36">
        <w:rPr>
          <w:lang w:val="es-MX"/>
        </w:rPr>
        <w:t>Faraci</w:t>
      </w:r>
      <w:proofErr w:type="spellEnd"/>
      <w:r w:rsidRPr="00446D36">
        <w:rPr>
          <w:lang w:val="es-MX"/>
        </w:rPr>
        <w:t xml:space="preserve">, F., </w:t>
      </w:r>
      <w:proofErr w:type="spellStart"/>
      <w:r w:rsidRPr="00446D36">
        <w:rPr>
          <w:lang w:val="es-MX"/>
        </w:rPr>
        <w:t>Gorelick</w:t>
      </w:r>
      <w:proofErr w:type="spellEnd"/>
      <w:r w:rsidRPr="00446D36">
        <w:rPr>
          <w:lang w:val="es-MX"/>
        </w:rPr>
        <w:t xml:space="preserve">, P. B., . . . </w:t>
      </w:r>
      <w:proofErr w:type="spellStart"/>
      <w:r w:rsidRPr="00446D36">
        <w:rPr>
          <w:lang w:val="es-MX"/>
        </w:rPr>
        <w:t>Cardiology</w:t>
      </w:r>
      <w:proofErr w:type="spellEnd"/>
      <w:r w:rsidRPr="00446D36">
        <w:rPr>
          <w:lang w:val="es-MX"/>
        </w:rPr>
        <w:t xml:space="preserve">, C. o. (2016). </w:t>
      </w:r>
      <w:proofErr w:type="spellStart"/>
      <w:r w:rsidRPr="00446D36">
        <w:rPr>
          <w:lang w:val="es-MX"/>
        </w:rPr>
        <w:t>Impact</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w:t>
      </w:r>
      <w:proofErr w:type="spellStart"/>
      <w:r w:rsidRPr="00446D36">
        <w:rPr>
          <w:lang w:val="es-MX"/>
        </w:rPr>
        <w:t>on</w:t>
      </w:r>
      <w:proofErr w:type="spellEnd"/>
      <w:r w:rsidRPr="00446D36">
        <w:rPr>
          <w:lang w:val="es-MX"/>
        </w:rPr>
        <w:t xml:space="preserve"> Cognitive </w:t>
      </w:r>
      <w:proofErr w:type="spellStart"/>
      <w:r w:rsidRPr="00446D36">
        <w:rPr>
          <w:lang w:val="es-MX"/>
        </w:rPr>
        <w:t>Function</w:t>
      </w:r>
      <w:proofErr w:type="spellEnd"/>
      <w:r w:rsidRPr="00446D36">
        <w:rPr>
          <w:lang w:val="es-MX"/>
        </w:rPr>
        <w:t xml:space="preserve">: A XXII </w:t>
      </w:r>
      <w:proofErr w:type="spellStart"/>
      <w:r w:rsidRPr="00446D36">
        <w:rPr>
          <w:lang w:val="es-MX"/>
        </w:rPr>
        <w:t>Scientific</w:t>
      </w:r>
      <w:proofErr w:type="spellEnd"/>
      <w:r w:rsidRPr="00446D36">
        <w:rPr>
          <w:lang w:val="es-MX"/>
        </w:rPr>
        <w:t xml:space="preserve"> </w:t>
      </w:r>
      <w:proofErr w:type="spellStart"/>
      <w:r w:rsidRPr="00446D36">
        <w:rPr>
          <w:lang w:val="es-MX"/>
        </w:rPr>
        <w:t>Statement</w:t>
      </w:r>
      <w:proofErr w:type="spellEnd"/>
      <w:r w:rsidRPr="00446D36">
        <w:rPr>
          <w:lang w:val="es-MX"/>
        </w:rPr>
        <w:t xml:space="preserve"> </w:t>
      </w:r>
      <w:proofErr w:type="spellStart"/>
      <w:r w:rsidRPr="00446D36">
        <w:rPr>
          <w:lang w:val="es-MX"/>
        </w:rPr>
        <w:t>From</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Heart </w:t>
      </w:r>
      <w:proofErr w:type="spellStart"/>
      <w:r w:rsidRPr="00446D36">
        <w:rPr>
          <w:lang w:val="es-MX"/>
        </w:rPr>
        <w:t>Association</w:t>
      </w:r>
      <w:proofErr w:type="spellEnd"/>
      <w:r w:rsidRPr="00446D36">
        <w:rPr>
          <w:lang w:val="es-MX"/>
        </w:rPr>
        <w:t xml:space="preserve">. </w:t>
      </w:r>
      <w:proofErr w:type="spellStart"/>
      <w:r w:rsidRPr="00446D36">
        <w:rPr>
          <w:lang w:val="es-MX"/>
        </w:rPr>
        <w:t>Hypertension</w:t>
      </w:r>
      <w:proofErr w:type="spellEnd"/>
      <w:r w:rsidRPr="00446D36">
        <w:rPr>
          <w:lang w:val="es-MX"/>
        </w:rPr>
        <w:t>, 68(6), e67–e94. DOI: 10.1161/HYP.0000000000000053</w:t>
      </w:r>
    </w:p>
    <w:p w14:paraId="3E0FFA58" w14:textId="77777777" w:rsidR="00446D36" w:rsidRPr="00446D36" w:rsidRDefault="00446D36" w:rsidP="00446D36">
      <w:pPr>
        <w:pStyle w:val="Body"/>
        <w:ind w:left="360"/>
        <w:rPr>
          <w:lang w:val="es-MX"/>
        </w:rPr>
      </w:pPr>
    </w:p>
    <w:p w14:paraId="0603C5B5" w14:textId="77777777" w:rsidR="00446D36" w:rsidRPr="00446D36" w:rsidRDefault="00446D36" w:rsidP="00446D36">
      <w:pPr>
        <w:pStyle w:val="Body"/>
        <w:ind w:left="360"/>
        <w:rPr>
          <w:lang w:val="es-MX"/>
        </w:rPr>
      </w:pPr>
      <w:r w:rsidRPr="00446D36">
        <w:rPr>
          <w:lang w:val="es-MX"/>
        </w:rPr>
        <w:t xml:space="preserve">Moreno Briones, P. A. (2019). Arterial </w:t>
      </w:r>
      <w:proofErr w:type="spellStart"/>
      <w:r w:rsidRPr="00446D36">
        <w:rPr>
          <w:lang w:val="es-MX"/>
        </w:rPr>
        <w:t>hypertension</w:t>
      </w:r>
      <w:proofErr w:type="spellEnd"/>
      <w:r w:rsidRPr="00446D36">
        <w:rPr>
          <w:lang w:val="es-MX"/>
        </w:rPr>
        <w:t xml:space="preserve"> and cognitive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majors</w:t>
      </w:r>
      <w:proofErr w:type="spellEnd"/>
      <w:r w:rsidRPr="00446D36">
        <w:rPr>
          <w:lang w:val="es-MX"/>
        </w:rPr>
        <w:t xml:space="preserve"> Hospital Regional Docente de Trujillo, </w:t>
      </w:r>
      <w:proofErr w:type="spellStart"/>
      <w:r w:rsidRPr="00446D36">
        <w:rPr>
          <w:lang w:val="es-MX"/>
        </w:rPr>
        <w:t>July</w:t>
      </w:r>
      <w:proofErr w:type="spellEnd"/>
      <w:r w:rsidRPr="00446D36">
        <w:rPr>
          <w:lang w:val="es-MX"/>
        </w:rPr>
        <w:t xml:space="preserve"> - </w:t>
      </w:r>
      <w:proofErr w:type="spellStart"/>
      <w:r w:rsidRPr="00446D36">
        <w:rPr>
          <w:lang w:val="es-MX"/>
        </w:rPr>
        <w:t>December</w:t>
      </w:r>
      <w:proofErr w:type="spellEnd"/>
      <w:r w:rsidRPr="00446D36">
        <w:rPr>
          <w:lang w:val="es-MX"/>
        </w:rPr>
        <w:t xml:space="preserve"> 2019. Arterial </w:t>
      </w:r>
      <w:proofErr w:type="spellStart"/>
      <w:r w:rsidRPr="00446D36">
        <w:rPr>
          <w:lang w:val="es-MX"/>
        </w:rPr>
        <w:t>hypertension</w:t>
      </w:r>
      <w:proofErr w:type="spellEnd"/>
      <w:r w:rsidRPr="00446D36">
        <w:rPr>
          <w:lang w:val="es-MX"/>
        </w:rPr>
        <w:t xml:space="preserve"> and cognitive </w:t>
      </w:r>
      <w:proofErr w:type="spellStart"/>
      <w:r w:rsidRPr="00446D36">
        <w:rPr>
          <w:lang w:val="es-MX"/>
        </w:rPr>
        <w:t>impairment</w:t>
      </w:r>
      <w:proofErr w:type="spellEnd"/>
      <w:r w:rsidRPr="00446D36">
        <w:rPr>
          <w:lang w:val="es-MX"/>
        </w:rPr>
        <w:t xml:space="preserve"> in </w:t>
      </w:r>
      <w:proofErr w:type="spellStart"/>
      <w:r w:rsidRPr="00446D36">
        <w:rPr>
          <w:lang w:val="es-MX"/>
        </w:rPr>
        <w:t>adults</w:t>
      </w:r>
      <w:proofErr w:type="spellEnd"/>
      <w:r w:rsidRPr="00446D36">
        <w:rPr>
          <w:lang w:val="es-MX"/>
        </w:rPr>
        <w:t xml:space="preserve"> </w:t>
      </w:r>
      <w:proofErr w:type="spellStart"/>
      <w:r w:rsidRPr="00446D36">
        <w:rPr>
          <w:lang w:val="es-MX"/>
        </w:rPr>
        <w:t>majors</w:t>
      </w:r>
      <w:proofErr w:type="spellEnd"/>
      <w:r w:rsidRPr="00446D36">
        <w:rPr>
          <w:lang w:val="es-MX"/>
        </w:rPr>
        <w:t xml:space="preserve"> Hospital Regional Docente de Trujillo, </w:t>
      </w:r>
      <w:proofErr w:type="spellStart"/>
      <w:r w:rsidRPr="00446D36">
        <w:rPr>
          <w:lang w:val="es-MX"/>
        </w:rPr>
        <w:t>July</w:t>
      </w:r>
      <w:proofErr w:type="spellEnd"/>
      <w:r w:rsidRPr="00446D36">
        <w:rPr>
          <w:lang w:val="es-MX"/>
        </w:rPr>
        <w:t xml:space="preserve"> - </w:t>
      </w:r>
      <w:proofErr w:type="spellStart"/>
      <w:r w:rsidRPr="00446D36">
        <w:rPr>
          <w:lang w:val="es-MX"/>
        </w:rPr>
        <w:t>December</w:t>
      </w:r>
      <w:proofErr w:type="spellEnd"/>
      <w:r w:rsidRPr="00446D36">
        <w:rPr>
          <w:lang w:val="es-MX"/>
        </w:rPr>
        <w:t xml:space="preserve"> 2019. Universidad César Vallejo. https://hdl.handle.net/20.500.12692/40412</w:t>
      </w:r>
    </w:p>
    <w:p w14:paraId="59C46C05" w14:textId="77777777" w:rsidR="00446D36" w:rsidRPr="00446D36" w:rsidRDefault="00446D36" w:rsidP="00446D36">
      <w:pPr>
        <w:pStyle w:val="Body"/>
        <w:ind w:left="360"/>
        <w:rPr>
          <w:lang w:val="es-MX"/>
        </w:rPr>
      </w:pPr>
    </w:p>
    <w:p w14:paraId="5F70EFA7" w14:textId="77777777" w:rsidR="00446D36" w:rsidRPr="00446D36" w:rsidRDefault="00446D36" w:rsidP="00446D36">
      <w:pPr>
        <w:pStyle w:val="Body"/>
        <w:ind w:left="360"/>
        <w:rPr>
          <w:lang w:val="es-MX"/>
        </w:rPr>
      </w:pPr>
      <w:proofErr w:type="spellStart"/>
      <w:r w:rsidRPr="00446D36">
        <w:rPr>
          <w:lang w:val="es-MX"/>
        </w:rPr>
        <w:t>Nasreddine</w:t>
      </w:r>
      <w:proofErr w:type="spellEnd"/>
      <w:r w:rsidRPr="00446D36">
        <w:rPr>
          <w:lang w:val="es-MX"/>
        </w:rPr>
        <w:t xml:space="preserve">, Z. S., Phillips, N. A., </w:t>
      </w:r>
      <w:proofErr w:type="spellStart"/>
      <w:r w:rsidRPr="00446D36">
        <w:rPr>
          <w:lang w:val="es-MX"/>
        </w:rPr>
        <w:t>Bédirian</w:t>
      </w:r>
      <w:proofErr w:type="spellEnd"/>
      <w:r w:rsidRPr="00446D36">
        <w:rPr>
          <w:lang w:val="es-MX"/>
        </w:rPr>
        <w:t xml:space="preserve">, V., </w:t>
      </w:r>
      <w:proofErr w:type="spellStart"/>
      <w:r w:rsidRPr="00446D36">
        <w:rPr>
          <w:lang w:val="es-MX"/>
        </w:rPr>
        <w:t>Charbonneau</w:t>
      </w:r>
      <w:proofErr w:type="spellEnd"/>
      <w:r w:rsidRPr="00446D36">
        <w:rPr>
          <w:lang w:val="es-MX"/>
        </w:rPr>
        <w:t xml:space="preserve">, S., Whitehead, V., </w:t>
      </w:r>
      <w:proofErr w:type="spellStart"/>
      <w:r w:rsidRPr="00446D36">
        <w:rPr>
          <w:lang w:val="es-MX"/>
        </w:rPr>
        <w:t>Collin</w:t>
      </w:r>
      <w:proofErr w:type="spellEnd"/>
      <w:r w:rsidRPr="00446D36">
        <w:rPr>
          <w:lang w:val="es-MX"/>
        </w:rPr>
        <w:t xml:space="preserve">, I., Cummings, J. L., &amp; </w:t>
      </w:r>
      <w:proofErr w:type="spellStart"/>
      <w:r w:rsidRPr="00446D36">
        <w:rPr>
          <w:lang w:val="es-MX"/>
        </w:rPr>
        <w:t>Chertkow</w:t>
      </w:r>
      <w:proofErr w:type="spellEnd"/>
      <w:r w:rsidRPr="00446D36">
        <w:rPr>
          <w:lang w:val="es-MX"/>
        </w:rPr>
        <w:t xml:space="preserve">, H. (2005). </w:t>
      </w:r>
      <w:proofErr w:type="spellStart"/>
      <w:r w:rsidRPr="00446D36">
        <w:rPr>
          <w:lang w:val="es-MX"/>
        </w:rPr>
        <w:t>The</w:t>
      </w:r>
      <w:proofErr w:type="spellEnd"/>
      <w:r w:rsidRPr="00446D36">
        <w:rPr>
          <w:lang w:val="es-MX"/>
        </w:rPr>
        <w:t xml:space="preserve"> Montreal Cognitive </w:t>
      </w:r>
      <w:proofErr w:type="spellStart"/>
      <w:r w:rsidRPr="00446D36">
        <w:rPr>
          <w:lang w:val="es-MX"/>
        </w:rPr>
        <w:t>Assessment</w:t>
      </w:r>
      <w:proofErr w:type="spellEnd"/>
      <w:r w:rsidRPr="00446D36">
        <w:rPr>
          <w:lang w:val="es-MX"/>
        </w:rPr>
        <w:t xml:space="preserve">, </w:t>
      </w:r>
      <w:proofErr w:type="spellStart"/>
      <w:r w:rsidRPr="00446D36">
        <w:rPr>
          <w:lang w:val="es-MX"/>
        </w:rPr>
        <w:t>MoCA</w:t>
      </w:r>
      <w:proofErr w:type="spellEnd"/>
      <w:r w:rsidRPr="00446D36">
        <w:rPr>
          <w:lang w:val="es-MX"/>
        </w:rPr>
        <w:t xml:space="preserve">: a </w:t>
      </w:r>
      <w:proofErr w:type="spellStart"/>
      <w:r w:rsidRPr="00446D36">
        <w:rPr>
          <w:lang w:val="es-MX"/>
        </w:rPr>
        <w:t>brief</w:t>
      </w:r>
      <w:proofErr w:type="spellEnd"/>
      <w:r w:rsidRPr="00446D36">
        <w:rPr>
          <w:lang w:val="es-MX"/>
        </w:rPr>
        <w:t xml:space="preserve"> screening </w:t>
      </w:r>
      <w:proofErr w:type="spellStart"/>
      <w:r w:rsidRPr="00446D36">
        <w:rPr>
          <w:lang w:val="es-MX"/>
        </w:rPr>
        <w:t>tool</w:t>
      </w:r>
      <w:proofErr w:type="spellEnd"/>
      <w:r w:rsidRPr="00446D36">
        <w:rPr>
          <w:lang w:val="es-MX"/>
        </w:rPr>
        <w:t xml:space="preserve"> </w:t>
      </w:r>
      <w:proofErr w:type="spellStart"/>
      <w:r w:rsidRPr="00446D36">
        <w:rPr>
          <w:lang w:val="es-MX"/>
        </w:rPr>
        <w:t>for</w:t>
      </w:r>
      <w:proofErr w:type="spellEnd"/>
      <w:r w:rsidRPr="00446D36">
        <w:rPr>
          <w:lang w:val="es-MX"/>
        </w:rPr>
        <w:t xml:space="preserve"> </w:t>
      </w:r>
      <w:proofErr w:type="spellStart"/>
      <w:r w:rsidRPr="00446D36">
        <w:rPr>
          <w:lang w:val="es-MX"/>
        </w:rPr>
        <w:t>mild</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w:t>
      </w:r>
      <w:proofErr w:type="spellStart"/>
      <w:r w:rsidRPr="00446D36">
        <w:rPr>
          <w:lang w:val="es-MX"/>
        </w:rPr>
        <w:t>Journal</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w:t>
      </w:r>
      <w:proofErr w:type="spellStart"/>
      <w:r w:rsidRPr="00446D36">
        <w:rPr>
          <w:lang w:val="es-MX"/>
        </w:rPr>
        <w:t>Geriatrics</w:t>
      </w:r>
      <w:proofErr w:type="spellEnd"/>
      <w:r w:rsidRPr="00446D36">
        <w:rPr>
          <w:lang w:val="es-MX"/>
        </w:rPr>
        <w:t xml:space="preserve"> </w:t>
      </w:r>
      <w:proofErr w:type="spellStart"/>
      <w:r w:rsidRPr="00446D36">
        <w:rPr>
          <w:lang w:val="es-MX"/>
        </w:rPr>
        <w:t>Society</w:t>
      </w:r>
      <w:proofErr w:type="spellEnd"/>
      <w:r w:rsidRPr="00446D36">
        <w:rPr>
          <w:lang w:val="es-MX"/>
        </w:rPr>
        <w:t>, 53(4), 695–699. https://doi.org/10.1111/j.1532-5415.2005.53221.x</w:t>
      </w:r>
    </w:p>
    <w:p w14:paraId="0AA6D2D5" w14:textId="77777777" w:rsidR="00446D36" w:rsidRPr="00446D36" w:rsidRDefault="00446D36" w:rsidP="00446D36">
      <w:pPr>
        <w:pStyle w:val="Body"/>
        <w:ind w:left="360"/>
        <w:rPr>
          <w:lang w:val="es-MX"/>
        </w:rPr>
      </w:pPr>
    </w:p>
    <w:p w14:paraId="3CF2DDD7" w14:textId="77777777" w:rsidR="00446D36" w:rsidRPr="00446D36" w:rsidRDefault="00446D36" w:rsidP="00446D36">
      <w:pPr>
        <w:pStyle w:val="Body"/>
        <w:ind w:left="360"/>
        <w:rPr>
          <w:lang w:val="es-MX"/>
        </w:rPr>
      </w:pPr>
      <w:proofErr w:type="spellStart"/>
      <w:r w:rsidRPr="00446D36">
        <w:rPr>
          <w:lang w:val="es-MX"/>
        </w:rPr>
        <w:t>Oparil</w:t>
      </w:r>
      <w:proofErr w:type="spellEnd"/>
      <w:r w:rsidRPr="00446D36">
        <w:rPr>
          <w:lang w:val="es-MX"/>
        </w:rPr>
        <w:t xml:space="preserve">, S., Acelajado, M. C., </w:t>
      </w:r>
      <w:proofErr w:type="spellStart"/>
      <w:r w:rsidRPr="00446D36">
        <w:rPr>
          <w:lang w:val="es-MX"/>
        </w:rPr>
        <w:t>Bakris</w:t>
      </w:r>
      <w:proofErr w:type="spellEnd"/>
      <w:r w:rsidRPr="00446D36">
        <w:rPr>
          <w:lang w:val="es-MX"/>
        </w:rPr>
        <w:t xml:space="preserve">, G. L., </w:t>
      </w:r>
      <w:proofErr w:type="spellStart"/>
      <w:r w:rsidRPr="00446D36">
        <w:rPr>
          <w:lang w:val="es-MX"/>
        </w:rPr>
        <w:t>Berlowitz</w:t>
      </w:r>
      <w:proofErr w:type="spellEnd"/>
      <w:r w:rsidRPr="00446D36">
        <w:rPr>
          <w:lang w:val="es-MX"/>
        </w:rPr>
        <w:t xml:space="preserve">, D. R., </w:t>
      </w:r>
      <w:proofErr w:type="spellStart"/>
      <w:r w:rsidRPr="00446D36">
        <w:rPr>
          <w:lang w:val="es-MX"/>
        </w:rPr>
        <w:t>Cífková</w:t>
      </w:r>
      <w:proofErr w:type="spellEnd"/>
      <w:r w:rsidRPr="00446D36">
        <w:rPr>
          <w:lang w:val="es-MX"/>
        </w:rPr>
        <w:t xml:space="preserve">, R., </w:t>
      </w:r>
      <w:proofErr w:type="spellStart"/>
      <w:r w:rsidRPr="00446D36">
        <w:rPr>
          <w:lang w:val="es-MX"/>
        </w:rPr>
        <w:t>Dominiczak</w:t>
      </w:r>
      <w:proofErr w:type="spellEnd"/>
      <w:r w:rsidRPr="00446D36">
        <w:rPr>
          <w:lang w:val="es-MX"/>
        </w:rPr>
        <w:t xml:space="preserve">, A. F., Grassi, G., </w:t>
      </w:r>
      <w:proofErr w:type="spellStart"/>
      <w:r w:rsidRPr="00446D36">
        <w:rPr>
          <w:lang w:val="es-MX"/>
        </w:rPr>
        <w:t>Jordan</w:t>
      </w:r>
      <w:proofErr w:type="spellEnd"/>
      <w:r w:rsidRPr="00446D36">
        <w:rPr>
          <w:lang w:val="es-MX"/>
        </w:rPr>
        <w:t xml:space="preserve">, J., </w:t>
      </w:r>
      <w:proofErr w:type="spellStart"/>
      <w:r w:rsidRPr="00446D36">
        <w:rPr>
          <w:lang w:val="es-MX"/>
        </w:rPr>
        <w:t>Poulter</w:t>
      </w:r>
      <w:proofErr w:type="spellEnd"/>
      <w:r w:rsidRPr="00446D36">
        <w:rPr>
          <w:lang w:val="es-MX"/>
        </w:rPr>
        <w:t xml:space="preserve">, N. R., Rodgers, A., &amp; </w:t>
      </w:r>
      <w:proofErr w:type="spellStart"/>
      <w:r w:rsidRPr="00446D36">
        <w:rPr>
          <w:lang w:val="es-MX"/>
        </w:rPr>
        <w:t>Whelton</w:t>
      </w:r>
      <w:proofErr w:type="spellEnd"/>
      <w:r w:rsidRPr="00446D36">
        <w:rPr>
          <w:lang w:val="es-MX"/>
        </w:rPr>
        <w:t xml:space="preserve">, P. K. (2018). </w:t>
      </w:r>
      <w:proofErr w:type="spellStart"/>
      <w:r w:rsidRPr="00446D36">
        <w:rPr>
          <w:lang w:val="es-MX"/>
        </w:rPr>
        <w:t>Hypertension</w:t>
      </w:r>
      <w:proofErr w:type="spellEnd"/>
      <w:r w:rsidRPr="00446D36">
        <w:rPr>
          <w:lang w:val="es-MX"/>
        </w:rPr>
        <w:t xml:space="preserve">. </w:t>
      </w:r>
      <w:proofErr w:type="spellStart"/>
      <w:r w:rsidRPr="00446D36">
        <w:rPr>
          <w:lang w:val="es-MX"/>
        </w:rPr>
        <w:t>Nature</w:t>
      </w:r>
      <w:proofErr w:type="spellEnd"/>
      <w:r w:rsidRPr="00446D36">
        <w:rPr>
          <w:lang w:val="es-MX"/>
        </w:rPr>
        <w:t xml:space="preserve"> </w:t>
      </w:r>
      <w:proofErr w:type="spellStart"/>
      <w:r w:rsidRPr="00446D36">
        <w:rPr>
          <w:lang w:val="es-MX"/>
        </w:rPr>
        <w:t>reviews</w:t>
      </w:r>
      <w:proofErr w:type="spellEnd"/>
      <w:r w:rsidRPr="00446D36">
        <w:rPr>
          <w:lang w:val="es-MX"/>
        </w:rPr>
        <w:t xml:space="preserve">. </w:t>
      </w:r>
      <w:proofErr w:type="spellStart"/>
      <w:r w:rsidRPr="00446D36">
        <w:rPr>
          <w:lang w:val="es-MX"/>
        </w:rPr>
        <w:t>Disease</w:t>
      </w:r>
      <w:proofErr w:type="spellEnd"/>
      <w:r w:rsidRPr="00446D36">
        <w:rPr>
          <w:lang w:val="es-MX"/>
        </w:rPr>
        <w:t xml:space="preserve"> </w:t>
      </w:r>
      <w:proofErr w:type="spellStart"/>
      <w:r w:rsidRPr="00446D36">
        <w:rPr>
          <w:lang w:val="es-MX"/>
        </w:rPr>
        <w:t>primers</w:t>
      </w:r>
      <w:proofErr w:type="spellEnd"/>
      <w:r w:rsidRPr="00446D36">
        <w:rPr>
          <w:lang w:val="es-MX"/>
        </w:rPr>
        <w:t>, 4, 18014. https://doi.org/10.1038/nrdp.2018.14</w:t>
      </w:r>
    </w:p>
    <w:p w14:paraId="4C355E3E" w14:textId="77777777" w:rsidR="00446D36" w:rsidRPr="00446D36" w:rsidRDefault="00446D36" w:rsidP="00446D36">
      <w:pPr>
        <w:pStyle w:val="Body"/>
        <w:ind w:left="360"/>
        <w:rPr>
          <w:lang w:val="es-MX"/>
        </w:rPr>
      </w:pPr>
    </w:p>
    <w:p w14:paraId="366D41E5" w14:textId="77777777" w:rsidR="00446D36" w:rsidRPr="00446D36" w:rsidRDefault="00446D36" w:rsidP="00446D36">
      <w:pPr>
        <w:pStyle w:val="Body"/>
        <w:ind w:left="360"/>
        <w:rPr>
          <w:lang w:val="es-MX"/>
        </w:rPr>
      </w:pPr>
      <w:r w:rsidRPr="00446D36">
        <w:rPr>
          <w:lang w:val="es-MX"/>
        </w:rPr>
        <w:t xml:space="preserve">Petersen, R. C., </w:t>
      </w:r>
      <w:proofErr w:type="spellStart"/>
      <w:r w:rsidRPr="00446D36">
        <w:rPr>
          <w:lang w:val="es-MX"/>
        </w:rPr>
        <w:t>Lopez</w:t>
      </w:r>
      <w:proofErr w:type="spellEnd"/>
      <w:r w:rsidRPr="00446D36">
        <w:rPr>
          <w:lang w:val="es-MX"/>
        </w:rPr>
        <w:t xml:space="preserve">, O., Armstrong, M. J., </w:t>
      </w:r>
      <w:proofErr w:type="spellStart"/>
      <w:r w:rsidRPr="00446D36">
        <w:rPr>
          <w:lang w:val="es-MX"/>
        </w:rPr>
        <w:t>Getchius</w:t>
      </w:r>
      <w:proofErr w:type="spellEnd"/>
      <w:r w:rsidRPr="00446D36">
        <w:rPr>
          <w:lang w:val="es-MX"/>
        </w:rPr>
        <w:t xml:space="preserve">, T. S. D., </w:t>
      </w:r>
      <w:proofErr w:type="spellStart"/>
      <w:r w:rsidRPr="00446D36">
        <w:rPr>
          <w:lang w:val="es-MX"/>
        </w:rPr>
        <w:t>Ganguli</w:t>
      </w:r>
      <w:proofErr w:type="spellEnd"/>
      <w:r w:rsidRPr="00446D36">
        <w:rPr>
          <w:lang w:val="es-MX"/>
        </w:rPr>
        <w:t xml:space="preserve">, M., </w:t>
      </w:r>
      <w:proofErr w:type="spellStart"/>
      <w:r w:rsidRPr="00446D36">
        <w:rPr>
          <w:lang w:val="es-MX"/>
        </w:rPr>
        <w:t>Gloss</w:t>
      </w:r>
      <w:proofErr w:type="spellEnd"/>
      <w:r w:rsidRPr="00446D36">
        <w:rPr>
          <w:lang w:val="es-MX"/>
        </w:rPr>
        <w:t xml:space="preserve">, D., </w:t>
      </w:r>
      <w:proofErr w:type="spellStart"/>
      <w:r w:rsidRPr="00446D36">
        <w:rPr>
          <w:lang w:val="es-MX"/>
        </w:rPr>
        <w:t>Gronseth</w:t>
      </w:r>
      <w:proofErr w:type="spellEnd"/>
      <w:r w:rsidRPr="00446D36">
        <w:rPr>
          <w:lang w:val="es-MX"/>
        </w:rPr>
        <w:t xml:space="preserve">, G. S., </w:t>
      </w:r>
      <w:proofErr w:type="spellStart"/>
      <w:r w:rsidRPr="00446D36">
        <w:rPr>
          <w:lang w:val="es-MX"/>
        </w:rPr>
        <w:t>Marson</w:t>
      </w:r>
      <w:proofErr w:type="spellEnd"/>
      <w:r w:rsidRPr="00446D36">
        <w:rPr>
          <w:lang w:val="es-MX"/>
        </w:rPr>
        <w:t xml:space="preserve">, D., </w:t>
      </w:r>
      <w:proofErr w:type="spellStart"/>
      <w:r w:rsidRPr="00446D36">
        <w:rPr>
          <w:lang w:val="es-MX"/>
        </w:rPr>
        <w:t>Pringsheim</w:t>
      </w:r>
      <w:proofErr w:type="spellEnd"/>
      <w:r w:rsidRPr="00446D36">
        <w:rPr>
          <w:lang w:val="es-MX"/>
        </w:rPr>
        <w:t xml:space="preserve">, T., Day, G. S., Sager, M., Stevens, J., &amp; Rae-Grant, A. (2018). </w:t>
      </w:r>
      <w:proofErr w:type="spellStart"/>
      <w:r w:rsidRPr="00446D36">
        <w:rPr>
          <w:lang w:val="es-MX"/>
        </w:rPr>
        <w:t>Practice</w:t>
      </w:r>
      <w:proofErr w:type="spellEnd"/>
      <w:r w:rsidRPr="00446D36">
        <w:rPr>
          <w:lang w:val="es-MX"/>
        </w:rPr>
        <w:t xml:space="preserve"> </w:t>
      </w:r>
      <w:proofErr w:type="spellStart"/>
      <w:r w:rsidRPr="00446D36">
        <w:rPr>
          <w:lang w:val="es-MX"/>
        </w:rPr>
        <w:t>guideline</w:t>
      </w:r>
      <w:proofErr w:type="spellEnd"/>
      <w:r w:rsidRPr="00446D36">
        <w:rPr>
          <w:lang w:val="es-MX"/>
        </w:rPr>
        <w:t xml:space="preserve"> </w:t>
      </w:r>
      <w:proofErr w:type="spellStart"/>
      <w:r w:rsidRPr="00446D36">
        <w:rPr>
          <w:lang w:val="es-MX"/>
        </w:rPr>
        <w:t>update</w:t>
      </w:r>
      <w:proofErr w:type="spellEnd"/>
      <w:r w:rsidRPr="00446D36">
        <w:rPr>
          <w:lang w:val="es-MX"/>
        </w:rPr>
        <w:t xml:space="preserve"> </w:t>
      </w:r>
      <w:proofErr w:type="spellStart"/>
      <w:r w:rsidRPr="00446D36">
        <w:rPr>
          <w:lang w:val="es-MX"/>
        </w:rPr>
        <w:t>summary</w:t>
      </w:r>
      <w:proofErr w:type="spellEnd"/>
      <w:r w:rsidRPr="00446D36">
        <w:rPr>
          <w:lang w:val="es-MX"/>
        </w:rPr>
        <w:t xml:space="preserve">: </w:t>
      </w:r>
      <w:proofErr w:type="spellStart"/>
      <w:r w:rsidRPr="00446D36">
        <w:rPr>
          <w:lang w:val="es-MX"/>
        </w:rPr>
        <w:t>Mild</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[RETIRED]: </w:t>
      </w:r>
      <w:proofErr w:type="spellStart"/>
      <w:r w:rsidRPr="00446D36">
        <w:rPr>
          <w:lang w:val="es-MX"/>
        </w:rPr>
        <w:t>Report</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w:t>
      </w:r>
      <w:proofErr w:type="spellStart"/>
      <w:r w:rsidRPr="00446D36">
        <w:rPr>
          <w:lang w:val="es-MX"/>
        </w:rPr>
        <w:t>Guideline</w:t>
      </w:r>
      <w:proofErr w:type="spellEnd"/>
      <w:r w:rsidRPr="00446D36">
        <w:rPr>
          <w:lang w:val="es-MX"/>
        </w:rPr>
        <w:t xml:space="preserve"> </w:t>
      </w:r>
      <w:proofErr w:type="spellStart"/>
      <w:r w:rsidRPr="00446D36">
        <w:rPr>
          <w:lang w:val="es-MX"/>
        </w:rPr>
        <w:t>Development</w:t>
      </w:r>
      <w:proofErr w:type="spellEnd"/>
      <w:r w:rsidRPr="00446D36">
        <w:rPr>
          <w:lang w:val="es-MX"/>
        </w:rPr>
        <w:t xml:space="preserve">, </w:t>
      </w:r>
      <w:proofErr w:type="spellStart"/>
      <w:r w:rsidRPr="00446D36">
        <w:rPr>
          <w:lang w:val="es-MX"/>
        </w:rPr>
        <w:t>Dissemination</w:t>
      </w:r>
      <w:proofErr w:type="spellEnd"/>
      <w:r w:rsidRPr="00446D36">
        <w:rPr>
          <w:lang w:val="es-MX"/>
        </w:rPr>
        <w:t xml:space="preserve">, and </w:t>
      </w:r>
      <w:proofErr w:type="spellStart"/>
      <w:r w:rsidRPr="00446D36">
        <w:rPr>
          <w:lang w:val="es-MX"/>
        </w:rPr>
        <w:t>Implementation</w:t>
      </w:r>
      <w:proofErr w:type="spellEnd"/>
      <w:r w:rsidRPr="00446D36">
        <w:rPr>
          <w:lang w:val="es-MX"/>
        </w:rPr>
        <w:t xml:space="preserve"> </w:t>
      </w:r>
      <w:proofErr w:type="spellStart"/>
      <w:r w:rsidRPr="00446D36">
        <w:rPr>
          <w:lang w:val="es-MX"/>
        </w:rPr>
        <w:t>Subcommittee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the</w:t>
      </w:r>
      <w:proofErr w:type="spellEnd"/>
      <w:r w:rsidRPr="00446D36">
        <w:rPr>
          <w:lang w:val="es-MX"/>
        </w:rPr>
        <w:t xml:space="preserve"> American </w:t>
      </w:r>
      <w:proofErr w:type="spellStart"/>
      <w:r w:rsidRPr="00446D36">
        <w:rPr>
          <w:lang w:val="es-MX"/>
        </w:rPr>
        <w:t>Academy</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Neurology</w:t>
      </w:r>
      <w:proofErr w:type="spellEnd"/>
      <w:r w:rsidRPr="00446D36">
        <w:rPr>
          <w:lang w:val="es-MX"/>
        </w:rPr>
        <w:t xml:space="preserve">. </w:t>
      </w:r>
      <w:proofErr w:type="spellStart"/>
      <w:r w:rsidRPr="00446D36">
        <w:rPr>
          <w:lang w:val="es-MX"/>
        </w:rPr>
        <w:t>Neurology</w:t>
      </w:r>
      <w:proofErr w:type="spellEnd"/>
      <w:r w:rsidRPr="00446D36">
        <w:rPr>
          <w:lang w:val="es-MX"/>
        </w:rPr>
        <w:t>, 90(3), 126–135. https://doi.org/10.1212/WNL.0000000000004826.</w:t>
      </w:r>
    </w:p>
    <w:p w14:paraId="1885D213" w14:textId="77777777" w:rsidR="00446D36" w:rsidRPr="00446D36" w:rsidRDefault="00446D36" w:rsidP="00446D36">
      <w:pPr>
        <w:pStyle w:val="Body"/>
        <w:ind w:left="360"/>
        <w:rPr>
          <w:lang w:val="es-MX"/>
        </w:rPr>
      </w:pPr>
    </w:p>
    <w:p w14:paraId="60D8DB3F" w14:textId="77777777" w:rsidR="00446D36" w:rsidRPr="00446D36" w:rsidRDefault="00446D36" w:rsidP="00446D36">
      <w:pPr>
        <w:pStyle w:val="Body"/>
        <w:ind w:left="360"/>
        <w:rPr>
          <w:lang w:val="es-MX"/>
        </w:rPr>
      </w:pPr>
      <w:r w:rsidRPr="00446D36">
        <w:rPr>
          <w:lang w:val="es-MX"/>
        </w:rPr>
        <w:t xml:space="preserve">Qin, J., He, Z., Wu, L., Wang, W., Lin, Q., Lin, Y., &amp; Zhen, L. (2021). </w:t>
      </w:r>
      <w:proofErr w:type="spellStart"/>
      <w:r w:rsidRPr="00446D36">
        <w:rPr>
          <w:lang w:val="es-MX"/>
        </w:rPr>
        <w:t>Prevalence</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mild</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in </w:t>
      </w:r>
      <w:proofErr w:type="spellStart"/>
      <w:r w:rsidRPr="00446D36">
        <w:rPr>
          <w:lang w:val="es-MX"/>
        </w:rPr>
        <w:t>patients</w:t>
      </w:r>
      <w:proofErr w:type="spellEnd"/>
      <w:r w:rsidRPr="00446D36">
        <w:rPr>
          <w:lang w:val="es-MX"/>
        </w:rPr>
        <w:t xml:space="preserve"> </w:t>
      </w:r>
      <w:proofErr w:type="spellStart"/>
      <w:r w:rsidRPr="00446D36">
        <w:rPr>
          <w:lang w:val="es-MX"/>
        </w:rPr>
        <w:t>with</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a </w:t>
      </w:r>
      <w:proofErr w:type="spellStart"/>
      <w:r w:rsidRPr="00446D36">
        <w:rPr>
          <w:lang w:val="es-MX"/>
        </w:rPr>
        <w:t>systematic</w:t>
      </w:r>
      <w:proofErr w:type="spellEnd"/>
      <w:r w:rsidRPr="00446D36">
        <w:rPr>
          <w:lang w:val="es-MX"/>
        </w:rPr>
        <w:t xml:space="preserve"> </w:t>
      </w:r>
      <w:proofErr w:type="spellStart"/>
      <w:r w:rsidRPr="00446D36">
        <w:rPr>
          <w:lang w:val="es-MX"/>
        </w:rPr>
        <w:t>review</w:t>
      </w:r>
      <w:proofErr w:type="spellEnd"/>
      <w:r w:rsidRPr="00446D36">
        <w:rPr>
          <w:lang w:val="es-MX"/>
        </w:rPr>
        <w:t xml:space="preserve"> and meta-</w:t>
      </w:r>
      <w:proofErr w:type="spellStart"/>
      <w:r w:rsidRPr="00446D36">
        <w:rPr>
          <w:lang w:val="es-MX"/>
        </w:rPr>
        <w:t>analysis</w:t>
      </w:r>
      <w:proofErr w:type="spellEnd"/>
      <w:r w:rsidRPr="00446D36">
        <w:rPr>
          <w:lang w:val="es-MX"/>
        </w:rPr>
        <w:t xml:space="preserve">. </w:t>
      </w:r>
      <w:proofErr w:type="spellStart"/>
      <w:r w:rsidRPr="00446D36">
        <w:rPr>
          <w:lang w:val="es-MX"/>
        </w:rPr>
        <w:t>Hypertension</w:t>
      </w:r>
      <w:proofErr w:type="spellEnd"/>
      <w:r w:rsidRPr="00446D36">
        <w:rPr>
          <w:lang w:val="es-MX"/>
        </w:rPr>
        <w:t xml:space="preserve"> </w:t>
      </w:r>
      <w:proofErr w:type="spellStart"/>
      <w:r w:rsidRPr="00446D36">
        <w:rPr>
          <w:lang w:val="es-MX"/>
        </w:rPr>
        <w:t>Research</w:t>
      </w:r>
      <w:proofErr w:type="spellEnd"/>
      <w:r w:rsidRPr="00446D36">
        <w:rPr>
          <w:lang w:val="es-MX"/>
        </w:rPr>
        <w:t>, 44, 1251-1260. DOI: 10.1038/s41440-021-00704-3</w:t>
      </w:r>
    </w:p>
    <w:p w14:paraId="7A5FF080" w14:textId="77777777" w:rsidR="00446D36" w:rsidRPr="00446D36" w:rsidRDefault="00446D36" w:rsidP="00446D36">
      <w:pPr>
        <w:pStyle w:val="Body"/>
        <w:ind w:left="360"/>
        <w:rPr>
          <w:lang w:val="es-MX"/>
        </w:rPr>
      </w:pPr>
    </w:p>
    <w:p w14:paraId="4D9A5EED" w14:textId="77777777" w:rsidR="00446D36" w:rsidRPr="00446D36" w:rsidRDefault="00446D36" w:rsidP="00446D36">
      <w:pPr>
        <w:pStyle w:val="Body"/>
        <w:ind w:left="360"/>
        <w:rPr>
          <w:lang w:val="es-MX"/>
        </w:rPr>
      </w:pPr>
      <w:proofErr w:type="spellStart"/>
      <w:r w:rsidRPr="00446D36">
        <w:rPr>
          <w:lang w:val="es-MX"/>
        </w:rPr>
        <w:lastRenderedPageBreak/>
        <w:t>Reitz</w:t>
      </w:r>
      <w:proofErr w:type="spellEnd"/>
      <w:r w:rsidRPr="00446D36">
        <w:rPr>
          <w:lang w:val="es-MX"/>
        </w:rPr>
        <w:t xml:space="preserve">, C., Tang, M., </w:t>
      </w:r>
      <w:proofErr w:type="spellStart"/>
      <w:r w:rsidRPr="00446D36">
        <w:rPr>
          <w:lang w:val="es-MX"/>
        </w:rPr>
        <w:t>Manly</w:t>
      </w:r>
      <w:proofErr w:type="spellEnd"/>
      <w:r w:rsidRPr="00446D36">
        <w:rPr>
          <w:lang w:val="es-MX"/>
        </w:rPr>
        <w:t xml:space="preserve">, J., </w:t>
      </w:r>
      <w:proofErr w:type="spellStart"/>
      <w:r w:rsidRPr="00446D36">
        <w:rPr>
          <w:lang w:val="es-MX"/>
        </w:rPr>
        <w:t>Mayeux</w:t>
      </w:r>
      <w:proofErr w:type="spellEnd"/>
      <w:r w:rsidRPr="00446D36">
        <w:rPr>
          <w:lang w:val="es-MX"/>
        </w:rPr>
        <w:t xml:space="preserve">, R., &amp; </w:t>
      </w:r>
      <w:proofErr w:type="spellStart"/>
      <w:r w:rsidRPr="00446D36">
        <w:rPr>
          <w:lang w:val="es-MX"/>
        </w:rPr>
        <w:t>Luchsinger</w:t>
      </w:r>
      <w:proofErr w:type="spellEnd"/>
      <w:r w:rsidRPr="00446D36">
        <w:rPr>
          <w:lang w:val="es-MX"/>
        </w:rPr>
        <w:t xml:space="preserve">, J. A. (2007). </w:t>
      </w:r>
      <w:proofErr w:type="spellStart"/>
      <w:r w:rsidRPr="00446D36">
        <w:rPr>
          <w:lang w:val="es-MX"/>
        </w:rPr>
        <w:t>Hypertension</w:t>
      </w:r>
      <w:proofErr w:type="spellEnd"/>
      <w:r w:rsidRPr="00446D36">
        <w:rPr>
          <w:lang w:val="es-MX"/>
        </w:rPr>
        <w:t xml:space="preserve"> and </w:t>
      </w:r>
      <w:proofErr w:type="spellStart"/>
      <w:r w:rsidRPr="00446D36">
        <w:rPr>
          <w:lang w:val="es-MX"/>
        </w:rPr>
        <w:t>the</w:t>
      </w:r>
      <w:proofErr w:type="spellEnd"/>
      <w:r w:rsidRPr="00446D36">
        <w:rPr>
          <w:lang w:val="es-MX"/>
        </w:rPr>
        <w:t xml:space="preserve"> </w:t>
      </w:r>
      <w:proofErr w:type="spellStart"/>
      <w:r w:rsidRPr="00446D36">
        <w:rPr>
          <w:lang w:val="es-MX"/>
        </w:rPr>
        <w:t>Risk</w:t>
      </w:r>
      <w:proofErr w:type="spellEnd"/>
      <w:r w:rsidRPr="00446D36">
        <w:rPr>
          <w:lang w:val="es-MX"/>
        </w:rPr>
        <w:t xml:space="preserve"> </w:t>
      </w:r>
      <w:proofErr w:type="spellStart"/>
      <w:r w:rsidRPr="00446D36">
        <w:rPr>
          <w:lang w:val="es-MX"/>
        </w:rPr>
        <w:t>of</w:t>
      </w:r>
      <w:proofErr w:type="spellEnd"/>
      <w:r w:rsidRPr="00446D36">
        <w:rPr>
          <w:lang w:val="es-MX"/>
        </w:rPr>
        <w:t xml:space="preserve"> </w:t>
      </w:r>
      <w:proofErr w:type="spellStart"/>
      <w:r w:rsidRPr="00446D36">
        <w:rPr>
          <w:lang w:val="es-MX"/>
        </w:rPr>
        <w:t>Mild</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Archives </w:t>
      </w:r>
      <w:proofErr w:type="spellStart"/>
      <w:r w:rsidRPr="00446D36">
        <w:rPr>
          <w:lang w:val="es-MX"/>
        </w:rPr>
        <w:t>of</w:t>
      </w:r>
      <w:proofErr w:type="spellEnd"/>
      <w:r w:rsidRPr="00446D36">
        <w:rPr>
          <w:lang w:val="es-MX"/>
        </w:rPr>
        <w:t xml:space="preserve"> </w:t>
      </w:r>
      <w:proofErr w:type="spellStart"/>
      <w:r w:rsidRPr="00446D36">
        <w:rPr>
          <w:lang w:val="es-MX"/>
        </w:rPr>
        <w:t>neurology</w:t>
      </w:r>
      <w:proofErr w:type="spellEnd"/>
      <w:r w:rsidRPr="00446D36">
        <w:rPr>
          <w:lang w:val="es-MX"/>
        </w:rPr>
        <w:t>, 64(12), 1743-1740. DOI: 10.1001/archneur.64.12.1734</w:t>
      </w:r>
    </w:p>
    <w:p w14:paraId="363890D3" w14:textId="77777777" w:rsidR="00446D36" w:rsidRPr="00446D36" w:rsidRDefault="00446D36" w:rsidP="00446D36">
      <w:pPr>
        <w:pStyle w:val="Body"/>
        <w:ind w:left="360"/>
        <w:rPr>
          <w:lang w:val="es-MX"/>
        </w:rPr>
      </w:pPr>
    </w:p>
    <w:p w14:paraId="3318C99E" w14:textId="77777777" w:rsidR="00446D36" w:rsidRPr="00446D36" w:rsidRDefault="00446D36" w:rsidP="00446D36">
      <w:pPr>
        <w:pStyle w:val="Body"/>
        <w:ind w:left="360"/>
        <w:rPr>
          <w:lang w:val="es-MX"/>
        </w:rPr>
      </w:pPr>
      <w:proofErr w:type="spellStart"/>
      <w:r w:rsidRPr="00446D36">
        <w:rPr>
          <w:lang w:val="es-MX"/>
        </w:rPr>
        <w:t>Shamah</w:t>
      </w:r>
      <w:proofErr w:type="spellEnd"/>
      <w:r w:rsidRPr="00446D36">
        <w:rPr>
          <w:lang w:val="es-MX"/>
        </w:rPr>
        <w:t>-Levy, T., Romero-</w:t>
      </w:r>
      <w:proofErr w:type="spellStart"/>
      <w:r w:rsidRPr="00446D36">
        <w:rPr>
          <w:lang w:val="es-MX"/>
        </w:rPr>
        <w:t>Martinez</w:t>
      </w:r>
      <w:proofErr w:type="spellEnd"/>
      <w:r w:rsidRPr="00446D36">
        <w:rPr>
          <w:lang w:val="es-MX"/>
        </w:rPr>
        <w:t>, M., Barrientos-</w:t>
      </w:r>
      <w:proofErr w:type="spellStart"/>
      <w:r w:rsidRPr="00446D36">
        <w:rPr>
          <w:lang w:val="es-MX"/>
        </w:rPr>
        <w:t>Gutierrez</w:t>
      </w:r>
      <w:proofErr w:type="spellEnd"/>
      <w:r w:rsidRPr="00446D36">
        <w:rPr>
          <w:lang w:val="es-MX"/>
        </w:rPr>
        <w:t>, T., Cuevas-</w:t>
      </w:r>
      <w:proofErr w:type="spellStart"/>
      <w:r w:rsidRPr="00446D36">
        <w:rPr>
          <w:lang w:val="es-MX"/>
        </w:rPr>
        <w:t>Nasu</w:t>
      </w:r>
      <w:proofErr w:type="spellEnd"/>
      <w:r w:rsidRPr="00446D36">
        <w:rPr>
          <w:lang w:val="es-MX"/>
        </w:rPr>
        <w:t xml:space="preserve">, L., Bautista-Arredondo, S., Colchero, M., . . . Rivera </w:t>
      </w:r>
      <w:proofErr w:type="spellStart"/>
      <w:r w:rsidRPr="00446D36">
        <w:rPr>
          <w:lang w:val="es-MX"/>
        </w:rPr>
        <w:t>Dommarco</w:t>
      </w:r>
      <w:proofErr w:type="spellEnd"/>
      <w:r w:rsidRPr="00446D36">
        <w:rPr>
          <w:lang w:val="es-MX"/>
        </w:rPr>
        <w:t xml:space="preserve">, J. (2022). </w:t>
      </w:r>
      <w:proofErr w:type="spellStart"/>
      <w:r w:rsidRPr="00446D36">
        <w:rPr>
          <w:lang w:val="es-MX"/>
        </w:rPr>
        <w:t>National</w:t>
      </w:r>
      <w:proofErr w:type="spellEnd"/>
      <w:r w:rsidRPr="00446D36">
        <w:rPr>
          <w:lang w:val="es-MX"/>
        </w:rPr>
        <w:t xml:space="preserve"> </w:t>
      </w:r>
      <w:proofErr w:type="spellStart"/>
      <w:r w:rsidRPr="00446D36">
        <w:rPr>
          <w:lang w:val="es-MX"/>
        </w:rPr>
        <w:t>Health</w:t>
      </w:r>
      <w:proofErr w:type="spellEnd"/>
      <w:r w:rsidRPr="00446D36">
        <w:rPr>
          <w:lang w:val="es-MX"/>
        </w:rPr>
        <w:t xml:space="preserve"> and </w:t>
      </w:r>
      <w:proofErr w:type="spellStart"/>
      <w:r w:rsidRPr="00446D36">
        <w:rPr>
          <w:lang w:val="es-MX"/>
        </w:rPr>
        <w:t>Nutrition</w:t>
      </w:r>
      <w:proofErr w:type="spellEnd"/>
      <w:r w:rsidRPr="00446D36">
        <w:rPr>
          <w:lang w:val="es-MX"/>
        </w:rPr>
        <w:t xml:space="preserve"> </w:t>
      </w:r>
      <w:proofErr w:type="spellStart"/>
      <w:r w:rsidRPr="00446D36">
        <w:rPr>
          <w:lang w:val="es-MX"/>
        </w:rPr>
        <w:t>Report</w:t>
      </w:r>
      <w:proofErr w:type="spellEnd"/>
      <w:r w:rsidRPr="00446D36">
        <w:rPr>
          <w:lang w:val="es-MX"/>
        </w:rPr>
        <w:t xml:space="preserve"> 2021 </w:t>
      </w:r>
      <w:proofErr w:type="spellStart"/>
      <w:r w:rsidRPr="00446D36">
        <w:rPr>
          <w:lang w:val="es-MX"/>
        </w:rPr>
        <w:t>on</w:t>
      </w:r>
      <w:proofErr w:type="spellEnd"/>
      <w:r w:rsidRPr="00446D36">
        <w:rPr>
          <w:lang w:val="es-MX"/>
        </w:rPr>
        <w:t xml:space="preserve"> Covid-19. </w:t>
      </w:r>
      <w:proofErr w:type="spellStart"/>
      <w:r w:rsidRPr="00446D36">
        <w:rPr>
          <w:lang w:val="es-MX"/>
        </w:rPr>
        <w:t>National</w:t>
      </w:r>
      <w:proofErr w:type="spellEnd"/>
      <w:r w:rsidRPr="00446D36">
        <w:rPr>
          <w:lang w:val="es-MX"/>
        </w:rPr>
        <w:t xml:space="preserve"> </w:t>
      </w:r>
      <w:proofErr w:type="spellStart"/>
      <w:r w:rsidRPr="00446D36">
        <w:rPr>
          <w:lang w:val="es-MX"/>
        </w:rPr>
        <w:t>results</w:t>
      </w:r>
      <w:proofErr w:type="spellEnd"/>
      <w:r w:rsidRPr="00446D36">
        <w:rPr>
          <w:lang w:val="es-MX"/>
        </w:rPr>
        <w:t xml:space="preserve">. Cuernavaca, </w:t>
      </w:r>
      <w:proofErr w:type="spellStart"/>
      <w:r w:rsidRPr="00446D36">
        <w:rPr>
          <w:lang w:val="es-MX"/>
        </w:rPr>
        <w:t>Mexico</w:t>
      </w:r>
      <w:proofErr w:type="spellEnd"/>
      <w:r w:rsidRPr="00446D36">
        <w:rPr>
          <w:lang w:val="es-MX"/>
        </w:rPr>
        <w:t>: Instituto Nacional de Salud Pública. https://ensanut.insp.mx/encuestas/ensanutcontinua2021/doctos/informes/220804_Ensa21_digital_4ago.pdf</w:t>
      </w:r>
    </w:p>
    <w:p w14:paraId="58FB7981" w14:textId="77777777" w:rsidR="00446D36" w:rsidRPr="00446D36" w:rsidRDefault="00446D36" w:rsidP="00446D36">
      <w:pPr>
        <w:pStyle w:val="Body"/>
        <w:ind w:left="360"/>
        <w:rPr>
          <w:lang w:val="es-MX"/>
        </w:rPr>
      </w:pPr>
    </w:p>
    <w:p w14:paraId="0B9E491B" w14:textId="0E1E6BE4" w:rsidR="00446D36" w:rsidRDefault="00366626" w:rsidP="00446D36">
      <w:pPr>
        <w:pStyle w:val="Body"/>
        <w:ind w:left="360"/>
        <w:rPr>
          <w:lang w:val="es-MX"/>
        </w:rPr>
      </w:pPr>
      <w:proofErr w:type="spellStart"/>
      <w:r w:rsidRPr="00366626">
        <w:rPr>
          <w:lang w:val="es-MX"/>
        </w:rPr>
        <w:t>Shamah</w:t>
      </w:r>
      <w:proofErr w:type="spellEnd"/>
      <w:r w:rsidRPr="00366626">
        <w:rPr>
          <w:lang w:val="es-MX"/>
        </w:rPr>
        <w:t>-Levy, T., Romero-</w:t>
      </w:r>
      <w:proofErr w:type="spellStart"/>
      <w:r w:rsidRPr="00366626">
        <w:rPr>
          <w:lang w:val="es-MX"/>
        </w:rPr>
        <w:t>Martinez</w:t>
      </w:r>
      <w:proofErr w:type="spellEnd"/>
      <w:r w:rsidRPr="00366626">
        <w:rPr>
          <w:lang w:val="es-MX"/>
        </w:rPr>
        <w:t>, M., Barrientos-</w:t>
      </w:r>
      <w:proofErr w:type="spellStart"/>
      <w:r w:rsidRPr="00366626">
        <w:rPr>
          <w:lang w:val="es-MX"/>
        </w:rPr>
        <w:t>Gutierrez</w:t>
      </w:r>
      <w:proofErr w:type="spellEnd"/>
      <w:r w:rsidRPr="00366626">
        <w:rPr>
          <w:lang w:val="es-MX"/>
        </w:rPr>
        <w:t>, T., Cuevas-</w:t>
      </w:r>
      <w:proofErr w:type="spellStart"/>
      <w:r w:rsidRPr="00366626">
        <w:rPr>
          <w:lang w:val="es-MX"/>
        </w:rPr>
        <w:t>Nasu</w:t>
      </w:r>
      <w:proofErr w:type="spellEnd"/>
      <w:r w:rsidRPr="00366626">
        <w:rPr>
          <w:lang w:val="es-MX"/>
        </w:rPr>
        <w:t>, L., Bautista-Arredondo, S., Colchero, M., . . . Rivera-</w:t>
      </w:r>
      <w:proofErr w:type="spellStart"/>
      <w:r w:rsidRPr="00366626">
        <w:rPr>
          <w:lang w:val="es-MX"/>
        </w:rPr>
        <w:t>Dommarco</w:t>
      </w:r>
      <w:proofErr w:type="spellEnd"/>
      <w:r w:rsidRPr="00366626">
        <w:rPr>
          <w:lang w:val="es-MX"/>
        </w:rPr>
        <w:t xml:space="preserve">, J. (2023). </w:t>
      </w:r>
      <w:proofErr w:type="spellStart"/>
      <w:r w:rsidRPr="00366626">
        <w:rPr>
          <w:lang w:val="es-MX"/>
        </w:rPr>
        <w:t>National</w:t>
      </w:r>
      <w:proofErr w:type="spellEnd"/>
      <w:r w:rsidRPr="00366626">
        <w:rPr>
          <w:lang w:val="es-MX"/>
        </w:rPr>
        <w:t xml:space="preserve"> </w:t>
      </w:r>
      <w:proofErr w:type="spellStart"/>
      <w:r w:rsidRPr="00366626">
        <w:rPr>
          <w:lang w:val="es-MX"/>
        </w:rPr>
        <w:t>Health</w:t>
      </w:r>
      <w:proofErr w:type="spellEnd"/>
      <w:r w:rsidRPr="00366626">
        <w:rPr>
          <w:lang w:val="es-MX"/>
        </w:rPr>
        <w:t xml:space="preserve"> and </w:t>
      </w:r>
      <w:proofErr w:type="spellStart"/>
      <w:r w:rsidRPr="00366626">
        <w:rPr>
          <w:lang w:val="es-MX"/>
        </w:rPr>
        <w:t>Nutrition</w:t>
      </w:r>
      <w:proofErr w:type="spellEnd"/>
      <w:r w:rsidRPr="00366626">
        <w:rPr>
          <w:lang w:val="es-MX"/>
        </w:rPr>
        <w:t xml:space="preserve"> </w:t>
      </w:r>
      <w:proofErr w:type="spellStart"/>
      <w:r w:rsidRPr="00366626">
        <w:rPr>
          <w:lang w:val="es-MX"/>
        </w:rPr>
        <w:t>Survey</w:t>
      </w:r>
      <w:proofErr w:type="spellEnd"/>
      <w:r w:rsidRPr="00366626">
        <w:rPr>
          <w:lang w:val="es-MX"/>
        </w:rPr>
        <w:t xml:space="preserve"> (</w:t>
      </w:r>
      <w:proofErr w:type="spellStart"/>
      <w:r w:rsidRPr="00366626">
        <w:rPr>
          <w:lang w:val="es-MX"/>
        </w:rPr>
        <w:t>Ensanut</w:t>
      </w:r>
      <w:proofErr w:type="spellEnd"/>
      <w:r w:rsidRPr="00366626">
        <w:rPr>
          <w:lang w:val="es-MX"/>
        </w:rPr>
        <w:t xml:space="preserve"> Continua 2023) </w:t>
      </w:r>
      <w:proofErr w:type="spellStart"/>
      <w:r w:rsidRPr="00366626">
        <w:rPr>
          <w:lang w:val="es-MX"/>
        </w:rPr>
        <w:t>for</w:t>
      </w:r>
      <w:proofErr w:type="spellEnd"/>
      <w:r w:rsidRPr="00366626">
        <w:rPr>
          <w:lang w:val="es-MX"/>
        </w:rPr>
        <w:t xml:space="preserve"> </w:t>
      </w:r>
      <w:proofErr w:type="spellStart"/>
      <w:r w:rsidRPr="00366626">
        <w:rPr>
          <w:lang w:val="es-MX"/>
        </w:rPr>
        <w:t>the</w:t>
      </w:r>
      <w:proofErr w:type="spellEnd"/>
      <w:r w:rsidRPr="00366626">
        <w:rPr>
          <w:lang w:val="es-MX"/>
        </w:rPr>
        <w:t xml:space="preserve"> </w:t>
      </w:r>
      <w:proofErr w:type="spellStart"/>
      <w:r w:rsidRPr="00366626">
        <w:rPr>
          <w:lang w:val="es-MX"/>
        </w:rPr>
        <w:t>state</w:t>
      </w:r>
      <w:proofErr w:type="spellEnd"/>
      <w:r w:rsidRPr="00366626">
        <w:rPr>
          <w:lang w:val="es-MX"/>
        </w:rPr>
        <w:t xml:space="preserve"> </w:t>
      </w:r>
      <w:proofErr w:type="spellStart"/>
      <w:r w:rsidRPr="00366626">
        <w:rPr>
          <w:lang w:val="es-MX"/>
        </w:rPr>
        <w:t>of</w:t>
      </w:r>
      <w:proofErr w:type="spellEnd"/>
      <w:r w:rsidRPr="00366626">
        <w:rPr>
          <w:lang w:val="es-MX"/>
        </w:rPr>
        <w:t xml:space="preserve"> Guanajuato. Cuernavaca, </w:t>
      </w:r>
      <w:proofErr w:type="spellStart"/>
      <w:r w:rsidRPr="00366626">
        <w:rPr>
          <w:lang w:val="es-MX"/>
        </w:rPr>
        <w:t>Mexico</w:t>
      </w:r>
      <w:proofErr w:type="spellEnd"/>
      <w:r w:rsidRPr="00366626">
        <w:rPr>
          <w:lang w:val="es-MX"/>
        </w:rPr>
        <w:t xml:space="preserve">: </w:t>
      </w:r>
      <w:proofErr w:type="spellStart"/>
      <w:r w:rsidRPr="00366626">
        <w:rPr>
          <w:lang w:val="es-MX"/>
        </w:rPr>
        <w:t>National</w:t>
      </w:r>
      <w:proofErr w:type="spellEnd"/>
      <w:r w:rsidRPr="00366626">
        <w:rPr>
          <w:lang w:val="es-MX"/>
        </w:rPr>
        <w:t xml:space="preserve"> </w:t>
      </w:r>
      <w:proofErr w:type="spellStart"/>
      <w:r w:rsidRPr="00366626">
        <w:rPr>
          <w:lang w:val="es-MX"/>
        </w:rPr>
        <w:t>Institute</w:t>
      </w:r>
      <w:proofErr w:type="spellEnd"/>
      <w:r w:rsidRPr="00366626">
        <w:rPr>
          <w:lang w:val="es-MX"/>
        </w:rPr>
        <w:t xml:space="preserve"> </w:t>
      </w:r>
      <w:proofErr w:type="spellStart"/>
      <w:r w:rsidRPr="00366626">
        <w:rPr>
          <w:lang w:val="es-MX"/>
        </w:rPr>
        <w:t>of</w:t>
      </w:r>
      <w:proofErr w:type="spellEnd"/>
      <w:r w:rsidRPr="00366626">
        <w:rPr>
          <w:lang w:val="es-MX"/>
        </w:rPr>
        <w:t xml:space="preserve"> </w:t>
      </w:r>
      <w:proofErr w:type="spellStart"/>
      <w:r w:rsidRPr="00366626">
        <w:rPr>
          <w:lang w:val="es-MX"/>
        </w:rPr>
        <w:t>Public</w:t>
      </w:r>
      <w:proofErr w:type="spellEnd"/>
      <w:r w:rsidRPr="00366626">
        <w:rPr>
          <w:lang w:val="es-MX"/>
        </w:rPr>
        <w:t xml:space="preserve"> </w:t>
      </w:r>
      <w:proofErr w:type="spellStart"/>
      <w:r w:rsidRPr="00366626">
        <w:rPr>
          <w:lang w:val="es-MX"/>
        </w:rPr>
        <w:t>Health</w:t>
      </w:r>
      <w:proofErr w:type="spellEnd"/>
      <w:r w:rsidRPr="00366626">
        <w:rPr>
          <w:lang w:val="es-MX"/>
        </w:rPr>
        <w:t xml:space="preserve">. </w:t>
      </w:r>
      <w:hyperlink r:id="rId12" w:history="1">
        <w:r w:rsidRPr="004B4887">
          <w:rPr>
            <w:rStyle w:val="Hyperlink"/>
            <w:lang w:val="es-MX"/>
          </w:rPr>
          <w:t>https://ensanut.insp.mx/encuestas/ensanutgto2023/doctos/informes/Informe_ENSANUT_Continua_Gto2023.pdf</w:t>
        </w:r>
      </w:hyperlink>
    </w:p>
    <w:p w14:paraId="18046822" w14:textId="77777777" w:rsidR="00366626" w:rsidRPr="00446D36" w:rsidRDefault="00366626" w:rsidP="00446D36">
      <w:pPr>
        <w:pStyle w:val="Body"/>
        <w:ind w:left="360"/>
        <w:rPr>
          <w:lang w:val="es-MX"/>
        </w:rPr>
      </w:pPr>
    </w:p>
    <w:p w14:paraId="0F005595" w14:textId="6BFF6DC9" w:rsidR="00446D36" w:rsidRPr="00446D36" w:rsidRDefault="00446D36" w:rsidP="00446D36">
      <w:pPr>
        <w:pStyle w:val="Body"/>
        <w:ind w:left="360"/>
        <w:rPr>
          <w:lang w:val="es-MX"/>
        </w:rPr>
      </w:pPr>
      <w:r w:rsidRPr="00446D36">
        <w:rPr>
          <w:lang w:val="es-MX"/>
        </w:rPr>
        <w:t xml:space="preserve">Stern, Y. (2012). Cognitive reserve in </w:t>
      </w:r>
      <w:proofErr w:type="spellStart"/>
      <w:r w:rsidRPr="00446D36">
        <w:rPr>
          <w:lang w:val="es-MX"/>
        </w:rPr>
        <w:t>aging</w:t>
      </w:r>
      <w:proofErr w:type="spellEnd"/>
      <w:r w:rsidRPr="00446D36">
        <w:rPr>
          <w:lang w:val="es-MX"/>
        </w:rPr>
        <w:t xml:space="preserve"> and </w:t>
      </w:r>
      <w:proofErr w:type="spellStart"/>
      <w:r w:rsidRPr="00446D36">
        <w:rPr>
          <w:lang w:val="es-MX"/>
        </w:rPr>
        <w:t>Alzheimer's</w:t>
      </w:r>
      <w:proofErr w:type="spellEnd"/>
      <w:r w:rsidRPr="00446D36">
        <w:rPr>
          <w:lang w:val="es-MX"/>
        </w:rPr>
        <w:t xml:space="preserve"> </w:t>
      </w:r>
      <w:proofErr w:type="spellStart"/>
      <w:r w:rsidRPr="00446D36">
        <w:rPr>
          <w:lang w:val="es-MX"/>
        </w:rPr>
        <w:t>disease</w:t>
      </w:r>
      <w:proofErr w:type="spellEnd"/>
      <w:r w:rsidRPr="00446D36">
        <w:rPr>
          <w:lang w:val="es-MX"/>
        </w:rPr>
        <w:t xml:space="preserve">. </w:t>
      </w:r>
      <w:proofErr w:type="spellStart"/>
      <w:r w:rsidRPr="00446D36">
        <w:rPr>
          <w:lang w:val="es-MX"/>
        </w:rPr>
        <w:t>The</w:t>
      </w:r>
      <w:proofErr w:type="spellEnd"/>
      <w:r w:rsidRPr="00446D36">
        <w:rPr>
          <w:lang w:val="es-MX"/>
        </w:rPr>
        <w:t xml:space="preserve"> Lancet. </w:t>
      </w:r>
      <w:proofErr w:type="spellStart"/>
      <w:r w:rsidRPr="00446D36">
        <w:rPr>
          <w:lang w:val="es-MX"/>
        </w:rPr>
        <w:t>Neurology</w:t>
      </w:r>
      <w:proofErr w:type="spellEnd"/>
      <w:r w:rsidRPr="00446D36">
        <w:rPr>
          <w:lang w:val="es-MX"/>
        </w:rPr>
        <w:t xml:space="preserve">, 11(11), 1006–1012. </w:t>
      </w:r>
      <w:proofErr w:type="spellStart"/>
      <w:r w:rsidRPr="00446D36">
        <w:rPr>
          <w:lang w:val="es-MX"/>
        </w:rPr>
        <w:t>ht</w:t>
      </w:r>
      <w:proofErr w:type="spellEnd"/>
      <w:r w:rsidRPr="00446D36">
        <w:t xml:space="preserve"> </w:t>
      </w:r>
      <w:r w:rsidRPr="00446D36">
        <w:rPr>
          <w:lang w:val="es-MX"/>
        </w:rPr>
        <w:t>tps://doi.org/10.1016/S1474-4422(12)70191-6.</w:t>
      </w:r>
    </w:p>
    <w:p w14:paraId="1ADFFFC3" w14:textId="77777777" w:rsidR="00446D36" w:rsidRPr="00446D36" w:rsidRDefault="00446D36" w:rsidP="00446D36">
      <w:pPr>
        <w:pStyle w:val="Body"/>
        <w:ind w:left="360"/>
        <w:rPr>
          <w:lang w:val="es-MX"/>
        </w:rPr>
      </w:pPr>
    </w:p>
    <w:p w14:paraId="6612B217" w14:textId="1E638C05" w:rsidR="00B01FCD" w:rsidRPr="00FB3A86" w:rsidRDefault="00446D36" w:rsidP="00446D36">
      <w:pPr>
        <w:pStyle w:val="Body"/>
        <w:spacing w:after="0"/>
        <w:ind w:left="360"/>
        <w:rPr>
          <w:rFonts w:ascii="Arial" w:hAnsi="Arial" w:cs="Arial"/>
          <w:b/>
        </w:rPr>
      </w:pPr>
      <w:proofErr w:type="spellStart"/>
      <w:r w:rsidRPr="00446D36">
        <w:rPr>
          <w:lang w:val="es-MX"/>
        </w:rPr>
        <w:t>Suleman</w:t>
      </w:r>
      <w:proofErr w:type="spellEnd"/>
      <w:r w:rsidRPr="00446D36">
        <w:rPr>
          <w:lang w:val="es-MX"/>
        </w:rPr>
        <w:t xml:space="preserve">, R., </w:t>
      </w:r>
      <w:proofErr w:type="spellStart"/>
      <w:r w:rsidRPr="00446D36">
        <w:rPr>
          <w:lang w:val="es-MX"/>
        </w:rPr>
        <w:t>Padwal</w:t>
      </w:r>
      <w:proofErr w:type="spellEnd"/>
      <w:r w:rsidRPr="00446D36">
        <w:rPr>
          <w:lang w:val="es-MX"/>
        </w:rPr>
        <w:t xml:space="preserve">, R., Hamilton, P., </w:t>
      </w:r>
      <w:proofErr w:type="spellStart"/>
      <w:r w:rsidRPr="00446D36">
        <w:rPr>
          <w:lang w:val="es-MX"/>
        </w:rPr>
        <w:t>Senthilselvan</w:t>
      </w:r>
      <w:proofErr w:type="spellEnd"/>
      <w:r w:rsidRPr="00446D36">
        <w:rPr>
          <w:lang w:val="es-MX"/>
        </w:rPr>
        <w:t xml:space="preserve">, A., &amp; </w:t>
      </w:r>
      <w:proofErr w:type="spellStart"/>
      <w:r w:rsidRPr="00446D36">
        <w:rPr>
          <w:lang w:val="es-MX"/>
        </w:rPr>
        <w:t>Alagiakrishnan</w:t>
      </w:r>
      <w:proofErr w:type="spellEnd"/>
      <w:r w:rsidRPr="00446D36">
        <w:rPr>
          <w:lang w:val="es-MX"/>
        </w:rPr>
        <w:t xml:space="preserve">, K. (2017). </w:t>
      </w:r>
      <w:proofErr w:type="spellStart"/>
      <w:r w:rsidRPr="00446D36">
        <w:rPr>
          <w:lang w:val="es-MX"/>
        </w:rPr>
        <w:t>Association</w:t>
      </w:r>
      <w:proofErr w:type="spellEnd"/>
      <w:r w:rsidRPr="00446D36">
        <w:rPr>
          <w:lang w:val="es-MX"/>
        </w:rPr>
        <w:t xml:space="preserve"> </w:t>
      </w:r>
      <w:proofErr w:type="spellStart"/>
      <w:r w:rsidRPr="00446D36">
        <w:rPr>
          <w:lang w:val="es-MX"/>
        </w:rPr>
        <w:t>between</w:t>
      </w:r>
      <w:proofErr w:type="spellEnd"/>
      <w:r w:rsidRPr="00446D36">
        <w:rPr>
          <w:lang w:val="es-MX"/>
        </w:rPr>
        <w:t xml:space="preserve"> central </w:t>
      </w:r>
      <w:proofErr w:type="spellStart"/>
      <w:r w:rsidRPr="00446D36">
        <w:rPr>
          <w:lang w:val="es-MX"/>
        </w:rPr>
        <w:t>blood</w:t>
      </w:r>
      <w:proofErr w:type="spellEnd"/>
      <w:r w:rsidRPr="00446D36">
        <w:rPr>
          <w:lang w:val="es-MX"/>
        </w:rPr>
        <w:t xml:space="preserve"> </w:t>
      </w:r>
      <w:proofErr w:type="spellStart"/>
      <w:r w:rsidRPr="00446D36">
        <w:rPr>
          <w:lang w:val="es-MX"/>
        </w:rPr>
        <w:t>pressure</w:t>
      </w:r>
      <w:proofErr w:type="spellEnd"/>
      <w:r w:rsidRPr="00446D36">
        <w:rPr>
          <w:lang w:val="es-MX"/>
        </w:rPr>
        <w:t xml:space="preserve">, arterial </w:t>
      </w:r>
      <w:proofErr w:type="spellStart"/>
      <w:r w:rsidRPr="00446D36">
        <w:rPr>
          <w:lang w:val="es-MX"/>
        </w:rPr>
        <w:t>stiffness</w:t>
      </w:r>
      <w:proofErr w:type="spellEnd"/>
      <w:r w:rsidRPr="00446D36">
        <w:rPr>
          <w:lang w:val="es-MX"/>
        </w:rPr>
        <w:t xml:space="preserve">, and </w:t>
      </w:r>
      <w:proofErr w:type="spellStart"/>
      <w:r w:rsidRPr="00446D36">
        <w:rPr>
          <w:lang w:val="es-MX"/>
        </w:rPr>
        <w:t>mild</w:t>
      </w:r>
      <w:proofErr w:type="spellEnd"/>
      <w:r w:rsidRPr="00446D36">
        <w:rPr>
          <w:lang w:val="es-MX"/>
        </w:rPr>
        <w:t xml:space="preserve"> cognitive </w:t>
      </w:r>
      <w:proofErr w:type="spellStart"/>
      <w:r w:rsidRPr="00446D36">
        <w:rPr>
          <w:lang w:val="es-MX"/>
        </w:rPr>
        <w:t>impairment</w:t>
      </w:r>
      <w:proofErr w:type="spellEnd"/>
      <w:r w:rsidRPr="00446D36">
        <w:rPr>
          <w:lang w:val="es-MX"/>
        </w:rPr>
        <w:t xml:space="preserve">. </w:t>
      </w:r>
      <w:proofErr w:type="spellStart"/>
      <w:r w:rsidRPr="00446D36">
        <w:rPr>
          <w:lang w:val="es-MX"/>
        </w:rPr>
        <w:t>Clinical</w:t>
      </w:r>
      <w:proofErr w:type="spellEnd"/>
      <w:r w:rsidRPr="00446D36">
        <w:rPr>
          <w:lang w:val="es-MX"/>
        </w:rPr>
        <w:t xml:space="preserve"> </w:t>
      </w:r>
      <w:proofErr w:type="spellStart"/>
      <w:r w:rsidRPr="00446D36">
        <w:rPr>
          <w:lang w:val="es-MX"/>
        </w:rPr>
        <w:t>hypertension</w:t>
      </w:r>
      <w:proofErr w:type="spellEnd"/>
      <w:r w:rsidRPr="00446D36">
        <w:rPr>
          <w:lang w:val="es-MX"/>
        </w:rPr>
        <w:t>, 23, 2. https://doi.org/10.1186/s40885-016-0058-5</w:t>
      </w:r>
    </w:p>
    <w:sectPr w:rsidR="00B01FCD" w:rsidRPr="00FB3A86" w:rsidSect="00FE13A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bil elnaggar" w:date="2025-10-22T11:39:00Z" w:initials="ne">
    <w:p w14:paraId="70D8329F" w14:textId="2BF3F579" w:rsidR="00C06CB4" w:rsidRDefault="00C06CB4">
      <w:pPr>
        <w:pStyle w:val="CommentText"/>
      </w:pPr>
      <w:r>
        <w:rPr>
          <w:rStyle w:val="CommentReference"/>
        </w:rPr>
        <w:annotationRef/>
      </w:r>
      <w:r>
        <w:t>Not only in mexico but it is universal</w:t>
      </w:r>
    </w:p>
  </w:comment>
  <w:comment w:id="1" w:author="nabil elnaggar" w:date="2025-10-22T11:44:00Z" w:initials="ne">
    <w:p w14:paraId="491CF3BB" w14:textId="0CEFFE36" w:rsidR="00C06CB4" w:rsidRDefault="00C06CB4">
      <w:pPr>
        <w:pStyle w:val="CommentText"/>
      </w:pPr>
      <w:r>
        <w:rPr>
          <w:rStyle w:val="CommentReference"/>
        </w:rPr>
        <w:annotationRef/>
      </w:r>
      <w:r>
        <w:t>Are there any difference between prolective and prospective...you should mention it</w:t>
      </w:r>
    </w:p>
  </w:comment>
  <w:comment w:id="2" w:author="nabil elnaggar" w:date="2025-10-22T11:51:00Z" w:initials="ne">
    <w:p w14:paraId="4F88525B" w14:textId="3A8477AA" w:rsidR="003B0386" w:rsidRDefault="003B0386">
      <w:pPr>
        <w:pStyle w:val="CommentText"/>
      </w:pPr>
      <w:r>
        <w:rPr>
          <w:rStyle w:val="CommentReference"/>
        </w:rPr>
        <w:annotationRef/>
      </w:r>
      <w:r>
        <w:t>Find out</w:t>
      </w:r>
    </w:p>
  </w:comment>
  <w:comment w:id="3" w:author="nabil elnaggar" w:date="2025-10-22T11:52:00Z" w:initials="ne">
    <w:p w14:paraId="06EF95B8" w14:textId="043592DC" w:rsidR="003B0386" w:rsidRDefault="003B0386">
      <w:pPr>
        <w:pStyle w:val="CommentText"/>
      </w:pPr>
      <w:r>
        <w:rPr>
          <w:rStyle w:val="CommentReference"/>
        </w:rPr>
        <w:annotationRef/>
      </w:r>
      <w:r>
        <w:t>??????</w:t>
      </w:r>
    </w:p>
  </w:comment>
  <w:comment w:id="4" w:author="nabil elnaggar" w:date="2025-10-22T12:03:00Z" w:initials="ne">
    <w:p w14:paraId="54115F0C" w14:textId="78D9B150" w:rsidR="00D94729" w:rsidRDefault="00D94729">
      <w:pPr>
        <w:pStyle w:val="CommentText"/>
      </w:pPr>
      <w:r>
        <w:rPr>
          <w:rStyle w:val="CommentReference"/>
        </w:rPr>
        <w:annotationRef/>
      </w:r>
      <w:r>
        <w:t>Presence or absence of Comorbidities ??</w:t>
      </w:r>
    </w:p>
  </w:comment>
  <w:comment w:id="5" w:author="nabil elnaggar" w:date="2025-10-22T11:57:00Z" w:initials="ne">
    <w:p w14:paraId="164FA8D0" w14:textId="1FDF4972" w:rsidR="003B0386" w:rsidRDefault="003B0386">
      <w:pPr>
        <w:pStyle w:val="CommentText"/>
      </w:pPr>
      <w:r>
        <w:rPr>
          <w:rStyle w:val="CommentReference"/>
        </w:rPr>
        <w:annotationRef/>
      </w:r>
      <w:r>
        <w:rPr>
          <w:rStyle w:val="CommentReference"/>
        </w:rPr>
        <w:t xml:space="preserve"> </w:t>
      </w:r>
      <w:r>
        <w:rPr>
          <w:rStyle w:val="CommentReference"/>
        </w:rPr>
        <w:t>What about treated hypertensive patients are they included in the study...they should be classified into controlled or uncontrolled and further analysed</w:t>
      </w:r>
      <w:r w:rsidR="00D94729">
        <w:rPr>
          <w:rStyle w:val="CommentReference"/>
        </w:rPr>
        <w:t xml:space="preserve"> as having MCI</w:t>
      </w:r>
    </w:p>
  </w:comment>
  <w:comment w:id="6" w:author="nabil elnaggar" w:date="2025-10-22T12:12:00Z" w:initials="ne">
    <w:p w14:paraId="4D3D2B24" w14:textId="234849BB" w:rsidR="00DC18EC" w:rsidRDefault="00DC18EC">
      <w:pPr>
        <w:pStyle w:val="CommentText"/>
      </w:pPr>
      <w:r>
        <w:rPr>
          <w:rStyle w:val="CommentReference"/>
        </w:rPr>
        <w:annotationRef/>
      </w:r>
      <w:r>
        <w:t>Are there any comparison between pure hypertensive versus hypertensive with comorbidities as regards MCI</w:t>
      </w:r>
    </w:p>
  </w:comment>
  <w:comment w:id="7" w:author="nabil elnaggar" w:date="2025-10-22T12:16:00Z" w:initials="ne">
    <w:p w14:paraId="27413E69" w14:textId="40FE0A93" w:rsidR="00DC18EC" w:rsidRDefault="00DC18EC">
      <w:pPr>
        <w:pStyle w:val="CommentText"/>
      </w:pPr>
      <w:r>
        <w:rPr>
          <w:rStyle w:val="CommentReference"/>
        </w:rPr>
        <w:annotationRef/>
      </w:r>
      <w:r>
        <w:t>You did not do this comparison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D8329F" w15:done="0"/>
  <w15:commentEx w15:paraId="491CF3BB" w15:done="0"/>
  <w15:commentEx w15:paraId="4F88525B" w15:done="0"/>
  <w15:commentEx w15:paraId="06EF95B8" w15:done="0"/>
  <w15:commentEx w15:paraId="54115F0C" w15:done="0"/>
  <w15:commentEx w15:paraId="164FA8D0" w15:done="0"/>
  <w15:commentEx w15:paraId="4D3D2B24" w15:done="0"/>
  <w15:commentEx w15:paraId="27413E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340FE" w16cex:dateUtc="2025-10-22T08:39:00Z"/>
  <w16cex:commentExtensible w16cex:durableId="2CA34218" w16cex:dateUtc="2025-10-22T08:44:00Z"/>
  <w16cex:commentExtensible w16cex:durableId="2CA343C1" w16cex:dateUtc="2025-10-22T08:51:00Z"/>
  <w16cex:commentExtensible w16cex:durableId="2CA343F0" w16cex:dateUtc="2025-10-22T08:52:00Z"/>
  <w16cex:commentExtensible w16cex:durableId="2CA346A9" w16cex:dateUtc="2025-10-22T09:03:00Z"/>
  <w16cex:commentExtensible w16cex:durableId="2CA3452F" w16cex:dateUtc="2025-10-22T08:57:00Z"/>
  <w16cex:commentExtensible w16cex:durableId="2CA348B4" w16cex:dateUtc="2025-10-22T09:12:00Z"/>
  <w16cex:commentExtensible w16cex:durableId="2CA34981" w16cex:dateUtc="2025-10-22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8329F" w16cid:durableId="2CA340FE"/>
  <w16cid:commentId w16cid:paraId="491CF3BB" w16cid:durableId="2CA34218"/>
  <w16cid:commentId w16cid:paraId="4F88525B" w16cid:durableId="2CA343C1"/>
  <w16cid:commentId w16cid:paraId="06EF95B8" w16cid:durableId="2CA343F0"/>
  <w16cid:commentId w16cid:paraId="54115F0C" w16cid:durableId="2CA346A9"/>
  <w16cid:commentId w16cid:paraId="164FA8D0" w16cid:durableId="2CA3452F"/>
  <w16cid:commentId w16cid:paraId="4D3D2B24" w16cid:durableId="2CA348B4"/>
  <w16cid:commentId w16cid:paraId="27413E69" w16cid:durableId="2CA34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5BE0" w14:textId="77777777" w:rsidR="00EC5533" w:rsidRDefault="00EC5533" w:rsidP="00C37E61">
      <w:r>
        <w:separator/>
      </w:r>
    </w:p>
  </w:endnote>
  <w:endnote w:type="continuationSeparator" w:id="0">
    <w:p w14:paraId="5CF41F53" w14:textId="77777777" w:rsidR="00EC5533" w:rsidRDefault="00EC55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68F7" w14:textId="77777777" w:rsidR="00672296" w:rsidRDefault="00672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D8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1125" w14:textId="77777777" w:rsidR="00672296" w:rsidRDefault="0067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34D" w14:textId="77777777" w:rsidR="00EC5533" w:rsidRDefault="00EC5533" w:rsidP="00C37E61">
      <w:r>
        <w:separator/>
      </w:r>
    </w:p>
  </w:footnote>
  <w:footnote w:type="continuationSeparator" w:id="0">
    <w:p w14:paraId="04656FE8" w14:textId="77777777" w:rsidR="00EC5533" w:rsidRDefault="00EC55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8769" w14:textId="323262C9" w:rsidR="00672296" w:rsidRDefault="00EC5533">
    <w:pPr>
      <w:pStyle w:val="Header"/>
    </w:pPr>
    <w:r>
      <w:rPr>
        <w:noProof/>
      </w:rPr>
      <w:pict w14:anchorId="286E8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18A7" w14:textId="6AC6C1C2" w:rsidR="00672296" w:rsidRDefault="00EC5533">
    <w:pPr>
      <w:pStyle w:val="Header"/>
    </w:pPr>
    <w:r>
      <w:rPr>
        <w:noProof/>
      </w:rPr>
      <w:pict w14:anchorId="55BA6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71F0" w14:textId="214CC6B6" w:rsidR="00672296" w:rsidRDefault="00EC5533">
    <w:pPr>
      <w:pStyle w:val="Header"/>
    </w:pPr>
    <w:r>
      <w:rPr>
        <w:noProof/>
      </w:rPr>
      <w:pict w14:anchorId="68BFC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523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33000D"/>
    <w:multiLevelType w:val="hybridMultilevel"/>
    <w:tmpl w:val="39D87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FF4621"/>
    <w:multiLevelType w:val="hybridMultilevel"/>
    <w:tmpl w:val="44EC9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D539ED"/>
    <w:multiLevelType w:val="hybridMultilevel"/>
    <w:tmpl w:val="FB325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B333E2"/>
    <w:multiLevelType w:val="hybridMultilevel"/>
    <w:tmpl w:val="60340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1E2151"/>
    <w:multiLevelType w:val="multilevel"/>
    <w:tmpl w:val="B764127C"/>
    <w:lvl w:ilvl="0">
      <w:start w:val="2"/>
      <w:numFmt w:val="decimal"/>
      <w:lvlText w:val="%1"/>
      <w:lvlJc w:val="left"/>
      <w:pPr>
        <w:ind w:left="440" w:hanging="440"/>
      </w:pPr>
      <w:rPr>
        <w:rFonts w:hint="default"/>
        <w:b/>
        <w:u w:val="single"/>
      </w:rPr>
    </w:lvl>
    <w:lvl w:ilvl="1">
      <w:start w:val="3"/>
      <w:numFmt w:val="decimal"/>
      <w:lvlText w:val="%1.%2"/>
      <w:lvlJc w:val="left"/>
      <w:pPr>
        <w:ind w:left="440" w:hanging="44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3"/>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7"/>
  </w:num>
  <w:num w:numId="32">
    <w:abstractNumId w:val="8"/>
  </w:num>
  <w:num w:numId="33">
    <w:abstractNumId w:val="22"/>
  </w:num>
  <w:num w:numId="34">
    <w:abstractNumId w:val="21"/>
  </w:num>
  <w:num w:numId="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bil elnaggar">
    <w15:presenceInfo w15:providerId="Windows Live" w15:userId="3480c2dd601d5b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40A"/>
    <w:rsid w:val="00030174"/>
    <w:rsid w:val="000416CF"/>
    <w:rsid w:val="0004579C"/>
    <w:rsid w:val="00050013"/>
    <w:rsid w:val="000A47FA"/>
    <w:rsid w:val="000A65D3"/>
    <w:rsid w:val="000B1E33"/>
    <w:rsid w:val="000C1E5E"/>
    <w:rsid w:val="000C3856"/>
    <w:rsid w:val="000D689F"/>
    <w:rsid w:val="000E2733"/>
    <w:rsid w:val="000E599B"/>
    <w:rsid w:val="000E7B7B"/>
    <w:rsid w:val="000E7D62"/>
    <w:rsid w:val="000F7978"/>
    <w:rsid w:val="00103357"/>
    <w:rsid w:val="00111B20"/>
    <w:rsid w:val="00123C9F"/>
    <w:rsid w:val="00126190"/>
    <w:rsid w:val="00130F17"/>
    <w:rsid w:val="001320BF"/>
    <w:rsid w:val="00153A75"/>
    <w:rsid w:val="0015444B"/>
    <w:rsid w:val="00163BC4"/>
    <w:rsid w:val="00166920"/>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4227"/>
    <w:rsid w:val="00315186"/>
    <w:rsid w:val="00330D2C"/>
    <w:rsid w:val="0033343E"/>
    <w:rsid w:val="003512C2"/>
    <w:rsid w:val="00357D29"/>
    <w:rsid w:val="00366626"/>
    <w:rsid w:val="00371FB6"/>
    <w:rsid w:val="003763C1"/>
    <w:rsid w:val="00376BBE"/>
    <w:rsid w:val="0039224F"/>
    <w:rsid w:val="0039608B"/>
    <w:rsid w:val="003A43A4"/>
    <w:rsid w:val="003A7E18"/>
    <w:rsid w:val="003B0386"/>
    <w:rsid w:val="003C1CDA"/>
    <w:rsid w:val="003C4C86"/>
    <w:rsid w:val="003C6258"/>
    <w:rsid w:val="003E2904"/>
    <w:rsid w:val="00401927"/>
    <w:rsid w:val="004075B8"/>
    <w:rsid w:val="0041027F"/>
    <w:rsid w:val="00412475"/>
    <w:rsid w:val="00423789"/>
    <w:rsid w:val="00427C52"/>
    <w:rsid w:val="00440F43"/>
    <w:rsid w:val="00441B6F"/>
    <w:rsid w:val="00446221"/>
    <w:rsid w:val="00446D36"/>
    <w:rsid w:val="00450E62"/>
    <w:rsid w:val="004539DB"/>
    <w:rsid w:val="00471A80"/>
    <w:rsid w:val="004905BF"/>
    <w:rsid w:val="004B795A"/>
    <w:rsid w:val="004C706B"/>
    <w:rsid w:val="004D305E"/>
    <w:rsid w:val="004D4277"/>
    <w:rsid w:val="00502516"/>
    <w:rsid w:val="00505F06"/>
    <w:rsid w:val="00506828"/>
    <w:rsid w:val="0053056E"/>
    <w:rsid w:val="00540B79"/>
    <w:rsid w:val="00550EEF"/>
    <w:rsid w:val="00554FDA"/>
    <w:rsid w:val="005C784C"/>
    <w:rsid w:val="005D17F6"/>
    <w:rsid w:val="005D5414"/>
    <w:rsid w:val="005D54A7"/>
    <w:rsid w:val="005E5539"/>
    <w:rsid w:val="00602BF5"/>
    <w:rsid w:val="00617FDD"/>
    <w:rsid w:val="00633614"/>
    <w:rsid w:val="00633F68"/>
    <w:rsid w:val="00636EB2"/>
    <w:rsid w:val="006375B8"/>
    <w:rsid w:val="00664827"/>
    <w:rsid w:val="0066510A"/>
    <w:rsid w:val="00667ACC"/>
    <w:rsid w:val="00671175"/>
    <w:rsid w:val="00672296"/>
    <w:rsid w:val="00673F9F"/>
    <w:rsid w:val="00686953"/>
    <w:rsid w:val="00687DEA"/>
    <w:rsid w:val="00687E67"/>
    <w:rsid w:val="006967F7"/>
    <w:rsid w:val="006A250C"/>
    <w:rsid w:val="006B21D3"/>
    <w:rsid w:val="006B57D0"/>
    <w:rsid w:val="006C54BF"/>
    <w:rsid w:val="006D2206"/>
    <w:rsid w:val="006D30FF"/>
    <w:rsid w:val="006D6940"/>
    <w:rsid w:val="006F11EC"/>
    <w:rsid w:val="0070082C"/>
    <w:rsid w:val="007369E6"/>
    <w:rsid w:val="00746E59"/>
    <w:rsid w:val="00754C9A"/>
    <w:rsid w:val="0075599A"/>
    <w:rsid w:val="00761D52"/>
    <w:rsid w:val="0077749E"/>
    <w:rsid w:val="00790ADA"/>
    <w:rsid w:val="007D2288"/>
    <w:rsid w:val="007E088F"/>
    <w:rsid w:val="007F19F1"/>
    <w:rsid w:val="007F7B32"/>
    <w:rsid w:val="00804BC2"/>
    <w:rsid w:val="0081431A"/>
    <w:rsid w:val="00824B37"/>
    <w:rsid w:val="008301F2"/>
    <w:rsid w:val="0083216F"/>
    <w:rsid w:val="00860000"/>
    <w:rsid w:val="00863BD3"/>
    <w:rsid w:val="008641ED"/>
    <w:rsid w:val="008660F8"/>
    <w:rsid w:val="00866D66"/>
    <w:rsid w:val="008671C6"/>
    <w:rsid w:val="00875803"/>
    <w:rsid w:val="008B459E"/>
    <w:rsid w:val="008C71E6"/>
    <w:rsid w:val="008D594F"/>
    <w:rsid w:val="008D7A4E"/>
    <w:rsid w:val="008E13AE"/>
    <w:rsid w:val="008E1506"/>
    <w:rsid w:val="008E6D74"/>
    <w:rsid w:val="008E710C"/>
    <w:rsid w:val="008F69D6"/>
    <w:rsid w:val="00902823"/>
    <w:rsid w:val="009048DA"/>
    <w:rsid w:val="00905CE8"/>
    <w:rsid w:val="00915CA6"/>
    <w:rsid w:val="009220D1"/>
    <w:rsid w:val="00927834"/>
    <w:rsid w:val="009500A6"/>
    <w:rsid w:val="00951833"/>
    <w:rsid w:val="00957C18"/>
    <w:rsid w:val="009659BA"/>
    <w:rsid w:val="00980D92"/>
    <w:rsid w:val="00983040"/>
    <w:rsid w:val="0098663D"/>
    <w:rsid w:val="009B3FB9"/>
    <w:rsid w:val="009C2465"/>
    <w:rsid w:val="009D0C68"/>
    <w:rsid w:val="009D35A0"/>
    <w:rsid w:val="009D7EB7"/>
    <w:rsid w:val="009E048A"/>
    <w:rsid w:val="009E08E9"/>
    <w:rsid w:val="009E3DB9"/>
    <w:rsid w:val="009E6E35"/>
    <w:rsid w:val="009F0EDA"/>
    <w:rsid w:val="00A03B96"/>
    <w:rsid w:val="00A05B19"/>
    <w:rsid w:val="00A07147"/>
    <w:rsid w:val="00A1134E"/>
    <w:rsid w:val="00A24E7E"/>
    <w:rsid w:val="00A258C3"/>
    <w:rsid w:val="00A347C0"/>
    <w:rsid w:val="00A51431"/>
    <w:rsid w:val="00A539AD"/>
    <w:rsid w:val="00A94063"/>
    <w:rsid w:val="00AA6219"/>
    <w:rsid w:val="00AA74E0"/>
    <w:rsid w:val="00AB703F"/>
    <w:rsid w:val="00AC2937"/>
    <w:rsid w:val="00AC6BB8"/>
    <w:rsid w:val="00AE008F"/>
    <w:rsid w:val="00B01FCD"/>
    <w:rsid w:val="00B1776C"/>
    <w:rsid w:val="00B177ED"/>
    <w:rsid w:val="00B52583"/>
    <w:rsid w:val="00B52896"/>
    <w:rsid w:val="00B717FD"/>
    <w:rsid w:val="00B81DF0"/>
    <w:rsid w:val="00B87E8C"/>
    <w:rsid w:val="00B95236"/>
    <w:rsid w:val="00B96BD9"/>
    <w:rsid w:val="00BA1B01"/>
    <w:rsid w:val="00BA2641"/>
    <w:rsid w:val="00BB37AA"/>
    <w:rsid w:val="00BB7834"/>
    <w:rsid w:val="00BC53A0"/>
    <w:rsid w:val="00BE62AD"/>
    <w:rsid w:val="00BF121F"/>
    <w:rsid w:val="00BF1F80"/>
    <w:rsid w:val="00C06CB4"/>
    <w:rsid w:val="00C166EF"/>
    <w:rsid w:val="00C17EB0"/>
    <w:rsid w:val="00C26D32"/>
    <w:rsid w:val="00C27F5F"/>
    <w:rsid w:val="00C30A0F"/>
    <w:rsid w:val="00C37E61"/>
    <w:rsid w:val="00C70F1B"/>
    <w:rsid w:val="00C71A47"/>
    <w:rsid w:val="00C7464C"/>
    <w:rsid w:val="00C85588"/>
    <w:rsid w:val="00C91AC3"/>
    <w:rsid w:val="00CB6BE1"/>
    <w:rsid w:val="00CC2E6E"/>
    <w:rsid w:val="00CD6755"/>
    <w:rsid w:val="00CD6856"/>
    <w:rsid w:val="00CE0089"/>
    <w:rsid w:val="00CE062C"/>
    <w:rsid w:val="00CE793C"/>
    <w:rsid w:val="00CF193C"/>
    <w:rsid w:val="00D173F1"/>
    <w:rsid w:val="00D313DB"/>
    <w:rsid w:val="00D45651"/>
    <w:rsid w:val="00D514C8"/>
    <w:rsid w:val="00D661E9"/>
    <w:rsid w:val="00D7038D"/>
    <w:rsid w:val="00D74CB0"/>
    <w:rsid w:val="00D8295D"/>
    <w:rsid w:val="00D94729"/>
    <w:rsid w:val="00D95B35"/>
    <w:rsid w:val="00DC18EC"/>
    <w:rsid w:val="00DC2A65"/>
    <w:rsid w:val="00DC5FE0"/>
    <w:rsid w:val="00DE15F0"/>
    <w:rsid w:val="00DE5663"/>
    <w:rsid w:val="00DE78AA"/>
    <w:rsid w:val="00E053D0"/>
    <w:rsid w:val="00E15994"/>
    <w:rsid w:val="00E254C7"/>
    <w:rsid w:val="00E3114E"/>
    <w:rsid w:val="00E31A70"/>
    <w:rsid w:val="00E35B02"/>
    <w:rsid w:val="00E6585A"/>
    <w:rsid w:val="00E66496"/>
    <w:rsid w:val="00E66B35"/>
    <w:rsid w:val="00E66E10"/>
    <w:rsid w:val="00E769F6"/>
    <w:rsid w:val="00E8407C"/>
    <w:rsid w:val="00E84F3C"/>
    <w:rsid w:val="00EA012C"/>
    <w:rsid w:val="00EB62C8"/>
    <w:rsid w:val="00EC5533"/>
    <w:rsid w:val="00EC6A55"/>
    <w:rsid w:val="00ED0288"/>
    <w:rsid w:val="00EE52CB"/>
    <w:rsid w:val="00EE6068"/>
    <w:rsid w:val="00EF581D"/>
    <w:rsid w:val="00EF7FD8"/>
    <w:rsid w:val="00F06F59"/>
    <w:rsid w:val="00F11747"/>
    <w:rsid w:val="00F17988"/>
    <w:rsid w:val="00F417AC"/>
    <w:rsid w:val="00F469F0"/>
    <w:rsid w:val="00F53273"/>
    <w:rsid w:val="00F538E5"/>
    <w:rsid w:val="00F755E4"/>
    <w:rsid w:val="00F77D02"/>
    <w:rsid w:val="00F90899"/>
    <w:rsid w:val="00F914FC"/>
    <w:rsid w:val="00FB3A86"/>
    <w:rsid w:val="00FB4BD4"/>
    <w:rsid w:val="00FB6869"/>
    <w:rsid w:val="00FD36C8"/>
    <w:rsid w:val="00FE13A5"/>
    <w:rsid w:val="00FF58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CC18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B7834"/>
    <w:pPr>
      <w:ind w:left="720"/>
      <w:contextualSpacing/>
    </w:pPr>
  </w:style>
  <w:style w:type="character" w:styleId="Strong">
    <w:name w:val="Strong"/>
    <w:basedOn w:val="DefaultParagraphFont"/>
    <w:uiPriority w:val="22"/>
    <w:qFormat/>
    <w:rsid w:val="00CB6BE1"/>
    <w:rPr>
      <w:b/>
      <w:bCs/>
    </w:rPr>
  </w:style>
  <w:style w:type="paragraph" w:styleId="CommentSubject">
    <w:name w:val="annotation subject"/>
    <w:basedOn w:val="CommentText"/>
    <w:next w:val="CommentText"/>
    <w:link w:val="CommentSubjectChar"/>
    <w:semiHidden/>
    <w:unhideWhenUsed/>
    <w:rsid w:val="00C06CB4"/>
    <w:rPr>
      <w:rFonts w:ascii="Helvetica" w:hAnsi="Helvetica"/>
      <w:b/>
      <w:bCs/>
      <w:lang w:val="en-US" w:eastAsia="en-US"/>
    </w:rPr>
  </w:style>
  <w:style w:type="character" w:customStyle="1" w:styleId="CommentSubjectChar">
    <w:name w:val="Comment Subject Char"/>
    <w:basedOn w:val="CommentTextChar"/>
    <w:link w:val="CommentSubject"/>
    <w:semiHidden/>
    <w:rsid w:val="00C06CB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sanut.insp.mx/encuestas/ensanutgto2023/doctos/informes/Informe_ENSANUT_Continua_Gto2023.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E81FC-45E8-463D-9D6D-8AC15B5F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226</TotalTime>
  <Pages>12</Pages>
  <Words>4605</Words>
  <Characters>26254</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30798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nabil elnaggar</cp:lastModifiedBy>
  <cp:revision>33</cp:revision>
  <cp:lastPrinted>2025-10-16T23:19:00Z</cp:lastPrinted>
  <dcterms:created xsi:type="dcterms:W3CDTF">2025-10-16T23:19:00Z</dcterms:created>
  <dcterms:modified xsi:type="dcterms:W3CDTF">2025-10-22T09:19:00Z</dcterms:modified>
</cp:coreProperties>
</file>