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drawings/drawing5.xml" ContentType="application/vnd.openxmlformats-officedocument.drawingml.chartshapes+xml"/>
  <Override PartName="/word/charts/chart3.xml" ContentType="application/vnd.openxmlformats-officedocument.drawingml.chart+xml"/>
  <Override PartName="/customXml/itemProps11.xml" ContentType="application/vnd.openxmlformats-officedocument.customXmlProperties+xml"/>
  <Override PartName="/customXml/itemProps29.xml" ContentType="application/vnd.openxmlformats-officedocument.customXml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charts/colors3.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customXml/itemProps21.xml" ContentType="application/vnd.openxmlformats-officedocument.customXmlProperties+xml"/>
  <Override PartName="/customXml/itemProps28.xml" ContentType="application/vnd.openxmlformats-officedocument.customXmlProperties+xml"/>
  <Override PartName="/word/charts/chart4.xml" ContentType="application/vnd.openxmlformats-officedocument.drawingml.chart+xml"/>
  <Override PartName="/customXml/itemProps12.xml" ContentType="application/vnd.openxmlformats-officedocument.customXmlProperties+xml"/>
  <Override PartName="/word/charts/colors4.xml" ContentType="application/vnd.ms-office.chartcolorstyle+xml"/>
  <Override PartName="/customXml/itemProps1.xml" ContentType="application/vnd.openxmlformats-officedocument.customXmlProperties+xml"/>
  <Override PartName="/customXml/itemProps9.xml" ContentType="application/vnd.openxmlformats-officedocument.customXmlProperties+xml"/>
  <Override PartName="/customXml/itemProps20.xml" ContentType="application/vnd.openxmlformats-officedocument.customXmlProperties+xml"/>
  <Override PartName="/word/theme/themeOverride6.xml" ContentType="application/vnd.openxmlformats-officedocument.themeOverride+xml"/>
  <Override PartName="/customXml/itemProps4.xml" ContentType="application/vnd.openxmlformats-officedocument.customXmlProperties+xml"/>
  <Override PartName="/word/theme/themeOverride7.xml" ContentType="application/vnd.openxmlformats-officedocument.themeOverride+xml"/>
  <Override PartName="/customXml/itemProps22.xml" ContentType="application/vnd.openxmlformats-officedocument.customXmlProperties+xml"/>
  <Override PartName="/docProps/core.xml" ContentType="application/vnd.openxmlformats-package.core-properties+xml"/>
  <Override PartName="/word/charts/chart1.xml" ContentType="application/vnd.openxmlformats-officedocument.drawingml.chart+xml"/>
  <Override PartName="/word/charts/style2.xml" ContentType="application/vnd.ms-office.chartstyle+xml"/>
  <Override PartName="/customXml/itemProps19.xml" ContentType="application/vnd.openxmlformats-officedocument.customXmlProperties+xml"/>
  <Override PartName="/word/charts/style4.xml" ContentType="application/vnd.ms-office.chartstyle+xml"/>
  <Override PartName="/customXml/itemProps10.xml" ContentType="application/vnd.openxmlformats-officedocument.customXmlProperties+xml"/>
  <Override PartName="/word/header2.xml" ContentType="application/vnd.openxmlformats-officedocument.wordprocessingml.header+xml"/>
  <Override PartName="/customXml/itemProps23.xml" ContentType="application/vnd.openxmlformats-officedocument.customXmlProperties+xml"/>
  <Override PartName="/word/charts/colors7.xml" ContentType="application/vnd.ms-office.chartcolorstyle+xml"/>
  <Override PartName="/customXml/itemProps18.xml" ContentType="application/vnd.openxmlformats-officedocument.customXmlProperties+xml"/>
  <Override PartName="/word/charts/chart2.xml" ContentType="application/vnd.openxmlformats-officedocument.drawingml.chart+xml"/>
  <Override PartName="/customXml/itemProps3.xml" ContentType="application/vnd.openxmlformats-officedocument.customXmlProperties+xml"/>
  <Override PartName="/word/theme/themeOverride8.xml" ContentType="application/vnd.openxmlformats-officedocument.themeOverride+xml"/>
  <Override PartName="/word/charts/style3.xml" ContentType="application/vnd.ms-office.chartstyle+xml"/>
  <Override PartName="/word/theme/theme1.xml" ContentType="application/vnd.openxmlformats-officedocument.theme+xml"/>
  <Override PartName="/customXml/itemProps16.xml" ContentType="application/vnd.openxmlformats-officedocument.customXmlProperties+xml"/>
  <Override PartName="/customXml/itemProps25.xml" ContentType="application/vnd.openxmlformats-officedocument.customXmlProperties+xml"/>
  <Override PartName="/word/charts/colors8.xml" ContentType="application/vnd.ms-office.chartcolorstyle+xml"/>
  <Override PartName="/word/charts/chart8.xml" ContentType="application/vnd.openxmlformats-officedocument.drawingml.chart+xml"/>
  <Override PartName="/customXml/itemProps17.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customXml/itemProps6.xml" ContentType="application/vnd.openxmlformats-officedocument.customXmlProperties+xml"/>
  <Override PartName="/customXml/itemProps15.xml" ContentType="application/vnd.openxmlformats-officedocument.customXmlProperties+xml"/>
  <Override PartName="/word/theme/themeOverride1.xml" ContentType="application/vnd.openxmlformats-officedocument.themeOverride+xml"/>
  <Override PartName="/word/commentsExtended.xml" ContentType="application/vnd.openxmlformats-officedocument.wordprocessingml.commentsExtended+xml"/>
  <Override PartName="/word/footer3.xml" ContentType="application/vnd.openxmlformats-officedocument.wordprocessingml.footer+xml"/>
  <Override PartName="/word/document.xml" ContentType="application/vnd.openxmlformats-officedocument.wordprocessingml.document.main+xml"/>
  <Override PartName="/customXml/itemProps24.xml" ContentType="application/vnd.openxmlformats-officedocument.customXmlProperties+xml"/>
  <Override PartName="/word/charts/style1.xml" ContentType="application/vnd.ms-office.chartstyle+xml"/>
  <Override PartName="/customXml/itemProps5.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27.xml" ContentType="application/vnd.openxmlformats-officedocument.customXmlProperties+xml"/>
  <Override PartName="/word/footer4.xml" ContentType="application/vnd.openxmlformats-officedocument.wordprocessingml.footer+xml"/>
  <Override PartName="/word/charts/colors1.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charts/style8.xml" ContentType="application/vnd.ms-office.chartstyle+xml"/>
  <Override PartName="/customXml/itemProps14.xml" ContentType="application/vnd.openxmlformats-officedocument.customXmlProperties+xml"/>
  <Override PartName="/word/charts/chart5.xml" ContentType="application/vnd.openxmlformats-officedocument.drawingml.chart+xml"/>
  <Override PartName="/customXml/itemProps30.xml" ContentType="application/vnd.openxmlformats-officedocument.customXmlProperties+xml"/>
  <Override PartName="/word/theme/themeOverride3.xml" ContentType="application/vnd.openxmlformats-officedocument.themeOverride+xml"/>
  <Override PartName="/customXml/itemProps8.xml" ContentType="application/vnd.openxmlformats-officedocument.customXmlProperties+xml"/>
  <Override PartName="/docProps/custom.xml" ContentType="application/vnd.openxmlformats-officedocument.custom-properties+xml"/>
  <Override PartName="/word/charts/colors2.xml" ContentType="application/vnd.ms-office.chartcolorstyle+xml"/>
  <Override PartName="/word/charts/chart6.xml" ContentType="application/vnd.openxmlformats-officedocument.drawingml.chart+xml"/>
  <Override PartName="/customXml/itemProps13.xml" ContentType="application/vnd.openxmlformats-officedocument.customXmlProperties+xml"/>
  <Override PartName="/customXml/itemProps26.xml" ContentType="application/vnd.openxmlformats-officedocument.customXmlProperties+xml"/>
  <Override PartName="/word/charts/chart7.xml" ContentType="application/vnd.openxmlformats-officedocument.drawingml.chart+xml"/>
  <Override PartName="/customXml/itemProps31.xml" ContentType="application/vnd.openxmlformats-officedocument.customXmlProperties+xml"/>
  <Override PartName="/word/theme/themeOverride4.xml" ContentType="application/vnd.openxmlformats-officedocument.themeOverride+xml"/>
  <Override PartName="/word/comments.xml" ContentType="application/vnd.openxmlformats-officedocument.wordprocessingml.comments+xml"/>
  <Override PartName="/word/charts/style7.xml" ContentType="application/vnd.ms-office.chartstyle+xml"/>
  <Override PartName="/customXml/itemProps7.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spacing w:after="0"/>
        <w:rPr>
          <w:rFonts w:ascii="Arial" w:cs="Arial" w:hAnsi="Arial"/>
          <w:i/>
          <w:u w:val="single"/>
        </w:rPr>
      </w:pPr>
      <w:r>
        <w:rPr>
          <w:rFonts w:ascii="Arial" w:cs="Arial" w:hAnsi="Arial"/>
          <w:i/>
          <w:u w:val="single"/>
        </w:rPr>
        <w:t>Original Research Article</w:t>
      </w:r>
    </w:p>
    <w:p>
      <w:pPr>
        <w:pStyle w:val="style62"/>
        <w:spacing w:after="0"/>
        <w:jc w:val="both"/>
        <w:rPr>
          <w:rFonts w:ascii="Arial" w:cs="Arial" w:hAnsi="Arial"/>
        </w:rPr>
      </w:pPr>
    </w:p>
    <w:p>
      <w:pPr>
        <w:pStyle w:val="style4097"/>
        <w:spacing w:lineRule="auto" w:line="240"/>
        <w:jc w:val="both"/>
        <w:rPr>
          <w:rFonts w:ascii="Arial" w:cs="Arial" w:hAnsi="Arial"/>
          <w:bCs/>
          <w:iCs/>
          <w:kern w:val="28"/>
          <w:sz w:val="36"/>
        </w:rPr>
      </w:pPr>
      <w:r>
        <w:rPr>
          <w:rFonts w:ascii="Arial" w:cs="Arial" w:hAnsi="Arial"/>
          <w:bCs/>
          <w:iCs/>
          <w:kern w:val="28"/>
          <w:sz w:val="36"/>
        </w:rPr>
        <w:t xml:space="preserve">Comparison of Morphology and Colony Color of Phytopathogenic </w:t>
      </w:r>
      <w:r>
        <w:rPr>
          <w:rFonts w:ascii="Arial" w:cs="Arial" w:hAnsi="Arial"/>
          <w:bCs/>
          <w:i/>
          <w:iCs/>
          <w:kern w:val="28"/>
          <w:sz w:val="36"/>
        </w:rPr>
        <w:t xml:space="preserve">Fusarium </w:t>
      </w:r>
      <w:r>
        <w:rPr>
          <w:rFonts w:ascii="Arial" w:cs="Arial" w:hAnsi="Arial"/>
          <w:bCs/>
          <w:i/>
          <w:iCs/>
          <w:kern w:val="28"/>
          <w:sz w:val="36"/>
        </w:rPr>
        <w:t>oxysporum</w:t>
      </w:r>
      <w:r>
        <w:rPr>
          <w:rFonts w:ascii="Arial" w:cs="Arial" w:hAnsi="Arial"/>
          <w:bCs/>
          <w:iCs/>
          <w:kern w:val="28"/>
          <w:sz w:val="36"/>
        </w:rPr>
        <w:t xml:space="preserve"> from </w:t>
      </w:r>
      <w:r>
        <w:rPr>
          <w:rFonts w:ascii="Arial" w:cs="Arial" w:hAnsi="Arial"/>
          <w:bCs/>
          <w:i/>
          <w:iCs/>
          <w:kern w:val="28"/>
          <w:sz w:val="36"/>
        </w:rPr>
        <w:t>Allium sativum</w:t>
      </w:r>
      <w:r>
        <w:rPr>
          <w:rFonts w:ascii="Arial" w:cs="Arial" w:hAnsi="Arial"/>
          <w:bCs/>
          <w:iCs/>
          <w:kern w:val="28"/>
          <w:sz w:val="36"/>
        </w:rPr>
        <w:t xml:space="preserve"> at Two Ambient Temperatures</w:t>
      </w:r>
      <w:r>
        <w:rPr>
          <w:rFonts w:ascii="Arial" w:cs="Arial" w:hAnsi="Arial"/>
          <w:bCs/>
          <w:iCs/>
          <w:kern w:val="28"/>
          <w:sz w:val="36"/>
        </w:rPr>
        <w:t xml:space="preserve"> </w:t>
      </w:r>
    </w:p>
    <w:p>
      <w:pPr>
        <w:pStyle w:val="style4097"/>
        <w:spacing w:lineRule="auto" w:line="240"/>
        <w:jc w:val="both"/>
        <w:rPr>
          <w:rFonts w:ascii="Arial" w:cs="Arial" w:hAnsi="Arial"/>
          <w:sz w:val="36"/>
        </w:rPr>
      </w:pPr>
    </w:p>
    <w:p>
      <w:pPr>
        <w:pStyle w:val="style4100"/>
        <w:spacing w:after="0"/>
        <w:jc w:val="both"/>
        <w:rPr>
          <w:rFonts w:ascii="Arial" w:cs="Arial" w:hAnsi="Arial"/>
        </w:rPr>
      </w:pPr>
      <w:r>
        <w:rPr>
          <w:rFonts w:ascii="Arial" w:cs="Arial" w:hAnsi="Arial"/>
        </w:rPr>
        <w:t>ABSTRACT</w:t>
      </w:r>
      <w:r>
        <w:rPr>
          <w:rFonts w:ascii="Arial" w:cs="Arial" w:hAnsi="Arial"/>
        </w:rPr>
        <w:t xml:space="preserve"> </w:t>
      </w:r>
    </w:p>
    <w:p>
      <w:pPr>
        <w:pStyle w:val="style4100"/>
        <w:spacing w:after="0"/>
        <w:jc w:val="both"/>
        <w:rPr>
          <w:rFonts w:ascii="Arial" w:cs="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08"/>
      </w:tblGrid>
      <w:tr>
        <w:trPr/>
        <w:tc>
          <w:tcPr>
            <w:tcW w:w="9576" w:type="dxa"/>
            <w:tcBorders/>
            <w:shd w:val="clear" w:color="auto" w:fill="f2f2f2"/>
          </w:tcPr>
          <w:p>
            <w:pPr>
              <w:pStyle w:val="style4099"/>
              <w:spacing w:after="0"/>
              <w:rPr>
                <w:rFonts w:ascii="Arial" w:cs="Arial" w:eastAsia="Calibri" w:hAnsi="Arial"/>
                <w:szCs w:val="22"/>
              </w:rPr>
            </w:pPr>
          </w:p>
          <w:p>
            <w:pPr>
              <w:pStyle w:val="style4099"/>
              <w:spacing w:after="0"/>
              <w:rPr>
                <w:rFonts w:ascii="Arial" w:cs="Arial" w:eastAsia="Calibri" w:hAnsi="Arial"/>
                <w:szCs w:val="22"/>
              </w:rPr>
            </w:pPr>
            <w:r>
              <w:rPr>
                <w:rFonts w:ascii="Arial" w:cs="Arial" w:eastAsia="Calibri" w:hAnsi="Arial"/>
                <w:b/>
                <w:szCs w:val="22"/>
              </w:rPr>
              <w:t xml:space="preserve">Aims: </w:t>
            </w:r>
            <w:r>
              <w:rPr>
                <w:rFonts w:ascii="Arial" w:cs="Arial" w:eastAsia="Calibri" w:hAnsi="Arial"/>
                <w:szCs w:val="22"/>
              </w:rPr>
              <w:t>It is of great importance to better understand plant pathogenic fungi, to clarify host–pathogen relationships</w:t>
            </w:r>
            <w:commentRangeStart w:id="1"/>
            <w:r>
              <w:rPr>
                <w:rFonts w:ascii="Arial" w:cs="Arial" w:eastAsia="Calibri" w:hAnsi="Arial"/>
                <w:szCs w:val="22"/>
              </w:rPr>
              <w:t>,</w:t>
            </w:r>
            <w:commentRangeEnd w:id="1"/>
            <w:r>
              <w:rPr/>
              <w:commentReference w:id="1"/>
            </w:r>
            <w:r>
              <w:rPr>
                <w:rFonts w:ascii="Arial" w:cs="Arial" w:eastAsia="Calibri" w:hAnsi="Arial"/>
                <w:szCs w:val="22"/>
              </w:rPr>
              <w:t xml:space="preserve"> and to select the most effective disease control strategies. Since temperature is one of the most influential environmental factors shaping host–pathogen interactions and fungal development, this study aimed to evaluate the morphological and developmental differences of </w:t>
            </w:r>
            <w:r>
              <w:rPr>
                <w:rFonts w:ascii="Arial" w:cs="Arial" w:eastAsia="Calibri" w:hAnsi="Arial"/>
                <w:i/>
                <w:szCs w:val="22"/>
              </w:rPr>
              <w:t xml:space="preserve">Fusarium </w:t>
            </w:r>
            <w:r>
              <w:rPr>
                <w:rFonts w:ascii="Arial" w:cs="Arial" w:eastAsia="Calibri" w:hAnsi="Arial"/>
                <w:i/>
                <w:szCs w:val="22"/>
              </w:rPr>
              <w:t>oxysporum</w:t>
            </w:r>
            <w:r>
              <w:rPr>
                <w:rFonts w:ascii="Arial" w:cs="Arial" w:eastAsia="Calibri" w:hAnsi="Arial"/>
                <w:szCs w:val="22"/>
              </w:rPr>
              <w:t xml:space="preserve"> isolated from garlic (</w:t>
            </w:r>
            <w:r>
              <w:rPr>
                <w:rFonts w:ascii="Arial" w:cs="Arial" w:eastAsia="Calibri" w:hAnsi="Arial"/>
                <w:i/>
                <w:szCs w:val="22"/>
              </w:rPr>
              <w:t>Allium sativum</w:t>
            </w:r>
            <w:r>
              <w:rPr>
                <w:rFonts w:ascii="Arial" w:cs="Arial" w:eastAsia="Calibri" w:hAnsi="Arial"/>
                <w:szCs w:val="22"/>
              </w:rPr>
              <w:t>) at different temperatures.</w:t>
            </w:r>
          </w:p>
          <w:p>
            <w:pPr>
              <w:pStyle w:val="style4099"/>
              <w:spacing w:after="0"/>
              <w:rPr>
                <w:rFonts w:ascii="Arial" w:cs="Arial" w:eastAsia="Calibri" w:hAnsi="Arial"/>
                <w:b/>
                <w:bCs/>
                <w:szCs w:val="22"/>
              </w:rPr>
            </w:pPr>
            <w:r>
              <w:rPr>
                <w:rFonts w:ascii="Arial" w:cs="Arial" w:eastAsia="Calibri" w:hAnsi="Arial"/>
                <w:b/>
                <w:bCs/>
                <w:szCs w:val="22"/>
              </w:rPr>
              <w:t xml:space="preserve">Materials and </w:t>
            </w:r>
            <w:r>
              <w:rPr>
                <w:rFonts w:ascii="Arial" w:cs="Arial" w:eastAsia="Calibri" w:hAnsi="Arial"/>
                <w:b/>
                <w:bCs/>
                <w:szCs w:val="22"/>
              </w:rPr>
              <w:t>Method</w:t>
            </w:r>
            <w:r>
              <w:rPr>
                <w:rFonts w:ascii="Arial" w:cs="Arial" w:eastAsia="Calibri" w:hAnsi="Arial"/>
                <w:b/>
                <w:bCs/>
                <w:szCs w:val="22"/>
              </w:rPr>
              <w:t xml:space="preserve">s: </w:t>
            </w:r>
            <w:commentRangeStart w:id="2"/>
            <w:r>
              <w:rPr>
                <w:rFonts w:ascii="Arial" w:cs="Arial" w:eastAsia="Calibri" w:hAnsi="Arial"/>
                <w:bCs/>
                <w:szCs w:val="22"/>
              </w:rPr>
              <w:t xml:space="preserve">Fusarium </w:t>
            </w:r>
            <w:r>
              <w:rPr>
                <w:rFonts w:ascii="Arial" w:cs="Arial" w:eastAsia="Calibri" w:hAnsi="Arial"/>
                <w:bCs/>
                <w:szCs w:val="22"/>
              </w:rPr>
              <w:t>oxysporum</w:t>
            </w:r>
            <w:commentRangeEnd w:id="2"/>
            <w:r>
              <w:rPr/>
              <w:commentReference w:id="2"/>
            </w:r>
            <w:r>
              <w:rPr>
                <w:rFonts w:ascii="Arial" w:cs="Arial" w:eastAsia="Calibri" w:hAnsi="Arial"/>
                <w:bCs/>
                <w:szCs w:val="22"/>
              </w:rPr>
              <w:t xml:space="preserve"> isolates obtained from garlic were cultured at 20°C and 27°C. Morphological and developmental traits suc</w:t>
            </w:r>
            <w:bookmarkStart w:id="0" w:name="_GoBack"/>
            <w:bookmarkEnd w:id="0"/>
            <w:r>
              <w:rPr>
                <w:rFonts w:ascii="Arial" w:cs="Arial" w:eastAsia="Calibri" w:hAnsi="Arial"/>
                <w:bCs/>
                <w:szCs w:val="22"/>
              </w:rPr>
              <w:t>h as colony diameter, mycelial growth rate, mycelium width, conidial size, and colony color were examined and compared between the two temperature conditions. Statistical analyses were performed to determine significant differences between parameters.</w:t>
            </w:r>
          </w:p>
          <w:p>
            <w:pPr>
              <w:pStyle w:val="style4099"/>
              <w:spacing w:after="0"/>
              <w:rPr>
                <w:rFonts w:ascii="Arial" w:cs="Arial" w:eastAsia="Calibri" w:hAnsi="Arial"/>
                <w:szCs w:val="22"/>
              </w:rPr>
            </w:pPr>
            <w:r>
              <w:rPr>
                <w:rFonts w:ascii="Arial" w:cs="Arial" w:eastAsia="Calibri" w:hAnsi="Arial"/>
                <w:b/>
                <w:bCs/>
                <w:szCs w:val="22"/>
              </w:rPr>
              <w:t>Results:</w:t>
            </w:r>
            <w:r>
              <w:rPr>
                <w:rFonts w:ascii="Arial" w:cs="Arial" w:eastAsia="Calibri" w:hAnsi="Arial"/>
                <w:szCs w:val="22"/>
              </w:rPr>
              <w:t xml:space="preserve"> </w:t>
            </w:r>
            <w:r>
              <w:rPr>
                <w:rFonts w:ascii="Arial" w:cs="Arial" w:eastAsia="Calibri" w:hAnsi="Arial"/>
                <w:szCs w:val="22"/>
              </w:rPr>
              <w:t xml:space="preserve">All traits studied, except microconidia length, differed significantly between the two temperatures. Colony diameter, final mycelial growth rate, and mycelium width were greater at 27°C, whereas macroconidia length and width were higher at 20°C. Microconidia width increased at 27°C, while microconidia length showed no significant difference. Colony color darkened progressively at both temperatures, but at 27°C it developed into a very dark </w:t>
            </w:r>
            <w:r>
              <w:rPr>
                <w:rFonts w:ascii="Arial" w:cs="Arial" w:eastAsia="Calibri" w:hAnsi="Arial"/>
                <w:szCs w:val="22"/>
              </w:rPr>
              <w:t>bordeaux</w:t>
            </w:r>
            <w:r>
              <w:rPr>
                <w:rFonts w:ascii="Arial" w:cs="Arial" w:eastAsia="Calibri" w:hAnsi="Arial"/>
                <w:szCs w:val="22"/>
              </w:rPr>
              <w:t xml:space="preserve"> when viewed from both the front and reverse sides of Petri dishes.</w:t>
            </w:r>
          </w:p>
          <w:p>
            <w:pPr>
              <w:pStyle w:val="style4099"/>
              <w:spacing w:after="0"/>
              <w:rPr>
                <w:rFonts w:ascii="Arial" w:cs="Arial" w:eastAsia="Calibri" w:hAnsi="Arial"/>
                <w:szCs w:val="22"/>
              </w:rPr>
            </w:pPr>
            <w:r>
              <w:rPr>
                <w:rFonts w:ascii="Arial" w:cs="Arial" w:eastAsia="Calibri" w:hAnsi="Arial"/>
                <w:b/>
                <w:bCs/>
                <w:szCs w:val="22"/>
              </w:rPr>
              <w:t>Conclusion:</w:t>
            </w:r>
            <w:r>
              <w:rPr>
                <w:rFonts w:ascii="Arial" w:cs="Arial" w:eastAsia="Calibri" w:hAnsi="Arial"/>
                <w:szCs w:val="22"/>
              </w:rPr>
              <w:t xml:space="preserve"> </w:t>
            </w:r>
            <w:r>
              <w:rPr>
                <w:rFonts w:ascii="Arial" w:cs="Arial" w:eastAsia="Calibri" w:hAnsi="Arial"/>
                <w:szCs w:val="22"/>
              </w:rPr>
              <w:t xml:space="preserve">The </w:t>
            </w:r>
            <w:commentRangeStart w:id="3"/>
            <w:r>
              <w:rPr>
                <w:rFonts w:ascii="Arial" w:cs="Arial" w:eastAsia="Calibri" w:hAnsi="Arial"/>
                <w:szCs w:val="22"/>
              </w:rPr>
              <w:t>results</w:t>
            </w:r>
            <w:commentRangeEnd w:id="3"/>
            <w:r>
              <w:rPr/>
              <w:commentReference w:id="3"/>
            </w:r>
            <w:r>
              <w:rPr>
                <w:rFonts w:ascii="Arial" w:cs="Arial" w:eastAsia="Calibri" w:hAnsi="Arial"/>
                <w:szCs w:val="22"/>
              </w:rPr>
              <w:t xml:space="preserve"> demonstrate that classical species identification should be based on colonies developed at different temperatures, as morphological traits vary significantly. Inoculum sources responsible for contamination and spread may differ between summer and winter crops. Furthermore, these findings contribute to explaining why certain diseases emerge earlier or later, highlighting the importance of temperature in host–pathogen interactions.</w:t>
            </w:r>
          </w:p>
        </w:tc>
      </w:tr>
    </w:tbl>
    <w:p>
      <w:pPr>
        <w:pStyle w:val="style4099"/>
        <w:spacing w:after="0"/>
        <w:rPr>
          <w:rFonts w:ascii="Arial" w:cs="Arial" w:hAnsi="Arial"/>
          <w:i/>
        </w:rPr>
      </w:pPr>
    </w:p>
    <w:p>
      <w:pPr>
        <w:pStyle w:val="style4099"/>
        <w:spacing w:after="0"/>
        <w:rPr>
          <w:rFonts w:ascii="Arial" w:cs="Arial" w:hAnsi="Arial"/>
          <w:i/>
        </w:rPr>
      </w:pPr>
      <w:r>
        <w:rPr>
          <w:rFonts w:ascii="Arial" w:cs="Arial" w:hAnsi="Arial"/>
          <w:i/>
        </w:rPr>
        <w:t xml:space="preserve">Keywords: </w:t>
      </w:r>
      <w:r>
        <w:rPr>
          <w:rFonts w:ascii="Arial" w:cs="Arial" w:hAnsi="Arial"/>
          <w:i/>
        </w:rPr>
        <w:t xml:space="preserve">Fusarium </w:t>
      </w:r>
      <w:r>
        <w:rPr>
          <w:rFonts w:ascii="Arial" w:cs="Arial" w:hAnsi="Arial"/>
          <w:i/>
        </w:rPr>
        <w:t>oxysporum</w:t>
      </w:r>
      <w:r>
        <w:rPr>
          <w:rFonts w:ascii="Arial" w:cs="Arial" w:hAnsi="Arial"/>
          <w:i/>
        </w:rPr>
        <w:t xml:space="preserve">, mycelium, macroconidia, microconidia, colony color, mycelial growth, Allium sativum </w:t>
      </w:r>
    </w:p>
    <w:p>
      <w:pPr>
        <w:pStyle w:val="style4099"/>
        <w:spacing w:after="0"/>
        <w:rPr>
          <w:rFonts w:ascii="Arial" w:cs="Arial" w:hAnsi="Arial"/>
          <w:i/>
        </w:rPr>
      </w:pPr>
    </w:p>
    <w:p>
      <w:pPr>
        <w:pStyle w:val="style4099"/>
        <w:spacing w:after="0"/>
        <w:rPr>
          <w:rFonts w:ascii="Arial" w:cs="Arial" w:hAnsi="Arial"/>
          <w:i/>
        </w:rPr>
      </w:pPr>
    </w:p>
    <w:p>
      <w:pPr>
        <w:pStyle w:val="style4100"/>
        <w:spacing w:after="0"/>
        <w:jc w:val="both"/>
        <w:rPr>
          <w:rFonts w:ascii="Arial" w:cs="Arial" w:hAnsi="Arial"/>
        </w:rPr>
      </w:pPr>
      <w:r>
        <w:rPr>
          <w:rFonts w:ascii="Arial" w:cs="Arial" w:hAnsi="Arial"/>
        </w:rPr>
        <w:t xml:space="preserve">1. </w:t>
      </w:r>
      <w:r>
        <w:rPr>
          <w:rFonts w:ascii="Arial" w:cs="Arial" w:hAnsi="Arial"/>
        </w:rPr>
        <w:t>INTRODUCTION</w:t>
      </w:r>
      <w:r>
        <w:rPr>
          <w:rFonts w:ascii="Arial" w:cs="Arial" w:hAnsi="Arial"/>
        </w:rPr>
        <w:t xml:space="preserve"> </w:t>
      </w:r>
    </w:p>
    <w:p>
      <w:pPr>
        <w:pStyle w:val="style4100"/>
        <w:spacing w:after="0"/>
        <w:jc w:val="both"/>
        <w:rPr>
          <w:rFonts w:ascii="Arial" w:cs="Arial" w:hAnsi="Arial"/>
        </w:rPr>
      </w:pPr>
    </w:p>
    <w:p>
      <w:pPr>
        <w:pStyle w:val="style4099"/>
        <w:rPr>
          <w:rFonts w:ascii="Arial" w:cs="Arial" w:hAnsi="Arial"/>
        </w:rPr>
      </w:pPr>
      <w:r>
        <w:rPr>
          <w:rFonts w:ascii="Arial" w:cs="Arial" w:hAnsi="Arial"/>
          <w:i/>
        </w:rPr>
        <w:t xml:space="preserve">Fusarium </w:t>
      </w:r>
      <w:r>
        <w:rPr>
          <w:rFonts w:ascii="Arial" w:cs="Arial" w:hAnsi="Arial"/>
          <w:i/>
        </w:rPr>
        <w:t>oxysporum</w:t>
      </w:r>
      <w:r>
        <w:rPr>
          <w:rFonts w:ascii="Arial" w:cs="Arial" w:hAnsi="Arial"/>
        </w:rPr>
        <w:t xml:space="preserve"> is one of the most well-known </w:t>
      </w:r>
      <w:r>
        <w:rPr>
          <w:rFonts w:ascii="Arial" w:cs="Arial" w:hAnsi="Arial"/>
          <w:i/>
        </w:rPr>
        <w:t>Fusarium</w:t>
      </w:r>
      <w:r>
        <w:rPr>
          <w:rFonts w:ascii="Arial" w:cs="Arial" w:hAnsi="Arial"/>
        </w:rPr>
        <w:t xml:space="preserve"> species, which has more than a hundred special forms (</w:t>
      </w:r>
      <w:r>
        <w:rPr>
          <w:rFonts w:ascii="Arial" w:cs="Arial" w:hAnsi="Arial"/>
        </w:rPr>
        <w:t>formae</w:t>
      </w:r>
      <w:r>
        <w:rPr>
          <w:rFonts w:ascii="Arial" w:cs="Arial" w:hAnsi="Arial"/>
        </w:rPr>
        <w:t xml:space="preserve"> </w:t>
      </w:r>
      <w:r>
        <w:rPr>
          <w:rFonts w:ascii="Arial" w:cs="Arial" w:hAnsi="Arial"/>
        </w:rPr>
        <w:t>speciales</w:t>
      </w:r>
      <w:r>
        <w:rPr>
          <w:rFonts w:ascii="Arial" w:cs="Arial" w:hAnsi="Arial"/>
        </w:rPr>
        <w:t xml:space="preserve">) within it. The use of the f. sp. </w:t>
      </w:r>
      <w:r>
        <w:rPr>
          <w:rFonts w:ascii="Arial" w:cs="Arial" w:hAnsi="Arial"/>
          <w:i/>
        </w:rPr>
        <w:t xml:space="preserve">in F. </w:t>
      </w:r>
      <w:r>
        <w:rPr>
          <w:rFonts w:ascii="Arial" w:cs="Arial" w:hAnsi="Arial"/>
          <w:i/>
        </w:rPr>
        <w:t>oxysporum</w:t>
      </w:r>
      <w:r>
        <w:rPr>
          <w:rFonts w:ascii="Arial" w:cs="Arial" w:hAnsi="Arial"/>
        </w:rPr>
        <w:t xml:space="preserve"> taxonomy has become a common practice due to the broad morphological differences between them </w:t>
      </w:r>
      <w:commentRangeStart w:id="4"/>
      <w:r>
        <w:rPr>
          <w:rFonts w:ascii="Arial" w:cs="Arial" w:hAnsi="Arial"/>
          <w:highlight w:val="yellow"/>
        </w:rPr>
        <w:t>(Leslie &amp; Summerell, 2006)</w:t>
      </w:r>
      <w:commentRangeEnd w:id="4"/>
      <w:r>
        <w:rPr>
          <w:highlight w:val="yellow"/>
        </w:rPr>
        <w:commentReference w:id="4"/>
      </w:r>
      <w:r>
        <w:rPr>
          <w:rFonts w:ascii="Arial" w:cs="Arial" w:hAnsi="Arial"/>
        </w:rPr>
        <w:t xml:space="preserve">.  Not only because of genetic variations, but also pathogenic strains of this species are named </w:t>
      </w:r>
      <w:r>
        <w:rPr>
          <w:rFonts w:ascii="Arial" w:cs="Arial" w:hAnsi="Arial"/>
        </w:rPr>
        <w:t>formae</w:t>
      </w:r>
      <w:r>
        <w:rPr>
          <w:rFonts w:ascii="Arial" w:cs="Arial" w:hAnsi="Arial"/>
        </w:rPr>
        <w:t xml:space="preserve"> </w:t>
      </w:r>
      <w:r>
        <w:rPr>
          <w:rFonts w:ascii="Arial" w:cs="Arial" w:hAnsi="Arial"/>
        </w:rPr>
        <w:t>speciales</w:t>
      </w:r>
      <w:r>
        <w:rPr>
          <w:rFonts w:ascii="Arial" w:cs="Arial" w:hAnsi="Arial"/>
        </w:rPr>
        <w:t xml:space="preserve"> (f. sp.) due to their pathogenic abilities in hosts that are specialized for the host or in a certain proximity </w:t>
      </w:r>
      <w:commentRangeStart w:id="5"/>
      <w:r>
        <w:rPr>
          <w:rFonts w:ascii="Arial" w:cs="Arial" w:hAnsi="Arial"/>
          <w:highlight w:val="yellow"/>
        </w:rPr>
        <w:t>(Gordon &amp; Martyn, 1997</w:t>
      </w:r>
      <w:r>
        <w:rPr>
          <w:rFonts w:ascii="Arial" w:cs="Arial" w:hAnsi="Arial"/>
        </w:rPr>
        <w:t>)</w:t>
      </w:r>
      <w:commentRangeEnd w:id="5"/>
      <w:r>
        <w:rPr/>
        <w:commentReference w:id="5"/>
      </w:r>
      <w:r>
        <w:rPr>
          <w:rFonts w:ascii="Arial" w:cs="Arial" w:hAnsi="Arial"/>
        </w:rPr>
        <w:t xml:space="preserve">. </w:t>
      </w:r>
    </w:p>
    <w:p>
      <w:pPr>
        <w:pStyle w:val="style4099"/>
        <w:rPr>
          <w:rFonts w:ascii="Arial" w:cs="Arial" w:hAnsi="Arial"/>
        </w:rPr>
      </w:pPr>
      <w:r>
        <w:rPr>
          <w:rFonts w:ascii="Arial" w:cs="Arial" w:hAnsi="Arial"/>
        </w:rPr>
        <w:t>The members of this species occur in a broad ecological niche across various geographical regions, on different hosts, worldwide</w:t>
      </w:r>
      <w:commentRangeStart w:id="6"/>
      <w:r>
        <w:rPr>
          <w:rFonts w:ascii="Arial" w:cs="Arial" w:hAnsi="Arial"/>
        </w:rPr>
        <w:t>.</w:t>
      </w:r>
      <w:commentRangeEnd w:id="6"/>
      <w:r>
        <w:rPr/>
        <w:commentReference w:id="6"/>
      </w:r>
      <w:r>
        <w:rPr>
          <w:rFonts w:ascii="Arial" w:cs="Arial" w:hAnsi="Arial"/>
        </w:rPr>
        <w:t xml:space="preserve"> There are some studies on the pathogen found in field crops, fruits, vegetables, and ornamental plants, e.g., wheat (</w:t>
      </w:r>
      <w:r>
        <w:rPr>
          <w:rFonts w:ascii="Arial" w:cs="Arial" w:hAnsi="Arial"/>
          <w:highlight w:val="yellow"/>
        </w:rPr>
        <w:t>Agha et al., 2023</w:t>
      </w:r>
      <w:r>
        <w:rPr>
          <w:rFonts w:ascii="Arial" w:cs="Arial" w:hAnsi="Arial"/>
        </w:rPr>
        <w:t>), bean (</w:t>
      </w:r>
      <w:r>
        <w:rPr>
          <w:rFonts w:ascii="Arial" w:cs="Arial" w:hAnsi="Arial"/>
          <w:highlight w:val="yellow"/>
        </w:rPr>
        <w:t>Benchimol</w:t>
      </w:r>
      <w:r>
        <w:rPr>
          <w:rFonts w:ascii="Cambria Math" w:cs="Cambria Math" w:hAnsi="Cambria Math"/>
          <w:highlight w:val="yellow"/>
        </w:rPr>
        <w:t>‐</w:t>
      </w:r>
      <w:r>
        <w:rPr>
          <w:rFonts w:ascii="Arial" w:cs="Arial" w:hAnsi="Arial"/>
          <w:highlight w:val="yellow"/>
        </w:rPr>
        <w:t>Reis et al., 2023</w:t>
      </w:r>
      <w:r>
        <w:rPr>
          <w:rFonts w:ascii="Arial" w:cs="Arial" w:hAnsi="Arial"/>
        </w:rPr>
        <w:t>), apple (</w:t>
      </w:r>
      <w:r>
        <w:rPr>
          <w:rFonts w:ascii="Arial" w:cs="Arial" w:hAnsi="Arial"/>
          <w:highlight w:val="yellow"/>
        </w:rPr>
        <w:t>Dong et al., 2024</w:t>
      </w:r>
      <w:r>
        <w:rPr>
          <w:rFonts w:ascii="Arial" w:cs="Arial" w:hAnsi="Arial"/>
        </w:rPr>
        <w:t>), citrus (</w:t>
      </w:r>
      <w:r>
        <w:rPr>
          <w:rFonts w:ascii="Arial" w:cs="Arial" w:hAnsi="Arial"/>
          <w:highlight w:val="yellow"/>
        </w:rPr>
        <w:t>Dewi et al., 2022</w:t>
      </w:r>
      <w:r>
        <w:rPr>
          <w:rFonts w:ascii="Arial" w:cs="Arial" w:hAnsi="Arial"/>
        </w:rPr>
        <w:t>), tomato (</w:t>
      </w:r>
      <w:r>
        <w:rPr>
          <w:rFonts w:ascii="Arial" w:cs="Arial" w:hAnsi="Arial"/>
          <w:highlight w:val="yellow"/>
        </w:rPr>
        <w:t>Muhorakeye et al., 2024</w:t>
      </w:r>
      <w:r>
        <w:rPr>
          <w:rFonts w:ascii="Arial" w:cs="Arial" w:hAnsi="Arial"/>
        </w:rPr>
        <w:t>)</w:t>
      </w:r>
      <w:commentRangeStart w:id="7"/>
      <w:r>
        <w:rPr>
          <w:rFonts w:ascii="Arial" w:cs="Arial" w:hAnsi="Arial"/>
        </w:rPr>
        <w:t xml:space="preserve">, </w:t>
      </w:r>
      <w:commentRangeEnd w:id="7"/>
      <w:r>
        <w:rPr/>
        <w:commentReference w:id="7"/>
      </w:r>
      <w:r>
        <w:rPr>
          <w:rFonts w:ascii="Arial" w:cs="Arial" w:hAnsi="Arial"/>
        </w:rPr>
        <w:t>carnation (</w:t>
      </w:r>
      <w:r>
        <w:rPr>
          <w:rFonts w:ascii="Arial" w:cs="Arial" w:hAnsi="Arial"/>
          <w:highlight w:val="yellow"/>
        </w:rPr>
        <w:t>Bustos-Caro et al., 2024</w:t>
      </w:r>
      <w:r>
        <w:rPr>
          <w:rFonts w:ascii="Arial" w:cs="Arial" w:hAnsi="Arial"/>
        </w:rPr>
        <w:t>)</w:t>
      </w:r>
      <w:r>
        <w:rPr>
          <w:rFonts w:ascii="Arial" w:cs="Arial" w:hAnsi="Arial"/>
          <w:color w:val="bf0000"/>
        </w:rPr>
        <w:t xml:space="preserve">, </w:t>
      </w:r>
      <w:commentRangeStart w:id="8"/>
      <w:r>
        <w:rPr>
          <w:rFonts w:ascii="Arial" w:cs="Arial" w:hAnsi="Arial"/>
          <w:color w:val="bf0000"/>
        </w:rPr>
        <w:t>etc</w:t>
      </w:r>
      <w:r>
        <w:rPr>
          <w:rFonts w:ascii="Arial" w:cs="Arial" w:hAnsi="Arial"/>
        </w:rPr>
        <w:t>.</w:t>
      </w:r>
      <w:commentRangeEnd w:id="8"/>
      <w:r>
        <w:rPr/>
        <w:commentReference w:id="8"/>
      </w:r>
      <w:r>
        <w:rPr>
          <w:rFonts w:ascii="Arial" w:cs="Arial" w:hAnsi="Arial"/>
        </w:rPr>
        <w:t xml:space="preserve"> Some of these studies are aimed at diagnosing the pathogen, some at revealing the degree of damage, and some at developing methods of protection and treatment from the pathogen. </w:t>
      </w:r>
    </w:p>
    <w:p>
      <w:pPr>
        <w:pStyle w:val="style4099"/>
        <w:rPr>
          <w:rFonts w:ascii="Arial" w:cs="Arial" w:hAnsi="Arial"/>
        </w:rPr>
      </w:pPr>
      <w:r>
        <w:rPr>
          <w:rFonts w:ascii="Arial" w:cs="Arial" w:hAnsi="Arial"/>
        </w:rPr>
        <w:t xml:space="preserve">To date, numerous studies have been conducted on both the environmental factors that affect the development of </w:t>
      </w:r>
      <w:r>
        <w:rPr>
          <w:rFonts w:ascii="Arial" w:cs="Arial" w:hAnsi="Arial"/>
          <w:i/>
        </w:rPr>
        <w:t>Fusarium</w:t>
      </w:r>
      <w:r>
        <w:rPr>
          <w:rFonts w:ascii="Arial" w:cs="Arial" w:hAnsi="Arial"/>
        </w:rPr>
        <w:t xml:space="preserve"> species, in addition to the techniques and methods used in their control (</w:t>
      </w:r>
      <w:r>
        <w:rPr>
          <w:rFonts w:ascii="Arial" w:cs="Arial" w:hAnsi="Arial"/>
          <w:highlight w:val="yellow"/>
        </w:rPr>
        <w:t>Ajmal et al., 2022</w:t>
      </w:r>
      <w:r>
        <w:rPr>
          <w:rFonts w:ascii="Arial" w:cs="Arial" w:hAnsi="Arial"/>
        </w:rPr>
        <w:t xml:space="preserve">). For instance, the stimulation of UV-A radiation to tolerance against </w:t>
      </w:r>
      <w:r>
        <w:rPr>
          <w:rFonts w:ascii="Arial" w:cs="Arial" w:hAnsi="Arial"/>
          <w:i/>
        </w:rPr>
        <w:t xml:space="preserve">F. </w:t>
      </w:r>
      <w:r>
        <w:rPr>
          <w:rFonts w:ascii="Arial" w:cs="Arial" w:hAnsi="Arial"/>
          <w:i/>
        </w:rPr>
        <w:t>oxysporum</w:t>
      </w:r>
      <w:r>
        <w:rPr>
          <w:rFonts w:ascii="Arial" w:cs="Arial" w:hAnsi="Arial"/>
        </w:rPr>
        <w:t xml:space="preserve"> f. sp. </w:t>
      </w:r>
      <w:commentRangeStart w:id="9"/>
      <w:r>
        <w:rPr>
          <w:rFonts w:ascii="Arial" w:cs="Arial" w:hAnsi="Arial"/>
        </w:rPr>
        <w:t>lycopersici</w:t>
      </w:r>
      <w:commentRangeEnd w:id="9"/>
      <w:r>
        <w:rPr/>
        <w:commentReference w:id="9"/>
      </w:r>
      <w:r>
        <w:rPr>
          <w:rFonts w:ascii="Arial" w:cs="Arial" w:hAnsi="Arial"/>
        </w:rPr>
        <w:t xml:space="preserve"> (</w:t>
      </w:r>
      <w:r>
        <w:rPr>
          <w:rFonts w:ascii="Arial" w:cs="Arial" w:hAnsi="Arial"/>
          <w:highlight w:val="yellow"/>
        </w:rPr>
        <w:t>González-García et al., 2023</w:t>
      </w:r>
      <w:r>
        <w:rPr>
          <w:rFonts w:ascii="Arial" w:cs="Arial" w:hAnsi="Arial"/>
        </w:rPr>
        <w:t xml:space="preserve">), usage of macro-elements and iron for controlling </w:t>
      </w:r>
      <w:r>
        <w:rPr>
          <w:rFonts w:ascii="Arial" w:cs="Arial" w:hAnsi="Arial"/>
          <w:i/>
        </w:rPr>
        <w:t xml:space="preserve">F. </w:t>
      </w:r>
      <w:r>
        <w:rPr>
          <w:rFonts w:ascii="Arial" w:cs="Arial" w:hAnsi="Arial"/>
          <w:i/>
        </w:rPr>
        <w:t>oxysporum</w:t>
      </w:r>
      <w:r>
        <w:rPr>
          <w:rFonts w:ascii="Arial" w:cs="Arial" w:hAnsi="Arial"/>
        </w:rPr>
        <w:t xml:space="preserve"> in soybean (</w:t>
      </w:r>
      <w:r>
        <w:rPr>
          <w:rFonts w:ascii="Arial" w:cs="Arial" w:hAnsi="Arial"/>
          <w:highlight w:val="yellow"/>
        </w:rPr>
        <w:t>Cai et al., 2020</w:t>
      </w:r>
      <w:r>
        <w:rPr>
          <w:rFonts w:ascii="Arial" w:cs="Arial" w:hAnsi="Arial"/>
        </w:rPr>
        <w:t xml:space="preserve">), temperature response of chickpea to </w:t>
      </w:r>
      <w:r>
        <w:rPr>
          <w:rFonts w:ascii="Arial" w:cs="Arial" w:hAnsi="Arial"/>
          <w:i/>
        </w:rPr>
        <w:t xml:space="preserve">F. </w:t>
      </w:r>
      <w:r>
        <w:rPr>
          <w:rFonts w:ascii="Arial" w:cs="Arial" w:hAnsi="Arial"/>
          <w:i/>
        </w:rPr>
        <w:t>oxysporum</w:t>
      </w:r>
      <w:r>
        <w:rPr>
          <w:rFonts w:ascii="Arial" w:cs="Arial" w:hAnsi="Arial"/>
        </w:rPr>
        <w:t xml:space="preserve"> f sp. </w:t>
      </w:r>
      <w:commentRangeStart w:id="10"/>
      <w:r>
        <w:rPr>
          <w:rFonts w:ascii="Arial" w:cs="Arial" w:hAnsi="Arial"/>
        </w:rPr>
        <w:t>ciceris</w:t>
      </w:r>
      <w:commentRangeEnd w:id="10"/>
      <w:r>
        <w:rPr/>
        <w:commentReference w:id="10"/>
      </w:r>
      <w:r>
        <w:rPr>
          <w:rFonts w:ascii="Arial" w:cs="Arial" w:hAnsi="Arial"/>
        </w:rPr>
        <w:t xml:space="preserve"> (</w:t>
      </w:r>
      <w:r>
        <w:rPr>
          <w:rFonts w:ascii="Arial" w:cs="Arial" w:hAnsi="Arial"/>
          <w:highlight w:val="yellow"/>
        </w:rPr>
        <w:t>Landa et al., 2006</w:t>
      </w:r>
      <w:r>
        <w:rPr>
          <w:rFonts w:ascii="Arial" w:cs="Arial" w:hAnsi="Arial"/>
        </w:rPr>
        <w:t xml:space="preserve">), </w:t>
      </w:r>
      <w:commentRangeStart w:id="11"/>
      <w:r>
        <w:rPr>
          <w:rFonts w:ascii="Arial" w:cs="Arial" w:hAnsi="Arial"/>
          <w:color w:val="bf0000"/>
        </w:rPr>
        <w:t>etc.,</w:t>
      </w:r>
      <w:commentRangeEnd w:id="11"/>
      <w:r>
        <w:rPr/>
        <w:commentReference w:id="11"/>
      </w:r>
      <w:r>
        <w:rPr>
          <w:rFonts w:ascii="Arial" w:cs="Arial" w:hAnsi="Arial"/>
        </w:rPr>
        <w:t xml:space="preserve"> were studied as abiotic environmental factors and </w:t>
      </w:r>
      <w:r>
        <w:rPr>
          <w:rFonts w:ascii="Arial" w:cs="Arial" w:hAnsi="Arial"/>
          <w:i/>
        </w:rPr>
        <w:t xml:space="preserve">F. </w:t>
      </w:r>
      <w:r>
        <w:rPr>
          <w:rFonts w:ascii="Arial" w:cs="Arial" w:hAnsi="Arial"/>
          <w:i/>
        </w:rPr>
        <w:t>oxysporum</w:t>
      </w:r>
      <w:r>
        <w:rPr>
          <w:rFonts w:ascii="Arial" w:cs="Arial" w:hAnsi="Arial"/>
        </w:rPr>
        <w:t xml:space="preserve"> interaction in the scientific area. </w:t>
      </w:r>
    </w:p>
    <w:p>
      <w:pPr>
        <w:pStyle w:val="style4099"/>
        <w:rPr>
          <w:rFonts w:ascii="Arial" w:cs="Arial" w:hAnsi="Arial"/>
        </w:rPr>
      </w:pPr>
      <w:r>
        <w:rPr>
          <w:rFonts w:ascii="Arial" w:cs="Arial" w:hAnsi="Arial"/>
        </w:rPr>
        <w:t xml:space="preserve">Studies about fungal morphology and growth of </w:t>
      </w:r>
      <w:r>
        <w:rPr>
          <w:rFonts w:ascii="Arial" w:cs="Arial" w:hAnsi="Arial"/>
          <w:i/>
        </w:rPr>
        <w:t xml:space="preserve">F. </w:t>
      </w:r>
      <w:r>
        <w:rPr>
          <w:rFonts w:ascii="Arial" w:cs="Arial" w:hAnsi="Arial"/>
          <w:i/>
        </w:rPr>
        <w:t>oxysporum</w:t>
      </w:r>
      <w:r>
        <w:rPr>
          <w:rFonts w:ascii="Arial" w:cs="Arial" w:hAnsi="Arial"/>
        </w:rPr>
        <w:t xml:space="preserve"> indicate that there are some more or less differences between the </w:t>
      </w:r>
      <w:r>
        <w:rPr>
          <w:rFonts w:ascii="Arial" w:cs="Arial" w:hAnsi="Arial"/>
        </w:rPr>
        <w:t>formae</w:t>
      </w:r>
      <w:r>
        <w:rPr>
          <w:rFonts w:ascii="Arial" w:cs="Arial" w:hAnsi="Arial"/>
        </w:rPr>
        <w:t xml:space="preserve"> </w:t>
      </w:r>
      <w:commentRangeStart w:id="12"/>
      <w:r>
        <w:rPr>
          <w:rFonts w:ascii="Arial" w:cs="Arial" w:hAnsi="Arial"/>
        </w:rPr>
        <w:t>species</w:t>
      </w:r>
      <w:commentRangeEnd w:id="12"/>
      <w:r>
        <w:rPr/>
        <w:commentReference w:id="12"/>
      </w:r>
      <w:r>
        <w:rPr>
          <w:rFonts w:ascii="Arial" w:cs="Arial" w:hAnsi="Arial"/>
        </w:rPr>
        <w:t xml:space="preserve">, even isolates, as related to hosts and working environments </w:t>
      </w:r>
      <w:commentRangeStart w:id="13"/>
      <w:r>
        <w:rPr>
          <w:rFonts w:ascii="Arial" w:cs="Arial" w:hAnsi="Arial"/>
        </w:rPr>
        <w:t>(</w:t>
      </w:r>
      <w:r>
        <w:rPr>
          <w:rFonts w:ascii="Arial" w:cs="Arial" w:hAnsi="Arial"/>
          <w:highlight w:val="yellow"/>
        </w:rPr>
        <w:t>Cha et al., 2007</w:t>
      </w:r>
      <w:r>
        <w:rPr>
          <w:rFonts w:ascii="Arial" w:cs="Arial" w:hAnsi="Arial"/>
        </w:rPr>
        <w:t xml:space="preserve">; </w:t>
      </w:r>
      <w:r>
        <w:rPr>
          <w:rFonts w:ascii="Arial" w:cs="Arial" w:hAnsi="Arial"/>
          <w:highlight w:val="yellow"/>
        </w:rPr>
        <w:t>Teixeira et al., 2017</w:t>
      </w:r>
      <w:r>
        <w:rPr>
          <w:rFonts w:ascii="Arial" w:cs="Arial" w:hAnsi="Arial"/>
        </w:rPr>
        <w:t xml:space="preserve">; </w:t>
      </w:r>
      <w:r>
        <w:rPr>
          <w:rFonts w:ascii="Arial" w:cs="Arial" w:hAnsi="Arial"/>
          <w:highlight w:val="yellow"/>
        </w:rPr>
        <w:t>Hussain et al., 2012</w:t>
      </w:r>
      <w:r>
        <w:rPr>
          <w:rFonts w:ascii="Arial" w:cs="Arial" w:hAnsi="Arial"/>
        </w:rPr>
        <w:t>)</w:t>
      </w:r>
      <w:commentRangeEnd w:id="13"/>
      <w:r>
        <w:rPr/>
        <w:commentReference w:id="13"/>
      </w:r>
      <w:r>
        <w:rPr>
          <w:rFonts w:ascii="Arial" w:cs="Arial" w:hAnsi="Arial"/>
        </w:rPr>
        <w:t>.</w:t>
      </w:r>
    </w:p>
    <w:p>
      <w:pPr>
        <w:pStyle w:val="style4099"/>
        <w:spacing w:after="0"/>
        <w:rPr>
          <w:rFonts w:ascii="Arial" w:cs="Arial" w:hAnsi="Arial"/>
        </w:rPr>
      </w:pPr>
      <w:r>
        <w:rPr>
          <w:rFonts w:ascii="Arial" w:cs="Arial" w:hAnsi="Arial"/>
        </w:rPr>
        <w:t>It is possible to say that these morphological differences in many fungal species are not only genetic, but also environmental factors can mislead the diagnosis based on classical morphology</w:t>
      </w:r>
      <w:commentRangeStart w:id="14"/>
      <w:r>
        <w:rPr>
          <w:rFonts w:ascii="Arial" w:cs="Arial" w:hAnsi="Arial"/>
        </w:rPr>
        <w:t>.</w:t>
      </w:r>
      <w:commentRangeEnd w:id="14"/>
      <w:r>
        <w:rPr/>
        <w:commentReference w:id="14"/>
      </w:r>
      <w:r>
        <w:rPr>
          <w:rFonts w:ascii="Arial" w:cs="Arial" w:hAnsi="Arial"/>
        </w:rPr>
        <w:t xml:space="preserve"> For this reason, if screening is not conducted at the molecular level, it would be correct to make characterizations based on definitions under various environmental factors. For this purpose, this study aimed to reveal the effect of one of the most important environmental factors, ambient temperature, on the morphology and colony color of </w:t>
      </w:r>
      <w:r>
        <w:rPr>
          <w:rFonts w:ascii="Arial" w:cs="Arial" w:hAnsi="Arial"/>
          <w:i/>
        </w:rPr>
        <w:t xml:space="preserve">F. </w:t>
      </w:r>
      <w:r>
        <w:rPr>
          <w:rFonts w:ascii="Arial" w:cs="Arial" w:hAnsi="Arial"/>
          <w:i/>
        </w:rPr>
        <w:t>oxysporum</w:t>
      </w:r>
      <w:r>
        <w:rPr>
          <w:rFonts w:ascii="Arial" w:cs="Arial" w:hAnsi="Arial"/>
          <w:i/>
        </w:rPr>
        <w:t xml:space="preserve"> </w:t>
      </w:r>
      <w:r>
        <w:rPr>
          <w:rFonts w:ascii="Arial" w:cs="Arial" w:hAnsi="Arial"/>
        </w:rPr>
        <w:t xml:space="preserve">developing </w:t>
      </w:r>
      <w:r>
        <w:rPr>
          <w:rFonts w:ascii="Arial" w:cs="Arial" w:hAnsi="Arial"/>
          <w:i/>
        </w:rPr>
        <w:t>in vitro</w:t>
      </w:r>
      <w:r>
        <w:rPr>
          <w:rFonts w:ascii="Arial" w:cs="Arial" w:hAnsi="Arial"/>
        </w:rPr>
        <w:t>.</w:t>
      </w:r>
    </w:p>
    <w:p>
      <w:pPr>
        <w:pStyle w:val="style4099"/>
        <w:spacing w:after="0"/>
        <w:rPr>
          <w:rFonts w:ascii="Arial" w:cs="Arial" w:hAnsi="Arial"/>
        </w:rPr>
      </w:pPr>
    </w:p>
    <w:p>
      <w:pPr>
        <w:pStyle w:val="style4100"/>
        <w:spacing w:after="0"/>
        <w:jc w:val="both"/>
        <w:rPr>
          <w:rFonts w:ascii="Arial" w:cs="Arial" w:hAnsi="Arial"/>
        </w:rPr>
      </w:pPr>
      <w:r>
        <w:rPr>
          <w:rFonts w:ascii="Arial" w:cs="Arial" w:hAnsi="Arial"/>
        </w:rPr>
        <w:t>2. material and method</w:t>
      </w:r>
      <w:r>
        <w:rPr>
          <w:rFonts w:ascii="Arial" w:cs="Arial" w:hAnsi="Arial"/>
        </w:rPr>
        <w:t xml:space="preserve">s </w:t>
      </w:r>
    </w:p>
    <w:p>
      <w:pPr>
        <w:pStyle w:val="style4100"/>
        <w:spacing w:after="0"/>
        <w:jc w:val="both"/>
        <w:rPr>
          <w:rFonts w:ascii="Arial" w:cs="Arial" w:hAnsi="Arial"/>
        </w:rPr>
      </w:pPr>
    </w:p>
    <w:p>
      <w:pPr>
        <w:pStyle w:val="style4099"/>
        <w:rPr>
          <w:rFonts w:ascii="Arial" w:cs="Arial" w:hAnsi="Arial"/>
        </w:rPr>
      </w:pPr>
      <w:r>
        <w:rPr>
          <w:rFonts w:ascii="Arial" w:cs="Arial" w:hAnsi="Arial"/>
        </w:rPr>
        <w:t xml:space="preserve">This study was conducted in response to the intense complaint of a farmer. Except for sample collection, the experiment was performed at the Phytopathology Laboratory of </w:t>
      </w:r>
      <w:r>
        <w:rPr>
          <w:rFonts w:ascii="Arial" w:cs="Arial" w:hAnsi="Arial"/>
        </w:rPr>
        <w:t>Kocaeli</w:t>
      </w:r>
      <w:r>
        <w:rPr>
          <w:rFonts w:ascii="Arial" w:cs="Arial" w:hAnsi="Arial"/>
        </w:rPr>
        <w:t xml:space="preserve"> University of </w:t>
      </w:r>
      <w:r>
        <w:rPr>
          <w:rFonts w:ascii="Arial" w:cs="Arial" w:hAnsi="Arial"/>
        </w:rPr>
        <w:t>Türkiye</w:t>
      </w:r>
      <w:r>
        <w:rPr>
          <w:rFonts w:ascii="Arial" w:cs="Arial" w:hAnsi="Arial"/>
        </w:rPr>
        <w:t xml:space="preserve">. The fifteen </w:t>
      </w:r>
      <w:r>
        <w:rPr>
          <w:rFonts w:ascii="Arial" w:cs="Arial" w:hAnsi="Arial"/>
          <w:i/>
        </w:rPr>
        <w:t xml:space="preserve">F. </w:t>
      </w:r>
      <w:r>
        <w:rPr>
          <w:rFonts w:ascii="Arial" w:cs="Arial" w:hAnsi="Arial"/>
          <w:i/>
        </w:rPr>
        <w:t>oxysporum</w:t>
      </w:r>
      <w:r>
        <w:rPr>
          <w:rFonts w:ascii="Arial" w:cs="Arial" w:hAnsi="Arial"/>
        </w:rPr>
        <w:t xml:space="preserve"> isolates from diseased garlic plants from only one farm, which is three thousand square meters in </w:t>
      </w:r>
      <w:r>
        <w:rPr>
          <w:rFonts w:ascii="Arial" w:cs="Arial" w:hAnsi="Arial"/>
        </w:rPr>
        <w:t>Kastamonu</w:t>
      </w:r>
      <w:r>
        <w:rPr>
          <w:rFonts w:ascii="Arial" w:cs="Arial" w:hAnsi="Arial"/>
        </w:rPr>
        <w:t>, a renowned garlic production city, were found to be pathogenic in pathogenicity tests. The isolates showed identity according to morphological identification tests (</w:t>
      </w:r>
      <w:r>
        <w:rPr>
          <w:rFonts w:ascii="Arial" w:cs="Arial" w:hAnsi="Arial"/>
          <w:highlight w:val="yellow"/>
        </w:rPr>
        <w:t>Leslie &amp; Summerell, 2006</w:t>
      </w:r>
      <w:r>
        <w:rPr>
          <w:rFonts w:ascii="Arial" w:cs="Arial" w:hAnsi="Arial"/>
        </w:rPr>
        <w:t xml:space="preserve">), which were done under a microscope after fifteen days of incubation in PDA medium.  </w:t>
      </w:r>
      <w:commentRangeStart w:id="15"/>
      <w:r>
        <w:rPr>
          <w:rFonts w:ascii="Arial" w:cs="Arial" w:hAnsi="Arial"/>
        </w:rPr>
        <w:t xml:space="preserve">A molecular analysis confirmed the isolate as </w:t>
      </w:r>
      <w:r>
        <w:rPr>
          <w:rFonts w:ascii="Arial" w:cs="Arial" w:hAnsi="Arial"/>
          <w:i/>
        </w:rPr>
        <w:t xml:space="preserve">F. </w:t>
      </w:r>
      <w:r>
        <w:rPr>
          <w:rFonts w:ascii="Arial" w:cs="Arial" w:hAnsi="Arial"/>
          <w:i/>
        </w:rPr>
        <w:t>oxysporum</w:t>
      </w:r>
      <w:r>
        <w:rPr>
          <w:rFonts w:ascii="Arial" w:cs="Arial" w:hAnsi="Arial"/>
        </w:rPr>
        <w:t xml:space="preserve"> with high similarity in the NCBI database</w:t>
      </w:r>
      <w:commentRangeEnd w:id="15"/>
      <w:r>
        <w:rPr/>
        <w:commentReference w:id="15"/>
      </w:r>
      <w:r>
        <w:rPr>
          <w:rFonts w:ascii="Arial" w:cs="Arial" w:hAnsi="Arial"/>
        </w:rPr>
        <w:t>. This isolate was subsequently used in the experiment. Mycelial growth was determined using 5 mm diameter PDA medium disks obtained from eight-day-old fresh colonies, which were then transferred to 9 cm diameter Petri dishes containing PDA and kept under different temperature regimes: 20 °C and 27 °C, in two incubators under darkness. All features, such as morphology, pigmentation, and growth rates, were evaluated on PDA (</w:t>
      </w:r>
      <w:r>
        <w:rPr>
          <w:rFonts w:ascii="Arial" w:cs="Arial" w:hAnsi="Arial"/>
          <w:highlight w:val="yellow"/>
        </w:rPr>
        <w:t>Sandoval-Denis et al., 2018</w:t>
      </w:r>
      <w:r>
        <w:rPr>
          <w:rFonts w:ascii="Arial" w:cs="Arial" w:hAnsi="Arial"/>
        </w:rPr>
        <w:t xml:space="preserve">; </w:t>
      </w:r>
      <w:r>
        <w:rPr>
          <w:rFonts w:ascii="Arial" w:cs="Arial" w:hAnsi="Arial"/>
          <w:highlight w:val="yellow"/>
        </w:rPr>
        <w:t>Lombard et al., 2019</w:t>
      </w:r>
      <w:r>
        <w:rPr>
          <w:rFonts w:ascii="Arial" w:cs="Arial" w:hAnsi="Arial"/>
        </w:rPr>
        <w:t xml:space="preserve">). Mycelial growth and colony color at the front and back sides of Petri dishes were evaluated every </w:t>
      </w:r>
      <w:r>
        <w:rPr>
          <w:rFonts w:ascii="Arial" w:cs="Arial" w:hAnsi="Arial"/>
        </w:rPr>
        <w:t>three</w:t>
      </w:r>
      <w:r>
        <w:rPr>
          <w:rFonts w:ascii="Arial" w:cs="Arial" w:hAnsi="Arial"/>
        </w:rPr>
        <w:t xml:space="preserve"> days, for </w:t>
      </w:r>
      <w:r>
        <w:rPr>
          <w:rFonts w:ascii="Arial" w:cs="Arial" w:hAnsi="Arial"/>
        </w:rPr>
        <w:t>nine</w:t>
      </w:r>
      <w:r>
        <w:rPr>
          <w:rFonts w:ascii="Arial" w:cs="Arial" w:hAnsi="Arial"/>
        </w:rPr>
        <w:t xml:space="preserve"> days, and after three measurements, the study ended on the 9th day. Colony diameters were measured with a ruler and color measurements were done with two methods. One of these was the visual scale (through the sense of sight) as points given (White=1 to Dark </w:t>
      </w:r>
      <w:r>
        <w:rPr>
          <w:rFonts w:ascii="Arial" w:cs="Arial" w:hAnsi="Arial"/>
        </w:rPr>
        <w:t>bordeaux</w:t>
      </w:r>
      <w:r>
        <w:rPr>
          <w:rFonts w:ascii="Arial" w:cs="Arial" w:hAnsi="Arial"/>
        </w:rPr>
        <w:t xml:space="preserve">=5), and the second one was optical measurements using the </w:t>
      </w:r>
      <w:r>
        <w:rPr>
          <w:rFonts w:ascii="Arial" w:cs="Arial" w:hAnsi="Arial"/>
        </w:rPr>
        <w:t>IrfanView</w:t>
      </w:r>
      <w:r>
        <w:rPr>
          <w:rFonts w:ascii="Arial" w:cs="Arial" w:hAnsi="Arial"/>
        </w:rPr>
        <w:t xml:space="preserve"> digital image processing program, which is a freeware program (http://www.irfanview.com). The program was used to calculate RGB values (Red-Green-Blue) for each pixel, ranging from 0 to 255, and combined to define each pixel’s color (</w:t>
      </w:r>
      <w:r>
        <w:rPr>
          <w:rFonts w:ascii="Arial" w:cs="Arial" w:hAnsi="Arial"/>
          <w:highlight w:val="yellow"/>
        </w:rPr>
        <w:t>Obert et al., 2023</w:t>
      </w:r>
      <w:r>
        <w:rPr>
          <w:rFonts w:ascii="Arial" w:cs="Arial" w:hAnsi="Arial"/>
        </w:rPr>
        <w:t>).</w:t>
      </w:r>
    </w:p>
    <w:p>
      <w:pPr>
        <w:pStyle w:val="style4099"/>
        <w:rPr>
          <w:rFonts w:ascii="Arial" w:cs="Arial" w:hAnsi="Arial"/>
        </w:rPr>
      </w:pPr>
      <w:r>
        <w:rPr>
          <w:rFonts w:ascii="Arial" w:cs="Arial" w:hAnsi="Arial"/>
        </w:rPr>
        <w:t xml:space="preserve">Macroconidia, microconidia, and mycelium were measured on the 15th day of incubation by adding 10 mL sterile distilled water to each Petri dish. Colonies were scraped using a </w:t>
      </w:r>
      <w:r>
        <w:rPr>
          <w:rFonts w:ascii="Arial" w:cs="Arial" w:hAnsi="Arial"/>
        </w:rPr>
        <w:t>Drigalski</w:t>
      </w:r>
      <w:r>
        <w:rPr>
          <w:rFonts w:ascii="Arial" w:cs="Arial" w:hAnsi="Arial"/>
        </w:rPr>
        <w:t xml:space="preserve"> spatula and filtered. The filtered solutions were observed under light microscope. Besides the two types of spores, the mycelial part was also observed and photographed directly under a microscope with 40</w:t>
      </w:r>
      <w:r>
        <w:rPr>
          <w:rFonts w:ascii="Arial" w:cs="Arial" w:hAnsi="Arial"/>
        </w:rPr>
        <w:t>x</w:t>
      </w:r>
      <w:r>
        <w:rPr>
          <w:rFonts w:ascii="Arial" w:cs="Arial" w:hAnsi="Arial"/>
        </w:rPr>
        <w:t xml:space="preserve"> magnification. </w:t>
      </w:r>
    </w:p>
    <w:p>
      <w:pPr>
        <w:pStyle w:val="style4099"/>
        <w:spacing w:after="0"/>
        <w:rPr>
          <w:rFonts w:ascii="Arial" w:cs="Arial" w:hAnsi="Arial"/>
        </w:rPr>
      </w:pPr>
      <w:r>
        <w:rPr>
          <w:rFonts w:ascii="Arial" w:cs="Arial" w:hAnsi="Arial"/>
        </w:rPr>
        <w:t xml:space="preserve">The program SPSS 16.0 (SPSS Inc., Chicago, IL, USA) was applied for the analysis of the results with the ANOVA procedure. The experiments were carried out in a completely randomized design comprising eight replicates. The Tukey Test was used to determine the significant differences between treatments (at least </w:t>
      </w:r>
      <w:r>
        <w:rPr>
          <w:rFonts w:ascii="Arial" w:cs="Arial" w:hAnsi="Arial"/>
          <w:i/>
        </w:rPr>
        <w:t>P</w:t>
      </w:r>
      <w:r>
        <w:rPr>
          <w:rFonts w:ascii="Arial" w:cs="Arial" w:hAnsi="Arial"/>
        </w:rPr>
        <w:t xml:space="preserve"> = 0.05). The results in the tables were represented as the mean ± standard error.</w:t>
      </w:r>
    </w:p>
    <w:p>
      <w:pPr>
        <w:pStyle w:val="style4099"/>
        <w:spacing w:after="0"/>
        <w:rPr>
          <w:rFonts w:ascii="Arial" w:cs="Arial" w:hAnsi="Arial"/>
        </w:rPr>
      </w:pPr>
    </w:p>
    <w:p>
      <w:pPr>
        <w:pStyle w:val="style4099"/>
        <w:spacing w:after="0"/>
        <w:rPr>
          <w:rFonts w:ascii="Arial" w:cs="Arial" w:hAnsi="Arial"/>
        </w:rPr>
      </w:pPr>
    </w:p>
    <w:p>
      <w:pPr>
        <w:pStyle w:val="style4110"/>
        <w:spacing w:after="0"/>
        <w:jc w:val="both"/>
        <w:rPr>
          <w:rFonts w:ascii="Arial" w:cs="Arial" w:hAnsi="Arial"/>
        </w:rPr>
      </w:pPr>
      <w:r>
        <w:rPr>
          <w:rFonts w:ascii="Arial" w:cs="Arial" w:hAnsi="Arial"/>
        </w:rPr>
        <w:t>3</w:t>
      </w:r>
      <w:r>
        <w:rPr>
          <w:rFonts w:ascii="Arial" w:cs="Arial" w:hAnsi="Arial"/>
        </w:rPr>
        <w:t xml:space="preserve">. </w:t>
      </w:r>
      <w:r>
        <w:rPr>
          <w:rFonts w:ascii="Arial" w:cs="Arial" w:hAnsi="Arial"/>
        </w:rPr>
        <w:t>results and discussion</w:t>
      </w:r>
    </w:p>
    <w:p>
      <w:pPr>
        <w:pStyle w:val="style4110"/>
        <w:spacing w:after="0"/>
        <w:jc w:val="both"/>
        <w:rPr>
          <w:rFonts w:ascii="Arial" w:cs="Arial" w:hAnsi="Arial"/>
        </w:rPr>
      </w:pPr>
    </w:p>
    <w:p>
      <w:pPr>
        <w:pStyle w:val="style4099"/>
        <w:spacing w:after="0"/>
        <w:rPr>
          <w:rFonts w:ascii="Arial" w:cs="Arial" w:hAnsi="Arial"/>
        </w:rPr>
      </w:pPr>
      <w:r>
        <w:rPr>
          <w:rFonts w:ascii="Arial" w:cs="Arial" w:hAnsi="Arial"/>
        </w:rPr>
        <w:t xml:space="preserve">The colony diameters, mycelial growth rate, and colony colors of </w:t>
      </w:r>
      <w:r>
        <w:rPr>
          <w:rFonts w:ascii="Arial" w:cs="Arial" w:hAnsi="Arial"/>
          <w:i/>
        </w:rPr>
        <w:t xml:space="preserve">F. </w:t>
      </w:r>
      <w:r>
        <w:rPr>
          <w:rFonts w:ascii="Arial" w:cs="Arial" w:hAnsi="Arial"/>
          <w:i/>
        </w:rPr>
        <w:t>oxysporum</w:t>
      </w:r>
      <w:r>
        <w:rPr>
          <w:rFonts w:ascii="Arial" w:cs="Arial" w:hAnsi="Arial"/>
        </w:rPr>
        <w:t xml:space="preserve"> from garlic were observed, measured, and evaluated on the 3rd, 6th, and 9th days of culture. The data indicated that the colony diameter was statistically higher at 27 °C than at 20 °C on all measurement days (Table 1, Figure</w:t>
      </w:r>
      <w:r>
        <w:rPr>
          <w:rFonts w:ascii="Arial" w:cs="Arial" w:hAnsi="Arial"/>
        </w:rPr>
        <w:t>s</w:t>
      </w:r>
      <w:r>
        <w:rPr>
          <w:rFonts w:ascii="Arial" w:cs="Arial" w:hAnsi="Arial"/>
        </w:rPr>
        <w:t xml:space="preserve"> 1</w:t>
      </w:r>
      <w:r>
        <w:rPr>
          <w:rFonts w:ascii="Arial" w:cs="Arial" w:hAnsi="Arial"/>
        </w:rPr>
        <w:t xml:space="preserve"> </w:t>
      </w:r>
      <w:r>
        <w:rPr>
          <w:rFonts w:ascii="Arial" w:cs="Arial" w:hAnsi="Arial"/>
        </w:rPr>
        <w:t>&amp;</w:t>
      </w:r>
      <w:r>
        <w:rPr>
          <w:rFonts w:ascii="Arial" w:cs="Arial" w:hAnsi="Arial"/>
        </w:rPr>
        <w:t xml:space="preserve"> </w:t>
      </w:r>
      <w:r>
        <w:rPr>
          <w:rFonts w:ascii="Arial" w:cs="Arial" w:hAnsi="Arial"/>
        </w:rPr>
        <w:t>3</w:t>
      </w:r>
      <w:r>
        <w:rPr>
          <w:rFonts w:ascii="Arial" w:cs="Arial" w:hAnsi="Arial"/>
        </w:rPr>
        <w:t>). However, while faster mycelial growth was observed in the first half of incubation at 27 °C, this speed decreased in later periods, and faster development was observed in the second half of the incubation at 20 °C, in contrast to the heat application (Table 2, Figure</w:t>
      </w:r>
      <w:r>
        <w:rPr>
          <w:rFonts w:ascii="Arial" w:cs="Arial" w:hAnsi="Arial"/>
        </w:rPr>
        <w:t xml:space="preserve"> 3</w:t>
      </w:r>
      <w:r>
        <w:rPr>
          <w:rFonts w:ascii="Arial" w:cs="Arial" w:hAnsi="Arial"/>
        </w:rPr>
        <w:t xml:space="preserve">).      </w:t>
      </w:r>
    </w:p>
    <w:p>
      <w:pPr>
        <w:pStyle w:val="style4099"/>
        <w:spacing w:after="0"/>
        <w:rPr>
          <w:rFonts w:ascii="Arial" w:cs="Arial" w:hAnsi="Arial"/>
        </w:rPr>
      </w:pPr>
    </w:p>
    <w:p>
      <w:pPr>
        <w:pStyle w:val="style4099"/>
        <w:spacing w:after="0"/>
        <w:rPr>
          <w:rFonts w:ascii="Arial" w:cs="Arial" w:hAnsi="Arial"/>
        </w:rPr>
      </w:pPr>
      <w:r>
        <w:rPr>
          <w:rFonts w:ascii="Arial" w:cs="Arial" w:hAnsi="Arial"/>
          <w:noProof/>
        </w:rPr>
        <w:drawing>
          <wp:inline distL="0" distT="0" distB="0" distR="0">
            <wp:extent cx="5277485" cy="7192645"/>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l="0" t="0" r="0" b="0"/>
                    <a:stretch/>
                  </pic:blipFill>
                  <pic:spPr>
                    <a:xfrm rot="0">
                      <a:off x="0" y="0"/>
                      <a:ext cx="5277485" cy="7192645"/>
                    </a:xfrm>
                    <a:prstGeom prst="rect"/>
                  </pic:spPr>
                </pic:pic>
              </a:graphicData>
            </a:graphic>
          </wp:inline>
        </w:drawing>
      </w:r>
    </w:p>
    <w:p>
      <w:pPr>
        <w:pStyle w:val="style4099"/>
        <w:spacing w:after="0"/>
        <w:rPr>
          <w:rFonts w:ascii="Arial" w:cs="Arial" w:hAnsi="Arial"/>
        </w:rPr>
      </w:pPr>
    </w:p>
    <w:p>
      <w:pPr>
        <w:pStyle w:val="style4099"/>
        <w:spacing w:after="0"/>
        <w:rPr>
          <w:rFonts w:ascii="Arial" w:cs="Arial" w:hAnsi="Arial"/>
          <w:b/>
        </w:rPr>
      </w:pPr>
      <w:r>
        <w:rPr>
          <w:rFonts w:ascii="Arial" w:cs="Arial" w:hAnsi="Arial"/>
          <w:b/>
        </w:rPr>
        <w:t>Fig</w:t>
      </w:r>
      <w:r>
        <w:rPr>
          <w:rFonts w:ascii="Arial" w:cs="Arial" w:hAnsi="Arial"/>
          <w:b/>
        </w:rPr>
        <w:t>.</w:t>
      </w:r>
      <w:r>
        <w:rPr>
          <w:rFonts w:ascii="Arial" w:cs="Arial" w:hAnsi="Arial"/>
          <w:b/>
        </w:rPr>
        <w:t xml:space="preserve"> 1.</w:t>
      </w:r>
      <w:r>
        <w:rPr>
          <w:rFonts w:ascii="Arial" w:cs="Arial" w:hAnsi="Arial"/>
        </w:rPr>
        <w:t xml:space="preserve"> </w:t>
      </w:r>
      <w:r>
        <w:rPr>
          <w:rFonts w:ascii="Arial" w:cs="Arial" w:hAnsi="Arial"/>
          <w:b/>
        </w:rPr>
        <w:t xml:space="preserve">Colony characteristics of </w:t>
      </w:r>
      <w:r>
        <w:rPr>
          <w:rFonts w:ascii="Arial" w:cs="Arial" w:hAnsi="Arial"/>
          <w:b/>
          <w:i/>
        </w:rPr>
        <w:t xml:space="preserve">F. </w:t>
      </w:r>
      <w:r>
        <w:rPr>
          <w:rFonts w:ascii="Arial" w:cs="Arial" w:hAnsi="Arial"/>
          <w:b/>
          <w:i/>
        </w:rPr>
        <w:t>oxysporum</w:t>
      </w:r>
      <w:r>
        <w:rPr>
          <w:rFonts w:ascii="Arial" w:cs="Arial" w:hAnsi="Arial"/>
          <w:b/>
        </w:rPr>
        <w:t xml:space="preserve"> from garlic on the 3</w:t>
      </w:r>
      <w:r>
        <w:rPr>
          <w:rFonts w:ascii="Arial" w:cs="Arial" w:hAnsi="Arial"/>
          <w:b/>
          <w:vertAlign w:val="superscript"/>
        </w:rPr>
        <w:t>rd</w:t>
      </w:r>
      <w:r>
        <w:rPr>
          <w:rFonts w:ascii="Arial" w:cs="Arial" w:hAnsi="Arial"/>
          <w:b/>
        </w:rPr>
        <w:t xml:space="preserve"> day of culture; a) front view, b) back view; on the 6</w:t>
      </w:r>
      <w:r>
        <w:rPr>
          <w:rFonts w:ascii="Arial" w:cs="Arial" w:hAnsi="Arial"/>
          <w:b/>
          <w:vertAlign w:val="superscript"/>
        </w:rPr>
        <w:t>th</w:t>
      </w:r>
      <w:r>
        <w:rPr>
          <w:rFonts w:ascii="Arial" w:cs="Arial" w:hAnsi="Arial"/>
          <w:b/>
        </w:rPr>
        <w:t xml:space="preserve"> day of culture; c) front view, d) back view; on the 9</w:t>
      </w:r>
      <w:r>
        <w:rPr>
          <w:rFonts w:ascii="Arial" w:cs="Arial" w:hAnsi="Arial"/>
          <w:b/>
          <w:vertAlign w:val="superscript"/>
        </w:rPr>
        <w:t>th</w:t>
      </w:r>
      <w:r>
        <w:rPr>
          <w:rFonts w:ascii="Arial" w:cs="Arial" w:hAnsi="Arial"/>
          <w:b/>
        </w:rPr>
        <w:t xml:space="preserve"> day of culture; e) front view, f) back view </w:t>
      </w:r>
    </w:p>
    <w:p>
      <w:pPr>
        <w:pStyle w:val="style4099"/>
        <w:spacing w:after="0"/>
        <w:rPr>
          <w:rFonts w:ascii="Arial" w:cs="Arial" w:hAnsi="Arial"/>
        </w:rPr>
      </w:pPr>
      <w:r>
        <w:rPr>
          <w:rFonts w:ascii="Arial" w:cs="Arial" w:hAnsi="Arial"/>
        </w:rPr>
        <w:t>(Note that: the top eight Petri plates at 20 °C, the bottom eight Petri plates at 27 °C).</w:t>
      </w:r>
    </w:p>
    <w:p>
      <w:pPr>
        <w:pStyle w:val="style4099"/>
        <w:spacing w:after="0"/>
        <w:rPr>
          <w:rFonts w:ascii="Arial" w:cs="Arial" w:hAnsi="Arial"/>
        </w:rPr>
      </w:pPr>
    </w:p>
    <w:p>
      <w:pPr>
        <w:pStyle w:val="style4099"/>
        <w:rPr>
          <w:rFonts w:ascii="Arial" w:cs="Arial" w:hAnsi="Arial"/>
          <w:b/>
          <w:lang w:val="tr-TR"/>
        </w:rPr>
      </w:pPr>
      <w:r>
        <w:rPr>
          <w:rFonts w:ascii="Arial" w:cs="Arial" w:hAnsi="Arial"/>
          <w:b/>
          <w:lang w:val="tr-TR"/>
        </w:rPr>
        <w:t xml:space="preserve">Table 1. Colony diameter of </w:t>
      </w:r>
      <w:r>
        <w:rPr>
          <w:rFonts w:ascii="Arial" w:cs="Arial" w:hAnsi="Arial"/>
          <w:b/>
          <w:i/>
          <w:iCs/>
          <w:lang w:val="tr-TR"/>
        </w:rPr>
        <w:t>F. oxysporum</w:t>
      </w:r>
      <w:r>
        <w:rPr>
          <w:rFonts w:ascii="Arial" w:cs="Arial" w:hAnsi="Arial"/>
          <w:b/>
          <w:lang w:val="tr-TR"/>
        </w:rPr>
        <w:t xml:space="preserve"> from </w:t>
      </w:r>
      <w:r>
        <w:rPr>
          <w:rFonts w:ascii="Arial" w:cs="Arial" w:hAnsi="Arial"/>
          <w:b/>
          <w:i/>
          <w:iCs/>
          <w:lang w:val="tr-TR"/>
        </w:rPr>
        <w:t>A. sativum</w:t>
      </w:r>
      <w:r>
        <w:rPr>
          <w:rFonts w:ascii="Arial" w:cs="Arial" w:hAnsi="Arial"/>
          <w:b/>
          <w:lang w:val="tr-TR"/>
        </w:rPr>
        <w:t xml:space="preserve"> at two different temperatures; 20 </w:t>
      </w:r>
      <w:r>
        <w:rPr>
          <w:rFonts w:ascii="Arial" w:cs="Arial" w:hAnsi="Arial"/>
          <w:b/>
          <w:bCs/>
        </w:rPr>
        <w:t>°C and</w:t>
      </w:r>
      <w:r>
        <w:rPr>
          <w:rFonts w:ascii="Arial" w:cs="Arial" w:hAnsi="Arial"/>
          <w:b/>
        </w:rPr>
        <w:t xml:space="preserve"> </w:t>
      </w:r>
      <w:r>
        <w:rPr>
          <w:rFonts w:ascii="Arial" w:cs="Arial" w:hAnsi="Arial"/>
          <w:b/>
          <w:lang w:val="tr-TR"/>
        </w:rPr>
        <w:t xml:space="preserve">27 </w:t>
      </w:r>
      <w:r>
        <w:rPr>
          <w:rFonts w:ascii="Arial" w:cs="Arial" w:hAnsi="Arial"/>
          <w:b/>
          <w:bCs/>
        </w:rPr>
        <w:t>°C</w:t>
      </w:r>
      <w:r>
        <w:rPr>
          <w:rFonts w:ascii="Arial" w:cs="Arial" w:hAnsi="Arial"/>
          <w:b/>
          <w:lang w:val="tr-TR"/>
        </w:rPr>
        <w:t xml:space="preserve"> </w:t>
      </w:r>
    </w:p>
    <w:tbl>
      <w:tblPr>
        <w:tblStyle w:val="style154"/>
        <w:tblW w:w="0" w:type="auto"/>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2295"/>
        <w:gridCol w:w="2033"/>
        <w:gridCol w:w="1340"/>
      </w:tblGrid>
      <w:tr>
        <w:trPr/>
        <w:tc>
          <w:tcPr>
            <w:tcW w:w="1670" w:type="dxa"/>
            <w:vMerge w:val="restart"/>
            <w:tcBorders>
              <w:top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Temperature</w:t>
            </w:r>
          </w:p>
        </w:tc>
        <w:tc>
          <w:tcPr>
            <w:tcW w:w="5668" w:type="dxa"/>
            <w:gridSpan w:val="3"/>
            <w:tcBorders>
              <w:top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Colony Diameter on the Measurement Days</w:t>
            </w:r>
            <w:r>
              <w:rPr>
                <w:rFonts w:ascii="Arial" w:cs="Arial" w:eastAsia="Times New Roman" w:hAnsi="Arial"/>
                <w:b/>
                <w:sz w:val="20"/>
                <w:lang w:val="tr-TR"/>
              </w:rPr>
              <w:t xml:space="preserve">  </w:t>
            </w:r>
            <w:r>
              <w:rPr>
                <w:rFonts w:ascii="Arial" w:cs="Arial" w:eastAsia="Times New Roman" w:hAnsi="Arial"/>
                <w:b/>
                <w:sz w:val="20"/>
                <w:lang w:val="tr-TR"/>
              </w:rPr>
              <w:t>(cm)</w:t>
            </w:r>
          </w:p>
        </w:tc>
      </w:tr>
      <w:tr>
        <w:tblPrEx/>
        <w:trPr/>
        <w:tc>
          <w:tcPr>
            <w:tcW w:w="1670" w:type="dxa"/>
            <w:vMerge w:val="continue"/>
            <w:tcBorders>
              <w:bottom w:val="single" w:sz="4" w:space="0" w:color="auto"/>
            </w:tcBorders>
          </w:tcPr>
          <w:p>
            <w:pPr>
              <w:pStyle w:val="style4099"/>
              <w:spacing w:after="0"/>
              <w:rPr>
                <w:rFonts w:ascii="Arial" w:cs="Arial" w:eastAsia="Times New Roman" w:hAnsi="Arial"/>
                <w:sz w:val="20"/>
                <w:lang w:val="tr-TR"/>
              </w:rPr>
            </w:pPr>
          </w:p>
        </w:tc>
        <w:tc>
          <w:tcPr>
            <w:tcW w:w="229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w:t>
            </w:r>
            <w:r>
              <w:rPr>
                <w:rFonts w:ascii="Arial" w:cs="Arial" w:eastAsia="Times New Roman" w:hAnsi="Arial"/>
                <w:sz w:val="20"/>
                <w:vertAlign w:val="superscript"/>
                <w:lang w:val="tr-TR"/>
              </w:rPr>
              <w:t>rd</w:t>
            </w:r>
            <w:r>
              <w:rPr>
                <w:rFonts w:ascii="Arial" w:cs="Arial" w:eastAsia="Times New Roman" w:hAnsi="Arial"/>
                <w:sz w:val="20"/>
                <w:lang w:val="tr-TR"/>
              </w:rPr>
              <w:t xml:space="preserve"> day</w:t>
            </w:r>
          </w:p>
        </w:tc>
        <w:tc>
          <w:tcPr>
            <w:tcW w:w="2033"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6</w:t>
            </w:r>
            <w:r>
              <w:rPr>
                <w:rFonts w:ascii="Arial" w:cs="Arial" w:eastAsia="Times New Roman" w:hAnsi="Arial"/>
                <w:sz w:val="20"/>
                <w:vertAlign w:val="superscript"/>
                <w:lang w:val="tr-TR"/>
              </w:rPr>
              <w:t>th</w:t>
            </w:r>
            <w:r>
              <w:rPr>
                <w:rFonts w:ascii="Arial" w:cs="Arial" w:eastAsia="Times New Roman" w:hAnsi="Arial"/>
                <w:sz w:val="20"/>
                <w:lang w:val="tr-TR"/>
              </w:rPr>
              <w:t xml:space="preserve"> day</w:t>
            </w:r>
          </w:p>
        </w:tc>
        <w:tc>
          <w:tcPr>
            <w:tcW w:w="1340"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9</w:t>
            </w:r>
            <w:r>
              <w:rPr>
                <w:rFonts w:ascii="Arial" w:cs="Arial" w:eastAsia="Times New Roman" w:hAnsi="Arial"/>
                <w:sz w:val="20"/>
                <w:vertAlign w:val="superscript"/>
                <w:lang w:val="tr-TR"/>
              </w:rPr>
              <w:t>th</w:t>
            </w:r>
            <w:r>
              <w:rPr>
                <w:rFonts w:ascii="Arial" w:cs="Arial" w:eastAsia="Times New Roman" w:hAnsi="Arial"/>
                <w:sz w:val="20"/>
                <w:lang w:val="tr-TR"/>
              </w:rPr>
              <w:t xml:space="preserve"> day</w:t>
            </w:r>
          </w:p>
        </w:tc>
      </w:tr>
      <w:tr>
        <w:tblPrEx/>
        <w:trPr/>
        <w:tc>
          <w:tcPr>
            <w:tcW w:w="1670" w:type="dxa"/>
            <w:tcBorders>
              <w:top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20 </w:t>
            </w:r>
            <w:r>
              <w:rPr>
                <w:rFonts w:ascii="Arial" w:cs="Arial" w:eastAsia="Times New Roman" w:hAnsi="Arial"/>
                <w:bCs/>
                <w:sz w:val="20"/>
              </w:rPr>
              <w:t xml:space="preserve">°C       </w:t>
            </w:r>
          </w:p>
        </w:tc>
        <w:tc>
          <w:tcPr>
            <w:tcW w:w="2295"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1,30</w:t>
            </w:r>
            <w:r>
              <w:rPr>
                <w:rFonts w:ascii="Arial" w:cs="Arial" w:eastAsia="Times New Roman" w:hAnsi="Arial"/>
                <w:sz w:val="20"/>
                <w:vertAlign w:val="superscript"/>
                <w:lang w:val="tr-TR"/>
              </w:rPr>
              <w:t xml:space="preserve">±0,07 </w:t>
            </w:r>
            <w:r>
              <w:rPr>
                <w:rFonts w:ascii="Arial" w:cs="Arial" w:eastAsia="Times New Roman" w:hAnsi="Arial"/>
                <w:sz w:val="20"/>
                <w:lang w:val="tr-TR"/>
              </w:rPr>
              <w:t>b</w:t>
            </w:r>
          </w:p>
        </w:tc>
        <w:tc>
          <w:tcPr>
            <w:tcW w:w="2033"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3,38</w:t>
            </w:r>
            <w:r>
              <w:rPr>
                <w:rFonts w:ascii="Arial" w:cs="Arial" w:eastAsia="Times New Roman" w:hAnsi="Arial"/>
                <w:sz w:val="20"/>
                <w:vertAlign w:val="superscript"/>
                <w:lang w:val="tr-TR"/>
              </w:rPr>
              <w:t xml:space="preserve">±0,39 </w:t>
            </w:r>
            <w:r>
              <w:rPr>
                <w:rFonts w:ascii="Arial" w:cs="Arial" w:eastAsia="Times New Roman" w:hAnsi="Arial"/>
                <w:sz w:val="20"/>
                <w:lang w:val="tr-TR"/>
              </w:rPr>
              <w:t>b</w:t>
            </w:r>
          </w:p>
        </w:tc>
        <w:tc>
          <w:tcPr>
            <w:tcW w:w="1340"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5,81</w:t>
            </w:r>
            <w:r>
              <w:rPr>
                <w:rFonts w:ascii="Arial" w:cs="Arial" w:eastAsia="Times New Roman" w:hAnsi="Arial"/>
                <w:sz w:val="20"/>
                <w:vertAlign w:val="superscript"/>
                <w:lang w:val="tr-TR"/>
              </w:rPr>
              <w:t xml:space="preserve">±0,37 </w:t>
            </w:r>
            <w:r>
              <w:rPr>
                <w:rFonts w:ascii="Arial" w:cs="Arial" w:eastAsia="Times New Roman" w:hAnsi="Arial"/>
                <w:sz w:val="20"/>
                <w:lang w:val="tr-TR"/>
              </w:rPr>
              <w:t>b</w:t>
            </w:r>
          </w:p>
        </w:tc>
      </w:tr>
      <w:tr>
        <w:tblPrEx/>
        <w:trPr/>
        <w:tc>
          <w:tcPr>
            <w:tcW w:w="1670" w:type="dxa"/>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27 </w:t>
            </w:r>
            <w:r>
              <w:rPr>
                <w:rFonts w:ascii="Arial" w:cs="Arial" w:eastAsia="Times New Roman" w:hAnsi="Arial"/>
                <w:bCs/>
                <w:sz w:val="20"/>
              </w:rPr>
              <w:t xml:space="preserve">°C        </w:t>
            </w:r>
          </w:p>
        </w:tc>
        <w:tc>
          <w:tcPr>
            <w:tcW w:w="2295"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3,75</w:t>
            </w:r>
            <w:r>
              <w:rPr>
                <w:rFonts w:ascii="Arial" w:cs="Arial" w:eastAsia="Times New Roman" w:hAnsi="Arial"/>
                <w:sz w:val="20"/>
                <w:vertAlign w:val="superscript"/>
                <w:lang w:val="tr-TR"/>
              </w:rPr>
              <w:t xml:space="preserve">±0,29 </w:t>
            </w:r>
            <w:r>
              <w:rPr>
                <w:rFonts w:ascii="Arial" w:cs="Arial" w:eastAsia="Times New Roman" w:hAnsi="Arial"/>
                <w:sz w:val="20"/>
                <w:lang w:val="tr-TR"/>
              </w:rPr>
              <w:t>a</w:t>
            </w:r>
          </w:p>
        </w:tc>
        <w:tc>
          <w:tcPr>
            <w:tcW w:w="2033"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6,71</w:t>
            </w:r>
            <w:r>
              <w:rPr>
                <w:rFonts w:ascii="Arial" w:cs="Arial" w:eastAsia="Times New Roman" w:hAnsi="Arial"/>
                <w:sz w:val="20"/>
                <w:vertAlign w:val="superscript"/>
                <w:lang w:val="tr-TR"/>
              </w:rPr>
              <w:t xml:space="preserve">±0,27 </w:t>
            </w:r>
            <w:r>
              <w:rPr>
                <w:rFonts w:ascii="Arial" w:cs="Arial" w:eastAsia="Times New Roman" w:hAnsi="Arial"/>
                <w:sz w:val="20"/>
                <w:lang w:val="tr-TR"/>
              </w:rPr>
              <w:t>a</w:t>
            </w:r>
          </w:p>
        </w:tc>
        <w:tc>
          <w:tcPr>
            <w:tcW w:w="1340"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7,76</w:t>
            </w:r>
            <w:r>
              <w:rPr>
                <w:rFonts w:ascii="Arial" w:cs="Arial" w:eastAsia="Times New Roman" w:hAnsi="Arial"/>
                <w:sz w:val="20"/>
                <w:vertAlign w:val="superscript"/>
                <w:lang w:val="tr-TR"/>
              </w:rPr>
              <w:t xml:space="preserve">±0,35 </w:t>
            </w:r>
            <w:r>
              <w:rPr>
                <w:rFonts w:ascii="Arial" w:cs="Arial" w:eastAsia="Times New Roman" w:hAnsi="Arial"/>
                <w:sz w:val="20"/>
                <w:lang w:val="tr-TR"/>
              </w:rPr>
              <w:t>a</w:t>
            </w:r>
          </w:p>
        </w:tc>
      </w:tr>
      <w:tr>
        <w:tblPrEx/>
        <w:trPr/>
        <w:tc>
          <w:tcPr>
            <w:tcW w:w="1670" w:type="dxa"/>
            <w:tcBorders/>
          </w:tcPr>
          <w:p>
            <w:pPr>
              <w:pStyle w:val="style4099"/>
              <w:spacing w:after="0"/>
              <w:rPr>
                <w:rFonts w:ascii="Arial" w:cs="Arial" w:eastAsia="Times New Roman" w:hAnsi="Arial"/>
                <w:sz w:val="20"/>
                <w:lang w:val="tr-TR"/>
              </w:rPr>
            </w:pPr>
            <w:r>
              <w:rPr>
                <w:rFonts w:ascii="Arial" w:cs="Arial" w:eastAsia="Times New Roman" w:hAnsi="Arial"/>
                <w:i/>
                <w:iCs/>
                <w:sz w:val="20"/>
                <w:lang w:val="tr-TR"/>
              </w:rPr>
              <w:t>P</w:t>
            </w:r>
            <w:r>
              <w:rPr>
                <w:rFonts w:ascii="Arial" w:cs="Arial" w:eastAsia="Times New Roman" w:hAnsi="Arial"/>
                <w:sz w:val="20"/>
                <w:lang w:val="tr-TR"/>
              </w:rPr>
              <w:t xml:space="preserve"> value</w:t>
            </w:r>
          </w:p>
        </w:tc>
        <w:tc>
          <w:tcPr>
            <w:tcW w:w="2295"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p&lt;0,001</w:t>
            </w:r>
          </w:p>
        </w:tc>
        <w:tc>
          <w:tcPr>
            <w:tcW w:w="2033"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p&lt;0,001</w:t>
            </w:r>
          </w:p>
        </w:tc>
        <w:tc>
          <w:tcPr>
            <w:tcW w:w="1340"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p&lt;0,001</w:t>
            </w:r>
          </w:p>
        </w:tc>
      </w:tr>
      <w:tr>
        <w:tblPrEx/>
        <w:trPr/>
        <w:tc>
          <w:tcPr>
            <w:tcW w:w="1670" w:type="dxa"/>
            <w:tcBorders>
              <w:bottom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Mean </w:t>
            </w:r>
          </w:p>
        </w:tc>
        <w:tc>
          <w:tcPr>
            <w:tcW w:w="229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2,53</w:t>
            </w:r>
            <w:r>
              <w:rPr>
                <w:rFonts w:ascii="Arial" w:cs="Arial" w:eastAsia="Times New Roman" w:hAnsi="Arial"/>
                <w:sz w:val="20"/>
                <w:vertAlign w:val="superscript"/>
                <w:lang w:val="tr-TR"/>
              </w:rPr>
              <w:t>±1,28</w:t>
            </w:r>
          </w:p>
        </w:tc>
        <w:tc>
          <w:tcPr>
            <w:tcW w:w="2033"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5,04</w:t>
            </w:r>
            <w:r>
              <w:rPr>
                <w:rFonts w:ascii="Arial" w:cs="Arial" w:eastAsia="Times New Roman" w:hAnsi="Arial"/>
                <w:sz w:val="20"/>
                <w:vertAlign w:val="superscript"/>
                <w:lang w:val="tr-TR"/>
              </w:rPr>
              <w:t>±1,75</w:t>
            </w:r>
          </w:p>
        </w:tc>
        <w:tc>
          <w:tcPr>
            <w:tcW w:w="1340"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6,79</w:t>
            </w:r>
            <w:r>
              <w:rPr>
                <w:rFonts w:ascii="Arial" w:cs="Arial" w:eastAsia="Times New Roman" w:hAnsi="Arial"/>
                <w:sz w:val="20"/>
                <w:vertAlign w:val="superscript"/>
                <w:lang w:val="tr-TR"/>
              </w:rPr>
              <w:t>±1,07</w:t>
            </w:r>
          </w:p>
        </w:tc>
      </w:tr>
    </w:tbl>
    <w:p>
      <w:pPr>
        <w:pStyle w:val="style4099"/>
        <w:rPr>
          <w:rFonts w:ascii="Arial" w:cs="Arial" w:hAnsi="Arial"/>
          <w:lang w:val="tr-TR"/>
        </w:rPr>
      </w:pPr>
      <w:r>
        <w:rPr>
          <w:rFonts w:ascii="Arial" w:cs="Arial" w:hAnsi="Arial"/>
        </w:rPr>
        <w:t xml:space="preserve">Data represent means ± S.E. (n = 8). Tukey test was used to </w:t>
      </w:r>
      <w:r>
        <w:rPr>
          <w:rFonts w:ascii="Arial" w:cs="Arial" w:hAnsi="Arial"/>
        </w:rPr>
        <w:t>analyse</w:t>
      </w:r>
      <w:r>
        <w:rPr>
          <w:rFonts w:ascii="Arial" w:cs="Arial" w:hAnsi="Arial"/>
        </w:rPr>
        <w:t xml:space="preserve"> significant differences in data, and letters represent differences at </w:t>
      </w:r>
      <w:r>
        <w:rPr>
          <w:rFonts w:ascii="Arial" w:cs="Arial" w:hAnsi="Arial"/>
          <w:i/>
        </w:rPr>
        <w:t>P</w:t>
      </w:r>
      <w:r>
        <w:rPr>
          <w:rFonts w:ascii="Arial" w:cs="Arial" w:hAnsi="Arial"/>
        </w:rPr>
        <w:t xml:space="preserve"> &lt; 0.001</w:t>
      </w:r>
    </w:p>
    <w:p>
      <w:pPr>
        <w:pStyle w:val="style4099"/>
        <w:rPr>
          <w:rFonts w:ascii="Arial" w:cs="Arial" w:hAnsi="Arial"/>
          <w:b/>
          <w:lang w:val="tr-TR"/>
        </w:rPr>
      </w:pPr>
      <w:r>
        <w:rPr>
          <w:rFonts w:ascii="Arial" w:cs="Arial" w:hAnsi="Arial"/>
          <w:b/>
          <w:lang w:val="tr-TR"/>
        </w:rPr>
        <w:t xml:space="preserve">Table 2. Daily mycelial growth rate of </w:t>
      </w:r>
      <w:r>
        <w:rPr>
          <w:rFonts w:ascii="Arial" w:cs="Arial" w:hAnsi="Arial"/>
          <w:b/>
          <w:i/>
          <w:iCs/>
          <w:lang w:val="tr-TR"/>
        </w:rPr>
        <w:t>F. oxysporum</w:t>
      </w:r>
      <w:r>
        <w:rPr>
          <w:rFonts w:ascii="Arial" w:cs="Arial" w:hAnsi="Arial"/>
          <w:b/>
          <w:lang w:val="tr-TR"/>
        </w:rPr>
        <w:t xml:space="preserve"> from </w:t>
      </w:r>
      <w:r>
        <w:rPr>
          <w:rFonts w:ascii="Arial" w:cs="Arial" w:hAnsi="Arial"/>
          <w:b/>
          <w:i/>
          <w:iCs/>
          <w:lang w:val="tr-TR"/>
        </w:rPr>
        <w:t>A. sativum</w:t>
      </w:r>
      <w:r>
        <w:rPr>
          <w:rFonts w:ascii="Arial" w:cs="Arial" w:hAnsi="Arial"/>
          <w:b/>
          <w:lang w:val="tr-TR"/>
        </w:rPr>
        <w:t xml:space="preserve"> at two different temperatures; 20 </w:t>
      </w:r>
      <w:r>
        <w:rPr>
          <w:rFonts w:ascii="Arial" w:cs="Arial" w:hAnsi="Arial"/>
          <w:b/>
          <w:bCs/>
        </w:rPr>
        <w:t>°C and</w:t>
      </w:r>
      <w:r>
        <w:rPr>
          <w:rFonts w:ascii="Arial" w:cs="Arial" w:hAnsi="Arial"/>
          <w:b/>
        </w:rPr>
        <w:t xml:space="preserve"> </w:t>
      </w:r>
      <w:r>
        <w:rPr>
          <w:rFonts w:ascii="Arial" w:cs="Arial" w:hAnsi="Arial"/>
          <w:b/>
          <w:lang w:val="tr-TR"/>
        </w:rPr>
        <w:t xml:space="preserve">27 </w:t>
      </w:r>
      <w:r>
        <w:rPr>
          <w:rFonts w:ascii="Arial" w:cs="Arial" w:hAnsi="Arial"/>
          <w:b/>
          <w:bCs/>
        </w:rPr>
        <w:t>°C</w:t>
      </w:r>
    </w:p>
    <w:tbl>
      <w:tblPr>
        <w:tblStyle w:val="style154"/>
        <w:tblW w:w="84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1668"/>
        <w:gridCol w:w="1748"/>
        <w:gridCol w:w="1554"/>
        <w:gridCol w:w="1562"/>
      </w:tblGrid>
      <w:tr>
        <w:trPr/>
        <w:tc>
          <w:tcPr>
            <w:tcW w:w="1892" w:type="dxa"/>
            <w:vMerge w:val="restart"/>
            <w:tcBorders>
              <w:top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Temperature</w:t>
            </w:r>
          </w:p>
        </w:tc>
        <w:tc>
          <w:tcPr>
            <w:tcW w:w="6532" w:type="dxa"/>
            <w:gridSpan w:val="4"/>
            <w:tcBorders>
              <w:top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Mycelial Growth Rate at the Measurement Intervals</w:t>
            </w:r>
            <w:r>
              <w:rPr>
                <w:rFonts w:ascii="Arial" w:cs="Arial" w:eastAsia="Times New Roman" w:hAnsi="Arial"/>
                <w:b/>
                <w:sz w:val="20"/>
                <w:lang w:val="tr-TR"/>
              </w:rPr>
              <w:t xml:space="preserve"> </w:t>
            </w:r>
            <w:r>
              <w:rPr>
                <w:rFonts w:ascii="Arial" w:cs="Arial" w:eastAsia="Times New Roman" w:hAnsi="Arial"/>
                <w:b/>
                <w:sz w:val="20"/>
                <w:lang w:val="tr-TR"/>
              </w:rPr>
              <w:t>(%)</w:t>
            </w:r>
          </w:p>
        </w:tc>
      </w:tr>
      <w:tr>
        <w:tblPrEx/>
        <w:trPr/>
        <w:tc>
          <w:tcPr>
            <w:tcW w:w="1892" w:type="dxa"/>
            <w:vMerge w:val="continue"/>
            <w:tcBorders>
              <w:bottom w:val="single" w:sz="4" w:space="0" w:color="auto"/>
            </w:tcBorders>
          </w:tcPr>
          <w:p>
            <w:pPr>
              <w:pStyle w:val="style4099"/>
              <w:spacing w:after="0"/>
              <w:jc w:val="center"/>
              <w:rPr>
                <w:rFonts w:ascii="Arial" w:cs="Arial" w:eastAsia="Times New Roman" w:hAnsi="Arial"/>
                <w:sz w:val="20"/>
                <w:lang w:val="tr-TR"/>
              </w:rPr>
            </w:pPr>
          </w:p>
        </w:tc>
        <w:tc>
          <w:tcPr>
            <w:tcW w:w="1668"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Between</w:t>
            </w:r>
          </w:p>
          <w:p>
            <w:pPr>
              <w:pStyle w:val="style4099"/>
              <w:spacing w:after="0"/>
              <w:jc w:val="center"/>
              <w:rPr>
                <w:rFonts w:ascii="Arial" w:cs="Arial" w:eastAsia="Times New Roman" w:hAnsi="Arial"/>
                <w:sz w:val="20"/>
                <w:lang w:val="tr-TR"/>
              </w:rPr>
            </w:pPr>
            <w:r>
              <w:rPr>
                <w:rFonts w:ascii="Arial" w:cs="Arial" w:eastAsia="Times New Roman" w:hAnsi="Arial"/>
                <w:sz w:val="20"/>
                <w:lang w:val="tr-TR"/>
              </w:rPr>
              <w:t>0-3</w:t>
            </w:r>
            <w:r>
              <w:rPr>
                <w:rFonts w:ascii="Arial" w:cs="Arial" w:eastAsia="Times New Roman" w:hAnsi="Arial"/>
                <w:sz w:val="20"/>
                <w:vertAlign w:val="superscript"/>
                <w:lang w:val="tr-TR"/>
              </w:rPr>
              <w:t>rd</w:t>
            </w:r>
            <w:r>
              <w:rPr>
                <w:rFonts w:ascii="Arial" w:cs="Arial" w:eastAsia="Times New Roman" w:hAnsi="Arial"/>
                <w:sz w:val="20"/>
                <w:lang w:val="tr-TR"/>
              </w:rPr>
              <w:t xml:space="preserve"> day</w:t>
            </w:r>
          </w:p>
        </w:tc>
        <w:tc>
          <w:tcPr>
            <w:tcW w:w="1748"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Between</w:t>
            </w:r>
          </w:p>
          <w:p>
            <w:pPr>
              <w:pStyle w:val="style4099"/>
              <w:spacing w:after="0"/>
              <w:jc w:val="center"/>
              <w:rPr>
                <w:rFonts w:ascii="Arial" w:cs="Arial" w:eastAsia="Times New Roman" w:hAnsi="Arial"/>
                <w:sz w:val="20"/>
                <w:lang w:val="tr-TR"/>
              </w:rPr>
            </w:pPr>
            <w:r>
              <w:rPr>
                <w:rFonts w:ascii="Arial" w:cs="Arial" w:eastAsia="Times New Roman" w:hAnsi="Arial"/>
                <w:sz w:val="20"/>
                <w:lang w:val="tr-TR"/>
              </w:rPr>
              <w:t>3</w:t>
            </w:r>
            <w:r>
              <w:rPr>
                <w:rFonts w:ascii="Arial" w:cs="Arial" w:eastAsia="Times New Roman" w:hAnsi="Arial"/>
                <w:sz w:val="20"/>
                <w:vertAlign w:val="superscript"/>
                <w:lang w:val="tr-TR"/>
              </w:rPr>
              <w:t>rd</w:t>
            </w:r>
            <w:r>
              <w:rPr>
                <w:rFonts w:ascii="Arial" w:cs="Arial" w:eastAsia="Times New Roman" w:hAnsi="Arial"/>
                <w:sz w:val="20"/>
                <w:lang w:val="tr-TR"/>
              </w:rPr>
              <w:t>-6</w:t>
            </w:r>
            <w:r>
              <w:rPr>
                <w:rFonts w:ascii="Arial" w:cs="Arial" w:eastAsia="Times New Roman" w:hAnsi="Arial"/>
                <w:sz w:val="20"/>
                <w:vertAlign w:val="superscript"/>
                <w:lang w:val="tr-TR"/>
              </w:rPr>
              <w:t>th</w:t>
            </w:r>
            <w:r>
              <w:rPr>
                <w:rFonts w:ascii="Arial" w:cs="Arial" w:eastAsia="Times New Roman" w:hAnsi="Arial"/>
                <w:sz w:val="20"/>
                <w:lang w:val="tr-TR"/>
              </w:rPr>
              <w:t xml:space="preserve"> day</w:t>
            </w:r>
          </w:p>
        </w:tc>
        <w:tc>
          <w:tcPr>
            <w:tcW w:w="155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Between</w:t>
            </w:r>
          </w:p>
          <w:p>
            <w:pPr>
              <w:pStyle w:val="style4099"/>
              <w:spacing w:after="0"/>
              <w:jc w:val="center"/>
              <w:rPr>
                <w:rFonts w:ascii="Arial" w:cs="Arial" w:eastAsia="Times New Roman" w:hAnsi="Arial"/>
                <w:sz w:val="20"/>
                <w:lang w:val="tr-TR"/>
              </w:rPr>
            </w:pPr>
            <w:r>
              <w:rPr>
                <w:rFonts w:ascii="Arial" w:cs="Arial" w:eastAsia="Times New Roman" w:hAnsi="Arial"/>
                <w:sz w:val="20"/>
                <w:lang w:val="tr-TR"/>
              </w:rPr>
              <w:t>6</w:t>
            </w:r>
            <w:r>
              <w:rPr>
                <w:rFonts w:ascii="Arial" w:cs="Arial" w:eastAsia="Times New Roman" w:hAnsi="Arial"/>
                <w:sz w:val="20"/>
                <w:vertAlign w:val="superscript"/>
                <w:lang w:val="tr-TR"/>
              </w:rPr>
              <w:t>th</w:t>
            </w:r>
            <w:r>
              <w:rPr>
                <w:rFonts w:ascii="Arial" w:cs="Arial" w:eastAsia="Times New Roman" w:hAnsi="Arial"/>
                <w:sz w:val="20"/>
                <w:lang w:val="tr-TR"/>
              </w:rPr>
              <w:t>-9</w:t>
            </w:r>
            <w:r>
              <w:rPr>
                <w:rFonts w:ascii="Arial" w:cs="Arial" w:eastAsia="Times New Roman" w:hAnsi="Arial"/>
                <w:sz w:val="20"/>
                <w:vertAlign w:val="superscript"/>
                <w:lang w:val="tr-TR"/>
              </w:rPr>
              <w:t>th</w:t>
            </w:r>
            <w:r>
              <w:rPr>
                <w:rFonts w:ascii="Arial" w:cs="Arial" w:eastAsia="Times New Roman" w:hAnsi="Arial"/>
                <w:sz w:val="20"/>
                <w:lang w:val="tr-TR"/>
              </w:rPr>
              <w:t xml:space="preserve"> day</w:t>
            </w:r>
          </w:p>
        </w:tc>
        <w:tc>
          <w:tcPr>
            <w:tcW w:w="1562"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Between</w:t>
            </w:r>
          </w:p>
          <w:p>
            <w:pPr>
              <w:pStyle w:val="style4099"/>
              <w:spacing w:after="0"/>
              <w:jc w:val="center"/>
              <w:rPr>
                <w:rFonts w:ascii="Arial" w:cs="Arial" w:eastAsia="Times New Roman" w:hAnsi="Arial"/>
                <w:sz w:val="20"/>
                <w:lang w:val="tr-TR"/>
              </w:rPr>
            </w:pPr>
            <w:r>
              <w:rPr>
                <w:rFonts w:ascii="Arial" w:cs="Arial" w:eastAsia="Times New Roman" w:hAnsi="Arial"/>
                <w:sz w:val="20"/>
                <w:lang w:val="tr-TR"/>
              </w:rPr>
              <w:t>0-9</w:t>
            </w:r>
            <w:r>
              <w:rPr>
                <w:rFonts w:ascii="Arial" w:cs="Arial" w:eastAsia="Times New Roman" w:hAnsi="Arial"/>
                <w:sz w:val="20"/>
                <w:vertAlign w:val="superscript"/>
                <w:lang w:val="tr-TR"/>
              </w:rPr>
              <w:t>th</w:t>
            </w:r>
            <w:r>
              <w:rPr>
                <w:rFonts w:ascii="Arial" w:cs="Arial" w:eastAsia="Times New Roman" w:hAnsi="Arial"/>
                <w:sz w:val="20"/>
                <w:lang w:val="tr-TR"/>
              </w:rPr>
              <w:t xml:space="preserve"> day</w:t>
            </w:r>
          </w:p>
        </w:tc>
      </w:tr>
      <w:tr>
        <w:tblPrEx/>
        <w:trPr/>
        <w:tc>
          <w:tcPr>
            <w:tcW w:w="1892" w:type="dxa"/>
            <w:tcBorders>
              <w:top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20 </w:t>
            </w:r>
            <w:r>
              <w:rPr>
                <w:rFonts w:ascii="Arial" w:cs="Arial" w:eastAsia="Times New Roman" w:hAnsi="Arial"/>
                <w:bCs/>
                <w:sz w:val="20"/>
              </w:rPr>
              <w:t xml:space="preserve">°C      </w:t>
            </w:r>
          </w:p>
        </w:tc>
        <w:tc>
          <w:tcPr>
            <w:tcW w:w="1668"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43,25</w:t>
            </w:r>
            <w:r>
              <w:rPr>
                <w:rFonts w:ascii="Arial" w:cs="Arial" w:eastAsia="Times New Roman" w:hAnsi="Arial"/>
                <w:sz w:val="20"/>
                <w:vertAlign w:val="superscript"/>
                <w:lang w:val="tr-TR"/>
              </w:rPr>
              <w:t xml:space="preserve">±2,66 </w:t>
            </w:r>
            <w:r>
              <w:rPr>
                <w:rFonts w:ascii="Arial" w:cs="Arial" w:eastAsia="Times New Roman" w:hAnsi="Arial"/>
                <w:sz w:val="20"/>
                <w:lang w:val="tr-TR"/>
              </w:rPr>
              <w:t>b</w:t>
            </w:r>
          </w:p>
        </w:tc>
        <w:tc>
          <w:tcPr>
            <w:tcW w:w="1748"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68,62</w:t>
            </w:r>
            <w:r>
              <w:rPr>
                <w:rFonts w:ascii="Arial" w:cs="Arial" w:eastAsia="Times New Roman" w:hAnsi="Arial"/>
                <w:sz w:val="20"/>
                <w:vertAlign w:val="superscript"/>
                <w:lang w:val="tr-TR"/>
              </w:rPr>
              <w:t xml:space="preserve">±10,89 </w:t>
            </w:r>
            <w:r>
              <w:rPr>
                <w:rFonts w:ascii="Arial" w:cs="Arial" w:eastAsia="Times New Roman" w:hAnsi="Arial"/>
                <w:sz w:val="20"/>
                <w:lang w:val="tr-TR"/>
              </w:rPr>
              <w:t>b</w:t>
            </w:r>
          </w:p>
        </w:tc>
        <w:tc>
          <w:tcPr>
            <w:tcW w:w="1554"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81,50</w:t>
            </w:r>
            <w:r>
              <w:rPr>
                <w:rFonts w:ascii="Arial" w:cs="Arial" w:eastAsia="Times New Roman" w:hAnsi="Arial"/>
                <w:sz w:val="20"/>
                <w:vertAlign w:val="superscript"/>
                <w:lang w:val="tr-TR"/>
              </w:rPr>
              <w:t>±12,18</w:t>
            </w:r>
            <w:r>
              <w:rPr>
                <w:rFonts w:ascii="Arial" w:cs="Arial" w:eastAsia="Times New Roman" w:hAnsi="Arial"/>
                <w:sz w:val="20"/>
                <w:lang w:val="tr-TR"/>
              </w:rPr>
              <w:t xml:space="preserve"> a</w:t>
            </w:r>
          </w:p>
        </w:tc>
        <w:tc>
          <w:tcPr>
            <w:tcW w:w="1562"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64,63</w:t>
            </w:r>
            <w:r>
              <w:rPr>
                <w:rFonts w:ascii="Arial" w:cs="Arial" w:eastAsia="Times New Roman" w:hAnsi="Arial"/>
                <w:sz w:val="20"/>
                <w:vertAlign w:val="superscript"/>
                <w:lang w:val="tr-TR"/>
              </w:rPr>
              <w:t>±4,14</w:t>
            </w:r>
            <w:r>
              <w:rPr>
                <w:rFonts w:ascii="Arial" w:cs="Arial" w:eastAsia="Times New Roman" w:hAnsi="Arial"/>
                <w:sz w:val="20"/>
                <w:lang w:val="tr-TR"/>
              </w:rPr>
              <w:t xml:space="preserve"> b</w:t>
            </w:r>
          </w:p>
        </w:tc>
      </w:tr>
      <w:tr>
        <w:tblPrEx/>
        <w:trPr/>
        <w:tc>
          <w:tcPr>
            <w:tcW w:w="1892" w:type="dxa"/>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27 </w:t>
            </w:r>
            <w:r>
              <w:rPr>
                <w:rFonts w:ascii="Arial" w:cs="Arial" w:eastAsia="Times New Roman" w:hAnsi="Arial"/>
                <w:bCs/>
                <w:sz w:val="20"/>
              </w:rPr>
              <w:t xml:space="preserve">°C        </w:t>
            </w:r>
          </w:p>
        </w:tc>
        <w:tc>
          <w:tcPr>
            <w:tcW w:w="1668"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125.0</w:t>
            </w:r>
            <w:r>
              <w:rPr>
                <w:rFonts w:ascii="Arial" w:cs="Arial" w:eastAsia="Times New Roman" w:hAnsi="Arial"/>
                <w:sz w:val="20"/>
                <w:vertAlign w:val="superscript"/>
                <w:lang w:val="tr-TR"/>
              </w:rPr>
              <w:t xml:space="preserve">±9,38 </w:t>
            </w:r>
            <w:r>
              <w:rPr>
                <w:rFonts w:ascii="Arial" w:cs="Arial" w:eastAsia="Times New Roman" w:hAnsi="Arial"/>
                <w:sz w:val="20"/>
                <w:lang w:val="tr-TR"/>
              </w:rPr>
              <w:t>a</w:t>
            </w:r>
          </w:p>
        </w:tc>
        <w:tc>
          <w:tcPr>
            <w:tcW w:w="1748"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98,88</w:t>
            </w:r>
            <w:r>
              <w:rPr>
                <w:rFonts w:ascii="Arial" w:cs="Arial" w:eastAsia="Times New Roman" w:hAnsi="Arial"/>
                <w:sz w:val="20"/>
                <w:vertAlign w:val="superscript"/>
                <w:lang w:val="tr-TR"/>
              </w:rPr>
              <w:t xml:space="preserve">±8,41 </w:t>
            </w:r>
            <w:r>
              <w:rPr>
                <w:rFonts w:ascii="Arial" w:cs="Arial" w:eastAsia="Times New Roman" w:hAnsi="Arial"/>
                <w:sz w:val="20"/>
                <w:lang w:val="tr-TR"/>
              </w:rPr>
              <w:t>a</w:t>
            </w:r>
          </w:p>
        </w:tc>
        <w:tc>
          <w:tcPr>
            <w:tcW w:w="1554"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35,00</w:t>
            </w:r>
            <w:r>
              <w:rPr>
                <w:rFonts w:ascii="Arial" w:cs="Arial" w:eastAsia="Times New Roman" w:hAnsi="Arial"/>
                <w:sz w:val="20"/>
                <w:vertAlign w:val="superscript"/>
                <w:lang w:val="tr-TR"/>
              </w:rPr>
              <w:t>±14,99</w:t>
            </w:r>
            <w:r>
              <w:rPr>
                <w:rFonts w:ascii="Arial" w:cs="Arial" w:eastAsia="Times New Roman" w:hAnsi="Arial"/>
                <w:sz w:val="20"/>
                <w:lang w:val="tr-TR"/>
              </w:rPr>
              <w:t xml:space="preserve"> b</w:t>
            </w:r>
          </w:p>
        </w:tc>
        <w:tc>
          <w:tcPr>
            <w:tcW w:w="1562"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86,25</w:t>
            </w:r>
            <w:r>
              <w:rPr>
                <w:rFonts w:ascii="Arial" w:cs="Arial" w:eastAsia="Times New Roman" w:hAnsi="Arial"/>
                <w:sz w:val="20"/>
                <w:vertAlign w:val="superscript"/>
                <w:lang w:val="tr-TR"/>
              </w:rPr>
              <w:t>±3,99</w:t>
            </w:r>
            <w:r>
              <w:rPr>
                <w:rFonts w:ascii="Arial" w:cs="Arial" w:eastAsia="Times New Roman" w:hAnsi="Arial"/>
                <w:sz w:val="20"/>
                <w:lang w:val="tr-TR"/>
              </w:rPr>
              <w:t xml:space="preserve"> a</w:t>
            </w:r>
          </w:p>
        </w:tc>
      </w:tr>
      <w:tr>
        <w:tblPrEx/>
        <w:trPr/>
        <w:tc>
          <w:tcPr>
            <w:tcW w:w="1892" w:type="dxa"/>
            <w:tcBorders/>
          </w:tcPr>
          <w:p>
            <w:pPr>
              <w:pStyle w:val="style4099"/>
              <w:spacing w:after="0"/>
              <w:rPr>
                <w:rFonts w:ascii="Arial" w:cs="Arial" w:eastAsia="Times New Roman" w:hAnsi="Arial"/>
                <w:sz w:val="20"/>
                <w:lang w:val="tr-TR"/>
              </w:rPr>
            </w:pPr>
            <w:r>
              <w:rPr>
                <w:rFonts w:ascii="Arial" w:cs="Arial" w:eastAsia="Times New Roman" w:hAnsi="Arial"/>
                <w:i/>
                <w:iCs/>
                <w:sz w:val="20"/>
                <w:lang w:val="tr-TR"/>
              </w:rPr>
              <w:t>P</w:t>
            </w:r>
            <w:r>
              <w:rPr>
                <w:rFonts w:ascii="Arial" w:cs="Arial" w:eastAsia="Times New Roman" w:hAnsi="Arial"/>
                <w:sz w:val="20"/>
                <w:lang w:val="tr-TR"/>
              </w:rPr>
              <w:t xml:space="preserve"> value</w:t>
            </w:r>
          </w:p>
        </w:tc>
        <w:tc>
          <w:tcPr>
            <w:tcW w:w="1668"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p&lt;0,001</w:t>
            </w:r>
          </w:p>
        </w:tc>
        <w:tc>
          <w:tcPr>
            <w:tcW w:w="1748"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p&lt;0,001</w:t>
            </w:r>
          </w:p>
        </w:tc>
        <w:tc>
          <w:tcPr>
            <w:tcW w:w="1554"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p&lt;0,001</w:t>
            </w:r>
          </w:p>
        </w:tc>
        <w:tc>
          <w:tcPr>
            <w:tcW w:w="1562"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p&lt;0,001</w:t>
            </w:r>
          </w:p>
        </w:tc>
      </w:tr>
      <w:tr>
        <w:tblPrEx/>
        <w:trPr/>
        <w:tc>
          <w:tcPr>
            <w:tcW w:w="1892" w:type="dxa"/>
            <w:tcBorders>
              <w:bottom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Mean </w:t>
            </w:r>
          </w:p>
        </w:tc>
        <w:tc>
          <w:tcPr>
            <w:tcW w:w="1668"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84,13</w:t>
            </w:r>
            <w:r>
              <w:rPr>
                <w:rFonts w:ascii="Arial" w:cs="Arial" w:eastAsia="Times New Roman" w:hAnsi="Arial"/>
                <w:sz w:val="20"/>
                <w:vertAlign w:val="superscript"/>
                <w:lang w:val="tr-TR"/>
              </w:rPr>
              <w:t>±42,74</w:t>
            </w:r>
          </w:p>
        </w:tc>
        <w:tc>
          <w:tcPr>
            <w:tcW w:w="1748"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83,75</w:t>
            </w:r>
            <w:r>
              <w:rPr>
                <w:rFonts w:ascii="Arial" w:cs="Arial" w:eastAsia="Times New Roman" w:hAnsi="Arial"/>
                <w:sz w:val="20"/>
                <w:vertAlign w:val="superscript"/>
                <w:lang w:val="tr-TR"/>
              </w:rPr>
              <w:t>±18,23</w:t>
            </w:r>
          </w:p>
        </w:tc>
        <w:tc>
          <w:tcPr>
            <w:tcW w:w="155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58,25</w:t>
            </w:r>
            <w:r>
              <w:rPr>
                <w:rFonts w:ascii="Arial" w:cs="Arial" w:eastAsia="Times New Roman" w:hAnsi="Arial"/>
                <w:sz w:val="20"/>
                <w:vertAlign w:val="superscript"/>
                <w:lang w:val="tr-TR"/>
              </w:rPr>
              <w:t>±27,39</w:t>
            </w:r>
          </w:p>
        </w:tc>
        <w:tc>
          <w:tcPr>
            <w:tcW w:w="1562"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75,44</w:t>
            </w:r>
            <w:r>
              <w:rPr>
                <w:rFonts w:ascii="Arial" w:cs="Arial" w:eastAsia="Times New Roman" w:hAnsi="Arial"/>
                <w:sz w:val="20"/>
                <w:vertAlign w:val="superscript"/>
                <w:lang w:val="tr-TR"/>
              </w:rPr>
              <w:t>±11,84</w:t>
            </w:r>
          </w:p>
        </w:tc>
      </w:tr>
    </w:tbl>
    <w:p>
      <w:pPr>
        <w:pStyle w:val="style4099"/>
        <w:rPr>
          <w:rFonts w:ascii="Arial" w:cs="Arial" w:hAnsi="Arial"/>
          <w:lang w:val="tr-TR"/>
        </w:rPr>
      </w:pPr>
      <w:r>
        <w:rPr>
          <w:rFonts w:ascii="Arial" w:cs="Arial" w:hAnsi="Arial"/>
        </w:rPr>
        <w:t xml:space="preserve">Data represent means ± S.E. (n = 8). Tukey test was used to </w:t>
      </w:r>
      <w:r>
        <w:rPr>
          <w:rFonts w:ascii="Arial" w:cs="Arial" w:hAnsi="Arial"/>
        </w:rPr>
        <w:t>analyse</w:t>
      </w:r>
      <w:r>
        <w:rPr>
          <w:rFonts w:ascii="Arial" w:cs="Arial" w:hAnsi="Arial"/>
        </w:rPr>
        <w:t xml:space="preserve"> significant differences in data, and letters represent differences at </w:t>
      </w:r>
      <w:r>
        <w:rPr>
          <w:rFonts w:ascii="Arial" w:cs="Arial" w:hAnsi="Arial"/>
          <w:i/>
        </w:rPr>
        <w:t xml:space="preserve">P </w:t>
      </w:r>
      <w:r>
        <w:rPr>
          <w:rFonts w:ascii="Arial" w:cs="Arial" w:hAnsi="Arial"/>
        </w:rPr>
        <w:t>&lt; 0.001</w:t>
      </w:r>
    </w:p>
    <w:p>
      <w:pPr>
        <w:pStyle w:val="style0"/>
        <w:jc w:val="both"/>
        <w:rPr>
          <w:rFonts w:ascii="Arial" w:cs="Arial" w:hAnsi="Arial"/>
        </w:rPr>
      </w:pPr>
      <w:r>
        <w:rPr>
          <w:rFonts w:ascii="Arial" w:cs="Arial" w:hAnsi="Arial"/>
        </w:rPr>
        <w:t>The width of mycelium, length-width of macroconidia, and microconidia were measured on the 15th day of incubation. Data indicates that the length and width of macroconidia were higher in the incubation at 20 °C than 27 °C (Table 3, Figures 2 &amp; 4). Although this has not been evaluated, it should be noted that it produced very few macroconidia at 20 °C. Microconidia length showed no statistically significant differences between incubation temperatures, but width was narrow at 20 °C, as was the mycelium width (Table 4, Figures 2 &amp; 4), which also showed statistically significant differences towards narrowing at lower temperatures.</w:t>
      </w:r>
    </w:p>
    <w:p>
      <w:pPr>
        <w:pStyle w:val="style4099"/>
        <w:spacing w:after="0"/>
        <w:rPr>
          <w:rFonts w:ascii="Arial" w:cs="Arial" w:hAnsi="Arial"/>
        </w:rPr>
      </w:pPr>
    </w:p>
    <w:p>
      <w:pPr>
        <w:pStyle w:val="style4099"/>
        <w:spacing w:after="0"/>
        <w:rPr>
          <w:rFonts w:ascii="Arial" w:cs="Arial" w:hAnsi="Arial"/>
        </w:rPr>
      </w:pPr>
    </w:p>
    <w:p>
      <w:pPr>
        <w:pStyle w:val="style0"/>
        <w:spacing w:lineRule="auto" w:line="480"/>
        <w:rPr>
          <w:rFonts w:ascii="Times New Roman" w:hAnsi="Times New Roman"/>
        </w:rPr>
      </w:pPr>
    </w:p>
    <w:p>
      <w:pPr>
        <w:pStyle w:val="style0"/>
        <w:spacing w:lineRule="auto" w:line="480"/>
        <w:rPr>
          <w:rFonts w:ascii="Times New Roman" w:hAnsi="Times New Roman"/>
        </w:rPr>
      </w:pPr>
      <w:r>
        <w:rPr>
          <w:noProof/>
        </w:rPr>
        <mc:AlternateContent>
          <mc:Choice Requires="wpg">
            <w:drawing>
              <wp:anchor distT="0" distB="0" distL="0" distR="0" simplePos="false" relativeHeight="9" behindDoc="false" locked="false" layoutInCell="true" allowOverlap="true">
                <wp:simplePos x="0" y="0"/>
                <wp:positionH relativeFrom="column">
                  <wp:posOffset>59055</wp:posOffset>
                </wp:positionH>
                <wp:positionV relativeFrom="paragraph">
                  <wp:posOffset>3810</wp:posOffset>
                </wp:positionV>
                <wp:extent cx="2587625" cy="1936750"/>
                <wp:effectExtent l="0" t="0" r="22225" b="25400"/>
                <wp:wrapNone/>
                <wp:docPr id="1027" name="Group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587625" cy="1936750"/>
                          <a:chOff x="0" y="0"/>
                          <a:chExt cx="2587625" cy="1936865"/>
                        </a:xfrm>
                      </wpg:grpSpPr>
                      <wps:wsp>
                        <wps:cNvSpPr/>
                        <wps:spPr>
                          <a:xfrm rot="0">
                            <a:off x="0" y="0"/>
                            <a:ext cx="282575" cy="260350"/>
                          </a:xfrm>
                          <a:prstGeom prst="rect"/>
                          <a:ln cmpd="sng" cap="flat" w="6350">
                            <a:solidFill>
                              <a:srgbClr val="000000"/>
                            </a:solidFill>
                            <a:prstDash val="solid"/>
                            <a:round/>
                            <a:headEnd len="med" w="med" type="none"/>
                            <a:tailEnd len="med" w="med" type="none"/>
                          </a:ln>
                        </wps:spPr>
                        <wps:txbx id="1028">
                          <w:txbxContent>
                            <w:p>
                              <w:pPr>
                                <w:pStyle w:val="style0"/>
                                <w:rPr>
                                  <w:b/>
                                  <w:lang w:val="tr-TR"/>
                                </w:rPr>
                              </w:pPr>
                              <w:r>
                                <w:rPr>
                                  <w:b/>
                                  <w:lang w:val="tr-TR"/>
                                </w:rPr>
                                <w:t>a</w:t>
                              </w:r>
                            </w:p>
                          </w:txbxContent>
                        </wps:txbx>
                        <wps:bodyPr lIns="91440" rIns="91440" tIns="45720" bIns="45720" vert="horz" anchor="t" wrap="square">
                          <a:prstTxWarp prst="textNoShape"/>
                          <a:noAutofit/>
                        </wps:bodyPr>
                      </wps:wsp>
                      <wps:wsp>
                        <wps:cNvSpPr/>
                        <wps:spPr>
                          <a:xfrm rot="0">
                            <a:off x="2276475" y="0"/>
                            <a:ext cx="282575" cy="260350"/>
                          </a:xfrm>
                          <a:prstGeom prst="rect"/>
                          <a:ln cmpd="sng" cap="flat" w="6350">
                            <a:solidFill>
                              <a:srgbClr val="000000"/>
                            </a:solidFill>
                            <a:prstDash val="solid"/>
                            <a:round/>
                            <a:headEnd len="med" w="med" type="none"/>
                            <a:tailEnd len="med" w="med" type="none"/>
                          </a:ln>
                        </wps:spPr>
                        <wps:txbx id="1029">
                          <w:txbxContent>
                            <w:p>
                              <w:pPr>
                                <w:pStyle w:val="style0"/>
                                <w:rPr>
                                  <w:b/>
                                  <w:lang w:val="tr-TR"/>
                                </w:rPr>
                              </w:pPr>
                              <w:r>
                                <w:rPr>
                                  <w:b/>
                                  <w:lang w:val="tr-TR"/>
                                </w:rPr>
                                <w:t>b</w:t>
                              </w:r>
                            </w:p>
                          </w:txbxContent>
                        </wps:txbx>
                        <wps:bodyPr lIns="91440" rIns="91440" tIns="45720" bIns="45720" vert="horz" anchor="t" wrap="square">
                          <a:prstTxWarp prst="textNoShape"/>
                          <a:noAutofit/>
                        </wps:bodyPr>
                      </wps:wsp>
                      <wps:wsp>
                        <wps:cNvSpPr/>
                        <wps:spPr>
                          <a:xfrm rot="0">
                            <a:off x="0" y="1676400"/>
                            <a:ext cx="282633" cy="260465"/>
                          </a:xfrm>
                          <a:prstGeom prst="rect"/>
                          <a:ln cmpd="sng" cap="flat" w="6350">
                            <a:solidFill>
                              <a:srgbClr val="000000"/>
                            </a:solidFill>
                            <a:prstDash val="solid"/>
                            <a:round/>
                            <a:headEnd len="med" w="med" type="none"/>
                            <a:tailEnd len="med" w="med" type="none"/>
                          </a:ln>
                        </wps:spPr>
                        <wps:txbx id="1030">
                          <w:txbxContent>
                            <w:p>
                              <w:pPr>
                                <w:pStyle w:val="style0"/>
                                <w:rPr>
                                  <w:b/>
                                  <w:lang w:val="tr-TR"/>
                                </w:rPr>
                              </w:pPr>
                              <w:r>
                                <w:rPr>
                                  <w:b/>
                                  <w:lang w:val="tr-TR"/>
                                </w:rPr>
                                <w:t>c</w:t>
                              </w:r>
                            </w:p>
                          </w:txbxContent>
                        </wps:txbx>
                        <wps:bodyPr lIns="91440" rIns="91440" tIns="45720" bIns="45720" vert="horz" anchor="t" wrap="square">
                          <a:prstTxWarp prst="textNoShape"/>
                          <a:noAutofit/>
                        </wps:bodyPr>
                      </wps:wsp>
                      <wps:wsp>
                        <wps:cNvSpPr/>
                        <wps:spPr>
                          <a:xfrm rot="0">
                            <a:off x="2305050" y="1676400"/>
                            <a:ext cx="282575" cy="260350"/>
                          </a:xfrm>
                          <a:prstGeom prst="rect"/>
                          <a:ln cmpd="sng" cap="flat" w="6350">
                            <a:solidFill>
                              <a:srgbClr val="000000"/>
                            </a:solidFill>
                            <a:prstDash val="solid"/>
                            <a:round/>
                            <a:headEnd len="med" w="med" type="none"/>
                            <a:tailEnd len="med" w="med" type="none"/>
                          </a:ln>
                        </wps:spPr>
                        <wps:txbx id="1031">
                          <w:txbxContent>
                            <w:p>
                              <w:pPr>
                                <w:pStyle w:val="style0"/>
                                <w:rPr>
                                  <w:b/>
                                  <w:lang w:val="tr-TR"/>
                                </w:rPr>
                              </w:pPr>
                              <w:r>
                                <w:rPr>
                                  <w:b/>
                                  <w:lang w:val="tr-TR"/>
                                </w:rPr>
                                <w:t>d</w:t>
                              </w:r>
                            </w:p>
                          </w:txbxContent>
                        </wps:txbx>
                        <wps:bodyPr lIns="91440" rIns="91440" tIns="45720" bIns="45720" vert="horz" anchor="t" wrap="squar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27" filled="f" stroked="f" style="position:absolute;margin-left:4.65pt;margin-top:0.3pt;width:203.75pt;height:152.5pt;z-index:9;mso-position-horizontal-relative:text;mso-position-vertical-relative:text;mso-width-percent:0;mso-height-percent:0;mso-width-relative:page;mso-height-relative:page;mso-wrap-distance-left:0.0pt;mso-wrap-distance-right:0.0pt;visibility:visible;" coordsize="2587625,1936865">
                <v:rect id="1028" filled="f" stroked="t" style="position:absolute;left:0;top:0;width:282575;height:260350;z-index:2;mso-position-horizontal-relative:page;mso-position-vertical-relative:page;mso-width-relative:page;mso-height-relative:page;visibility:visible;">
                  <v:stroke weight="0.5pt"/>
                  <v:fill/>
                  <v:textbox inset="7.2pt,3.6pt,7.2pt,3.6pt">
                    <w:txbxContent>
                      <w:p>
                        <w:pPr>
                          <w:pStyle w:val="style0"/>
                          <w:rPr>
                            <w:b/>
                            <w:lang w:val="tr-TR"/>
                          </w:rPr>
                        </w:pPr>
                        <w:r>
                          <w:rPr>
                            <w:b/>
                            <w:lang w:val="tr-TR"/>
                          </w:rPr>
                          <w:t>a</w:t>
                        </w:r>
                      </w:p>
                    </w:txbxContent>
                  </v:textbox>
                </v:rect>
                <v:rect id="1029" filled="f" stroked="t" style="position:absolute;left:2276475;top:0;width:282575;height:260350;z-index:3;mso-position-horizontal-relative:page;mso-position-vertical-relative:page;mso-width-relative:page;mso-height-relative:page;visibility:visible;">
                  <v:stroke weight="0.5pt"/>
                  <v:fill/>
                  <v:textbox inset="7.2pt,3.6pt,7.2pt,3.6pt">
                    <w:txbxContent>
                      <w:p>
                        <w:pPr>
                          <w:pStyle w:val="style0"/>
                          <w:rPr>
                            <w:b/>
                            <w:lang w:val="tr-TR"/>
                          </w:rPr>
                        </w:pPr>
                        <w:r>
                          <w:rPr>
                            <w:b/>
                            <w:lang w:val="tr-TR"/>
                          </w:rPr>
                          <w:t>b</w:t>
                        </w:r>
                      </w:p>
                    </w:txbxContent>
                  </v:textbox>
                </v:rect>
                <v:rect id="1030" filled="f" stroked="t" style="position:absolute;left:0;top:1676400;width:282633;height:260465;z-index:4;mso-position-horizontal-relative:page;mso-position-vertical-relative:page;mso-width-relative:page;mso-height-relative:page;visibility:visible;">
                  <v:stroke weight="0.5pt"/>
                  <v:fill/>
                  <v:textbox inset="7.2pt,3.6pt,7.2pt,3.6pt">
                    <w:txbxContent>
                      <w:p>
                        <w:pPr>
                          <w:pStyle w:val="style0"/>
                          <w:rPr>
                            <w:b/>
                            <w:lang w:val="tr-TR"/>
                          </w:rPr>
                        </w:pPr>
                        <w:r>
                          <w:rPr>
                            <w:b/>
                            <w:lang w:val="tr-TR"/>
                          </w:rPr>
                          <w:t>c</w:t>
                        </w:r>
                      </w:p>
                    </w:txbxContent>
                  </v:textbox>
                </v:rect>
                <v:rect id="1031" filled="f" stroked="t" style="position:absolute;left:2305050;top:1676400;width:282575;height:260350;z-index:5;mso-position-horizontal-relative:page;mso-position-vertical-relative:page;mso-width-relative:page;mso-height-relative:page;visibility:visible;">
                  <v:stroke weight="0.5pt"/>
                  <v:fill/>
                  <v:textbox inset="7.2pt,3.6pt,7.2pt,3.6pt">
                    <w:txbxContent>
                      <w:p>
                        <w:pPr>
                          <w:pStyle w:val="style0"/>
                          <w:rPr>
                            <w:b/>
                            <w:lang w:val="tr-TR"/>
                          </w:rPr>
                        </w:pPr>
                        <w:r>
                          <w:rPr>
                            <w:b/>
                            <w:lang w:val="tr-TR"/>
                          </w:rPr>
                          <w:t>d</w:t>
                        </w:r>
                      </w:p>
                    </w:txbxContent>
                  </v:textbox>
                </v:rect>
                <v:fill/>
              </v:group>
            </w:pict>
          </mc:Fallback>
        </mc:AlternateContent>
      </w:r>
      <w:r>
        <w:rPr>
          <w:rFonts w:ascii="Times New Roman" w:hAnsi="Times New Roman"/>
        </w:rPr>
        <w:t xml:space="preserve"> </w:t>
      </w:r>
      <w:r>
        <w:rPr>
          <w:rFonts w:ascii="Times New Roman" w:hAnsi="Times New Roman"/>
          <w:noProof/>
        </w:rPr>
        <w:drawing>
          <wp:anchor distT="0" distB="0" distL="114300" distR="114300" simplePos="false" relativeHeight="2" behindDoc="true" locked="false" layoutInCell="true" allowOverlap="true">
            <wp:simplePos x="0" y="0"/>
            <wp:positionH relativeFrom="column">
              <wp:posOffset>2329180</wp:posOffset>
            </wp:positionH>
            <wp:positionV relativeFrom="paragraph">
              <wp:posOffset>1669415</wp:posOffset>
            </wp:positionV>
            <wp:extent cx="2207895" cy="1484630"/>
            <wp:effectExtent l="0" t="0" r="1905" b="1270"/>
            <wp:wrapTight wrapText="bothSides">
              <wp:wrapPolygon edited="false">
                <wp:start x="0" y="0"/>
                <wp:lineTo x="0" y="21341"/>
                <wp:lineTo x="21432" y="21341"/>
                <wp:lineTo x="21432" y="0"/>
                <wp:lineTo x="0" y="0"/>
              </wp:wrapPolygon>
            </wp:wrapTight>
            <wp:docPr id="1032" name="Resim 6" descr="harita içeren bir resim&#10;&#10;Yapay zeka tarafından oluşturulan içerik yanlış olabili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Resim 6"/>
                    <pic:cNvPicPr/>
                  </pic:nvPicPr>
                  <pic:blipFill>
                    <a:blip r:embed="rId5" cstate="print"/>
                    <a:srcRect l="0" t="0" r="0" b="0"/>
                    <a:stretch/>
                  </pic:blipFill>
                  <pic:spPr>
                    <a:xfrm rot="0">
                      <a:off x="0" y="0"/>
                      <a:ext cx="2207895" cy="1484630"/>
                    </a:xfrm>
                    <a:prstGeom prst="rect"/>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false" relativeHeight="6" behindDoc="false" locked="false" layoutInCell="true" allowOverlap="true">
                <wp:simplePos x="0" y="0"/>
                <wp:positionH relativeFrom="column">
                  <wp:posOffset>617855</wp:posOffset>
                </wp:positionH>
                <wp:positionV relativeFrom="paragraph">
                  <wp:posOffset>826770</wp:posOffset>
                </wp:positionV>
                <wp:extent cx="269875" cy="45719"/>
                <wp:effectExtent l="0" t="38100" r="34925" b="87630"/>
                <wp:wrapNone/>
                <wp:docPr id="1033" name="Düz Ok Bağlayıcısı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9875" cy="45719"/>
                        </a:xfrm>
                        <a:prstGeom prst="straightConnector1"/>
                        <a:ln cmpd="sng" cap="flat" w="9525">
                          <a:solidFill>
                            <a:srgbClr val="4a7dba"/>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3" type="#_x0000_t32" filled="f" style="position:absolute;margin-left:48.65pt;margin-top:65.1pt;width:21.25pt;height:3.6pt;z-index:6;mso-position-horizontal-relative:text;mso-position-vertical-relative:text;mso-width-percent:0;mso-height-percent:0;mso-width-relative:margin;mso-height-relative:margin;mso-wrap-distance-left:0.0pt;mso-wrap-distance-right:0.0pt;visibility:visible;">
                <v:stroke endarrow="block" color="#4a7dba"/>
                <v:fill/>
              </v:shape>
            </w:pict>
          </mc:Fallback>
        </mc:AlternateContent>
      </w:r>
      <w:r>
        <w:rPr>
          <w:noProof/>
        </w:rPr>
        <mc:AlternateContent>
          <mc:Choice Requires="wps">
            <w:drawing>
              <wp:anchor distT="0" distB="0" distL="0" distR="0" simplePos="false" relativeHeight="7" behindDoc="false" locked="false" layoutInCell="true" allowOverlap="true">
                <wp:simplePos x="0" y="0"/>
                <wp:positionH relativeFrom="column">
                  <wp:posOffset>3278505</wp:posOffset>
                </wp:positionH>
                <wp:positionV relativeFrom="paragraph">
                  <wp:posOffset>728345</wp:posOffset>
                </wp:positionV>
                <wp:extent cx="269875" cy="45719"/>
                <wp:effectExtent l="0" t="38100" r="34925" b="87630"/>
                <wp:wrapNone/>
                <wp:docPr id="1034" name="Düz Ok Bağlayıcısı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9875" cy="45719"/>
                        </a:xfrm>
                        <a:prstGeom prst="straightConnector1"/>
                        <a:ln cmpd="sng" cap="flat" w="9525">
                          <a:solidFill>
                            <a:srgbClr val="4a7dba"/>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4" type="#_x0000_t32" filled="f" style="position:absolute;margin-left:258.15pt;margin-top:57.35pt;width:21.25pt;height:3.6pt;z-index:7;mso-position-horizontal-relative:text;mso-position-vertical-relative:text;mso-width-percent:0;mso-height-percent:0;mso-width-relative:margin;mso-height-relative:margin;mso-wrap-distance-left:0.0pt;mso-wrap-distance-right:0.0pt;visibility:visible;">
                <v:stroke endarrow="block" color="#4a7dba"/>
                <v:fill/>
              </v:shape>
            </w:pict>
          </mc:Fallback>
        </mc:AlternateContent>
      </w:r>
      <w:r>
        <w:rPr>
          <w:noProof/>
        </w:rPr>
        <mc:AlternateContent>
          <mc:Choice Requires="wps">
            <w:drawing>
              <wp:anchor distT="0" distB="0" distL="0" distR="0" simplePos="false" relativeHeight="8" behindDoc="false" locked="false" layoutInCell="true" allowOverlap="true">
                <wp:simplePos x="0" y="0"/>
                <wp:positionH relativeFrom="column">
                  <wp:posOffset>2976880</wp:posOffset>
                </wp:positionH>
                <wp:positionV relativeFrom="paragraph">
                  <wp:posOffset>823595</wp:posOffset>
                </wp:positionV>
                <wp:extent cx="269875" cy="45719"/>
                <wp:effectExtent l="0" t="38100" r="34925" b="87630"/>
                <wp:wrapNone/>
                <wp:docPr id="1035" name="Düz Ok Bağlayıcısı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9875" cy="45719"/>
                        </a:xfrm>
                        <a:prstGeom prst="straightConnector1"/>
                        <a:ln cmpd="sng" cap="flat" w="9525">
                          <a:solidFill>
                            <a:srgbClr val="4a7dba"/>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5" type="#_x0000_t32" filled="f" style="position:absolute;margin-left:234.4pt;margin-top:64.85pt;width:21.25pt;height:3.6pt;z-index:8;mso-position-horizontal-relative:text;mso-position-vertical-relative:text;mso-width-percent:0;mso-height-percent:0;mso-width-relative:margin;mso-height-relative:margin;mso-wrap-distance-left:0.0pt;mso-wrap-distance-right:0.0pt;visibility:visible;">
                <v:stroke endarrow="block" color="#4a7dba"/>
                <v:fill/>
              </v:shape>
            </w:pict>
          </mc:Fallback>
        </mc:AlternateContent>
      </w:r>
      <w:r>
        <w:rPr>
          <w:noProof/>
        </w:rPr>
        <mc:AlternateContent>
          <mc:Choice Requires="wps">
            <w:drawing>
              <wp:anchor distT="0" distB="0" distL="0" distR="0" simplePos="false" relativeHeight="5" behindDoc="false" locked="false" layoutInCell="true" allowOverlap="true">
                <wp:simplePos x="0" y="0"/>
                <wp:positionH relativeFrom="column">
                  <wp:posOffset>700405</wp:posOffset>
                </wp:positionH>
                <wp:positionV relativeFrom="paragraph">
                  <wp:posOffset>1162050</wp:posOffset>
                </wp:positionV>
                <wp:extent cx="269873" cy="45719"/>
                <wp:effectExtent l="0" t="38100" r="34925" b="87630"/>
                <wp:wrapNone/>
                <wp:docPr id="1036" name="Düz Ok Bağlayıcısı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9873" cy="45719"/>
                        </a:xfrm>
                        <a:prstGeom prst="straightConnector1"/>
                        <a:ln cmpd="sng" cap="flat" w="9525">
                          <a:solidFill>
                            <a:srgbClr val="4a7dba"/>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6" type="#_x0000_t32" filled="f" style="position:absolute;margin-left:55.15pt;margin-top:91.5pt;width:21.25pt;height:3.6pt;z-index:5;mso-position-horizontal-relative:text;mso-position-vertical-relative:text;mso-width-percent:0;mso-height-percent:0;mso-width-relative:margin;mso-height-relative:margin;mso-wrap-distance-left:0.0pt;mso-wrap-distance-right:0.0pt;visibility:visible;">
                <v:stroke endarrow="block" color="#4a7dba"/>
                <v:fill/>
              </v:shape>
            </w:pict>
          </mc:Fallback>
        </mc:AlternateContent>
      </w:r>
      <w:r>
        <w:rPr>
          <w:rFonts w:ascii="Times New Roman" w:hAnsi="Times New Roman"/>
          <w:noProof/>
        </w:rPr>
        <w:drawing>
          <wp:inline distL="0" distT="0" distB="0" distR="0">
            <wp:extent cx="2239608" cy="1505534"/>
            <wp:effectExtent l="0" t="0" r="8890" b="0"/>
            <wp:docPr id="1037" name="Resim 8" descr="ekran görüntüsü içeren bir resim&#10;&#10;Yapay zeka tarafından oluşturulan içerik yanlış olabili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Resim 8"/>
                    <pic:cNvPicPr/>
                  </pic:nvPicPr>
                  <pic:blipFill>
                    <a:blip r:embed="rId6" cstate="print"/>
                    <a:srcRect l="0" t="0" r="0" b="0"/>
                    <a:stretch/>
                  </pic:blipFill>
                  <pic:spPr>
                    <a:xfrm rot="0">
                      <a:off x="0" y="0"/>
                      <a:ext cx="2239608" cy="1505534"/>
                    </a:xfrm>
                    <a:prstGeom prst="rect"/>
                    <a:ln>
                      <a:noFill/>
                    </a:ln>
                  </pic:spPr>
                </pic:pic>
              </a:graphicData>
            </a:graphic>
          </wp:inline>
        </w:drawing>
      </w:r>
      <w:r>
        <w:rPr>
          <w:rFonts w:ascii="Times New Roman" w:hAnsi="Times New Roman"/>
        </w:rPr>
        <w:t xml:space="preserve"> </w:t>
      </w:r>
      <w:r>
        <w:rPr>
          <w:rFonts w:ascii="Times New Roman" w:hAnsi="Times New Roman"/>
          <w:noProof/>
        </w:rPr>
        <w:drawing>
          <wp:inline distL="0" distT="0" distB="0" distR="0">
            <wp:extent cx="2238375" cy="1504942"/>
            <wp:effectExtent l="0" t="0" r="0" b="635"/>
            <wp:docPr id="1038" name="Resim 10" descr="ekran görüntüsü, metin içeren bir resim&#10;&#10;Yapay zeka tarafından oluşturulan içerik yanlış olabili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Resim 10"/>
                    <pic:cNvPicPr/>
                  </pic:nvPicPr>
                  <pic:blipFill>
                    <a:blip r:embed="rId7" cstate="print"/>
                    <a:srcRect l="0" t="0" r="0" b="0"/>
                    <a:stretch/>
                  </pic:blipFill>
                  <pic:spPr>
                    <a:xfrm rot="0">
                      <a:off x="0" y="0"/>
                      <a:ext cx="2238375" cy="1504942"/>
                    </a:xfrm>
                    <a:prstGeom prst="rect"/>
                    <a:ln>
                      <a:noFill/>
                    </a:ln>
                  </pic:spPr>
                </pic:pic>
              </a:graphicData>
            </a:graphic>
          </wp:inline>
        </w:drawing>
      </w:r>
      <w:r>
        <w:rPr>
          <w:rFonts w:ascii="Times New Roman" w:hAnsi="Times New Roman"/>
          <w:noProof/>
        </w:rPr>
        <w:drawing>
          <wp:inline distL="0" distT="0" distB="0" distR="0">
            <wp:extent cx="2208362" cy="1484763"/>
            <wp:effectExtent l="0" t="0" r="1905" b="1270"/>
            <wp:docPr id="1039" name="Resim 2" descr="metin, harita içeren bir resim&#10;&#10;Yapay zeka tarafından oluşturulan içerik yanlış olabili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Resim 2"/>
                    <pic:cNvPicPr/>
                  </pic:nvPicPr>
                  <pic:blipFill>
                    <a:blip r:embed="rId8" cstate="print"/>
                    <a:srcRect l="0" t="0" r="0" b="0"/>
                    <a:stretch/>
                  </pic:blipFill>
                  <pic:spPr>
                    <a:xfrm rot="0">
                      <a:off x="0" y="0"/>
                      <a:ext cx="2208362" cy="1484763"/>
                    </a:xfrm>
                    <a:prstGeom prst="rect"/>
                    <a:ln>
                      <a:noFill/>
                    </a:ln>
                    <a:effectLst>
                      <a:outerShdw rotWithShape="false" sx="1000" sy="1000" dist="0" dir="0" blurRad="0" kx="0" ky="0" algn="ctr">
                        <a:srgbClr val="000000"/>
                      </a:outerShdw>
                    </a:effectLst>
                  </pic:spPr>
                </pic:pic>
              </a:graphicData>
            </a:graphic>
          </wp:inline>
        </w:drawing>
      </w:r>
    </w:p>
    <w:p>
      <w:pPr>
        <w:pStyle w:val="style4099"/>
        <w:spacing w:after="0"/>
        <w:rPr>
          <w:rFonts w:ascii="Arial" w:cs="Arial" w:hAnsi="Arial"/>
        </w:rPr>
      </w:pPr>
      <w:r>
        <w:rPr>
          <w:rFonts w:ascii="Arial" w:cs="Arial" w:hAnsi="Arial"/>
          <w:b/>
        </w:rPr>
        <w:t>Fig 2.</w:t>
      </w:r>
      <w:r>
        <w:rPr>
          <w:rFonts w:ascii="Arial" w:cs="Arial" w:hAnsi="Arial"/>
        </w:rPr>
        <w:t xml:space="preserve"> </w:t>
      </w:r>
      <w:r>
        <w:rPr>
          <w:rFonts w:ascii="Arial" w:cs="Arial" w:hAnsi="Arial"/>
          <w:b/>
          <w:i/>
        </w:rPr>
        <w:t xml:space="preserve">F. </w:t>
      </w:r>
      <w:r>
        <w:rPr>
          <w:rFonts w:ascii="Arial" w:cs="Arial" w:hAnsi="Arial"/>
          <w:b/>
          <w:i/>
        </w:rPr>
        <w:t>oxysporum</w:t>
      </w:r>
      <w:r>
        <w:rPr>
          <w:rFonts w:ascii="Arial" w:cs="Arial" w:hAnsi="Arial"/>
          <w:b/>
        </w:rPr>
        <w:t xml:space="preserve"> from garlic on the 15</w:t>
      </w:r>
      <w:r>
        <w:rPr>
          <w:rFonts w:ascii="Arial" w:cs="Arial" w:hAnsi="Arial"/>
          <w:b/>
          <w:vertAlign w:val="superscript"/>
        </w:rPr>
        <w:t>th</w:t>
      </w:r>
      <w:r>
        <w:rPr>
          <w:rFonts w:ascii="Arial" w:cs="Arial" w:hAnsi="Arial"/>
          <w:b/>
        </w:rPr>
        <w:t xml:space="preserve"> day of culture a) Macroconidia view at 20 °C, b) Microconidia view at 27 °C, Mycelium characteristics of; c) at 20 °C, d) at 27 °C</w:t>
      </w:r>
    </w:p>
    <w:p>
      <w:pPr>
        <w:pStyle w:val="style4099"/>
        <w:spacing w:after="0"/>
        <w:rPr>
          <w:rFonts w:ascii="Arial" w:cs="Arial" w:hAnsi="Arial"/>
        </w:rPr>
      </w:pPr>
    </w:p>
    <w:p>
      <w:pPr>
        <w:pStyle w:val="style4099"/>
        <w:rPr>
          <w:rFonts w:ascii="Arial" w:cs="Arial" w:hAnsi="Arial"/>
          <w:b/>
          <w:lang w:val="tr-TR"/>
        </w:rPr>
      </w:pPr>
      <w:r>
        <w:rPr>
          <w:rFonts w:ascii="Arial" w:cs="Arial" w:hAnsi="Arial"/>
          <w:b/>
          <w:lang w:val="tr-TR"/>
        </w:rPr>
        <w:t xml:space="preserve">Table 3. Macroconidium and microconidium features of </w:t>
      </w:r>
      <w:r>
        <w:rPr>
          <w:rFonts w:ascii="Arial" w:cs="Arial" w:hAnsi="Arial"/>
          <w:b/>
          <w:i/>
          <w:iCs/>
          <w:lang w:val="tr-TR"/>
        </w:rPr>
        <w:t>F. oxysporum</w:t>
      </w:r>
      <w:r>
        <w:rPr>
          <w:rFonts w:ascii="Arial" w:cs="Arial" w:hAnsi="Arial"/>
          <w:b/>
          <w:lang w:val="tr-TR"/>
        </w:rPr>
        <w:t xml:space="preserve"> from </w:t>
      </w:r>
      <w:r>
        <w:rPr>
          <w:rFonts w:ascii="Arial" w:cs="Arial" w:hAnsi="Arial"/>
          <w:b/>
          <w:i/>
          <w:iCs/>
          <w:lang w:val="tr-TR"/>
        </w:rPr>
        <w:t>A. sativum</w:t>
      </w:r>
      <w:r>
        <w:rPr>
          <w:rFonts w:ascii="Arial" w:cs="Arial" w:hAnsi="Arial"/>
          <w:b/>
          <w:lang w:val="tr-TR"/>
        </w:rPr>
        <w:t xml:space="preserve"> at two different temperatures; 20 </w:t>
      </w:r>
      <w:r>
        <w:rPr>
          <w:rFonts w:ascii="Arial" w:cs="Arial" w:hAnsi="Arial"/>
          <w:b/>
          <w:bCs/>
        </w:rPr>
        <w:t>°C and</w:t>
      </w:r>
      <w:r>
        <w:rPr>
          <w:rFonts w:ascii="Arial" w:cs="Arial" w:hAnsi="Arial"/>
          <w:b/>
        </w:rPr>
        <w:t xml:space="preserve"> </w:t>
      </w:r>
      <w:r>
        <w:rPr>
          <w:rFonts w:ascii="Arial" w:cs="Arial" w:hAnsi="Arial"/>
          <w:b/>
          <w:lang w:val="tr-TR"/>
        </w:rPr>
        <w:t xml:space="preserve">27 </w:t>
      </w:r>
      <w:r>
        <w:rPr>
          <w:rFonts w:ascii="Arial" w:cs="Arial" w:hAnsi="Arial"/>
          <w:b/>
          <w:bCs/>
        </w:rPr>
        <w:t>°C</w:t>
      </w:r>
      <w:r>
        <w:rPr>
          <w:rFonts w:ascii="Arial" w:cs="Arial" w:hAnsi="Arial"/>
          <w:b/>
          <w:lang w:val="tr-TR"/>
        </w:rPr>
        <w:t xml:space="preserve"> on 15</w:t>
      </w:r>
      <w:r>
        <w:rPr>
          <w:rFonts w:ascii="Arial" w:cs="Arial" w:hAnsi="Arial"/>
          <w:b/>
          <w:vertAlign w:val="superscript"/>
          <w:lang w:val="tr-TR"/>
        </w:rPr>
        <w:t>th</w:t>
      </w:r>
      <w:r>
        <w:rPr>
          <w:rFonts w:ascii="Arial" w:cs="Arial" w:hAnsi="Arial"/>
          <w:b/>
          <w:lang w:val="tr-TR"/>
        </w:rPr>
        <w:t xml:space="preserve"> of culture</w:t>
      </w:r>
    </w:p>
    <w:tbl>
      <w:tblPr>
        <w:tblStyle w:val="style154"/>
        <w:tblpPr w:leftFromText="141" w:rightFromText="141" w:topFromText="0" w:bottomFromText="0" w:vertAnchor="text" w:horzAnchor="margin" w:tblpXSpec="left"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1656"/>
        <w:gridCol w:w="1714"/>
        <w:gridCol w:w="1543"/>
        <w:gridCol w:w="1549"/>
      </w:tblGrid>
      <w:tr>
        <w:trPr/>
        <w:tc>
          <w:tcPr>
            <w:tcW w:w="1812" w:type="dxa"/>
            <w:vMerge w:val="restart"/>
            <w:tcBorders>
              <w:top w:val="single" w:sz="4" w:space="0" w:color="auto"/>
            </w:tcBorders>
          </w:tcPr>
          <w:p>
            <w:pPr>
              <w:pStyle w:val="style4099"/>
              <w:spacing w:after="0"/>
              <w:rPr>
                <w:rFonts w:ascii="Arial" w:cs="Arial" w:eastAsia="Times New Roman" w:hAnsi="Arial"/>
                <w:b/>
                <w:sz w:val="20"/>
                <w:lang w:val="tr-TR"/>
              </w:rPr>
            </w:pPr>
            <w:r>
              <w:rPr>
                <w:rFonts w:ascii="Arial" w:cs="Arial" w:eastAsia="Times New Roman" w:hAnsi="Arial"/>
                <w:b/>
                <w:sz w:val="20"/>
                <w:lang w:val="tr-TR"/>
              </w:rPr>
              <w:t>Temperature</w:t>
            </w:r>
          </w:p>
        </w:tc>
        <w:tc>
          <w:tcPr>
            <w:tcW w:w="6612" w:type="dxa"/>
            <w:gridSpan w:val="4"/>
            <w:tcBorders>
              <w:top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Features of Macro and Microconidium Structures</w:t>
            </w:r>
          </w:p>
          <w:p>
            <w:pPr>
              <w:pStyle w:val="style4099"/>
              <w:spacing w:after="0"/>
              <w:jc w:val="center"/>
              <w:rPr>
                <w:rFonts w:ascii="Arial" w:cs="Arial" w:eastAsia="Times New Roman" w:hAnsi="Arial"/>
                <w:b/>
                <w:sz w:val="20"/>
                <w:lang w:val="tr-TR"/>
              </w:rPr>
            </w:pPr>
          </w:p>
        </w:tc>
      </w:tr>
      <w:tr>
        <w:tblPrEx/>
        <w:trPr/>
        <w:tc>
          <w:tcPr>
            <w:tcW w:w="1812" w:type="dxa"/>
            <w:vMerge w:val="continue"/>
            <w:tcBorders>
              <w:bottom w:val="single" w:sz="4" w:space="0" w:color="auto"/>
            </w:tcBorders>
          </w:tcPr>
          <w:p>
            <w:pPr>
              <w:pStyle w:val="style4099"/>
              <w:spacing w:after="0"/>
              <w:rPr>
                <w:rFonts w:ascii="Arial" w:cs="Arial" w:eastAsia="Times New Roman" w:hAnsi="Arial"/>
                <w:sz w:val="20"/>
                <w:lang w:val="tr-TR"/>
              </w:rPr>
            </w:pPr>
          </w:p>
        </w:tc>
        <w:tc>
          <w:tcPr>
            <w:tcW w:w="169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Macroconidia</w:t>
            </w:r>
          </w:p>
          <w:p>
            <w:pPr>
              <w:pStyle w:val="style4099"/>
              <w:spacing w:after="0"/>
              <w:jc w:val="center"/>
              <w:rPr>
                <w:rFonts w:ascii="Arial" w:cs="Arial" w:eastAsia="Times New Roman" w:hAnsi="Arial"/>
                <w:sz w:val="20"/>
                <w:lang w:val="tr-TR"/>
              </w:rPr>
            </w:pPr>
            <w:r>
              <w:rPr>
                <w:rFonts w:ascii="Arial" w:cs="Arial" w:eastAsia="Times New Roman" w:hAnsi="Arial"/>
                <w:sz w:val="20"/>
                <w:lang w:val="tr-TR"/>
              </w:rPr>
              <w:t>Length (</w:t>
            </w:r>
            <w:r>
              <w:rPr>
                <w:rFonts w:ascii="Arial" w:cs="Arial" w:eastAsia="Times New Roman" w:hAnsi="Arial"/>
                <w:sz w:val="20"/>
              </w:rPr>
              <w:t>μm</w:t>
            </w:r>
            <w:r>
              <w:rPr>
                <w:rFonts w:ascii="Arial" w:cs="Arial" w:eastAsia="Times New Roman" w:hAnsi="Arial"/>
                <w:sz w:val="20"/>
              </w:rPr>
              <w:t>)</w:t>
            </w:r>
          </w:p>
        </w:tc>
        <w:tc>
          <w:tcPr>
            <w:tcW w:w="176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Macroconidia</w:t>
            </w:r>
          </w:p>
          <w:p>
            <w:pPr>
              <w:pStyle w:val="style4099"/>
              <w:spacing w:after="0"/>
              <w:jc w:val="center"/>
              <w:rPr>
                <w:rFonts w:ascii="Arial" w:cs="Arial" w:eastAsia="Times New Roman" w:hAnsi="Arial"/>
                <w:sz w:val="20"/>
                <w:lang w:val="tr-TR"/>
              </w:rPr>
            </w:pPr>
            <w:r>
              <w:rPr>
                <w:rFonts w:ascii="Arial" w:cs="Arial" w:eastAsia="Times New Roman" w:hAnsi="Arial"/>
                <w:sz w:val="20"/>
                <w:lang w:val="tr-TR"/>
              </w:rPr>
              <w:t>Width (</w:t>
            </w:r>
            <w:r>
              <w:rPr>
                <w:rFonts w:ascii="Arial" w:cs="Arial" w:eastAsia="Times New Roman" w:hAnsi="Arial"/>
                <w:sz w:val="20"/>
              </w:rPr>
              <w:t>μm</w:t>
            </w:r>
            <w:r>
              <w:rPr>
                <w:rFonts w:ascii="Arial" w:cs="Arial" w:eastAsia="Times New Roman" w:hAnsi="Arial"/>
                <w:sz w:val="20"/>
              </w:rPr>
              <w:t>)</w:t>
            </w:r>
          </w:p>
        </w:tc>
        <w:tc>
          <w:tcPr>
            <w:tcW w:w="1573"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Microconidia</w:t>
            </w:r>
          </w:p>
          <w:p>
            <w:pPr>
              <w:pStyle w:val="style4099"/>
              <w:spacing w:after="0"/>
              <w:jc w:val="center"/>
              <w:rPr>
                <w:rFonts w:ascii="Arial" w:cs="Arial" w:eastAsia="Times New Roman" w:hAnsi="Arial"/>
                <w:sz w:val="20"/>
                <w:lang w:val="tr-TR"/>
              </w:rPr>
            </w:pPr>
            <w:r>
              <w:rPr>
                <w:rFonts w:ascii="Arial" w:cs="Arial" w:eastAsia="Times New Roman" w:hAnsi="Arial"/>
                <w:sz w:val="20"/>
                <w:lang w:val="tr-TR"/>
              </w:rPr>
              <w:t>Length (</w:t>
            </w:r>
            <w:r>
              <w:rPr>
                <w:rFonts w:ascii="Arial" w:cs="Arial" w:eastAsia="Times New Roman" w:hAnsi="Arial"/>
                <w:sz w:val="20"/>
              </w:rPr>
              <w:t>μm</w:t>
            </w:r>
            <w:r>
              <w:rPr>
                <w:rFonts w:ascii="Arial" w:cs="Arial" w:eastAsia="Times New Roman" w:hAnsi="Arial"/>
                <w:sz w:val="20"/>
              </w:rPr>
              <w:t>)</w:t>
            </w:r>
          </w:p>
        </w:tc>
        <w:tc>
          <w:tcPr>
            <w:tcW w:w="1580"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Microconidia</w:t>
            </w:r>
          </w:p>
          <w:p>
            <w:pPr>
              <w:pStyle w:val="style4099"/>
              <w:spacing w:after="0"/>
              <w:jc w:val="center"/>
              <w:rPr>
                <w:rFonts w:ascii="Arial" w:cs="Arial" w:eastAsia="Times New Roman" w:hAnsi="Arial"/>
                <w:sz w:val="20"/>
                <w:lang w:val="tr-TR"/>
              </w:rPr>
            </w:pPr>
            <w:r>
              <w:rPr>
                <w:rFonts w:ascii="Arial" w:cs="Arial" w:eastAsia="Times New Roman" w:hAnsi="Arial"/>
                <w:sz w:val="20"/>
                <w:lang w:val="tr-TR"/>
              </w:rPr>
              <w:t>Width (</w:t>
            </w:r>
            <w:r>
              <w:rPr>
                <w:rFonts w:ascii="Arial" w:cs="Arial" w:eastAsia="Times New Roman" w:hAnsi="Arial"/>
                <w:sz w:val="20"/>
              </w:rPr>
              <w:t>μm</w:t>
            </w:r>
            <w:r>
              <w:rPr>
                <w:rFonts w:ascii="Arial" w:cs="Arial" w:eastAsia="Times New Roman" w:hAnsi="Arial"/>
                <w:sz w:val="20"/>
              </w:rPr>
              <w:t>)</w:t>
            </w:r>
          </w:p>
        </w:tc>
      </w:tr>
      <w:tr>
        <w:tblPrEx/>
        <w:trPr/>
        <w:tc>
          <w:tcPr>
            <w:tcW w:w="1812" w:type="dxa"/>
            <w:tcBorders>
              <w:top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20 </w:t>
            </w:r>
            <w:r>
              <w:rPr>
                <w:rFonts w:ascii="Arial" w:cs="Arial" w:eastAsia="Times New Roman" w:hAnsi="Arial"/>
                <w:bCs/>
                <w:sz w:val="20"/>
              </w:rPr>
              <w:t xml:space="preserve">°C      </w:t>
            </w:r>
          </w:p>
        </w:tc>
        <w:tc>
          <w:tcPr>
            <w:tcW w:w="1695"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25,71</w:t>
            </w:r>
            <w:r>
              <w:rPr>
                <w:rFonts w:ascii="Arial" w:cs="Arial" w:eastAsia="Times New Roman" w:hAnsi="Arial"/>
                <w:sz w:val="20"/>
                <w:vertAlign w:val="superscript"/>
                <w:lang w:val="tr-TR"/>
              </w:rPr>
              <w:t>±5,85</w:t>
            </w:r>
            <w:r>
              <w:rPr>
                <w:rFonts w:ascii="Arial" w:cs="Arial" w:eastAsia="Times New Roman" w:hAnsi="Arial"/>
                <w:sz w:val="20"/>
                <w:lang w:val="tr-TR"/>
              </w:rPr>
              <w:t xml:space="preserve"> a</w:t>
            </w:r>
          </w:p>
        </w:tc>
        <w:tc>
          <w:tcPr>
            <w:tcW w:w="1764"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3,61</w:t>
            </w:r>
            <w:r>
              <w:rPr>
                <w:rFonts w:ascii="Arial" w:cs="Arial" w:eastAsia="Times New Roman" w:hAnsi="Arial"/>
                <w:sz w:val="20"/>
                <w:vertAlign w:val="superscript"/>
                <w:lang w:val="tr-TR"/>
              </w:rPr>
              <w:t>±0,63</w:t>
            </w:r>
            <w:r>
              <w:rPr>
                <w:rFonts w:ascii="Arial" w:cs="Arial" w:eastAsia="Times New Roman" w:hAnsi="Arial"/>
                <w:sz w:val="20"/>
                <w:lang w:val="tr-TR"/>
              </w:rPr>
              <w:t xml:space="preserve"> a</w:t>
            </w:r>
          </w:p>
        </w:tc>
        <w:tc>
          <w:tcPr>
            <w:tcW w:w="1573"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7,23</w:t>
            </w:r>
            <w:r>
              <w:rPr>
                <w:rFonts w:ascii="Arial" w:cs="Arial" w:eastAsia="Times New Roman" w:hAnsi="Arial"/>
                <w:sz w:val="20"/>
                <w:vertAlign w:val="superscript"/>
                <w:lang w:val="tr-TR"/>
              </w:rPr>
              <w:t>±1,04</w:t>
            </w:r>
          </w:p>
        </w:tc>
        <w:tc>
          <w:tcPr>
            <w:tcW w:w="1580"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2,47</w:t>
            </w:r>
            <w:r>
              <w:rPr>
                <w:rFonts w:ascii="Arial" w:cs="Arial" w:eastAsia="Times New Roman" w:hAnsi="Arial"/>
                <w:sz w:val="20"/>
                <w:vertAlign w:val="superscript"/>
                <w:lang w:val="tr-TR"/>
              </w:rPr>
              <w:t>±0,42</w:t>
            </w:r>
            <w:r>
              <w:rPr>
                <w:rFonts w:ascii="Arial" w:cs="Arial" w:eastAsia="Times New Roman" w:hAnsi="Arial"/>
                <w:sz w:val="20"/>
                <w:lang w:val="tr-TR"/>
              </w:rPr>
              <w:t xml:space="preserve"> b</w:t>
            </w:r>
          </w:p>
        </w:tc>
      </w:tr>
      <w:tr>
        <w:tblPrEx/>
        <w:trPr/>
        <w:tc>
          <w:tcPr>
            <w:tcW w:w="1812" w:type="dxa"/>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27 </w:t>
            </w:r>
            <w:r>
              <w:rPr>
                <w:rFonts w:ascii="Arial" w:cs="Arial" w:eastAsia="Times New Roman" w:hAnsi="Arial"/>
                <w:bCs/>
                <w:sz w:val="20"/>
              </w:rPr>
              <w:t xml:space="preserve">°C        </w:t>
            </w:r>
          </w:p>
        </w:tc>
        <w:tc>
          <w:tcPr>
            <w:tcW w:w="1695"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12,24</w:t>
            </w:r>
            <w:r>
              <w:rPr>
                <w:rFonts w:ascii="Arial" w:cs="Arial" w:eastAsia="Times New Roman" w:hAnsi="Arial"/>
                <w:sz w:val="20"/>
                <w:vertAlign w:val="superscript"/>
                <w:lang w:val="tr-TR"/>
              </w:rPr>
              <w:t>±2,10</w:t>
            </w:r>
            <w:r>
              <w:rPr>
                <w:rFonts w:ascii="Arial" w:cs="Arial" w:eastAsia="Times New Roman" w:hAnsi="Arial"/>
                <w:sz w:val="20"/>
                <w:lang w:val="tr-TR"/>
              </w:rPr>
              <w:t xml:space="preserve"> b</w:t>
            </w:r>
          </w:p>
        </w:tc>
        <w:tc>
          <w:tcPr>
            <w:tcW w:w="1764"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2,76</w:t>
            </w:r>
            <w:r>
              <w:rPr>
                <w:rFonts w:ascii="Arial" w:cs="Arial" w:eastAsia="Times New Roman" w:hAnsi="Arial"/>
                <w:sz w:val="20"/>
                <w:vertAlign w:val="superscript"/>
                <w:lang w:val="tr-TR"/>
              </w:rPr>
              <w:t>±0,57</w:t>
            </w:r>
            <w:r>
              <w:rPr>
                <w:rFonts w:ascii="Arial" w:cs="Arial" w:eastAsia="Times New Roman" w:hAnsi="Arial"/>
                <w:sz w:val="20"/>
                <w:lang w:val="tr-TR"/>
              </w:rPr>
              <w:t xml:space="preserve"> b</w:t>
            </w:r>
          </w:p>
        </w:tc>
        <w:tc>
          <w:tcPr>
            <w:tcW w:w="1573"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6,85</w:t>
            </w:r>
            <w:r>
              <w:rPr>
                <w:rFonts w:ascii="Arial" w:cs="Arial" w:eastAsia="Times New Roman" w:hAnsi="Arial"/>
                <w:sz w:val="20"/>
                <w:vertAlign w:val="superscript"/>
                <w:lang w:val="tr-TR"/>
              </w:rPr>
              <w:t>±0,51</w:t>
            </w:r>
          </w:p>
        </w:tc>
        <w:tc>
          <w:tcPr>
            <w:tcW w:w="1580"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3,08</w:t>
            </w:r>
            <w:r>
              <w:rPr>
                <w:rFonts w:ascii="Arial" w:cs="Arial" w:eastAsia="Times New Roman" w:hAnsi="Arial"/>
                <w:sz w:val="20"/>
                <w:vertAlign w:val="superscript"/>
                <w:lang w:val="tr-TR"/>
              </w:rPr>
              <w:t>±0,62</w:t>
            </w:r>
            <w:r>
              <w:rPr>
                <w:rFonts w:ascii="Arial" w:cs="Arial" w:eastAsia="Times New Roman" w:hAnsi="Arial"/>
                <w:sz w:val="20"/>
                <w:lang w:val="tr-TR"/>
              </w:rPr>
              <w:t xml:space="preserve"> a</w:t>
            </w:r>
          </w:p>
        </w:tc>
      </w:tr>
      <w:tr>
        <w:tblPrEx/>
        <w:trPr/>
        <w:tc>
          <w:tcPr>
            <w:tcW w:w="1812" w:type="dxa"/>
            <w:tcBorders/>
          </w:tcPr>
          <w:p>
            <w:pPr>
              <w:pStyle w:val="style4099"/>
              <w:spacing w:after="0"/>
              <w:rPr>
                <w:rFonts w:ascii="Arial" w:cs="Arial" w:eastAsia="Times New Roman" w:hAnsi="Arial"/>
                <w:sz w:val="20"/>
                <w:lang w:val="tr-TR"/>
              </w:rPr>
            </w:pPr>
            <w:r>
              <w:rPr>
                <w:rFonts w:ascii="Arial" w:cs="Arial" w:eastAsia="Times New Roman" w:hAnsi="Arial"/>
                <w:i/>
                <w:iCs/>
                <w:sz w:val="20"/>
                <w:lang w:val="tr-TR"/>
              </w:rPr>
              <w:t>P</w:t>
            </w:r>
            <w:r>
              <w:rPr>
                <w:rFonts w:ascii="Arial" w:cs="Arial" w:eastAsia="Times New Roman" w:hAnsi="Arial"/>
                <w:sz w:val="20"/>
                <w:lang w:val="tr-TR"/>
              </w:rPr>
              <w:t xml:space="preserve"> value</w:t>
            </w:r>
          </w:p>
        </w:tc>
        <w:tc>
          <w:tcPr>
            <w:tcW w:w="1695"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764"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=0,05</w:t>
            </w:r>
          </w:p>
        </w:tc>
        <w:tc>
          <w:tcPr>
            <w:tcW w:w="1573"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n.s.</w:t>
            </w:r>
          </w:p>
        </w:tc>
        <w:tc>
          <w:tcPr>
            <w:tcW w:w="1580"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=0,05</w:t>
            </w:r>
          </w:p>
        </w:tc>
      </w:tr>
      <w:tr>
        <w:tblPrEx/>
        <w:trPr/>
        <w:tc>
          <w:tcPr>
            <w:tcW w:w="1812" w:type="dxa"/>
            <w:tcBorders>
              <w:bottom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Mean </w:t>
            </w:r>
          </w:p>
        </w:tc>
        <w:tc>
          <w:tcPr>
            <w:tcW w:w="169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18,98</w:t>
            </w:r>
            <w:r>
              <w:rPr>
                <w:rFonts w:ascii="Arial" w:cs="Arial" w:eastAsia="Times New Roman" w:hAnsi="Arial"/>
                <w:sz w:val="20"/>
                <w:vertAlign w:val="superscript"/>
                <w:lang w:val="tr-TR"/>
              </w:rPr>
              <w:t>±8,15</w:t>
            </w:r>
          </w:p>
        </w:tc>
        <w:tc>
          <w:tcPr>
            <w:tcW w:w="176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3,19</w:t>
            </w:r>
            <w:r>
              <w:rPr>
                <w:rFonts w:ascii="Arial" w:cs="Arial" w:eastAsia="Times New Roman" w:hAnsi="Arial"/>
                <w:sz w:val="20"/>
                <w:vertAlign w:val="superscript"/>
                <w:lang w:val="tr-TR"/>
              </w:rPr>
              <w:t>±0,73</w:t>
            </w:r>
          </w:p>
        </w:tc>
        <w:tc>
          <w:tcPr>
            <w:tcW w:w="1573"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7,04</w:t>
            </w:r>
            <w:r>
              <w:rPr>
                <w:rFonts w:ascii="Arial" w:cs="Arial" w:eastAsia="Times New Roman" w:hAnsi="Arial"/>
                <w:sz w:val="20"/>
                <w:vertAlign w:val="superscript"/>
                <w:lang w:val="tr-TR"/>
              </w:rPr>
              <w:t>±0,82</w:t>
            </w:r>
          </w:p>
        </w:tc>
        <w:tc>
          <w:tcPr>
            <w:tcW w:w="1580"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2,77</w:t>
            </w:r>
            <w:r>
              <w:rPr>
                <w:rFonts w:ascii="Arial" w:cs="Arial" w:eastAsia="Times New Roman" w:hAnsi="Arial"/>
                <w:sz w:val="20"/>
                <w:vertAlign w:val="superscript"/>
                <w:lang w:val="tr-TR"/>
              </w:rPr>
              <w:t>±0,60</w:t>
            </w:r>
          </w:p>
        </w:tc>
      </w:tr>
    </w:tbl>
    <w:p>
      <w:pPr>
        <w:pStyle w:val="style4099"/>
        <w:rPr>
          <w:rFonts w:ascii="Arial" w:cs="Arial" w:hAnsi="Arial"/>
          <w:lang w:val="tr-TR"/>
        </w:rPr>
      </w:pPr>
      <w:r>
        <w:rPr>
          <w:rFonts w:ascii="Arial" w:cs="Arial" w:hAnsi="Arial"/>
        </w:rPr>
        <w:t xml:space="preserve">Data represent means ± S.E. (n = 8). Tukey test was used to analyze significant differences in data, and letters represent differences at </w:t>
      </w:r>
      <w:r>
        <w:rPr>
          <w:rFonts w:ascii="Arial" w:cs="Arial" w:hAnsi="Arial"/>
          <w:i/>
        </w:rPr>
        <w:t>P</w:t>
      </w:r>
      <w:r>
        <w:rPr>
          <w:rFonts w:ascii="Arial" w:cs="Arial" w:hAnsi="Arial"/>
        </w:rPr>
        <w:t xml:space="preserve"> &lt; 0.001, </w:t>
      </w:r>
      <w:r>
        <w:rPr>
          <w:rFonts w:ascii="Arial" w:cs="Arial" w:hAnsi="Arial"/>
          <w:i/>
        </w:rPr>
        <w:t>P</w:t>
      </w:r>
      <w:r>
        <w:rPr>
          <w:rFonts w:ascii="Arial" w:cs="Arial" w:hAnsi="Arial"/>
        </w:rPr>
        <w:t xml:space="preserve"> = 0.05, </w:t>
      </w:r>
      <w:r>
        <w:rPr>
          <w:rFonts w:ascii="Arial" w:cs="Arial" w:hAnsi="Arial"/>
        </w:rPr>
        <w:t>n.s</w:t>
      </w:r>
      <w:r>
        <w:rPr>
          <w:rFonts w:ascii="Arial" w:cs="Arial" w:hAnsi="Arial"/>
        </w:rPr>
        <w:t>.: non-significant difference.</w:t>
      </w:r>
    </w:p>
    <w:p>
      <w:pPr>
        <w:pStyle w:val="style4099"/>
        <w:rPr>
          <w:rFonts w:ascii="Arial" w:cs="Arial" w:hAnsi="Arial"/>
          <w:b/>
          <w:lang w:val="tr-TR"/>
        </w:rPr>
      </w:pPr>
      <w:r>
        <w:rPr>
          <w:rFonts w:ascii="Arial" w:cs="Arial" w:hAnsi="Arial"/>
          <w:b/>
          <w:lang w:val="tr-TR"/>
        </w:rPr>
        <w:t xml:space="preserve">Table 4. Mycelial features of </w:t>
      </w:r>
      <w:r>
        <w:rPr>
          <w:rFonts w:ascii="Arial" w:cs="Arial" w:hAnsi="Arial"/>
          <w:b/>
          <w:i/>
          <w:iCs/>
          <w:lang w:val="tr-TR"/>
        </w:rPr>
        <w:t>F. oxysporum</w:t>
      </w:r>
      <w:r>
        <w:rPr>
          <w:rFonts w:ascii="Arial" w:cs="Arial" w:hAnsi="Arial"/>
          <w:b/>
          <w:lang w:val="tr-TR"/>
        </w:rPr>
        <w:t xml:space="preserve"> from </w:t>
      </w:r>
      <w:r>
        <w:rPr>
          <w:rFonts w:ascii="Arial" w:cs="Arial" w:hAnsi="Arial"/>
          <w:b/>
          <w:i/>
          <w:iCs/>
          <w:lang w:val="tr-TR"/>
        </w:rPr>
        <w:t>A. sativum</w:t>
      </w:r>
      <w:r>
        <w:rPr>
          <w:rFonts w:ascii="Arial" w:cs="Arial" w:hAnsi="Arial"/>
          <w:b/>
          <w:lang w:val="tr-TR"/>
        </w:rPr>
        <w:t xml:space="preserve"> at two different temperatures; 20 </w:t>
      </w:r>
      <w:r>
        <w:rPr>
          <w:rFonts w:ascii="Arial" w:cs="Arial" w:hAnsi="Arial"/>
          <w:b/>
          <w:bCs/>
        </w:rPr>
        <w:t>°C and</w:t>
      </w:r>
      <w:r>
        <w:rPr>
          <w:rFonts w:ascii="Arial" w:cs="Arial" w:hAnsi="Arial"/>
          <w:b/>
        </w:rPr>
        <w:t xml:space="preserve"> </w:t>
      </w:r>
      <w:r>
        <w:rPr>
          <w:rFonts w:ascii="Arial" w:cs="Arial" w:hAnsi="Arial"/>
          <w:b/>
          <w:lang w:val="tr-TR"/>
        </w:rPr>
        <w:t xml:space="preserve">27 </w:t>
      </w:r>
      <w:r>
        <w:rPr>
          <w:rFonts w:ascii="Arial" w:cs="Arial" w:hAnsi="Arial"/>
          <w:b/>
          <w:bCs/>
        </w:rPr>
        <w:t>°C</w:t>
      </w:r>
      <w:r>
        <w:rPr>
          <w:rFonts w:ascii="Arial" w:cs="Arial" w:hAnsi="Arial"/>
          <w:b/>
          <w:lang w:val="tr-TR"/>
        </w:rPr>
        <w:t xml:space="preserve"> on 15th of culture</w:t>
      </w:r>
    </w:p>
    <w:tbl>
      <w:tblPr>
        <w:tblStyle w:val="style154"/>
        <w:tblW w:w="0" w:type="auto"/>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2654"/>
      </w:tblGrid>
      <w:tr>
        <w:trPr/>
        <w:tc>
          <w:tcPr>
            <w:tcW w:w="1707" w:type="dxa"/>
            <w:tcBorders>
              <w:top w:val="single" w:sz="4" w:space="0" w:color="auto"/>
              <w:bottom w:val="single" w:sz="4" w:space="0" w:color="auto"/>
            </w:tcBorders>
          </w:tcPr>
          <w:p>
            <w:pPr>
              <w:pStyle w:val="style4099"/>
              <w:spacing w:after="0"/>
              <w:rPr>
                <w:rFonts w:ascii="Arial" w:cs="Arial" w:eastAsia="Times New Roman" w:hAnsi="Arial"/>
                <w:b/>
                <w:sz w:val="20"/>
                <w:lang w:val="tr-TR"/>
              </w:rPr>
            </w:pPr>
            <w:r>
              <w:rPr>
                <w:rFonts w:ascii="Arial" w:cs="Arial" w:eastAsia="Times New Roman" w:hAnsi="Arial"/>
                <w:b/>
                <w:sz w:val="20"/>
                <w:lang w:val="tr-TR"/>
              </w:rPr>
              <w:t>Temperature</w:t>
            </w:r>
          </w:p>
        </w:tc>
        <w:tc>
          <w:tcPr>
            <w:tcW w:w="2654" w:type="dxa"/>
            <w:tcBorders>
              <w:top w:val="single" w:sz="4" w:space="0" w:color="auto"/>
              <w:bottom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Mycelium Width (</w:t>
            </w:r>
            <w:r>
              <w:rPr>
                <w:rFonts w:ascii="Arial" w:cs="Arial" w:eastAsia="Times New Roman" w:hAnsi="Arial"/>
                <w:b/>
                <w:sz w:val="20"/>
              </w:rPr>
              <w:t>μm</w:t>
            </w:r>
            <w:r>
              <w:rPr>
                <w:rFonts w:ascii="Arial" w:cs="Arial" w:eastAsia="Times New Roman" w:hAnsi="Arial"/>
                <w:b/>
                <w:sz w:val="20"/>
              </w:rPr>
              <w:t>)</w:t>
            </w:r>
          </w:p>
        </w:tc>
      </w:tr>
      <w:tr>
        <w:tblPrEx/>
        <w:trPr/>
        <w:tc>
          <w:tcPr>
            <w:tcW w:w="1707" w:type="dxa"/>
            <w:tcBorders>
              <w:top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20 </w:t>
            </w:r>
            <w:r>
              <w:rPr>
                <w:rFonts w:ascii="Arial" w:cs="Arial" w:eastAsia="Times New Roman" w:hAnsi="Arial"/>
                <w:bCs/>
                <w:sz w:val="20"/>
              </w:rPr>
              <w:t xml:space="preserve">°C </w:t>
            </w:r>
          </w:p>
        </w:tc>
        <w:tc>
          <w:tcPr>
            <w:tcW w:w="2654"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2,64</w:t>
            </w:r>
            <w:r>
              <w:rPr>
                <w:rFonts w:ascii="Arial" w:cs="Arial" w:eastAsia="Times New Roman" w:hAnsi="Arial"/>
                <w:sz w:val="20"/>
                <w:vertAlign w:val="superscript"/>
                <w:lang w:val="tr-TR"/>
              </w:rPr>
              <w:t>±0,53</w:t>
            </w:r>
            <w:r>
              <w:rPr>
                <w:rFonts w:ascii="Arial" w:cs="Arial" w:eastAsia="Times New Roman" w:hAnsi="Arial"/>
                <w:sz w:val="20"/>
                <w:lang w:val="tr-TR"/>
              </w:rPr>
              <w:t xml:space="preserve"> b</w:t>
            </w:r>
          </w:p>
        </w:tc>
      </w:tr>
      <w:tr>
        <w:tblPrEx/>
        <w:trPr/>
        <w:tc>
          <w:tcPr>
            <w:tcW w:w="1707" w:type="dxa"/>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27 </w:t>
            </w:r>
            <w:r>
              <w:rPr>
                <w:rFonts w:ascii="Arial" w:cs="Arial" w:eastAsia="Times New Roman" w:hAnsi="Arial"/>
                <w:bCs/>
                <w:sz w:val="20"/>
              </w:rPr>
              <w:t xml:space="preserve">°C        </w:t>
            </w:r>
          </w:p>
        </w:tc>
        <w:tc>
          <w:tcPr>
            <w:tcW w:w="2654"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4,95</w:t>
            </w:r>
            <w:r>
              <w:rPr>
                <w:rFonts w:ascii="Arial" w:cs="Arial" w:eastAsia="Times New Roman" w:hAnsi="Arial"/>
                <w:sz w:val="20"/>
                <w:vertAlign w:val="superscript"/>
                <w:lang w:val="tr-TR"/>
              </w:rPr>
              <w:t>±0,44</w:t>
            </w:r>
            <w:r>
              <w:rPr>
                <w:rFonts w:ascii="Arial" w:cs="Arial" w:eastAsia="Times New Roman" w:hAnsi="Arial"/>
                <w:sz w:val="20"/>
                <w:lang w:val="tr-TR"/>
              </w:rPr>
              <w:t xml:space="preserve"> a</w:t>
            </w:r>
          </w:p>
        </w:tc>
      </w:tr>
      <w:tr>
        <w:tblPrEx/>
        <w:trPr/>
        <w:tc>
          <w:tcPr>
            <w:tcW w:w="1707" w:type="dxa"/>
            <w:tcBorders/>
          </w:tcPr>
          <w:p>
            <w:pPr>
              <w:pStyle w:val="style4099"/>
              <w:spacing w:after="0"/>
              <w:rPr>
                <w:rFonts w:ascii="Arial" w:cs="Arial" w:eastAsia="Times New Roman" w:hAnsi="Arial"/>
                <w:sz w:val="20"/>
                <w:lang w:val="tr-TR"/>
              </w:rPr>
            </w:pPr>
            <w:r>
              <w:rPr>
                <w:rFonts w:ascii="Arial" w:cs="Arial" w:eastAsia="Times New Roman" w:hAnsi="Arial"/>
                <w:i/>
                <w:iCs/>
                <w:sz w:val="20"/>
                <w:lang w:val="tr-TR"/>
              </w:rPr>
              <w:t>P</w:t>
            </w:r>
            <w:r>
              <w:rPr>
                <w:rFonts w:ascii="Arial" w:cs="Arial" w:eastAsia="Times New Roman" w:hAnsi="Arial"/>
                <w:sz w:val="20"/>
                <w:lang w:val="tr-TR"/>
              </w:rPr>
              <w:t xml:space="preserve"> value</w:t>
            </w:r>
          </w:p>
        </w:tc>
        <w:tc>
          <w:tcPr>
            <w:tcW w:w="2654"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r>
      <w:tr>
        <w:tblPrEx/>
        <w:trPr/>
        <w:tc>
          <w:tcPr>
            <w:tcW w:w="1707" w:type="dxa"/>
            <w:tcBorders>
              <w:bottom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Mean </w:t>
            </w:r>
          </w:p>
        </w:tc>
        <w:tc>
          <w:tcPr>
            <w:tcW w:w="265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3,79</w:t>
            </w:r>
            <w:r>
              <w:rPr>
                <w:rFonts w:ascii="Arial" w:cs="Arial" w:eastAsia="Times New Roman" w:hAnsi="Arial"/>
                <w:sz w:val="20"/>
                <w:vertAlign w:val="superscript"/>
                <w:lang w:val="tr-TR"/>
              </w:rPr>
              <w:t>±1,28</w:t>
            </w:r>
          </w:p>
        </w:tc>
      </w:tr>
    </w:tbl>
    <w:p>
      <w:pPr>
        <w:pStyle w:val="style4099"/>
        <w:rPr>
          <w:rFonts w:ascii="Arial" w:cs="Arial" w:hAnsi="Arial"/>
          <w:lang w:val="tr-TR"/>
        </w:rPr>
      </w:pPr>
      <w:r>
        <w:rPr>
          <w:rFonts w:ascii="Arial" w:cs="Arial" w:hAnsi="Arial"/>
        </w:rPr>
        <w:t xml:space="preserve">Data represent means ± S.E. (n = 8). Tukey test was used to </w:t>
      </w:r>
      <w:r>
        <w:rPr>
          <w:rFonts w:ascii="Arial" w:cs="Arial" w:hAnsi="Arial"/>
        </w:rPr>
        <w:t>analyse</w:t>
      </w:r>
      <w:r>
        <w:rPr>
          <w:rFonts w:ascii="Arial" w:cs="Arial" w:hAnsi="Arial"/>
        </w:rPr>
        <w:t xml:space="preserve"> significant differences in data, and letters represent differences at </w:t>
      </w:r>
      <w:r>
        <w:rPr>
          <w:rFonts w:ascii="Arial" w:cs="Arial" w:hAnsi="Arial"/>
          <w:i/>
        </w:rPr>
        <w:t>P</w:t>
      </w:r>
      <w:r>
        <w:rPr>
          <w:rFonts w:ascii="Arial" w:cs="Arial" w:hAnsi="Arial"/>
        </w:rPr>
        <w:t xml:space="preserve"> &lt; 0.001</w:t>
      </w:r>
    </w:p>
    <w:p>
      <w:pPr>
        <w:pStyle w:val="style4099"/>
        <w:rPr>
          <w:rFonts w:ascii="Arial" w:cs="Arial" w:hAnsi="Arial"/>
          <w:lang w:val="tr-TR"/>
        </w:rPr>
      </w:pPr>
      <w:r>
        <w:rPr>
          <w:rFonts w:ascii="Arial" w:cs="Arial" w:hAnsi="Arial"/>
          <w:lang w:val="tr-TR"/>
        </w:rPr>
        <w:t xml:space="preserve">Morphological traits of reproductive structures were also significantly affected by temperature. Macroconidia were longer and wider at 20 °C, although fewer in number, whereas </w:t>
      </w:r>
      <w:r>
        <w:rPr>
          <w:rFonts w:ascii="Arial" w:cs="Arial" w:hAnsi="Arial"/>
          <w:lang w:val="tr-TR"/>
        </w:rPr>
        <w:t xml:space="preserve">microconidial and mycelial widths were greater at 27 °C. These observations suggest that while cooler conditions may support elongation, warmer environments promote volumetric expansion. Such variability highlights the potential for diagnostic inaccuracies when classical morphological criteria are used without accounting for environmental growth conditions, as also noted by </w:t>
      </w:r>
      <w:r>
        <w:rPr>
          <w:rFonts w:ascii="Arial" w:cs="Arial" w:hAnsi="Arial"/>
          <w:highlight w:val="yellow"/>
          <w:lang w:val="tr-TR"/>
        </w:rPr>
        <w:t>Cha et al. (2007)</w:t>
      </w:r>
      <w:r>
        <w:rPr>
          <w:rFonts w:ascii="Arial" w:cs="Arial" w:hAnsi="Arial"/>
          <w:lang w:val="tr-TR"/>
        </w:rPr>
        <w:t xml:space="preserve"> and </w:t>
      </w:r>
      <w:r>
        <w:rPr>
          <w:rFonts w:ascii="Arial" w:cs="Arial" w:hAnsi="Arial"/>
          <w:highlight w:val="yellow"/>
          <w:lang w:val="tr-TR"/>
        </w:rPr>
        <w:t>Teixeira et al. (2017)</w:t>
      </w:r>
      <w:r>
        <w:rPr>
          <w:rFonts w:ascii="Arial" w:cs="Arial" w:hAnsi="Arial"/>
          <w:lang w:val="tr-TR"/>
        </w:rPr>
        <w:t>.</w:t>
      </w:r>
    </w:p>
    <w:p>
      <w:pPr>
        <w:pStyle w:val="style4099"/>
        <w:rPr>
          <w:rFonts w:ascii="Arial" w:cs="Arial" w:hAnsi="Arial"/>
          <w:lang w:val="tr-TR"/>
        </w:rPr>
      </w:pPr>
      <w:r>
        <w:rPr>
          <w:rFonts w:ascii="Arial" w:cs="Arial" w:hAnsi="Arial"/>
          <w:lang w:val="tr-TR"/>
        </w:rPr>
        <w:t xml:space="preserve">Colony colors of </w:t>
      </w:r>
      <w:r>
        <w:rPr>
          <w:rFonts w:ascii="Arial" w:cs="Arial" w:hAnsi="Arial"/>
          <w:i/>
          <w:lang w:val="tr-TR"/>
        </w:rPr>
        <w:t>F. oxysporum</w:t>
      </w:r>
      <w:r>
        <w:rPr>
          <w:rFonts w:ascii="Arial" w:cs="Arial" w:hAnsi="Arial"/>
          <w:lang w:val="tr-TR"/>
        </w:rPr>
        <w:t xml:space="preserve"> from garlic were observed, measured, and evaluated on the 3rd, 6th, and 9th days of culture. According to the visual scale, the front side of the Petri plates at 20 °C was a little darker than the back side. On the contrary, at 27 °C, the back side of the Petri plates was always darker than the front. However, both the front and back colorations were statistically darker bordeaux at 27 °C compared to 20 °C on all measurement days (Table 5, Figures 1 &amp; </w:t>
      </w:r>
      <w:r>
        <w:rPr>
          <w:rFonts w:ascii="Arial" w:cs="Arial" w:hAnsi="Arial"/>
          <w:lang w:val="tr-TR"/>
        </w:rPr>
        <w:t>5</w:t>
      </w:r>
      <w:r>
        <w:rPr>
          <w:rFonts w:ascii="Arial" w:cs="Arial" w:hAnsi="Arial"/>
          <w:lang w:val="tr-TR"/>
        </w:rPr>
        <w:t xml:space="preserve">). </w:t>
      </w:r>
    </w:p>
    <w:p>
      <w:pPr>
        <w:pStyle w:val="style4099"/>
        <w:rPr>
          <w:rFonts w:ascii="Arial" w:cs="Arial" w:hAnsi="Arial"/>
          <w:b/>
          <w:lang w:val="tr-TR"/>
        </w:rPr>
      </w:pPr>
      <w:r>
        <w:rPr>
          <w:rFonts w:ascii="Arial" w:cs="Arial" w:hAnsi="Arial"/>
          <w:b/>
          <w:lang w:val="tr-TR"/>
        </w:rPr>
        <w:t xml:space="preserve">Table 5. Colony color of </w:t>
      </w:r>
      <w:r>
        <w:rPr>
          <w:rFonts w:ascii="Arial" w:cs="Arial" w:hAnsi="Arial"/>
          <w:b/>
          <w:i/>
          <w:iCs/>
          <w:lang w:val="tr-TR"/>
        </w:rPr>
        <w:t>F. oxysporum</w:t>
      </w:r>
      <w:r>
        <w:rPr>
          <w:rFonts w:ascii="Arial" w:cs="Arial" w:hAnsi="Arial"/>
          <w:b/>
          <w:lang w:val="tr-TR"/>
        </w:rPr>
        <w:t xml:space="preserve"> from </w:t>
      </w:r>
      <w:r>
        <w:rPr>
          <w:rFonts w:ascii="Arial" w:cs="Arial" w:hAnsi="Arial"/>
          <w:b/>
          <w:i/>
          <w:iCs/>
          <w:lang w:val="tr-TR"/>
        </w:rPr>
        <w:t>A. sativum</w:t>
      </w:r>
      <w:r>
        <w:rPr>
          <w:rFonts w:ascii="Arial" w:cs="Arial" w:hAnsi="Arial"/>
          <w:b/>
          <w:lang w:val="tr-TR"/>
        </w:rPr>
        <w:t xml:space="preserve"> at two different temperatures; 20 </w:t>
      </w:r>
      <w:r>
        <w:rPr>
          <w:rFonts w:ascii="Arial" w:cs="Arial" w:hAnsi="Arial"/>
          <w:b/>
          <w:bCs/>
        </w:rPr>
        <w:t>°C and</w:t>
      </w:r>
      <w:r>
        <w:rPr>
          <w:rFonts w:ascii="Arial" w:cs="Arial" w:hAnsi="Arial"/>
          <w:b/>
        </w:rPr>
        <w:t xml:space="preserve"> </w:t>
      </w:r>
      <w:r>
        <w:rPr>
          <w:rFonts w:ascii="Arial" w:cs="Arial" w:hAnsi="Arial"/>
          <w:b/>
          <w:lang w:val="tr-TR"/>
        </w:rPr>
        <w:t xml:space="preserve">27 </w:t>
      </w:r>
      <w:r>
        <w:rPr>
          <w:rFonts w:ascii="Arial" w:cs="Arial" w:hAnsi="Arial"/>
          <w:b/>
          <w:bCs/>
        </w:rPr>
        <w:t>°C</w:t>
      </w:r>
      <w:r>
        <w:rPr>
          <w:rFonts w:ascii="Arial" w:cs="Arial" w:hAnsi="Arial"/>
          <w:b/>
          <w:lang w:val="tr-TR"/>
        </w:rPr>
        <w:t xml:space="preserve">  </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25"/>
        <w:gridCol w:w="1125"/>
        <w:gridCol w:w="1126"/>
        <w:gridCol w:w="1126"/>
        <w:gridCol w:w="1126"/>
        <w:gridCol w:w="1126"/>
      </w:tblGrid>
      <w:tr>
        <w:trPr/>
        <w:tc>
          <w:tcPr>
            <w:tcW w:w="1518" w:type="dxa"/>
            <w:vMerge w:val="restart"/>
            <w:tcBorders>
              <w:top w:val="single" w:sz="4" w:space="0" w:color="auto"/>
            </w:tcBorders>
          </w:tcPr>
          <w:p>
            <w:pPr>
              <w:pStyle w:val="style4099"/>
              <w:spacing w:after="0"/>
              <w:rPr>
                <w:rFonts w:ascii="Arial" w:cs="Arial" w:eastAsia="Times New Roman" w:hAnsi="Arial"/>
                <w:b/>
                <w:sz w:val="20"/>
                <w:lang w:val="tr-TR"/>
              </w:rPr>
            </w:pPr>
          </w:p>
          <w:p>
            <w:pPr>
              <w:pStyle w:val="style4099"/>
              <w:spacing w:after="0"/>
              <w:rPr>
                <w:rFonts w:ascii="Arial" w:cs="Arial" w:eastAsia="Times New Roman" w:hAnsi="Arial"/>
                <w:b/>
                <w:sz w:val="20"/>
                <w:lang w:val="tr-TR"/>
              </w:rPr>
            </w:pPr>
            <w:r>
              <w:rPr>
                <w:rFonts w:ascii="Arial" w:cs="Arial" w:eastAsia="Times New Roman" w:hAnsi="Arial"/>
                <w:b/>
                <w:sz w:val="20"/>
                <w:lang w:val="tr-TR"/>
              </w:rPr>
              <w:t xml:space="preserve">Temperature </w:t>
            </w:r>
          </w:p>
        </w:tc>
        <w:tc>
          <w:tcPr>
            <w:tcW w:w="7878" w:type="dxa"/>
            <w:gridSpan w:val="6"/>
            <w:tcBorders>
              <w:top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Colony Color</w:t>
            </w:r>
            <w:r>
              <w:rPr>
                <w:rFonts w:ascii="Arial" w:cs="Arial" w:eastAsia="Times New Roman" w:hAnsi="Arial"/>
                <w:b/>
                <w:sz w:val="20"/>
                <w:lang w:val="tr-TR"/>
              </w:rPr>
              <w:t xml:space="preserve">   </w:t>
            </w:r>
            <w:r>
              <w:rPr>
                <w:rFonts w:ascii="Arial" w:cs="Arial" w:eastAsia="Times New Roman" w:hAnsi="Arial"/>
                <w:b/>
                <w:sz w:val="20"/>
                <w:lang w:val="tr-TR"/>
              </w:rPr>
              <w:t>(White=1 to Dark Bordeaux=5)</w:t>
            </w:r>
          </w:p>
        </w:tc>
      </w:tr>
      <w:tr>
        <w:tblPrEx/>
        <w:trPr/>
        <w:tc>
          <w:tcPr>
            <w:tcW w:w="1518" w:type="dxa"/>
            <w:vMerge w:val="continue"/>
            <w:tcBorders/>
          </w:tcPr>
          <w:p>
            <w:pPr>
              <w:pStyle w:val="style4099"/>
              <w:spacing w:after="0"/>
              <w:rPr>
                <w:rFonts w:ascii="Arial" w:cs="Arial" w:eastAsia="Times New Roman" w:hAnsi="Arial"/>
                <w:sz w:val="20"/>
                <w:lang w:val="tr-TR"/>
              </w:rPr>
            </w:pPr>
          </w:p>
        </w:tc>
        <w:tc>
          <w:tcPr>
            <w:tcW w:w="2624" w:type="dxa"/>
            <w:gridSpan w:val="2"/>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w:t>
            </w:r>
            <w:r>
              <w:rPr>
                <w:rFonts w:ascii="Arial" w:cs="Arial" w:eastAsia="Times New Roman" w:hAnsi="Arial"/>
                <w:sz w:val="20"/>
                <w:vertAlign w:val="superscript"/>
                <w:lang w:val="tr-TR"/>
              </w:rPr>
              <w:t>rd</w:t>
            </w:r>
            <w:r>
              <w:rPr>
                <w:rFonts w:ascii="Arial" w:cs="Arial" w:eastAsia="Times New Roman" w:hAnsi="Arial"/>
                <w:sz w:val="20"/>
                <w:lang w:val="tr-TR"/>
              </w:rPr>
              <w:t xml:space="preserve"> day</w:t>
            </w:r>
          </w:p>
        </w:tc>
        <w:tc>
          <w:tcPr>
            <w:tcW w:w="2626" w:type="dxa"/>
            <w:gridSpan w:val="2"/>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6</w:t>
            </w:r>
            <w:r>
              <w:rPr>
                <w:rFonts w:ascii="Arial" w:cs="Arial" w:eastAsia="Times New Roman" w:hAnsi="Arial"/>
                <w:sz w:val="20"/>
                <w:vertAlign w:val="superscript"/>
                <w:lang w:val="tr-TR"/>
              </w:rPr>
              <w:t>th</w:t>
            </w:r>
            <w:r>
              <w:rPr>
                <w:rFonts w:ascii="Arial" w:cs="Arial" w:eastAsia="Times New Roman" w:hAnsi="Arial"/>
                <w:sz w:val="20"/>
                <w:lang w:val="tr-TR"/>
              </w:rPr>
              <w:t xml:space="preserve"> day</w:t>
            </w:r>
          </w:p>
        </w:tc>
        <w:tc>
          <w:tcPr>
            <w:tcW w:w="2628" w:type="dxa"/>
            <w:gridSpan w:val="2"/>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9</w:t>
            </w:r>
            <w:r>
              <w:rPr>
                <w:rFonts w:ascii="Arial" w:cs="Arial" w:eastAsia="Times New Roman" w:hAnsi="Arial"/>
                <w:sz w:val="20"/>
                <w:vertAlign w:val="superscript"/>
                <w:lang w:val="tr-TR"/>
              </w:rPr>
              <w:t>th</w:t>
            </w:r>
            <w:r>
              <w:rPr>
                <w:rFonts w:ascii="Arial" w:cs="Arial" w:eastAsia="Times New Roman" w:hAnsi="Arial"/>
                <w:sz w:val="20"/>
                <w:lang w:val="tr-TR"/>
              </w:rPr>
              <w:t xml:space="preserve"> day</w:t>
            </w:r>
          </w:p>
        </w:tc>
      </w:tr>
      <w:tr>
        <w:tblPrEx/>
        <w:trPr/>
        <w:tc>
          <w:tcPr>
            <w:tcW w:w="1518" w:type="dxa"/>
            <w:vMerge w:val="continue"/>
            <w:tcBorders>
              <w:bottom w:val="single" w:sz="4" w:space="0" w:color="auto"/>
            </w:tcBorders>
          </w:tcPr>
          <w:p>
            <w:pPr>
              <w:pStyle w:val="style4099"/>
              <w:spacing w:after="0"/>
              <w:rPr>
                <w:rFonts w:ascii="Arial" w:cs="Arial" w:eastAsia="Times New Roman" w:hAnsi="Arial"/>
                <w:sz w:val="20"/>
                <w:lang w:val="tr-TR"/>
              </w:rPr>
            </w:pPr>
          </w:p>
        </w:tc>
        <w:tc>
          <w:tcPr>
            <w:tcW w:w="1312"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Front</w:t>
            </w:r>
          </w:p>
        </w:tc>
        <w:tc>
          <w:tcPr>
            <w:tcW w:w="1312"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Back</w:t>
            </w:r>
          </w:p>
        </w:tc>
        <w:tc>
          <w:tcPr>
            <w:tcW w:w="1313"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Front</w:t>
            </w:r>
          </w:p>
        </w:tc>
        <w:tc>
          <w:tcPr>
            <w:tcW w:w="1313"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Back</w:t>
            </w:r>
          </w:p>
        </w:tc>
        <w:tc>
          <w:tcPr>
            <w:tcW w:w="131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Front</w:t>
            </w:r>
          </w:p>
        </w:tc>
        <w:tc>
          <w:tcPr>
            <w:tcW w:w="131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Back</w:t>
            </w:r>
          </w:p>
        </w:tc>
      </w:tr>
      <w:tr>
        <w:tblPrEx/>
        <w:trPr/>
        <w:tc>
          <w:tcPr>
            <w:tcW w:w="1518" w:type="dxa"/>
            <w:tcBorders>
              <w:top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20 </w:t>
            </w:r>
            <w:r>
              <w:rPr>
                <w:rFonts w:ascii="Arial" w:cs="Arial" w:eastAsia="Times New Roman" w:hAnsi="Arial"/>
                <w:bCs/>
                <w:sz w:val="20"/>
              </w:rPr>
              <w:t xml:space="preserve">°C      </w:t>
            </w:r>
          </w:p>
        </w:tc>
        <w:tc>
          <w:tcPr>
            <w:tcW w:w="1312"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1,13</w:t>
            </w:r>
            <w:r>
              <w:rPr>
                <w:rFonts w:ascii="Arial" w:cs="Arial" w:eastAsia="Times New Roman" w:hAnsi="Arial"/>
                <w:sz w:val="20"/>
                <w:vertAlign w:val="superscript"/>
                <w:lang w:val="tr-TR"/>
              </w:rPr>
              <w:t>±0,35</w:t>
            </w:r>
            <w:r>
              <w:rPr>
                <w:rFonts w:ascii="Arial" w:cs="Arial" w:eastAsia="Times New Roman" w:hAnsi="Arial"/>
                <w:sz w:val="20"/>
                <w:lang w:val="tr-TR"/>
              </w:rPr>
              <w:t xml:space="preserve"> b</w:t>
            </w:r>
          </w:p>
        </w:tc>
        <w:tc>
          <w:tcPr>
            <w:tcW w:w="1312"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1,13</w:t>
            </w:r>
            <w:r>
              <w:rPr>
                <w:rFonts w:ascii="Arial" w:cs="Arial" w:eastAsia="Times New Roman" w:hAnsi="Arial"/>
                <w:sz w:val="20"/>
                <w:vertAlign w:val="superscript"/>
                <w:lang w:val="tr-TR"/>
              </w:rPr>
              <w:t>±0,35</w:t>
            </w:r>
            <w:r>
              <w:rPr>
                <w:rFonts w:ascii="Arial" w:cs="Arial" w:eastAsia="Times New Roman" w:hAnsi="Arial"/>
                <w:sz w:val="20"/>
                <w:lang w:val="tr-TR"/>
              </w:rPr>
              <w:t xml:space="preserve"> b</w:t>
            </w:r>
          </w:p>
        </w:tc>
        <w:tc>
          <w:tcPr>
            <w:tcW w:w="1313"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1,50</w:t>
            </w:r>
            <w:r>
              <w:rPr>
                <w:rFonts w:ascii="Arial" w:cs="Arial" w:eastAsia="Times New Roman" w:hAnsi="Arial"/>
                <w:sz w:val="20"/>
                <w:vertAlign w:val="superscript"/>
                <w:lang w:val="tr-TR"/>
              </w:rPr>
              <w:t>±0,76</w:t>
            </w:r>
            <w:r>
              <w:rPr>
                <w:rFonts w:ascii="Arial" w:cs="Arial" w:eastAsia="Times New Roman" w:hAnsi="Arial"/>
                <w:sz w:val="20"/>
                <w:lang w:val="tr-TR"/>
              </w:rPr>
              <w:t xml:space="preserve"> b</w:t>
            </w:r>
          </w:p>
        </w:tc>
        <w:tc>
          <w:tcPr>
            <w:tcW w:w="1313"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1,38</w:t>
            </w:r>
            <w:r>
              <w:rPr>
                <w:rFonts w:ascii="Arial" w:cs="Arial" w:eastAsia="Times New Roman" w:hAnsi="Arial"/>
                <w:sz w:val="20"/>
                <w:vertAlign w:val="superscript"/>
                <w:lang w:val="tr-TR"/>
              </w:rPr>
              <w:t>±0,74</w:t>
            </w:r>
            <w:r>
              <w:rPr>
                <w:rFonts w:ascii="Arial" w:cs="Arial" w:eastAsia="Times New Roman" w:hAnsi="Arial"/>
                <w:sz w:val="20"/>
                <w:lang w:val="tr-TR"/>
              </w:rPr>
              <w:t xml:space="preserve"> b</w:t>
            </w:r>
          </w:p>
        </w:tc>
        <w:tc>
          <w:tcPr>
            <w:tcW w:w="1314"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1,62</w:t>
            </w:r>
            <w:r>
              <w:rPr>
                <w:rFonts w:ascii="Arial" w:cs="Arial" w:eastAsia="Times New Roman" w:hAnsi="Arial"/>
                <w:sz w:val="20"/>
                <w:vertAlign w:val="superscript"/>
                <w:lang w:val="tr-TR"/>
              </w:rPr>
              <w:t>±0,74</w:t>
            </w:r>
            <w:r>
              <w:rPr>
                <w:rFonts w:ascii="Arial" w:cs="Arial" w:eastAsia="Times New Roman" w:hAnsi="Arial"/>
                <w:sz w:val="20"/>
                <w:lang w:val="tr-TR"/>
              </w:rPr>
              <w:t xml:space="preserve"> b</w:t>
            </w:r>
          </w:p>
        </w:tc>
        <w:tc>
          <w:tcPr>
            <w:tcW w:w="1314"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1,50</w:t>
            </w:r>
            <w:r>
              <w:rPr>
                <w:rFonts w:ascii="Arial" w:cs="Arial" w:eastAsia="Times New Roman" w:hAnsi="Arial"/>
                <w:sz w:val="20"/>
                <w:vertAlign w:val="superscript"/>
                <w:lang w:val="tr-TR"/>
              </w:rPr>
              <w:t>±0,76</w:t>
            </w:r>
            <w:r>
              <w:rPr>
                <w:rFonts w:ascii="Arial" w:cs="Arial" w:eastAsia="Times New Roman" w:hAnsi="Arial"/>
                <w:sz w:val="20"/>
                <w:lang w:val="tr-TR"/>
              </w:rPr>
              <w:t xml:space="preserve"> b</w:t>
            </w:r>
          </w:p>
        </w:tc>
      </w:tr>
      <w:tr>
        <w:tblPrEx/>
        <w:trPr/>
        <w:tc>
          <w:tcPr>
            <w:tcW w:w="1518" w:type="dxa"/>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27 </w:t>
            </w:r>
            <w:r>
              <w:rPr>
                <w:rFonts w:ascii="Arial" w:cs="Arial" w:eastAsia="Times New Roman" w:hAnsi="Arial"/>
                <w:bCs/>
                <w:sz w:val="20"/>
              </w:rPr>
              <w:t xml:space="preserve">°C        </w:t>
            </w:r>
          </w:p>
        </w:tc>
        <w:tc>
          <w:tcPr>
            <w:tcW w:w="1312"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2,50</w:t>
            </w:r>
            <w:r>
              <w:rPr>
                <w:rFonts w:ascii="Arial" w:cs="Arial" w:eastAsia="Times New Roman" w:hAnsi="Arial"/>
                <w:sz w:val="20"/>
                <w:vertAlign w:val="superscript"/>
                <w:lang w:val="tr-TR"/>
              </w:rPr>
              <w:t>±0,54</w:t>
            </w:r>
            <w:r>
              <w:rPr>
                <w:rFonts w:ascii="Arial" w:cs="Arial" w:eastAsia="Times New Roman" w:hAnsi="Arial"/>
                <w:sz w:val="20"/>
                <w:lang w:val="tr-TR"/>
              </w:rPr>
              <w:t xml:space="preserve"> a</w:t>
            </w:r>
          </w:p>
        </w:tc>
        <w:tc>
          <w:tcPr>
            <w:tcW w:w="1312"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2,75</w:t>
            </w:r>
            <w:r>
              <w:rPr>
                <w:rFonts w:ascii="Arial" w:cs="Arial" w:eastAsia="Times New Roman" w:hAnsi="Arial"/>
                <w:sz w:val="20"/>
                <w:vertAlign w:val="superscript"/>
                <w:lang w:val="tr-TR"/>
              </w:rPr>
              <w:t>±0,70</w:t>
            </w:r>
            <w:r>
              <w:rPr>
                <w:rFonts w:ascii="Arial" w:cs="Arial" w:eastAsia="Times New Roman" w:hAnsi="Arial"/>
                <w:sz w:val="20"/>
                <w:lang w:val="tr-TR"/>
              </w:rPr>
              <w:t xml:space="preserve"> a</w:t>
            </w:r>
          </w:p>
        </w:tc>
        <w:tc>
          <w:tcPr>
            <w:tcW w:w="1313"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3,13</w:t>
            </w:r>
            <w:r>
              <w:rPr>
                <w:rFonts w:ascii="Arial" w:cs="Arial" w:eastAsia="Times New Roman" w:hAnsi="Arial"/>
                <w:sz w:val="20"/>
                <w:vertAlign w:val="superscript"/>
                <w:lang w:val="tr-TR"/>
              </w:rPr>
              <w:t>±0,64</w:t>
            </w:r>
            <w:r>
              <w:rPr>
                <w:rFonts w:ascii="Arial" w:cs="Arial" w:eastAsia="Times New Roman" w:hAnsi="Arial"/>
                <w:sz w:val="20"/>
                <w:lang w:val="tr-TR"/>
              </w:rPr>
              <w:t xml:space="preserve"> a</w:t>
            </w:r>
          </w:p>
        </w:tc>
        <w:tc>
          <w:tcPr>
            <w:tcW w:w="1313"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3,38</w:t>
            </w:r>
            <w:r>
              <w:rPr>
                <w:rFonts w:ascii="Arial" w:cs="Arial" w:eastAsia="Times New Roman" w:hAnsi="Arial"/>
                <w:sz w:val="20"/>
                <w:vertAlign w:val="superscript"/>
                <w:lang w:val="tr-TR"/>
              </w:rPr>
              <w:t>±1,06</w:t>
            </w:r>
            <w:r>
              <w:rPr>
                <w:rFonts w:ascii="Arial" w:cs="Arial" w:eastAsia="Times New Roman" w:hAnsi="Arial"/>
                <w:sz w:val="20"/>
                <w:lang w:val="tr-TR"/>
              </w:rPr>
              <w:t xml:space="preserve"> a</w:t>
            </w:r>
          </w:p>
        </w:tc>
        <w:tc>
          <w:tcPr>
            <w:tcW w:w="1314"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3,63</w:t>
            </w:r>
            <w:r>
              <w:rPr>
                <w:rFonts w:ascii="Arial" w:cs="Arial" w:eastAsia="Times New Roman" w:hAnsi="Arial"/>
                <w:sz w:val="20"/>
                <w:vertAlign w:val="superscript"/>
                <w:lang w:val="tr-TR"/>
              </w:rPr>
              <w:t>±0,74</w:t>
            </w:r>
            <w:r>
              <w:rPr>
                <w:rFonts w:ascii="Arial" w:cs="Arial" w:eastAsia="Times New Roman" w:hAnsi="Arial"/>
                <w:sz w:val="20"/>
                <w:lang w:val="tr-TR"/>
              </w:rPr>
              <w:t xml:space="preserve"> a</w:t>
            </w:r>
          </w:p>
        </w:tc>
        <w:tc>
          <w:tcPr>
            <w:tcW w:w="1314"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4,13</w:t>
            </w:r>
            <w:r>
              <w:rPr>
                <w:rFonts w:ascii="Arial" w:cs="Arial" w:eastAsia="Times New Roman" w:hAnsi="Arial"/>
                <w:sz w:val="20"/>
                <w:vertAlign w:val="superscript"/>
                <w:lang w:val="tr-TR"/>
              </w:rPr>
              <w:t>±0,99</w:t>
            </w:r>
            <w:r>
              <w:rPr>
                <w:rFonts w:ascii="Arial" w:cs="Arial" w:eastAsia="Times New Roman" w:hAnsi="Arial"/>
                <w:sz w:val="20"/>
                <w:lang w:val="tr-TR"/>
              </w:rPr>
              <w:t xml:space="preserve"> a</w:t>
            </w:r>
          </w:p>
        </w:tc>
      </w:tr>
      <w:tr>
        <w:tblPrEx/>
        <w:trPr/>
        <w:tc>
          <w:tcPr>
            <w:tcW w:w="1518" w:type="dxa"/>
            <w:tcBorders/>
          </w:tcPr>
          <w:p>
            <w:pPr>
              <w:pStyle w:val="style4099"/>
              <w:spacing w:after="0"/>
              <w:rPr>
                <w:rFonts w:ascii="Arial" w:cs="Arial" w:eastAsia="Times New Roman" w:hAnsi="Arial"/>
                <w:sz w:val="20"/>
                <w:lang w:val="tr-TR"/>
              </w:rPr>
            </w:pPr>
            <w:r>
              <w:rPr>
                <w:rFonts w:ascii="Arial" w:cs="Arial" w:eastAsia="Times New Roman" w:hAnsi="Arial"/>
                <w:i/>
                <w:iCs/>
                <w:sz w:val="20"/>
                <w:lang w:val="tr-TR"/>
              </w:rPr>
              <w:t>P</w:t>
            </w:r>
            <w:r>
              <w:rPr>
                <w:rFonts w:ascii="Arial" w:cs="Arial" w:eastAsia="Times New Roman" w:hAnsi="Arial"/>
                <w:sz w:val="20"/>
                <w:lang w:val="tr-TR"/>
              </w:rPr>
              <w:t xml:space="preserve"> value</w:t>
            </w:r>
          </w:p>
        </w:tc>
        <w:tc>
          <w:tcPr>
            <w:tcW w:w="1312"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312"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313"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313"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314"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314"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r>
      <w:tr>
        <w:tblPrEx/>
        <w:trPr/>
        <w:tc>
          <w:tcPr>
            <w:tcW w:w="1518" w:type="dxa"/>
            <w:tcBorders>
              <w:bottom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Mean </w:t>
            </w:r>
          </w:p>
        </w:tc>
        <w:tc>
          <w:tcPr>
            <w:tcW w:w="1312"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1,81</w:t>
            </w:r>
            <w:r>
              <w:rPr>
                <w:rFonts w:ascii="Arial" w:cs="Arial" w:eastAsia="Times New Roman" w:hAnsi="Arial"/>
                <w:sz w:val="20"/>
                <w:vertAlign w:val="superscript"/>
                <w:lang w:val="tr-TR"/>
              </w:rPr>
              <w:t>±0,83</w:t>
            </w:r>
          </w:p>
        </w:tc>
        <w:tc>
          <w:tcPr>
            <w:tcW w:w="1312"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1,94</w:t>
            </w:r>
            <w:r>
              <w:rPr>
                <w:rFonts w:ascii="Arial" w:cs="Arial" w:eastAsia="Times New Roman" w:hAnsi="Arial"/>
                <w:sz w:val="20"/>
                <w:vertAlign w:val="superscript"/>
                <w:lang w:val="tr-TR"/>
              </w:rPr>
              <w:t>±0,99</w:t>
            </w:r>
          </w:p>
        </w:tc>
        <w:tc>
          <w:tcPr>
            <w:tcW w:w="1313"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2,31</w:t>
            </w:r>
            <w:r>
              <w:rPr>
                <w:rFonts w:ascii="Arial" w:cs="Arial" w:eastAsia="Times New Roman" w:hAnsi="Arial"/>
                <w:sz w:val="20"/>
                <w:vertAlign w:val="superscript"/>
                <w:lang w:val="tr-TR"/>
              </w:rPr>
              <w:t>±1,08</w:t>
            </w:r>
          </w:p>
        </w:tc>
        <w:tc>
          <w:tcPr>
            <w:tcW w:w="1313"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2,38</w:t>
            </w:r>
            <w:r>
              <w:rPr>
                <w:rFonts w:ascii="Arial" w:cs="Arial" w:eastAsia="Times New Roman" w:hAnsi="Arial"/>
                <w:sz w:val="20"/>
                <w:vertAlign w:val="superscript"/>
                <w:lang w:val="tr-TR"/>
              </w:rPr>
              <w:t>±1,36</w:t>
            </w:r>
          </w:p>
        </w:tc>
        <w:tc>
          <w:tcPr>
            <w:tcW w:w="131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2,63</w:t>
            </w:r>
            <w:r>
              <w:rPr>
                <w:rFonts w:ascii="Arial" w:cs="Arial" w:eastAsia="Times New Roman" w:hAnsi="Arial"/>
                <w:sz w:val="20"/>
                <w:vertAlign w:val="superscript"/>
                <w:lang w:val="tr-TR"/>
              </w:rPr>
              <w:t>±1,26</w:t>
            </w:r>
          </w:p>
        </w:tc>
        <w:tc>
          <w:tcPr>
            <w:tcW w:w="1314" w:type="dxa"/>
            <w:tcBorders>
              <w:bottom w:val="single" w:sz="4" w:space="0" w:color="auto"/>
            </w:tcBorders>
          </w:tcPr>
          <w:p>
            <w:pPr>
              <w:pStyle w:val="style4099"/>
              <w:spacing w:after="0"/>
              <w:jc w:val="center"/>
              <w:rPr>
                <w:rFonts w:ascii="Arial" w:cs="Arial" w:eastAsia="Times New Roman" w:hAnsi="Arial"/>
                <w:sz w:val="20"/>
                <w:vertAlign w:val="superscript"/>
                <w:lang w:val="tr-TR"/>
              </w:rPr>
            </w:pPr>
            <w:r>
              <w:rPr>
                <w:rFonts w:ascii="Arial" w:cs="Arial" w:eastAsia="Times New Roman" w:hAnsi="Arial"/>
                <w:sz w:val="20"/>
                <w:lang w:val="tr-TR"/>
              </w:rPr>
              <w:t>2,81</w:t>
            </w:r>
            <w:r>
              <w:rPr>
                <w:rFonts w:ascii="Arial" w:cs="Arial" w:eastAsia="Times New Roman" w:hAnsi="Arial"/>
                <w:sz w:val="20"/>
                <w:vertAlign w:val="superscript"/>
                <w:lang w:val="tr-TR"/>
              </w:rPr>
              <w:t>±1,60</w:t>
            </w:r>
          </w:p>
        </w:tc>
      </w:tr>
    </w:tbl>
    <w:p>
      <w:pPr>
        <w:pStyle w:val="style4099"/>
        <w:rPr>
          <w:rFonts w:ascii="Arial" w:cs="Arial" w:hAnsi="Arial"/>
          <w:lang w:val="tr-TR"/>
        </w:rPr>
      </w:pPr>
      <w:r>
        <w:rPr>
          <w:rFonts w:ascii="Arial" w:cs="Arial" w:hAnsi="Arial"/>
        </w:rPr>
        <w:t xml:space="preserve">Data represent means ± S.E. (n = 8). Tukey test was used to analyze significant differences in data, and letters represent differences at </w:t>
      </w:r>
      <w:r>
        <w:rPr>
          <w:rFonts w:ascii="Arial" w:cs="Arial" w:hAnsi="Arial"/>
          <w:i/>
        </w:rPr>
        <w:t>P</w:t>
      </w:r>
      <w:r>
        <w:rPr>
          <w:rFonts w:ascii="Arial" w:cs="Arial" w:hAnsi="Arial"/>
        </w:rPr>
        <w:t xml:space="preserve"> &lt; 0.001</w:t>
      </w:r>
    </w:p>
    <w:p>
      <w:pPr>
        <w:pStyle w:val="style0"/>
        <w:spacing w:lineRule="auto" w:line="480"/>
        <w:rPr>
          <w:rFonts w:ascii="Times New Roman" w:eastAsia="Aptos" w:hAnsi="Times New Roman"/>
          <w:kern w:val="2"/>
          <w:sz w:val="24"/>
          <w:szCs w:val="24"/>
          <w:lang w:val="tr-TR"/>
        </w:rPr>
      </w:pPr>
      <w:r>
        <w:rPr>
          <w:rFonts w:ascii="Times New Roman" w:eastAsia="Aptos" w:hAnsi="Times New Roman"/>
          <w:noProof/>
          <w:kern w:val="2"/>
        </w:rPr>
        <w:drawing>
          <wp:anchor distT="0" distB="0" distL="114300" distR="114300" simplePos="false" relativeHeight="3" behindDoc="true" locked="false" layoutInCell="true" allowOverlap="true">
            <wp:simplePos x="0" y="0"/>
            <wp:positionH relativeFrom="column">
              <wp:posOffset>2210435</wp:posOffset>
            </wp:positionH>
            <wp:positionV relativeFrom="paragraph">
              <wp:posOffset>17780</wp:posOffset>
            </wp:positionV>
            <wp:extent cx="2329180" cy="2353310"/>
            <wp:effectExtent l="0" t="0" r="0" b="0"/>
            <wp:wrapTight wrapText="bothSides">
              <wp:wrapPolygon edited="false">
                <wp:start x="0" y="0"/>
                <wp:lineTo x="0" y="21682"/>
                <wp:lineTo x="21553" y="21682"/>
                <wp:lineTo x="21553" y="0"/>
                <wp:lineTo x="0" y="0"/>
              </wp:wrapPolygon>
            </wp:wrapTight>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Times New Roman" w:eastAsia="Aptos" w:hAnsi="Times New Roman"/>
          <w:noProof/>
          <w:kern w:val="2"/>
        </w:rPr>
        <w:drawing>
          <wp:anchor distT="0" distB="0" distL="114300" distR="114300" simplePos="false" relativeHeight="4" behindDoc="true" locked="false" layoutInCell="true" allowOverlap="true">
            <wp:simplePos x="0" y="0"/>
            <wp:positionH relativeFrom="column">
              <wp:posOffset>-247015</wp:posOffset>
            </wp:positionH>
            <wp:positionV relativeFrom="paragraph">
              <wp:posOffset>17780</wp:posOffset>
            </wp:positionV>
            <wp:extent cx="2416810" cy="2353310"/>
            <wp:effectExtent l="0" t="0" r="0" b="0"/>
            <wp:wrapTight wrapText="bothSides">
              <wp:wrapPolygon edited="false">
                <wp:start x="0" y="0"/>
                <wp:lineTo x="0" y="21682"/>
                <wp:lineTo x="21623" y="21682"/>
                <wp:lineTo x="21623" y="0"/>
                <wp:lineTo x="0" y="0"/>
              </wp:wrapPolygon>
            </wp:wrapTight>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ascii="Arial" w:cs="Arial" w:hAnsi="Arial"/>
          <w:lang w:val="tr-TR"/>
        </w:rPr>
        <w:t xml:space="preserve"> </w:t>
      </w:r>
    </w:p>
    <w:p>
      <w:pPr>
        <w:pStyle w:val="style4099"/>
        <w:rPr>
          <w:rFonts w:ascii="Arial" w:cs="Arial" w:hAnsi="Arial"/>
          <w:lang w:val="tr-TR"/>
        </w:rPr>
      </w:pPr>
      <w:r>
        <w:rPr>
          <w:rFonts w:ascii="Arial" w:cs="Arial" w:hAnsi="Arial"/>
          <w:lang w:val="tr-TR"/>
        </w:rPr>
        <w:t xml:space="preserve"> </w:t>
      </w: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b/>
          <w:lang w:val="tr-TR"/>
        </w:rPr>
      </w:pPr>
    </w:p>
    <w:p>
      <w:pPr>
        <w:pStyle w:val="style4099"/>
        <w:rPr>
          <w:rFonts w:ascii="Arial" w:cs="Arial" w:hAnsi="Arial"/>
          <w:b/>
          <w:lang w:val="tr-TR"/>
        </w:rPr>
      </w:pPr>
    </w:p>
    <w:p>
      <w:pPr>
        <w:pStyle w:val="style4099"/>
        <w:rPr>
          <w:rFonts w:ascii="Arial" w:cs="Arial" w:hAnsi="Arial"/>
          <w:b/>
          <w:lang w:val="tr-TR"/>
        </w:rPr>
      </w:pPr>
    </w:p>
    <w:p>
      <w:pPr>
        <w:pStyle w:val="style4099"/>
        <w:rPr>
          <w:rFonts w:ascii="Arial" w:cs="Arial" w:hAnsi="Arial"/>
          <w:b/>
          <w:lang w:val="tr-TR"/>
        </w:rPr>
      </w:pPr>
      <w:r>
        <w:rPr>
          <w:rFonts w:ascii="Arial" w:cs="Arial" w:hAnsi="Arial"/>
          <w:b/>
          <w:lang w:val="tr-TR"/>
        </w:rPr>
        <w:t>F</w:t>
      </w:r>
      <w:r>
        <w:rPr>
          <w:rFonts w:ascii="Arial" w:cs="Arial" w:hAnsi="Arial"/>
          <w:b/>
          <w:lang w:val="tr-TR"/>
        </w:rPr>
        <w:t>ig</w:t>
      </w:r>
      <w:r>
        <w:rPr>
          <w:rFonts w:ascii="Arial" w:cs="Arial" w:hAnsi="Arial"/>
          <w:b/>
          <w:lang w:val="tr-TR"/>
        </w:rPr>
        <w:t>.</w:t>
      </w:r>
      <w:r>
        <w:rPr>
          <w:rFonts w:ascii="Arial" w:cs="Arial" w:hAnsi="Arial"/>
          <w:b/>
          <w:lang w:val="tr-TR"/>
        </w:rPr>
        <w:t xml:space="preserve"> 3. Effect of incubation at 20 °C and 27 °C on </w:t>
      </w:r>
      <w:r>
        <w:rPr>
          <w:rFonts w:ascii="Arial" w:cs="Arial" w:hAnsi="Arial"/>
          <w:b/>
          <w:i/>
          <w:lang w:val="tr-TR"/>
        </w:rPr>
        <w:t>F. oxysporum</w:t>
      </w:r>
      <w:r>
        <w:rPr>
          <w:rFonts w:ascii="Arial" w:cs="Arial" w:hAnsi="Arial"/>
          <w:b/>
          <w:lang w:val="tr-TR"/>
        </w:rPr>
        <w:t xml:space="preserve"> from </w:t>
      </w:r>
      <w:r>
        <w:rPr>
          <w:rFonts w:ascii="Arial" w:cs="Arial" w:hAnsi="Arial"/>
          <w:b/>
          <w:i/>
          <w:lang w:val="tr-TR"/>
        </w:rPr>
        <w:t>A. sativum</w:t>
      </w:r>
      <w:r>
        <w:rPr>
          <w:rFonts w:ascii="Arial" w:cs="Arial" w:hAnsi="Arial"/>
          <w:b/>
          <w:lang w:val="tr-TR"/>
        </w:rPr>
        <w:t xml:space="preserve"> on the 3</w:t>
      </w:r>
      <w:r>
        <w:rPr>
          <w:rFonts w:ascii="Arial" w:cs="Arial" w:hAnsi="Arial"/>
          <w:b/>
          <w:vertAlign w:val="superscript"/>
          <w:lang w:val="tr-TR"/>
        </w:rPr>
        <w:t>rd</w:t>
      </w:r>
      <w:r>
        <w:rPr>
          <w:rFonts w:ascii="Arial" w:cs="Arial" w:hAnsi="Arial"/>
          <w:b/>
          <w:lang w:val="tr-TR"/>
        </w:rPr>
        <w:t>, 6</w:t>
      </w:r>
      <w:r>
        <w:rPr>
          <w:rFonts w:ascii="Arial" w:cs="Arial" w:hAnsi="Arial"/>
          <w:b/>
          <w:vertAlign w:val="superscript"/>
          <w:lang w:val="tr-TR"/>
        </w:rPr>
        <w:t>th</w:t>
      </w:r>
      <w:r>
        <w:rPr>
          <w:rFonts w:ascii="Arial" w:cs="Arial" w:hAnsi="Arial"/>
          <w:b/>
          <w:lang w:val="tr-TR"/>
        </w:rPr>
        <w:t>, and 9</w:t>
      </w:r>
      <w:r>
        <w:rPr>
          <w:rFonts w:ascii="Arial" w:cs="Arial" w:hAnsi="Arial"/>
          <w:b/>
          <w:vertAlign w:val="superscript"/>
          <w:lang w:val="tr-TR"/>
        </w:rPr>
        <w:t>th</w:t>
      </w:r>
      <w:r>
        <w:rPr>
          <w:rFonts w:ascii="Arial" w:cs="Arial" w:hAnsi="Arial"/>
          <w:b/>
          <w:lang w:val="tr-TR"/>
        </w:rPr>
        <w:t xml:space="preserve"> days of culture; a) Colony diameter (cm) of </w:t>
      </w:r>
      <w:r>
        <w:rPr>
          <w:rFonts w:ascii="Arial" w:cs="Arial" w:hAnsi="Arial"/>
          <w:b/>
          <w:i/>
          <w:lang w:val="tr-TR"/>
        </w:rPr>
        <w:t>F. oxysporum</w:t>
      </w:r>
      <w:r>
        <w:rPr>
          <w:rFonts w:ascii="Arial" w:cs="Arial" w:hAnsi="Arial"/>
          <w:b/>
          <w:lang w:val="tr-TR"/>
        </w:rPr>
        <w:t xml:space="preserve"> from </w:t>
      </w:r>
      <w:r>
        <w:rPr>
          <w:rFonts w:ascii="Arial" w:cs="Arial" w:hAnsi="Arial"/>
          <w:b/>
          <w:i/>
          <w:lang w:val="tr-TR"/>
        </w:rPr>
        <w:t>A. sativum</w:t>
      </w:r>
      <w:r>
        <w:rPr>
          <w:rFonts w:ascii="Arial" w:cs="Arial" w:hAnsi="Arial"/>
          <w:b/>
          <w:lang w:val="tr-TR"/>
        </w:rPr>
        <w:t xml:space="preserve"> at two different temperatures, b)  Mycelial growth rate at the measurement intervals of </w:t>
      </w:r>
      <w:r>
        <w:rPr>
          <w:rFonts w:ascii="Arial" w:cs="Arial" w:hAnsi="Arial"/>
          <w:b/>
          <w:i/>
          <w:lang w:val="tr-TR"/>
        </w:rPr>
        <w:t>F. oxysporum</w:t>
      </w:r>
      <w:r>
        <w:rPr>
          <w:rFonts w:ascii="Arial" w:cs="Arial" w:hAnsi="Arial"/>
          <w:b/>
          <w:lang w:val="tr-TR"/>
        </w:rPr>
        <w:t xml:space="preserve"> from </w:t>
      </w:r>
      <w:r>
        <w:rPr>
          <w:rFonts w:ascii="Arial" w:cs="Arial" w:hAnsi="Arial"/>
          <w:b/>
          <w:i/>
          <w:lang w:val="tr-TR"/>
        </w:rPr>
        <w:t>A. sativum</w:t>
      </w:r>
      <w:r>
        <w:rPr>
          <w:rFonts w:ascii="Arial" w:cs="Arial" w:hAnsi="Arial"/>
          <w:b/>
          <w:lang w:val="tr-TR"/>
        </w:rPr>
        <w:t xml:space="preserve"> at two different temperatures (%).</w:t>
      </w:r>
    </w:p>
    <w:p>
      <w:pPr>
        <w:pStyle w:val="style4099"/>
        <w:rPr>
          <w:rFonts w:ascii="Arial" w:cs="Arial" w:hAnsi="Arial"/>
          <w:lang w:val="tr-TR"/>
        </w:rPr>
      </w:pPr>
      <w:r>
        <w:rPr>
          <w:rFonts w:ascii="Arial" w:cs="Arial" w:hAnsi="Arial"/>
          <w:lang w:val="tr-TR"/>
        </w:rPr>
        <w:t>Visual observations were also confirmed using a digital image program. According to the program, red, green, and blue scales were always different in terms of temperature (Tables 6, 7, 8; Figure 6). Especially on the 9th day, the data showed sharp differences between the front and back sides at 27 °C.</w:t>
      </w:r>
    </w:p>
    <w:p>
      <w:pPr>
        <w:pStyle w:val="style4099"/>
        <w:rPr>
          <w:rFonts w:ascii="Arial" w:cs="Arial" w:hAnsi="Arial"/>
          <w:b/>
          <w:lang w:val="tr-TR"/>
        </w:rPr>
      </w:pPr>
    </w:p>
    <w:p>
      <w:pPr>
        <w:pStyle w:val="style4099"/>
        <w:rPr>
          <w:rFonts w:ascii="Arial" w:cs="Arial" w:hAnsi="Arial"/>
          <w:b/>
          <w:lang w:val="tr-TR"/>
        </w:rPr>
      </w:pPr>
      <w:r>
        <w:rPr>
          <w:rFonts w:ascii="Arial" w:cs="Arial" w:hAnsi="Arial"/>
          <w:b/>
          <w:lang w:val="tr-TR"/>
        </w:rPr>
        <w:t xml:space="preserve">Table 6. Colony color of </w:t>
      </w:r>
      <w:r>
        <w:rPr>
          <w:rFonts w:ascii="Arial" w:cs="Arial" w:hAnsi="Arial"/>
          <w:b/>
          <w:i/>
          <w:iCs/>
          <w:lang w:val="tr-TR"/>
        </w:rPr>
        <w:t>F. oxysporum</w:t>
      </w:r>
      <w:r>
        <w:rPr>
          <w:rFonts w:ascii="Arial" w:cs="Arial" w:hAnsi="Arial"/>
          <w:b/>
          <w:lang w:val="tr-TR"/>
        </w:rPr>
        <w:t xml:space="preserve"> from garlic at two different temperatures; 20 </w:t>
      </w:r>
      <w:r>
        <w:rPr>
          <w:rFonts w:ascii="Arial" w:cs="Arial" w:hAnsi="Arial"/>
          <w:b/>
          <w:bCs/>
        </w:rPr>
        <w:t>°C and</w:t>
      </w:r>
      <w:r>
        <w:rPr>
          <w:rFonts w:ascii="Arial" w:cs="Arial" w:hAnsi="Arial"/>
          <w:b/>
        </w:rPr>
        <w:t xml:space="preserve"> </w:t>
      </w:r>
      <w:r>
        <w:rPr>
          <w:rFonts w:ascii="Arial" w:cs="Arial" w:hAnsi="Arial"/>
          <w:b/>
          <w:lang w:val="tr-TR"/>
        </w:rPr>
        <w:t xml:space="preserve">27 </w:t>
      </w:r>
      <w:r>
        <w:rPr>
          <w:rFonts w:ascii="Arial" w:cs="Arial" w:hAnsi="Arial"/>
          <w:b/>
          <w:bCs/>
        </w:rPr>
        <w:t xml:space="preserve">°C </w:t>
      </w:r>
      <w:r>
        <w:rPr>
          <w:rFonts w:ascii="Arial" w:cs="Arial" w:hAnsi="Arial"/>
          <w:b/>
          <w:lang w:val="tr-TR"/>
        </w:rPr>
        <w:t>on the 3</w:t>
      </w:r>
      <w:r>
        <w:rPr>
          <w:rFonts w:ascii="Arial" w:cs="Arial" w:hAnsi="Arial"/>
          <w:b/>
          <w:vertAlign w:val="superscript"/>
          <w:lang w:val="tr-TR"/>
        </w:rPr>
        <w:t>rd</w:t>
      </w:r>
      <w:r>
        <w:rPr>
          <w:rFonts w:ascii="Arial" w:cs="Arial" w:hAnsi="Arial"/>
          <w:b/>
          <w:lang w:val="tr-TR"/>
        </w:rPr>
        <w:t xml:space="preserve"> day</w:t>
      </w:r>
    </w:p>
    <w:tbl>
      <w:tblPr>
        <w:tblStyle w:val="style154"/>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1050"/>
        <w:gridCol w:w="1309"/>
        <w:gridCol w:w="1275"/>
        <w:gridCol w:w="1276"/>
        <w:gridCol w:w="1385"/>
        <w:gridCol w:w="1276"/>
      </w:tblGrid>
      <w:tr>
        <w:trPr/>
        <w:tc>
          <w:tcPr>
            <w:tcW w:w="1468" w:type="dxa"/>
            <w:vMerge w:val="restart"/>
            <w:tcBorders>
              <w:top w:val="single" w:sz="4" w:space="0" w:color="auto"/>
            </w:tcBorders>
          </w:tcPr>
          <w:p>
            <w:pPr>
              <w:pStyle w:val="style4099"/>
              <w:spacing w:after="0"/>
              <w:rPr>
                <w:rFonts w:ascii="Arial" w:cs="Arial" w:eastAsia="Times New Roman" w:hAnsi="Arial"/>
                <w:b/>
                <w:sz w:val="20"/>
                <w:lang w:val="tr-TR"/>
              </w:rPr>
            </w:pPr>
            <w:r>
              <w:rPr>
                <w:rFonts w:ascii="Arial" w:cs="Arial" w:eastAsia="Times New Roman" w:hAnsi="Arial"/>
                <w:b/>
                <w:sz w:val="20"/>
                <w:lang w:val="tr-TR"/>
              </w:rPr>
              <w:t>Temperature</w:t>
            </w:r>
          </w:p>
        </w:tc>
        <w:tc>
          <w:tcPr>
            <w:tcW w:w="7571" w:type="dxa"/>
            <w:gridSpan w:val="6"/>
            <w:tcBorders>
              <w:top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Colony Color in the 3</w:t>
            </w:r>
            <w:r>
              <w:rPr>
                <w:rFonts w:ascii="Arial" w:cs="Arial" w:eastAsia="Times New Roman" w:hAnsi="Arial"/>
                <w:b/>
                <w:sz w:val="20"/>
                <w:vertAlign w:val="superscript"/>
                <w:lang w:val="tr-TR"/>
              </w:rPr>
              <w:t>rd</w:t>
            </w:r>
            <w:r>
              <w:rPr>
                <w:rFonts w:ascii="Arial" w:cs="Arial" w:eastAsia="Times New Roman" w:hAnsi="Arial"/>
                <w:b/>
                <w:sz w:val="20"/>
                <w:lang w:val="tr-TR"/>
              </w:rPr>
              <w:t xml:space="preserve"> Day</w:t>
            </w:r>
          </w:p>
        </w:tc>
      </w:tr>
      <w:tr>
        <w:tblPrEx/>
        <w:trPr/>
        <w:tc>
          <w:tcPr>
            <w:tcW w:w="1468" w:type="dxa"/>
            <w:vMerge w:val="continue"/>
            <w:tcBorders/>
          </w:tcPr>
          <w:p>
            <w:pPr>
              <w:pStyle w:val="style4099"/>
              <w:spacing w:after="0"/>
              <w:rPr>
                <w:rFonts w:ascii="Arial" w:cs="Arial" w:eastAsia="Times New Roman" w:hAnsi="Arial"/>
                <w:sz w:val="20"/>
                <w:lang w:val="tr-TR"/>
              </w:rPr>
            </w:pPr>
          </w:p>
        </w:tc>
        <w:tc>
          <w:tcPr>
            <w:tcW w:w="3634" w:type="dxa"/>
            <w:gridSpan w:val="3"/>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Front</w:t>
            </w:r>
          </w:p>
        </w:tc>
        <w:tc>
          <w:tcPr>
            <w:tcW w:w="3937" w:type="dxa"/>
            <w:gridSpan w:val="3"/>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Back</w:t>
            </w:r>
          </w:p>
        </w:tc>
      </w:tr>
      <w:tr>
        <w:tblPrEx/>
        <w:trPr/>
        <w:tc>
          <w:tcPr>
            <w:tcW w:w="1468" w:type="dxa"/>
            <w:vMerge w:val="continue"/>
            <w:tcBorders>
              <w:bottom w:val="single" w:sz="4" w:space="0" w:color="auto"/>
            </w:tcBorders>
          </w:tcPr>
          <w:p>
            <w:pPr>
              <w:pStyle w:val="style4099"/>
              <w:spacing w:after="0"/>
              <w:rPr>
                <w:rFonts w:ascii="Arial" w:cs="Arial" w:eastAsia="Times New Roman" w:hAnsi="Arial"/>
                <w:sz w:val="20"/>
                <w:lang w:val="tr-TR"/>
              </w:rPr>
            </w:pPr>
          </w:p>
        </w:tc>
        <w:tc>
          <w:tcPr>
            <w:tcW w:w="1050"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Red</w:t>
            </w:r>
          </w:p>
        </w:tc>
        <w:tc>
          <w:tcPr>
            <w:tcW w:w="1309"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Green</w:t>
            </w:r>
          </w:p>
        </w:tc>
        <w:tc>
          <w:tcPr>
            <w:tcW w:w="127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Blue</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Red</w:t>
            </w:r>
          </w:p>
        </w:tc>
        <w:tc>
          <w:tcPr>
            <w:tcW w:w="138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Green</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Blue</w:t>
            </w:r>
          </w:p>
        </w:tc>
      </w:tr>
      <w:tr>
        <w:tblPrEx/>
        <w:trPr/>
        <w:tc>
          <w:tcPr>
            <w:tcW w:w="1468" w:type="dxa"/>
            <w:tcBorders>
              <w:top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20 </w:t>
            </w:r>
            <w:r>
              <w:rPr>
                <w:rFonts w:ascii="Arial" w:cs="Arial" w:eastAsia="Times New Roman" w:hAnsi="Arial"/>
                <w:bCs/>
                <w:sz w:val="20"/>
              </w:rPr>
              <w:t xml:space="preserve">°C      </w:t>
            </w:r>
          </w:p>
        </w:tc>
        <w:tc>
          <w:tcPr>
            <w:tcW w:w="1050"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160,5</w:t>
            </w:r>
            <w:r>
              <w:rPr>
                <w:rFonts w:ascii="Arial" w:cs="Arial" w:eastAsia="Times New Roman" w:hAnsi="Arial"/>
                <w:sz w:val="20"/>
                <w:vertAlign w:val="superscript"/>
                <w:lang w:val="tr-TR"/>
              </w:rPr>
              <w:t>±19,5</w:t>
            </w:r>
          </w:p>
        </w:tc>
        <w:tc>
          <w:tcPr>
            <w:tcW w:w="1309"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154,6</w:t>
            </w:r>
            <w:r>
              <w:rPr>
                <w:rFonts w:ascii="Arial" w:cs="Arial" w:eastAsia="Times New Roman" w:hAnsi="Arial"/>
                <w:sz w:val="20"/>
                <w:vertAlign w:val="superscript"/>
                <w:lang w:val="tr-TR"/>
              </w:rPr>
              <w:t>±16,1</w:t>
            </w:r>
            <w:r>
              <w:rPr>
                <w:rFonts w:ascii="Arial" w:cs="Arial" w:eastAsia="Times New Roman" w:hAnsi="Arial"/>
                <w:sz w:val="20"/>
                <w:lang w:val="tr-TR"/>
              </w:rPr>
              <w:t xml:space="preserve"> a</w:t>
            </w:r>
          </w:p>
        </w:tc>
        <w:tc>
          <w:tcPr>
            <w:tcW w:w="1275"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151,2</w:t>
            </w:r>
            <w:r>
              <w:rPr>
                <w:rFonts w:ascii="Arial" w:cs="Arial" w:eastAsia="Times New Roman" w:hAnsi="Arial"/>
                <w:sz w:val="20"/>
                <w:vertAlign w:val="superscript"/>
                <w:lang w:val="tr-TR"/>
              </w:rPr>
              <w:t>±16,4</w:t>
            </w:r>
            <w:r>
              <w:rPr>
                <w:rFonts w:ascii="Arial" w:cs="Arial" w:eastAsia="Times New Roman" w:hAnsi="Arial"/>
                <w:sz w:val="20"/>
                <w:lang w:val="tr-TR"/>
              </w:rPr>
              <w:t xml:space="preserve"> a</w:t>
            </w:r>
          </w:p>
        </w:tc>
        <w:tc>
          <w:tcPr>
            <w:tcW w:w="1276"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169,2</w:t>
            </w:r>
            <w:r>
              <w:rPr>
                <w:rFonts w:ascii="Arial" w:cs="Arial" w:eastAsia="Times New Roman" w:hAnsi="Arial"/>
                <w:sz w:val="20"/>
                <w:vertAlign w:val="superscript"/>
                <w:lang w:val="tr-TR"/>
              </w:rPr>
              <w:t>±10,2</w:t>
            </w:r>
            <w:r>
              <w:rPr>
                <w:rFonts w:ascii="Arial" w:cs="Arial" w:eastAsia="Times New Roman" w:hAnsi="Arial"/>
                <w:sz w:val="20"/>
                <w:lang w:val="tr-TR"/>
              </w:rPr>
              <w:t xml:space="preserve"> a</w:t>
            </w:r>
          </w:p>
        </w:tc>
        <w:tc>
          <w:tcPr>
            <w:tcW w:w="1385"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161,8</w:t>
            </w:r>
            <w:r>
              <w:rPr>
                <w:rFonts w:ascii="Arial" w:cs="Arial" w:eastAsia="Times New Roman" w:hAnsi="Arial"/>
                <w:sz w:val="20"/>
                <w:vertAlign w:val="superscript"/>
                <w:lang w:val="tr-TR"/>
              </w:rPr>
              <w:t>±10,6</w:t>
            </w:r>
            <w:r>
              <w:rPr>
                <w:rFonts w:ascii="Arial" w:cs="Arial" w:eastAsia="Times New Roman" w:hAnsi="Arial"/>
                <w:sz w:val="20"/>
                <w:lang w:val="tr-TR"/>
              </w:rPr>
              <w:t xml:space="preserve"> a</w:t>
            </w:r>
          </w:p>
        </w:tc>
        <w:tc>
          <w:tcPr>
            <w:tcW w:w="1276"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151,4</w:t>
            </w:r>
            <w:r>
              <w:rPr>
                <w:rFonts w:ascii="Arial" w:cs="Arial" w:eastAsia="Times New Roman" w:hAnsi="Arial"/>
                <w:sz w:val="20"/>
                <w:vertAlign w:val="superscript"/>
                <w:lang w:val="tr-TR"/>
              </w:rPr>
              <w:t>±12,1</w:t>
            </w:r>
            <w:r>
              <w:rPr>
                <w:rFonts w:ascii="Arial" w:cs="Arial" w:eastAsia="Times New Roman" w:hAnsi="Arial"/>
                <w:sz w:val="20"/>
                <w:lang w:val="tr-TR"/>
              </w:rPr>
              <w:t xml:space="preserve"> a</w:t>
            </w:r>
          </w:p>
        </w:tc>
      </w:tr>
      <w:tr>
        <w:tblPrEx/>
        <w:trPr/>
        <w:tc>
          <w:tcPr>
            <w:tcW w:w="1468" w:type="dxa"/>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27 </w:t>
            </w:r>
            <w:r>
              <w:rPr>
                <w:rFonts w:ascii="Arial" w:cs="Arial" w:eastAsia="Times New Roman" w:hAnsi="Arial"/>
                <w:bCs/>
                <w:sz w:val="20"/>
              </w:rPr>
              <w:t xml:space="preserve">°C        </w:t>
            </w:r>
          </w:p>
        </w:tc>
        <w:tc>
          <w:tcPr>
            <w:tcW w:w="1050"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154,4</w:t>
            </w:r>
            <w:r>
              <w:rPr>
                <w:rFonts w:ascii="Arial" w:cs="Arial" w:eastAsia="Times New Roman" w:hAnsi="Arial"/>
                <w:sz w:val="20"/>
                <w:vertAlign w:val="superscript"/>
                <w:lang w:val="tr-TR"/>
              </w:rPr>
              <w:t>±5,9</w:t>
            </w:r>
          </w:p>
        </w:tc>
        <w:tc>
          <w:tcPr>
            <w:tcW w:w="1309"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134,1</w:t>
            </w:r>
            <w:r>
              <w:rPr>
                <w:rFonts w:ascii="Arial" w:cs="Arial" w:eastAsia="Times New Roman" w:hAnsi="Arial"/>
                <w:sz w:val="20"/>
                <w:vertAlign w:val="superscript"/>
                <w:lang w:val="tr-TR"/>
              </w:rPr>
              <w:t>±6,9</w:t>
            </w:r>
            <w:r>
              <w:rPr>
                <w:rFonts w:ascii="Arial" w:cs="Arial" w:eastAsia="Times New Roman" w:hAnsi="Arial"/>
                <w:sz w:val="20"/>
                <w:lang w:val="tr-TR"/>
              </w:rPr>
              <w:t xml:space="preserve">  b</w:t>
            </w:r>
          </w:p>
        </w:tc>
        <w:tc>
          <w:tcPr>
            <w:tcW w:w="1275"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128,5</w:t>
            </w:r>
            <w:r>
              <w:rPr>
                <w:rFonts w:ascii="Arial" w:cs="Arial" w:eastAsia="Times New Roman" w:hAnsi="Arial"/>
                <w:sz w:val="20"/>
                <w:vertAlign w:val="superscript"/>
                <w:lang w:val="tr-TR"/>
              </w:rPr>
              <w:t xml:space="preserve">±5,6  </w:t>
            </w:r>
            <w:r>
              <w:rPr>
                <w:rFonts w:ascii="Arial" w:cs="Arial" w:eastAsia="Times New Roman" w:hAnsi="Arial"/>
                <w:sz w:val="20"/>
                <w:lang w:val="tr-TR"/>
              </w:rPr>
              <w:t>b</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150,2</w:t>
            </w:r>
            <w:r>
              <w:rPr>
                <w:rFonts w:ascii="Arial" w:cs="Arial" w:eastAsia="Times New Roman" w:hAnsi="Arial"/>
                <w:sz w:val="20"/>
                <w:vertAlign w:val="superscript"/>
                <w:lang w:val="tr-TR"/>
              </w:rPr>
              <w:t>±14,6</w:t>
            </w:r>
            <w:r>
              <w:rPr>
                <w:rFonts w:ascii="Arial" w:cs="Arial" w:eastAsia="Times New Roman" w:hAnsi="Arial"/>
                <w:sz w:val="20"/>
                <w:lang w:val="tr-TR"/>
              </w:rPr>
              <w:t xml:space="preserve"> b</w:t>
            </w:r>
          </w:p>
        </w:tc>
        <w:tc>
          <w:tcPr>
            <w:tcW w:w="1385"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111,7</w:t>
            </w:r>
            <w:r>
              <w:rPr>
                <w:rFonts w:ascii="Arial" w:cs="Arial" w:eastAsia="Times New Roman" w:hAnsi="Arial"/>
                <w:sz w:val="20"/>
                <w:vertAlign w:val="superscript"/>
                <w:lang w:val="tr-TR"/>
              </w:rPr>
              <w:t>±25,7</w:t>
            </w:r>
            <w:r>
              <w:rPr>
                <w:rFonts w:ascii="Arial" w:cs="Arial" w:eastAsia="Times New Roman" w:hAnsi="Arial"/>
                <w:sz w:val="20"/>
                <w:lang w:val="tr-TR"/>
              </w:rPr>
              <w:t xml:space="preserve"> b</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95,8</w:t>
            </w:r>
            <w:r>
              <w:rPr>
                <w:rFonts w:ascii="Arial" w:cs="Arial" w:eastAsia="Times New Roman" w:hAnsi="Arial"/>
                <w:sz w:val="20"/>
                <w:vertAlign w:val="superscript"/>
                <w:lang w:val="tr-TR"/>
              </w:rPr>
              <w:t xml:space="preserve">±21,6    </w:t>
            </w:r>
            <w:r>
              <w:rPr>
                <w:rFonts w:ascii="Arial" w:cs="Arial" w:eastAsia="Times New Roman" w:hAnsi="Arial"/>
                <w:sz w:val="20"/>
                <w:lang w:val="tr-TR"/>
              </w:rPr>
              <w:t>b</w:t>
            </w:r>
          </w:p>
        </w:tc>
      </w:tr>
      <w:tr>
        <w:tblPrEx/>
        <w:trPr/>
        <w:tc>
          <w:tcPr>
            <w:tcW w:w="1468" w:type="dxa"/>
            <w:tcBorders/>
          </w:tcPr>
          <w:p>
            <w:pPr>
              <w:pStyle w:val="style4099"/>
              <w:spacing w:after="0"/>
              <w:rPr>
                <w:rFonts w:ascii="Arial" w:cs="Arial" w:eastAsia="Times New Roman" w:hAnsi="Arial"/>
                <w:sz w:val="20"/>
                <w:lang w:val="tr-TR"/>
              </w:rPr>
            </w:pPr>
            <w:r>
              <w:rPr>
                <w:rFonts w:ascii="Arial" w:cs="Arial" w:eastAsia="Times New Roman" w:hAnsi="Arial"/>
                <w:i/>
                <w:iCs/>
                <w:sz w:val="20"/>
                <w:lang w:val="tr-TR"/>
              </w:rPr>
              <w:t>P</w:t>
            </w:r>
            <w:r>
              <w:rPr>
                <w:rFonts w:ascii="Arial" w:cs="Arial" w:eastAsia="Times New Roman" w:hAnsi="Arial"/>
                <w:sz w:val="20"/>
                <w:lang w:val="tr-TR"/>
              </w:rPr>
              <w:t xml:space="preserve"> value</w:t>
            </w:r>
          </w:p>
        </w:tc>
        <w:tc>
          <w:tcPr>
            <w:tcW w:w="1050"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N.S.</w:t>
            </w:r>
          </w:p>
        </w:tc>
        <w:tc>
          <w:tcPr>
            <w:tcW w:w="1309"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&lt;0,01</w:t>
            </w:r>
          </w:p>
        </w:tc>
        <w:tc>
          <w:tcPr>
            <w:tcW w:w="1275"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&lt;0,01</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&lt;0,01</w:t>
            </w:r>
          </w:p>
        </w:tc>
        <w:tc>
          <w:tcPr>
            <w:tcW w:w="1385"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r>
      <w:tr>
        <w:tblPrEx/>
        <w:trPr/>
        <w:tc>
          <w:tcPr>
            <w:tcW w:w="1468" w:type="dxa"/>
            <w:tcBorders>
              <w:bottom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Mean </w:t>
            </w:r>
          </w:p>
        </w:tc>
        <w:tc>
          <w:tcPr>
            <w:tcW w:w="1050"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157,4</w:t>
            </w:r>
            <w:r>
              <w:rPr>
                <w:rFonts w:ascii="Arial" w:cs="Arial" w:eastAsia="Times New Roman" w:hAnsi="Arial"/>
                <w:sz w:val="20"/>
                <w:vertAlign w:val="superscript"/>
                <w:lang w:val="tr-TR"/>
              </w:rPr>
              <w:t>±14,2</w:t>
            </w:r>
          </w:p>
        </w:tc>
        <w:tc>
          <w:tcPr>
            <w:tcW w:w="1309"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144,4</w:t>
            </w:r>
            <w:r>
              <w:rPr>
                <w:rFonts w:ascii="Arial" w:cs="Arial" w:eastAsia="Times New Roman" w:hAnsi="Arial"/>
                <w:sz w:val="20"/>
                <w:vertAlign w:val="superscript"/>
                <w:lang w:val="tr-TR"/>
              </w:rPr>
              <w:t>±16,0</w:t>
            </w:r>
          </w:p>
        </w:tc>
        <w:tc>
          <w:tcPr>
            <w:tcW w:w="127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139,9</w:t>
            </w:r>
            <w:r>
              <w:rPr>
                <w:rFonts w:ascii="Arial" w:cs="Arial" w:eastAsia="Times New Roman" w:hAnsi="Arial"/>
                <w:sz w:val="20"/>
                <w:vertAlign w:val="superscript"/>
                <w:lang w:val="tr-TR"/>
              </w:rPr>
              <w:t>±16,6</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160,0</w:t>
            </w:r>
            <w:r>
              <w:rPr>
                <w:rFonts w:ascii="Arial" w:cs="Arial" w:eastAsia="Times New Roman" w:hAnsi="Arial"/>
                <w:sz w:val="20"/>
                <w:vertAlign w:val="superscript"/>
                <w:lang w:val="tr-TR"/>
              </w:rPr>
              <w:t>±15,9</w:t>
            </w:r>
          </w:p>
        </w:tc>
        <w:tc>
          <w:tcPr>
            <w:tcW w:w="138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136,7</w:t>
            </w:r>
            <w:r>
              <w:rPr>
                <w:rFonts w:ascii="Arial" w:cs="Arial" w:eastAsia="Times New Roman" w:hAnsi="Arial"/>
                <w:sz w:val="20"/>
                <w:vertAlign w:val="superscript"/>
                <w:lang w:val="tr-TR"/>
              </w:rPr>
              <w:t>±32,1</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123,6</w:t>
            </w:r>
            <w:r>
              <w:rPr>
                <w:rFonts w:ascii="Arial" w:cs="Arial" w:eastAsia="Times New Roman" w:hAnsi="Arial"/>
                <w:sz w:val="20"/>
                <w:vertAlign w:val="superscript"/>
                <w:lang w:val="tr-TR"/>
              </w:rPr>
              <w:t>±33,3</w:t>
            </w:r>
          </w:p>
        </w:tc>
      </w:tr>
    </w:tbl>
    <w:p>
      <w:pPr>
        <w:pStyle w:val="style4099"/>
        <w:rPr>
          <w:rFonts w:ascii="Arial" w:cs="Arial" w:hAnsi="Arial"/>
          <w:lang w:val="tr-TR"/>
        </w:rPr>
      </w:pPr>
      <w:r>
        <w:rPr>
          <w:rFonts w:ascii="Arial" w:cs="Arial" w:hAnsi="Arial"/>
        </w:rPr>
        <w:t xml:space="preserve">Data represent means ± S.E. (n = 8). Tukey test was used to analyze significant differences in data, and letters represent differences at </w:t>
      </w:r>
      <w:r>
        <w:rPr>
          <w:rFonts w:ascii="Arial" w:cs="Arial" w:hAnsi="Arial"/>
          <w:i/>
        </w:rPr>
        <w:t>P</w:t>
      </w:r>
      <w:r>
        <w:rPr>
          <w:rFonts w:ascii="Arial" w:cs="Arial" w:hAnsi="Arial"/>
        </w:rPr>
        <w:t xml:space="preserve"> &lt; 0.001, </w:t>
      </w:r>
      <w:r>
        <w:rPr>
          <w:rFonts w:ascii="Arial" w:cs="Arial" w:hAnsi="Arial"/>
          <w:i/>
        </w:rPr>
        <w:t>P</w:t>
      </w:r>
      <w:r>
        <w:rPr>
          <w:rFonts w:ascii="Arial" w:cs="Arial" w:hAnsi="Arial"/>
        </w:rPr>
        <w:t xml:space="preserve"> &lt; 0.01, </w:t>
      </w:r>
      <w:r>
        <w:rPr>
          <w:rFonts w:ascii="Arial" w:cs="Arial" w:hAnsi="Arial"/>
        </w:rPr>
        <w:t>n.s</w:t>
      </w:r>
      <w:r>
        <w:rPr>
          <w:rFonts w:ascii="Arial" w:cs="Arial" w:hAnsi="Arial"/>
        </w:rPr>
        <w:t>.: non-significant difference</w:t>
      </w:r>
    </w:p>
    <w:p>
      <w:pPr>
        <w:pStyle w:val="style4099"/>
        <w:rPr>
          <w:rFonts w:ascii="Arial" w:cs="Arial" w:hAnsi="Arial"/>
          <w:b/>
          <w:lang w:val="tr-TR"/>
        </w:rPr>
      </w:pPr>
    </w:p>
    <w:p>
      <w:pPr>
        <w:pStyle w:val="style4099"/>
        <w:rPr>
          <w:rFonts w:ascii="Arial" w:cs="Arial" w:hAnsi="Arial"/>
          <w:b/>
          <w:lang w:val="tr-TR"/>
        </w:rPr>
      </w:pPr>
      <w:r>
        <w:rPr>
          <w:rFonts w:ascii="Arial" w:cs="Arial" w:hAnsi="Arial"/>
          <w:b/>
          <w:lang w:val="tr-TR"/>
        </w:rPr>
        <w:t xml:space="preserve">Table 7. Colony color of </w:t>
      </w:r>
      <w:r>
        <w:rPr>
          <w:rFonts w:ascii="Arial" w:cs="Arial" w:hAnsi="Arial"/>
          <w:b/>
          <w:i/>
          <w:iCs/>
          <w:lang w:val="tr-TR"/>
        </w:rPr>
        <w:t>F. oxysporum</w:t>
      </w:r>
      <w:r>
        <w:rPr>
          <w:rFonts w:ascii="Arial" w:cs="Arial" w:hAnsi="Arial"/>
          <w:b/>
          <w:lang w:val="tr-TR"/>
        </w:rPr>
        <w:t xml:space="preserve"> from garlic at two different temperatures; 20 </w:t>
      </w:r>
      <w:r>
        <w:rPr>
          <w:rFonts w:ascii="Arial" w:cs="Arial" w:hAnsi="Arial"/>
          <w:b/>
          <w:bCs/>
        </w:rPr>
        <w:t>°C and</w:t>
      </w:r>
      <w:r>
        <w:rPr>
          <w:rFonts w:ascii="Arial" w:cs="Arial" w:hAnsi="Arial"/>
          <w:b/>
        </w:rPr>
        <w:t xml:space="preserve"> </w:t>
      </w:r>
      <w:r>
        <w:rPr>
          <w:rFonts w:ascii="Arial" w:cs="Arial" w:hAnsi="Arial"/>
          <w:b/>
          <w:lang w:val="tr-TR"/>
        </w:rPr>
        <w:t xml:space="preserve">27 </w:t>
      </w:r>
      <w:r>
        <w:rPr>
          <w:rFonts w:ascii="Arial" w:cs="Arial" w:hAnsi="Arial"/>
          <w:b/>
          <w:bCs/>
        </w:rPr>
        <w:t>°C</w:t>
      </w:r>
      <w:r>
        <w:rPr>
          <w:rFonts w:ascii="Arial" w:cs="Arial" w:hAnsi="Arial"/>
          <w:b/>
          <w:lang w:val="tr-TR"/>
        </w:rPr>
        <w:t xml:space="preserve"> on the 6</w:t>
      </w:r>
      <w:r>
        <w:rPr>
          <w:rFonts w:ascii="Arial" w:cs="Arial" w:hAnsi="Arial"/>
          <w:b/>
          <w:vertAlign w:val="superscript"/>
          <w:lang w:val="tr-TR"/>
        </w:rPr>
        <w:t>th</w:t>
      </w:r>
      <w:r>
        <w:rPr>
          <w:rFonts w:ascii="Arial" w:cs="Arial" w:hAnsi="Arial"/>
          <w:b/>
          <w:lang w:val="tr-TR"/>
        </w:rPr>
        <w:t xml:space="preserve"> day</w:t>
      </w:r>
    </w:p>
    <w:tbl>
      <w:tblPr>
        <w:tblStyle w:val="style15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1334"/>
        <w:gridCol w:w="1275"/>
        <w:gridCol w:w="1276"/>
        <w:gridCol w:w="1276"/>
        <w:gridCol w:w="1276"/>
        <w:gridCol w:w="1275"/>
      </w:tblGrid>
      <w:tr>
        <w:trPr/>
        <w:tc>
          <w:tcPr>
            <w:tcW w:w="1468" w:type="dxa"/>
            <w:vMerge w:val="restart"/>
            <w:tcBorders>
              <w:top w:val="single" w:sz="4" w:space="0" w:color="auto"/>
            </w:tcBorders>
          </w:tcPr>
          <w:p>
            <w:pPr>
              <w:pStyle w:val="style4099"/>
              <w:spacing w:after="0"/>
              <w:rPr>
                <w:rFonts w:ascii="Arial" w:cs="Arial" w:eastAsia="Times New Roman" w:hAnsi="Arial"/>
                <w:b/>
                <w:sz w:val="20"/>
                <w:lang w:val="tr-TR"/>
              </w:rPr>
            </w:pPr>
            <w:r>
              <w:rPr>
                <w:rFonts w:ascii="Arial" w:cs="Arial" w:eastAsia="Times New Roman" w:hAnsi="Arial"/>
                <w:b/>
                <w:sz w:val="20"/>
                <w:lang w:val="tr-TR"/>
              </w:rPr>
              <w:t>Temperature</w:t>
            </w:r>
          </w:p>
        </w:tc>
        <w:tc>
          <w:tcPr>
            <w:tcW w:w="7712" w:type="dxa"/>
            <w:gridSpan w:val="6"/>
            <w:tcBorders>
              <w:top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Colony Color in the 6</w:t>
            </w:r>
            <w:r>
              <w:rPr>
                <w:rFonts w:ascii="Arial" w:cs="Arial" w:eastAsia="Times New Roman" w:hAnsi="Arial"/>
                <w:b/>
                <w:sz w:val="20"/>
                <w:vertAlign w:val="superscript"/>
                <w:lang w:val="tr-TR"/>
              </w:rPr>
              <w:t>th</w:t>
            </w:r>
            <w:r>
              <w:rPr>
                <w:rFonts w:ascii="Arial" w:cs="Arial" w:eastAsia="Times New Roman" w:hAnsi="Arial"/>
                <w:b/>
                <w:sz w:val="20"/>
                <w:lang w:val="tr-TR"/>
              </w:rPr>
              <w:t xml:space="preserve"> Day</w:t>
            </w:r>
          </w:p>
        </w:tc>
      </w:tr>
      <w:tr>
        <w:tblPrEx/>
        <w:trPr/>
        <w:tc>
          <w:tcPr>
            <w:tcW w:w="1468" w:type="dxa"/>
            <w:vMerge w:val="continue"/>
            <w:tcBorders/>
          </w:tcPr>
          <w:p>
            <w:pPr>
              <w:pStyle w:val="style4099"/>
              <w:spacing w:after="0"/>
              <w:rPr>
                <w:rFonts w:ascii="Arial" w:cs="Arial" w:eastAsia="Times New Roman" w:hAnsi="Arial"/>
                <w:sz w:val="20"/>
                <w:lang w:val="tr-TR"/>
              </w:rPr>
            </w:pPr>
          </w:p>
        </w:tc>
        <w:tc>
          <w:tcPr>
            <w:tcW w:w="3885" w:type="dxa"/>
            <w:gridSpan w:val="3"/>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Front</w:t>
            </w:r>
          </w:p>
        </w:tc>
        <w:tc>
          <w:tcPr>
            <w:tcW w:w="3827" w:type="dxa"/>
            <w:gridSpan w:val="3"/>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Back</w:t>
            </w:r>
          </w:p>
        </w:tc>
      </w:tr>
      <w:tr>
        <w:tblPrEx/>
        <w:trPr/>
        <w:tc>
          <w:tcPr>
            <w:tcW w:w="1468" w:type="dxa"/>
            <w:vMerge w:val="continue"/>
            <w:tcBorders>
              <w:bottom w:val="single" w:sz="4" w:space="0" w:color="auto"/>
            </w:tcBorders>
          </w:tcPr>
          <w:p>
            <w:pPr>
              <w:pStyle w:val="style4099"/>
              <w:spacing w:after="0"/>
              <w:rPr>
                <w:rFonts w:ascii="Arial" w:cs="Arial" w:eastAsia="Times New Roman" w:hAnsi="Arial"/>
                <w:sz w:val="20"/>
                <w:lang w:val="tr-TR"/>
              </w:rPr>
            </w:pPr>
          </w:p>
        </w:tc>
        <w:tc>
          <w:tcPr>
            <w:tcW w:w="133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Red</w:t>
            </w:r>
          </w:p>
        </w:tc>
        <w:tc>
          <w:tcPr>
            <w:tcW w:w="127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Green</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Blue</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Red</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Green</w:t>
            </w:r>
          </w:p>
        </w:tc>
        <w:tc>
          <w:tcPr>
            <w:tcW w:w="127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Blue</w:t>
            </w:r>
          </w:p>
        </w:tc>
      </w:tr>
      <w:tr>
        <w:tblPrEx/>
        <w:trPr/>
        <w:tc>
          <w:tcPr>
            <w:tcW w:w="1468" w:type="dxa"/>
            <w:tcBorders>
              <w:top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20 </w:t>
            </w:r>
            <w:r>
              <w:rPr>
                <w:rFonts w:ascii="Arial" w:cs="Arial" w:eastAsia="Times New Roman" w:hAnsi="Arial"/>
                <w:bCs/>
                <w:sz w:val="20"/>
              </w:rPr>
              <w:t xml:space="preserve">°C      </w:t>
            </w:r>
          </w:p>
        </w:tc>
        <w:tc>
          <w:tcPr>
            <w:tcW w:w="1334"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153,9</w:t>
            </w:r>
            <w:r>
              <w:rPr>
                <w:rFonts w:ascii="Arial" w:cs="Arial" w:eastAsia="Times New Roman" w:hAnsi="Arial"/>
                <w:sz w:val="20"/>
                <w:vertAlign w:val="superscript"/>
                <w:lang w:val="tr-TR"/>
              </w:rPr>
              <w:t>±11,5</w:t>
            </w:r>
            <w:r>
              <w:rPr>
                <w:rFonts w:ascii="Arial" w:cs="Arial" w:eastAsia="Times New Roman" w:hAnsi="Arial"/>
                <w:sz w:val="20"/>
                <w:lang w:val="tr-TR"/>
              </w:rPr>
              <w:t xml:space="preserve"> a</w:t>
            </w:r>
          </w:p>
        </w:tc>
        <w:tc>
          <w:tcPr>
            <w:tcW w:w="1275"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145,4</w:t>
            </w:r>
            <w:r>
              <w:rPr>
                <w:rFonts w:ascii="Arial" w:cs="Arial" w:eastAsia="Times New Roman" w:hAnsi="Arial"/>
                <w:sz w:val="20"/>
                <w:vertAlign w:val="superscript"/>
                <w:lang w:val="tr-TR"/>
              </w:rPr>
              <w:t>±17,1</w:t>
            </w:r>
            <w:r>
              <w:rPr>
                <w:rFonts w:ascii="Arial" w:cs="Arial" w:eastAsia="Times New Roman" w:hAnsi="Arial"/>
                <w:sz w:val="20"/>
                <w:lang w:val="tr-TR"/>
              </w:rPr>
              <w:t xml:space="preserve"> a</w:t>
            </w:r>
          </w:p>
        </w:tc>
        <w:tc>
          <w:tcPr>
            <w:tcW w:w="1276"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137,5</w:t>
            </w:r>
            <w:r>
              <w:rPr>
                <w:rFonts w:ascii="Arial" w:cs="Arial" w:eastAsia="Times New Roman" w:hAnsi="Arial"/>
                <w:sz w:val="20"/>
                <w:vertAlign w:val="superscript"/>
                <w:lang w:val="tr-TR"/>
              </w:rPr>
              <w:t>±15,4</w:t>
            </w:r>
            <w:r>
              <w:rPr>
                <w:rFonts w:ascii="Arial" w:cs="Arial" w:eastAsia="Times New Roman" w:hAnsi="Arial"/>
                <w:sz w:val="20"/>
                <w:lang w:val="tr-TR"/>
              </w:rPr>
              <w:t xml:space="preserve"> a</w:t>
            </w:r>
          </w:p>
        </w:tc>
        <w:tc>
          <w:tcPr>
            <w:tcW w:w="1276"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159,1</w:t>
            </w:r>
            <w:r>
              <w:rPr>
                <w:rFonts w:ascii="Arial" w:cs="Arial" w:eastAsia="Times New Roman" w:hAnsi="Arial"/>
                <w:sz w:val="20"/>
                <w:vertAlign w:val="superscript"/>
                <w:lang w:val="tr-TR"/>
              </w:rPr>
              <w:t xml:space="preserve">±15,6 </w:t>
            </w:r>
            <w:r>
              <w:rPr>
                <w:rFonts w:ascii="Arial" w:cs="Arial" w:eastAsia="Times New Roman" w:hAnsi="Arial"/>
                <w:sz w:val="20"/>
                <w:lang w:val="tr-TR"/>
              </w:rPr>
              <w:t>a</w:t>
            </w:r>
          </w:p>
        </w:tc>
        <w:tc>
          <w:tcPr>
            <w:tcW w:w="1276"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148,8</w:t>
            </w:r>
            <w:r>
              <w:rPr>
                <w:rFonts w:ascii="Arial" w:cs="Arial" w:eastAsia="Times New Roman" w:hAnsi="Arial"/>
                <w:sz w:val="20"/>
                <w:vertAlign w:val="superscript"/>
                <w:lang w:val="tr-TR"/>
              </w:rPr>
              <w:t>±23,5</w:t>
            </w:r>
            <w:r>
              <w:rPr>
                <w:rFonts w:ascii="Arial" w:cs="Arial" w:eastAsia="Times New Roman" w:hAnsi="Arial"/>
                <w:sz w:val="20"/>
                <w:lang w:val="tr-TR"/>
              </w:rPr>
              <w:t xml:space="preserve"> a</w:t>
            </w:r>
          </w:p>
        </w:tc>
        <w:tc>
          <w:tcPr>
            <w:tcW w:w="1275"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138,7</w:t>
            </w:r>
            <w:r>
              <w:rPr>
                <w:rFonts w:ascii="Arial" w:cs="Arial" w:eastAsia="Times New Roman" w:hAnsi="Arial"/>
                <w:sz w:val="20"/>
                <w:vertAlign w:val="superscript"/>
                <w:lang w:val="tr-TR"/>
              </w:rPr>
              <w:t>±21,2</w:t>
            </w:r>
            <w:r>
              <w:rPr>
                <w:rFonts w:ascii="Arial" w:cs="Arial" w:eastAsia="Times New Roman" w:hAnsi="Arial"/>
                <w:sz w:val="20"/>
                <w:lang w:val="tr-TR"/>
              </w:rPr>
              <w:t xml:space="preserve"> a</w:t>
            </w:r>
          </w:p>
        </w:tc>
      </w:tr>
      <w:tr>
        <w:tblPrEx/>
        <w:trPr/>
        <w:tc>
          <w:tcPr>
            <w:tcW w:w="1468" w:type="dxa"/>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27 </w:t>
            </w:r>
            <w:r>
              <w:rPr>
                <w:rFonts w:ascii="Arial" w:cs="Arial" w:eastAsia="Times New Roman" w:hAnsi="Arial"/>
                <w:bCs/>
                <w:sz w:val="20"/>
              </w:rPr>
              <w:t xml:space="preserve">°C        </w:t>
            </w:r>
          </w:p>
        </w:tc>
        <w:tc>
          <w:tcPr>
            <w:tcW w:w="1334"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133,9</w:t>
            </w:r>
            <w:r>
              <w:rPr>
                <w:rFonts w:ascii="Arial" w:cs="Arial" w:eastAsia="Times New Roman" w:hAnsi="Arial"/>
                <w:sz w:val="20"/>
                <w:vertAlign w:val="superscript"/>
                <w:lang w:val="tr-TR"/>
              </w:rPr>
              <w:t>±17,6</w:t>
            </w:r>
            <w:r>
              <w:rPr>
                <w:rFonts w:ascii="Arial" w:cs="Arial" w:eastAsia="Times New Roman" w:hAnsi="Arial"/>
                <w:sz w:val="20"/>
                <w:lang w:val="tr-TR"/>
              </w:rPr>
              <w:t xml:space="preserve"> b</w:t>
            </w:r>
          </w:p>
        </w:tc>
        <w:tc>
          <w:tcPr>
            <w:tcW w:w="1275"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101,0</w:t>
            </w:r>
            <w:r>
              <w:rPr>
                <w:rFonts w:ascii="Arial" w:cs="Arial" w:eastAsia="Times New Roman" w:hAnsi="Arial"/>
                <w:sz w:val="20"/>
                <w:vertAlign w:val="superscript"/>
                <w:lang w:val="tr-TR"/>
              </w:rPr>
              <w:t>±26,5</w:t>
            </w:r>
            <w:r>
              <w:rPr>
                <w:rFonts w:ascii="Arial" w:cs="Arial" w:eastAsia="Times New Roman" w:hAnsi="Arial"/>
                <w:sz w:val="20"/>
                <w:lang w:val="tr-TR"/>
              </w:rPr>
              <w:t xml:space="preserve"> b</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98,7</w:t>
            </w:r>
            <w:r>
              <w:rPr>
                <w:rFonts w:ascii="Arial" w:cs="Arial" w:eastAsia="Times New Roman" w:hAnsi="Arial"/>
                <w:sz w:val="20"/>
                <w:vertAlign w:val="superscript"/>
                <w:lang w:val="tr-TR"/>
              </w:rPr>
              <w:t xml:space="preserve">±21,9   </w:t>
            </w:r>
            <w:r>
              <w:rPr>
                <w:rFonts w:ascii="Arial" w:cs="Arial" w:eastAsia="Times New Roman" w:hAnsi="Arial"/>
                <w:sz w:val="20"/>
                <w:lang w:val="tr-TR"/>
              </w:rPr>
              <w:t>b</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117,6</w:t>
            </w:r>
            <w:r>
              <w:rPr>
                <w:rFonts w:ascii="Arial" w:cs="Arial" w:eastAsia="Times New Roman" w:hAnsi="Arial"/>
                <w:sz w:val="20"/>
                <w:vertAlign w:val="superscript"/>
                <w:lang w:val="tr-TR"/>
              </w:rPr>
              <w:t xml:space="preserve">±28,6 </w:t>
            </w:r>
            <w:r>
              <w:rPr>
                <w:rFonts w:ascii="Arial" w:cs="Arial" w:eastAsia="Times New Roman" w:hAnsi="Arial"/>
                <w:sz w:val="20"/>
                <w:lang w:val="tr-TR"/>
              </w:rPr>
              <w:t>b</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83,3</w:t>
            </w:r>
            <w:r>
              <w:rPr>
                <w:rFonts w:ascii="Arial" w:cs="Arial" w:eastAsia="Times New Roman" w:hAnsi="Arial"/>
                <w:sz w:val="20"/>
                <w:vertAlign w:val="superscript"/>
                <w:lang w:val="tr-TR"/>
              </w:rPr>
              <w:t xml:space="preserve">±36,3    </w:t>
            </w:r>
            <w:r>
              <w:rPr>
                <w:rFonts w:ascii="Arial" w:cs="Arial" w:eastAsia="Times New Roman" w:hAnsi="Arial"/>
                <w:sz w:val="20"/>
                <w:lang w:val="tr-TR"/>
              </w:rPr>
              <w:t>b</w:t>
            </w:r>
          </w:p>
        </w:tc>
        <w:tc>
          <w:tcPr>
            <w:tcW w:w="1275"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75,5</w:t>
            </w:r>
            <w:r>
              <w:rPr>
                <w:rFonts w:ascii="Arial" w:cs="Arial" w:eastAsia="Times New Roman" w:hAnsi="Arial"/>
                <w:sz w:val="20"/>
                <w:vertAlign w:val="superscript"/>
                <w:lang w:val="tr-TR"/>
              </w:rPr>
              <w:t>±31,9</w:t>
            </w:r>
            <w:r>
              <w:rPr>
                <w:rFonts w:ascii="Arial" w:cs="Arial" w:eastAsia="Times New Roman" w:hAnsi="Arial"/>
                <w:sz w:val="20"/>
                <w:lang w:val="tr-TR"/>
              </w:rPr>
              <w:t xml:space="preserve">   b</w:t>
            </w:r>
          </w:p>
        </w:tc>
      </w:tr>
      <w:tr>
        <w:tblPrEx/>
        <w:trPr/>
        <w:tc>
          <w:tcPr>
            <w:tcW w:w="1468" w:type="dxa"/>
            <w:tcBorders/>
          </w:tcPr>
          <w:p>
            <w:pPr>
              <w:pStyle w:val="style4099"/>
              <w:spacing w:after="0"/>
              <w:rPr>
                <w:rFonts w:ascii="Arial" w:cs="Arial" w:eastAsia="Times New Roman" w:hAnsi="Arial"/>
                <w:sz w:val="20"/>
                <w:lang w:val="tr-TR"/>
              </w:rPr>
            </w:pPr>
            <w:r>
              <w:rPr>
                <w:rFonts w:ascii="Arial" w:cs="Arial" w:eastAsia="Times New Roman" w:hAnsi="Arial"/>
                <w:i/>
                <w:iCs/>
                <w:sz w:val="20"/>
                <w:lang w:val="tr-TR"/>
              </w:rPr>
              <w:t>P</w:t>
            </w:r>
            <w:r>
              <w:rPr>
                <w:rFonts w:ascii="Arial" w:cs="Arial" w:eastAsia="Times New Roman" w:hAnsi="Arial"/>
                <w:sz w:val="20"/>
                <w:lang w:val="tr-TR"/>
              </w:rPr>
              <w:t xml:space="preserve"> value</w:t>
            </w:r>
          </w:p>
        </w:tc>
        <w:tc>
          <w:tcPr>
            <w:tcW w:w="1334"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=0,05</w:t>
            </w:r>
          </w:p>
        </w:tc>
        <w:tc>
          <w:tcPr>
            <w:tcW w:w="1275"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=0,05</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275"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r>
      <w:tr>
        <w:tblPrEx/>
        <w:trPr/>
        <w:tc>
          <w:tcPr>
            <w:tcW w:w="1468" w:type="dxa"/>
            <w:tcBorders>
              <w:bottom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Mean </w:t>
            </w:r>
          </w:p>
        </w:tc>
        <w:tc>
          <w:tcPr>
            <w:tcW w:w="1334"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143,9</w:t>
            </w:r>
            <w:r>
              <w:rPr>
                <w:rFonts w:ascii="Arial" w:cs="Arial" w:eastAsia="Times New Roman" w:hAnsi="Arial"/>
                <w:sz w:val="20"/>
                <w:vertAlign w:val="superscript"/>
                <w:lang w:val="tr-TR"/>
              </w:rPr>
              <w:t>±17,7</w:t>
            </w:r>
          </w:p>
        </w:tc>
        <w:tc>
          <w:tcPr>
            <w:tcW w:w="127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123,2</w:t>
            </w:r>
            <w:r>
              <w:rPr>
                <w:rFonts w:ascii="Arial" w:cs="Arial" w:eastAsia="Times New Roman" w:hAnsi="Arial"/>
                <w:sz w:val="20"/>
                <w:vertAlign w:val="superscript"/>
                <w:lang w:val="tr-TR"/>
              </w:rPr>
              <w:t>±31,4</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118,1</w:t>
            </w:r>
            <w:r>
              <w:rPr>
                <w:rFonts w:ascii="Arial" w:cs="Arial" w:eastAsia="Times New Roman" w:hAnsi="Arial"/>
                <w:sz w:val="20"/>
                <w:vertAlign w:val="superscript"/>
                <w:lang w:val="tr-TR"/>
              </w:rPr>
              <w:t>±27,2</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138,3</w:t>
            </w:r>
            <w:r>
              <w:rPr>
                <w:rFonts w:ascii="Arial" w:cs="Arial" w:eastAsia="Times New Roman" w:hAnsi="Arial"/>
                <w:sz w:val="20"/>
                <w:vertAlign w:val="superscript"/>
                <w:lang w:val="tr-TR"/>
              </w:rPr>
              <w:t>±30,9</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116,1</w:t>
            </w:r>
            <w:r>
              <w:rPr>
                <w:rFonts w:ascii="Arial" w:cs="Arial" w:eastAsia="Times New Roman" w:hAnsi="Arial"/>
                <w:sz w:val="20"/>
                <w:vertAlign w:val="superscript"/>
                <w:lang w:val="tr-TR"/>
              </w:rPr>
              <w:t>±44,9</w:t>
            </w:r>
          </w:p>
        </w:tc>
        <w:tc>
          <w:tcPr>
            <w:tcW w:w="127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107,1</w:t>
            </w:r>
            <w:r>
              <w:rPr>
                <w:rFonts w:ascii="Arial" w:cs="Arial" w:eastAsia="Times New Roman" w:hAnsi="Arial"/>
                <w:sz w:val="20"/>
                <w:vertAlign w:val="superscript"/>
                <w:lang w:val="tr-TR"/>
              </w:rPr>
              <w:t>±41,6</w:t>
            </w:r>
          </w:p>
        </w:tc>
      </w:tr>
    </w:tbl>
    <w:p>
      <w:pPr>
        <w:pStyle w:val="style4099"/>
        <w:rPr>
          <w:rFonts w:ascii="Arial" w:cs="Arial" w:hAnsi="Arial"/>
          <w:lang w:val="tr-TR"/>
        </w:rPr>
      </w:pPr>
      <w:r>
        <w:rPr>
          <w:rFonts w:ascii="Arial" w:cs="Arial" w:hAnsi="Arial"/>
        </w:rPr>
        <w:t xml:space="preserve">Data represent means ± S.E. (n = 8). Tukey test was used to analyze significant differences in data, and letters represent differences at </w:t>
      </w:r>
      <w:r>
        <w:rPr>
          <w:rFonts w:ascii="Arial" w:cs="Arial" w:hAnsi="Arial"/>
          <w:i/>
        </w:rPr>
        <w:t>P</w:t>
      </w:r>
      <w:r>
        <w:rPr>
          <w:rFonts w:ascii="Arial" w:cs="Arial" w:hAnsi="Arial"/>
        </w:rPr>
        <w:t xml:space="preserve"> &lt; 0.001, </w:t>
      </w:r>
      <w:r>
        <w:rPr>
          <w:rFonts w:ascii="Arial" w:cs="Arial" w:hAnsi="Arial"/>
          <w:i/>
        </w:rPr>
        <w:t>P</w:t>
      </w:r>
      <w:r>
        <w:rPr>
          <w:rFonts w:ascii="Arial" w:cs="Arial" w:hAnsi="Arial"/>
        </w:rPr>
        <w:t xml:space="preserve"> = 0.05</w:t>
      </w:r>
    </w:p>
    <w:p>
      <w:pPr>
        <w:pStyle w:val="style4099"/>
        <w:rPr>
          <w:rFonts w:ascii="Arial" w:cs="Arial" w:hAnsi="Arial"/>
          <w:b/>
          <w:lang w:val="tr-TR"/>
        </w:rPr>
      </w:pPr>
    </w:p>
    <w:p>
      <w:pPr>
        <w:pStyle w:val="style4099"/>
        <w:rPr>
          <w:rFonts w:ascii="Arial" w:cs="Arial" w:hAnsi="Arial"/>
          <w:b/>
          <w:lang w:val="tr-TR"/>
        </w:rPr>
      </w:pPr>
      <w:r>
        <w:rPr>
          <w:rFonts w:ascii="Arial" w:cs="Arial" w:hAnsi="Arial"/>
          <w:b/>
          <w:lang w:val="tr-TR"/>
        </w:rPr>
        <w:t xml:space="preserve">Table 8. Colony color of </w:t>
      </w:r>
      <w:r>
        <w:rPr>
          <w:rFonts w:ascii="Arial" w:cs="Arial" w:hAnsi="Arial"/>
          <w:b/>
          <w:i/>
          <w:iCs/>
          <w:lang w:val="tr-TR"/>
        </w:rPr>
        <w:t>F. oxysporum</w:t>
      </w:r>
      <w:r>
        <w:rPr>
          <w:rFonts w:ascii="Arial" w:cs="Arial" w:hAnsi="Arial"/>
          <w:b/>
          <w:lang w:val="tr-TR"/>
        </w:rPr>
        <w:t xml:space="preserve"> from garlic at two different temperatures; 20 </w:t>
      </w:r>
      <w:r>
        <w:rPr>
          <w:rFonts w:ascii="Arial" w:cs="Arial" w:hAnsi="Arial"/>
          <w:b/>
          <w:bCs/>
        </w:rPr>
        <w:t>°C and</w:t>
      </w:r>
      <w:r>
        <w:rPr>
          <w:rFonts w:ascii="Arial" w:cs="Arial" w:hAnsi="Arial"/>
          <w:b/>
        </w:rPr>
        <w:t xml:space="preserve"> </w:t>
      </w:r>
      <w:r>
        <w:rPr>
          <w:rFonts w:ascii="Arial" w:cs="Arial" w:hAnsi="Arial"/>
          <w:b/>
          <w:lang w:val="tr-TR"/>
        </w:rPr>
        <w:t xml:space="preserve">27 </w:t>
      </w:r>
      <w:r>
        <w:rPr>
          <w:rFonts w:ascii="Arial" w:cs="Arial" w:hAnsi="Arial"/>
          <w:b/>
          <w:bCs/>
        </w:rPr>
        <w:t>°C</w:t>
      </w:r>
      <w:r>
        <w:rPr>
          <w:rFonts w:ascii="Arial" w:cs="Arial" w:hAnsi="Arial"/>
          <w:b/>
          <w:lang w:val="tr-TR"/>
        </w:rPr>
        <w:t xml:space="preserve"> on the 9</w:t>
      </w:r>
      <w:r>
        <w:rPr>
          <w:rFonts w:ascii="Arial" w:cs="Arial" w:hAnsi="Arial"/>
          <w:b/>
          <w:vertAlign w:val="superscript"/>
          <w:lang w:val="tr-TR"/>
        </w:rPr>
        <w:t>th</w:t>
      </w:r>
      <w:r>
        <w:rPr>
          <w:rFonts w:ascii="Arial" w:cs="Arial" w:hAnsi="Arial"/>
          <w:b/>
          <w:lang w:val="tr-TR"/>
        </w:rPr>
        <w:t xml:space="preserve"> day</w:t>
      </w:r>
    </w:p>
    <w:tbl>
      <w:tblPr>
        <w:tblStyle w:val="style154"/>
        <w:tblW w:w="9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1338"/>
        <w:gridCol w:w="1275"/>
        <w:gridCol w:w="1276"/>
        <w:gridCol w:w="1276"/>
        <w:gridCol w:w="1276"/>
        <w:gridCol w:w="1217"/>
      </w:tblGrid>
      <w:tr>
        <w:trPr/>
        <w:tc>
          <w:tcPr>
            <w:tcW w:w="1464" w:type="dxa"/>
            <w:vMerge w:val="restart"/>
            <w:tcBorders>
              <w:top w:val="single" w:sz="4" w:space="0" w:color="auto"/>
            </w:tcBorders>
          </w:tcPr>
          <w:p>
            <w:pPr>
              <w:pStyle w:val="style4099"/>
              <w:spacing w:after="0"/>
              <w:rPr>
                <w:rFonts w:ascii="Arial" w:cs="Arial" w:eastAsia="Times New Roman" w:hAnsi="Arial"/>
                <w:b/>
                <w:sz w:val="20"/>
                <w:lang w:val="tr-TR"/>
              </w:rPr>
            </w:pPr>
            <w:r>
              <w:rPr>
                <w:rFonts w:ascii="Arial" w:cs="Arial" w:eastAsia="Times New Roman" w:hAnsi="Arial"/>
                <w:b/>
                <w:sz w:val="20"/>
                <w:lang w:val="tr-TR"/>
              </w:rPr>
              <w:t>Temperature</w:t>
            </w:r>
          </w:p>
        </w:tc>
        <w:tc>
          <w:tcPr>
            <w:tcW w:w="7658" w:type="dxa"/>
            <w:gridSpan w:val="6"/>
            <w:tcBorders>
              <w:top w:val="single" w:sz="4" w:space="0" w:color="auto"/>
            </w:tcBorders>
          </w:tcPr>
          <w:p>
            <w:pPr>
              <w:pStyle w:val="style4099"/>
              <w:spacing w:after="0"/>
              <w:jc w:val="center"/>
              <w:rPr>
                <w:rFonts w:ascii="Arial" w:cs="Arial" w:eastAsia="Times New Roman" w:hAnsi="Arial"/>
                <w:b/>
                <w:sz w:val="20"/>
                <w:lang w:val="tr-TR"/>
              </w:rPr>
            </w:pPr>
            <w:r>
              <w:rPr>
                <w:rFonts w:ascii="Arial" w:cs="Arial" w:eastAsia="Times New Roman" w:hAnsi="Arial"/>
                <w:b/>
                <w:sz w:val="20"/>
                <w:lang w:val="tr-TR"/>
              </w:rPr>
              <w:t>Colony Color in the 9</w:t>
            </w:r>
            <w:r>
              <w:rPr>
                <w:rFonts w:ascii="Arial" w:cs="Arial" w:eastAsia="Times New Roman" w:hAnsi="Arial"/>
                <w:b/>
                <w:sz w:val="20"/>
                <w:vertAlign w:val="superscript"/>
                <w:lang w:val="tr-TR"/>
              </w:rPr>
              <w:t>th</w:t>
            </w:r>
            <w:r>
              <w:rPr>
                <w:rFonts w:ascii="Arial" w:cs="Arial" w:eastAsia="Times New Roman" w:hAnsi="Arial"/>
                <w:b/>
                <w:sz w:val="20"/>
                <w:lang w:val="tr-TR"/>
              </w:rPr>
              <w:t xml:space="preserve"> Day</w:t>
            </w:r>
          </w:p>
        </w:tc>
      </w:tr>
      <w:tr>
        <w:tblPrEx/>
        <w:trPr/>
        <w:tc>
          <w:tcPr>
            <w:tcW w:w="1464" w:type="dxa"/>
            <w:vMerge w:val="continue"/>
            <w:tcBorders/>
          </w:tcPr>
          <w:p>
            <w:pPr>
              <w:pStyle w:val="style4099"/>
              <w:spacing w:after="0"/>
              <w:rPr>
                <w:rFonts w:ascii="Arial" w:cs="Arial" w:eastAsia="Times New Roman" w:hAnsi="Arial"/>
                <w:sz w:val="20"/>
                <w:lang w:val="tr-TR"/>
              </w:rPr>
            </w:pPr>
          </w:p>
        </w:tc>
        <w:tc>
          <w:tcPr>
            <w:tcW w:w="3889" w:type="dxa"/>
            <w:gridSpan w:val="3"/>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Front</w:t>
            </w:r>
          </w:p>
        </w:tc>
        <w:tc>
          <w:tcPr>
            <w:tcW w:w="3769" w:type="dxa"/>
            <w:gridSpan w:val="3"/>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Back</w:t>
            </w:r>
          </w:p>
        </w:tc>
      </w:tr>
      <w:tr>
        <w:tblPrEx/>
        <w:trPr/>
        <w:tc>
          <w:tcPr>
            <w:tcW w:w="1464" w:type="dxa"/>
            <w:vMerge w:val="continue"/>
            <w:tcBorders>
              <w:bottom w:val="single" w:sz="4" w:space="0" w:color="auto"/>
            </w:tcBorders>
          </w:tcPr>
          <w:p>
            <w:pPr>
              <w:pStyle w:val="style4099"/>
              <w:spacing w:after="0"/>
              <w:rPr>
                <w:rFonts w:ascii="Arial" w:cs="Arial" w:eastAsia="Times New Roman" w:hAnsi="Arial"/>
                <w:sz w:val="20"/>
                <w:lang w:val="tr-TR"/>
              </w:rPr>
            </w:pPr>
          </w:p>
        </w:tc>
        <w:tc>
          <w:tcPr>
            <w:tcW w:w="1338"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Red</w:t>
            </w:r>
          </w:p>
        </w:tc>
        <w:tc>
          <w:tcPr>
            <w:tcW w:w="127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Green</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Blue</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Red</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Green</w:t>
            </w:r>
          </w:p>
        </w:tc>
        <w:tc>
          <w:tcPr>
            <w:tcW w:w="1217"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Blue</w:t>
            </w:r>
          </w:p>
        </w:tc>
      </w:tr>
      <w:tr>
        <w:tblPrEx/>
        <w:trPr/>
        <w:tc>
          <w:tcPr>
            <w:tcW w:w="1464" w:type="dxa"/>
            <w:tcBorders>
              <w:top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20 </w:t>
            </w:r>
            <w:r>
              <w:rPr>
                <w:rFonts w:ascii="Arial" w:cs="Arial" w:eastAsia="Times New Roman" w:hAnsi="Arial"/>
                <w:bCs/>
                <w:sz w:val="20"/>
              </w:rPr>
              <w:t xml:space="preserve">°C      </w:t>
            </w:r>
          </w:p>
        </w:tc>
        <w:tc>
          <w:tcPr>
            <w:tcW w:w="1338"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160,0</w:t>
            </w:r>
            <w:r>
              <w:rPr>
                <w:rFonts w:ascii="Arial" w:cs="Arial" w:eastAsia="Times New Roman" w:hAnsi="Arial"/>
                <w:sz w:val="20"/>
                <w:vertAlign w:val="superscript"/>
                <w:lang w:val="tr-TR"/>
              </w:rPr>
              <w:t xml:space="preserve">±9,9  </w:t>
            </w:r>
            <w:r>
              <w:rPr>
                <w:rFonts w:ascii="Arial" w:cs="Arial" w:eastAsia="Times New Roman" w:hAnsi="Arial"/>
                <w:sz w:val="20"/>
                <w:lang w:val="tr-TR"/>
              </w:rPr>
              <w:t>a</w:t>
            </w:r>
          </w:p>
        </w:tc>
        <w:tc>
          <w:tcPr>
            <w:tcW w:w="1275"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150,7</w:t>
            </w:r>
            <w:r>
              <w:rPr>
                <w:rFonts w:ascii="Arial" w:cs="Arial" w:eastAsia="Times New Roman" w:hAnsi="Arial"/>
                <w:sz w:val="20"/>
                <w:vertAlign w:val="superscript"/>
                <w:lang w:val="tr-TR"/>
              </w:rPr>
              <w:t>±12,8</w:t>
            </w:r>
            <w:r>
              <w:rPr>
                <w:rFonts w:ascii="Arial" w:cs="Arial" w:eastAsia="Times New Roman" w:hAnsi="Arial"/>
                <w:sz w:val="20"/>
                <w:lang w:val="tr-TR"/>
              </w:rPr>
              <w:t xml:space="preserve"> a</w:t>
            </w:r>
          </w:p>
        </w:tc>
        <w:tc>
          <w:tcPr>
            <w:tcW w:w="1276"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143,1</w:t>
            </w:r>
            <w:r>
              <w:rPr>
                <w:rFonts w:ascii="Arial" w:cs="Arial" w:eastAsia="Times New Roman" w:hAnsi="Arial"/>
                <w:sz w:val="20"/>
                <w:vertAlign w:val="superscript"/>
                <w:lang w:val="tr-TR"/>
              </w:rPr>
              <w:t>±14,6</w:t>
            </w:r>
            <w:r>
              <w:rPr>
                <w:rFonts w:ascii="Arial" w:cs="Arial" w:eastAsia="Times New Roman" w:hAnsi="Arial"/>
                <w:sz w:val="20"/>
                <w:lang w:val="tr-TR"/>
              </w:rPr>
              <w:t xml:space="preserve"> a</w:t>
            </w:r>
          </w:p>
        </w:tc>
        <w:tc>
          <w:tcPr>
            <w:tcW w:w="1276"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163,8</w:t>
            </w:r>
            <w:r>
              <w:rPr>
                <w:rFonts w:ascii="Arial" w:cs="Arial" w:eastAsia="Times New Roman" w:hAnsi="Arial"/>
                <w:sz w:val="20"/>
                <w:vertAlign w:val="superscript"/>
                <w:lang w:val="tr-TR"/>
              </w:rPr>
              <w:t>±13,0</w:t>
            </w:r>
            <w:r>
              <w:rPr>
                <w:rFonts w:ascii="Arial" w:cs="Arial" w:eastAsia="Times New Roman" w:hAnsi="Arial"/>
                <w:sz w:val="20"/>
                <w:lang w:val="tr-TR"/>
              </w:rPr>
              <w:t xml:space="preserve"> a</w:t>
            </w:r>
          </w:p>
        </w:tc>
        <w:tc>
          <w:tcPr>
            <w:tcW w:w="1276"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146,4</w:t>
            </w:r>
            <w:r>
              <w:rPr>
                <w:rFonts w:ascii="Arial" w:cs="Arial" w:eastAsia="Times New Roman" w:hAnsi="Arial"/>
                <w:sz w:val="20"/>
                <w:vertAlign w:val="superscript"/>
                <w:lang w:val="tr-TR"/>
              </w:rPr>
              <w:t xml:space="preserve">±20,5 </w:t>
            </w:r>
            <w:r>
              <w:rPr>
                <w:rFonts w:ascii="Arial" w:cs="Arial" w:eastAsia="Times New Roman" w:hAnsi="Arial"/>
                <w:sz w:val="20"/>
                <w:lang w:val="tr-TR"/>
              </w:rPr>
              <w:t>a</w:t>
            </w:r>
          </w:p>
        </w:tc>
        <w:tc>
          <w:tcPr>
            <w:tcW w:w="1217" w:type="dxa"/>
            <w:tcBorders>
              <w:top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135,7</w:t>
            </w:r>
            <w:r>
              <w:rPr>
                <w:rFonts w:ascii="Arial" w:cs="Arial" w:eastAsia="Times New Roman" w:hAnsi="Arial"/>
                <w:sz w:val="20"/>
                <w:vertAlign w:val="superscript"/>
                <w:lang w:val="tr-TR"/>
              </w:rPr>
              <w:t>±20,5</w:t>
            </w:r>
            <w:r>
              <w:rPr>
                <w:rFonts w:ascii="Arial" w:cs="Arial" w:eastAsia="Times New Roman" w:hAnsi="Arial"/>
                <w:sz w:val="20"/>
                <w:lang w:val="tr-TR"/>
              </w:rPr>
              <w:t>a</w:t>
            </w:r>
          </w:p>
        </w:tc>
      </w:tr>
      <w:tr>
        <w:tblPrEx/>
        <w:trPr/>
        <w:tc>
          <w:tcPr>
            <w:tcW w:w="1464" w:type="dxa"/>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27 </w:t>
            </w:r>
            <w:r>
              <w:rPr>
                <w:rFonts w:ascii="Arial" w:cs="Arial" w:eastAsia="Times New Roman" w:hAnsi="Arial"/>
                <w:bCs/>
                <w:sz w:val="20"/>
              </w:rPr>
              <w:t xml:space="preserve">°C        </w:t>
            </w:r>
          </w:p>
        </w:tc>
        <w:tc>
          <w:tcPr>
            <w:tcW w:w="1338"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128,9</w:t>
            </w:r>
            <w:r>
              <w:rPr>
                <w:rFonts w:ascii="Arial" w:cs="Arial" w:eastAsia="Times New Roman" w:hAnsi="Arial"/>
                <w:sz w:val="20"/>
                <w:vertAlign w:val="superscript"/>
                <w:lang w:val="tr-TR"/>
              </w:rPr>
              <w:t xml:space="preserve">±13,8 </w:t>
            </w:r>
            <w:r>
              <w:rPr>
                <w:rFonts w:ascii="Arial" w:cs="Arial" w:eastAsia="Times New Roman" w:hAnsi="Arial"/>
                <w:sz w:val="20"/>
                <w:lang w:val="tr-TR"/>
              </w:rPr>
              <w:t>b</w:t>
            </w:r>
          </w:p>
        </w:tc>
        <w:tc>
          <w:tcPr>
            <w:tcW w:w="1275"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101,8</w:t>
            </w:r>
            <w:r>
              <w:rPr>
                <w:rFonts w:ascii="Arial" w:cs="Arial" w:eastAsia="Times New Roman" w:hAnsi="Arial"/>
                <w:sz w:val="20"/>
                <w:vertAlign w:val="superscript"/>
                <w:lang w:val="tr-TR"/>
              </w:rPr>
              <w:t xml:space="preserve">±24,8 </w:t>
            </w:r>
            <w:r>
              <w:rPr>
                <w:rFonts w:ascii="Arial" w:cs="Arial" w:eastAsia="Times New Roman" w:hAnsi="Arial"/>
                <w:sz w:val="20"/>
                <w:lang w:val="tr-TR"/>
              </w:rPr>
              <w:t>b</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102,9</w:t>
            </w:r>
            <w:r>
              <w:rPr>
                <w:rFonts w:ascii="Arial" w:cs="Arial" w:eastAsia="Times New Roman" w:hAnsi="Arial"/>
                <w:sz w:val="20"/>
                <w:vertAlign w:val="superscript"/>
                <w:lang w:val="tr-TR"/>
              </w:rPr>
              <w:t>±21,6</w:t>
            </w:r>
            <w:r>
              <w:rPr>
                <w:rFonts w:ascii="Arial" w:cs="Arial" w:eastAsia="Times New Roman" w:hAnsi="Arial"/>
                <w:sz w:val="20"/>
                <w:lang w:val="tr-TR"/>
              </w:rPr>
              <w:t xml:space="preserve"> b</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97,9</w:t>
            </w:r>
            <w:r>
              <w:rPr>
                <w:rFonts w:ascii="Arial" w:cs="Arial" w:eastAsia="Times New Roman" w:hAnsi="Arial"/>
                <w:sz w:val="20"/>
                <w:vertAlign w:val="superscript"/>
                <w:lang w:val="tr-TR"/>
              </w:rPr>
              <w:t xml:space="preserve">±37,9    </w:t>
            </w:r>
            <w:r>
              <w:rPr>
                <w:rFonts w:ascii="Arial" w:cs="Arial" w:eastAsia="Times New Roman" w:hAnsi="Arial"/>
                <w:sz w:val="20"/>
                <w:lang w:val="tr-TR"/>
              </w:rPr>
              <w:t>b</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73,1</w:t>
            </w:r>
            <w:r>
              <w:rPr>
                <w:rFonts w:ascii="Arial" w:cs="Arial" w:eastAsia="Times New Roman" w:hAnsi="Arial"/>
                <w:sz w:val="20"/>
                <w:vertAlign w:val="superscript"/>
                <w:lang w:val="tr-TR"/>
              </w:rPr>
              <w:t>±37,8</w:t>
            </w:r>
            <w:r>
              <w:rPr>
                <w:rFonts w:ascii="Arial" w:cs="Arial" w:eastAsia="Times New Roman" w:hAnsi="Arial"/>
                <w:sz w:val="20"/>
                <w:lang w:val="tr-TR"/>
              </w:rPr>
              <w:t xml:space="preserve">  b</w:t>
            </w:r>
          </w:p>
        </w:tc>
        <w:tc>
          <w:tcPr>
            <w:tcW w:w="1217" w:type="dxa"/>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75,8</w:t>
            </w:r>
            <w:r>
              <w:rPr>
                <w:rFonts w:ascii="Arial" w:cs="Arial" w:eastAsia="Times New Roman" w:hAnsi="Arial"/>
                <w:sz w:val="20"/>
                <w:vertAlign w:val="superscript"/>
                <w:lang w:val="tr-TR"/>
              </w:rPr>
              <w:t>±30,9</w:t>
            </w:r>
            <w:r>
              <w:rPr>
                <w:rFonts w:ascii="Arial" w:cs="Arial" w:eastAsia="Times New Roman" w:hAnsi="Arial"/>
                <w:sz w:val="20"/>
                <w:lang w:val="tr-TR"/>
              </w:rPr>
              <w:t xml:space="preserve">  b</w:t>
            </w:r>
          </w:p>
        </w:tc>
      </w:tr>
      <w:tr>
        <w:tblPrEx/>
        <w:trPr/>
        <w:tc>
          <w:tcPr>
            <w:tcW w:w="1464" w:type="dxa"/>
            <w:tcBorders/>
          </w:tcPr>
          <w:p>
            <w:pPr>
              <w:pStyle w:val="style4099"/>
              <w:spacing w:after="0"/>
              <w:rPr>
                <w:rFonts w:ascii="Arial" w:cs="Arial" w:eastAsia="Times New Roman" w:hAnsi="Arial"/>
                <w:sz w:val="20"/>
                <w:lang w:val="tr-TR"/>
              </w:rPr>
            </w:pPr>
            <w:r>
              <w:rPr>
                <w:rFonts w:ascii="Arial" w:cs="Arial" w:eastAsia="Times New Roman" w:hAnsi="Arial"/>
                <w:i/>
                <w:iCs/>
                <w:sz w:val="20"/>
                <w:lang w:val="tr-TR"/>
              </w:rPr>
              <w:t>P</w:t>
            </w:r>
            <w:r>
              <w:rPr>
                <w:rFonts w:ascii="Arial" w:cs="Arial" w:eastAsia="Times New Roman" w:hAnsi="Arial"/>
                <w:sz w:val="20"/>
                <w:lang w:val="tr-TR"/>
              </w:rPr>
              <w:t xml:space="preserve"> value</w:t>
            </w:r>
          </w:p>
        </w:tc>
        <w:tc>
          <w:tcPr>
            <w:tcW w:w="1338"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275"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276"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c>
          <w:tcPr>
            <w:tcW w:w="1217" w:type="dxa"/>
            <w:tcBorders/>
          </w:tcPr>
          <w:p>
            <w:pPr>
              <w:pStyle w:val="style4099"/>
              <w:spacing w:after="0"/>
              <w:jc w:val="center"/>
              <w:rPr>
                <w:rFonts w:ascii="Arial" w:cs="Arial" w:eastAsia="Times New Roman" w:hAnsi="Arial"/>
                <w:sz w:val="20"/>
                <w:lang w:val="tr-TR"/>
              </w:rPr>
            </w:pPr>
            <w:r>
              <w:rPr>
                <w:rFonts w:ascii="Arial" w:cs="Arial" w:eastAsia="Times New Roman" w:hAnsi="Arial"/>
                <w:i/>
                <w:sz w:val="20"/>
              </w:rPr>
              <w:t>P</w:t>
            </w:r>
            <w:r>
              <w:rPr>
                <w:rFonts w:ascii="Arial" w:cs="Arial" w:eastAsia="Times New Roman" w:hAnsi="Arial"/>
                <w:sz w:val="20"/>
                <w:lang w:val="tr-TR"/>
              </w:rPr>
              <w:t xml:space="preserve"> &lt;0,001</w:t>
            </w:r>
          </w:p>
        </w:tc>
      </w:tr>
      <w:tr>
        <w:tblPrEx/>
        <w:trPr/>
        <w:tc>
          <w:tcPr>
            <w:tcW w:w="1464" w:type="dxa"/>
            <w:tcBorders>
              <w:bottom w:val="single" w:sz="4" w:space="0" w:color="auto"/>
            </w:tcBorders>
          </w:tcPr>
          <w:p>
            <w:pPr>
              <w:pStyle w:val="style4099"/>
              <w:spacing w:after="0"/>
              <w:rPr>
                <w:rFonts w:ascii="Arial" w:cs="Arial" w:eastAsia="Times New Roman" w:hAnsi="Arial"/>
                <w:sz w:val="20"/>
                <w:lang w:val="tr-TR"/>
              </w:rPr>
            </w:pPr>
            <w:r>
              <w:rPr>
                <w:rFonts w:ascii="Arial" w:cs="Arial" w:eastAsia="Times New Roman" w:hAnsi="Arial"/>
                <w:sz w:val="20"/>
                <w:lang w:val="tr-TR"/>
              </w:rPr>
              <w:t xml:space="preserve">Mean </w:t>
            </w:r>
          </w:p>
        </w:tc>
        <w:tc>
          <w:tcPr>
            <w:tcW w:w="1338"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144,4</w:t>
            </w:r>
            <w:r>
              <w:rPr>
                <w:rFonts w:ascii="Arial" w:cs="Arial" w:eastAsia="Times New Roman" w:hAnsi="Arial"/>
                <w:sz w:val="20"/>
                <w:vertAlign w:val="superscript"/>
                <w:lang w:val="tr-TR"/>
              </w:rPr>
              <w:t>±19,8</w:t>
            </w:r>
          </w:p>
        </w:tc>
        <w:tc>
          <w:tcPr>
            <w:tcW w:w="1275"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126,3</w:t>
            </w:r>
            <w:r>
              <w:rPr>
                <w:rFonts w:ascii="Arial" w:cs="Arial" w:eastAsia="Times New Roman" w:hAnsi="Arial"/>
                <w:sz w:val="20"/>
                <w:vertAlign w:val="superscript"/>
                <w:lang w:val="tr-TR"/>
              </w:rPr>
              <w:t>±31,6</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123,0</w:t>
            </w:r>
            <w:r>
              <w:rPr>
                <w:rFonts w:ascii="Arial" w:cs="Arial" w:eastAsia="Times New Roman" w:hAnsi="Arial"/>
                <w:sz w:val="20"/>
                <w:vertAlign w:val="superscript"/>
                <w:lang w:val="tr-TR"/>
              </w:rPr>
              <w:t>±27,3</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130,9</w:t>
            </w:r>
            <w:r>
              <w:rPr>
                <w:rFonts w:ascii="Arial" w:cs="Arial" w:eastAsia="Times New Roman" w:hAnsi="Arial"/>
                <w:sz w:val="20"/>
                <w:vertAlign w:val="superscript"/>
                <w:lang w:val="tr-TR"/>
              </w:rPr>
              <w:t>±43,6</w:t>
            </w:r>
          </w:p>
        </w:tc>
        <w:tc>
          <w:tcPr>
            <w:tcW w:w="1276"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109,7</w:t>
            </w:r>
            <w:r>
              <w:rPr>
                <w:rFonts w:ascii="Arial" w:cs="Arial" w:eastAsia="Times New Roman" w:hAnsi="Arial"/>
                <w:sz w:val="20"/>
                <w:vertAlign w:val="superscript"/>
                <w:lang w:val="tr-TR"/>
              </w:rPr>
              <w:t>±47,9</w:t>
            </w:r>
          </w:p>
        </w:tc>
        <w:tc>
          <w:tcPr>
            <w:tcW w:w="1217" w:type="dxa"/>
            <w:tcBorders>
              <w:bottom w:val="single" w:sz="4" w:space="0" w:color="auto"/>
            </w:tcBorders>
          </w:tcPr>
          <w:p>
            <w:pPr>
              <w:pStyle w:val="style4099"/>
              <w:spacing w:after="0"/>
              <w:jc w:val="center"/>
              <w:rPr>
                <w:rFonts w:ascii="Arial" w:cs="Arial" w:eastAsia="Times New Roman" w:hAnsi="Arial"/>
                <w:sz w:val="20"/>
                <w:lang w:val="tr-TR"/>
              </w:rPr>
            </w:pPr>
            <w:r>
              <w:rPr>
                <w:rFonts w:ascii="Arial" w:cs="Arial" w:eastAsia="Times New Roman" w:hAnsi="Arial"/>
                <w:sz w:val="20"/>
                <w:lang w:val="tr-TR"/>
              </w:rPr>
              <w:t>105,7</w:t>
            </w:r>
            <w:r>
              <w:rPr>
                <w:rFonts w:ascii="Arial" w:cs="Arial" w:eastAsia="Times New Roman" w:hAnsi="Arial"/>
                <w:sz w:val="20"/>
                <w:vertAlign w:val="superscript"/>
                <w:lang w:val="tr-TR"/>
              </w:rPr>
              <w:t>±39,9</w:t>
            </w:r>
          </w:p>
        </w:tc>
      </w:tr>
    </w:tbl>
    <w:p>
      <w:pPr>
        <w:pStyle w:val="style4099"/>
        <w:rPr>
          <w:rFonts w:ascii="Arial" w:cs="Arial" w:hAnsi="Arial"/>
          <w:lang w:val="tr-TR"/>
        </w:rPr>
      </w:pPr>
      <w:r>
        <w:rPr>
          <w:noProof/>
        </w:rPr>
        <mc:AlternateContent>
          <mc:Choice Requires="wpg">
            <w:drawing>
              <wp:anchor distT="0" distB="0" distL="114300" distR="114300" simplePos="false" relativeHeight="10" behindDoc="false" locked="false" layoutInCell="true" allowOverlap="true">
                <wp:simplePos x="0" y="0"/>
                <wp:positionH relativeFrom="column">
                  <wp:posOffset>13970</wp:posOffset>
                </wp:positionH>
                <wp:positionV relativeFrom="paragraph">
                  <wp:posOffset>763270</wp:posOffset>
                </wp:positionV>
                <wp:extent cx="5289550" cy="2167890"/>
                <wp:effectExtent l="0" t="0" r="6350" b="3810"/>
                <wp:wrapTight wrapText="bothSides">
                  <wp:wrapPolygon edited="false">
                    <wp:start x="0" y="0"/>
                    <wp:lineTo x="0" y="21448"/>
                    <wp:lineTo x="21548" y="21448"/>
                    <wp:lineTo x="21548" y="0"/>
                    <wp:lineTo x="0" y="0"/>
                  </wp:wrapPolygon>
                </wp:wrapTight>
                <wp:docPr id="1044" name="Group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289550" cy="2167890"/>
                          <a:chOff x="0" y="0"/>
                          <a:chExt cx="5686425" cy="2438400"/>
                        </a:xfrm>
                      </wpg:grpSpPr>
                      <wpg:graphicFrame>
                        <wpg:cNvPr id="1046" name=""/>
                        <wpg:cNvFrPr/>
                        <wpg:xfrm rot="0">
                          <a:off x="3962400" y="19050"/>
                          <a:ext cx="1724025" cy="2409825"/>
                        </wpg:xfrm>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g:graphicFrame>
                      <wpg:graphicFrame>
                        <wpg:cNvPr id="1048" name=""/>
                        <wpg:cNvFrPr/>
                        <wpg:xfrm rot="0">
                          <a:off x="0" y="0"/>
                          <a:ext cx="2114550" cy="2428875"/>
                        </wpg:xfrm>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g:graphicFrame>
                      <wpg:graphicFrame>
                        <wpg:cNvPr id="1050" name=""/>
                        <wpg:cNvFrPr/>
                        <wpg:xfrm rot="0">
                          <a:off x="2133600" y="9525"/>
                          <a:ext cx="1800225" cy="2428875"/>
                        </wpg:xfrm>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g:graphicFrame>
                    </wpg:wgp>
                  </a:graphicData>
                </a:graphic>
                <wp14:sizeRelH relativeFrom="margin">
                  <wp14:pctWidth>0</wp14:pctWidth>
                </wp14:sizeRelH>
                <wp14:sizeRelV relativeFrom="page">
                  <wp14:pctHeight>0</wp14:pctHeight>
                </wp14:sizeRelV>
              </wp:anchor>
            </w:drawing>
          </mc:Choice>
          <mc:Fallback>
            <w:pict>
              <v:group id="1044" filled="f" stroked="f" style="position:absolute;margin-left:1.1pt;margin-top:60.1pt;width:416.5pt;height:170.7pt;z-index:10;mso-position-horizontal-relative:text;mso-position-vertical-relative:text;mso-width-percent:0;mso-height-percent:0;mso-width-relative:margin;mso-height-relative:page;visibility:visible;" coordsize="5686425,2438400">
                <v:shape id="1046" type="#_x0000_t75" filled="f" stroked="f" style="position:absolute;left:3962400;top:19050;width:1724025;height:2409825;z-index:2;mso-position-horizontal-relative:page;mso-position-vertical-relative:page;mso-width-relative:page;mso-height-relative:page;visibility:visible;">
                  <v:imagedata r:id="rId14" embosscolor="white" o:title=""/>
                  <o:lock position="true" v:ext="view"/>
                  <v:fill rotate="true"/>
                </v:shape>
                <v:shape id="1048" type="#_x0000_t75" filled="f" stroked="f" style="position:absolute;left:0;top:0;width:2114550;height:2428875;z-index:3;mso-position-horizontal-relative:page;mso-position-vertical-relative:page;mso-width-relative:page;mso-height-relative:page;visibility:visible;">
                  <v:imagedata r:id="rId15" embosscolor="white" o:title=""/>
                  <o:lock position="true" v:ext="view"/>
                  <v:fill rotate="true"/>
                </v:shape>
                <v:shape id="1050" type="#_x0000_t75" filled="f" stroked="f" style="position:absolute;left:2133600;top:9525;width:1800225;height:2428875;z-index:4;mso-position-horizontal-relative:page;mso-position-vertical-relative:page;mso-width-relative:page;mso-height-relative:page;visibility:visible;">
                  <v:imagedata r:id="rId16" embosscolor="white" o:title=""/>
                  <o:lock position="true" v:ext="view"/>
                  <v:fill rotate="true"/>
                </v:shape>
                <w10:wrap type="tight"/>
                <v:fill/>
              </v:group>
            </w:pict>
          </mc:Fallback>
        </mc:AlternateContent>
      </w:r>
      <w:r>
        <w:rPr>
          <w:rFonts w:ascii="Arial" w:cs="Arial" w:hAnsi="Arial"/>
        </w:rPr>
        <w:t xml:space="preserve">Data represent means ± S.E. (n = 8). Tukey test was used to analyze significant differences in data, and letters represent differences at </w:t>
      </w:r>
      <w:r>
        <w:rPr>
          <w:rFonts w:ascii="Arial" w:cs="Arial" w:hAnsi="Arial"/>
          <w:i/>
        </w:rPr>
        <w:t>P</w:t>
      </w:r>
      <w:r>
        <w:rPr>
          <w:rFonts w:ascii="Arial" w:cs="Arial" w:hAnsi="Arial"/>
        </w:rPr>
        <w:t xml:space="preserve"> &lt; 0.001</w:t>
      </w:r>
    </w:p>
    <w:p>
      <w:pPr>
        <w:pStyle w:val="style4099"/>
        <w:rPr>
          <w:rFonts w:ascii="Arial" w:cs="Arial" w:hAnsi="Arial"/>
          <w:lang w:val="tr-TR"/>
        </w:rPr>
      </w:pPr>
    </w:p>
    <w:p>
      <w:pPr>
        <w:pStyle w:val="style4099"/>
        <w:rPr>
          <w:rFonts w:ascii="Arial" w:cs="Arial" w:hAnsi="Arial"/>
          <w:b/>
          <w:lang w:val="tr-TR"/>
        </w:rPr>
      </w:pPr>
      <w:r>
        <w:rPr>
          <w:rFonts w:ascii="Arial" w:cs="Arial" w:hAnsi="Arial"/>
          <w:b/>
          <w:lang w:val="tr-TR"/>
        </w:rPr>
        <w:t xml:space="preserve">Fig. 4. Effect of incubation at 20 °C and 27 °C on </w:t>
      </w:r>
      <w:r>
        <w:rPr>
          <w:rFonts w:ascii="Arial" w:cs="Arial" w:hAnsi="Arial"/>
          <w:b/>
          <w:i/>
          <w:lang w:val="tr-TR"/>
        </w:rPr>
        <w:t>F. oxysporum</w:t>
      </w:r>
      <w:r>
        <w:rPr>
          <w:rFonts w:ascii="Arial" w:cs="Arial" w:hAnsi="Arial"/>
          <w:b/>
          <w:lang w:val="tr-TR"/>
        </w:rPr>
        <w:t xml:space="preserve"> from </w:t>
      </w:r>
      <w:r>
        <w:rPr>
          <w:rFonts w:ascii="Arial" w:cs="Arial" w:hAnsi="Arial"/>
          <w:b/>
          <w:i/>
          <w:lang w:val="tr-TR"/>
        </w:rPr>
        <w:t>A. sativum</w:t>
      </w:r>
      <w:r>
        <w:rPr>
          <w:rFonts w:ascii="Arial" w:cs="Arial" w:hAnsi="Arial"/>
          <w:b/>
          <w:lang w:val="tr-TR"/>
        </w:rPr>
        <w:t xml:space="preserve"> on the 15</w:t>
      </w:r>
      <w:r>
        <w:rPr>
          <w:rFonts w:ascii="Arial" w:cs="Arial" w:hAnsi="Arial"/>
          <w:b/>
          <w:vertAlign w:val="superscript"/>
          <w:lang w:val="tr-TR"/>
        </w:rPr>
        <w:t>th</w:t>
      </w:r>
      <w:r>
        <w:rPr>
          <w:rFonts w:ascii="Arial" w:cs="Arial" w:hAnsi="Arial"/>
          <w:b/>
          <w:lang w:val="tr-TR"/>
        </w:rPr>
        <w:t xml:space="preserve"> of culture a) Features of macroconidium structures of </w:t>
      </w:r>
      <w:r>
        <w:rPr>
          <w:rFonts w:ascii="Arial" w:cs="Arial" w:hAnsi="Arial"/>
          <w:b/>
          <w:i/>
          <w:lang w:val="tr-TR"/>
        </w:rPr>
        <w:t>F. oxysporum</w:t>
      </w:r>
      <w:r>
        <w:rPr>
          <w:rFonts w:ascii="Arial" w:cs="Arial" w:hAnsi="Arial"/>
          <w:b/>
          <w:lang w:val="tr-TR"/>
        </w:rPr>
        <w:t xml:space="preserve"> (</w:t>
      </w:r>
      <w:r>
        <w:rPr>
          <w:rFonts w:ascii="Arial" w:cs="Arial" w:hAnsi="Arial" w:hint="eastAsia"/>
          <w:b/>
          <w:lang w:val="tr-TR"/>
        </w:rPr>
        <w:t>μ</w:t>
      </w:r>
      <w:r>
        <w:rPr>
          <w:rFonts w:ascii="Arial" w:cs="Arial" w:hAnsi="Arial"/>
          <w:b/>
          <w:lang w:val="tr-TR"/>
        </w:rPr>
        <w:t xml:space="preserve">m), b) Features of microconidium structures of </w:t>
      </w:r>
      <w:r>
        <w:rPr>
          <w:rFonts w:ascii="Arial" w:cs="Arial" w:hAnsi="Arial"/>
          <w:b/>
          <w:i/>
          <w:lang w:val="tr-TR"/>
        </w:rPr>
        <w:t>F. oxysporum</w:t>
      </w:r>
      <w:r>
        <w:rPr>
          <w:rFonts w:ascii="Arial" w:cs="Arial" w:hAnsi="Arial"/>
          <w:b/>
          <w:lang w:val="tr-TR"/>
        </w:rPr>
        <w:t xml:space="preserve"> (</w:t>
      </w:r>
      <w:r>
        <w:rPr>
          <w:rFonts w:ascii="Arial" w:cs="Arial" w:hAnsi="Arial" w:hint="eastAsia"/>
          <w:b/>
          <w:lang w:val="tr-TR"/>
        </w:rPr>
        <w:t>μ</w:t>
      </w:r>
      <w:r>
        <w:rPr>
          <w:rFonts w:ascii="Arial" w:cs="Arial" w:hAnsi="Arial"/>
          <w:b/>
          <w:lang w:val="tr-TR"/>
        </w:rPr>
        <w:t xml:space="preserve">m) c) Mycelium width of </w:t>
      </w:r>
      <w:r>
        <w:rPr>
          <w:rFonts w:ascii="Arial" w:cs="Arial" w:hAnsi="Arial"/>
          <w:b/>
          <w:i/>
          <w:lang w:val="tr-TR"/>
        </w:rPr>
        <w:t>F. oxysporum</w:t>
      </w:r>
      <w:r>
        <w:rPr>
          <w:rFonts w:ascii="Arial" w:cs="Arial" w:hAnsi="Arial"/>
          <w:b/>
          <w:lang w:val="tr-TR"/>
        </w:rPr>
        <w:t xml:space="preserve"> (</w:t>
      </w:r>
      <w:r>
        <w:rPr>
          <w:rFonts w:ascii="Arial" w:cs="Arial" w:hAnsi="Arial" w:hint="eastAsia"/>
          <w:b/>
          <w:lang w:val="tr-TR"/>
        </w:rPr>
        <w:t>μ</w:t>
      </w:r>
      <w:r>
        <w:rPr>
          <w:rFonts w:ascii="Arial" w:cs="Arial" w:hAnsi="Arial"/>
          <w:b/>
          <w:lang w:val="tr-TR"/>
        </w:rPr>
        <w:t>m).</w:t>
      </w:r>
    </w:p>
    <w:p>
      <w:pPr>
        <w:pStyle w:val="style4099"/>
        <w:rPr>
          <w:rFonts w:ascii="Arial" w:cs="Arial" w:hAnsi="Arial"/>
          <w:b/>
          <w:lang w:val="tr-TR"/>
        </w:rPr>
      </w:pPr>
    </w:p>
    <w:p>
      <w:pPr>
        <w:pStyle w:val="style4099"/>
        <w:rPr>
          <w:rFonts w:ascii="Arial" w:cs="Arial" w:hAnsi="Arial"/>
          <w:b/>
          <w:lang w:val="tr-TR"/>
        </w:rPr>
      </w:pPr>
      <w:r>
        <w:rPr>
          <w:rFonts w:ascii="Arial" w:cs="Arial" w:hAnsi="Arial"/>
          <w:b/>
          <w:noProof/>
        </w:rPr>
        <w:drawing>
          <wp:inline distL="0" distT="0" distB="0" distR="0">
            <wp:extent cx="4707172" cy="2734578"/>
            <wp:effectExtent l="0" t="0" r="0" b="0"/>
            <wp:docPr id="1051"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3"/>
                    <pic:cNvPicPr/>
                  </pic:nvPicPr>
                  <pic:blipFill>
                    <a:blip r:embed="rId17" cstate="print"/>
                    <a:srcRect l="0" t="0" r="0" b="0"/>
                    <a:stretch/>
                  </pic:blipFill>
                  <pic:spPr>
                    <a:xfrm rot="0">
                      <a:off x="0" y="0"/>
                      <a:ext cx="4707172" cy="2734578"/>
                    </a:xfrm>
                    <a:prstGeom prst="rect"/>
                  </pic:spPr>
                </pic:pic>
              </a:graphicData>
            </a:graphic>
          </wp:inline>
        </w:drawing>
      </w:r>
    </w:p>
    <w:p>
      <w:pPr>
        <w:pStyle w:val="style4099"/>
        <w:rPr>
          <w:rFonts w:ascii="Arial" w:cs="Arial" w:hAnsi="Arial"/>
          <w:b/>
          <w:lang w:val="tr-TR"/>
        </w:rPr>
      </w:pPr>
      <w:r>
        <w:rPr>
          <w:rFonts w:ascii="Arial" w:cs="Arial" w:hAnsi="Arial"/>
          <w:b/>
          <w:lang w:val="tr-TR"/>
        </w:rPr>
        <w:t xml:space="preserve">Fig. 5. Effect of incubation at 20 °C and 27 °C on the colony color at the front and back sides of </w:t>
      </w:r>
      <w:r>
        <w:rPr>
          <w:rFonts w:ascii="Arial" w:cs="Arial" w:hAnsi="Arial"/>
          <w:b/>
          <w:i/>
          <w:lang w:val="tr-TR"/>
        </w:rPr>
        <w:t>F. oxysporum</w:t>
      </w:r>
      <w:r>
        <w:rPr>
          <w:rFonts w:ascii="Arial" w:cs="Arial" w:hAnsi="Arial"/>
          <w:b/>
          <w:lang w:val="tr-TR"/>
        </w:rPr>
        <w:t xml:space="preserve"> on the 3</w:t>
      </w:r>
      <w:r>
        <w:rPr>
          <w:rFonts w:ascii="Arial" w:cs="Arial" w:hAnsi="Arial"/>
          <w:b/>
          <w:vertAlign w:val="superscript"/>
          <w:lang w:val="tr-TR"/>
        </w:rPr>
        <w:t>rd</w:t>
      </w:r>
      <w:r>
        <w:rPr>
          <w:rFonts w:ascii="Arial" w:cs="Arial" w:hAnsi="Arial"/>
          <w:b/>
          <w:lang w:val="tr-TR"/>
        </w:rPr>
        <w:t>, 6</w:t>
      </w:r>
      <w:r>
        <w:rPr>
          <w:rFonts w:ascii="Arial" w:cs="Arial" w:hAnsi="Arial"/>
          <w:b/>
          <w:vertAlign w:val="superscript"/>
          <w:lang w:val="tr-TR"/>
        </w:rPr>
        <w:t>th</w:t>
      </w:r>
      <w:r>
        <w:rPr>
          <w:rFonts w:ascii="Arial" w:cs="Arial" w:hAnsi="Arial"/>
          <w:b/>
          <w:lang w:val="tr-TR"/>
        </w:rPr>
        <w:t>, and 9</w:t>
      </w:r>
      <w:r>
        <w:rPr>
          <w:rFonts w:ascii="Arial" w:cs="Arial" w:hAnsi="Arial"/>
          <w:b/>
          <w:vertAlign w:val="superscript"/>
          <w:lang w:val="tr-TR"/>
        </w:rPr>
        <w:t>th</w:t>
      </w:r>
      <w:r>
        <w:rPr>
          <w:rFonts w:ascii="Arial" w:cs="Arial" w:hAnsi="Arial"/>
          <w:b/>
          <w:lang w:val="tr-TR"/>
        </w:rPr>
        <w:t xml:space="preserve"> days of culture, (White=1 to Dark bordeaux=5)</w:t>
      </w:r>
    </w:p>
    <w:p>
      <w:pPr>
        <w:pStyle w:val="style4099"/>
        <w:rPr>
          <w:rFonts w:ascii="Arial" w:cs="Arial" w:hAnsi="Arial"/>
          <w:lang w:val="tr-TR"/>
        </w:rPr>
      </w:pPr>
      <w:r>
        <w:rPr>
          <w:rFonts w:ascii="Arial" w:cs="Arial" w:hAnsi="Arial"/>
          <w:lang w:val="tr-TR"/>
        </w:rPr>
        <w:t xml:space="preserve">Colony pigmentation exhibited the most visually striking difference between the temperature treatments. At 27 °C, colonies developed a pronounced dark bordeaux coloration, especially </w:t>
      </w:r>
      <w:r>
        <w:rPr>
          <w:rFonts w:ascii="Arial" w:cs="Arial" w:hAnsi="Arial"/>
          <w:lang w:val="tr-TR"/>
        </w:rPr>
        <w:t xml:space="preserve">on the reverse side of the Petri dishes. Digital image analysis confirmed this, with significantly lower RGB values (indicating darker coloration) compared to those at 20 °C. Color development in </w:t>
      </w:r>
      <w:r>
        <w:rPr>
          <w:rFonts w:ascii="Arial" w:cs="Arial" w:hAnsi="Arial"/>
          <w:i/>
          <w:lang w:val="tr-TR"/>
        </w:rPr>
        <w:t>Fusarium</w:t>
      </w:r>
      <w:r>
        <w:rPr>
          <w:rFonts w:ascii="Arial" w:cs="Arial" w:hAnsi="Arial"/>
          <w:lang w:val="tr-TR"/>
        </w:rPr>
        <w:t xml:space="preserve"> species is influenced by secondary metabolism and is known to vary under different environmental conditions (</w:t>
      </w:r>
      <w:r>
        <w:rPr>
          <w:rFonts w:ascii="Arial" w:cs="Arial" w:hAnsi="Arial"/>
          <w:highlight w:val="yellow"/>
          <w:lang w:val="tr-TR"/>
        </w:rPr>
        <w:t>Sandoval-Denis et al., 2018</w:t>
      </w:r>
      <w:r>
        <w:rPr>
          <w:rFonts w:ascii="Arial" w:cs="Arial" w:hAnsi="Arial"/>
          <w:lang w:val="tr-TR"/>
        </w:rPr>
        <w:t>).</w:t>
      </w:r>
    </w:p>
    <w:p>
      <w:pPr>
        <w:pStyle w:val="style4099"/>
        <w:rPr>
          <w:rFonts w:ascii="Arial" w:cs="Arial" w:hAnsi="Arial"/>
          <w:lang w:val="tr-TR"/>
        </w:rPr>
      </w:pPr>
      <w:r>
        <w:rPr>
          <w:rFonts w:ascii="Arial" w:cs="Arial" w:hAnsi="Arial"/>
          <w:lang w:val="tr-TR"/>
        </w:rPr>
        <w:t xml:space="preserve">Effects of temperature differences on </w:t>
      </w:r>
      <w:r>
        <w:rPr>
          <w:rFonts w:ascii="Arial" w:cs="Arial" w:hAnsi="Arial"/>
          <w:i/>
          <w:lang w:val="tr-TR"/>
        </w:rPr>
        <w:t>F. oxysporum</w:t>
      </w:r>
      <w:r>
        <w:rPr>
          <w:rFonts w:ascii="Arial" w:cs="Arial" w:hAnsi="Arial"/>
          <w:lang w:val="tr-TR"/>
        </w:rPr>
        <w:t xml:space="preserve"> have been studied in some scientific work </w:t>
      </w:r>
      <w:r>
        <w:rPr>
          <w:rFonts w:ascii="Arial" w:cs="Arial" w:hAnsi="Arial"/>
          <w:i/>
          <w:lang w:val="tr-TR"/>
        </w:rPr>
        <w:t>in vitro</w:t>
      </w:r>
      <w:r>
        <w:rPr>
          <w:rFonts w:ascii="Arial" w:cs="Arial" w:hAnsi="Arial"/>
          <w:lang w:val="tr-TR"/>
        </w:rPr>
        <w:t xml:space="preserve"> or </w:t>
      </w:r>
      <w:r>
        <w:rPr>
          <w:rFonts w:ascii="Arial" w:cs="Arial" w:hAnsi="Arial"/>
          <w:i/>
          <w:lang w:val="tr-TR"/>
        </w:rPr>
        <w:t>in vivo</w:t>
      </w:r>
      <w:r>
        <w:rPr>
          <w:rFonts w:ascii="Arial" w:cs="Arial" w:hAnsi="Arial"/>
          <w:lang w:val="tr-TR"/>
        </w:rPr>
        <w:t xml:space="preserve">. In bell pepper pathogens, </w:t>
      </w:r>
      <w:r>
        <w:rPr>
          <w:rFonts w:ascii="Arial" w:cs="Arial" w:hAnsi="Arial"/>
          <w:i/>
          <w:lang w:val="tr-TR"/>
        </w:rPr>
        <w:t>F. lactis</w:t>
      </w:r>
      <w:r>
        <w:rPr>
          <w:rFonts w:ascii="Arial" w:cs="Arial" w:hAnsi="Arial"/>
          <w:lang w:val="tr-TR"/>
        </w:rPr>
        <w:t xml:space="preserve"> species complex, </w:t>
      </w:r>
      <w:r>
        <w:rPr>
          <w:rFonts w:ascii="Arial" w:cs="Arial" w:hAnsi="Arial"/>
          <w:i/>
          <w:lang w:val="tr-TR"/>
        </w:rPr>
        <w:t>F. oxysporum</w:t>
      </w:r>
      <w:r>
        <w:rPr>
          <w:rFonts w:ascii="Arial" w:cs="Arial" w:hAnsi="Arial"/>
          <w:lang w:val="tr-TR"/>
        </w:rPr>
        <w:t xml:space="preserve">, and </w:t>
      </w:r>
      <w:r>
        <w:rPr>
          <w:rFonts w:ascii="Arial" w:cs="Arial" w:hAnsi="Arial"/>
          <w:i/>
          <w:lang w:val="tr-TR"/>
        </w:rPr>
        <w:t>F. proliferatum</w:t>
      </w:r>
      <w:r>
        <w:rPr>
          <w:rFonts w:ascii="Arial" w:cs="Arial" w:hAnsi="Arial"/>
          <w:lang w:val="tr-TR"/>
        </w:rPr>
        <w:t xml:space="preserve"> were studied to gather some data on environmental factors on the growth and sporulation of the species, including temperature. The data showed that in </w:t>
      </w:r>
      <w:r>
        <w:rPr>
          <w:rFonts w:ascii="Arial" w:cs="Arial" w:hAnsi="Arial"/>
          <w:i/>
          <w:lang w:val="tr-TR"/>
        </w:rPr>
        <w:t>F. oxysporum</w:t>
      </w:r>
      <w:r>
        <w:rPr>
          <w:rFonts w:ascii="Arial" w:cs="Arial" w:hAnsi="Arial"/>
          <w:lang w:val="tr-TR"/>
        </w:rPr>
        <w:t>, the optimum temperature for colony growth and spore production was 25 °C. Below 5 °C, colony growth and sporulation stopped. Above 35 °C, sporulation sharply decreased (</w:t>
      </w:r>
      <w:r>
        <w:rPr>
          <w:rFonts w:ascii="Arial" w:cs="Arial" w:hAnsi="Arial"/>
          <w:highlight w:val="yellow"/>
          <w:lang w:val="tr-TR"/>
        </w:rPr>
        <w:t>Frans et al., 2017</w:t>
      </w:r>
      <w:r>
        <w:rPr>
          <w:rFonts w:ascii="Arial" w:cs="Arial" w:hAnsi="Arial"/>
          <w:lang w:val="tr-TR"/>
        </w:rPr>
        <w:t xml:space="preserve">). In a study, besides resistance crucifers, in general, the used cultivar of the family member showed higher susceptibility to </w:t>
      </w:r>
      <w:r>
        <w:rPr>
          <w:rFonts w:ascii="Arial" w:cs="Arial" w:hAnsi="Arial"/>
          <w:i/>
          <w:lang w:val="tr-TR"/>
        </w:rPr>
        <w:t>F. oxysporum</w:t>
      </w:r>
      <w:r>
        <w:rPr>
          <w:rFonts w:ascii="Arial" w:cs="Arial" w:hAnsi="Arial"/>
          <w:lang w:val="tr-TR"/>
        </w:rPr>
        <w:t xml:space="preserve"> when soil temperature increases from 10 °C to 24 °C </w:t>
      </w:r>
      <w:commentRangeStart w:id="16"/>
      <w:r>
        <w:rPr>
          <w:rFonts w:ascii="Arial" w:cs="Arial" w:hAnsi="Arial"/>
          <w:lang w:val="tr-TR"/>
        </w:rPr>
        <w:t>(</w:t>
      </w:r>
      <w:r>
        <w:rPr>
          <w:rFonts w:ascii="Arial" w:cs="Arial" w:hAnsi="Arial"/>
          <w:highlight w:val="yellow"/>
          <w:lang w:val="tr-TR"/>
        </w:rPr>
        <w:t>Bosland et al., 1988</w:t>
      </w:r>
      <w:r>
        <w:rPr>
          <w:rFonts w:ascii="Arial" w:cs="Arial" w:hAnsi="Arial"/>
          <w:lang w:val="tr-TR"/>
        </w:rPr>
        <w:t>)</w:t>
      </w:r>
      <w:commentRangeEnd w:id="16"/>
      <w:r>
        <w:rPr/>
        <w:commentReference w:id="16"/>
      </w:r>
      <w:r>
        <w:rPr>
          <w:rFonts w:ascii="Arial" w:cs="Arial" w:hAnsi="Arial"/>
          <w:lang w:val="tr-TR"/>
        </w:rPr>
        <w:t xml:space="preserve">. In </w:t>
      </w:r>
      <w:r>
        <w:rPr>
          <w:rFonts w:ascii="Arial" w:cs="Arial" w:hAnsi="Arial"/>
          <w:i/>
          <w:lang w:val="tr-TR"/>
        </w:rPr>
        <w:t>Dendrobium chrysotoxum</w:t>
      </w:r>
      <w:r>
        <w:rPr>
          <w:rFonts w:ascii="Arial" w:cs="Arial" w:hAnsi="Arial"/>
          <w:lang w:val="tr-TR"/>
        </w:rPr>
        <w:t xml:space="preserve">, </w:t>
      </w:r>
      <w:r>
        <w:rPr>
          <w:rFonts w:ascii="Arial" w:cs="Arial" w:hAnsi="Arial"/>
          <w:i/>
          <w:lang w:val="tr-TR"/>
        </w:rPr>
        <w:t>F. oxysporum</w:t>
      </w:r>
      <w:r>
        <w:rPr>
          <w:rFonts w:ascii="Arial" w:cs="Arial" w:hAnsi="Arial"/>
          <w:lang w:val="tr-TR"/>
        </w:rPr>
        <w:t xml:space="preserve"> was first reported. In the study, four isolated strains were grown on a PDA medium at 28 °C for a week, and morphological identification, including colony colors, was observed (</w:t>
      </w:r>
      <w:r>
        <w:rPr>
          <w:rFonts w:ascii="Arial" w:cs="Arial" w:hAnsi="Arial"/>
          <w:highlight w:val="yellow"/>
          <w:lang w:val="tr-TR"/>
        </w:rPr>
        <w:t>Yang et al., 2024</w:t>
      </w:r>
      <w:r>
        <w:rPr>
          <w:rFonts w:ascii="Arial" w:cs="Arial" w:hAnsi="Arial"/>
          <w:lang w:val="tr-TR"/>
        </w:rPr>
        <w:t xml:space="preserve">). According to the results, colonies appeared as white to purplish. Microconidia and macroconidia changed between 2,57-3,38 × 5,25-10,62 µm and 19,32-36,55 × 3,44-5,52 µm in size, respectively. In another study, pathogenic </w:t>
      </w:r>
      <w:r>
        <w:rPr>
          <w:rFonts w:ascii="Arial" w:cs="Arial" w:hAnsi="Arial"/>
          <w:i/>
          <w:lang w:val="tr-TR"/>
        </w:rPr>
        <w:t>F. oxysporum</w:t>
      </w:r>
      <w:r>
        <w:rPr>
          <w:rFonts w:ascii="Arial" w:cs="Arial" w:hAnsi="Arial"/>
          <w:lang w:val="tr-TR"/>
        </w:rPr>
        <w:t xml:space="preserve"> was isolated and identified from soybean leaves in Bali, and the study was first reported. The two isolates found were pathogenic </w:t>
      </w:r>
      <w:r>
        <w:rPr>
          <w:rFonts w:ascii="Arial" w:cs="Arial" w:hAnsi="Arial"/>
          <w:i/>
          <w:lang w:val="tr-TR"/>
        </w:rPr>
        <w:t>F. oxysporum</w:t>
      </w:r>
      <w:r>
        <w:rPr>
          <w:rFonts w:ascii="Arial" w:cs="Arial" w:hAnsi="Arial"/>
          <w:lang w:val="tr-TR"/>
        </w:rPr>
        <w:t>, one was white to greenish purple, and the second one was white to purple. In the study, the front and reverse sides, in addition to the center and margin, were found in different colors. The daily growth rates of the isolates were 5,76-5,84 mm, and macroconidia length-width were 35,97-37,31 × 3,43-3,52 µm. The tests were conducted at 26-28 °C in PDA medium (</w:t>
      </w:r>
      <w:r>
        <w:rPr>
          <w:rFonts w:ascii="Arial" w:cs="Arial" w:hAnsi="Arial"/>
          <w:highlight w:val="yellow"/>
          <w:lang w:val="tr-TR"/>
        </w:rPr>
        <w:t>Suanda et al., 2025</w:t>
      </w:r>
      <w:r>
        <w:rPr>
          <w:rFonts w:ascii="Arial" w:cs="Arial" w:hAnsi="Arial"/>
          <w:lang w:val="tr-TR"/>
        </w:rPr>
        <w:t xml:space="preserve">). </w:t>
      </w:r>
    </w:p>
    <w:p>
      <w:pPr>
        <w:pStyle w:val="style4099"/>
        <w:rPr>
          <w:rFonts w:ascii="Arial" w:cs="Arial" w:hAnsi="Arial"/>
          <w:lang w:val="tr-TR"/>
        </w:rPr>
      </w:pPr>
      <w:r>
        <w:rPr>
          <w:rFonts w:ascii="Arial" w:cs="Arial" w:hAnsi="Arial"/>
          <w:lang w:val="tr-TR"/>
        </w:rPr>
        <w:t xml:space="preserve">These findings provide important practical implications. The farmers in Türkiye have reported that </w:t>
      </w:r>
      <w:r>
        <w:rPr>
          <w:rFonts w:ascii="Arial" w:cs="Arial" w:hAnsi="Arial"/>
          <w:i/>
          <w:lang w:val="tr-TR"/>
        </w:rPr>
        <w:t>Fusarium</w:t>
      </w:r>
      <w:r>
        <w:rPr>
          <w:rFonts w:ascii="Arial" w:cs="Arial" w:hAnsi="Arial"/>
          <w:lang w:val="tr-TR"/>
        </w:rPr>
        <w:t>-related symptoms on garlic appear closer to harvest (i.e., in warmer periods), often showing pink to reddish lesions around the false stem near soil level. Our results support this observation, suggesting that higher temperatures favor fungal growth, sporulation, and pigmentation, potentially increasing disease visibility and severity.</w:t>
      </w: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r>
        <w:rPr>
          <w:noProof/>
        </w:rPr>
        <mc:AlternateContent>
          <mc:Choice Requires="wpg">
            <w:drawing>
              <wp:anchor distT="0" distB="0" distL="114300" distR="114300" simplePos="false" relativeHeight="11" behindDoc="false" locked="false" layoutInCell="true" allowOverlap="true">
                <wp:simplePos x="0" y="0"/>
                <wp:positionH relativeFrom="column">
                  <wp:posOffset>-4445</wp:posOffset>
                </wp:positionH>
                <wp:positionV relativeFrom="paragraph">
                  <wp:posOffset>2540</wp:posOffset>
                </wp:positionV>
                <wp:extent cx="3990975" cy="7286625"/>
                <wp:effectExtent l="0" t="0" r="9525" b="9525"/>
                <wp:wrapTight wrapText="bothSides">
                  <wp:wrapPolygon edited="false">
                    <wp:start x="0" y="0"/>
                    <wp:lineTo x="0" y="21572"/>
                    <wp:lineTo x="21548" y="21572"/>
                    <wp:lineTo x="21548" y="0"/>
                    <wp:lineTo x="0" y="0"/>
                  </wp:wrapPolygon>
                </wp:wrapTight>
                <wp:docPr id="1052" name="Group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990975" cy="7286625"/>
                          <a:chOff x="0" y="0"/>
                          <a:chExt cx="3990975" cy="7286625"/>
                        </a:xfrm>
                      </wpg:grpSpPr>
                      <wpg:graphicFrame>
                        <wpg:cNvPr id="1054" name=""/>
                        <wpg:cNvFrPr/>
                        <wpg:xfrm rot="0">
                          <a:off x="0" y="0"/>
                          <a:ext cx="3990975" cy="2619375"/>
                        </wpg:xfrm>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g:graphicFrame>
                      <wpg:graphicFrame>
                        <wpg:cNvPr id="1056" name=""/>
                        <wpg:cNvFrPr/>
                        <wpg:xfrm rot="0">
                          <a:off x="0" y="2657475"/>
                          <a:ext cx="3981450" cy="2343150"/>
                        </wpg:xfrm>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g:graphicFrame>
                      <wpg:graphicFrame>
                        <wpg:cNvPr id="1058" name=""/>
                        <wpg:cNvFrPr/>
                        <wpg:xfrm rot="0">
                          <a:off x="19050" y="5038725"/>
                          <a:ext cx="3943350" cy="2247900"/>
                        </wpg:xfrm>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g:graphicFrame>
                    </wpg:wgp>
                  </a:graphicData>
                </a:graphic>
                <wp14:sizeRelH relativeFrom="page">
                  <wp14:pctWidth>0</wp14:pctWidth>
                </wp14:sizeRelH>
                <wp14:sizeRelV relativeFrom="page">
                  <wp14:pctHeight>0</wp14:pctHeight>
                </wp14:sizeRelV>
              </wp:anchor>
            </w:drawing>
          </mc:Choice>
          <mc:Fallback>
            <w:pict>
              <v:group id="1052" filled="f" stroked="f" style="position:absolute;margin-left:-0.35pt;margin-top:0.2pt;width:314.25pt;height:573.75pt;z-index:11;mso-position-horizontal-relative:text;mso-position-vertical-relative:text;mso-width-percent:0;mso-height-percent:0;mso-width-relative:page;mso-height-relative:page;visibility:visible;" coordsize="3990975,7286625">
                <v:shape id="1054" type="#_x0000_t75" filled="f" stroked="f" style="position:absolute;left:0;top:0;width:3990975;height:2619375;z-index:2;mso-position-horizontal-relative:page;mso-position-vertical-relative:page;mso-width-relative:page;mso-height-relative:page;visibility:visible;">
                  <v:imagedata r:id="rId21" embosscolor="white" o:title=""/>
                  <o:lock position="true" v:ext="view"/>
                  <v:fill rotate="true"/>
                </v:shape>
                <v:shape id="1056" type="#_x0000_t75" filled="f" stroked="f" style="position:absolute;left:0;top:2657475;width:3981450;height:2343150;z-index:3;mso-position-horizontal-relative:page;mso-position-vertical-relative:page;mso-width-relative:page;mso-height-relative:page;visibility:visible;">
                  <v:imagedata r:id="rId22" embosscolor="white" o:title=""/>
                  <o:lock position="true" v:ext="view"/>
                  <v:fill rotate="true"/>
                </v:shape>
                <v:shape id="1058" type="#_x0000_t75" filled="f" stroked="f" style="position:absolute;left:19050;top:5038725;width:3943350;height:2247900;z-index:4;mso-position-horizontal-relative:page;mso-position-vertical-relative:page;mso-width-relative:page;mso-height-relative:page;visibility:visible;">
                  <v:imagedata r:id="rId23" embosscolor="white" o:title=""/>
                  <o:lock position="true" v:ext="view"/>
                  <v:fill rotate="true"/>
                </v:shape>
                <w10:wrap type="tight"/>
                <v:fill/>
              </v:group>
            </w:pict>
          </mc:Fallback>
        </mc:AlternateContent>
      </w: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lang w:val="tr-TR"/>
        </w:rPr>
      </w:pPr>
    </w:p>
    <w:p>
      <w:pPr>
        <w:pStyle w:val="style4099"/>
        <w:rPr>
          <w:rFonts w:ascii="Arial" w:cs="Arial" w:hAnsi="Arial"/>
          <w:b/>
          <w:lang w:val="tr-TR"/>
        </w:rPr>
      </w:pPr>
      <w:r>
        <w:rPr>
          <w:rFonts w:ascii="Arial" w:cs="Arial" w:hAnsi="Arial"/>
          <w:b/>
          <w:lang w:val="tr-TR"/>
        </w:rPr>
        <w:t>Fig</w:t>
      </w:r>
      <w:r>
        <w:rPr>
          <w:rFonts w:ascii="Arial" w:cs="Arial" w:hAnsi="Arial"/>
          <w:b/>
          <w:lang w:val="tr-TR"/>
        </w:rPr>
        <w:t>.</w:t>
      </w:r>
      <w:r>
        <w:rPr>
          <w:rFonts w:ascii="Arial" w:cs="Arial" w:hAnsi="Arial"/>
          <w:b/>
          <w:lang w:val="tr-TR"/>
        </w:rPr>
        <w:t xml:space="preserve"> 6. Effect of incubation at 20 °C and 27 °C on the colony color at the front and back sides of </w:t>
      </w:r>
      <w:r>
        <w:rPr>
          <w:rFonts w:ascii="Arial" w:cs="Arial" w:hAnsi="Arial"/>
          <w:b/>
          <w:i/>
          <w:lang w:val="tr-TR"/>
        </w:rPr>
        <w:t>F. oxysporum</w:t>
      </w:r>
      <w:r>
        <w:rPr>
          <w:rFonts w:ascii="Arial" w:cs="Arial" w:hAnsi="Arial"/>
          <w:b/>
          <w:lang w:val="tr-TR"/>
        </w:rPr>
        <w:t xml:space="preserve"> with a digital image program on the a) 3</w:t>
      </w:r>
      <w:r>
        <w:rPr>
          <w:rFonts w:ascii="Arial" w:cs="Arial" w:hAnsi="Arial"/>
          <w:b/>
          <w:vertAlign w:val="superscript"/>
          <w:lang w:val="tr-TR"/>
        </w:rPr>
        <w:t>rd</w:t>
      </w:r>
      <w:r>
        <w:rPr>
          <w:rFonts w:ascii="Arial" w:cs="Arial" w:hAnsi="Arial"/>
          <w:b/>
          <w:lang w:val="tr-TR"/>
        </w:rPr>
        <w:t xml:space="preserve"> day b) 6</w:t>
      </w:r>
      <w:r>
        <w:rPr>
          <w:rFonts w:ascii="Arial" w:cs="Arial" w:hAnsi="Arial"/>
          <w:b/>
          <w:vertAlign w:val="superscript"/>
          <w:lang w:val="tr-TR"/>
        </w:rPr>
        <w:t>th</w:t>
      </w:r>
      <w:r>
        <w:rPr>
          <w:rFonts w:ascii="Arial" w:cs="Arial" w:hAnsi="Arial"/>
          <w:b/>
          <w:lang w:val="tr-TR"/>
        </w:rPr>
        <w:t xml:space="preserve"> day c) 9</w:t>
      </w:r>
      <w:r>
        <w:rPr>
          <w:rFonts w:ascii="Arial" w:cs="Arial" w:hAnsi="Arial"/>
          <w:b/>
          <w:vertAlign w:val="superscript"/>
          <w:lang w:val="tr-TR"/>
        </w:rPr>
        <w:t>th</w:t>
      </w:r>
      <w:r>
        <w:rPr>
          <w:rFonts w:ascii="Arial" w:cs="Arial" w:hAnsi="Arial"/>
          <w:b/>
          <w:lang w:val="tr-TR"/>
        </w:rPr>
        <w:t xml:space="preserve"> day</w:t>
      </w:r>
    </w:p>
    <w:p>
      <w:pPr>
        <w:pStyle w:val="style4103"/>
        <w:spacing w:after="0"/>
        <w:jc w:val="both"/>
        <w:rPr>
          <w:rFonts w:ascii="Arial" w:cs="Arial" w:hAnsi="Arial"/>
        </w:rPr>
      </w:pPr>
      <w:r>
        <w:rPr>
          <w:rFonts w:ascii="Arial" w:cs="Arial" w:hAnsi="Arial"/>
        </w:rPr>
        <w:t xml:space="preserve">4. </w:t>
      </w:r>
      <w:r>
        <w:rPr>
          <w:rFonts w:ascii="Arial" w:cs="Arial" w:hAnsi="Arial"/>
        </w:rPr>
        <w:t>Conclusion</w:t>
      </w:r>
    </w:p>
    <w:p>
      <w:pPr>
        <w:pStyle w:val="style4103"/>
        <w:spacing w:after="0"/>
        <w:jc w:val="both"/>
        <w:rPr>
          <w:rFonts w:ascii="Arial" w:cs="Arial" w:hAnsi="Arial"/>
        </w:rPr>
      </w:pPr>
    </w:p>
    <w:p>
      <w:pPr>
        <w:pStyle w:val="style4099"/>
        <w:rPr>
          <w:rFonts w:ascii="Arial" w:cs="Arial" w:hAnsi="Arial"/>
        </w:rPr>
      </w:pPr>
      <w:r>
        <w:rPr>
          <w:rFonts w:ascii="Arial" w:cs="Arial" w:hAnsi="Arial"/>
          <w:i/>
        </w:rPr>
        <w:t>Fusarium</w:t>
      </w:r>
      <w:r>
        <w:rPr>
          <w:rFonts w:ascii="Arial" w:cs="Arial" w:hAnsi="Arial"/>
        </w:rPr>
        <w:t xml:space="preserve"> species are well-known plant pathogens that cause mainly wilt diseases, besides other symptoms in many cultivated plants. Their spores are easily spread in nature, greenhouses, and in the fields, causing infection. Several strategies have been developed to control the disease, including the use of pesticides, biological control agents, and genetic manipulations.  In fact, cultural methods that are nature-friendly and that take advantage of environmental factors such as temperature changes should be at the first stage. On the other hand, the effect of environmental factors is an issue that needs to be considered thoroughly for a correct diagnosis. This study indicates that 20 °C causes statistically lower colony growth, narrower microconidia, and mycelium width, and paler colony pigmentation compared to 27 °C. These findings support farmers' statements that in garlic, which is planted in February, the disease is seen close to the harvest in June on false stems around the soil line, looking pinkish. The information obtained as results of this study was that since temperature application cause differences in morphology and colony color of </w:t>
      </w:r>
      <w:r>
        <w:rPr>
          <w:rFonts w:ascii="Arial" w:cs="Arial" w:hAnsi="Arial"/>
          <w:i/>
        </w:rPr>
        <w:t xml:space="preserve">F. </w:t>
      </w:r>
      <w:r>
        <w:rPr>
          <w:rFonts w:ascii="Arial" w:cs="Arial" w:hAnsi="Arial"/>
          <w:i/>
        </w:rPr>
        <w:t>oxysporum</w:t>
      </w:r>
      <w:r>
        <w:rPr>
          <w:rFonts w:ascii="Arial" w:cs="Arial" w:hAnsi="Arial"/>
        </w:rPr>
        <w:t xml:space="preserve"> isolated from garlic, this situation should be </w:t>
      </w:r>
      <w:r>
        <w:rPr>
          <w:rFonts w:ascii="Arial" w:cs="Arial" w:hAnsi="Arial"/>
        </w:rPr>
        <w:t>taken into account</w:t>
      </w:r>
      <w:r>
        <w:rPr>
          <w:rFonts w:ascii="Arial" w:cs="Arial" w:hAnsi="Arial"/>
        </w:rPr>
        <w:t xml:space="preserve"> in diagnosis, temperature may be important in the late or early emergence of some of the other </w:t>
      </w:r>
      <w:r>
        <w:rPr>
          <w:rFonts w:ascii="Arial" w:cs="Arial" w:hAnsi="Arial"/>
          <w:i/>
        </w:rPr>
        <w:t>Fusarium</w:t>
      </w:r>
      <w:r>
        <w:rPr>
          <w:rFonts w:ascii="Arial" w:cs="Arial" w:hAnsi="Arial"/>
        </w:rPr>
        <w:t xml:space="preserve"> species depending on the ambient temperature, and different heat-cold applications may be an issue to be considered in terms of disease control. </w:t>
      </w:r>
    </w:p>
    <w:p>
      <w:pPr>
        <w:pStyle w:val="style4099"/>
        <w:spacing w:after="0"/>
        <w:rPr>
          <w:rFonts w:ascii="Arial" w:cs="Arial" w:hAnsi="Arial"/>
        </w:rPr>
      </w:pPr>
      <w:r>
        <w:rPr>
          <w:rFonts w:ascii="Arial" w:cs="Arial" w:hAnsi="Arial"/>
        </w:rPr>
        <w:t xml:space="preserve">Furthermore, this study contributes to the literature by incorporating RGB-based digital image analysis to objectively quantify colony pigmentation—offering enhanced precision in morphological diagnostics. By linking laboratory findings to real-world field conditions, it emphasizes the ecological and practical relevance of temperature-dependent variation in </w:t>
      </w:r>
      <w:r>
        <w:rPr>
          <w:rFonts w:ascii="Arial" w:cs="Arial" w:hAnsi="Arial"/>
          <w:i/>
        </w:rPr>
        <w:t>Fusarium</w:t>
      </w:r>
      <w:r>
        <w:rPr>
          <w:rFonts w:ascii="Arial" w:cs="Arial" w:hAnsi="Arial"/>
        </w:rPr>
        <w:t xml:space="preserve"> behavior. The comprehensive evaluation of morphological traits under different thermal regimes also supports improvements in classical taxonomy and early detection of </w:t>
      </w:r>
      <w:r>
        <w:rPr>
          <w:rFonts w:ascii="Arial" w:cs="Arial" w:hAnsi="Arial"/>
          <w:i/>
        </w:rPr>
        <w:t>Fusarium</w:t>
      </w:r>
      <w:r>
        <w:rPr>
          <w:rFonts w:ascii="Arial" w:cs="Arial" w:hAnsi="Arial"/>
        </w:rPr>
        <w:t>-related diseases. Therefore, temperature should be considered a critical factor in both laboratory diagnostics and the design of integrated disease management strategies, particularly for crops like garlic grown across variable seasonal conditions.</w:t>
      </w:r>
    </w:p>
    <w:p>
      <w:pPr>
        <w:pStyle w:val="style4099"/>
        <w:spacing w:after="0"/>
        <w:rPr>
          <w:rFonts w:ascii="Arial" w:cs="Arial" w:hAnsi="Arial"/>
        </w:rPr>
      </w:pPr>
    </w:p>
    <w:p>
      <w:pPr>
        <w:pStyle w:val="style4105"/>
        <w:spacing w:after="0"/>
        <w:jc w:val="both"/>
        <w:rPr>
          <w:rFonts w:ascii="Arial" w:cs="Arial" w:hAnsi="Arial"/>
          <w:b w:val="false"/>
          <w:caps w:val="false"/>
          <w:sz w:val="20"/>
        </w:rPr>
      </w:pPr>
    </w:p>
    <w:p>
      <w:pPr>
        <w:pStyle w:val="style4105"/>
        <w:spacing w:after="0"/>
        <w:jc w:val="both"/>
        <w:rPr>
          <w:rFonts w:ascii="Arial" w:cs="Arial" w:hAnsi="Arial"/>
        </w:rPr>
      </w:pPr>
    </w:p>
    <w:p>
      <w:pPr>
        <w:pStyle w:val="style4105"/>
        <w:spacing w:after="0"/>
        <w:jc w:val="both"/>
        <w:rPr>
          <w:rFonts w:ascii="Arial" w:cs="Arial" w:hAnsi="Arial"/>
        </w:rPr>
      </w:pPr>
      <w:r>
        <w:rPr>
          <w:rFonts w:ascii="Arial" w:cs="Arial" w:hAnsi="Arial"/>
        </w:rPr>
        <w:t>References</w:t>
      </w:r>
    </w:p>
    <w:p>
      <w:pPr>
        <w:pStyle w:val="style4105"/>
        <w:spacing w:after="0"/>
        <w:jc w:val="both"/>
        <w:rPr>
          <w:rFonts w:ascii="Arial" w:cs="Arial" w:hAnsi="Arial"/>
        </w:rPr>
      </w:pPr>
    </w:p>
    <w:p>
      <w:pPr>
        <w:pStyle w:val="style4099"/>
        <w:rPr/>
      </w:pPr>
      <w:r>
        <w:rPr>
          <w:highlight w:val="yellow"/>
        </w:rPr>
        <w:t>Agha</w:t>
      </w:r>
      <w:r>
        <w:t xml:space="preserve">, S. I., Ullah, M., Khan, A., Jahan, N., Ullah, S. M., Tabassum, B., &amp; Hamdard, M. H. (2023). Biocontrol </w:t>
      </w:r>
      <w:r>
        <w:rPr>
          <w:i/>
        </w:rPr>
        <w:t>Rhizobacteria</w:t>
      </w:r>
      <w:r>
        <w:t xml:space="preserve"> enhances growth and yield of wheat (</w:t>
      </w:r>
      <w:r>
        <w:rPr>
          <w:i/>
        </w:rPr>
        <w:t xml:space="preserve">Triticum </w:t>
      </w:r>
      <w:r>
        <w:rPr>
          <w:i/>
        </w:rPr>
        <w:t>aestivum</w:t>
      </w:r>
      <w:r>
        <w:t xml:space="preserve">) under field conditions against </w:t>
      </w:r>
      <w:r>
        <w:rPr>
          <w:i/>
        </w:rPr>
        <w:t xml:space="preserve">Fusarium </w:t>
      </w:r>
      <w:r>
        <w:rPr>
          <w:i/>
        </w:rPr>
        <w:t>oxysporum</w:t>
      </w:r>
      <w:r>
        <w:t>. Bioengineered, 14(1), 2260923. https://doi.org/10.1080/21655979.2023.2260923</w:t>
      </w:r>
    </w:p>
    <w:p>
      <w:pPr>
        <w:pStyle w:val="style4099"/>
        <w:rPr/>
      </w:pPr>
      <w:r>
        <w:rPr>
          <w:highlight w:val="yellow"/>
        </w:rPr>
        <w:t>Ajmal</w:t>
      </w:r>
      <w:r>
        <w:t xml:space="preserve">, M., Hussain, A., Ali, A., Chen, H., &amp; Lin, H. (2022). Strategies for controlling the sporulation in </w:t>
      </w:r>
      <w:r>
        <w:rPr>
          <w:i/>
        </w:rPr>
        <w:t>Fusarium spp</w:t>
      </w:r>
      <w:r>
        <w:t>. Journal of Fungi, 9(1), 10.  https://doi.org/10.3390/jof9010010</w:t>
      </w:r>
    </w:p>
    <w:p>
      <w:pPr>
        <w:pStyle w:val="style4099"/>
        <w:rPr/>
      </w:pPr>
      <w:r>
        <w:rPr>
          <w:highlight w:val="yellow"/>
        </w:rPr>
        <w:t>Benchimol</w:t>
      </w:r>
      <w:r>
        <w:rPr>
          <w:rFonts w:ascii="Cambria Math" w:cs="Cambria Math" w:hAnsi="Cambria Math"/>
          <w:highlight w:val="yellow"/>
        </w:rPr>
        <w:t>‐</w:t>
      </w:r>
      <w:r>
        <w:rPr>
          <w:highlight w:val="yellow"/>
        </w:rPr>
        <w:t>Reis</w:t>
      </w:r>
      <w:r>
        <w:t xml:space="preserve">, L. L., Bueno, C. J., </w:t>
      </w:r>
      <w:r>
        <w:t>Carbonell</w:t>
      </w:r>
      <w:r>
        <w:t xml:space="preserve">, S. A. M., &amp; </w:t>
      </w:r>
      <w:r>
        <w:t>Chiorato</w:t>
      </w:r>
      <w:r>
        <w:t xml:space="preserve">, A. F. (2023). </w:t>
      </w:r>
      <w:r>
        <w:rPr>
          <w:i/>
        </w:rPr>
        <w:t xml:space="preserve">Fusarium </w:t>
      </w:r>
      <w:r>
        <w:t>wilt</w:t>
      </w:r>
      <w:r>
        <w:rPr>
          <w:rFonts w:cs="Helvetica"/>
        </w:rPr>
        <w:t>–</w:t>
      </w:r>
      <w:r>
        <w:t xml:space="preserve">common bean </w:t>
      </w:r>
      <w:r>
        <w:t>pathosystem</w:t>
      </w:r>
      <w:r>
        <w:t>: Pathogen variability and genetic control. Crop Science, 63(5), 2609-2622.  https://doi.org/10.1002/csc2.21063</w:t>
      </w:r>
    </w:p>
    <w:p>
      <w:pPr>
        <w:pStyle w:val="style4099"/>
        <w:rPr/>
      </w:pPr>
      <w:r>
        <w:rPr>
          <w:highlight w:val="yellow"/>
        </w:rPr>
        <w:t>Bosland,</w:t>
      </w:r>
      <w:r>
        <w:t xml:space="preserve"> P. W., Williams, P. H., Morrison, R. H. (1988). Influence of soil temperature on the expression of yellows and wilt of crucifers by </w:t>
      </w:r>
      <w:r>
        <w:rPr>
          <w:i/>
        </w:rPr>
        <w:t xml:space="preserve">Fusarium </w:t>
      </w:r>
      <w:r>
        <w:rPr>
          <w:i/>
        </w:rPr>
        <w:t>oxysporum</w:t>
      </w:r>
      <w:r>
        <w:t>. Plant Disease, 72(9), 777–780. https://doi.org/10.1094/PD-72-0777.</w:t>
      </w:r>
    </w:p>
    <w:p>
      <w:pPr>
        <w:pStyle w:val="style4099"/>
        <w:rPr/>
      </w:pPr>
      <w:r>
        <w:rPr>
          <w:highlight w:val="yellow"/>
        </w:rPr>
        <w:t>Bustos-Caro</w:t>
      </w:r>
      <w:r>
        <w:t xml:space="preserve">, E., Perez-Mora, W. H., </w:t>
      </w:r>
      <w:r>
        <w:t>Melgarejo</w:t>
      </w:r>
      <w:r>
        <w:t>, L. M., &amp; Ardila, H. D. (2024). Physiological and biochemical characterization of a susceptible carnation (</w:t>
      </w:r>
      <w:r>
        <w:rPr>
          <w:i/>
        </w:rPr>
        <w:t xml:space="preserve">Dianthus </w:t>
      </w:r>
      <w:r>
        <w:rPr>
          <w:i/>
        </w:rPr>
        <w:t>caryophyllus</w:t>
      </w:r>
      <w:r>
        <w:t xml:space="preserve"> L.) cultivar </w:t>
      </w:r>
      <w:r>
        <w:t xml:space="preserve">to </w:t>
      </w:r>
      <w:r>
        <w:rPr>
          <w:i/>
        </w:rPr>
        <w:t xml:space="preserve">Fusarium </w:t>
      </w:r>
      <w:r>
        <w:rPr>
          <w:i/>
        </w:rPr>
        <w:t>oxysporum</w:t>
      </w:r>
      <w:r>
        <w:t xml:space="preserve"> f. sp. </w:t>
      </w:r>
      <w:r>
        <w:t>dianthi</w:t>
      </w:r>
      <w:r>
        <w:t xml:space="preserve"> (</w:t>
      </w:r>
      <w:r>
        <w:t>Fod</w:t>
      </w:r>
      <w:r>
        <w:t xml:space="preserve">). Ornamental Horticulture, 30, e242750. https://doi.org/10.1590/2447-536X.v30.e242750 </w:t>
      </w:r>
    </w:p>
    <w:p>
      <w:pPr>
        <w:pStyle w:val="style4099"/>
        <w:rPr/>
      </w:pPr>
      <w:r>
        <w:rPr>
          <w:highlight w:val="yellow"/>
        </w:rPr>
        <w:t>Cai</w:t>
      </w:r>
      <w:r>
        <w:t xml:space="preserve">, H., Tao, N., &amp; Guo, C. (2020). Systematic investigation of the effects of macro-elements and iron on soybean plant response to </w:t>
      </w:r>
      <w:r>
        <w:rPr>
          <w:i/>
        </w:rPr>
        <w:t xml:space="preserve">Fusarium </w:t>
      </w:r>
      <w:r>
        <w:rPr>
          <w:i/>
        </w:rPr>
        <w:t>oxysporum</w:t>
      </w:r>
      <w:r>
        <w:t xml:space="preserve"> infection. The Plant Pathology Journal, 36(5), 398-405. https://doi.org/10.5423/PPJ.OA.04.2020.0069</w:t>
      </w:r>
    </w:p>
    <w:p>
      <w:pPr>
        <w:pStyle w:val="style4099"/>
        <w:rPr/>
      </w:pPr>
      <w:r>
        <w:rPr>
          <w:highlight w:val="yellow"/>
        </w:rPr>
        <w:t>Cha</w:t>
      </w:r>
      <w:r>
        <w:t xml:space="preserve">, S. D., Jeon, Y. J., </w:t>
      </w:r>
      <w:r>
        <w:t>Ahn</w:t>
      </w:r>
      <w:r>
        <w:t xml:space="preserve">, G. R., Han, J. I., Han, K. H., &amp; Kim, S. H. (2007). Characterization of </w:t>
      </w:r>
      <w:r>
        <w:rPr>
          <w:i/>
        </w:rPr>
        <w:t xml:space="preserve">Fusarium </w:t>
      </w:r>
      <w:r>
        <w:rPr>
          <w:i/>
        </w:rPr>
        <w:t>oxysporum</w:t>
      </w:r>
      <w:r>
        <w:t xml:space="preserve"> isolated from Paprika in Korea. </w:t>
      </w:r>
      <w:r>
        <w:t>Mycobiology</w:t>
      </w:r>
      <w:r>
        <w:t>, 35(2), 91-96. https://doi.org/10.4489/MYCO.2007.35.2.091</w:t>
      </w:r>
    </w:p>
    <w:p>
      <w:pPr>
        <w:pStyle w:val="style4099"/>
        <w:rPr/>
      </w:pPr>
      <w:r>
        <w:rPr>
          <w:highlight w:val="yellow"/>
        </w:rPr>
        <w:t>Dewi</w:t>
      </w:r>
      <w:r>
        <w:t xml:space="preserve">, O. K. M., Abadi, A. L., &amp; </w:t>
      </w:r>
      <w:r>
        <w:t>Widyaningsih</w:t>
      </w:r>
      <w:r>
        <w:t xml:space="preserve">, S. (2022). Fusarium rot biological control of citrus caused by </w:t>
      </w:r>
      <w:r>
        <w:rPr>
          <w:i/>
        </w:rPr>
        <w:t xml:space="preserve">Fusarium </w:t>
      </w:r>
      <w:r>
        <w:rPr>
          <w:i/>
        </w:rPr>
        <w:t>oxysporum</w:t>
      </w:r>
      <w:r>
        <w:t>. Research Journal of Life Science, 9(2), 91-98. https://doi.org/10.21776/ub.rjls.2022.009.02.5</w:t>
      </w:r>
    </w:p>
    <w:p>
      <w:pPr>
        <w:pStyle w:val="style4099"/>
        <w:rPr/>
      </w:pPr>
      <w:r>
        <w:rPr>
          <w:highlight w:val="yellow"/>
        </w:rPr>
        <w:t>Dong</w:t>
      </w:r>
      <w:r>
        <w:t>, Y. H., Han, X. Q., Wang, J. H., Li, B., Meng, X. L., Dai, P. B.,</w:t>
      </w:r>
      <w:commentRangeStart w:id="17"/>
      <w:r>
        <w:t xml:space="preserve"> ... </w:t>
      </w:r>
      <w:commentRangeEnd w:id="17"/>
      <w:r>
        <w:rPr/>
        <w:commentReference w:id="17"/>
      </w:r>
      <w:r>
        <w:t xml:space="preserve">&amp; Wang, S. T. (2024). Genome Sequence of </w:t>
      </w:r>
      <w:r>
        <w:rPr>
          <w:i/>
        </w:rPr>
        <w:t xml:space="preserve">Fusarium </w:t>
      </w:r>
      <w:r>
        <w:rPr>
          <w:i/>
        </w:rPr>
        <w:t>oxysporum</w:t>
      </w:r>
      <w:r>
        <w:t xml:space="preserve"> f. sp. malus HS2 Causing Apple Replant Disease. </w:t>
      </w:r>
      <w:r>
        <w:t>PhytoFrontiers</w:t>
      </w:r>
      <w:r>
        <w:t>, 4(2), 239-242. https://doi.org/10.1094/PHYTOFR-03-23-0036-A</w:t>
      </w:r>
    </w:p>
    <w:p>
      <w:pPr>
        <w:pStyle w:val="style4099"/>
        <w:rPr/>
      </w:pPr>
      <w:r>
        <w:rPr>
          <w:highlight w:val="yellow"/>
        </w:rPr>
        <w:t>Frans</w:t>
      </w:r>
      <w:r>
        <w:t xml:space="preserve">, M., </w:t>
      </w:r>
      <w:r>
        <w:t>Aerts</w:t>
      </w:r>
      <w:r>
        <w:t xml:space="preserve">, R., Van </w:t>
      </w:r>
      <w:r>
        <w:t>Laethem</w:t>
      </w:r>
      <w:r>
        <w:t xml:space="preserve">, S., &amp; </w:t>
      </w:r>
      <w:r>
        <w:t>Ceusters</w:t>
      </w:r>
      <w:r>
        <w:t xml:space="preserve">, J. (2017). Environmental effects on growth and sporulation of </w:t>
      </w:r>
      <w:r>
        <w:rPr>
          <w:i/>
        </w:rPr>
        <w:t>Fusarium spp.</w:t>
      </w:r>
      <w:r>
        <w:t xml:space="preserve"> causing internal fruit rot in bell pepper. European Journal of Plant Pathology, 149, 875-883. https://doi.org/10.1007/s10658-017-1235-4</w:t>
      </w:r>
    </w:p>
    <w:p>
      <w:pPr>
        <w:pStyle w:val="style4099"/>
        <w:rPr/>
      </w:pPr>
      <w:r>
        <w:rPr>
          <w:highlight w:val="yellow"/>
        </w:rPr>
        <w:t>González-García</w:t>
      </w:r>
      <w:r>
        <w:t>, Y., Escobar-Hernández, D. I., Benavides-Mendoza, A., Morales-Díaz, A. B., Olivares-</w:t>
      </w:r>
      <w:r>
        <w:t>Sáenz</w:t>
      </w:r>
      <w:r>
        <w:t xml:space="preserve">, E., &amp; Juárez-Maldonado, A. (2023). UV-A radiation stimulates tolerance against </w:t>
      </w:r>
      <w:r>
        <w:rPr>
          <w:i/>
        </w:rPr>
        <w:t xml:space="preserve">Fusarium </w:t>
      </w:r>
      <w:r>
        <w:rPr>
          <w:i/>
        </w:rPr>
        <w:t>oxysporum</w:t>
      </w:r>
      <w:r>
        <w:t xml:space="preserve"> f. sp. </w:t>
      </w:r>
      <w:commentRangeStart w:id="18"/>
      <w:r>
        <w:t>lycopersici</w:t>
      </w:r>
      <w:commentRangeEnd w:id="18"/>
      <w:r>
        <w:rPr/>
        <w:commentReference w:id="18"/>
      </w:r>
      <w:r>
        <w:t xml:space="preserve"> in tomato plants. </w:t>
      </w:r>
      <w:r>
        <w:t>Horticulturae</w:t>
      </w:r>
      <w:r>
        <w:t>, 9(4), 499. https://doi.org/10.3390/horticulturae9040499</w:t>
      </w:r>
    </w:p>
    <w:p>
      <w:pPr>
        <w:pStyle w:val="style4099"/>
        <w:rPr/>
      </w:pPr>
      <w:r>
        <w:rPr>
          <w:highlight w:val="yellow"/>
        </w:rPr>
        <w:t>Gordon,</w:t>
      </w:r>
      <w:r>
        <w:t xml:space="preserve"> T. R., &amp; Martyn, R. D. (1997). The evolutionary biology of </w:t>
      </w:r>
      <w:r>
        <w:rPr>
          <w:i/>
        </w:rPr>
        <w:t xml:space="preserve">Fusarium </w:t>
      </w:r>
      <w:r>
        <w:rPr>
          <w:i/>
        </w:rPr>
        <w:t>oxysporum</w:t>
      </w:r>
      <w:r>
        <w:t xml:space="preserve">. Annual Review of Phytopathology, 35(1), 111-128. </w:t>
      </w:r>
    </w:p>
    <w:p>
      <w:pPr>
        <w:pStyle w:val="style4099"/>
        <w:rPr/>
      </w:pPr>
      <w:r>
        <w:rPr>
          <w:highlight w:val="yellow"/>
        </w:rPr>
        <w:t>Hussain</w:t>
      </w:r>
      <w:r>
        <w:t xml:space="preserve">, M. Z., Rahman, M. A., Islam, M. N., Latif, M. A., &amp; Bashar, M. A. (2012). Morphological and molecular identification of </w:t>
      </w:r>
      <w:r>
        <w:rPr>
          <w:i/>
        </w:rPr>
        <w:t xml:space="preserve">Fusarium </w:t>
      </w:r>
      <w:r>
        <w:rPr>
          <w:i/>
        </w:rPr>
        <w:t>oxysporum</w:t>
      </w:r>
      <w:r>
        <w:t xml:space="preserve"> Sch. isolated from guava wilt in Bangladesh. Bangladesh Journal of Botany, 41(1), 49-54. </w:t>
      </w:r>
    </w:p>
    <w:p>
      <w:pPr>
        <w:pStyle w:val="style4099"/>
        <w:rPr/>
      </w:pPr>
      <w:r>
        <w:rPr>
          <w:highlight w:val="yellow"/>
        </w:rPr>
        <w:t>Landa</w:t>
      </w:r>
      <w:r>
        <w:t xml:space="preserve">, B. B., </w:t>
      </w:r>
      <w:r>
        <w:t>Navas</w:t>
      </w:r>
      <w:r>
        <w:t>-Cortés, J. A., del Mar Jimenez-</w:t>
      </w:r>
      <w:r>
        <w:t>Gasco</w:t>
      </w:r>
      <w:r>
        <w:t xml:space="preserve">, M., Katan, J., </w:t>
      </w:r>
      <w:r>
        <w:t>Retig</w:t>
      </w:r>
      <w:r>
        <w:t xml:space="preserve">, B., &amp; Jiménez-Díaz, R. M. (2006). Temperature response of chickpea cultivars to races of </w:t>
      </w:r>
      <w:r>
        <w:rPr>
          <w:i/>
        </w:rPr>
        <w:t xml:space="preserve">Fusarium </w:t>
      </w:r>
      <w:r>
        <w:rPr>
          <w:i/>
        </w:rPr>
        <w:t>oxysporum</w:t>
      </w:r>
      <w:r>
        <w:t xml:space="preserve"> f. sp. </w:t>
      </w:r>
      <w:commentRangeStart w:id="19"/>
      <w:r>
        <w:t>ciceris</w:t>
      </w:r>
      <w:commentRangeEnd w:id="19"/>
      <w:r>
        <w:rPr/>
        <w:commentReference w:id="19"/>
      </w:r>
      <w:r>
        <w:t xml:space="preserve">, causal agent of </w:t>
      </w:r>
      <w:r>
        <w:rPr>
          <w:i/>
        </w:rPr>
        <w:t xml:space="preserve">Fusarium </w:t>
      </w:r>
      <w:r>
        <w:t>wilt. Plant Disease, 90(3), 365-374. https://doi.org/10.1094/PD-90-0365</w:t>
      </w:r>
    </w:p>
    <w:p>
      <w:pPr>
        <w:pStyle w:val="style4099"/>
        <w:rPr/>
      </w:pPr>
      <w:r>
        <w:rPr>
          <w:highlight w:val="yellow"/>
        </w:rPr>
        <w:t>Leslie</w:t>
      </w:r>
      <w:r>
        <w:t xml:space="preserve">, J. F., &amp; </w:t>
      </w:r>
      <w:r>
        <w:t>Summerell</w:t>
      </w:r>
      <w:r>
        <w:t xml:space="preserve">, B. A. </w:t>
      </w:r>
      <w:commentRangeStart w:id="20"/>
      <w:r>
        <w:t>2006</w:t>
      </w:r>
      <w:commentRangeEnd w:id="20"/>
      <w:r>
        <w:rPr/>
        <w:commentReference w:id="20"/>
      </w:r>
      <w:r>
        <w:t xml:space="preserve">. The </w:t>
      </w:r>
      <w:r>
        <w:rPr>
          <w:i/>
        </w:rPr>
        <w:t>Fusarium</w:t>
      </w:r>
      <w:r>
        <w:t xml:space="preserve"> Laboratory Manual. Blackwell Publishing Professional, Iowa, USA ISBN-13: 978-0-8138-1919-8, DOI:10.1002/9780470278376</w:t>
      </w:r>
    </w:p>
    <w:p>
      <w:pPr>
        <w:pStyle w:val="style4099"/>
        <w:rPr/>
      </w:pPr>
      <w:r>
        <w:rPr>
          <w:highlight w:val="yellow"/>
        </w:rPr>
        <w:t>Lombard</w:t>
      </w:r>
      <w:r>
        <w:t xml:space="preserve">, L., Sandoval-Denis, M., Lamprecht, S. C., &amp; </w:t>
      </w:r>
      <w:r>
        <w:t>Crous</w:t>
      </w:r>
      <w:r>
        <w:t xml:space="preserve">, P. W. (2019). </w:t>
      </w:r>
      <w:r>
        <w:t>Epitypification</w:t>
      </w:r>
      <w:r>
        <w:t xml:space="preserve"> of </w:t>
      </w:r>
      <w:r>
        <w:rPr>
          <w:i/>
        </w:rPr>
        <w:t xml:space="preserve">Fusarium </w:t>
      </w:r>
      <w:r>
        <w:rPr>
          <w:i/>
        </w:rPr>
        <w:t>oxysporum</w:t>
      </w:r>
      <w:r>
        <w:t>–clearing the taxonomic chaos. Persoonia, 43(1), 1-47. https://doi.org/10.3767/persoonia.2019.43.01</w:t>
      </w:r>
    </w:p>
    <w:p>
      <w:pPr>
        <w:pStyle w:val="style4099"/>
        <w:rPr/>
      </w:pPr>
      <w:r>
        <w:rPr>
          <w:highlight w:val="yellow"/>
        </w:rPr>
        <w:t>Muhorakeye</w:t>
      </w:r>
      <w:r>
        <w:t xml:space="preserve">, M. C., </w:t>
      </w:r>
      <w:r>
        <w:t>Namikoye</w:t>
      </w:r>
      <w:r>
        <w:t xml:space="preserve">, E. S., Khamis, F. M., </w:t>
      </w:r>
      <w:r>
        <w:t>Wanjohi</w:t>
      </w:r>
      <w:r>
        <w:t xml:space="preserve">, W., &amp; </w:t>
      </w:r>
      <w:r>
        <w:t>Akutse</w:t>
      </w:r>
      <w:r>
        <w:t xml:space="preserve">, K. S. (2024). </w:t>
      </w:r>
      <w:r>
        <w:t>Biostimulant</w:t>
      </w:r>
      <w:r>
        <w:t xml:space="preserve"> and antagonistic potential of endophytic fungi against </w:t>
      </w:r>
      <w:r>
        <w:rPr>
          <w:i/>
        </w:rPr>
        <w:t>Fusarium</w:t>
      </w:r>
      <w:r>
        <w:t xml:space="preserve"> wilt pathogen of tomato </w:t>
      </w:r>
      <w:r>
        <w:rPr>
          <w:i/>
        </w:rPr>
        <w:t xml:space="preserve">Fusarium </w:t>
      </w:r>
      <w:r>
        <w:rPr>
          <w:i/>
        </w:rPr>
        <w:t>oxysporum</w:t>
      </w:r>
      <w:r>
        <w:t xml:space="preserve"> f. sp. </w:t>
      </w:r>
      <w:commentRangeStart w:id="21"/>
      <w:r>
        <w:t>lycopersici</w:t>
      </w:r>
      <w:commentRangeEnd w:id="21"/>
      <w:r>
        <w:rPr/>
        <w:commentReference w:id="21"/>
      </w:r>
      <w:r>
        <w:t>. Scientific Reports, 14(1), 15365. https://doi.org/10.1038/s41598-024-66101-1</w:t>
      </w:r>
    </w:p>
    <w:p>
      <w:pPr>
        <w:pStyle w:val="style4099"/>
        <w:rPr/>
      </w:pPr>
      <w:r>
        <w:rPr>
          <w:highlight w:val="yellow"/>
        </w:rPr>
        <w:t>Obert</w:t>
      </w:r>
      <w:r>
        <w:t xml:space="preserve">, K., </w:t>
      </w:r>
      <w:r>
        <w:t>Schudt</w:t>
      </w:r>
      <w:r>
        <w:t>, M., &amp; Bentley, I. (2023). Color Saturation: Upper and lower percentage histogram manipulation. American Journal of Undergraduate Research, 20(1), 59-76.   https://doi.org/10.33697/ajur.2023.080</w:t>
      </w:r>
    </w:p>
    <w:p>
      <w:pPr>
        <w:pStyle w:val="style4099"/>
        <w:rPr/>
      </w:pPr>
      <w:r>
        <w:rPr>
          <w:color w:val="36363d"/>
          <w:highlight w:val="yellow"/>
        </w:rPr>
        <w:t>Sandoval-Denis</w:t>
      </w:r>
      <w:r>
        <w:t xml:space="preserve">, M., </w:t>
      </w:r>
      <w:r>
        <w:t>Guarnaccia</w:t>
      </w:r>
      <w:r>
        <w:t xml:space="preserve">, V., </w:t>
      </w:r>
      <w:r>
        <w:t>Polizzi</w:t>
      </w:r>
      <w:r>
        <w:t xml:space="preserve">, G., </w:t>
      </w:r>
      <w:r>
        <w:t>Crous</w:t>
      </w:r>
      <w:r>
        <w:t xml:space="preserve">, P.W. (2018). Symptomatic citrus trees reveal a new pathogenic lineage in </w:t>
      </w:r>
      <w:commentRangeStart w:id="22"/>
      <w:r>
        <w:t>Fusarium</w:t>
      </w:r>
      <w:commentRangeEnd w:id="22"/>
      <w:r>
        <w:rPr/>
        <w:commentReference w:id="22"/>
      </w:r>
      <w:r>
        <w:t xml:space="preserve"> and two new </w:t>
      </w:r>
      <w:r>
        <w:rPr>
          <w:i/>
        </w:rPr>
        <w:t>Neocosmospora</w:t>
      </w:r>
      <w:r>
        <w:rPr>
          <w:i/>
        </w:rPr>
        <w:t xml:space="preserve"> </w:t>
      </w:r>
      <w:r>
        <w:t>species. Persoonia 40: 1–25. https://doi.org/10.3767/persoonia.2018.40.01</w:t>
      </w:r>
    </w:p>
    <w:p>
      <w:pPr>
        <w:pStyle w:val="style4099"/>
        <w:rPr/>
      </w:pPr>
      <w:r>
        <w:rPr>
          <w:highlight w:val="yellow"/>
        </w:rPr>
        <w:t>Suanda</w:t>
      </w:r>
      <w:r>
        <w:t xml:space="preserve">, I. W., </w:t>
      </w:r>
      <w:r>
        <w:t>Widnyana</w:t>
      </w:r>
      <w:r>
        <w:t xml:space="preserve">, I. K., &amp; </w:t>
      </w:r>
      <w:r>
        <w:t>Dharmadewi</w:t>
      </w:r>
      <w:r>
        <w:t xml:space="preserve">, A. A. I. M. (2025). Isolation and identification of pathogenic </w:t>
      </w:r>
      <w:r>
        <w:rPr>
          <w:i/>
        </w:rPr>
        <w:t xml:space="preserve">Fusarium </w:t>
      </w:r>
      <w:r>
        <w:rPr>
          <w:i/>
        </w:rPr>
        <w:t>oxysporum</w:t>
      </w:r>
      <w:r>
        <w:t xml:space="preserve"> isolated from soybean leaves. </w:t>
      </w:r>
      <w:r>
        <w:t>Biodiversitas</w:t>
      </w:r>
      <w:r>
        <w:t xml:space="preserve"> Journal of Biological Diversity, 26(5), 2261-2268. https://doi.org/10.13057/biodiv/d260523</w:t>
      </w:r>
    </w:p>
    <w:p>
      <w:pPr>
        <w:pStyle w:val="style4099"/>
        <w:rPr/>
      </w:pPr>
      <w:r>
        <w:rPr>
          <w:highlight w:val="yellow"/>
        </w:rPr>
        <w:t>Teixeira</w:t>
      </w:r>
      <w:r>
        <w:t xml:space="preserve">, L. M., Coelho, L., &amp; Tebaldi, N. D. (2017). Characterization of </w:t>
      </w:r>
      <w:r>
        <w:rPr>
          <w:i/>
        </w:rPr>
        <w:t xml:space="preserve">Fusarium </w:t>
      </w:r>
      <w:r>
        <w:rPr>
          <w:i/>
        </w:rPr>
        <w:t>oxysporum</w:t>
      </w:r>
      <w:r>
        <w:t xml:space="preserve"> isolates and resistance of passion fruit genotypes to </w:t>
      </w:r>
      <w:r>
        <w:t>fusariosis</w:t>
      </w:r>
      <w:r>
        <w:t xml:space="preserve">. </w:t>
      </w:r>
      <w:r>
        <w:t>Revista</w:t>
      </w:r>
      <w:r>
        <w:t xml:space="preserve"> </w:t>
      </w:r>
      <w:r>
        <w:t>Brasileira</w:t>
      </w:r>
      <w:r>
        <w:t xml:space="preserve"> de </w:t>
      </w:r>
      <w:r>
        <w:t>Fruticultura</w:t>
      </w:r>
      <w:r>
        <w:t>, 39(3), e-415. https://doi.org/10.1590/0100-29452017415</w:t>
      </w:r>
    </w:p>
    <w:p>
      <w:pPr>
        <w:pStyle w:val="style4099"/>
        <w:rPr/>
      </w:pPr>
      <w:r>
        <w:rPr>
          <w:highlight w:val="yellow"/>
        </w:rPr>
        <w:t>Yang</w:t>
      </w:r>
      <w:r>
        <w:t xml:space="preserve">, J., Ahmed, W., Zhang, J., Gao, S., Wang, Z., Yang, H., &amp; Ji, G. (2024). Identification of </w:t>
      </w:r>
      <w:r>
        <w:rPr>
          <w:i/>
        </w:rPr>
        <w:t xml:space="preserve">Fusarium </w:t>
      </w:r>
      <w:r>
        <w:rPr>
          <w:i/>
        </w:rPr>
        <w:t>oxysporum</w:t>
      </w:r>
      <w:r>
        <w:t xml:space="preserve"> causing leaf blight on </w:t>
      </w:r>
      <w:r>
        <w:rPr>
          <w:i/>
        </w:rPr>
        <w:t xml:space="preserve">Dendrobium </w:t>
      </w:r>
      <w:r>
        <w:rPr>
          <w:i/>
        </w:rPr>
        <w:t>chrysotoxum</w:t>
      </w:r>
      <w:r>
        <w:t xml:space="preserve"> in Yunnan Province, China. Life, 14(3), 285. https://doi.org/10.3390/life14030285</w:t>
      </w:r>
    </w:p>
    <w:sectPr>
      <w:headerReference w:type="even" r:id="rId24"/>
      <w:headerReference w:type="default" r:id="rId25"/>
      <w:footerReference w:type="even" r:id="rId26"/>
      <w:footerReference w:type="default" r:id="rId27"/>
      <w:headerReference w:type="first" r:id="rId28"/>
      <w:type w:val="continuous"/>
      <w:pgSz w:w="12240" w:h="15840" w:orient="portrait"/>
      <w:pgMar w:top="1440" w:right="2016" w:bottom="2016" w:left="2016" w:header="720" w:footer="1123" w:gutter="0"/>
      <w:cols w:space="720"/>
      <w:docGrid w:linePitch="272"/>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WPS_1670761010" w:date="2025-10-07T13:34:00Z" w:initials="WPS_16707">
    <w:p w14:paraId="1">
      <w:pPr>
        <w:pStyle w:val="style0"/>
        <w:rPr/>
      </w:pPr>
      <w:r>
        <w:rPr/>
        <w:annotationRef/>
      </w:r>
      <w:r>
        <w:t>replace with ;</w:t>
      </w:r>
    </w:p>
  </w:comment>
  <w:comment w:id="2" w:author="WPS_1670761010" w:date="2025-10-07T13:36:00Z" w:initials="WPS_16707">
    <w:p w14:paraId="2">
      <w:pPr>
        <w:pStyle w:val="style0"/>
        <w:rPr/>
      </w:pPr>
      <w:r>
        <w:rPr/>
        <w:annotationRef/>
      </w:r>
      <w:r>
        <w:t>Italicise</w:t>
      </w:r>
    </w:p>
  </w:comment>
  <w:comment w:id="3" w:author="WPS_1670761010" w:date="2025-10-07T13:39:00Z" w:initials="WPS_16707">
    <w:p w14:paraId="3">
      <w:pPr>
        <w:pStyle w:val="style0"/>
        <w:rPr/>
      </w:pPr>
      <w:r>
        <w:rPr/>
        <w:annotationRef/>
      </w:r>
      <w:r>
        <w:t>Replace with "study"</w:t>
      </w:r>
    </w:p>
  </w:comment>
  <w:comment w:id="4" w:author="WPS_1670761010" w:date="2025-10-07T13:43:00Z" w:initials="WPS_16707">
    <w:p w14:paraId="4">
      <w:pPr>
        <w:pStyle w:val="style0"/>
        <w:rPr/>
      </w:pPr>
      <w:r>
        <w:rPr/>
        <w:annotationRef/>
      </w:r>
      <w:r>
        <w:t xml:space="preserve">Support the citation with a more recent article </w:t>
      </w:r>
    </w:p>
  </w:comment>
  <w:comment w:id="5" w:author="WPS_1670761010" w:date="2025-10-07T13:42:00Z" w:initials="WPS_16707">
    <w:p w14:paraId="5">
      <w:pPr>
        <w:pStyle w:val="style0"/>
        <w:rPr/>
      </w:pPr>
      <w:r>
        <w:rPr/>
        <w:annotationRef/>
      </w:r>
      <w:r>
        <w:t xml:space="preserve">Cite more recent articles </w:t>
      </w:r>
    </w:p>
  </w:comment>
  <w:comment w:id="6" w:author="WPS_1670761010" w:date="2025-10-07T13:43:00Z" w:initials="WPS_16707">
    <w:p w14:paraId="6">
      <w:pPr>
        <w:pStyle w:val="style0"/>
        <w:rPr/>
      </w:pPr>
      <w:r>
        <w:rPr/>
        <w:annotationRef/>
      </w:r>
      <w:r>
        <w:t xml:space="preserve">Insert reference </w:t>
      </w:r>
    </w:p>
  </w:comment>
  <w:comment w:id="7" w:author="WPS_1670761010" w:date="2025-10-07T13:45:00Z" w:initials="WPS_16707">
    <w:p w14:paraId="7">
      <w:pPr>
        <w:pStyle w:val="style0"/>
        <w:rPr/>
      </w:pPr>
      <w:r>
        <w:rPr/>
        <w:annotationRef/>
      </w:r>
      <w:r>
        <w:t>Insert "and"</w:t>
      </w:r>
    </w:p>
  </w:comment>
  <w:comment w:id="8" w:author="WPS_1670761010" w:date="2025-10-07T13:44:00Z" w:initials="WPS_16707">
    <w:p w14:paraId="8">
      <w:pPr>
        <w:pStyle w:val="style0"/>
        <w:rPr/>
      </w:pPr>
      <w:r>
        <w:rPr/>
        <w:annotationRef/>
      </w:r>
      <w:r>
        <w:t>Remove</w:t>
      </w:r>
    </w:p>
  </w:comment>
  <w:comment w:id="9" w:author="WPS_1670761010" w:date="2025-10-07T13:47:00Z" w:initials="WPS_16707">
    <w:p w14:paraId="9">
      <w:pPr>
        <w:pStyle w:val="style0"/>
        <w:rPr/>
      </w:pPr>
      <w:r>
        <w:rPr/>
        <w:annotationRef/>
      </w:r>
      <w:r>
        <w:t>Italicise</w:t>
      </w:r>
    </w:p>
  </w:comment>
  <w:comment w:id="10" w:author="WPS_1670761010" w:date="2025-10-07T15:14:00Z" w:initials="WPS_16707">
    <w:p w14:paraId="10">
      <w:r>
        <w:rPr/>
        <w:annotationRef/>
      </w:r>
      <w:r>
        <w:t xml:space="preserve">Italicise </w:t>
      </w:r>
    </w:p>
  </w:comment>
  <w:comment w:id="11" w:author="WPS_1670761010" w:date="2025-10-07T15:15:00Z" w:initials="WPS_16707">
    <w:p w14:paraId="11">
      <w:r>
        <w:rPr/>
        <w:annotationRef/>
      </w:r>
      <w:r>
        <w:t xml:space="preserve">Remove </w:t>
      </w:r>
    </w:p>
  </w:comment>
  <w:comment w:id="12" w:author="WPS_1670761010" w:date="2025-10-07T15:17:00Z" w:initials="WPS_16707">
    <w:p w14:paraId="12">
      <w:r>
        <w:rPr/>
        <w:annotationRef/>
      </w:r>
      <w:r>
        <w:t>Replace with "speciales"</w:t>
      </w:r>
    </w:p>
  </w:comment>
  <w:comment w:id="13" w:author="WPS_1670761010" w:date="2025-10-07T15:18:00Z" w:initials="WPS_16707">
    <w:p w14:paraId="13">
      <w:r>
        <w:rPr/>
        <w:annotationRef/>
      </w:r>
      <w:r>
        <w:t xml:space="preserve">Rearrange in ascending order of year of publication </w:t>
      </w:r>
    </w:p>
  </w:comment>
  <w:comment w:id="14" w:author="WPS_1670761010" w:date="2025-10-07T15:19:00Z" w:initials="WPS_16707">
    <w:p w14:paraId="14">
      <w:r>
        <w:rPr/>
        <w:annotationRef/>
      </w:r>
      <w:r>
        <w:t xml:space="preserve">Insert reference </w:t>
      </w:r>
    </w:p>
  </w:comment>
  <w:comment w:id="15" w:author="WPS_1670761010" w:date="2025-10-07T15:43:00Z" w:initials="WPS_16707">
    <w:p w14:paraId="15">
      <w:r>
        <w:rPr/>
        <w:annotationRef/>
      </w:r>
      <w:r>
        <w:t>What Molecular tool was deployed in confirming the identity of the organism?</w:t>
      </w:r>
    </w:p>
  </w:comment>
  <w:comment w:id="16" w:author="WPS_1670761010" w:date="2025-10-07T15:27:00Z" w:initials="WPS_16707">
    <w:p w14:paraId="16">
      <w:r>
        <w:rPr/>
        <w:annotationRef/>
      </w:r>
      <w:r>
        <w:t xml:space="preserve">Reference is too old. Support it with recent articles </w:t>
      </w:r>
    </w:p>
  </w:comment>
  <w:comment w:id="17" w:author="WPS_1670761010" w:date="2025-10-07T15:34:00Z" w:initials="WPS_16707">
    <w:p w14:paraId="17">
      <w:r>
        <w:rPr/>
        <w:annotationRef/>
      </w:r>
      <w:r>
        <w:t>List out the complete names of Author</w:t>
      </w:r>
    </w:p>
  </w:comment>
  <w:comment w:id="18" w:author="WPS_1670761010" w:date="2025-10-07T15:39:00Z" w:initials="WPS_16707">
    <w:p w14:paraId="18">
      <w:r>
        <w:rPr/>
        <w:annotationRef/>
      </w:r>
      <w:r>
        <w:t xml:space="preserve">Italicise </w:t>
      </w:r>
    </w:p>
  </w:comment>
  <w:comment w:id="19" w:author="WPS_1670761010" w:date="2025-10-07T15:53:00Z" w:initials="WPS_16707">
    <w:p w14:paraId="19">
      <w:r>
        <w:rPr/>
        <w:annotationRef/>
      </w:r>
      <w:r>
        <w:t xml:space="preserve">Italicise </w:t>
      </w:r>
    </w:p>
  </w:comment>
  <w:comment w:id="20" w:author="WPS_1670761010" w:date="2025-10-07T15:31:00Z" w:initials="WPS_16707">
    <w:p w14:paraId="20">
      <w:r>
        <w:rPr/>
        <w:annotationRef/>
      </w:r>
      <w:r>
        <w:t>Put year in bracket</w:t>
      </w:r>
    </w:p>
  </w:comment>
  <w:comment w:id="21" w:author="WPS_1670761010" w:date="2025-10-07T15:46:00Z" w:initials="WPS_16707">
    <w:p w14:paraId="21">
      <w:r>
        <w:rPr/>
        <w:annotationRef/>
      </w:r>
      <w:r>
        <w:t xml:space="preserve">Italicise </w:t>
      </w:r>
    </w:p>
  </w:comment>
  <w:comment w:id="22" w:author="WPS_1670761010" w:date="2025-10-07T15:47:00Z" w:initials="WPS_16707">
    <w:p w14:paraId="22">
      <w:r>
        <w:rPr/>
        <w:annotationRef/>
      </w:r>
      <w:r>
        <w:t xml:space="preserve">Italicise </w:t>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Ex w15:paraId="2"/>
  <w15:commentEx w15:paraId="3"/>
  <w15:commentEx w15:paraId="4"/>
  <w15:commentEx w15:paraId="5"/>
  <w15:commentEx w15:paraId="6"/>
  <w15:commentEx w15:paraId="7"/>
  <w15:commentEx w15:paraId="8"/>
  <w15:commentEx w15:paraId="9"/>
  <w15:commentEx w15:paraId="10"/>
  <w15:commentEx w15:paraId="11"/>
  <w15:commentEx w15:paraId="12"/>
  <w15:commentEx w15:paraId="13"/>
  <w15:commentEx w15:paraId="14"/>
  <w15:commentEx w15:paraId="15"/>
  <w15:commentEx w15:paraId="16"/>
  <w15:commentEx w15:paraId="17"/>
  <w15:commentEx w15:paraId="18"/>
  <w15:commentEx w15:paraId="19"/>
  <w15:commentEx w15:paraId="20"/>
  <w15:commentEx w15:paraId="21"/>
  <w15:commentEx w15:paraId="22"/>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altName w:val="Helvetica"/>
    <w:panose1 w:val="020b0604020000020204"/>
    <w:charset w:val="00"/>
    <w:family w:val="swiss"/>
    <w:pitch w:val="variable"/>
    <w:sig w:usb0="E0002EFF" w:usb1="C000785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Arial">
    <w:altName w:val="Arial"/>
    <w:panose1 w:val="020b0604020000020204"/>
    <w:charset w:val="00"/>
    <w:family w:val="swiss"/>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6FF" w:usb1="420024FF" w:usb2="02000000" w:usb3="00000000" w:csb0="0000019F" w:csb1="00000000"/>
  </w:font>
  <w:font w:name="Aptos">
    <w:altName w:val="Arial"/>
    <w:panose1 w:val="00000000000000000000"/>
    <w:charset w:val="00"/>
    <w:family w:val="swiss"/>
    <w:pitch w:val="variable"/>
    <w:sig w:usb0="00000001" w:usb1="00000003" w:usb2="00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20.65pt;height:57.85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Helvetica&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20.65pt;height:57.85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Helvetica&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ind w:left="2160"/>
      <w:jc w:val="center"/>
      <w:rPr>
        <w:rFonts w:ascii="Times New Roman" w:eastAsia="Calibri" w:hAnsi="Times New Roman"/>
        <w:i/>
        <w:sz w:val="18"/>
        <w:szCs w:val="22"/>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20.65pt;height:57.85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Helvetica&quot;;"/>
        </v:shape>
      </w:pict>
    </w:r>
  </w:p>
  <w:p>
    <w:pPr>
      <w:pStyle w:val="style0"/>
      <w:ind w:left="4320"/>
      <w:rPr>
        <w:rFonts w:ascii="Times New Roman" w:eastAsia="Calibri" w:hAnsi="Times New Roman"/>
        <w:i/>
        <w:sz w:val="18"/>
        <w:szCs w:val="22"/>
      </w:rPr>
    </w:pPr>
    <w:r>
      <w:rPr>
        <w:rFonts w:ascii="Times New Roman" w:eastAsia="Calibri" w:hAnsi="Times New Roman"/>
        <w:i/>
        <w:sz w:val="18"/>
        <w:szCs w:val="22"/>
      </w:rPr>
      <w:t>.</w:t>
    </w:r>
    <w:r>
      <w:rPr>
        <w:rFonts w:ascii="Times New Roman" w:eastAsia="Calibri" w:hAnsi="Times New Roman"/>
        <w:i/>
        <w:sz w:val="18"/>
        <w:szCs w:val="22"/>
      </w:rPr>
      <w:t xml:space="preserve">     </w:t>
    </w:r>
  </w:p>
  <w:p>
    <w:pPr>
      <w:pStyle w:val="style0"/>
      <w:jc w:val="center"/>
      <w:rPr>
        <w:rFonts w:ascii="Times New Roman" w:eastAsia="Calibri" w:hAnsi="Times New Roman"/>
        <w:i/>
        <w:sz w:val="18"/>
        <w:szCs w:val="22"/>
      </w:rPr>
    </w:pPr>
    <w:r>
      <w:rPr>
        <w:rFonts w:ascii="Times New Roman" w:eastAsia="Calibri" w:hAnsi="Times New Roman"/>
        <w:i/>
        <w:sz w:val="18"/>
        <w:szCs w:val="22"/>
      </w:rPr>
      <w:t>.</w:t>
    </w:r>
  </w:p>
  <w:p>
    <w:pPr>
      <w:pStyle w:val="style0"/>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w:t>
    </w:r>
    <w:r>
      <w:rPr>
        <w:rFonts w:ascii="Times New Roman" w:eastAsia="Calibri" w:hAnsi="Times New Roman"/>
        <w:b/>
        <w:i/>
        <w:sz w:val="32"/>
        <w:szCs w:val="22"/>
      </w:rPr>
      <w:t>.</w:t>
    </w:r>
    <w:r>
      <w:rPr>
        <w:rFonts w:ascii="Times New Roman" w:eastAsia="Calibri" w:hAnsi="Times New Roman"/>
        <w:b/>
        <w:i/>
        <w:sz w:val="32"/>
        <w:szCs w:val="22"/>
      </w:rPr>
      <w:t xml:space="preserve"> </w:t>
    </w:r>
  </w:p>
  <w:p>
    <w:pPr>
      <w:pStyle w:val="style0"/>
      <w:jc w:val="center"/>
      <w:rPr>
        <w:rFonts w:ascii="Times New Roman" w:eastAsia="Calibri" w:hAnsi="Times New Roman"/>
        <w:i/>
        <w:sz w:val="18"/>
        <w:szCs w:val="22"/>
      </w:rPr>
    </w:pPr>
    <w:r>
      <w:rPr>
        <w:rFonts w:ascii="Times New Roman" w:eastAsia="Calibri" w:hAnsi="Times New Roman"/>
        <w:i/>
        <w:sz w:val="18"/>
        <w:szCs w:val="22"/>
      </w:rPr>
      <w:t xml:space="preserve">                     </w:t>
    </w:r>
  </w:p>
  <w:p>
    <w:pPr>
      <w:pStyle w:val="style0"/>
      <w:tabs>
        <w:tab w:val="left" w:leader="none" w:pos="2145"/>
      </w:tabs>
      <w:rPr>
        <w:rFonts w:ascii="Times New Roman" w:eastAsia="Calibri" w:hAnsi="Times New Roman"/>
        <w:i/>
        <w:sz w:val="18"/>
        <w:szCs w:val="22"/>
      </w:rPr>
    </w:pPr>
    <w:r>
      <w:rPr>
        <w:rFonts w:ascii="Times New Roman" w:eastAsia="Calibri" w:hAnsi="Times New Roman"/>
        <w:i/>
        <w:sz w:val="18"/>
        <w:szCs w:val="22"/>
      </w:rPr>
      <w:tab/>
    </w:r>
    <w:r>
      <w:rPr>
        <w:rFonts w:ascii="Times New Roman" w:eastAsia="Calibri" w:hAnsi="Times New Roman"/>
        <w:i/>
        <w:sz w:val="18"/>
        <w:szCs w:val="22"/>
      </w:rPr>
      <w:t>.</w:t>
    </w:r>
  </w:p>
  <w:p>
    <w:pPr>
      <w:pStyle w:val="style31"/>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FFFFFFFF"/>
    <w:lvl w:ilvl="0">
      <w:start w:val="1"/>
      <w:numFmt w:val="decimal"/>
      <w:lvlText w:val="*"/>
      <w:lvlJc w:val="left"/>
      <w:pPr/>
    </w:lvl>
  </w:abstractNum>
  <w:abstractNum w:abstractNumId="1">
    <w:nsid w:val="00000001"/>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2">
    <w:nsid w:val="00000002"/>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3">
    <w:nsid w:val="00000003"/>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4">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6">
    <w:nsid w:val="00000006"/>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7">
    <w:nsid w:val="00000007"/>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8">
    <w:nsid w:val="00000008"/>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9">
    <w:nsid w:val="00000009"/>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10">
    <w:nsid w:val="0000000A"/>
    <w:multiLevelType w:val="multilevel"/>
    <w:tmpl w:val="2548A9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12">
    <w:nsid w:val="0000000C"/>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13">
    <w:nsid w:val="0000000D"/>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14">
    <w:nsid w:val="0000000E"/>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15">
    <w:nsid w:val="0000000F"/>
    <w:multiLevelType w:val="singleLevel"/>
    <w:tmpl w:val="A1B04AE0"/>
    <w:lvl w:ilvl="0">
      <w:start w:val="1"/>
      <w:numFmt w:val="decimal"/>
      <w:lvlText w:val="%1."/>
      <w:lvlJc w:val="left"/>
      <w:pPr>
        <w:ind w:left="360" w:hanging="360"/>
      </w:pPr>
    </w:lvl>
  </w:abstractNum>
  <w:abstractNum w:abstractNumId="16">
    <w:nsid w:val="00000010"/>
    <w:multiLevelType w:val="hybridMultilevel"/>
    <w:tmpl w:val="D05A99DE"/>
    <w:lvl w:ilvl="0" w:tplc="7A92AA74">
      <w:start w:val="1"/>
      <w:numFmt w:val="bullet"/>
      <w:lvlText w:val="·"/>
      <w:lvlJc w:val="left"/>
      <w:pPr>
        <w:ind w:left="900" w:hanging="540"/>
      </w:pPr>
      <w:rPr>
        <w:rFonts w:ascii="Arial" w:cs="Arial" w:eastAsia="Times New Roman" w:hAnsi="Aria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18">
    <w:nsid w:val="00000012"/>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19">
    <w:nsid w:val="00000013"/>
    <w:multiLevelType w:val="singleLevel"/>
    <w:tmpl w:val="E368B7EE"/>
    <w:lvl w:ilvl="0">
      <w:start w:val="1"/>
      <w:numFmt w:val="decimal"/>
      <w:pStyle w:val="style4109"/>
      <w:lvlText w:val="%1."/>
      <w:lvlJc w:val="left"/>
      <w:pPr>
        <w:tabs>
          <w:tab w:val="left" w:leader="none" w:pos="360"/>
        </w:tabs>
        <w:ind w:left="360" w:hanging="360"/>
      </w:pPr>
    </w:lvl>
  </w:abstractNum>
  <w:abstractNum w:abstractNumId="20">
    <w:nsid w:val="00000014"/>
    <w:multiLevelType w:val="hybridMultilevel"/>
    <w:tmpl w:val="256E6680"/>
    <w:lvl w:ilvl="0" w:tplc="04140001">
      <w:start w:val="1"/>
      <w:numFmt w:val="bullet"/>
      <w:lvlText w:val=""/>
      <w:lvlJc w:val="left"/>
      <w:pPr>
        <w:tabs>
          <w:tab w:val="left" w:leader="none" w:pos="720"/>
        </w:tabs>
        <w:ind w:left="720" w:hanging="360"/>
      </w:pPr>
      <w:rPr>
        <w:rFonts w:ascii="Symbol" w:hAnsi="Symbol" w:hint="default"/>
      </w:rPr>
    </w:lvl>
    <w:lvl w:ilvl="1" w:tplc="04140003" w:tentative="1">
      <w:start w:val="1"/>
      <w:numFmt w:val="bullet"/>
      <w:lvlText w:val="o"/>
      <w:lvlJc w:val="left"/>
      <w:pPr>
        <w:tabs>
          <w:tab w:val="left" w:leader="none" w:pos="1440"/>
        </w:tabs>
        <w:ind w:left="1440" w:hanging="360"/>
      </w:pPr>
      <w:rPr>
        <w:rFonts w:ascii="Courier New" w:cs="Courier New" w:hAnsi="Courier New" w:hint="default"/>
      </w:rPr>
    </w:lvl>
    <w:lvl w:ilvl="2" w:tplc="04140005" w:tentative="1">
      <w:start w:val="1"/>
      <w:numFmt w:val="bullet"/>
      <w:lvlText w:val=""/>
      <w:lvlJc w:val="left"/>
      <w:pPr>
        <w:tabs>
          <w:tab w:val="left" w:leader="none" w:pos="2160"/>
        </w:tabs>
        <w:ind w:left="2160" w:hanging="360"/>
      </w:pPr>
      <w:rPr>
        <w:rFonts w:ascii="Wingdings" w:hAnsi="Wingdings" w:hint="default"/>
      </w:rPr>
    </w:lvl>
    <w:lvl w:ilvl="3" w:tplc="04140001" w:tentative="1">
      <w:start w:val="1"/>
      <w:numFmt w:val="bullet"/>
      <w:lvlText w:val=""/>
      <w:lvlJc w:val="left"/>
      <w:pPr>
        <w:tabs>
          <w:tab w:val="left" w:leader="none" w:pos="2880"/>
        </w:tabs>
        <w:ind w:left="2880" w:hanging="360"/>
      </w:pPr>
      <w:rPr>
        <w:rFonts w:ascii="Symbol" w:hAnsi="Symbol" w:hint="default"/>
      </w:rPr>
    </w:lvl>
    <w:lvl w:ilvl="4" w:tplc="04140003" w:tentative="1">
      <w:start w:val="1"/>
      <w:numFmt w:val="bullet"/>
      <w:lvlText w:val="o"/>
      <w:lvlJc w:val="left"/>
      <w:pPr>
        <w:tabs>
          <w:tab w:val="left" w:leader="none" w:pos="3600"/>
        </w:tabs>
        <w:ind w:left="3600" w:hanging="360"/>
      </w:pPr>
      <w:rPr>
        <w:rFonts w:ascii="Courier New" w:cs="Courier New" w:hAnsi="Courier New" w:hint="default"/>
      </w:rPr>
    </w:lvl>
    <w:lvl w:ilvl="5" w:tplc="04140005" w:tentative="1">
      <w:start w:val="1"/>
      <w:numFmt w:val="bullet"/>
      <w:lvlText w:val=""/>
      <w:lvlJc w:val="left"/>
      <w:pPr>
        <w:tabs>
          <w:tab w:val="left" w:leader="none" w:pos="4320"/>
        </w:tabs>
        <w:ind w:left="4320" w:hanging="360"/>
      </w:pPr>
      <w:rPr>
        <w:rFonts w:ascii="Wingdings" w:hAnsi="Wingdings" w:hint="default"/>
      </w:rPr>
    </w:lvl>
    <w:lvl w:ilvl="6" w:tplc="04140001" w:tentative="1">
      <w:start w:val="1"/>
      <w:numFmt w:val="bullet"/>
      <w:lvlText w:val=""/>
      <w:lvlJc w:val="left"/>
      <w:pPr>
        <w:tabs>
          <w:tab w:val="left" w:leader="none" w:pos="5040"/>
        </w:tabs>
        <w:ind w:left="5040" w:hanging="360"/>
      </w:pPr>
      <w:rPr>
        <w:rFonts w:ascii="Symbol" w:hAnsi="Symbol" w:hint="default"/>
      </w:rPr>
    </w:lvl>
    <w:lvl w:ilvl="7" w:tplc="04140003" w:tentative="1">
      <w:start w:val="1"/>
      <w:numFmt w:val="bullet"/>
      <w:lvlText w:val="o"/>
      <w:lvlJc w:val="left"/>
      <w:pPr>
        <w:tabs>
          <w:tab w:val="left" w:leader="none" w:pos="5760"/>
        </w:tabs>
        <w:ind w:left="5760" w:hanging="360"/>
      </w:pPr>
      <w:rPr>
        <w:rFonts w:ascii="Courier New" w:cs="Courier New" w:hAnsi="Courier New" w:hint="default"/>
      </w:rPr>
    </w:lvl>
    <w:lvl w:ilvl="8" w:tplc="04140005" w:tentative="1">
      <w:start w:val="1"/>
      <w:numFmt w:val="bullet"/>
      <w:lvlText w:val=""/>
      <w:lvlJc w:val="left"/>
      <w:pPr>
        <w:tabs>
          <w:tab w:val="left" w:leader="none" w:pos="6480"/>
        </w:tabs>
        <w:ind w:left="6480" w:hanging="360"/>
      </w:pPr>
      <w:rPr>
        <w:rFonts w:ascii="Wingdings" w:hAnsi="Wingdings" w:hint="default"/>
      </w:rPr>
    </w:lvl>
  </w:abstractNum>
  <w:abstractNum w:abstractNumId="21">
    <w:nsid w:val="00000015"/>
    <w:multiLevelType w:val="singleLevel"/>
    <w:tmpl w:val="A1B04AE0"/>
    <w:lvl w:ilvl="0">
      <w:start w:val="1"/>
      <w:numFmt w:val="decimal"/>
      <w:lvlText w:val="%1."/>
      <w:lvlJc w:val="left"/>
      <w:pPr>
        <w:ind w:left="360" w:hanging="360"/>
      </w:pPr>
    </w:lvl>
  </w:abstractNum>
  <w:abstractNum w:abstractNumId="22">
    <w:nsid w:val="00000016"/>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23">
    <w:nsid w:val="00000017"/>
    <w:multiLevelType w:val="singleLevel"/>
    <w:tmpl w:val="199E1F42"/>
    <w:lvl w:ilvl="0">
      <w:start w:val="1"/>
      <w:numFmt w:val="decimal"/>
      <w:lvlText w:val="%1"/>
      <w:lvlJc w:val="left"/>
      <w:pPr>
        <w:ind w:left="360" w:hanging="360"/>
      </w:pPr>
      <w:rPr>
        <w:rFonts w:ascii="Symbol" w:hAnsi="Symbol" w:hint="default"/>
        <w:b w:val="false"/>
        <w:i w:val="false"/>
        <w:sz w:val="20"/>
      </w:rPr>
    </w:lvl>
  </w:abstractNum>
  <w:abstractNum w:abstractNumId="24">
    <w:nsid w:val="00000018"/>
    <w:multiLevelType w:val="multilevel"/>
    <w:tmpl w:val="469A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abstractNum w:abstractNumId="26">
    <w:nsid w:val="0000001A"/>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multilevel"/>
    <w:tmpl w:val="7C8A229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singleLevel"/>
    <w:tmpl w:val="ED7AFD54"/>
    <w:lvl w:ilvl="0">
      <w:start w:val="1"/>
      <w:numFmt w:val="decimal"/>
      <w:lvlText w:val="%1. "/>
      <w:lvlJc w:val="left"/>
      <w:pPr>
        <w:ind w:left="360" w:hanging="360"/>
      </w:pPr>
      <w:rPr>
        <w:rFonts w:ascii="Helvetica" w:hAnsi="Helvetica" w:hint="default"/>
        <w:b w:val="false"/>
        <w:i w:val="false"/>
        <w:sz w:val="20"/>
        <w:u w:val="none"/>
      </w:rPr>
    </w:lvl>
  </w:abstractNum>
  <w:num w:numId="1">
    <w:abstractNumId w:val="19"/>
  </w:num>
  <w:num w:numId="2">
    <w:abstractNumId w:val="0"/>
    <w:lvlOverride w:ilvl="0">
      <w:lvl w:ilvl="0">
        <w:start w:val="1"/>
        <w:numFmt w:val="bullet"/>
        <w:lvlText w:val=""/>
        <w:lvlJc w:val="left"/>
        <w:pPr>
          <w:ind w:left="360" w:hanging="360"/>
        </w:pPr>
        <w:rPr>
          <w:rFonts w:ascii="Symbol" w:hAnsi="Symbol" w:hint="default"/>
        </w:rPr>
      </w:lvl>
    </w:lvlOverride>
  </w:num>
  <w:num w:numId="3">
    <w:abstractNumId w:val="15"/>
  </w:num>
  <w:num w:numId="4">
    <w:abstractNumId w:val="23"/>
  </w:num>
  <w:num w:numId="5">
    <w:abstractNumId w:val="0"/>
    <w:lvlOverride w:ilvl="0">
      <w:lvl w:ilvl="0">
        <w:start w:val="1"/>
        <w:numFmt w:val="bullet"/>
        <w:lvlText w:val=""/>
        <w:lvlJc w:val="left"/>
        <w:pPr>
          <w:ind w:left="360" w:hanging="360"/>
        </w:pPr>
        <w:rPr>
          <w:rFonts w:ascii="Wingdings" w:hAnsi="Wingdings" w:hint="default"/>
          <w:sz w:val="16"/>
        </w:rPr>
      </w:lvl>
    </w:lvlOverride>
  </w:num>
  <w:num w:numId="6">
    <w:abstractNumId w:val="7"/>
  </w:num>
  <w:num w:numId="7">
    <w:abstractNumId w:val="6"/>
  </w:num>
  <w:num w:numId="8">
    <w:abstractNumId w:val="1"/>
  </w:num>
  <w:num w:numId="9">
    <w:abstractNumId w:val="12"/>
  </w:num>
  <w:num w:numId="10">
    <w:abstractNumId w:val="25"/>
  </w:num>
  <w:num w:numId="11">
    <w:abstractNumId w:val="2"/>
  </w:num>
  <w:num w:numId="12">
    <w:abstractNumId w:val="18"/>
  </w:num>
  <w:num w:numId="13">
    <w:abstractNumId w:val="3"/>
  </w:num>
  <w:num w:numId="14">
    <w:abstractNumId w:val="17"/>
  </w:num>
  <w:num w:numId="15">
    <w:abstractNumId w:val="8"/>
  </w:num>
  <w:num w:numId="16">
    <w:abstractNumId w:val="21"/>
  </w:num>
  <w:num w:numId="17">
    <w:abstractNumId w:val="5"/>
  </w:num>
  <w:num w:numId="18">
    <w:abstractNumId w:val="22"/>
  </w:num>
  <w:num w:numId="19">
    <w:abstractNumId w:val="14"/>
  </w:num>
  <w:num w:numId="20">
    <w:abstractNumId w:val="28"/>
  </w:num>
  <w:num w:numId="21">
    <w:abstractNumId w:val="11"/>
  </w:num>
  <w:num w:numId="22">
    <w:abstractNumId w:val="9"/>
  </w:num>
  <w:num w:numId="23">
    <w:abstractNumId w:val="13"/>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720"/>
  <w:doNotHyphenateCaps/>
  <w:drawingGridHorizontalSpacing w:val="100"/>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Times New Roman" w:hAnsi="Times New Roman"/>
        <w:lang w:val="en-US" w:bidi="ar-SA" w:eastAsia="en-US"/>
      </w:rPr>
    </w:rPrDefault>
    <w:pPrDefault>
      <w:pPr/>
    </w:pPrDefault>
  </w:docDefaults>
  <w:style w:type="paragraph" w:default="1" w:styleId="style0">
    <w:name w:val="Normal"/>
    <w:next w:val="style0"/>
    <w:qFormat/>
    <w:pPr/>
    <w:rPr>
      <w:rFonts w:ascii="Helvetica" w:hAnsi="Helvetica"/>
    </w:rPr>
  </w:style>
  <w:style w:type="paragraph" w:styleId="style1">
    <w:name w:val="heading 1"/>
    <w:basedOn w:val="style0"/>
    <w:next w:val="style0"/>
    <w:qFormat/>
    <w:pPr>
      <w:keepNext/>
      <w:spacing w:before="240" w:after="60"/>
      <w:outlineLvl w:val="0"/>
    </w:pPr>
    <w:rPr>
      <w:rFonts w:ascii="Arial" w:hAnsi="Arial"/>
      <w:b/>
      <w:kern w:val="28"/>
      <w:sz w:val="2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Author"/>
    <w:basedOn w:val="style0"/>
    <w:next w:val="style4097"/>
    <w:pPr>
      <w:spacing w:lineRule="exact" w:line="280"/>
      <w:jc w:val="right"/>
    </w:pPr>
    <w:rPr>
      <w:b/>
      <w:sz w:val="24"/>
    </w:rPr>
  </w:style>
  <w:style w:type="paragraph" w:customStyle="1" w:styleId="style4098">
    <w:name w:val="Affiliation"/>
    <w:basedOn w:val="style0"/>
    <w:next w:val="style4098"/>
    <w:pPr>
      <w:spacing w:after="240" w:lineRule="exact" w:line="240"/>
      <w:jc w:val="right"/>
    </w:pPr>
    <w:rPr/>
  </w:style>
  <w:style w:type="paragraph" w:customStyle="1" w:styleId="style4099">
    <w:name w:val="Body"/>
    <w:basedOn w:val="style0"/>
    <w:next w:val="style4099"/>
    <w:pPr>
      <w:spacing w:after="240"/>
      <w:jc w:val="both"/>
    </w:pPr>
    <w:rPr/>
  </w:style>
  <w:style w:type="paragraph" w:customStyle="1" w:styleId="style4100">
    <w:name w:val="Abst Head"/>
    <w:basedOn w:val="style4123"/>
    <w:next w:val="style4100"/>
    <w:pPr/>
    <w:rPr>
      <w:sz w:val="22"/>
    </w:rPr>
  </w:style>
  <w:style w:type="paragraph" w:customStyle="1" w:styleId="style4101">
    <w:name w:val="Intro Head"/>
    <w:basedOn w:val="style4123"/>
    <w:next w:val="style4101"/>
    <w:pPr/>
    <w:rPr>
      <w:sz w:val="22"/>
    </w:rPr>
  </w:style>
  <w:style w:type="paragraph" w:customStyle="1" w:styleId="style4102">
    <w:name w:val="Paper Number"/>
    <w:basedOn w:val="style0"/>
    <w:next w:val="style4102"/>
    <w:pPr>
      <w:spacing w:after="280" w:lineRule="exact" w:line="280"/>
      <w:jc w:val="right"/>
    </w:pPr>
    <w:rPr>
      <w:b/>
      <w:sz w:val="28"/>
    </w:rPr>
  </w:style>
  <w:style w:type="paragraph" w:customStyle="1" w:styleId="style4103">
    <w:name w:val="Conc Head"/>
    <w:basedOn w:val="style4123"/>
    <w:next w:val="style4103"/>
    <w:pPr/>
    <w:rPr>
      <w:sz w:val="22"/>
    </w:rPr>
  </w:style>
  <w:style w:type="paragraph" w:customStyle="1" w:styleId="style4104">
    <w:name w:val="Ackn Head"/>
    <w:basedOn w:val="style4123"/>
    <w:next w:val="style4104"/>
    <w:pPr/>
    <w:rPr>
      <w:sz w:val="22"/>
    </w:rPr>
  </w:style>
  <w:style w:type="paragraph" w:customStyle="1" w:styleId="style4105">
    <w:name w:val="Refer Head"/>
    <w:basedOn w:val="style4123"/>
    <w:next w:val="style4105"/>
    <w:pPr/>
    <w:rPr>
      <w:sz w:val="22"/>
    </w:rPr>
  </w:style>
  <w:style w:type="paragraph" w:customStyle="1" w:styleId="style4106">
    <w:name w:val="AddSrc Head"/>
    <w:basedOn w:val="style4123"/>
    <w:next w:val="style4106"/>
    <w:pPr/>
    <w:rPr>
      <w:sz w:val="22"/>
    </w:rPr>
  </w:style>
  <w:style w:type="paragraph" w:customStyle="1" w:styleId="style4107">
    <w:name w:val="DefAcrHead"/>
    <w:basedOn w:val="style4123"/>
    <w:next w:val="style4107"/>
    <w:pPr/>
    <w:rPr>
      <w:sz w:val="22"/>
    </w:rPr>
  </w:style>
  <w:style w:type="paragraph" w:customStyle="1" w:styleId="style4108">
    <w:name w:val="Copyright"/>
    <w:basedOn w:val="style0"/>
    <w:next w:val="style4108"/>
    <w:pPr>
      <w:spacing w:after="960" w:lineRule="exact" w:line="200"/>
    </w:pPr>
    <w:rPr>
      <w:sz w:val="16"/>
    </w:rPr>
  </w:style>
  <w:style w:type="paragraph" w:styleId="style62">
    <w:name w:val="Title"/>
    <w:basedOn w:val="style0"/>
    <w:next w:val="style62"/>
    <w:qFormat/>
    <w:pPr>
      <w:spacing w:after="360"/>
      <w:jc w:val="right"/>
    </w:pPr>
    <w:rPr>
      <w:b/>
      <w:kern w:val="28"/>
      <w:sz w:val="36"/>
    </w:rPr>
  </w:style>
  <w:style w:type="paragraph" w:customStyle="1" w:styleId="style4109">
    <w:name w:val="Reference"/>
    <w:basedOn w:val="style4099"/>
    <w:next w:val="style4109"/>
    <w:pPr>
      <w:numPr>
        <w:ilvl w:val="0"/>
        <w:numId w:val="1"/>
      </w:numPr>
      <w:spacing w:after="0" w:lineRule="exact" w:line="240"/>
    </w:pPr>
    <w:rPr/>
  </w:style>
  <w:style w:type="paragraph" w:customStyle="1" w:styleId="style4110">
    <w:name w:val="Head1"/>
    <w:basedOn w:val="style4123"/>
    <w:next w:val="style4110"/>
    <w:pPr/>
    <w:rPr>
      <w:sz w:val="22"/>
    </w:rPr>
  </w:style>
  <w:style w:type="paragraph" w:customStyle="1" w:styleId="style4111">
    <w:name w:val="Contact Head"/>
    <w:basedOn w:val="style4123"/>
    <w:next w:val="style4111"/>
    <w:pPr/>
    <w:rPr>
      <w:sz w:val="22"/>
    </w:rPr>
  </w:style>
  <w:style w:type="paragraph" w:customStyle="1" w:styleId="style4112">
    <w:name w:val="Head3"/>
    <w:basedOn w:val="style4119"/>
    <w:next w:val="style4112"/>
    <w:pPr/>
    <w:rPr>
      <w:caps w:val="false"/>
      <w:u w:val="single"/>
    </w:rPr>
  </w:style>
  <w:style w:type="paragraph" w:customStyle="1" w:styleId="style4113">
    <w:name w:val="Head4"/>
    <w:basedOn w:val="style4112"/>
    <w:next w:val="style4113"/>
    <w:pPr/>
    <w:rPr>
      <w:u w:val="none"/>
    </w:rPr>
  </w:style>
  <w:style w:type="paragraph" w:customStyle="1" w:styleId="style4114">
    <w:name w:val="Unord List"/>
    <w:basedOn w:val="style4099"/>
    <w:next w:val="style4114"/>
    <w:pPr>
      <w:spacing w:after="0"/>
      <w:ind w:left="360" w:hanging="360"/>
    </w:pPr>
    <w:rPr/>
  </w:style>
  <w:style w:type="paragraph" w:customStyle="1" w:styleId="style4115">
    <w:name w:val="Ord List"/>
    <w:basedOn w:val="style4114"/>
    <w:next w:val="style4115"/>
    <w:pPr>
      <w:jc w:val="left"/>
    </w:pPr>
    <w:rPr/>
  </w:style>
  <w:style w:type="paragraph" w:customStyle="1" w:styleId="style4116">
    <w:name w:val="Appendix"/>
    <w:basedOn w:val="style4123"/>
    <w:next w:val="style4116"/>
    <w:pPr/>
    <w:rPr>
      <w:sz w:val="22"/>
    </w:rPr>
  </w:style>
  <w:style w:type="paragraph" w:customStyle="1" w:styleId="style4117">
    <w:name w:val="Term"/>
    <w:basedOn w:val="style4099"/>
    <w:next w:val="style4117"/>
    <w:pPr>
      <w:spacing w:after="0"/>
    </w:pPr>
    <w:rPr>
      <w:b/>
    </w:rPr>
  </w:style>
  <w:style w:type="paragraph" w:customStyle="1" w:styleId="style4118">
    <w:name w:val="Definition"/>
    <w:basedOn w:val="style4099"/>
    <w:next w:val="style4118"/>
    <w:pPr/>
  </w:style>
  <w:style w:type="paragraph" w:customStyle="1" w:styleId="style4119">
    <w:name w:val="Head2"/>
    <w:basedOn w:val="style0"/>
    <w:next w:val="style4099"/>
    <w:pPr>
      <w:keepNext/>
      <w:spacing w:after="240"/>
    </w:pPr>
    <w:rPr>
      <w:caps/>
    </w:rPr>
  </w:style>
  <w:style w:type="character" w:customStyle="1" w:styleId="style4120">
    <w:name w:val="Bold"/>
    <w:next w:val="style4120"/>
    <w:rPr>
      <w:b/>
    </w:rPr>
  </w:style>
  <w:style w:type="character" w:customStyle="1" w:styleId="style4121">
    <w:name w:val="Italic"/>
    <w:next w:val="style4121"/>
    <w:rPr>
      <w:i/>
    </w:rPr>
  </w:style>
  <w:style w:type="character" w:customStyle="1" w:styleId="style4122">
    <w:name w:val="Underline"/>
    <w:next w:val="style4122"/>
    <w:rPr>
      <w:u w:val="single"/>
    </w:rPr>
  </w:style>
  <w:style w:type="paragraph" w:customStyle="1" w:styleId="style4123">
    <w:name w:val="Main Head"/>
    <w:basedOn w:val="style0"/>
    <w:next w:val="style4123"/>
    <w:pPr>
      <w:keepNext/>
      <w:spacing w:after="240"/>
    </w:pPr>
    <w:rPr>
      <w:b/>
      <w:caps/>
    </w:rPr>
  </w:style>
  <w:style w:type="paragraph" w:customStyle="1" w:styleId="style4124">
    <w:name w:val="Equation"/>
    <w:basedOn w:val="style4099"/>
    <w:next w:val="style4124"/>
    <w:pPr/>
  </w:style>
  <w:style w:type="paragraph" w:customStyle="1" w:styleId="style4125">
    <w:name w:val="Figure"/>
    <w:basedOn w:val="style4108"/>
    <w:next w:val="style4125"/>
    <w:pPr>
      <w:spacing w:after="240"/>
    </w:pPr>
    <w:rPr>
      <w:sz w:val="20"/>
    </w:rPr>
  </w:style>
  <w:style w:type="paragraph" w:styleId="style32">
    <w:name w:val="footer"/>
    <w:basedOn w:val="style0"/>
    <w:next w:val="style32"/>
    <w:pPr>
      <w:tabs>
        <w:tab w:val="center" w:leader="none" w:pos="4320"/>
        <w:tab w:val="right" w:leader="none" w:pos="8640"/>
      </w:tabs>
    </w:pPr>
    <w:rPr/>
  </w:style>
  <w:style w:type="paragraph" w:customStyle="1" w:styleId="style4126">
    <w:name w:val="Head 4"/>
    <w:basedOn w:val="style4112"/>
    <w:next w:val="style4126"/>
    <w:pPr/>
    <w:rPr>
      <w:u w:val="none"/>
    </w:rPr>
  </w:style>
  <w:style w:type="paragraph" w:styleId="style31">
    <w:name w:val="header"/>
    <w:basedOn w:val="style0"/>
    <w:next w:val="style31"/>
    <w:pPr>
      <w:tabs>
        <w:tab w:val="center" w:leader="none" w:pos="4320"/>
        <w:tab w:val="right" w:leader="none" w:pos="8640"/>
      </w:tabs>
    </w:pPr>
    <w:rPr/>
  </w:style>
  <w:style w:type="paragraph" w:customStyle="1" w:styleId="style4127">
    <w:name w:val="Paper"/>
    <w:basedOn w:val="style0"/>
    <w:next w:val="style4127"/>
    <w:pPr>
      <w:spacing w:after="360" w:lineRule="exact" w:line="440"/>
      <w:jc w:val="right"/>
    </w:pPr>
    <w:rPr>
      <w:b/>
      <w:sz w:val="36"/>
    </w:rPr>
  </w:style>
  <w:style w:type="paragraph" w:styleId="style64">
    <w:name w:val="Signature"/>
    <w:basedOn w:val="style0"/>
    <w:next w:val="style64"/>
    <w:pPr>
      <w:ind w:left="4320"/>
    </w:pPr>
    <w:rPr/>
  </w:style>
  <w:style w:type="character" w:customStyle="1" w:styleId="style4128">
    <w:name w:val="Subscript"/>
    <w:next w:val="style4128"/>
    <w:rPr>
      <w:vertAlign w:val="subscript"/>
    </w:rPr>
  </w:style>
  <w:style w:type="character" w:customStyle="1" w:styleId="style4129">
    <w:name w:val="Superscript"/>
    <w:next w:val="style4129"/>
    <w:rPr>
      <w:vertAlign w:val="superscript"/>
    </w:rPr>
  </w:style>
  <w:style w:type="character" w:customStyle="1" w:styleId="style4130">
    <w:name w:val="Symbol"/>
    <w:next w:val="style4130"/>
    <w:rPr>
      <w:rFonts w:ascii="Symbol" w:hAnsi="Symbol"/>
    </w:rPr>
  </w:style>
  <w:style w:type="paragraph" w:customStyle="1" w:styleId="style4131">
    <w:name w:val="Symbol P"/>
    <w:basedOn w:val="style4099"/>
    <w:next w:val="style4131"/>
    <w:pPr>
      <w:tabs>
        <w:tab w:val="left" w:leader="none" w:pos="720"/>
        <w:tab w:val="left" w:leader="none" w:pos="3780"/>
      </w:tabs>
      <w:spacing w:after="0"/>
    </w:pPr>
    <w:rPr>
      <w:sz w:val="24"/>
    </w:rPr>
  </w:style>
  <w:style w:type="character" w:customStyle="1" w:styleId="style4132">
    <w:name w:val="BoldItal"/>
    <w:basedOn w:val="style65"/>
    <w:next w:val="style4132"/>
    <w:rPr>
      <w:b/>
      <w:i/>
    </w:rPr>
  </w:style>
  <w:style w:type="character" w:customStyle="1" w:styleId="style4133">
    <w:name w:val="SubItal"/>
    <w:next w:val="style4133"/>
    <w:rPr>
      <w:i/>
      <w:vertAlign w:val="subscript"/>
    </w:rPr>
  </w:style>
  <w:style w:type="character" w:customStyle="1" w:styleId="style4134">
    <w:name w:val="SuperItal"/>
    <w:next w:val="style4134"/>
    <w:rPr>
      <w:i/>
      <w:vertAlign w:val="superscript"/>
    </w:rPr>
  </w:style>
  <w:style w:type="character" w:customStyle="1" w:styleId="style4135">
    <w:name w:val="SymItal"/>
    <w:next w:val="style4135"/>
    <w:rPr>
      <w:rFonts w:ascii="Symbol" w:hAnsi="Symbol"/>
      <w:i/>
    </w:rPr>
  </w:style>
  <w:style w:type="character" w:styleId="style85">
    <w:name w:val="Hyperlink"/>
    <w:basedOn w:val="style65"/>
    <w:next w:val="style85"/>
    <w:rPr>
      <w:color w:val="ff0080"/>
      <w:u w:val="single"/>
    </w:rPr>
  </w:style>
  <w:style w:type="character" w:styleId="style86">
    <w:name w:val="FollowedHyperlink"/>
    <w:basedOn w:val="style65"/>
    <w:next w:val="style86"/>
    <w:rPr>
      <w:color w:val="800080"/>
      <w:u w:val="single"/>
    </w:rPr>
  </w:style>
  <w:style w:type="table" w:styleId="style154">
    <w:name w:val="Table Grid"/>
    <w:basedOn w:val="style105"/>
    <w:next w:val="style154"/>
    <w:uiPriority w:val="59"/>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paragraph" w:styleId="style80">
    <w:name w:val="Body Text 2"/>
    <w:basedOn w:val="style0"/>
    <w:next w:val="style80"/>
    <w:link w:val="style4136"/>
    <w:pPr>
      <w:spacing w:after="120" w:lineRule="auto" w:line="480"/>
    </w:pPr>
    <w:rPr/>
  </w:style>
  <w:style w:type="character" w:customStyle="1" w:styleId="style4136">
    <w:name w:val="Body Text 2 Char"/>
    <w:basedOn w:val="style65"/>
    <w:next w:val="style4136"/>
    <w:link w:val="style80"/>
    <w:rPr>
      <w:rFonts w:ascii="Helvetica" w:hAnsi="Helvetica"/>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37"/>
    <w:uiPriority w:val="99"/>
    <w:pPr/>
    <w:rPr>
      <w:rFonts w:ascii="Times New Roman" w:hAnsi="Times New Roman"/>
      <w:lang w:val="nb-NO" w:eastAsia="nb-NO"/>
    </w:rPr>
  </w:style>
  <w:style w:type="character" w:customStyle="1" w:styleId="style4137">
    <w:name w:val="Comment Text Char"/>
    <w:basedOn w:val="style65"/>
    <w:next w:val="style4137"/>
    <w:link w:val="style30"/>
    <w:uiPriority w:val="99"/>
    <w:rPr>
      <w:lang w:val="nb-NO" w:eastAsia="nb-NO"/>
    </w:rPr>
  </w:style>
  <w:style w:type="paragraph" w:styleId="style153">
    <w:name w:val="Balloon Text"/>
    <w:basedOn w:val="style0"/>
    <w:next w:val="style153"/>
    <w:link w:val="style4138"/>
    <w:pPr/>
    <w:rPr>
      <w:rFonts w:ascii="Tahoma" w:cs="Tahoma" w:hAnsi="Tahoma"/>
      <w:sz w:val="16"/>
      <w:szCs w:val="16"/>
    </w:rPr>
  </w:style>
  <w:style w:type="character" w:customStyle="1" w:styleId="style4138">
    <w:name w:val="Balloon Text Char"/>
    <w:basedOn w:val="style65"/>
    <w:next w:val="style4138"/>
    <w:link w:val="style153"/>
    <w:rPr>
      <w:rFonts w:ascii="Tahoma" w:cs="Tahoma" w:hAnsi="Tahoma"/>
      <w:sz w:val="16"/>
      <w:szCs w:val="16"/>
    </w:rPr>
  </w:style>
  <w:style w:type="paragraph" w:styleId="style81">
    <w:name w:val="Body Text 3"/>
    <w:basedOn w:val="style0"/>
    <w:next w:val="style81"/>
    <w:link w:val="style4139"/>
    <w:pPr>
      <w:spacing w:after="120"/>
    </w:pPr>
    <w:rPr>
      <w:sz w:val="16"/>
      <w:szCs w:val="16"/>
    </w:rPr>
  </w:style>
  <w:style w:type="character" w:customStyle="1" w:styleId="style4139">
    <w:name w:val="Body Text 3 Char"/>
    <w:basedOn w:val="style65"/>
    <w:next w:val="style4139"/>
    <w:link w:val="style81"/>
    <w:rPr>
      <w:rFonts w:ascii="Helvetica" w:hAnsi="Helvetica"/>
      <w:sz w:val="16"/>
      <w:szCs w:val="16"/>
    </w:rPr>
  </w:style>
  <w:style w:type="character" w:styleId="style40">
    <w:name w:val="line number"/>
    <w:basedOn w:val="style65"/>
    <w:next w:val="style40"/>
  </w:style>
  <w:style w:type="character" w:styleId="style88">
    <w:name w:val="Emphasis"/>
    <w:basedOn w:val="style65"/>
    <w:next w:val="style88"/>
    <w:qFormat/>
    <w:uiPriority w:val="20"/>
    <w:rPr>
      <w:i/>
      <w:iCs/>
    </w:rPr>
  </w:style>
  <w:style w:type="character" w:customStyle="1" w:styleId="style4140">
    <w:name w:val="Unresolved Mention1"/>
    <w:basedOn w:val="style65"/>
    <w:next w:val="style4140"/>
    <w:uiPriority w:val="99"/>
    <w:rPr>
      <w:color w:val="605e5c"/>
      <w:shd w:val="clear" w:color="auto" w:fill="e1dfdd"/>
    </w:rPr>
  </w:style>
  <w:style w:type="character" w:customStyle="1" w:styleId="style4141">
    <w:name w:val="Unresolved Mention"/>
    <w:basedOn w:val="style65"/>
    <w:next w:val="style4141"/>
    <w:uiPriority w:val="99"/>
    <w:rPr>
      <w:color w:val="605e5c"/>
      <w:shd w:val="clear" w:color="auto" w:fill="e1dfdd"/>
    </w:rPr>
  </w:style>
</w:styles>
</file>

<file path=word/_rels/document.xml.rels><?xml version="1.0" encoding="UTF-8"?>
<Relationships xmlns="http://schemas.openxmlformats.org/package/2006/relationships"><Relationship Id="rId40" Type="http://schemas.openxmlformats.org/officeDocument/2006/relationships/customXml" Target="../customXml/item8.xml"/><Relationship Id="rId42" Type="http://schemas.openxmlformats.org/officeDocument/2006/relationships/customXml" Target="../customXml/item10.xml"/><Relationship Id="rId41" Type="http://schemas.openxmlformats.org/officeDocument/2006/relationships/customXml" Target="../customXml/item9.xml"/><Relationship Id="rId44" Type="http://schemas.openxmlformats.org/officeDocument/2006/relationships/customXml" Target="../customXml/item12.xml"/><Relationship Id="rId43" Type="http://schemas.openxmlformats.org/officeDocument/2006/relationships/customXml" Target="../customXml/item11.xml"/><Relationship Id="rId46" Type="http://schemas.openxmlformats.org/officeDocument/2006/relationships/customXml" Target="../customXml/item14.xml"/><Relationship Id="rId45" Type="http://schemas.openxmlformats.org/officeDocument/2006/relationships/customXml" Target="../customXml/item13.xml"/><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image" Target="media/image1.png"/><Relationship Id="rId9" Type="http://schemas.openxmlformats.org/officeDocument/2006/relationships/chart" Target="charts/chart1.xml"/><Relationship Id="rId48" Type="http://schemas.openxmlformats.org/officeDocument/2006/relationships/customXml" Target="../customXml/item16.xml"/><Relationship Id="rId47" Type="http://schemas.openxmlformats.org/officeDocument/2006/relationships/customXml" Target="../customXml/item15.xml"/><Relationship Id="rId49" Type="http://schemas.openxmlformats.org/officeDocument/2006/relationships/customXml" Target="../customXml/item17.xml"/><Relationship Id="rId5" Type="http://schemas.openxmlformats.org/officeDocument/2006/relationships/image" Target="media/image2.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3.jpeg"/><Relationship Id="rId31" Type="http://schemas.openxmlformats.org/officeDocument/2006/relationships/settings" Target="settings.xml"/><Relationship Id="rId30"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theme" Target="theme/theme1.xml"/><Relationship Id="rId35" Type="http://schemas.openxmlformats.org/officeDocument/2006/relationships/customXml" Target="../customXml/item3.xml"/><Relationship Id="rId34" Type="http://schemas.openxmlformats.org/officeDocument/2006/relationships/customXml" Target="../customXml/item2.xml"/><Relationship Id="rId37" Type="http://schemas.openxmlformats.org/officeDocument/2006/relationships/customXml" Target="../customXml/item5.xml"/><Relationship Id="rId36" Type="http://schemas.openxmlformats.org/officeDocument/2006/relationships/customXml" Target="../customXml/item4.xml"/><Relationship Id="rId39" Type="http://schemas.openxmlformats.org/officeDocument/2006/relationships/customXml" Target="../customXml/item7.xml"/><Relationship Id="rId38" Type="http://schemas.openxmlformats.org/officeDocument/2006/relationships/customXml" Target="../customXml/item6.xml"/><Relationship Id="rId62" Type="http://schemas.openxmlformats.org/officeDocument/2006/relationships/customXml" Target="../customXml/item30.xml"/><Relationship Id="rId61" Type="http://schemas.openxmlformats.org/officeDocument/2006/relationships/customXml" Target="../customXml/item29.xml"/><Relationship Id="rId20" Type="http://schemas.openxmlformats.org/officeDocument/2006/relationships/chart" Target="charts/chart8.xml"/><Relationship Id="rId63" Type="http://schemas.openxmlformats.org/officeDocument/2006/relationships/customXml" Target="../customXml/item31.xml"/><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header" Target="header1.xml"/><Relationship Id="rId23" Type="http://schemas.openxmlformats.org/officeDocument/2006/relationships/image" Target="media/image10.png"/><Relationship Id="rId60" Type="http://schemas.openxmlformats.org/officeDocument/2006/relationships/customXml" Target="../customXml/item28.xml"/><Relationship Id="rId26" Type="http://schemas.openxmlformats.org/officeDocument/2006/relationships/footer" Target="footer3.xml"/><Relationship Id="rId25" Type="http://schemas.openxmlformats.org/officeDocument/2006/relationships/header" Target="header2.xml"/><Relationship Id="rId28" Type="http://schemas.openxmlformats.org/officeDocument/2006/relationships/header" Target="header5.xml"/><Relationship Id="rId27" Type="http://schemas.openxmlformats.org/officeDocument/2006/relationships/footer" Target="footer4.xml"/><Relationship Id="rId29" Type="http://schemas.openxmlformats.org/officeDocument/2006/relationships/styles" Target="styles.xml"/><Relationship Id="rId51" Type="http://schemas.openxmlformats.org/officeDocument/2006/relationships/customXml" Target="../customXml/item19.xml"/><Relationship Id="rId50" Type="http://schemas.openxmlformats.org/officeDocument/2006/relationships/customXml" Target="../customXml/item18.xml"/><Relationship Id="rId53" Type="http://schemas.openxmlformats.org/officeDocument/2006/relationships/customXml" Target="../customXml/item21.xml"/><Relationship Id="rId52" Type="http://schemas.openxmlformats.org/officeDocument/2006/relationships/customXml" Target="../customXml/item20.xml"/><Relationship Id="rId11" Type="http://schemas.openxmlformats.org/officeDocument/2006/relationships/chart" Target="charts/chart3.xml"/><Relationship Id="rId55" Type="http://schemas.openxmlformats.org/officeDocument/2006/relationships/customXml" Target="../customXml/item23.xml"/><Relationship Id="rId10" Type="http://schemas.openxmlformats.org/officeDocument/2006/relationships/chart" Target="charts/chart2.xml"/><Relationship Id="rId54" Type="http://schemas.openxmlformats.org/officeDocument/2006/relationships/customXml" Target="../customXml/item22.xml"/><Relationship Id="rId13" Type="http://schemas.openxmlformats.org/officeDocument/2006/relationships/chart" Target="charts/chart5.xml"/><Relationship Id="rId57" Type="http://schemas.openxmlformats.org/officeDocument/2006/relationships/customXml" Target="../customXml/item25.xml"/><Relationship Id="rId12" Type="http://schemas.openxmlformats.org/officeDocument/2006/relationships/chart" Target="charts/chart4.xml"/><Relationship Id="rId56" Type="http://schemas.openxmlformats.org/officeDocument/2006/relationships/customXml" Target="../customXml/item24.xml"/><Relationship Id="rId15" Type="http://schemas.openxmlformats.org/officeDocument/2006/relationships/image" Target="media/image5.png"/><Relationship Id="rId59" Type="http://schemas.openxmlformats.org/officeDocument/2006/relationships/customXml" Target="../customXml/item27.xml"/><Relationship Id="rId14" Type="http://schemas.openxmlformats.org/officeDocument/2006/relationships/image" Target="media/image4.png"/><Relationship Id="rId58" Type="http://schemas.openxmlformats.org/officeDocument/2006/relationships/customXml" Target="../customXml/item26.xml"/><Relationship Id="rId17" Type="http://schemas.openxmlformats.org/officeDocument/2006/relationships/image" Target="media/image7.png"/><Relationship Id="rId16" Type="http://schemas.openxmlformats.org/officeDocument/2006/relationships/image" Target="media/image6.png"/><Relationship Id="rId19" Type="http://schemas.openxmlformats.org/officeDocument/2006/relationships/chart" Target="charts/chart7.xml"/><Relationship Id="rId18" Type="http://schemas.openxmlformats.org/officeDocument/2006/relationships/chart" Target="charts/chart6.xml"/></Relationships>
</file>

<file path=word/charts/_rels/chart1.xml.rels><?xml version="1.0" encoding="UTF-8"?>
<Relationships xmlns="http://schemas.openxmlformats.org/package/2006/relationships"><Relationship Id="rId1" Type="http://schemas.openxmlformats.org/officeDocument/2006/relationships/oleObject" TargetMode="External" Target="file:/C:/Users/AYSUN%20CAVUSOGLU/Desktop/GRAF&#304;KLER-20-27%20DERECE.xlsx"/><Relationship Id="rId3" Type="http://schemas.openxmlformats.org/officeDocument/2006/relationships/chartUserShapes" Target="../drawings/drawing5.xml"/><Relationship Id="rId4" Type="http://schemas.openxmlformats.org/officeDocument/2006/relationships/themeOverride" Target="../theme/themeOverride5.xml"/></Relationships>
</file>

<file path=word/charts/_rels/chart2.xml.rels><?xml version="1.0" encoding="UTF-8"?>
<Relationships xmlns="http://schemas.openxmlformats.org/package/2006/relationships"><Relationship Id="rId1" Type="http://schemas.openxmlformats.org/officeDocument/2006/relationships/oleObject" TargetMode="External" Target="file:/C:/Users/AYSUN%20CAVUSOGLU/Desktop/GRAF&#304;KLER-20-27%20DERECE.xlsx"/><Relationship Id="rId3" Type="http://schemas.openxmlformats.org/officeDocument/2006/relationships/chartUserShapes" Target="../drawings/drawing6.xml"/><Relationship Id="rId4" Type="http://schemas.openxmlformats.org/officeDocument/2006/relationships/themeOverride" Target="../theme/themeOverride6.xml"/></Relationships>
</file>

<file path=word/charts/_rels/chart3.xml.rels><?xml version="1.0" encoding="UTF-8"?>
<Relationships xmlns="http://schemas.openxmlformats.org/package/2006/relationships"><Relationship Id="rId1" Type="http://schemas.openxmlformats.org/officeDocument/2006/relationships/oleObject" TargetMode="External" Target="file:/C:/Users/AYSUN%20CAVUSOGLU/Desktop/GRAF&#304;KLER-20-27%20DERECE.xlsx"/><Relationship Id="rId2" Type="http://schemas.microsoft.com/office/2011/relationships/chartStyle" Target="style7.xml"/><Relationship Id="rId3" Type="http://schemas.microsoft.com/office/2011/relationships/chartColorStyle" Target="colors7.xml"/><Relationship Id="rId4" Type="http://schemas.openxmlformats.org/officeDocument/2006/relationships/themeOverride" Target="../theme/themeOverride7.xml"/></Relationships>
</file>

<file path=word/charts/_rels/chart4.xml.rels><?xml version="1.0" encoding="UTF-8"?>
<Relationships xmlns="http://schemas.openxmlformats.org/package/2006/relationships"><Relationship Id="rId1" Type="http://schemas.openxmlformats.org/officeDocument/2006/relationships/oleObject" TargetMode="External" Target="file:/C:/Users/AYSUN%20CAVUSOGLU/Desktop/GRAF&#304;KLER-20-27%20DERECE.xlsx"/><Relationship Id="rId2" Type="http://schemas.microsoft.com/office/2011/relationships/chartStyle" Target="style3.xml"/><Relationship Id="rId3" Type="http://schemas.microsoft.com/office/2011/relationships/chartColorStyle" Target="colors3.xml"/><Relationship Id="rId4" Type="http://schemas.openxmlformats.org/officeDocument/2006/relationships/themeOverride" Target="../theme/themeOverride3.xml"/></Relationships>
</file>

<file path=word/charts/_rels/chart5.xml.rels><?xml version="1.0" encoding="UTF-8"?>
<Relationships xmlns="http://schemas.openxmlformats.org/package/2006/relationships"><Relationship Id="rId1" Type="http://schemas.openxmlformats.org/officeDocument/2006/relationships/oleObject" TargetMode="External" Target="file:/C:/Users/AYSUN%20CAVUSOGLU/Desktop/GRAF&#304;KLER-20-27%20DERECE.xlsx"/><Relationship Id="rId2" Type="http://schemas.microsoft.com/office/2011/relationships/chartStyle" Target="style2.xml"/><Relationship Id="rId3" Type="http://schemas.microsoft.com/office/2011/relationships/chartColorStyle" Target="colors2.xml"/><Relationship Id="rId4" Type="http://schemas.openxmlformats.org/officeDocument/2006/relationships/themeOverride" Target="../theme/themeOverride2.xml"/></Relationships>
</file>

<file path=word/charts/_rels/chart6.xml.rels><?xml version="1.0" encoding="UTF-8"?>
<Relationships xmlns="http://schemas.openxmlformats.org/package/2006/relationships"><Relationship Id="rId1" Type="http://schemas.openxmlformats.org/officeDocument/2006/relationships/oleObject" TargetMode="External" Target="file:/C:/Users/AYSUN%20CAVUSOGLU/Desktop/FUSARIUM-OXYSPORUM-20-27DERECE/GRAF&#304;KLER-20-27%20DERECE.xlsx"/><Relationship Id="rId2" Type="http://schemas.microsoft.com/office/2011/relationships/chartStyle" Target="style4.xml"/><Relationship Id="rId3" Type="http://schemas.microsoft.com/office/2011/relationships/chartColorStyle" Target="colors4.xml"/><Relationship Id="rId4" Type="http://schemas.openxmlformats.org/officeDocument/2006/relationships/themeOverride" Target="../theme/themeOverride4.xml"/></Relationships>
</file>

<file path=word/charts/_rels/chart7.xml.rels><?xml version="1.0" encoding="UTF-8"?>
<Relationships xmlns="http://schemas.openxmlformats.org/package/2006/relationships"><Relationship Id="rId1" Type="http://schemas.openxmlformats.org/officeDocument/2006/relationships/oleObject" TargetMode="External" Target="file:/C:/Users/AYSUN%20CAVUSOGLU/Desktop/FUSARIUM-OXYSPORUM-20-27DERECE/GRAF&#304;KLER-20-27%20DERECE.xlsx"/><Relationship Id="rId2" Type="http://schemas.microsoft.com/office/2011/relationships/chartStyle" Target="style1.xml"/><Relationship Id="rId3" Type="http://schemas.microsoft.com/office/2011/relationships/chartColorStyle" Target="colors1.xml"/><Relationship Id="rId4" Type="http://schemas.openxmlformats.org/officeDocument/2006/relationships/themeOverride" Target="../theme/themeOverride1.xml"/></Relationships>
</file>

<file path=word/charts/_rels/chart8.xml.rels><?xml version="1.0" encoding="UTF-8"?>
<Relationships xmlns="http://schemas.openxmlformats.org/package/2006/relationships"><Relationship Id="rId1" Type="http://schemas.openxmlformats.org/officeDocument/2006/relationships/oleObject" TargetMode="External" Target="file:/C:/Users/AYSUN%20CAVUSOGLU/Desktop/FUSARIUM-OXYSPORUM-20-27DERECE/GRAF&#304;KLER-20-27%20DERECE.xlsx"/><Relationship Id="rId2" Type="http://schemas.microsoft.com/office/2011/relationships/chartStyle" Target="style8.xml"/><Relationship Id="rId3" Type="http://schemas.microsoft.com/office/2011/relationships/chartColorStyle" Target="colors8.xml"/><Relationship Id="rId4"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Sheet1!$J$5</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Sheet1!$K$4:$M$4</c:f>
              <c:strCache>
                <c:ptCount val="3"/>
                <c:pt idx="0">
                  <c:v>Between 0-3rd day</c:v>
                </c:pt>
                <c:pt idx="1">
                  <c:v>Between 3rd-6th day</c:v>
                </c:pt>
                <c:pt idx="2">
                  <c:v>Between 6th-9th day</c:v>
                </c:pt>
              </c:strCache>
            </c:strRef>
          </c:cat>
          <c:val>
            <c:numRef>
              <c:f>Sheet1!$K$5:$M$5</c:f>
              <c:numCache>
                <c:formatCode>General</c:formatCode>
                <c:ptCount val="3"/>
                <c:pt idx="0">
                  <c:v>43.25</c:v>
                </c:pt>
                <c:pt idx="1">
                  <c:v>68.62</c:v>
                </c:pt>
                <c:pt idx="2">
                  <c:v>81.5</c:v>
                </c:pt>
              </c:numCache>
            </c:numRef>
          </c:val>
        </c:ser>
        <c:ser>
          <c:idx val="1"/>
          <c:order val="1"/>
          <c:tx>
            <c:strRef>
              <c:f>Sheet1!$J$6</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Sheet1!$K$4:$M$4</c:f>
              <c:strCache>
                <c:ptCount val="3"/>
                <c:pt idx="0">
                  <c:v>Between 0-3rd day</c:v>
                </c:pt>
                <c:pt idx="1">
                  <c:v>Between 3rd-6th day</c:v>
                </c:pt>
                <c:pt idx="2">
                  <c:v>Between 6th-9th day</c:v>
                </c:pt>
              </c:strCache>
            </c:strRef>
          </c:cat>
          <c:val>
            <c:numRef>
              <c:f>Sheet1!$K$6:$M$6</c:f>
              <c:numCache>
                <c:formatCode>General</c:formatCode>
                <c:ptCount val="3"/>
                <c:pt idx="0">
                  <c:v>125.0</c:v>
                </c:pt>
                <c:pt idx="1">
                  <c:v>98.88</c:v>
                </c:pt>
                <c:pt idx="2">
                  <c:v>35.0</c:v>
                </c:pt>
              </c:numCache>
            </c:numRef>
          </c:val>
        </c:ser>
        <c:dLbls>
          <c:showLegendKey val="0"/>
          <c:showVal val="1"/>
          <c:showCatName val="0"/>
          <c:showSerName val="0"/>
          <c:showPercent val="0"/>
          <c:showBubbleSize val="0"/>
        </c:dLbls>
        <c:gapWidth val="150"/>
        <c:axId val="353263688"/>
        <c:axId val="353264864"/>
      </c:barChart>
      <c:catAx>
        <c:axId val="35326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3264864"/>
        <c:crosses val="autoZero"/>
        <c:auto val="1"/>
        <c:lblAlgn val="ctr"/>
        <c:lblOffset val="100"/>
        <c:noMultiLvlLbl val="0"/>
      </c:catAx>
      <c:valAx>
        <c:axId val="35326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latin typeface="Times New Roman" panose="02020603050405020304" pitchFamily="18" charset="0"/>
                    <a:cs typeface="Times New Roman" panose="02020603050405020304" pitchFamily="18" charset="0"/>
                  </a:rPr>
                  <a:t>Mycelial</a:t>
                </a:r>
                <a:r>
                  <a:rPr lang="tr-TR" baseline="0">
                    <a:latin typeface="Times New Roman" panose="02020603050405020304" pitchFamily="18" charset="0"/>
                    <a:cs typeface="Times New Roman" panose="02020603050405020304" pitchFamily="18" charset="0"/>
                  </a:rPr>
                  <a:t> Growth Rate (%)</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26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Sheet1!$C$4:$E$4</c:f>
              <c:strCache>
                <c:ptCount val="3"/>
                <c:pt idx="0">
                  <c:v>3rd day</c:v>
                </c:pt>
                <c:pt idx="1">
                  <c:v>6th day</c:v>
                </c:pt>
                <c:pt idx="2">
                  <c:v>9th day</c:v>
                </c:pt>
              </c:strCache>
            </c:strRef>
          </c:cat>
          <c:val>
            <c:numRef>
              <c:f>Sheet1!$C$5:$E$5</c:f>
              <c:numCache>
                <c:formatCode>General</c:formatCode>
                <c:ptCount val="3"/>
                <c:pt idx="0">
                  <c:v>1.3</c:v>
                </c:pt>
                <c:pt idx="1">
                  <c:v>3.38</c:v>
                </c:pt>
                <c:pt idx="2">
                  <c:v>5.81</c:v>
                </c:pt>
              </c:numCache>
            </c:numRef>
          </c:val>
        </c:ser>
        <c:ser>
          <c:idx val="1"/>
          <c:order val="1"/>
          <c:tx>
            <c:strRef>
              <c:f>Sheet1!$B$6</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Sheet1!$C$4:$E$4</c:f>
              <c:strCache>
                <c:ptCount val="3"/>
                <c:pt idx="0">
                  <c:v>3rd day</c:v>
                </c:pt>
                <c:pt idx="1">
                  <c:v>6th day</c:v>
                </c:pt>
                <c:pt idx="2">
                  <c:v>9th day</c:v>
                </c:pt>
              </c:strCache>
            </c:strRef>
          </c:cat>
          <c:val>
            <c:numRef>
              <c:f>Sheet1!$C$6:$E$6</c:f>
              <c:numCache>
                <c:formatCode>General</c:formatCode>
                <c:ptCount val="3"/>
                <c:pt idx="0">
                  <c:v>3.75</c:v>
                </c:pt>
                <c:pt idx="1">
                  <c:v>6.71</c:v>
                </c:pt>
                <c:pt idx="2">
                  <c:v>7.76</c:v>
                </c:pt>
              </c:numCache>
            </c:numRef>
          </c:val>
        </c:ser>
        <c:dLbls>
          <c:showLegendKey val="0"/>
          <c:showVal val="1"/>
          <c:showCatName val="0"/>
          <c:showSerName val="0"/>
          <c:showPercent val="0"/>
          <c:showBubbleSize val="0"/>
        </c:dLbls>
        <c:gapWidth val="150"/>
        <c:axId val="361902488"/>
        <c:axId val="361906408"/>
      </c:barChart>
      <c:catAx>
        <c:axId val="36190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1906408"/>
        <c:crosses val="autoZero"/>
        <c:auto val="1"/>
        <c:lblAlgn val="ctr"/>
        <c:lblOffset val="100"/>
        <c:noMultiLvlLbl val="0"/>
      </c:catAx>
      <c:valAx>
        <c:axId val="361906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latin typeface="Times New Roman" panose="02020603050405020304" pitchFamily="18" charset="0"/>
                    <a:cs typeface="Times New Roman" panose="02020603050405020304" pitchFamily="18" charset="0"/>
                  </a:rPr>
                  <a:t>Colony</a:t>
                </a:r>
                <a:r>
                  <a:rPr lang="tr-TR" baseline="0">
                    <a:latin typeface="Times New Roman" panose="02020603050405020304" pitchFamily="18" charset="0"/>
                    <a:cs typeface="Times New Roman" panose="02020603050405020304" pitchFamily="18" charset="0"/>
                  </a:rPr>
                  <a:t> Diameter (cm)</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0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i="0" u="none" strike="noStrike" baseline="0">
                <a:effectLst/>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8696996853293891"/>
          <c:y val="0.8819619947506562"/>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Sheet1!$D$48</c:f>
              <c:strCache>
                <c:ptCount val="1"/>
                <c:pt idx="0">
                  <c:v>Mycelium Width</c:v>
                </c:pt>
              </c:strCache>
            </c:strRef>
          </c:tx>
          <c:spPr>
            <a:solidFill>
              <a:schemeClr val="accent6"/>
            </a:solidFill>
            <a:ln>
              <a:noFill/>
            </a:ln>
            <a:effectLst/>
          </c:spPr>
          <c:invertIfNegative val="0"/>
          <c:dPt>
            <c:idx val="0"/>
            <c:invertIfNegative val="0"/>
            <c:bubble3D val="0"/>
            <c:spPr>
              <a:solidFill>
                <a:srgbClr val="FF99C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Sheet1!$C$49:$C$50</c:f>
              <c:strCache>
                <c:ptCount val="2"/>
                <c:pt idx="0">
                  <c:v>20 °C      </c:v>
                </c:pt>
                <c:pt idx="1">
                  <c:v>27 °C        </c:v>
                </c:pt>
              </c:strCache>
            </c:strRef>
          </c:cat>
          <c:val>
            <c:numRef>
              <c:f>Sheet1!$D$49:$D$50</c:f>
              <c:numCache>
                <c:formatCode>General</c:formatCode>
                <c:ptCount val="2"/>
                <c:pt idx="0">
                  <c:v>2.64</c:v>
                </c:pt>
                <c:pt idx="1">
                  <c:v>4.95</c:v>
                </c:pt>
              </c:numCache>
            </c:numRef>
          </c:val>
        </c:ser>
        <c:dLbls>
          <c:showLegendKey val="0"/>
          <c:showVal val="1"/>
          <c:showCatName val="0"/>
          <c:showSerName val="0"/>
          <c:showPercent val="0"/>
          <c:showBubbleSize val="0"/>
        </c:dLbls>
        <c:gapWidth val="150"/>
        <c:axId val="361902880"/>
        <c:axId val="361906800"/>
      </c:barChart>
      <c:catAx>
        <c:axId val="36190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1906800"/>
        <c:crosses val="autoZero"/>
        <c:auto val="1"/>
        <c:lblAlgn val="ctr"/>
        <c:lblOffset val="100"/>
        <c:noMultiLvlLbl val="0"/>
      </c:catAx>
      <c:valAx>
        <c:axId val="36190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02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effectLst/>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8934992200708007"/>
          <c:y val="0.9030883919062833"/>
        </c:manualLayout>
      </c:layout>
      <c:overlay val="0"/>
      <c:spPr>
        <a:noFill/>
        <a:ln>
          <a:solidFill>
            <a:schemeClr val="tx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Sheet1!$B$31</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Sheet1!$C$30:$D$30</c:f>
              <c:strCache>
                <c:ptCount val="2"/>
                <c:pt idx="0">
                  <c:v>Macroconidia Legth (μm)</c:v>
                </c:pt>
                <c:pt idx="1">
                  <c:v>Macroconidia Width (μm)</c:v>
                </c:pt>
              </c:strCache>
            </c:strRef>
          </c:cat>
          <c:val>
            <c:numRef>
              <c:f>Sheet1!$C$31:$D$31</c:f>
              <c:numCache>
                <c:formatCode>General</c:formatCode>
                <c:ptCount val="2"/>
                <c:pt idx="0">
                  <c:v>25.71</c:v>
                </c:pt>
                <c:pt idx="1">
                  <c:v>3.61</c:v>
                </c:pt>
              </c:numCache>
            </c:numRef>
          </c:val>
        </c:ser>
        <c:ser>
          <c:idx val="1"/>
          <c:order val="1"/>
          <c:tx>
            <c:strRef>
              <c:f>Sheet1!$B$32</c:f>
              <c:strCache>
                <c:ptCount val="1"/>
                <c:pt idx="0">
                  <c:v>27 °C        </c:v>
                </c:pt>
              </c:strCache>
            </c:strRef>
          </c:tx>
          <c:spPr>
            <a:solidFill>
              <a:schemeClr val="accent6">
                <a:shade val="76000"/>
              </a:schemeClr>
            </a:solidFill>
            <a:ln>
              <a:noFill/>
            </a:ln>
            <a:effectLst/>
          </c:spPr>
          <c:invertIfNegative val="0"/>
          <c:dLbls>
            <c:dLbl>
              <c:idx val="1"/>
              <c:layout>
                <c:manualLayout>
                  <c:x val="-0.0040627305928395965"/>
                  <c:y val="0.0095675580488541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Sheet1!$C$30:$D$30</c:f>
              <c:strCache>
                <c:ptCount val="2"/>
                <c:pt idx="0">
                  <c:v>Macroconidia Legth (μm)</c:v>
                </c:pt>
                <c:pt idx="1">
                  <c:v>Macroconidia Width (μm)</c:v>
                </c:pt>
              </c:strCache>
            </c:strRef>
          </c:cat>
          <c:val>
            <c:numRef>
              <c:f>Sheet1!$C$32:$D$32</c:f>
              <c:numCache>
                <c:formatCode>General</c:formatCode>
                <c:ptCount val="2"/>
                <c:pt idx="0">
                  <c:v>12.24</c:v>
                </c:pt>
                <c:pt idx="1">
                  <c:v>2.76</c:v>
                </c:pt>
              </c:numCache>
            </c:numRef>
          </c:val>
        </c:ser>
        <c:dLbls>
          <c:showLegendKey val="0"/>
          <c:showVal val="1"/>
          <c:showCatName val="0"/>
          <c:showSerName val="0"/>
          <c:showPercent val="0"/>
          <c:showBubbleSize val="0"/>
        </c:dLbls>
        <c:gapWidth val="150"/>
        <c:axId val="361907584"/>
        <c:axId val="361905232"/>
      </c:barChart>
      <c:catAx>
        <c:axId val="361907584"/>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tr-TR" sz="800">
                    <a:latin typeface="Times New Roman" panose="02020603050405020304" pitchFamily="18" charset="0"/>
                    <a:cs typeface="Times New Roman" panose="02020603050405020304" pitchFamily="18" charset="0"/>
                  </a:rPr>
                  <a:t>Macroconidia </a:t>
                </a:r>
              </a:p>
              <a:p>
                <a:pPr>
                  <a:defRPr sz="800"/>
                </a:pPr>
                <a:r>
                  <a:rPr lang="tr-TR" sz="800">
                    <a:latin typeface="Times New Roman" panose="02020603050405020304" pitchFamily="18" charset="0"/>
                    <a:cs typeface="Times New Roman" panose="02020603050405020304" pitchFamily="18" charset="0"/>
                  </a:rPr>
                  <a:t>Length (µm)               Width (</a:t>
                </a:r>
                <a:r>
                  <a:rPr lang="tr-TR" sz="8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(µm) </a:t>
                </a:r>
                <a:endParaRPr lang="en-US" sz="800">
                  <a:latin typeface="Times New Roman" panose="02020603050405020304" pitchFamily="18" charset="0"/>
                  <a:cs typeface="Times New Roman" panose="02020603050405020304" pitchFamily="18" charset="0"/>
                </a:endParaRPr>
              </a:p>
            </c:rich>
          </c:tx>
          <c:layout>
            <c:manualLayout>
              <c:xMode val="edge"/>
              <c:yMode val="edge"/>
              <c:x val="0.21974874137174136"/>
              <c:y val="0.76072752886719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361905232"/>
        <c:crosses val="autoZero"/>
        <c:auto val="1"/>
        <c:lblAlgn val="ctr"/>
        <c:lblOffset val="100"/>
        <c:noMultiLvlLbl val="0"/>
      </c:catAx>
      <c:valAx>
        <c:axId val="36190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0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b</a:t>
            </a:r>
            <a:endParaRPr lang="en-US"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layout>
        <c:manualLayout>
          <c:xMode val="edge"/>
          <c:yMode val="edge"/>
          <c:x val="0.8940133195094385"/>
          <c:y val="0.9059705938011665"/>
        </c:manualLayout>
      </c:layout>
      <c:overlay val="0"/>
      <c:spPr>
        <a:noFill/>
        <a:ln>
          <a:solidFill>
            <a:schemeClr val="tx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Sheet1!$P$32</c:f>
              <c:strCache>
                <c:ptCount val="1"/>
                <c:pt idx="0">
                  <c:v>20 °C      </c:v>
                </c:pt>
              </c:strCache>
            </c:strRef>
          </c:tx>
          <c:spPr>
            <a:solidFill>
              <a:schemeClr val="accent6">
                <a:tint val="77000"/>
              </a:schemeClr>
            </a:solidFill>
            <a:ln>
              <a:noFill/>
            </a:ln>
            <a:effectLst/>
          </c:spPr>
          <c:invertIfNegative val="0"/>
          <c:dLbls>
            <c:dLbl>
              <c:idx val="1"/>
              <c:layout>
                <c:manualLayout>
                  <c:x val="-0.0022140648789007265"/>
                  <c:y val="0.01147812636273130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Sheet1!$Q$31:$R$31</c:f>
              <c:strCache>
                <c:ptCount val="2"/>
                <c:pt idx="0">
                  <c:v>Microconidia Legth(μm)</c:v>
                </c:pt>
                <c:pt idx="1">
                  <c:v>Microconidia Width (μm)</c:v>
                </c:pt>
              </c:strCache>
            </c:strRef>
          </c:cat>
          <c:val>
            <c:numRef>
              <c:f>Sheet1!$Q$32:$R$32</c:f>
              <c:numCache>
                <c:formatCode>General</c:formatCode>
                <c:ptCount val="2"/>
                <c:pt idx="0">
                  <c:v>7.23</c:v>
                </c:pt>
                <c:pt idx="1">
                  <c:v>2.47</c:v>
                </c:pt>
              </c:numCache>
            </c:numRef>
          </c:val>
        </c:ser>
        <c:ser>
          <c:idx val="1"/>
          <c:order val="1"/>
          <c:tx>
            <c:strRef>
              <c:f>Sheet1!$P$33</c:f>
              <c:strCache>
                <c:ptCount val="1"/>
                <c:pt idx="0">
                  <c:v>27 °C        </c:v>
                </c:pt>
              </c:strCache>
            </c:strRef>
          </c:tx>
          <c:spPr>
            <a:solidFill>
              <a:schemeClr val="accent6">
                <a:shade val="76000"/>
              </a:schemeClr>
            </a:solidFill>
            <a:ln>
              <a:noFill/>
            </a:ln>
            <a:effectLst/>
          </c:spPr>
          <c:invertIfNegative val="0"/>
          <c:dLbls>
            <c:dLbl>
              <c:idx val="0"/>
              <c:layout>
                <c:manualLayout>
                  <c:x val="0.001720514473057416"/>
                  <c:y val="0.005948707822180496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025308936027123854"/>
                  <c:y val="-0.02349797184442853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Sheet1!$Q$31:$R$31</c:f>
              <c:strCache>
                <c:ptCount val="2"/>
                <c:pt idx="0">
                  <c:v>Microconidia Legth(μm)</c:v>
                </c:pt>
                <c:pt idx="1">
                  <c:v>Microconidia Width (μm)</c:v>
                </c:pt>
              </c:strCache>
            </c:strRef>
          </c:cat>
          <c:val>
            <c:numRef>
              <c:f>Sheet1!$Q$33:$R$33</c:f>
              <c:numCache>
                <c:formatCode>General</c:formatCode>
                <c:ptCount val="2"/>
                <c:pt idx="0">
                  <c:v>6.85</c:v>
                </c:pt>
                <c:pt idx="1">
                  <c:v>3.08</c:v>
                </c:pt>
              </c:numCache>
            </c:numRef>
          </c:val>
        </c:ser>
        <c:dLbls>
          <c:showLegendKey val="0"/>
          <c:showVal val="1"/>
          <c:showCatName val="0"/>
          <c:showSerName val="0"/>
          <c:showPercent val="0"/>
          <c:showBubbleSize val="0"/>
        </c:dLbls>
        <c:gapWidth val="150"/>
        <c:axId val="361904840"/>
        <c:axId val="361903664"/>
      </c:barChart>
      <c:catAx>
        <c:axId val="361904840"/>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tr-TR" sz="800">
                    <a:latin typeface="Times New Roman" panose="02020603050405020304" pitchFamily="18" charset="0"/>
                    <a:cs typeface="Times New Roman" panose="02020603050405020304" pitchFamily="18" charset="0"/>
                  </a:rPr>
                  <a:t>Microconidia </a:t>
                </a:r>
              </a:p>
              <a:p>
                <a:pPr>
                  <a:defRPr sz="800"/>
                </a:pPr>
                <a:r>
                  <a:rPr lang="tr-TR" sz="800">
                    <a:latin typeface="Times New Roman" panose="02020603050405020304" pitchFamily="18" charset="0"/>
                    <a:cs typeface="Times New Roman" panose="02020603050405020304" pitchFamily="18" charset="0"/>
                  </a:rPr>
                  <a:t>Length (µm)              Width (µm)</a:t>
                </a:r>
                <a:endParaRPr lang="en-US" sz="800">
                  <a:latin typeface="Times New Roman" panose="02020603050405020304" pitchFamily="18" charset="0"/>
                  <a:cs typeface="Times New Roman" panose="02020603050405020304" pitchFamily="18" charset="0"/>
                </a:endParaRPr>
              </a:p>
            </c:rich>
          </c:tx>
          <c:layout>
            <c:manualLayout>
              <c:xMode val="edge"/>
              <c:yMode val="edge"/>
              <c:x val="0.20362783833515471"/>
              <c:y val="0.78109018504348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61903664"/>
        <c:crosses val="autoZero"/>
        <c:auto val="1"/>
        <c:lblAlgn val="ctr"/>
        <c:lblOffset val="100"/>
        <c:noMultiLvlLbl val="0"/>
      </c:catAx>
      <c:valAx>
        <c:axId val="36190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0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a</a:t>
            </a:r>
          </a:p>
        </c:rich>
      </c:tx>
      <c:layout>
        <c:manualLayout>
          <c:xMode val="edge"/>
          <c:yMode val="edge"/>
          <c:x val="0.9391406861731783"/>
          <c:y val="0.896969696969697"/>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Sheet1!$V$7</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Sheet1!$W$6:$AB$6</c:f>
              <c:strCache>
                <c:ptCount val="6"/>
                <c:pt idx="0">
                  <c:v>Front Red</c:v>
                </c:pt>
                <c:pt idx="1">
                  <c:v>Front Green</c:v>
                </c:pt>
                <c:pt idx="2">
                  <c:v>Front Blue</c:v>
                </c:pt>
                <c:pt idx="3">
                  <c:v>Back Red</c:v>
                </c:pt>
                <c:pt idx="4">
                  <c:v>Back Green</c:v>
                </c:pt>
                <c:pt idx="5">
                  <c:v>Back Blue</c:v>
                </c:pt>
              </c:strCache>
            </c:strRef>
          </c:cat>
          <c:val>
            <c:numRef>
              <c:f>Sheet1!$W$7:$AB$7</c:f>
              <c:numCache>
                <c:formatCode>General</c:formatCode>
                <c:ptCount val="6"/>
                <c:pt idx="0">
                  <c:v>160.5</c:v>
                </c:pt>
                <c:pt idx="1">
                  <c:v>154.6</c:v>
                </c:pt>
                <c:pt idx="2">
                  <c:v>151.2</c:v>
                </c:pt>
                <c:pt idx="3">
                  <c:v>169.9</c:v>
                </c:pt>
                <c:pt idx="4">
                  <c:v>161.8</c:v>
                </c:pt>
                <c:pt idx="5">
                  <c:v>151.4</c:v>
                </c:pt>
              </c:numCache>
            </c:numRef>
          </c:val>
        </c:ser>
        <c:ser>
          <c:idx val="1"/>
          <c:order val="1"/>
          <c:tx>
            <c:strRef>
              <c:f>Sheet1!$V$8</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Sheet1!$W$6:$AB$6</c:f>
              <c:strCache>
                <c:ptCount val="6"/>
                <c:pt idx="0">
                  <c:v>Front Red</c:v>
                </c:pt>
                <c:pt idx="1">
                  <c:v>Front Green</c:v>
                </c:pt>
                <c:pt idx="2">
                  <c:v>Front Blue</c:v>
                </c:pt>
                <c:pt idx="3">
                  <c:v>Back Red</c:v>
                </c:pt>
                <c:pt idx="4">
                  <c:v>Back Green</c:v>
                </c:pt>
                <c:pt idx="5">
                  <c:v>Back Blue</c:v>
                </c:pt>
              </c:strCache>
            </c:strRef>
          </c:cat>
          <c:val>
            <c:numRef>
              <c:f>Sheet1!$W$8:$AB$8</c:f>
              <c:numCache>
                <c:formatCode>General</c:formatCode>
                <c:ptCount val="6"/>
                <c:pt idx="0">
                  <c:v>154.4</c:v>
                </c:pt>
                <c:pt idx="1">
                  <c:v>134.1</c:v>
                </c:pt>
                <c:pt idx="2">
                  <c:v>128.5</c:v>
                </c:pt>
                <c:pt idx="3">
                  <c:v>150.2</c:v>
                </c:pt>
                <c:pt idx="4">
                  <c:v>111.7</c:v>
                </c:pt>
                <c:pt idx="5">
                  <c:v>95.8</c:v>
                </c:pt>
              </c:numCache>
            </c:numRef>
          </c:val>
        </c:ser>
        <c:dLbls>
          <c:dLblPos val="outEnd"/>
          <c:showLegendKey val="0"/>
          <c:showVal val="1"/>
          <c:showCatName val="0"/>
          <c:showSerName val="0"/>
          <c:showPercent val="0"/>
          <c:showBubbleSize val="0"/>
        </c:dLbls>
        <c:gapWidth val="219"/>
        <c:overlap val="-27"/>
        <c:axId val="359090760"/>
        <c:axId val="359085272"/>
      </c:barChart>
      <c:catAx>
        <c:axId val="35909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9085272"/>
        <c:crosses val="autoZero"/>
        <c:auto val="1"/>
        <c:lblAlgn val="ctr"/>
        <c:lblOffset val="100"/>
        <c:noMultiLvlLbl val="0"/>
      </c:catAx>
      <c:valAx>
        <c:axId val="359085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09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b</a:t>
            </a:r>
          </a:p>
        </c:rich>
      </c:tx>
      <c:layout>
        <c:manualLayout>
          <c:xMode val="edge"/>
          <c:yMode val="edge"/>
          <c:x val="0.9423044368257796"/>
          <c:y val="0.8834688346883469"/>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Sheet1!$V$11</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Sheet1!$W$10:$AB$10</c:f>
              <c:strCache>
                <c:ptCount val="6"/>
                <c:pt idx="0">
                  <c:v>Front Red</c:v>
                </c:pt>
                <c:pt idx="1">
                  <c:v>Front Green</c:v>
                </c:pt>
                <c:pt idx="2">
                  <c:v>Front Blue</c:v>
                </c:pt>
                <c:pt idx="3">
                  <c:v>Back Red</c:v>
                </c:pt>
                <c:pt idx="4">
                  <c:v>Back Green</c:v>
                </c:pt>
                <c:pt idx="5">
                  <c:v>Back Blue</c:v>
                </c:pt>
              </c:strCache>
            </c:strRef>
          </c:cat>
          <c:val>
            <c:numRef>
              <c:f>Sheet1!$W$11:$AB$11</c:f>
              <c:numCache>
                <c:formatCode>General</c:formatCode>
                <c:ptCount val="6"/>
                <c:pt idx="0">
                  <c:v>153.9</c:v>
                </c:pt>
                <c:pt idx="1">
                  <c:v>145.4</c:v>
                </c:pt>
                <c:pt idx="2">
                  <c:v>137.5</c:v>
                </c:pt>
                <c:pt idx="3">
                  <c:v>159.1</c:v>
                </c:pt>
                <c:pt idx="4">
                  <c:v>148.8</c:v>
                </c:pt>
                <c:pt idx="5">
                  <c:v>138.7</c:v>
                </c:pt>
              </c:numCache>
            </c:numRef>
          </c:val>
        </c:ser>
        <c:ser>
          <c:idx val="1"/>
          <c:order val="1"/>
          <c:tx>
            <c:strRef>
              <c:f>Sheet1!$V$12</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Sheet1!$W$10:$AB$10</c:f>
              <c:strCache>
                <c:ptCount val="6"/>
                <c:pt idx="0">
                  <c:v>Front Red</c:v>
                </c:pt>
                <c:pt idx="1">
                  <c:v>Front Green</c:v>
                </c:pt>
                <c:pt idx="2">
                  <c:v>Front Blue</c:v>
                </c:pt>
                <c:pt idx="3">
                  <c:v>Back Red</c:v>
                </c:pt>
                <c:pt idx="4">
                  <c:v>Back Green</c:v>
                </c:pt>
                <c:pt idx="5">
                  <c:v>Back Blue</c:v>
                </c:pt>
              </c:strCache>
            </c:strRef>
          </c:cat>
          <c:val>
            <c:numRef>
              <c:f>Sheet1!$W$12:$AB$12</c:f>
              <c:numCache>
                <c:formatCode>General</c:formatCode>
                <c:ptCount val="6"/>
                <c:pt idx="0">
                  <c:v>133.9</c:v>
                </c:pt>
                <c:pt idx="1">
                  <c:v>101.0</c:v>
                </c:pt>
                <c:pt idx="2">
                  <c:v>98.7</c:v>
                </c:pt>
                <c:pt idx="3">
                  <c:v>117.6</c:v>
                </c:pt>
                <c:pt idx="4">
                  <c:v>83.3</c:v>
                </c:pt>
                <c:pt idx="5">
                  <c:v>75.5</c:v>
                </c:pt>
              </c:numCache>
            </c:numRef>
          </c:val>
        </c:ser>
        <c:dLbls>
          <c:dLblPos val="outEnd"/>
          <c:showLegendKey val="0"/>
          <c:showVal val="1"/>
          <c:showCatName val="0"/>
          <c:showSerName val="0"/>
          <c:showPercent val="0"/>
          <c:showBubbleSize val="0"/>
        </c:dLbls>
        <c:gapWidth val="219"/>
        <c:overlap val="-27"/>
        <c:axId val="359085664"/>
        <c:axId val="359089976"/>
      </c:barChart>
      <c:catAx>
        <c:axId val="3590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9089976"/>
        <c:crosses val="autoZero"/>
        <c:auto val="1"/>
        <c:lblAlgn val="ctr"/>
        <c:lblOffset val="100"/>
        <c:noMultiLvlLbl val="0"/>
      </c:catAx>
      <c:valAx>
        <c:axId val="359089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08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c</a:t>
            </a:r>
          </a:p>
        </c:rich>
      </c:tx>
      <c:layout>
        <c:manualLayout>
          <c:xMode val="edge"/>
          <c:yMode val="edge"/>
          <c:x val="0.9358695018195192"/>
          <c:y val="0.8700564971751412"/>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Sheet1!$V$16</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Sheet1!$W$15:$AB$15</c:f>
              <c:strCache>
                <c:ptCount val="6"/>
                <c:pt idx="0">
                  <c:v>Front Red</c:v>
                </c:pt>
                <c:pt idx="1">
                  <c:v>Front Green</c:v>
                </c:pt>
                <c:pt idx="2">
                  <c:v>Front Blue</c:v>
                </c:pt>
                <c:pt idx="3">
                  <c:v>Back Red</c:v>
                </c:pt>
                <c:pt idx="4">
                  <c:v>Back Green</c:v>
                </c:pt>
                <c:pt idx="5">
                  <c:v>Back Blue</c:v>
                </c:pt>
              </c:strCache>
            </c:strRef>
          </c:cat>
          <c:val>
            <c:numRef>
              <c:f>Sheet1!$W$16:$AB$16</c:f>
              <c:numCache>
                <c:formatCode>General</c:formatCode>
                <c:ptCount val="6"/>
                <c:pt idx="0">
                  <c:v>160.0</c:v>
                </c:pt>
                <c:pt idx="1">
                  <c:v>150.7</c:v>
                </c:pt>
                <c:pt idx="2">
                  <c:v>143.1</c:v>
                </c:pt>
                <c:pt idx="3">
                  <c:v>163.8</c:v>
                </c:pt>
                <c:pt idx="4">
                  <c:v>146.4</c:v>
                </c:pt>
                <c:pt idx="5">
                  <c:v>135.7</c:v>
                </c:pt>
              </c:numCache>
            </c:numRef>
          </c:val>
        </c:ser>
        <c:ser>
          <c:idx val="1"/>
          <c:order val="1"/>
          <c:tx>
            <c:strRef>
              <c:f>Sheet1!$V$17</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Sheet1!$W$15:$AB$15</c:f>
              <c:strCache>
                <c:ptCount val="6"/>
                <c:pt idx="0">
                  <c:v>Front Red</c:v>
                </c:pt>
                <c:pt idx="1">
                  <c:v>Front Green</c:v>
                </c:pt>
                <c:pt idx="2">
                  <c:v>Front Blue</c:v>
                </c:pt>
                <c:pt idx="3">
                  <c:v>Back Red</c:v>
                </c:pt>
                <c:pt idx="4">
                  <c:v>Back Green</c:v>
                </c:pt>
                <c:pt idx="5">
                  <c:v>Back Blue</c:v>
                </c:pt>
              </c:strCache>
            </c:strRef>
          </c:cat>
          <c:val>
            <c:numRef>
              <c:f>Sheet1!$W$17:$AB$17</c:f>
              <c:numCache>
                <c:formatCode>General</c:formatCode>
                <c:ptCount val="6"/>
                <c:pt idx="0">
                  <c:v>128.9</c:v>
                </c:pt>
                <c:pt idx="1">
                  <c:v>101.8</c:v>
                </c:pt>
                <c:pt idx="2">
                  <c:v>102.9</c:v>
                </c:pt>
                <c:pt idx="3">
                  <c:v>97.9</c:v>
                </c:pt>
                <c:pt idx="4">
                  <c:v>73.1</c:v>
                </c:pt>
                <c:pt idx="5">
                  <c:v>75.8</c:v>
                </c:pt>
              </c:numCache>
            </c:numRef>
          </c:val>
        </c:ser>
        <c:dLbls>
          <c:dLblPos val="outEnd"/>
          <c:showLegendKey val="0"/>
          <c:showVal val="1"/>
          <c:showCatName val="0"/>
          <c:showSerName val="0"/>
          <c:showPercent val="0"/>
          <c:showBubbleSize val="0"/>
        </c:dLbls>
        <c:gapWidth val="219"/>
        <c:overlap val="-27"/>
        <c:axId val="359088800"/>
        <c:axId val="359088016"/>
      </c:barChart>
      <c:catAx>
        <c:axId val="35908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9088016"/>
        <c:crosses val="autoZero"/>
        <c:auto val="1"/>
        <c:lblAlgn val="ctr"/>
        <c:lblOffset val="100"/>
        <c:noMultiLvlLbl val="0"/>
      </c:catAx>
      <c:valAx>
        <c:axId val="35908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08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5.xml><?xml version="1.0" encoding="utf-8"?>
<c:userShapes xmlns:c="http://schemas.openxmlformats.org/drawingml/2006/chart">
  <cdr:relSizeAnchor xmlns:cdr="http://schemas.openxmlformats.org/drawingml/2006/chartDrawing">
    <cdr:from>
      <cdr:x>0.87051</cdr:x>
      <cdr:y>0.87848</cdr:y>
    </cdr:from>
    <cdr:to>
      <cdr:x>0.97952</cdr:x>
      <cdr:y>0.98658</cdr:y>
    </cdr:to>
    <cdr:sp macro="" textlink="">
      <cdr:nvSpPr>
        <cdr:cNvPr id="3" name="Text Box 2"/>
        <cdr:cNvSpPr txBox="1"/>
      </cdr:nvSpPr>
      <cdr:spPr>
        <a:xfrm xmlns:a="http://schemas.openxmlformats.org/drawingml/2006/main">
          <a:off x="2027582" y="2067340"/>
          <a:ext cx="253895" cy="25438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anose="02020603050405020304" pitchFamily="18" charset="0"/>
              <a:cs typeface="Times New Roman" panose="020206030504050203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0.887</cdr:x>
      <cdr:y>0.8695</cdr:y>
    </cdr:from>
    <cdr:to>
      <cdr:x>0.97438</cdr:x>
      <cdr:y>0.97309</cdr:y>
    </cdr:to>
    <cdr:sp macro="" textlink="">
      <cdr:nvSpPr>
        <cdr:cNvPr id="2" name="Text Box 1"/>
        <cdr:cNvSpPr txBox="1"/>
      </cdr:nvSpPr>
      <cdr:spPr>
        <a:xfrm xmlns:a="http://schemas.openxmlformats.org/drawingml/2006/main">
          <a:off x="2143711" y="2046212"/>
          <a:ext cx="211181" cy="243764"/>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a</a:t>
          </a:r>
          <a:endParaRPr lang="tr-TR" sz="12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10.xml.rels><?xml version="1.0" encoding="UTF-8"?>
<Relationships xmlns="http://schemas.openxmlformats.org/package/2006/relationships"><Relationship Id="rId1" Type="http://schemas.openxmlformats.org/officeDocument/2006/relationships/customXmlProps" Target="itemProps10.xml"/></Relationships>
</file>

<file path=customXml/_rels/item11.xml.rels><?xml version="1.0" encoding="UTF-8"?>
<Relationships xmlns="http://schemas.openxmlformats.org/package/2006/relationships"><Relationship Id="rId1" Type="http://schemas.openxmlformats.org/officeDocument/2006/relationships/customXmlProps" Target="itemProps11.xml"/></Relationships>
</file>

<file path=customXml/_rels/item12.xml.rels><?xml version="1.0" encoding="UTF-8"?>
<Relationships xmlns="http://schemas.openxmlformats.org/package/2006/relationships"><Relationship Id="rId1" Type="http://schemas.openxmlformats.org/officeDocument/2006/relationships/customXmlProps" Target="itemProps12.xml"/></Relationships>
</file>

<file path=customXml/_rels/item13.xml.rels><?xml version="1.0" encoding="UTF-8"?>
<Relationships xmlns="http://schemas.openxmlformats.org/package/2006/relationships"><Relationship Id="rId1" Type="http://schemas.openxmlformats.org/officeDocument/2006/relationships/customXmlProps" Target="itemProps13.xml"/></Relationships>
</file>

<file path=customXml/_rels/item14.xml.rels><?xml version="1.0" encoding="UTF-8"?>
<Relationships xmlns="http://schemas.openxmlformats.org/package/2006/relationships"><Relationship Id="rId1" Type="http://schemas.openxmlformats.org/officeDocument/2006/relationships/customXmlProps" Target="itemProps14.xml"/></Relationships>
</file>

<file path=customXml/_rels/item15.xml.rels><?xml version="1.0" encoding="UTF-8"?>
<Relationships xmlns="http://schemas.openxmlformats.org/package/2006/relationships"><Relationship Id="rId1" Type="http://schemas.openxmlformats.org/officeDocument/2006/relationships/customXmlProps" Target="itemProps15.xml"/></Relationships>
</file>

<file path=customXml/_rels/item16.xml.rels><?xml version="1.0" encoding="UTF-8"?>
<Relationships xmlns="http://schemas.openxmlformats.org/package/2006/relationships"><Relationship Id="rId1" Type="http://schemas.openxmlformats.org/officeDocument/2006/relationships/customXmlProps" Target="itemProps16.xml"/></Relationships>
</file>

<file path=customXml/_rels/item17.xml.rels><?xml version="1.0" encoding="UTF-8"?>
<Relationships xmlns="http://schemas.openxmlformats.org/package/2006/relationships"><Relationship Id="rId1" Type="http://schemas.openxmlformats.org/officeDocument/2006/relationships/customXmlProps" Target="itemProps17.xml"/></Relationships>
</file>

<file path=customXml/_rels/item18.xml.rels><?xml version="1.0" encoding="UTF-8"?>
<Relationships xmlns="http://schemas.openxmlformats.org/package/2006/relationships"><Relationship Id="rId1" Type="http://schemas.openxmlformats.org/officeDocument/2006/relationships/customXmlProps" Target="itemProps18.xml"/></Relationships>
</file>

<file path=customXml/_rels/item19.xml.rels><?xml version="1.0" encoding="UTF-8"?>
<Relationships xmlns="http://schemas.openxmlformats.org/package/2006/relationships"><Relationship Id="rId1" Type="http://schemas.openxmlformats.org/officeDocument/2006/relationships/customXmlProps" Target="itemProps19.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20.xml.rels><?xml version="1.0" encoding="UTF-8"?>
<Relationships xmlns="http://schemas.openxmlformats.org/package/2006/relationships"><Relationship Id="rId1" Type="http://schemas.openxmlformats.org/officeDocument/2006/relationships/customXmlProps" Target="itemProps20.xml"/></Relationships>
</file>

<file path=customXml/_rels/item21.xml.rels><?xml version="1.0" encoding="UTF-8"?>
<Relationships xmlns="http://schemas.openxmlformats.org/package/2006/relationships"><Relationship Id="rId1" Type="http://schemas.openxmlformats.org/officeDocument/2006/relationships/customXmlProps" Target="itemProps21.xml"/></Relationships>
</file>

<file path=customXml/_rels/item22.xml.rels><?xml version="1.0" encoding="UTF-8"?>
<Relationships xmlns="http://schemas.openxmlformats.org/package/2006/relationships"><Relationship Id="rId1" Type="http://schemas.openxmlformats.org/officeDocument/2006/relationships/customXmlProps" Target="itemProps22.xml"/></Relationships>
</file>

<file path=customXml/_rels/item23.xml.rels><?xml version="1.0" encoding="UTF-8"?>
<Relationships xmlns="http://schemas.openxmlformats.org/package/2006/relationships"><Relationship Id="rId1" Type="http://schemas.openxmlformats.org/officeDocument/2006/relationships/customXmlProps" Target="itemProps23.xml"/></Relationships>
</file>

<file path=customXml/_rels/item24.xml.rels><?xml version="1.0" encoding="UTF-8"?>
<Relationships xmlns="http://schemas.openxmlformats.org/package/2006/relationships"><Relationship Id="rId1" Type="http://schemas.openxmlformats.org/officeDocument/2006/relationships/customXmlProps" Target="itemProps24.xml"/></Relationships>
</file>

<file path=customXml/_rels/item25.xml.rels><?xml version="1.0" encoding="UTF-8"?>
<Relationships xmlns="http://schemas.openxmlformats.org/package/2006/relationships"><Relationship Id="rId1" Type="http://schemas.openxmlformats.org/officeDocument/2006/relationships/customXmlProps" Target="itemProps25.xml"/></Relationships>
</file>

<file path=customXml/_rels/item26.xml.rels><?xml version="1.0" encoding="UTF-8"?>
<Relationships xmlns="http://schemas.openxmlformats.org/package/2006/relationships"><Relationship Id="rId1" Type="http://schemas.openxmlformats.org/officeDocument/2006/relationships/customXmlProps" Target="itemProps26.xml"/></Relationships>
</file>

<file path=customXml/_rels/item27.xml.rels><?xml version="1.0" encoding="UTF-8"?>
<Relationships xmlns="http://schemas.openxmlformats.org/package/2006/relationships"><Relationship Id="rId1" Type="http://schemas.openxmlformats.org/officeDocument/2006/relationships/customXmlProps" Target="itemProps27.xml"/></Relationships>
</file>

<file path=customXml/_rels/item28.xml.rels><?xml version="1.0" encoding="UTF-8"?>
<Relationships xmlns="http://schemas.openxmlformats.org/package/2006/relationships"><Relationship Id="rId1" Type="http://schemas.openxmlformats.org/officeDocument/2006/relationships/customXmlProps" Target="itemProps28.xml"/></Relationships>
</file>

<file path=customXml/_rels/item29.xml.rels><?xml version="1.0" encoding="UTF-8"?>
<Relationships xmlns="http://schemas.openxmlformats.org/package/2006/relationships"><Relationship Id="rId1" Type="http://schemas.openxmlformats.org/officeDocument/2006/relationships/customXmlProps" Target="itemProps29.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30.xml.rels><?xml version="1.0" encoding="UTF-8"?>
<Relationships xmlns="http://schemas.openxmlformats.org/package/2006/relationships"><Relationship Id="rId1" Type="http://schemas.openxmlformats.org/officeDocument/2006/relationships/customXmlProps" Target="itemProps30.xml"/></Relationships>
</file>

<file path=customXml/_rels/item31.xml.rels><?xml version="1.0" encoding="UTF-8"?>
<Relationships xmlns="http://schemas.openxmlformats.org/package/2006/relationships"><Relationship Id="rId1" Type="http://schemas.openxmlformats.org/officeDocument/2006/relationships/customXmlProps" Target="itemProps31.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_rels/item8.xml.rels><?xml version="1.0" encoding="UTF-8"?>
<Relationships xmlns="http://schemas.openxmlformats.org/package/2006/relationships"><Relationship Id="rId1" Type="http://schemas.openxmlformats.org/officeDocument/2006/relationships/customXmlProps" Target="itemProps8.xml"/></Relationships>
</file>

<file path=customXml/_rels/item9.xml.rels><?xml version="1.0" encoding="UTF-8"?>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31d3f021-9d33-4d7e-8b97-9c6084d94faf}">
  <ds:schemaRefs>
    <ds:schemaRef ds:uri="http://www.wps.cn/android/officeDocument/2013/mofficeCustomData"/>
  </ds:schemaRefs>
</ds:datastoreItem>
</file>

<file path=customXml/itemProps10.xml><?xml version="1.0" encoding="utf-8"?>
<ds:datastoreItem xmlns:ds="http://schemas.openxmlformats.org/officeDocument/2006/customXml" ds:itemID="{d4f943f0-8c1f-48a4-8dd7-137a2b69f8c0}">
  <ds:schemaRefs>
    <ds:schemaRef ds:uri="http://www.wps.cn/android/officeDocument/2013/mofficeCustomData"/>
  </ds:schemaRefs>
</ds:datastoreItem>
</file>

<file path=customXml/itemProps11.xml><?xml version="1.0" encoding="utf-8"?>
<ds:datastoreItem xmlns:ds="http://schemas.openxmlformats.org/officeDocument/2006/customXml" ds:itemID="{056e36ce-a2ce-46d5-a4f3-f9dc47f6243f}">
  <ds:schemaRefs>
    <ds:schemaRef ds:uri="http://www.wps.cn/android/officeDocument/2013/mofficeCustomData"/>
  </ds:schemaRefs>
</ds:datastoreItem>
</file>

<file path=customXml/itemProps12.xml><?xml version="1.0" encoding="utf-8"?>
<ds:datastoreItem xmlns:ds="http://schemas.openxmlformats.org/officeDocument/2006/customXml" ds:itemID="{cb8cd503-1a12-4135-885e-b7983de011d6}">
  <ds:schemaRefs>
    <ds:schemaRef ds:uri="http://www.wps.cn/android/officeDocument/2013/mofficeCustomData"/>
  </ds:schemaRefs>
</ds:datastoreItem>
</file>

<file path=customXml/itemProps13.xml><?xml version="1.0" encoding="utf-8"?>
<ds:datastoreItem xmlns:ds="http://schemas.openxmlformats.org/officeDocument/2006/customXml" ds:itemID="{35b79f48-013d-4afb-b972-967c6e9ea9e6}">
  <ds:schemaRefs>
    <ds:schemaRef ds:uri="http://www.wps.cn/android/officeDocument/2013/mofficeCustomData"/>
  </ds:schemaRefs>
</ds:datastoreItem>
</file>

<file path=customXml/itemProps14.xml><?xml version="1.0" encoding="utf-8"?>
<ds:datastoreItem xmlns:ds="http://schemas.openxmlformats.org/officeDocument/2006/customXml" ds:itemID="{e93b9c5a-049a-40c2-925a-70b3d5ab45c4}">
  <ds:schemaRefs>
    <ds:schemaRef ds:uri="http://www.wps.cn/android/officeDocument/2013/mofficeCustomData"/>
  </ds:schemaRefs>
</ds:datastoreItem>
</file>

<file path=customXml/itemProps15.xml><?xml version="1.0" encoding="utf-8"?>
<ds:datastoreItem xmlns:ds="http://schemas.openxmlformats.org/officeDocument/2006/customXml" ds:itemID="{5b7022a4-2952-46bf-bafd-c5dfe3e87774}">
  <ds:schemaRefs>
    <ds:schemaRef ds:uri="http://www.wps.cn/android/officeDocument/2013/mofficeCustomData"/>
  </ds:schemaRefs>
</ds:datastoreItem>
</file>

<file path=customXml/itemProps16.xml><?xml version="1.0" encoding="utf-8"?>
<ds:datastoreItem xmlns:ds="http://schemas.openxmlformats.org/officeDocument/2006/customXml" ds:itemID="{ea5435f2-0099-4c13-8850-5063d77760fe}">
  <ds:schemaRefs>
    <ds:schemaRef ds:uri="http://www.wps.cn/android/officeDocument/2013/mofficeCustomData"/>
  </ds:schemaRefs>
</ds:datastoreItem>
</file>

<file path=customXml/itemProps17.xml><?xml version="1.0" encoding="utf-8"?>
<ds:datastoreItem xmlns:ds="http://schemas.openxmlformats.org/officeDocument/2006/customXml" ds:itemID="{4e3ea9d7-abc7-455f-9b19-e8195b5de221}">
  <ds:schemaRefs>
    <ds:schemaRef ds:uri="http://www.wps.cn/android/officeDocument/2013/mofficeCustomData"/>
  </ds:schemaRefs>
</ds:datastoreItem>
</file>

<file path=customXml/itemProps18.xml><?xml version="1.0" encoding="utf-8"?>
<ds:datastoreItem xmlns:ds="http://schemas.openxmlformats.org/officeDocument/2006/customXml" ds:itemID="{f07c29b8-ff88-4a8c-9ba5-9d51b06d08fc}">
  <ds:schemaRefs>
    <ds:schemaRef ds:uri="http://www.wps.cn/android/officeDocument/2013/mofficeCustomData"/>
  </ds:schemaRefs>
</ds:datastoreItem>
</file>

<file path=customXml/itemProps19.xml><?xml version="1.0" encoding="utf-8"?>
<ds:datastoreItem xmlns:ds="http://schemas.openxmlformats.org/officeDocument/2006/customXml" ds:itemID="{636c4f7d-b9d4-43e2-ba37-958639de29b0}">
  <ds:schemaRefs>
    <ds:schemaRef ds:uri="http://www.wps.cn/android/officeDocument/2013/mofficeCustomData"/>
  </ds:schemaRefs>
</ds:datastoreItem>
</file>

<file path=customXml/itemProps2.xml><?xml version="1.0" encoding="utf-8"?>
<ds:datastoreItem xmlns:ds="http://schemas.openxmlformats.org/officeDocument/2006/customXml" ds:itemID="{3a71d7c8-2ca0-4960-b850-bc7b5a6b2203}">
  <ds:schemaRefs>
    <ds:schemaRef ds:uri="http://www.wps.cn/android/officeDocument/2013/mofficeCustomData"/>
  </ds:schemaRefs>
</ds:datastoreItem>
</file>

<file path=customXml/itemProps20.xml><?xml version="1.0" encoding="utf-8"?>
<ds:datastoreItem xmlns:ds="http://schemas.openxmlformats.org/officeDocument/2006/customXml" ds:itemID="{ae039185-960a-4e89-b762-8df132ac6f1c}">
  <ds:schemaRefs>
    <ds:schemaRef ds:uri="http://www.wps.cn/android/officeDocument/2013/mofficeCustomData"/>
  </ds:schemaRefs>
</ds:datastoreItem>
</file>

<file path=customXml/itemProps21.xml><?xml version="1.0" encoding="utf-8"?>
<ds:datastoreItem xmlns:ds="http://schemas.openxmlformats.org/officeDocument/2006/customXml" ds:itemID="{ae1aa1e4-c433-4888-86c0-d2c770d3ed9a}">
  <ds:schemaRefs>
    <ds:schemaRef ds:uri="http://www.wps.cn/android/officeDocument/2013/mofficeCustomData"/>
  </ds:schemaRefs>
</ds:datastoreItem>
</file>

<file path=customXml/itemProps22.xml><?xml version="1.0" encoding="utf-8"?>
<ds:datastoreItem xmlns:ds="http://schemas.openxmlformats.org/officeDocument/2006/customXml" ds:itemID="{985f408c-f145-450a-a954-d3c73926718b}">
  <ds:schemaRefs>
    <ds:schemaRef ds:uri="http://www.wps.cn/android/officeDocument/2013/mofficeCustomData"/>
  </ds:schemaRefs>
</ds:datastoreItem>
</file>

<file path=customXml/itemProps23.xml><?xml version="1.0" encoding="utf-8"?>
<ds:datastoreItem xmlns:ds="http://schemas.openxmlformats.org/officeDocument/2006/customXml" ds:itemID="{d783e476-827b-4a86-897f-20af9be58dc4}">
  <ds:schemaRefs>
    <ds:schemaRef ds:uri="http://www.wps.cn/android/officeDocument/2013/mofficeCustomData"/>
  </ds:schemaRefs>
</ds:datastoreItem>
</file>

<file path=customXml/itemProps24.xml><?xml version="1.0" encoding="utf-8"?>
<ds:datastoreItem xmlns:ds="http://schemas.openxmlformats.org/officeDocument/2006/customXml" ds:itemID="{1c77a277-a24a-4b28-a051-9828cc742787}">
  <ds:schemaRefs>
    <ds:schemaRef ds:uri="http://www.wps.cn/android/officeDocument/2013/mofficeCustomData"/>
  </ds:schemaRefs>
</ds:datastoreItem>
</file>

<file path=customXml/itemProps25.xml><?xml version="1.0" encoding="utf-8"?>
<ds:datastoreItem xmlns:ds="http://schemas.openxmlformats.org/officeDocument/2006/customXml" ds:itemID="{bf15ac99-db7c-4f72-b65e-1fdcdcbd34fe}">
  <ds:schemaRefs>
    <ds:schemaRef ds:uri="http://www.wps.cn/android/officeDocument/2013/mofficeCustomData"/>
  </ds:schemaRefs>
</ds:datastoreItem>
</file>

<file path=customXml/itemProps26.xml><?xml version="1.0" encoding="utf-8"?>
<ds:datastoreItem xmlns:ds="http://schemas.openxmlformats.org/officeDocument/2006/customXml" ds:itemID="{447c29f2-78f5-4aa0-9a99-e1aa287de99a}">
  <ds:schemaRefs>
    <ds:schemaRef ds:uri="http://www.wps.cn/android/officeDocument/2013/mofficeCustomData"/>
  </ds:schemaRefs>
</ds:datastoreItem>
</file>

<file path=customXml/itemProps27.xml><?xml version="1.0" encoding="utf-8"?>
<ds:datastoreItem xmlns:ds="http://schemas.openxmlformats.org/officeDocument/2006/customXml" ds:itemID="{c9e536fc-66d0-4b95-861e-ff2070af261e}">
  <ds:schemaRefs>
    <ds:schemaRef ds:uri="http://www.wps.cn/android/officeDocument/2013/mofficeCustomData"/>
  </ds:schemaRefs>
</ds:datastoreItem>
</file>

<file path=customXml/itemProps28.xml><?xml version="1.0" encoding="utf-8"?>
<ds:datastoreItem xmlns:ds="http://schemas.openxmlformats.org/officeDocument/2006/customXml" ds:itemID="{89b94820-b16b-4ae3-9241-811a376039da}">
  <ds:schemaRefs>
    <ds:schemaRef ds:uri="http://www.wps.cn/android/officeDocument/2013/mofficeCustomData"/>
  </ds:schemaRefs>
</ds:datastoreItem>
</file>

<file path=customXml/itemProps29.xml><?xml version="1.0" encoding="utf-8"?>
<ds:datastoreItem xmlns:ds="http://schemas.openxmlformats.org/officeDocument/2006/customXml" ds:itemID="{8bcb21b0-d48a-4eb2-87be-22ea6c20a2fb}">
  <ds:schemaRefs>
    <ds:schemaRef ds:uri="http://www.wps.cn/android/officeDocument/2013/mofficeCustomData"/>
  </ds:schemaRefs>
</ds:datastoreItem>
</file>

<file path=customXml/itemProps3.xml><?xml version="1.0" encoding="utf-8"?>
<ds:datastoreItem xmlns:ds="http://schemas.openxmlformats.org/officeDocument/2006/customXml" ds:itemID="{1da3917b-f8e6-434e-9397-105644ab54c1}">
  <ds:schemaRefs>
    <ds:schemaRef ds:uri="http://www.wps.cn/android/officeDocument/2013/mofficeCustomData"/>
  </ds:schemaRefs>
</ds:datastoreItem>
</file>

<file path=customXml/itemProps30.xml><?xml version="1.0" encoding="utf-8"?>
<ds:datastoreItem xmlns:ds="http://schemas.openxmlformats.org/officeDocument/2006/customXml" ds:itemID="{0490e3cf-08d4-493d-a287-c7857be73925}">
  <ds:schemaRefs>
    <ds:schemaRef ds:uri="http://www.wps.cn/android/officeDocument/2013/mofficeCustomData"/>
  </ds:schemaRefs>
</ds:datastoreItem>
</file>

<file path=customXml/itemProps31.xml><?xml version="1.0" encoding="utf-8"?>
<ds:datastoreItem xmlns:ds="http://schemas.openxmlformats.org/officeDocument/2006/customXml" ds:itemID="{a099492a-049e-438f-9840-4999c7058a2e}">
  <ds:schemaRefs>
    <ds:schemaRef ds:uri="http://www.wps.cn/android/officeDocument/2013/mofficeCustomData"/>
  </ds:schemaRefs>
</ds:datastoreItem>
</file>

<file path=customXml/itemProps4.xml><?xml version="1.0" encoding="utf-8"?>
<ds:datastoreItem xmlns:ds="http://schemas.openxmlformats.org/officeDocument/2006/customXml" ds:itemID="{98816cf5-b3db-48df-b936-e5bbba91cf1b}">
  <ds:schemaRefs>
    <ds:schemaRef ds:uri="http://www.wps.cn/android/officeDocument/2013/mofficeCustomData"/>
  </ds:schemaRefs>
</ds:datastoreItem>
</file>

<file path=customXml/itemProps5.xml><?xml version="1.0" encoding="utf-8"?>
<ds:datastoreItem xmlns:ds="http://schemas.openxmlformats.org/officeDocument/2006/customXml" ds:itemID="{68b5ecfc-96a8-46a9-8f04-b8d5866a41af}">
  <ds:schemaRefs>
    <ds:schemaRef ds:uri="http://www.wps.cn/android/officeDocument/2013/mofficeCustomData"/>
  </ds:schemaRefs>
</ds:datastoreItem>
</file>

<file path=customXml/itemProps6.xml><?xml version="1.0" encoding="utf-8"?>
<ds:datastoreItem xmlns:ds="http://schemas.openxmlformats.org/officeDocument/2006/customXml" ds:itemID="{53f08fa5-e8d1-4e08-8fb0-cfd7ed320e19}">
  <ds:schemaRefs>
    <ds:schemaRef ds:uri="http://www.wps.cn/android/officeDocument/2013/mofficeCustomData"/>
  </ds:schemaRefs>
</ds:datastoreItem>
</file>

<file path=customXml/itemProps7.xml><?xml version="1.0" encoding="utf-8"?>
<ds:datastoreItem xmlns:ds="http://schemas.openxmlformats.org/officeDocument/2006/customXml" ds:itemID="{A060D6DF-E4EB-469C-B2AF-4946A656FBDE}">
  <ds:schemaRefs>
    <ds:schemaRef ds:uri="http://schemas.openxmlformats.org/officeDocument/2006/bibliography"/>
  </ds:schemaRefs>
</ds:datastoreItem>
</file>

<file path=customXml/itemProps8.xml><?xml version="1.0" encoding="utf-8"?>
<ds:datastoreItem xmlns:ds="http://schemas.openxmlformats.org/officeDocument/2006/customXml" ds:itemID="{937b688a-d7eb-4022-8877-20d290824991}">
  <ds:schemaRefs>
    <ds:schemaRef ds:uri="http://www.wps.cn/android/officeDocument/2013/mofficeCustomData"/>
  </ds:schemaRefs>
</ds:datastoreItem>
</file>

<file path=customXml/itemProps9.xml><?xml version="1.0" encoding="utf-8"?>
<ds:datastoreItem xmlns:ds="http://schemas.openxmlformats.org/officeDocument/2006/customXml" ds:itemID="{15369305-fd26-43d1-9b4e-0bbafe858215}">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Words>4171</Words>
  <Pages>14</Pages>
  <Characters>23132</Characters>
  <Application>WPS Office</Application>
  <DocSecurity>0</DocSecurity>
  <Paragraphs>500</Paragraphs>
  <ScaleCrop>false</ScaleCrop>
  <Company>aaaa</Company>
  <LinksUpToDate>false</LinksUpToDate>
  <CharactersWithSpaces>27167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2025-09-29T08:42:00Z</dcterms:created>
  <dc:creator>SDI</dc:creator>
  <lastModifiedBy>SM-A305F</lastModifiedBy>
  <lastPrinted>1999-07-06T11:00:00Z</lastPrinted>
  <dcterms:modified xsi:type="dcterms:W3CDTF">2025-10-07T14:57:13Z</dcterms:modified>
  <revision>23</revision>
  <dc:title>Paper Template</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9a9bdcc7417a443884a2319a768650ca</vt:lpwstr>
  </property>
</Properties>
</file>