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A5C57" w14:textId="77777777" w:rsidR="00754C9A" w:rsidRDefault="00754C9A" w:rsidP="00441B6F">
      <w:pPr>
        <w:pStyle w:val="Title"/>
        <w:spacing w:after="0"/>
        <w:jc w:val="both"/>
        <w:rPr>
          <w:rFonts w:ascii="Arial" w:hAnsi="Arial" w:cs="Arial"/>
        </w:rPr>
      </w:pPr>
    </w:p>
    <w:p w14:paraId="14C55298" w14:textId="77777777" w:rsidR="00A258C3" w:rsidRPr="00790ADA" w:rsidRDefault="00EE5780" w:rsidP="00441B6F">
      <w:pPr>
        <w:pStyle w:val="Author"/>
        <w:spacing w:line="240" w:lineRule="auto"/>
        <w:jc w:val="both"/>
        <w:rPr>
          <w:rFonts w:ascii="Arial" w:hAnsi="Arial" w:cs="Arial"/>
          <w:sz w:val="36"/>
        </w:rPr>
      </w:pPr>
      <w:r w:rsidRPr="00EE5780">
        <w:rPr>
          <w:rFonts w:ascii="Arial" w:hAnsi="Arial" w:cs="Arial"/>
          <w:bCs/>
          <w:iCs/>
          <w:kern w:val="28"/>
          <w:sz w:val="36"/>
        </w:rPr>
        <w:t>MULTICENTRIC STUDY ON ANTI-SARS-CoV-2 IMMUNITY IN 2022 IN SENEGAL: CASE OF VULNERABLE POPULATIONS</w:t>
      </w:r>
    </w:p>
    <w:p w14:paraId="22DA6BEA" w14:textId="77777777" w:rsidR="00483F64" w:rsidRDefault="00483F64" w:rsidP="00441B6F">
      <w:pPr>
        <w:pStyle w:val="Author"/>
        <w:spacing w:line="240" w:lineRule="auto"/>
        <w:rPr>
          <w:rFonts w:ascii="Arial" w:hAnsi="Arial" w:cs="Arial"/>
        </w:rPr>
      </w:pPr>
    </w:p>
    <w:p w14:paraId="0B3E1B3A" w14:textId="08BF36E7" w:rsidR="00BB22CC" w:rsidRPr="00BB22CC" w:rsidRDefault="00BB22CC" w:rsidP="00BB22CC">
      <w:pPr>
        <w:pStyle w:val="Affiliation"/>
        <w:rPr>
          <w:rFonts w:ascii="Arial" w:hAnsi="Arial" w:cs="Arial"/>
          <w:i/>
        </w:rPr>
      </w:pPr>
      <w:r w:rsidRPr="00BB22CC">
        <w:rPr>
          <w:rFonts w:ascii="Arial" w:hAnsi="Arial" w:cs="Arial"/>
          <w:i/>
        </w:rPr>
        <w:t xml:space="preserve"> </w:t>
      </w:r>
    </w:p>
    <w:p w14:paraId="43D715E6" w14:textId="71950A50"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D6FE18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7C6BA8F" w14:textId="77777777" w:rsidTr="001E44FE">
        <w:tc>
          <w:tcPr>
            <w:tcW w:w="9576" w:type="dxa"/>
            <w:shd w:val="clear" w:color="auto" w:fill="F2F2F2"/>
          </w:tcPr>
          <w:p w14:paraId="382C1B76" w14:textId="77777777" w:rsidR="00EE5780" w:rsidRPr="00EE5780" w:rsidRDefault="00EE5780" w:rsidP="00EE5780">
            <w:pPr>
              <w:pStyle w:val="Body"/>
              <w:rPr>
                <w:rFonts w:ascii="Arial" w:eastAsia="Calibri" w:hAnsi="Arial" w:cs="Arial"/>
                <w:szCs w:val="22"/>
              </w:rPr>
            </w:pPr>
            <w:r w:rsidRPr="00EE5780">
              <w:rPr>
                <w:rFonts w:ascii="Arial" w:eastAsia="Calibri" w:hAnsi="Arial" w:cs="Arial"/>
                <w:szCs w:val="22"/>
              </w:rPr>
              <w:t>Introduction</w:t>
            </w:r>
            <w:r>
              <w:rPr>
                <w:rFonts w:ascii="Arial" w:eastAsia="Calibri" w:hAnsi="Arial" w:cs="Arial"/>
                <w:szCs w:val="22"/>
              </w:rPr>
              <w:t xml:space="preserve">: </w:t>
            </w:r>
            <w:r w:rsidRPr="00EE5780">
              <w:rPr>
                <w:rFonts w:ascii="Arial" w:eastAsia="Calibri" w:hAnsi="Arial" w:cs="Arial"/>
                <w:szCs w:val="22"/>
              </w:rPr>
              <w:t xml:space="preserve">The COVID-19 pandemic due to SARS-CoV-2 has progressed slowly in Africa, despite the alarmist predictions that were made. Vulnerable people are considered at risk of developing severe and complicated forms once they are infected. Then, it is important to have data about epidemiological seroprevalence and asymptomatic carriage to understand their behavior in the face of infection. The objective of this study was to screen for SARS-CoV-2 markers (genome and specific antibodies) in vulnerable peoples in three regions of Senegal (Thies, Saint-Louis and </w:t>
            </w:r>
            <w:proofErr w:type="spellStart"/>
            <w:r w:rsidRPr="00EE5780">
              <w:rPr>
                <w:rFonts w:ascii="Arial" w:eastAsia="Calibri" w:hAnsi="Arial" w:cs="Arial"/>
                <w:szCs w:val="22"/>
              </w:rPr>
              <w:t>Ziguinchor</w:t>
            </w:r>
            <w:proofErr w:type="spellEnd"/>
            <w:r w:rsidRPr="00EE5780">
              <w:rPr>
                <w:rFonts w:ascii="Arial" w:eastAsia="Calibri" w:hAnsi="Arial" w:cs="Arial"/>
                <w:szCs w:val="22"/>
              </w:rPr>
              <w:t>) over a six-month period.</w:t>
            </w:r>
          </w:p>
          <w:p w14:paraId="0F265DC7" w14:textId="77777777" w:rsidR="00EE5780" w:rsidRPr="00EE5780" w:rsidRDefault="00EE5780" w:rsidP="00EE5780">
            <w:pPr>
              <w:pStyle w:val="Body"/>
              <w:rPr>
                <w:rFonts w:ascii="Arial" w:eastAsia="Calibri" w:hAnsi="Arial" w:cs="Arial"/>
                <w:szCs w:val="22"/>
              </w:rPr>
            </w:pPr>
            <w:r w:rsidRPr="00EE5780">
              <w:rPr>
                <w:rFonts w:ascii="Arial" w:eastAsia="Calibri" w:hAnsi="Arial" w:cs="Arial"/>
                <w:szCs w:val="22"/>
              </w:rPr>
              <w:t>Methodology</w:t>
            </w:r>
            <w:r>
              <w:rPr>
                <w:rFonts w:ascii="Arial" w:eastAsia="Calibri" w:hAnsi="Arial" w:cs="Arial"/>
                <w:szCs w:val="22"/>
              </w:rPr>
              <w:t xml:space="preserve">: </w:t>
            </w:r>
            <w:r w:rsidRPr="00EE5780">
              <w:rPr>
                <w:rFonts w:ascii="Arial" w:eastAsia="Calibri" w:hAnsi="Arial" w:cs="Arial"/>
                <w:szCs w:val="22"/>
              </w:rPr>
              <w:t>This was a multicenter study conducted in three regions of Senegal among people over 65 years of age and/or with comorbidities in 2022. For each participant, after consent, SARS-CoV-2 genome detection was performed by RT-PCR and qualitative and quantitative anti-antibodies were performed using immunochromatography and chemiluminescence immunoassay tests.</w:t>
            </w:r>
          </w:p>
          <w:p w14:paraId="4DE861F3" w14:textId="77777777" w:rsidR="00EE5780" w:rsidRPr="00EE5780" w:rsidRDefault="00EE5780" w:rsidP="00EE5780">
            <w:pPr>
              <w:pStyle w:val="Body"/>
              <w:rPr>
                <w:rFonts w:ascii="Arial" w:eastAsia="Calibri" w:hAnsi="Arial" w:cs="Arial"/>
                <w:szCs w:val="22"/>
              </w:rPr>
            </w:pPr>
            <w:r w:rsidRPr="00EE5780">
              <w:rPr>
                <w:rFonts w:ascii="Arial" w:eastAsia="Calibri" w:hAnsi="Arial" w:cs="Arial"/>
                <w:szCs w:val="22"/>
              </w:rPr>
              <w:t>Results</w:t>
            </w:r>
            <w:r>
              <w:rPr>
                <w:rFonts w:ascii="Arial" w:eastAsia="Calibri" w:hAnsi="Arial" w:cs="Arial"/>
                <w:szCs w:val="22"/>
              </w:rPr>
              <w:t xml:space="preserve">: </w:t>
            </w:r>
            <w:r w:rsidRPr="00EE5780">
              <w:rPr>
                <w:rFonts w:ascii="Arial" w:eastAsia="Calibri" w:hAnsi="Arial" w:cs="Arial"/>
                <w:szCs w:val="22"/>
              </w:rPr>
              <w:t xml:space="preserve">737 people with the described criteria for vulnerability to COVID-19 were enrolled. Their median age was 58 years and 26.7% (n = 197) of them were older than 65 years.  The female-to-male ratio was 2.23. The main comorbidities were hypertension (26.18%), pregnancy (21.7%), diabetes mellitus (14.24%) and </w:t>
            </w:r>
            <w:commentRangeStart w:id="0"/>
            <w:r w:rsidRPr="00EE5780">
              <w:rPr>
                <w:rFonts w:ascii="Arial" w:eastAsia="Calibri" w:hAnsi="Arial" w:cs="Arial"/>
                <w:szCs w:val="22"/>
              </w:rPr>
              <w:t>age &gt; 65 years</w:t>
            </w:r>
            <w:commentRangeEnd w:id="0"/>
            <w:r w:rsidR="002B33D1">
              <w:rPr>
                <w:rStyle w:val="CommentReference"/>
                <w:rFonts w:ascii="Times New Roman" w:hAnsi="Times New Roman"/>
                <w:lang w:val="nb-NO" w:eastAsia="nb-NO"/>
              </w:rPr>
              <w:commentReference w:id="0"/>
            </w:r>
            <w:r w:rsidRPr="00EE5780">
              <w:rPr>
                <w:rFonts w:ascii="Arial" w:eastAsia="Calibri" w:hAnsi="Arial" w:cs="Arial"/>
                <w:szCs w:val="22"/>
              </w:rPr>
              <w:t>. Vaccination coverage was 38.34%, mostly by Sinopharm vaccine. RT-PCR was positive for 20 participants who had all received at least one dose of COVID-19 vaccine. IgG antibodies were found in an average of 73% of participants, and with some having antibody titers up to 40,000.</w:t>
            </w:r>
          </w:p>
          <w:p w14:paraId="67028C21" w14:textId="77777777" w:rsidR="00505F06" w:rsidRPr="00BA1B01" w:rsidRDefault="00EE5780" w:rsidP="00EE5780">
            <w:pPr>
              <w:pStyle w:val="Body"/>
              <w:rPr>
                <w:rFonts w:ascii="Arial" w:eastAsia="Calibri" w:hAnsi="Arial" w:cs="Arial"/>
                <w:szCs w:val="22"/>
              </w:rPr>
            </w:pPr>
            <w:r w:rsidRPr="00EE5780">
              <w:rPr>
                <w:rFonts w:ascii="Arial" w:eastAsia="Calibri" w:hAnsi="Arial" w:cs="Arial"/>
                <w:szCs w:val="22"/>
              </w:rPr>
              <w:t>Conclusion</w:t>
            </w:r>
            <w:r>
              <w:rPr>
                <w:rFonts w:ascii="Arial" w:eastAsia="Calibri" w:hAnsi="Arial" w:cs="Arial"/>
                <w:szCs w:val="22"/>
              </w:rPr>
              <w:t xml:space="preserve">: </w:t>
            </w:r>
            <w:r w:rsidRPr="00EE5780">
              <w:rPr>
                <w:rFonts w:ascii="Arial" w:eastAsia="Calibri" w:hAnsi="Arial" w:cs="Arial"/>
                <w:szCs w:val="22"/>
              </w:rPr>
              <w:t>This study highlights the significant presence of antibodies in a majority of vulnerable peoples, despite a low proportion of RT-PCR positivity. Vaccination appears playing an important role in immune response, but the persistence of antibodies and their long-term efficacy require continued monitoring. Then, it is importance to continue vaccination and epidemiological surveillance efforts to better protect vulnerable populations.</w:t>
            </w:r>
          </w:p>
        </w:tc>
      </w:tr>
    </w:tbl>
    <w:p w14:paraId="4DEFE15B" w14:textId="77777777" w:rsidR="00636EB2" w:rsidRDefault="00636EB2" w:rsidP="00441B6F">
      <w:pPr>
        <w:pStyle w:val="Body"/>
        <w:spacing w:after="0"/>
        <w:rPr>
          <w:rFonts w:ascii="Arial" w:hAnsi="Arial" w:cs="Arial"/>
          <w:i/>
        </w:rPr>
      </w:pPr>
    </w:p>
    <w:p w14:paraId="06A53EFF" w14:textId="77777777" w:rsidR="00505F06" w:rsidRPr="00A24E7E" w:rsidRDefault="00A24E7E" w:rsidP="00441B6F">
      <w:pPr>
        <w:pStyle w:val="Body"/>
        <w:spacing w:after="0"/>
        <w:rPr>
          <w:rFonts w:ascii="Arial" w:hAnsi="Arial" w:cs="Arial"/>
          <w:i/>
        </w:rPr>
      </w:pPr>
      <w:r>
        <w:rPr>
          <w:rFonts w:ascii="Arial" w:hAnsi="Arial" w:cs="Arial"/>
          <w:i/>
        </w:rPr>
        <w:t xml:space="preserve">Keywords: </w:t>
      </w:r>
      <w:r w:rsidR="00EE5780" w:rsidRPr="00EE5780">
        <w:rPr>
          <w:rFonts w:ascii="Arial" w:hAnsi="Arial" w:cs="Arial"/>
          <w:i/>
        </w:rPr>
        <w:t>SARS-CoV-2, comorbidities, RT-PCR, Immunity, Senegal</w:t>
      </w:r>
    </w:p>
    <w:p w14:paraId="0C6E7570"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49BF107" w14:textId="77777777" w:rsidR="00790ADA" w:rsidRPr="00FB3A86" w:rsidRDefault="00790ADA" w:rsidP="00441B6F">
      <w:pPr>
        <w:pStyle w:val="AbstHead"/>
        <w:spacing w:after="0"/>
        <w:jc w:val="both"/>
        <w:rPr>
          <w:rFonts w:ascii="Arial" w:hAnsi="Arial" w:cs="Arial"/>
        </w:rPr>
      </w:pPr>
    </w:p>
    <w:p w14:paraId="6D7A5AE1" w14:textId="77777777" w:rsidR="00EE5780" w:rsidRPr="00EE5780" w:rsidRDefault="00EE5780" w:rsidP="00EE5780">
      <w:pPr>
        <w:pStyle w:val="Body"/>
        <w:rPr>
          <w:rFonts w:ascii="Arial" w:hAnsi="Arial" w:cs="Arial"/>
        </w:rPr>
      </w:pPr>
      <w:r w:rsidRPr="00EE5780">
        <w:rPr>
          <w:rFonts w:ascii="Arial" w:hAnsi="Arial" w:cs="Arial"/>
        </w:rPr>
        <w:t>The SARS-CoV-2 pandemic has become a global public-health challenge threatening both major powers and resource-limited countries. This novel Coronavirus strain is marked by high transmissibility, elevated lethality, and a propensity for mutation [1]. These mutations have given rise to numerous variants detected during the pandemic. To date, the Delta variant (B.1.617.2, formerly the “Indian variant”), classified as a Variant of Concern (VOC), has proven the most virulent, with an estimated R</w:t>
      </w:r>
      <w:r w:rsidRPr="00EE5780">
        <w:rPr>
          <w:rFonts w:ascii="Cambria Math" w:hAnsi="Cambria Math" w:cs="Cambria Math"/>
        </w:rPr>
        <w:t>₀</w:t>
      </w:r>
      <w:r w:rsidRPr="00EE5780">
        <w:rPr>
          <w:rFonts w:ascii="Arial" w:hAnsi="Arial" w:cs="Arial"/>
        </w:rPr>
        <w:t xml:space="preserve"> between 5 and 9.5 [2].  </w:t>
      </w:r>
    </w:p>
    <w:p w14:paraId="09FD5291" w14:textId="77777777" w:rsidR="00EE5780" w:rsidRPr="00EE5780" w:rsidRDefault="00EE5780" w:rsidP="00EE5780">
      <w:pPr>
        <w:pStyle w:val="Body"/>
        <w:rPr>
          <w:rFonts w:ascii="Arial" w:hAnsi="Arial" w:cs="Arial"/>
        </w:rPr>
      </w:pPr>
      <w:r w:rsidRPr="00EE5780">
        <w:rPr>
          <w:rFonts w:ascii="Arial" w:hAnsi="Arial" w:cs="Arial"/>
        </w:rPr>
        <w:lastRenderedPageBreak/>
        <w:t>In Africa, the epidemic progressed more slowly, with lower prevalence and fatality rates, raising questions about underlying causes. Hypotheses include cross-protection from drugs used therapeutically or prophylactically against endemic diseases (e.g., chloroquine for malaria or tuberculosis) and potential cross-immunity from prior infection with other Coronaviruses or antigenically related viruses [3]. In some cases, particularly among the elderly and immunocompromised, Coronavirus infections can cause severe, life-threatening pneumonia [4,5].</w:t>
      </w:r>
    </w:p>
    <w:p w14:paraId="56553CA5" w14:textId="77777777" w:rsidR="00790ADA" w:rsidRDefault="00EE5780" w:rsidP="00EE5780">
      <w:pPr>
        <w:pStyle w:val="Body"/>
        <w:spacing w:after="0"/>
        <w:rPr>
          <w:rFonts w:ascii="Arial" w:hAnsi="Arial" w:cs="Arial"/>
        </w:rPr>
      </w:pPr>
      <w:r w:rsidRPr="00EE5780">
        <w:rPr>
          <w:rFonts w:ascii="Arial" w:hAnsi="Arial" w:cs="Arial"/>
        </w:rPr>
        <w:t xml:space="preserve">Vulnerable </w:t>
      </w:r>
      <w:commentRangeStart w:id="1"/>
      <w:r w:rsidRPr="00EE5780">
        <w:rPr>
          <w:rFonts w:ascii="Arial" w:hAnsi="Arial" w:cs="Arial"/>
        </w:rPr>
        <w:t>peoples</w:t>
      </w:r>
      <w:commentRangeEnd w:id="1"/>
      <w:r w:rsidR="002B33D1">
        <w:rPr>
          <w:rStyle w:val="CommentReference"/>
          <w:rFonts w:ascii="Times New Roman" w:hAnsi="Times New Roman"/>
          <w:lang w:val="nb-NO" w:eastAsia="nb-NO"/>
        </w:rPr>
        <w:commentReference w:id="1"/>
      </w:r>
      <w:r w:rsidRPr="00EE5780">
        <w:rPr>
          <w:rFonts w:ascii="Arial" w:hAnsi="Arial" w:cs="Arial"/>
        </w:rPr>
        <w:t xml:space="preserve"> bore a heavy toll during this pandemic, being more prone to severe and complicated forms of COVID-19 [6]. This study aims to assess the presence of SARS-CoV-2 immunity within this population. Its objective was to detect viral markers (genome and specific antibodies) in these target populations across three regions of Senegal.  </w:t>
      </w:r>
    </w:p>
    <w:p w14:paraId="1F047A15" w14:textId="77777777" w:rsidR="00EE5780" w:rsidRPr="00FB3A86" w:rsidRDefault="00EE5780" w:rsidP="00EE5780">
      <w:pPr>
        <w:pStyle w:val="Body"/>
        <w:spacing w:after="0"/>
        <w:rPr>
          <w:rFonts w:ascii="Arial" w:hAnsi="Arial" w:cs="Arial"/>
        </w:rPr>
      </w:pPr>
    </w:p>
    <w:p w14:paraId="09CC3FF0" w14:textId="77777777" w:rsidR="00790ADA"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7BBD9886" w14:textId="77777777" w:rsidR="000E6EA8" w:rsidRPr="00FB3A86" w:rsidRDefault="000E6EA8" w:rsidP="00441B6F">
      <w:pPr>
        <w:pStyle w:val="AbstHead"/>
        <w:spacing w:after="0"/>
        <w:jc w:val="both"/>
        <w:rPr>
          <w:rFonts w:ascii="Arial" w:hAnsi="Arial" w:cs="Arial"/>
        </w:rPr>
      </w:pPr>
    </w:p>
    <w:p w14:paraId="339151AE" w14:textId="77777777" w:rsidR="00EE5780" w:rsidRPr="00EE5780" w:rsidRDefault="00EE5780" w:rsidP="00EE5780">
      <w:pPr>
        <w:pStyle w:val="Body"/>
        <w:rPr>
          <w:rFonts w:ascii="Arial" w:hAnsi="Arial" w:cs="Arial"/>
        </w:rPr>
      </w:pPr>
      <w:r w:rsidRPr="00EE5780">
        <w:rPr>
          <w:rFonts w:ascii="Arial" w:hAnsi="Arial" w:cs="Arial"/>
        </w:rPr>
        <w:t xml:space="preserve">This multicentric study was conducted in three sites of Senegal: Saint-Louis in the North, Thies in the Center-West, and </w:t>
      </w:r>
      <w:proofErr w:type="spellStart"/>
      <w:r w:rsidRPr="00EE5780">
        <w:rPr>
          <w:rFonts w:ascii="Arial" w:hAnsi="Arial" w:cs="Arial"/>
        </w:rPr>
        <w:t>Ziguinchor</w:t>
      </w:r>
      <w:proofErr w:type="spellEnd"/>
      <w:r w:rsidRPr="00EE5780">
        <w:rPr>
          <w:rFonts w:ascii="Arial" w:hAnsi="Arial" w:cs="Arial"/>
        </w:rPr>
        <w:t xml:space="preserve"> in the South. It took place in the outpatient, pediatrics, internal medicine, and maternity departments of hospitals in these regions.  </w:t>
      </w:r>
    </w:p>
    <w:p w14:paraId="68F74392" w14:textId="77777777" w:rsidR="00EE5780" w:rsidRPr="00EE5780" w:rsidRDefault="00EE5780" w:rsidP="00EE5780">
      <w:pPr>
        <w:pStyle w:val="Body"/>
        <w:rPr>
          <w:rFonts w:ascii="Arial" w:hAnsi="Arial" w:cs="Arial"/>
        </w:rPr>
      </w:pPr>
      <w:r w:rsidRPr="00EE5780">
        <w:rPr>
          <w:rFonts w:ascii="Arial" w:hAnsi="Arial" w:cs="Arial"/>
        </w:rPr>
        <w:t xml:space="preserve">The study had two components: detection of the SARS-CoV-2 genome to assess carriage rates and detection of specific IgM/IgG antibodies to determine seroprevalence. It ran from April to August 2022, covering much of the virus’s active circulation phase. Sample processing and serology were performed at the Thies National Public Health Laboratory, while genomic testing was done at the Saint-Louis Regional Laboratory.  </w:t>
      </w:r>
    </w:p>
    <w:p w14:paraId="70E81D31" w14:textId="77777777" w:rsidR="00EE5780" w:rsidRPr="000E6EA8" w:rsidRDefault="00EE5780" w:rsidP="00EE5780">
      <w:pPr>
        <w:pStyle w:val="Body"/>
        <w:rPr>
          <w:rFonts w:ascii="Arial" w:hAnsi="Arial" w:cs="Arial"/>
          <w:b/>
          <w:bCs/>
          <w:sz w:val="22"/>
          <w:szCs w:val="22"/>
        </w:rPr>
      </w:pPr>
      <w:r w:rsidRPr="000E6EA8">
        <w:rPr>
          <w:rFonts w:ascii="Arial" w:hAnsi="Arial" w:cs="Arial"/>
          <w:b/>
          <w:bCs/>
          <w:sz w:val="22"/>
          <w:szCs w:val="22"/>
        </w:rPr>
        <w:t>-</w:t>
      </w:r>
      <w:r w:rsidRPr="000E6EA8">
        <w:rPr>
          <w:rFonts w:ascii="Arial" w:hAnsi="Arial" w:cs="Arial"/>
          <w:b/>
          <w:bCs/>
          <w:sz w:val="22"/>
          <w:szCs w:val="22"/>
        </w:rPr>
        <w:tab/>
        <w:t xml:space="preserve">Study population  </w:t>
      </w:r>
    </w:p>
    <w:p w14:paraId="13B4C2E3" w14:textId="77777777" w:rsidR="00EE5780" w:rsidRPr="00EE5780" w:rsidRDefault="00EE5780" w:rsidP="00EE5780">
      <w:pPr>
        <w:pStyle w:val="Body"/>
        <w:rPr>
          <w:rFonts w:ascii="Arial" w:hAnsi="Arial" w:cs="Arial"/>
        </w:rPr>
      </w:pPr>
      <w:r w:rsidRPr="00EE5780">
        <w:rPr>
          <w:rFonts w:ascii="Arial" w:hAnsi="Arial" w:cs="Arial"/>
        </w:rPr>
        <w:t xml:space="preserve">Patients hospitalized, seen in consultation, or managed as outpatients in the targeted services were eligible. Inclusion criteria:  age greater than or equal to 65 </w:t>
      </w:r>
      <w:proofErr w:type="gramStart"/>
      <w:r w:rsidRPr="00EE5780">
        <w:rPr>
          <w:rFonts w:ascii="Arial" w:hAnsi="Arial" w:cs="Arial"/>
        </w:rPr>
        <w:t>years ,</w:t>
      </w:r>
      <w:proofErr w:type="gramEnd"/>
      <w:r w:rsidRPr="00EE5780">
        <w:rPr>
          <w:rFonts w:ascii="Arial" w:hAnsi="Arial" w:cs="Arial"/>
        </w:rPr>
        <w:t xml:space="preserve"> or pregnant women, or children under 5 years, or presence of comorbidities. Non-inclusion criteria: patients under 65 and children aged 5–18 without comorbidities, and women without pregnancy or comorbidities.  </w:t>
      </w:r>
    </w:p>
    <w:p w14:paraId="18A5291A" w14:textId="77777777" w:rsidR="00EE5780" w:rsidRPr="00EE5780" w:rsidRDefault="00EE5780" w:rsidP="00EE5780">
      <w:pPr>
        <w:pStyle w:val="Body"/>
        <w:rPr>
          <w:rFonts w:ascii="Arial" w:hAnsi="Arial" w:cs="Arial"/>
        </w:rPr>
      </w:pPr>
      <w:r w:rsidRPr="00EE5780">
        <w:rPr>
          <w:rFonts w:ascii="Arial" w:hAnsi="Arial" w:cs="Arial"/>
        </w:rPr>
        <w:t xml:space="preserve">All participants received clear explanations of the study and provided written informed consent. Ethical approval was granted by the National Ethics Committee under number 0000075/MSAS/CNERS/SP on March 30, 2022.  </w:t>
      </w:r>
    </w:p>
    <w:p w14:paraId="13268B7C" w14:textId="77777777" w:rsidR="00EE5780" w:rsidRPr="000E6EA8" w:rsidRDefault="00EE5780" w:rsidP="00EE5780">
      <w:pPr>
        <w:pStyle w:val="Body"/>
        <w:rPr>
          <w:rFonts w:ascii="Arial" w:hAnsi="Arial" w:cs="Arial"/>
          <w:b/>
          <w:bCs/>
          <w:sz w:val="22"/>
          <w:szCs w:val="22"/>
        </w:rPr>
      </w:pPr>
      <w:r w:rsidRPr="000E6EA8">
        <w:rPr>
          <w:rFonts w:ascii="Arial" w:hAnsi="Arial" w:cs="Arial"/>
          <w:b/>
          <w:bCs/>
          <w:sz w:val="22"/>
          <w:szCs w:val="22"/>
        </w:rPr>
        <w:t>-</w:t>
      </w:r>
      <w:r w:rsidRPr="000E6EA8">
        <w:rPr>
          <w:rFonts w:ascii="Arial" w:hAnsi="Arial" w:cs="Arial"/>
          <w:b/>
          <w:bCs/>
          <w:sz w:val="22"/>
          <w:szCs w:val="22"/>
        </w:rPr>
        <w:tab/>
        <w:t xml:space="preserve">Sample collection, processing, and storage  </w:t>
      </w:r>
    </w:p>
    <w:p w14:paraId="48C1E0FF" w14:textId="77777777" w:rsidR="00EE5780" w:rsidRPr="00EE5780" w:rsidRDefault="00EE5780" w:rsidP="00EE5780">
      <w:pPr>
        <w:pStyle w:val="Body"/>
        <w:rPr>
          <w:rFonts w:ascii="Arial" w:hAnsi="Arial" w:cs="Arial"/>
        </w:rPr>
      </w:pPr>
      <w:r w:rsidRPr="00EE5780">
        <w:rPr>
          <w:rFonts w:ascii="Arial" w:hAnsi="Arial" w:cs="Arial"/>
        </w:rPr>
        <w:t xml:space="preserve">For each participant, two samples were collected:  </w:t>
      </w:r>
    </w:p>
    <w:p w14:paraId="50E18561" w14:textId="77777777" w:rsidR="00EE5780" w:rsidRPr="00EE5780" w:rsidRDefault="00EE5780" w:rsidP="00EE5780">
      <w:pPr>
        <w:pStyle w:val="Body"/>
        <w:rPr>
          <w:rFonts w:ascii="Arial" w:hAnsi="Arial" w:cs="Arial"/>
        </w:rPr>
      </w:pPr>
      <w:r w:rsidRPr="00EE5780">
        <w:rPr>
          <w:rFonts w:ascii="Arial" w:hAnsi="Arial" w:cs="Arial"/>
        </w:rPr>
        <w:t xml:space="preserve">- A blood sample in an EDTA tube: plasma was aliquoted and stored at −20 °C.  </w:t>
      </w:r>
    </w:p>
    <w:p w14:paraId="76C6C5E8" w14:textId="77777777" w:rsidR="00EE5780" w:rsidRPr="00EE5780" w:rsidRDefault="00EE5780" w:rsidP="00EE5780">
      <w:pPr>
        <w:pStyle w:val="Body"/>
        <w:rPr>
          <w:rFonts w:ascii="Arial" w:hAnsi="Arial" w:cs="Arial"/>
        </w:rPr>
      </w:pPr>
      <w:r w:rsidRPr="00EE5780">
        <w:rPr>
          <w:rFonts w:ascii="Arial" w:hAnsi="Arial" w:cs="Arial"/>
        </w:rPr>
        <w:t xml:space="preserve">- A nasopharyngeal swab in 3 ml of viral transport medium (VTM): aliquoted in a biosafety cabinet (class II) and stored at −80 °C.  </w:t>
      </w:r>
    </w:p>
    <w:p w14:paraId="42A35628" w14:textId="77777777" w:rsidR="00EE5780" w:rsidRPr="00EE5780" w:rsidRDefault="00EE5780" w:rsidP="00EE5780">
      <w:pPr>
        <w:pStyle w:val="Body"/>
        <w:rPr>
          <w:rFonts w:ascii="Arial" w:hAnsi="Arial" w:cs="Arial"/>
        </w:rPr>
      </w:pPr>
      <w:r w:rsidRPr="00EE5780">
        <w:rPr>
          <w:rFonts w:ascii="Arial" w:hAnsi="Arial" w:cs="Arial"/>
        </w:rPr>
        <w:t xml:space="preserve">Each aliquot received an anonymous identification code to ensure confidentiality.  </w:t>
      </w:r>
    </w:p>
    <w:p w14:paraId="0F2D268F" w14:textId="77777777" w:rsidR="00EE5780" w:rsidRPr="000E6EA8" w:rsidRDefault="00EE5780" w:rsidP="00EE5780">
      <w:pPr>
        <w:pStyle w:val="Body"/>
        <w:rPr>
          <w:rFonts w:ascii="Arial" w:hAnsi="Arial" w:cs="Arial"/>
          <w:b/>
          <w:bCs/>
          <w:sz w:val="22"/>
          <w:szCs w:val="22"/>
        </w:rPr>
      </w:pPr>
      <w:r w:rsidRPr="000E6EA8">
        <w:rPr>
          <w:rFonts w:ascii="Arial" w:hAnsi="Arial" w:cs="Arial"/>
          <w:b/>
          <w:bCs/>
          <w:sz w:val="22"/>
          <w:szCs w:val="22"/>
        </w:rPr>
        <w:t>-</w:t>
      </w:r>
      <w:r w:rsidRPr="000E6EA8">
        <w:rPr>
          <w:rFonts w:ascii="Arial" w:hAnsi="Arial" w:cs="Arial"/>
          <w:b/>
          <w:bCs/>
          <w:sz w:val="22"/>
          <w:szCs w:val="22"/>
        </w:rPr>
        <w:tab/>
        <w:t xml:space="preserve">Detection of viral RNA by RT-PCR  </w:t>
      </w:r>
    </w:p>
    <w:p w14:paraId="522CF040" w14:textId="77777777" w:rsidR="00790ADA" w:rsidRDefault="00EE5780" w:rsidP="00EE5780">
      <w:pPr>
        <w:pStyle w:val="Body"/>
        <w:spacing w:after="0"/>
        <w:rPr>
          <w:rFonts w:ascii="Arial" w:hAnsi="Arial" w:cs="Arial"/>
        </w:rPr>
      </w:pPr>
      <w:r w:rsidRPr="00EE5780">
        <w:rPr>
          <w:rFonts w:ascii="Arial" w:hAnsi="Arial" w:cs="Arial"/>
        </w:rPr>
        <w:t xml:space="preserve">Viral RNA was extracted using the </w:t>
      </w:r>
      <w:proofErr w:type="spellStart"/>
      <w:r w:rsidRPr="00EE5780">
        <w:rPr>
          <w:rFonts w:ascii="Arial" w:hAnsi="Arial" w:cs="Arial"/>
        </w:rPr>
        <w:t>ExiPrep</w:t>
      </w:r>
      <w:proofErr w:type="spellEnd"/>
      <w:r w:rsidRPr="00EE5780">
        <w:rPr>
          <w:rFonts w:ascii="Arial" w:hAnsi="Arial" w:cs="Arial"/>
        </w:rPr>
        <w:t xml:space="preserve">™ Dx Viral DNA/RNA Kit per manufacturer instructions. A 100 µl RNA/DNA-free water control was included with each batch to monitor </w:t>
      </w:r>
      <w:r w:rsidRPr="00EE5780">
        <w:rPr>
          <w:rFonts w:ascii="Arial" w:hAnsi="Arial" w:cs="Arial"/>
        </w:rPr>
        <w:lastRenderedPageBreak/>
        <w:t xml:space="preserve">extraction. Amplification and detection were performed on the Biosystems ATILA platform using ANDIS FAST SARS-CoV-2 RT-qPCR® one-step kit for qualitative and semi-quantitative detection of SARS-CoV-2 RNA (Tab 1).  </w:t>
      </w:r>
    </w:p>
    <w:p w14:paraId="210998D9" w14:textId="77777777" w:rsidR="00ED2BDC" w:rsidRDefault="00ED2BDC" w:rsidP="00EE5780">
      <w:pPr>
        <w:pStyle w:val="Body"/>
        <w:spacing w:after="0"/>
        <w:rPr>
          <w:rFonts w:ascii="Arial" w:hAnsi="Arial" w:cs="Arial"/>
        </w:rPr>
      </w:pPr>
    </w:p>
    <w:p w14:paraId="08398F42" w14:textId="77777777" w:rsidR="00EE5780" w:rsidRDefault="00ED2BDC" w:rsidP="00ED2BDC">
      <w:pPr>
        <w:pStyle w:val="Body"/>
        <w:spacing w:after="0"/>
        <w:jc w:val="center"/>
        <w:rPr>
          <w:rFonts w:ascii="Arial" w:hAnsi="Arial" w:cs="Arial"/>
        </w:rPr>
      </w:pPr>
      <w:r w:rsidRPr="00ED2BDC">
        <w:rPr>
          <w:rFonts w:ascii="Arial" w:hAnsi="Arial" w:cs="Arial"/>
        </w:rPr>
        <w:t>Table I: Fluorophore Selections</w:t>
      </w:r>
    </w:p>
    <w:p w14:paraId="233982F6" w14:textId="77777777" w:rsidR="00ED2BDC" w:rsidRDefault="00ED2BDC" w:rsidP="00ED2BDC">
      <w:pPr>
        <w:pStyle w:val="Body"/>
        <w:spacing w:after="0"/>
        <w:jc w:val="center"/>
        <w:rPr>
          <w:rFonts w:ascii="Arial" w:hAnsi="Arial" w:cs="Arial"/>
        </w:rPr>
      </w:pPr>
    </w:p>
    <w:tbl>
      <w:tblPr>
        <w:tblStyle w:val="PlainTable2"/>
        <w:tblW w:w="7771" w:type="dxa"/>
        <w:tblInd w:w="823" w:type="dxa"/>
        <w:tblBorders>
          <w:top w:val="none" w:sz="0" w:space="0" w:color="auto"/>
          <w:bottom w:val="none" w:sz="0" w:space="0" w:color="auto"/>
        </w:tblBorders>
        <w:tblLook w:val="04A0" w:firstRow="1" w:lastRow="0" w:firstColumn="1" w:lastColumn="0" w:noHBand="0" w:noVBand="1"/>
      </w:tblPr>
      <w:tblGrid>
        <w:gridCol w:w="3038"/>
        <w:gridCol w:w="1943"/>
        <w:gridCol w:w="2790"/>
      </w:tblGrid>
      <w:tr w:rsidR="00EE5780" w:rsidRPr="00EE5780" w14:paraId="5AB1C272" w14:textId="77777777" w:rsidTr="00EE5780">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3038" w:type="dxa"/>
          </w:tcPr>
          <w:p w14:paraId="7061E2BE" w14:textId="77777777" w:rsidR="00EE5780" w:rsidRPr="00EE5780" w:rsidRDefault="00EE5780" w:rsidP="002D506D">
            <w:pPr>
              <w:spacing w:before="40" w:line="360" w:lineRule="auto"/>
              <w:contextualSpacing/>
              <w:textAlignment w:val="baseline"/>
              <w:rPr>
                <w:rFonts w:ascii="Arial" w:hAnsi="Arial" w:cs="Arial"/>
                <w:bCs w:val="0"/>
                <w:sz w:val="20"/>
                <w:szCs w:val="20"/>
              </w:rPr>
            </w:pPr>
            <w:r w:rsidRPr="00EE5780">
              <w:rPr>
                <w:rFonts w:ascii="Arial" w:hAnsi="Arial" w:cs="Arial"/>
                <w:bCs w:val="0"/>
                <w:sz w:val="20"/>
                <w:szCs w:val="20"/>
              </w:rPr>
              <w:t>Target</w:t>
            </w:r>
          </w:p>
        </w:tc>
        <w:tc>
          <w:tcPr>
            <w:tcW w:w="1943" w:type="dxa"/>
          </w:tcPr>
          <w:p w14:paraId="764488E2" w14:textId="77777777" w:rsidR="00EE5780" w:rsidRPr="00EE5780" w:rsidRDefault="00EE5780" w:rsidP="002D506D">
            <w:pPr>
              <w:spacing w:before="40" w:line="360" w:lineRule="auto"/>
              <w:contextualSpacing/>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EE5780">
              <w:rPr>
                <w:rFonts w:ascii="Arial" w:hAnsi="Arial" w:cs="Arial"/>
                <w:bCs w:val="0"/>
                <w:sz w:val="20"/>
                <w:szCs w:val="20"/>
              </w:rPr>
              <w:t>Reporter</w:t>
            </w:r>
          </w:p>
        </w:tc>
        <w:tc>
          <w:tcPr>
            <w:tcW w:w="2790" w:type="dxa"/>
          </w:tcPr>
          <w:p w14:paraId="3E443BAA" w14:textId="77777777" w:rsidR="00EE5780" w:rsidRPr="00EE5780" w:rsidRDefault="00EE5780" w:rsidP="002D506D">
            <w:pPr>
              <w:spacing w:before="40" w:line="360" w:lineRule="auto"/>
              <w:contextualSpacing/>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EE5780">
              <w:rPr>
                <w:rFonts w:ascii="Arial" w:hAnsi="Arial" w:cs="Arial"/>
                <w:bCs w:val="0"/>
                <w:sz w:val="20"/>
                <w:szCs w:val="20"/>
              </w:rPr>
              <w:t>Quencher</w:t>
            </w:r>
          </w:p>
        </w:tc>
      </w:tr>
      <w:tr w:rsidR="00EE5780" w:rsidRPr="00EE5780" w14:paraId="1B20EDBE" w14:textId="77777777" w:rsidTr="00EE5780">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038" w:type="dxa"/>
          </w:tcPr>
          <w:p w14:paraId="707D7983" w14:textId="77777777" w:rsidR="00EE5780" w:rsidRPr="00EE5780" w:rsidRDefault="00EE5780" w:rsidP="002D506D">
            <w:pPr>
              <w:spacing w:before="40" w:line="360" w:lineRule="auto"/>
              <w:contextualSpacing/>
              <w:rPr>
                <w:rFonts w:ascii="Arial" w:eastAsia="Times New Roman" w:hAnsi="Arial" w:cs="Arial"/>
                <w:b w:val="0"/>
                <w:bCs w:val="0"/>
                <w:sz w:val="20"/>
                <w:szCs w:val="20"/>
              </w:rPr>
            </w:pPr>
            <w:r w:rsidRPr="00EE5780">
              <w:rPr>
                <w:rFonts w:ascii="Arial" w:hAnsi="Arial" w:cs="Arial"/>
                <w:sz w:val="20"/>
                <w:szCs w:val="20"/>
                <w:lang w:val="en-US"/>
              </w:rPr>
              <w:t>SARS-CoV-2 ORF1ab region</w:t>
            </w:r>
          </w:p>
        </w:tc>
        <w:tc>
          <w:tcPr>
            <w:tcW w:w="1943" w:type="dxa"/>
          </w:tcPr>
          <w:p w14:paraId="18AB7839" w14:textId="77777777" w:rsidR="00EE5780" w:rsidRPr="00EE5780" w:rsidRDefault="00EE5780" w:rsidP="002D506D">
            <w:pPr>
              <w:spacing w:before="40" w:line="360" w:lineRule="auto"/>
              <w:contextualSpacing/>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5780">
              <w:rPr>
                <w:rFonts w:ascii="Arial" w:hAnsi="Arial" w:cs="Arial"/>
                <w:sz w:val="20"/>
                <w:szCs w:val="20"/>
              </w:rPr>
              <w:t>FAM</w:t>
            </w:r>
          </w:p>
        </w:tc>
        <w:tc>
          <w:tcPr>
            <w:tcW w:w="2790" w:type="dxa"/>
          </w:tcPr>
          <w:p w14:paraId="052FF043" w14:textId="77777777" w:rsidR="00EE5780" w:rsidRPr="00EE5780" w:rsidRDefault="00EE5780" w:rsidP="002D506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5780">
              <w:rPr>
                <w:rFonts w:ascii="Arial" w:hAnsi="Arial" w:cs="Arial"/>
                <w:sz w:val="20"/>
                <w:szCs w:val="20"/>
              </w:rPr>
              <w:t xml:space="preserve">None   </w:t>
            </w:r>
          </w:p>
        </w:tc>
      </w:tr>
      <w:tr w:rsidR="00EE5780" w:rsidRPr="00EE5780" w14:paraId="39E4B5F5" w14:textId="77777777" w:rsidTr="00EE5780">
        <w:trPr>
          <w:trHeight w:val="410"/>
        </w:trPr>
        <w:tc>
          <w:tcPr>
            <w:cnfStyle w:val="001000000000" w:firstRow="0" w:lastRow="0" w:firstColumn="1" w:lastColumn="0" w:oddVBand="0" w:evenVBand="0" w:oddHBand="0" w:evenHBand="0" w:firstRowFirstColumn="0" w:firstRowLastColumn="0" w:lastRowFirstColumn="0" w:lastRowLastColumn="0"/>
            <w:tcW w:w="3038" w:type="dxa"/>
          </w:tcPr>
          <w:p w14:paraId="594D5CBA" w14:textId="77777777" w:rsidR="00EE5780" w:rsidRPr="00EE5780" w:rsidRDefault="00EE5780" w:rsidP="002D506D">
            <w:pPr>
              <w:spacing w:before="40" w:line="360" w:lineRule="auto"/>
              <w:contextualSpacing/>
              <w:rPr>
                <w:rFonts w:ascii="Arial" w:eastAsia="Times New Roman" w:hAnsi="Arial" w:cs="Arial"/>
                <w:b w:val="0"/>
                <w:bCs w:val="0"/>
                <w:sz w:val="20"/>
                <w:szCs w:val="20"/>
              </w:rPr>
            </w:pPr>
            <w:r w:rsidRPr="00EE5780">
              <w:rPr>
                <w:rFonts w:ascii="Arial" w:hAnsi="Arial" w:cs="Arial"/>
                <w:sz w:val="20"/>
                <w:szCs w:val="20"/>
                <w:lang w:val="en-US"/>
              </w:rPr>
              <w:t>SARS-CoV-2 N gene</w:t>
            </w:r>
          </w:p>
        </w:tc>
        <w:tc>
          <w:tcPr>
            <w:tcW w:w="1943" w:type="dxa"/>
          </w:tcPr>
          <w:p w14:paraId="07EB2916" w14:textId="77777777" w:rsidR="00EE5780" w:rsidRPr="00EE5780" w:rsidRDefault="00EE5780" w:rsidP="002D506D">
            <w:pPr>
              <w:spacing w:before="40" w:line="360" w:lineRule="auto"/>
              <w:contextualSpacing/>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5780">
              <w:rPr>
                <w:rFonts w:ascii="Arial" w:hAnsi="Arial" w:cs="Arial"/>
                <w:sz w:val="20"/>
                <w:szCs w:val="20"/>
              </w:rPr>
              <w:t>ROX</w:t>
            </w:r>
          </w:p>
        </w:tc>
        <w:tc>
          <w:tcPr>
            <w:tcW w:w="2790" w:type="dxa"/>
          </w:tcPr>
          <w:p w14:paraId="6393D87A" w14:textId="77777777" w:rsidR="00EE5780" w:rsidRPr="00EE5780" w:rsidRDefault="00EE5780" w:rsidP="002D506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5780">
              <w:rPr>
                <w:rFonts w:ascii="Arial" w:hAnsi="Arial" w:cs="Arial"/>
                <w:sz w:val="20"/>
                <w:szCs w:val="20"/>
              </w:rPr>
              <w:t xml:space="preserve">None   </w:t>
            </w:r>
          </w:p>
        </w:tc>
      </w:tr>
      <w:tr w:rsidR="00EE5780" w:rsidRPr="00EE5780" w14:paraId="2AB4C712" w14:textId="77777777" w:rsidTr="00EE5780">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3038" w:type="dxa"/>
          </w:tcPr>
          <w:p w14:paraId="16255897" w14:textId="77777777" w:rsidR="00EE5780" w:rsidRPr="00EE5780" w:rsidRDefault="00EE5780" w:rsidP="002D506D">
            <w:pPr>
              <w:spacing w:before="40" w:line="360" w:lineRule="auto"/>
              <w:contextualSpacing/>
              <w:rPr>
                <w:rFonts w:ascii="Arial" w:eastAsia="Times New Roman" w:hAnsi="Arial" w:cs="Arial"/>
                <w:b w:val="0"/>
                <w:bCs w:val="0"/>
                <w:sz w:val="20"/>
                <w:szCs w:val="20"/>
              </w:rPr>
            </w:pPr>
            <w:r w:rsidRPr="00EE5780">
              <w:rPr>
                <w:rFonts w:ascii="Arial" w:hAnsi="Arial" w:cs="Arial"/>
                <w:sz w:val="20"/>
                <w:szCs w:val="20"/>
                <w:lang w:val="en-US"/>
              </w:rPr>
              <w:t>SARS-CoV-2 E gene</w:t>
            </w:r>
          </w:p>
        </w:tc>
        <w:tc>
          <w:tcPr>
            <w:tcW w:w="1943" w:type="dxa"/>
          </w:tcPr>
          <w:p w14:paraId="31C45181" w14:textId="77777777" w:rsidR="00EE5780" w:rsidRPr="00EE5780" w:rsidRDefault="00EE5780" w:rsidP="002D506D">
            <w:pPr>
              <w:spacing w:before="40" w:line="360" w:lineRule="auto"/>
              <w:contextualSpacing/>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5780">
              <w:rPr>
                <w:rFonts w:ascii="Arial" w:hAnsi="Arial" w:cs="Arial"/>
                <w:sz w:val="20"/>
                <w:szCs w:val="20"/>
              </w:rPr>
              <w:t>VIC</w:t>
            </w:r>
          </w:p>
        </w:tc>
        <w:tc>
          <w:tcPr>
            <w:tcW w:w="2790" w:type="dxa"/>
          </w:tcPr>
          <w:p w14:paraId="537781A0" w14:textId="77777777" w:rsidR="00EE5780" w:rsidRPr="00EE5780" w:rsidRDefault="00EE5780" w:rsidP="002D506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5780">
              <w:rPr>
                <w:rFonts w:ascii="Arial" w:hAnsi="Arial" w:cs="Arial"/>
                <w:sz w:val="20"/>
                <w:szCs w:val="20"/>
              </w:rPr>
              <w:t xml:space="preserve">None   </w:t>
            </w:r>
          </w:p>
        </w:tc>
      </w:tr>
      <w:tr w:rsidR="00EE5780" w:rsidRPr="00EE5780" w14:paraId="16C45735" w14:textId="77777777" w:rsidTr="00EE5780">
        <w:trPr>
          <w:trHeight w:val="420"/>
        </w:trPr>
        <w:tc>
          <w:tcPr>
            <w:cnfStyle w:val="001000000000" w:firstRow="0" w:lastRow="0" w:firstColumn="1" w:lastColumn="0" w:oddVBand="0" w:evenVBand="0" w:oddHBand="0" w:evenHBand="0" w:firstRowFirstColumn="0" w:firstRowLastColumn="0" w:lastRowFirstColumn="0" w:lastRowLastColumn="0"/>
            <w:tcW w:w="3038" w:type="dxa"/>
          </w:tcPr>
          <w:p w14:paraId="7445BF40" w14:textId="77777777" w:rsidR="00EE5780" w:rsidRPr="00EE5780" w:rsidRDefault="00EE5780" w:rsidP="002D506D">
            <w:pPr>
              <w:spacing w:before="40" w:line="360" w:lineRule="auto"/>
              <w:contextualSpacing/>
              <w:textAlignment w:val="baseline"/>
              <w:rPr>
                <w:rFonts w:ascii="Arial" w:hAnsi="Arial" w:cs="Arial"/>
                <w:b w:val="0"/>
                <w:bCs w:val="0"/>
                <w:sz w:val="20"/>
                <w:szCs w:val="20"/>
              </w:rPr>
            </w:pPr>
            <w:r w:rsidRPr="00EE5780">
              <w:rPr>
                <w:rFonts w:ascii="Arial" w:hAnsi="Arial" w:cs="Arial"/>
                <w:sz w:val="20"/>
                <w:szCs w:val="20"/>
                <w:lang w:val="en-US"/>
              </w:rPr>
              <w:t>Internal control</w:t>
            </w:r>
          </w:p>
        </w:tc>
        <w:tc>
          <w:tcPr>
            <w:tcW w:w="1943" w:type="dxa"/>
          </w:tcPr>
          <w:p w14:paraId="32C6DF8E" w14:textId="77777777" w:rsidR="00EE5780" w:rsidRPr="00EE5780" w:rsidRDefault="00EE5780" w:rsidP="002D506D">
            <w:pPr>
              <w:spacing w:before="40" w:line="360" w:lineRule="auto"/>
              <w:contextualSpacing/>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5780">
              <w:rPr>
                <w:rFonts w:ascii="Arial" w:hAnsi="Arial" w:cs="Arial"/>
                <w:sz w:val="20"/>
                <w:szCs w:val="20"/>
              </w:rPr>
              <w:t>CY5</w:t>
            </w:r>
          </w:p>
        </w:tc>
        <w:tc>
          <w:tcPr>
            <w:tcW w:w="2790" w:type="dxa"/>
          </w:tcPr>
          <w:p w14:paraId="127B143E" w14:textId="77777777" w:rsidR="00EE5780" w:rsidRPr="00EE5780" w:rsidRDefault="00EE5780" w:rsidP="002D506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5780">
              <w:rPr>
                <w:rFonts w:ascii="Arial" w:hAnsi="Arial" w:cs="Arial"/>
                <w:sz w:val="20"/>
                <w:szCs w:val="20"/>
              </w:rPr>
              <w:t xml:space="preserve">None   </w:t>
            </w:r>
          </w:p>
        </w:tc>
      </w:tr>
    </w:tbl>
    <w:p w14:paraId="05524714" w14:textId="77777777" w:rsidR="00EE5780" w:rsidRDefault="00ED2BDC" w:rsidP="00EE5780">
      <w:pPr>
        <w:pStyle w:val="Body"/>
        <w:spacing w:after="0"/>
        <w:jc w:val="left"/>
        <w:rPr>
          <w:rFonts w:ascii="Arial" w:hAnsi="Arial" w:cs="Arial"/>
          <w:i/>
          <w:iCs/>
        </w:rPr>
      </w:pPr>
      <w:r w:rsidRPr="00ED2BDC">
        <w:rPr>
          <w:rFonts w:ascii="Arial" w:hAnsi="Arial" w:cs="Arial"/>
          <w:i/>
          <w:iCs/>
        </w:rPr>
        <w:t>Note: The reference Ct value for a target gene is set at 40.</w:t>
      </w:r>
    </w:p>
    <w:p w14:paraId="407D6DEF" w14:textId="77777777" w:rsidR="00ED2BDC" w:rsidRPr="00ED2BDC" w:rsidRDefault="00ED2BDC" w:rsidP="00EE5780">
      <w:pPr>
        <w:pStyle w:val="Body"/>
        <w:spacing w:after="0"/>
        <w:jc w:val="left"/>
        <w:rPr>
          <w:rFonts w:ascii="Arial" w:hAnsi="Arial" w:cs="Arial"/>
          <w:i/>
          <w:iCs/>
        </w:rPr>
      </w:pPr>
    </w:p>
    <w:p w14:paraId="26EF2EFC" w14:textId="77777777" w:rsidR="00ED2BDC" w:rsidRPr="000E6EA8" w:rsidRDefault="00ED2BDC" w:rsidP="00ED2BDC">
      <w:pPr>
        <w:pStyle w:val="Body"/>
        <w:rPr>
          <w:rFonts w:ascii="Arial" w:hAnsi="Arial" w:cs="Arial"/>
          <w:b/>
          <w:bCs/>
          <w:sz w:val="22"/>
          <w:szCs w:val="22"/>
        </w:rPr>
      </w:pPr>
      <w:r w:rsidRPr="000E6EA8">
        <w:rPr>
          <w:rFonts w:ascii="Arial" w:hAnsi="Arial" w:cs="Arial"/>
          <w:b/>
          <w:bCs/>
          <w:sz w:val="22"/>
          <w:szCs w:val="22"/>
        </w:rPr>
        <w:t>-</w:t>
      </w:r>
      <w:r w:rsidRPr="000E6EA8">
        <w:rPr>
          <w:rFonts w:ascii="Arial" w:hAnsi="Arial" w:cs="Arial"/>
          <w:b/>
          <w:bCs/>
          <w:sz w:val="22"/>
          <w:szCs w:val="22"/>
        </w:rPr>
        <w:tab/>
        <w:t xml:space="preserve">Serological testing for anti-SARS-CoV-2 antibodies  </w:t>
      </w:r>
    </w:p>
    <w:p w14:paraId="40EA4620" w14:textId="77777777" w:rsidR="00ED2BDC" w:rsidRPr="00ED2BDC" w:rsidRDefault="00ED2BDC" w:rsidP="00ED2BDC">
      <w:pPr>
        <w:pStyle w:val="Body"/>
        <w:rPr>
          <w:rFonts w:ascii="Arial" w:hAnsi="Arial" w:cs="Arial"/>
        </w:rPr>
      </w:pPr>
      <w:r w:rsidRPr="00ED2BDC">
        <w:rPr>
          <w:rFonts w:ascii="Arial" w:hAnsi="Arial" w:cs="Arial"/>
        </w:rPr>
        <w:t xml:space="preserve">Serology was performed using the STANDARD Q COVID-19 IgM/IgG Plus® rapid test, an immunochromatographic assay detecting antibodies against the nucleocapsid (N) and spike (S) proteins in serum, plasma, or whole blood. This kit was usually used as a professional in vitro screening test, with positive results requiring confirmation by more specific diagnostic methods.  </w:t>
      </w:r>
    </w:p>
    <w:p w14:paraId="76910586" w14:textId="77777777" w:rsidR="00ED2BDC" w:rsidRPr="00ED2BDC" w:rsidRDefault="00ED2BDC" w:rsidP="00ED2BDC">
      <w:pPr>
        <w:pStyle w:val="Body"/>
        <w:rPr>
          <w:rFonts w:ascii="Arial" w:hAnsi="Arial" w:cs="Arial"/>
        </w:rPr>
      </w:pPr>
      <w:r w:rsidRPr="00ED2BDC">
        <w:rPr>
          <w:rFonts w:ascii="Arial" w:hAnsi="Arial" w:cs="Arial"/>
        </w:rPr>
        <w:t xml:space="preserve">Samples positive on rapid testing were further quantified by chemiluminescence immunoassay (Abbott SARS-CoV-2 IgG II QUANT kit) on Architect platform. The detection threshold was 50 AU/ml, and the assay’s luminescent signal correlates with antibody concentration.  </w:t>
      </w:r>
    </w:p>
    <w:p w14:paraId="348DE5F5" w14:textId="77777777" w:rsidR="00ED2BDC" w:rsidRPr="000E6EA8" w:rsidRDefault="00ED2BDC" w:rsidP="00ED2BDC">
      <w:pPr>
        <w:pStyle w:val="Body"/>
        <w:rPr>
          <w:rFonts w:ascii="Arial" w:hAnsi="Arial" w:cs="Arial"/>
          <w:b/>
          <w:bCs/>
          <w:sz w:val="22"/>
          <w:szCs w:val="22"/>
        </w:rPr>
      </w:pPr>
      <w:r w:rsidRPr="000E6EA8">
        <w:rPr>
          <w:rFonts w:ascii="Arial" w:hAnsi="Arial" w:cs="Arial"/>
          <w:b/>
          <w:bCs/>
          <w:sz w:val="22"/>
          <w:szCs w:val="22"/>
        </w:rPr>
        <w:t>-</w:t>
      </w:r>
      <w:r w:rsidRPr="000E6EA8">
        <w:rPr>
          <w:rFonts w:ascii="Arial" w:hAnsi="Arial" w:cs="Arial"/>
          <w:b/>
          <w:bCs/>
          <w:sz w:val="22"/>
          <w:szCs w:val="22"/>
        </w:rPr>
        <w:tab/>
        <w:t xml:space="preserve">Data collection and analysis  </w:t>
      </w:r>
    </w:p>
    <w:p w14:paraId="42BBC0A5" w14:textId="77777777" w:rsidR="00790ADA" w:rsidRPr="00FB3A86" w:rsidRDefault="00ED2BDC" w:rsidP="00441B6F">
      <w:pPr>
        <w:pStyle w:val="Body"/>
        <w:spacing w:after="0"/>
        <w:rPr>
          <w:rFonts w:ascii="Arial" w:hAnsi="Arial" w:cs="Arial"/>
        </w:rPr>
      </w:pPr>
      <w:r w:rsidRPr="00ED2BDC">
        <w:rPr>
          <w:rFonts w:ascii="Arial" w:hAnsi="Arial" w:cs="Arial"/>
        </w:rPr>
        <w:t>The data collected from participants (sociodemographic data, clinical features, COVID-19 vaccination status, and laboratory results) were entered on a Google docs–based questionnaire. Then, they were exported to Excel, cleaned, and analyzed using SPSS 20.0.</w:t>
      </w:r>
    </w:p>
    <w:p w14:paraId="37DA4F36" w14:textId="77777777" w:rsidR="00ED2BDC" w:rsidRDefault="00ED2BDC" w:rsidP="00441B6F">
      <w:pPr>
        <w:pStyle w:val="Head1"/>
        <w:spacing w:after="0"/>
        <w:jc w:val="both"/>
        <w:rPr>
          <w:rFonts w:ascii="Arial" w:hAnsi="Arial" w:cs="Arial"/>
        </w:rPr>
      </w:pPr>
    </w:p>
    <w:p w14:paraId="4D1D993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038BC194" w14:textId="77777777" w:rsidR="00790ADA" w:rsidRPr="00FB3A86" w:rsidRDefault="00790ADA" w:rsidP="00441B6F">
      <w:pPr>
        <w:pStyle w:val="Head1"/>
        <w:spacing w:after="0"/>
        <w:jc w:val="both"/>
        <w:rPr>
          <w:rFonts w:ascii="Arial" w:hAnsi="Arial" w:cs="Arial"/>
        </w:rPr>
      </w:pPr>
    </w:p>
    <w:p w14:paraId="238E0224" w14:textId="77777777" w:rsidR="00ED2BDC" w:rsidRPr="00AB0968" w:rsidRDefault="00ED2BDC" w:rsidP="00ED2BDC">
      <w:pPr>
        <w:pStyle w:val="Body"/>
        <w:rPr>
          <w:rFonts w:ascii="Arial" w:hAnsi="Arial" w:cs="Arial"/>
          <w:b/>
          <w:bCs/>
          <w:sz w:val="22"/>
          <w:szCs w:val="22"/>
        </w:rPr>
      </w:pPr>
      <w:r w:rsidRPr="00AB0968">
        <w:rPr>
          <w:rFonts w:ascii="Arial" w:hAnsi="Arial" w:cs="Arial"/>
          <w:b/>
          <w:bCs/>
          <w:sz w:val="22"/>
          <w:szCs w:val="22"/>
        </w:rPr>
        <w:t xml:space="preserve">Population characteristics  </w:t>
      </w:r>
    </w:p>
    <w:p w14:paraId="19F4DB79" w14:textId="77777777" w:rsidR="00ED2BDC" w:rsidRDefault="00ED2BDC" w:rsidP="00ED2BDC">
      <w:pPr>
        <w:pStyle w:val="Body"/>
        <w:spacing w:after="0"/>
        <w:rPr>
          <w:rFonts w:ascii="Arial" w:hAnsi="Arial" w:cs="Arial"/>
        </w:rPr>
      </w:pPr>
      <w:r w:rsidRPr="00ED2BDC">
        <w:rPr>
          <w:rFonts w:ascii="Arial" w:hAnsi="Arial" w:cs="Arial"/>
        </w:rPr>
        <w:t xml:space="preserve">This study enrolled 737 peoples described criteria for vulnerability to COVID-19 across three regions of Senegal: 215 in Thies (29.2%), 334 in Saint-Louis (45.2%), and 189 in </w:t>
      </w:r>
      <w:proofErr w:type="spellStart"/>
      <w:r w:rsidRPr="00ED2BDC">
        <w:rPr>
          <w:rFonts w:ascii="Arial" w:hAnsi="Arial" w:cs="Arial"/>
        </w:rPr>
        <w:t>Ziguinchor</w:t>
      </w:r>
      <w:proofErr w:type="spellEnd"/>
      <w:r w:rsidRPr="00ED2BDC">
        <w:rPr>
          <w:rFonts w:ascii="Arial" w:hAnsi="Arial" w:cs="Arial"/>
        </w:rPr>
        <w:t xml:space="preserve"> (25.6%). </w:t>
      </w:r>
      <w:commentRangeStart w:id="2"/>
      <w:r w:rsidRPr="00ED2BDC">
        <w:rPr>
          <w:rFonts w:ascii="Arial" w:hAnsi="Arial" w:cs="Arial"/>
        </w:rPr>
        <w:t xml:space="preserve">The median age was 58 years (range, 6 weeks–97 years) </w:t>
      </w:r>
      <w:commentRangeEnd w:id="2"/>
      <w:r w:rsidR="00AD5209">
        <w:rPr>
          <w:rStyle w:val="CommentReference"/>
          <w:rFonts w:ascii="Times New Roman" w:hAnsi="Times New Roman"/>
          <w:lang w:val="nb-NO" w:eastAsia="nb-NO"/>
        </w:rPr>
        <w:commentReference w:id="2"/>
      </w:r>
      <w:r w:rsidRPr="00ED2BDC">
        <w:rPr>
          <w:rFonts w:ascii="Arial" w:hAnsi="Arial" w:cs="Arial"/>
        </w:rPr>
        <w:t xml:space="preserve">and the female-to-male ratio was 2.23. </w:t>
      </w:r>
      <w:commentRangeStart w:id="3"/>
      <w:r w:rsidRPr="00ED2BDC">
        <w:rPr>
          <w:rFonts w:ascii="Arial" w:hAnsi="Arial" w:cs="Arial"/>
        </w:rPr>
        <w:t>Overall, 26.7% (n = 197) of participants were older than 65 years. Comorbidity profiles were as follows: diabetes mellitus (14.24%), hypertension (26.18%), age &gt; 65 years (19%), pregnancy (21.7%) and other comorbid conditions (18.8%) (fig 1).</w:t>
      </w:r>
      <w:commentRangeEnd w:id="3"/>
      <w:r w:rsidR="00AD5209">
        <w:rPr>
          <w:rStyle w:val="CommentReference"/>
          <w:rFonts w:ascii="Times New Roman" w:hAnsi="Times New Roman"/>
          <w:lang w:val="nb-NO" w:eastAsia="nb-NO"/>
        </w:rPr>
        <w:commentReference w:id="3"/>
      </w:r>
    </w:p>
    <w:p w14:paraId="619473DE" w14:textId="77777777" w:rsidR="00ED2BDC" w:rsidRDefault="00ED2BDC" w:rsidP="00ED2BDC">
      <w:pPr>
        <w:pStyle w:val="Body"/>
        <w:spacing w:after="0"/>
        <w:rPr>
          <w:rFonts w:ascii="Arial" w:hAnsi="Arial" w:cs="Arial"/>
        </w:rPr>
      </w:pPr>
    </w:p>
    <w:p w14:paraId="172DED5C" w14:textId="77777777" w:rsidR="00B95236" w:rsidRDefault="00ED2BDC" w:rsidP="00ED2BDC">
      <w:pPr>
        <w:pStyle w:val="Body"/>
        <w:spacing w:after="0"/>
        <w:jc w:val="center"/>
        <w:rPr>
          <w:rFonts w:ascii="Arial" w:hAnsi="Arial" w:cs="Arial"/>
        </w:rPr>
      </w:pPr>
      <w:r w:rsidRPr="00100E38">
        <w:rPr>
          <w:noProof/>
          <w:sz w:val="28"/>
          <w:szCs w:val="28"/>
        </w:rPr>
        <w:lastRenderedPageBreak/>
        <w:drawing>
          <wp:inline distT="0" distB="0" distL="0" distR="0" wp14:anchorId="1A5D5F6A" wp14:editId="0B2220C8">
            <wp:extent cx="5212080" cy="1971191"/>
            <wp:effectExtent l="0" t="0" r="7620" b="1016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7F79080" w14:textId="77777777" w:rsidR="00ED2BDC" w:rsidRDefault="00ED2BDC" w:rsidP="00ED2BDC">
      <w:pPr>
        <w:pStyle w:val="Body"/>
        <w:spacing w:after="0"/>
        <w:jc w:val="center"/>
        <w:rPr>
          <w:rFonts w:ascii="Arial" w:hAnsi="Arial" w:cs="Arial"/>
        </w:rPr>
      </w:pPr>
      <w:r w:rsidRPr="00ED2BDC">
        <w:rPr>
          <w:rFonts w:ascii="Arial" w:hAnsi="Arial" w:cs="Arial"/>
        </w:rPr>
        <w:t>Figure 1: Number of participants by region and by type of vulnerability</w:t>
      </w:r>
    </w:p>
    <w:p w14:paraId="4F6F738A" w14:textId="77777777" w:rsidR="00790ADA" w:rsidRDefault="00790ADA" w:rsidP="00441B6F">
      <w:pPr>
        <w:pStyle w:val="Body"/>
        <w:spacing w:after="0"/>
        <w:rPr>
          <w:rFonts w:ascii="Arial" w:hAnsi="Arial" w:cs="Arial"/>
        </w:rPr>
      </w:pPr>
    </w:p>
    <w:p w14:paraId="01B04456" w14:textId="53001B14" w:rsidR="00790ADA" w:rsidRDefault="00ED2BDC" w:rsidP="00441B6F">
      <w:pPr>
        <w:pStyle w:val="Body"/>
        <w:spacing w:after="0"/>
        <w:rPr>
          <w:rFonts w:ascii="Arial" w:hAnsi="Arial" w:cs="Arial"/>
        </w:rPr>
      </w:pPr>
      <w:r w:rsidRPr="00ED2BDC">
        <w:rPr>
          <w:rFonts w:ascii="Arial" w:hAnsi="Arial" w:cs="Arial"/>
        </w:rPr>
        <w:t>Vaccination coverage in this cohort was 38.34%</w:t>
      </w:r>
      <w:commentRangeStart w:id="4"/>
      <w:r w:rsidR="00AD5209">
        <w:rPr>
          <w:rFonts w:ascii="Arial" w:hAnsi="Arial" w:cs="Arial"/>
        </w:rPr>
        <w:t>(n=?)</w:t>
      </w:r>
      <w:r w:rsidRPr="00ED2BDC">
        <w:rPr>
          <w:rFonts w:ascii="Arial" w:hAnsi="Arial" w:cs="Arial"/>
        </w:rPr>
        <w:t xml:space="preserve">, </w:t>
      </w:r>
      <w:commentRangeEnd w:id="4"/>
      <w:r w:rsidR="00AD5209">
        <w:rPr>
          <w:rStyle w:val="CommentReference"/>
          <w:rFonts w:ascii="Times New Roman" w:hAnsi="Times New Roman"/>
          <w:lang w:val="nb-NO" w:eastAsia="nb-NO"/>
        </w:rPr>
        <w:commentReference w:id="4"/>
      </w:r>
      <w:r w:rsidRPr="00ED2BDC">
        <w:rPr>
          <w:rFonts w:ascii="Arial" w:hAnsi="Arial" w:cs="Arial"/>
        </w:rPr>
        <w:t xml:space="preserve">with higher uptake among elderly subjects, hypertensive patients and pregnant women. The Sinopharm vaccine was most frequently administered at all three sites (fig 2 and 3).  </w:t>
      </w:r>
    </w:p>
    <w:p w14:paraId="623A4A7E" w14:textId="77777777" w:rsidR="00ED2BDC" w:rsidRDefault="00ED2BDC" w:rsidP="00441B6F">
      <w:pPr>
        <w:pStyle w:val="Body"/>
        <w:spacing w:after="0"/>
        <w:rPr>
          <w:rFonts w:ascii="Arial" w:hAnsi="Arial" w:cs="Arial"/>
        </w:rPr>
      </w:pPr>
    </w:p>
    <w:p w14:paraId="7148A6E7" w14:textId="77777777" w:rsidR="00ED2BDC" w:rsidRDefault="00ED2BDC" w:rsidP="00ED2BDC">
      <w:pPr>
        <w:pStyle w:val="Body"/>
        <w:spacing w:after="0"/>
        <w:jc w:val="center"/>
        <w:rPr>
          <w:rFonts w:ascii="Arial" w:hAnsi="Arial" w:cs="Arial"/>
        </w:rPr>
      </w:pPr>
      <w:r w:rsidRPr="00100E38">
        <w:rPr>
          <w:noProof/>
          <w:lang w:eastAsia="fr-FR"/>
        </w:rPr>
        <w:drawing>
          <wp:inline distT="0" distB="0" distL="0" distR="0" wp14:anchorId="37503FC5" wp14:editId="1CAB3B5D">
            <wp:extent cx="3708400" cy="1968500"/>
            <wp:effectExtent l="0" t="0" r="12700" b="12700"/>
            <wp:docPr id="2007778809" name="Graphique 200777880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B37E8AD" w14:textId="3157D477" w:rsidR="00ED2BDC" w:rsidRDefault="00ED2BDC" w:rsidP="00ED2BDC">
      <w:pPr>
        <w:pStyle w:val="Body"/>
        <w:spacing w:after="0"/>
        <w:jc w:val="center"/>
        <w:rPr>
          <w:rFonts w:ascii="Arial" w:hAnsi="Arial" w:cs="Arial"/>
        </w:rPr>
      </w:pPr>
      <w:r w:rsidRPr="00ED2BDC">
        <w:rPr>
          <w:rFonts w:ascii="Arial" w:hAnsi="Arial" w:cs="Arial"/>
        </w:rPr>
        <w:t xml:space="preserve">Figure 2: Vaccination status of the study </w:t>
      </w:r>
      <w:commentRangeStart w:id="5"/>
      <w:r w:rsidRPr="00ED2BDC">
        <w:rPr>
          <w:rFonts w:ascii="Arial" w:hAnsi="Arial" w:cs="Arial"/>
        </w:rPr>
        <w:t>population</w:t>
      </w:r>
      <w:commentRangeEnd w:id="5"/>
      <w:r w:rsidR="00AD5209">
        <w:rPr>
          <w:rStyle w:val="CommentReference"/>
          <w:rFonts w:ascii="Times New Roman" w:hAnsi="Times New Roman"/>
          <w:lang w:val="nb-NO" w:eastAsia="nb-NO"/>
        </w:rPr>
        <w:commentReference w:id="5"/>
      </w:r>
      <w:r w:rsidR="00AD5209">
        <w:rPr>
          <w:rFonts w:ascii="Arial" w:hAnsi="Arial" w:cs="Arial"/>
        </w:rPr>
        <w:t xml:space="preserve"> (</w:t>
      </w:r>
    </w:p>
    <w:p w14:paraId="7AE5F8F4" w14:textId="77777777" w:rsidR="00ED2BDC" w:rsidRDefault="00ED2BDC" w:rsidP="00ED2BDC">
      <w:pPr>
        <w:pStyle w:val="Body"/>
        <w:spacing w:after="0"/>
        <w:jc w:val="left"/>
        <w:rPr>
          <w:rFonts w:ascii="Arial" w:hAnsi="Arial" w:cs="Arial"/>
        </w:rPr>
      </w:pPr>
    </w:p>
    <w:p w14:paraId="638CAD1D" w14:textId="77777777" w:rsidR="00ED2BDC" w:rsidRDefault="00ED2BDC" w:rsidP="00ED2BDC">
      <w:pPr>
        <w:pStyle w:val="Body"/>
        <w:spacing w:after="0"/>
        <w:jc w:val="center"/>
        <w:rPr>
          <w:rFonts w:ascii="Arial" w:hAnsi="Arial" w:cs="Arial"/>
        </w:rPr>
      </w:pPr>
      <w:r w:rsidRPr="00100E38">
        <w:rPr>
          <w:noProof/>
          <w:lang w:eastAsia="fr-FR"/>
        </w:rPr>
        <w:drawing>
          <wp:inline distT="0" distB="0" distL="0" distR="0" wp14:anchorId="70112D9B" wp14:editId="5E0F96CE">
            <wp:extent cx="4210050" cy="2203450"/>
            <wp:effectExtent l="0" t="0" r="6350" b="635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6DA10C5" w14:textId="77777777" w:rsidR="00ED2BDC" w:rsidRDefault="00ED2BDC" w:rsidP="00ED2BDC">
      <w:pPr>
        <w:pStyle w:val="Body"/>
        <w:spacing w:after="0"/>
        <w:jc w:val="center"/>
        <w:rPr>
          <w:rFonts w:ascii="Arial" w:hAnsi="Arial" w:cs="Arial"/>
        </w:rPr>
      </w:pPr>
      <w:r w:rsidRPr="00ED2BDC">
        <w:rPr>
          <w:rFonts w:ascii="Arial" w:hAnsi="Arial" w:cs="Arial"/>
        </w:rPr>
        <w:t>Figure 3: Vaccines used by participants</w:t>
      </w:r>
    </w:p>
    <w:p w14:paraId="16C22A3D" w14:textId="77777777" w:rsidR="00ED2BDC" w:rsidRDefault="00ED2BDC" w:rsidP="00ED2BDC">
      <w:pPr>
        <w:pStyle w:val="Body"/>
        <w:spacing w:after="0"/>
        <w:jc w:val="center"/>
        <w:rPr>
          <w:rFonts w:ascii="Arial" w:hAnsi="Arial" w:cs="Arial"/>
        </w:rPr>
      </w:pPr>
    </w:p>
    <w:p w14:paraId="31DB2361" w14:textId="77777777" w:rsidR="00ED2BDC" w:rsidRPr="00AB0968" w:rsidRDefault="00ED2BDC" w:rsidP="00ED2BDC">
      <w:pPr>
        <w:pStyle w:val="Body"/>
        <w:rPr>
          <w:rFonts w:ascii="Arial" w:hAnsi="Arial" w:cs="Arial"/>
          <w:b/>
          <w:bCs/>
          <w:sz w:val="22"/>
          <w:szCs w:val="22"/>
        </w:rPr>
      </w:pPr>
      <w:r w:rsidRPr="00AB0968">
        <w:rPr>
          <w:rFonts w:ascii="Arial" w:hAnsi="Arial" w:cs="Arial"/>
          <w:b/>
          <w:bCs/>
          <w:sz w:val="22"/>
          <w:szCs w:val="22"/>
        </w:rPr>
        <w:t xml:space="preserve">SARS-CoV-2 RNA prevalence  </w:t>
      </w:r>
    </w:p>
    <w:p w14:paraId="3EE90313" w14:textId="77777777" w:rsidR="00ED2BDC" w:rsidRDefault="00ED2BDC" w:rsidP="008C3CF8">
      <w:pPr>
        <w:pStyle w:val="Body"/>
        <w:spacing w:after="0"/>
        <w:rPr>
          <w:rFonts w:ascii="Arial" w:hAnsi="Arial" w:cs="Arial"/>
        </w:rPr>
      </w:pPr>
      <w:r w:rsidRPr="00ED2BDC">
        <w:rPr>
          <w:rFonts w:ascii="Arial" w:hAnsi="Arial" w:cs="Arial"/>
        </w:rPr>
        <w:lastRenderedPageBreak/>
        <w:t xml:space="preserve">RT-PCR analysis detected SARS-CoV-2 RNA in 20 participants, yielding an overall carriage prevalence of 2.74 %. All PCR-positive </w:t>
      </w:r>
      <w:commentRangeStart w:id="6"/>
      <w:r w:rsidRPr="00ED2BDC">
        <w:rPr>
          <w:rFonts w:ascii="Arial" w:hAnsi="Arial" w:cs="Arial"/>
        </w:rPr>
        <w:t>peoples</w:t>
      </w:r>
      <w:commentRangeEnd w:id="6"/>
      <w:r w:rsidR="00AD5209">
        <w:rPr>
          <w:rStyle w:val="CommentReference"/>
          <w:rFonts w:ascii="Times New Roman" w:hAnsi="Times New Roman"/>
          <w:lang w:val="nb-NO" w:eastAsia="nb-NO"/>
        </w:rPr>
        <w:commentReference w:id="6"/>
      </w:r>
      <w:r w:rsidRPr="00ED2BDC">
        <w:rPr>
          <w:rFonts w:ascii="Arial" w:hAnsi="Arial" w:cs="Arial"/>
        </w:rPr>
        <w:t xml:space="preserve"> had received at least one dose of COVID-19 vaccine (tab 2).  </w:t>
      </w:r>
    </w:p>
    <w:p w14:paraId="0C27CAA5" w14:textId="77777777" w:rsidR="00ED2BDC" w:rsidRDefault="00ED2BDC" w:rsidP="00ED2BDC">
      <w:pPr>
        <w:pStyle w:val="Body"/>
        <w:spacing w:after="0"/>
        <w:jc w:val="left"/>
        <w:rPr>
          <w:rFonts w:ascii="Arial" w:hAnsi="Arial" w:cs="Arial"/>
        </w:rPr>
      </w:pPr>
    </w:p>
    <w:p w14:paraId="6D95CE24" w14:textId="77777777" w:rsidR="00ED2BDC" w:rsidRDefault="00ED2BDC" w:rsidP="00ED2BDC">
      <w:pPr>
        <w:pStyle w:val="Body"/>
        <w:spacing w:after="0"/>
        <w:jc w:val="center"/>
        <w:rPr>
          <w:rFonts w:ascii="Arial" w:hAnsi="Arial" w:cs="Arial"/>
        </w:rPr>
      </w:pPr>
      <w:r w:rsidRPr="00ED2BDC">
        <w:rPr>
          <w:rFonts w:ascii="Arial" w:hAnsi="Arial" w:cs="Arial"/>
        </w:rPr>
        <w:t>Table 2: RT-PCR Results by Study Site</w:t>
      </w:r>
    </w:p>
    <w:tbl>
      <w:tblPr>
        <w:tblW w:w="6664" w:type="dxa"/>
        <w:jc w:val="center"/>
        <w:tblCellMar>
          <w:left w:w="70" w:type="dxa"/>
          <w:right w:w="70" w:type="dxa"/>
        </w:tblCellMar>
        <w:tblLook w:val="04A0" w:firstRow="1" w:lastRow="0" w:firstColumn="1" w:lastColumn="0" w:noHBand="0" w:noVBand="1"/>
      </w:tblPr>
      <w:tblGrid>
        <w:gridCol w:w="1689"/>
        <w:gridCol w:w="1665"/>
        <w:gridCol w:w="1655"/>
        <w:gridCol w:w="1655"/>
      </w:tblGrid>
      <w:tr w:rsidR="00ED2BDC" w:rsidRPr="00100E38" w14:paraId="2F9B6DDC" w14:textId="77777777" w:rsidTr="002D506D">
        <w:trPr>
          <w:trHeight w:val="448"/>
          <w:jc w:val="center"/>
        </w:trPr>
        <w:tc>
          <w:tcPr>
            <w:tcW w:w="1689" w:type="dxa"/>
            <w:tcBorders>
              <w:top w:val="single" w:sz="4" w:space="0" w:color="auto"/>
              <w:left w:val="nil"/>
              <w:bottom w:val="single" w:sz="4" w:space="0" w:color="auto"/>
              <w:right w:val="nil"/>
            </w:tcBorders>
            <w:noWrap/>
            <w:vAlign w:val="bottom"/>
            <w:hideMark/>
          </w:tcPr>
          <w:p w14:paraId="27122FBE" w14:textId="77777777" w:rsidR="00ED2BDC" w:rsidRPr="00100E38" w:rsidRDefault="00ED2BDC" w:rsidP="002D506D">
            <w:pPr>
              <w:rPr>
                <w:rFonts w:ascii="Times New Roman" w:hAnsi="Times New Roman"/>
                <w:b/>
                <w:lang w:eastAsia="fr-FR"/>
              </w:rPr>
            </w:pPr>
          </w:p>
        </w:tc>
        <w:tc>
          <w:tcPr>
            <w:tcW w:w="1665" w:type="dxa"/>
            <w:tcBorders>
              <w:top w:val="single" w:sz="4" w:space="0" w:color="auto"/>
              <w:left w:val="nil"/>
              <w:bottom w:val="single" w:sz="4" w:space="0" w:color="auto"/>
              <w:right w:val="nil"/>
            </w:tcBorders>
            <w:noWrap/>
            <w:vAlign w:val="bottom"/>
            <w:hideMark/>
          </w:tcPr>
          <w:p w14:paraId="7FBE5ED1" w14:textId="77777777" w:rsidR="00ED2BDC" w:rsidRPr="00100E38" w:rsidRDefault="00ED2BDC" w:rsidP="002D506D">
            <w:pPr>
              <w:jc w:val="center"/>
              <w:rPr>
                <w:rFonts w:ascii="Times New Roman" w:hAnsi="Times New Roman"/>
                <w:b/>
                <w:lang w:eastAsia="fr-FR"/>
              </w:rPr>
            </w:pPr>
            <w:proofErr w:type="spellStart"/>
            <w:r w:rsidRPr="00100E38">
              <w:rPr>
                <w:rFonts w:ascii="Times New Roman" w:hAnsi="Times New Roman"/>
                <w:b/>
                <w:lang w:eastAsia="fr-FR"/>
              </w:rPr>
              <w:t>Ziguinchor</w:t>
            </w:r>
            <w:proofErr w:type="spellEnd"/>
          </w:p>
        </w:tc>
        <w:tc>
          <w:tcPr>
            <w:tcW w:w="1655" w:type="dxa"/>
            <w:tcBorders>
              <w:top w:val="single" w:sz="4" w:space="0" w:color="auto"/>
              <w:left w:val="nil"/>
              <w:bottom w:val="single" w:sz="4" w:space="0" w:color="auto"/>
              <w:right w:val="nil"/>
            </w:tcBorders>
            <w:noWrap/>
            <w:vAlign w:val="bottom"/>
            <w:hideMark/>
          </w:tcPr>
          <w:p w14:paraId="45486D1D" w14:textId="77777777" w:rsidR="00ED2BDC" w:rsidRPr="00100E38" w:rsidRDefault="00ED2BDC" w:rsidP="002D506D">
            <w:pPr>
              <w:jc w:val="center"/>
              <w:rPr>
                <w:rFonts w:ascii="Times New Roman" w:hAnsi="Times New Roman"/>
                <w:b/>
                <w:lang w:eastAsia="fr-FR"/>
              </w:rPr>
            </w:pPr>
            <w:r w:rsidRPr="00100E38">
              <w:rPr>
                <w:rFonts w:ascii="Times New Roman" w:hAnsi="Times New Roman"/>
                <w:b/>
                <w:lang w:eastAsia="fr-FR"/>
              </w:rPr>
              <w:t>Saint Louis</w:t>
            </w:r>
          </w:p>
        </w:tc>
        <w:tc>
          <w:tcPr>
            <w:tcW w:w="1655" w:type="dxa"/>
            <w:tcBorders>
              <w:top w:val="single" w:sz="4" w:space="0" w:color="auto"/>
              <w:left w:val="nil"/>
              <w:bottom w:val="single" w:sz="4" w:space="0" w:color="auto"/>
              <w:right w:val="nil"/>
            </w:tcBorders>
            <w:noWrap/>
            <w:vAlign w:val="bottom"/>
            <w:hideMark/>
          </w:tcPr>
          <w:p w14:paraId="068ECEAD" w14:textId="77777777" w:rsidR="00ED2BDC" w:rsidRPr="00100E38" w:rsidRDefault="00ED2BDC" w:rsidP="002D506D">
            <w:pPr>
              <w:jc w:val="center"/>
              <w:rPr>
                <w:rFonts w:ascii="Times New Roman" w:hAnsi="Times New Roman"/>
                <w:b/>
                <w:lang w:eastAsia="fr-FR"/>
              </w:rPr>
            </w:pPr>
            <w:r w:rsidRPr="00100E38">
              <w:rPr>
                <w:rFonts w:ascii="Times New Roman" w:hAnsi="Times New Roman"/>
                <w:b/>
                <w:lang w:eastAsia="fr-FR"/>
              </w:rPr>
              <w:t>Thies</w:t>
            </w:r>
          </w:p>
        </w:tc>
      </w:tr>
      <w:tr w:rsidR="00ED2BDC" w:rsidRPr="00100E38" w14:paraId="2573EB6B" w14:textId="77777777" w:rsidTr="002D506D">
        <w:trPr>
          <w:trHeight w:val="448"/>
          <w:jc w:val="center"/>
        </w:trPr>
        <w:tc>
          <w:tcPr>
            <w:tcW w:w="1689" w:type="dxa"/>
            <w:tcBorders>
              <w:top w:val="single" w:sz="4" w:space="0" w:color="auto"/>
              <w:left w:val="nil"/>
              <w:bottom w:val="single" w:sz="4" w:space="0" w:color="auto"/>
              <w:right w:val="nil"/>
            </w:tcBorders>
            <w:noWrap/>
            <w:vAlign w:val="bottom"/>
            <w:hideMark/>
          </w:tcPr>
          <w:p w14:paraId="78D24E6F" w14:textId="77777777" w:rsidR="00ED2BDC" w:rsidRPr="00100E38" w:rsidRDefault="00ED2BDC" w:rsidP="002D506D">
            <w:pPr>
              <w:rPr>
                <w:rFonts w:ascii="Times New Roman" w:hAnsi="Times New Roman"/>
                <w:b/>
                <w:lang w:eastAsia="fr-FR"/>
              </w:rPr>
            </w:pPr>
            <w:r w:rsidRPr="00100E38">
              <w:rPr>
                <w:rFonts w:ascii="Times New Roman" w:hAnsi="Times New Roman"/>
                <w:b/>
                <w:lang w:eastAsia="fr-FR"/>
              </w:rPr>
              <w:t>Positive PCR</w:t>
            </w:r>
          </w:p>
        </w:tc>
        <w:tc>
          <w:tcPr>
            <w:tcW w:w="1665" w:type="dxa"/>
            <w:tcBorders>
              <w:top w:val="single" w:sz="4" w:space="0" w:color="auto"/>
              <w:left w:val="nil"/>
              <w:bottom w:val="single" w:sz="4" w:space="0" w:color="auto"/>
              <w:right w:val="nil"/>
            </w:tcBorders>
            <w:noWrap/>
            <w:vAlign w:val="bottom"/>
            <w:hideMark/>
          </w:tcPr>
          <w:p w14:paraId="3717FD66" w14:textId="77777777" w:rsidR="00ED2BDC" w:rsidRPr="00100E38" w:rsidRDefault="00ED2BDC" w:rsidP="002D506D">
            <w:pPr>
              <w:jc w:val="center"/>
              <w:rPr>
                <w:rFonts w:ascii="Times New Roman" w:hAnsi="Times New Roman"/>
                <w:lang w:eastAsia="fr-FR"/>
              </w:rPr>
            </w:pPr>
            <w:r w:rsidRPr="00100E38">
              <w:rPr>
                <w:rFonts w:ascii="Times New Roman" w:hAnsi="Times New Roman"/>
                <w:lang w:eastAsia="fr-FR"/>
              </w:rPr>
              <w:t>9</w:t>
            </w:r>
          </w:p>
        </w:tc>
        <w:tc>
          <w:tcPr>
            <w:tcW w:w="1655" w:type="dxa"/>
            <w:tcBorders>
              <w:top w:val="single" w:sz="4" w:space="0" w:color="auto"/>
              <w:left w:val="nil"/>
              <w:bottom w:val="single" w:sz="4" w:space="0" w:color="auto"/>
              <w:right w:val="nil"/>
            </w:tcBorders>
            <w:noWrap/>
            <w:vAlign w:val="bottom"/>
            <w:hideMark/>
          </w:tcPr>
          <w:p w14:paraId="2E60FC4F" w14:textId="77777777" w:rsidR="00ED2BDC" w:rsidRPr="00100E38" w:rsidRDefault="00ED2BDC" w:rsidP="002D506D">
            <w:pPr>
              <w:jc w:val="center"/>
              <w:rPr>
                <w:rFonts w:ascii="Times New Roman" w:hAnsi="Times New Roman"/>
                <w:lang w:eastAsia="fr-FR"/>
              </w:rPr>
            </w:pPr>
            <w:r w:rsidRPr="00100E38">
              <w:rPr>
                <w:rFonts w:ascii="Times New Roman" w:hAnsi="Times New Roman"/>
                <w:lang w:eastAsia="fr-FR"/>
              </w:rPr>
              <w:t>0</w:t>
            </w:r>
          </w:p>
        </w:tc>
        <w:tc>
          <w:tcPr>
            <w:tcW w:w="1655" w:type="dxa"/>
            <w:tcBorders>
              <w:top w:val="single" w:sz="4" w:space="0" w:color="auto"/>
              <w:left w:val="nil"/>
              <w:bottom w:val="single" w:sz="4" w:space="0" w:color="auto"/>
              <w:right w:val="nil"/>
            </w:tcBorders>
            <w:noWrap/>
            <w:vAlign w:val="bottom"/>
            <w:hideMark/>
          </w:tcPr>
          <w:p w14:paraId="59BC3CC3" w14:textId="77777777" w:rsidR="00ED2BDC" w:rsidRPr="00100E38" w:rsidRDefault="00ED2BDC" w:rsidP="002D506D">
            <w:pPr>
              <w:jc w:val="center"/>
              <w:rPr>
                <w:rFonts w:ascii="Times New Roman" w:hAnsi="Times New Roman"/>
                <w:lang w:eastAsia="fr-FR"/>
              </w:rPr>
            </w:pPr>
            <w:r w:rsidRPr="00100E38">
              <w:rPr>
                <w:rFonts w:ascii="Times New Roman" w:hAnsi="Times New Roman"/>
                <w:lang w:eastAsia="fr-FR"/>
              </w:rPr>
              <w:t>11</w:t>
            </w:r>
          </w:p>
        </w:tc>
      </w:tr>
      <w:tr w:rsidR="00ED2BDC" w:rsidRPr="00100E38" w14:paraId="2B9BBC3A" w14:textId="77777777" w:rsidTr="002D506D">
        <w:trPr>
          <w:trHeight w:val="448"/>
          <w:jc w:val="center"/>
        </w:trPr>
        <w:tc>
          <w:tcPr>
            <w:tcW w:w="1689" w:type="dxa"/>
            <w:tcBorders>
              <w:top w:val="single" w:sz="4" w:space="0" w:color="auto"/>
              <w:left w:val="nil"/>
              <w:bottom w:val="single" w:sz="4" w:space="0" w:color="auto"/>
              <w:right w:val="nil"/>
            </w:tcBorders>
            <w:noWrap/>
            <w:vAlign w:val="bottom"/>
            <w:hideMark/>
          </w:tcPr>
          <w:p w14:paraId="6B1B34E5" w14:textId="77777777" w:rsidR="00ED2BDC" w:rsidRPr="00100E38" w:rsidRDefault="00ED2BDC" w:rsidP="002D506D">
            <w:pPr>
              <w:rPr>
                <w:rFonts w:ascii="Times New Roman" w:hAnsi="Times New Roman"/>
                <w:b/>
                <w:lang w:eastAsia="fr-FR"/>
              </w:rPr>
            </w:pPr>
            <w:r w:rsidRPr="00100E38">
              <w:rPr>
                <w:rFonts w:ascii="Times New Roman" w:hAnsi="Times New Roman"/>
                <w:b/>
                <w:lang w:eastAsia="fr-FR"/>
              </w:rPr>
              <w:t>Negative PCR</w:t>
            </w:r>
          </w:p>
        </w:tc>
        <w:tc>
          <w:tcPr>
            <w:tcW w:w="1665" w:type="dxa"/>
            <w:tcBorders>
              <w:top w:val="single" w:sz="4" w:space="0" w:color="auto"/>
              <w:left w:val="nil"/>
              <w:bottom w:val="single" w:sz="4" w:space="0" w:color="auto"/>
              <w:right w:val="nil"/>
            </w:tcBorders>
            <w:noWrap/>
            <w:vAlign w:val="bottom"/>
            <w:hideMark/>
          </w:tcPr>
          <w:p w14:paraId="0DC92AE8" w14:textId="77777777" w:rsidR="00ED2BDC" w:rsidRPr="00100E38" w:rsidRDefault="00ED2BDC" w:rsidP="002D506D">
            <w:pPr>
              <w:jc w:val="center"/>
              <w:rPr>
                <w:rFonts w:ascii="Times New Roman" w:hAnsi="Times New Roman"/>
                <w:lang w:eastAsia="fr-FR"/>
              </w:rPr>
            </w:pPr>
            <w:r w:rsidRPr="00100E38">
              <w:rPr>
                <w:rFonts w:ascii="Times New Roman" w:hAnsi="Times New Roman"/>
                <w:lang w:eastAsia="fr-FR"/>
              </w:rPr>
              <w:t>183</w:t>
            </w:r>
          </w:p>
        </w:tc>
        <w:tc>
          <w:tcPr>
            <w:tcW w:w="1655" w:type="dxa"/>
            <w:tcBorders>
              <w:top w:val="single" w:sz="4" w:space="0" w:color="auto"/>
              <w:left w:val="nil"/>
              <w:bottom w:val="single" w:sz="4" w:space="0" w:color="auto"/>
              <w:right w:val="nil"/>
            </w:tcBorders>
            <w:noWrap/>
            <w:vAlign w:val="bottom"/>
            <w:hideMark/>
          </w:tcPr>
          <w:p w14:paraId="797FC78A" w14:textId="77777777" w:rsidR="00ED2BDC" w:rsidRPr="00100E38" w:rsidRDefault="00ED2BDC" w:rsidP="002D506D">
            <w:pPr>
              <w:jc w:val="center"/>
              <w:rPr>
                <w:rFonts w:ascii="Times New Roman" w:hAnsi="Times New Roman"/>
                <w:lang w:eastAsia="fr-FR"/>
              </w:rPr>
            </w:pPr>
            <w:r w:rsidRPr="00100E38">
              <w:rPr>
                <w:rFonts w:ascii="Times New Roman" w:hAnsi="Times New Roman"/>
                <w:lang w:eastAsia="fr-FR"/>
              </w:rPr>
              <w:t>334</w:t>
            </w:r>
          </w:p>
        </w:tc>
        <w:tc>
          <w:tcPr>
            <w:tcW w:w="1655" w:type="dxa"/>
            <w:tcBorders>
              <w:top w:val="single" w:sz="4" w:space="0" w:color="auto"/>
              <w:left w:val="nil"/>
              <w:bottom w:val="single" w:sz="4" w:space="0" w:color="auto"/>
              <w:right w:val="nil"/>
            </w:tcBorders>
            <w:noWrap/>
            <w:vAlign w:val="bottom"/>
            <w:hideMark/>
          </w:tcPr>
          <w:p w14:paraId="3617015A" w14:textId="77777777" w:rsidR="00ED2BDC" w:rsidRPr="00100E38" w:rsidRDefault="00ED2BDC" w:rsidP="002D506D">
            <w:pPr>
              <w:jc w:val="center"/>
              <w:rPr>
                <w:rFonts w:ascii="Times New Roman" w:hAnsi="Times New Roman"/>
                <w:lang w:eastAsia="fr-FR"/>
              </w:rPr>
            </w:pPr>
            <w:r w:rsidRPr="00100E38">
              <w:rPr>
                <w:rFonts w:ascii="Times New Roman" w:hAnsi="Times New Roman"/>
                <w:lang w:eastAsia="fr-FR"/>
              </w:rPr>
              <w:t>203</w:t>
            </w:r>
          </w:p>
        </w:tc>
      </w:tr>
    </w:tbl>
    <w:p w14:paraId="1090D171" w14:textId="77777777" w:rsidR="00ED2BDC" w:rsidRPr="00502516" w:rsidRDefault="00ED2BDC" w:rsidP="00ED2BDC">
      <w:pPr>
        <w:pStyle w:val="Body"/>
        <w:spacing w:after="0"/>
        <w:jc w:val="center"/>
        <w:rPr>
          <w:rFonts w:ascii="Arial" w:hAnsi="Arial" w:cs="Arial"/>
        </w:rPr>
      </w:pPr>
    </w:p>
    <w:p w14:paraId="1EBFA3C2" w14:textId="77777777" w:rsidR="00ED2BDC" w:rsidRDefault="00ED2BDC" w:rsidP="00441B6F">
      <w:pPr>
        <w:pStyle w:val="Body"/>
        <w:spacing w:after="0"/>
        <w:rPr>
          <w:rFonts w:ascii="Arial" w:hAnsi="Arial" w:cs="Arial"/>
        </w:rPr>
      </w:pPr>
    </w:p>
    <w:p w14:paraId="38FA1CCC" w14:textId="77777777" w:rsidR="00ED2BDC" w:rsidRPr="00ED2BDC" w:rsidRDefault="00ED2BDC" w:rsidP="008C3CF8">
      <w:pPr>
        <w:pStyle w:val="Body"/>
        <w:rPr>
          <w:rFonts w:ascii="Arial" w:hAnsi="Arial" w:cs="Arial"/>
        </w:rPr>
      </w:pPr>
      <w:r w:rsidRPr="00ED2BDC">
        <w:rPr>
          <w:rFonts w:ascii="Arial" w:hAnsi="Arial" w:cs="Arial"/>
        </w:rPr>
        <w:t xml:space="preserve">Prevalence varied by vulnerability subgroup and region:  </w:t>
      </w:r>
    </w:p>
    <w:p w14:paraId="6E2F9759" w14:textId="07963C4B" w:rsidR="00ED2BDC" w:rsidRPr="00ED2BDC" w:rsidRDefault="00ED2BDC" w:rsidP="008C3CF8">
      <w:pPr>
        <w:pStyle w:val="Body"/>
        <w:rPr>
          <w:rFonts w:ascii="Arial" w:hAnsi="Arial" w:cs="Arial"/>
        </w:rPr>
      </w:pPr>
      <w:r w:rsidRPr="00ED2BDC">
        <w:rPr>
          <w:rFonts w:ascii="Arial" w:hAnsi="Arial" w:cs="Arial"/>
        </w:rPr>
        <w:t>- In Thies, 18.18%</w:t>
      </w:r>
      <w:r w:rsidR="00AD5209">
        <w:rPr>
          <w:rFonts w:ascii="Arial" w:hAnsi="Arial" w:cs="Arial"/>
        </w:rPr>
        <w:t xml:space="preserve"> </w:t>
      </w:r>
      <w:commentRangeStart w:id="7"/>
      <w:r w:rsidR="00AD5209">
        <w:rPr>
          <w:rFonts w:ascii="Arial" w:hAnsi="Arial" w:cs="Arial"/>
        </w:rPr>
        <w:t>(n=?)</w:t>
      </w:r>
      <w:r w:rsidRPr="00ED2BDC">
        <w:rPr>
          <w:rFonts w:ascii="Arial" w:hAnsi="Arial" w:cs="Arial"/>
        </w:rPr>
        <w:t xml:space="preserve"> </w:t>
      </w:r>
      <w:commentRangeEnd w:id="7"/>
      <w:r w:rsidR="00AD5209">
        <w:rPr>
          <w:rStyle w:val="CommentReference"/>
          <w:rFonts w:ascii="Times New Roman" w:hAnsi="Times New Roman"/>
          <w:lang w:val="nb-NO" w:eastAsia="nb-NO"/>
        </w:rPr>
        <w:commentReference w:id="7"/>
      </w:r>
      <w:r w:rsidRPr="00ED2BDC">
        <w:rPr>
          <w:rFonts w:ascii="Arial" w:hAnsi="Arial" w:cs="Arial"/>
        </w:rPr>
        <w:t xml:space="preserve">of participants with cardiovascular diseases and </w:t>
      </w:r>
      <w:commentRangeStart w:id="8"/>
      <w:r w:rsidRPr="00ED2BDC">
        <w:rPr>
          <w:rFonts w:ascii="Arial" w:hAnsi="Arial" w:cs="Arial"/>
        </w:rPr>
        <w:t xml:space="preserve">7.84% </w:t>
      </w:r>
      <w:commentRangeEnd w:id="8"/>
      <w:r w:rsidR="00AD5209">
        <w:rPr>
          <w:rStyle w:val="CommentReference"/>
          <w:rFonts w:ascii="Times New Roman" w:hAnsi="Times New Roman"/>
          <w:lang w:val="nb-NO" w:eastAsia="nb-NO"/>
        </w:rPr>
        <w:commentReference w:id="8"/>
      </w:r>
      <w:r w:rsidRPr="00ED2BDC">
        <w:rPr>
          <w:rFonts w:ascii="Arial" w:hAnsi="Arial" w:cs="Arial"/>
        </w:rPr>
        <w:t xml:space="preserve">of hypertensive patients were PCR positive.  </w:t>
      </w:r>
    </w:p>
    <w:p w14:paraId="32CE17FC" w14:textId="77777777" w:rsidR="00ED2BDC" w:rsidRDefault="00ED2BDC" w:rsidP="00ED2BDC">
      <w:pPr>
        <w:pStyle w:val="Body"/>
        <w:spacing w:after="0"/>
        <w:rPr>
          <w:rFonts w:ascii="Arial" w:hAnsi="Arial" w:cs="Arial"/>
        </w:rPr>
      </w:pPr>
      <w:r w:rsidRPr="00ED2BDC">
        <w:rPr>
          <w:rFonts w:ascii="Arial" w:hAnsi="Arial" w:cs="Arial"/>
        </w:rPr>
        <w:t xml:space="preserve">- In </w:t>
      </w:r>
      <w:proofErr w:type="spellStart"/>
      <w:r w:rsidRPr="00ED2BDC">
        <w:rPr>
          <w:rFonts w:ascii="Arial" w:hAnsi="Arial" w:cs="Arial"/>
        </w:rPr>
        <w:t>Ziguinchor</w:t>
      </w:r>
      <w:proofErr w:type="spellEnd"/>
      <w:r w:rsidRPr="00ED2BDC">
        <w:rPr>
          <w:rFonts w:ascii="Arial" w:hAnsi="Arial" w:cs="Arial"/>
        </w:rPr>
        <w:t xml:space="preserve">, </w:t>
      </w:r>
      <w:commentRangeStart w:id="9"/>
      <w:r w:rsidRPr="00ED2BDC">
        <w:rPr>
          <w:rFonts w:ascii="Arial" w:hAnsi="Arial" w:cs="Arial"/>
        </w:rPr>
        <w:t xml:space="preserve">14.28 % </w:t>
      </w:r>
      <w:commentRangeEnd w:id="9"/>
      <w:r w:rsidR="00AD5209">
        <w:rPr>
          <w:rStyle w:val="CommentReference"/>
          <w:rFonts w:ascii="Times New Roman" w:hAnsi="Times New Roman"/>
          <w:lang w:val="nb-NO" w:eastAsia="nb-NO"/>
        </w:rPr>
        <w:commentReference w:id="9"/>
      </w:r>
      <w:r w:rsidRPr="00ED2BDC">
        <w:rPr>
          <w:rFonts w:ascii="Arial" w:hAnsi="Arial" w:cs="Arial"/>
        </w:rPr>
        <w:t xml:space="preserve">of participants with cardiovascular diseases, </w:t>
      </w:r>
      <w:commentRangeStart w:id="10"/>
      <w:r w:rsidRPr="00ED2BDC">
        <w:rPr>
          <w:rFonts w:ascii="Arial" w:hAnsi="Arial" w:cs="Arial"/>
        </w:rPr>
        <w:t xml:space="preserve">5.71% </w:t>
      </w:r>
      <w:commentRangeEnd w:id="10"/>
      <w:r w:rsidR="00AD5209">
        <w:rPr>
          <w:rStyle w:val="CommentReference"/>
          <w:rFonts w:ascii="Times New Roman" w:hAnsi="Times New Roman"/>
          <w:lang w:val="nb-NO" w:eastAsia="nb-NO"/>
        </w:rPr>
        <w:commentReference w:id="10"/>
      </w:r>
      <w:r w:rsidRPr="00ED2BDC">
        <w:rPr>
          <w:rFonts w:ascii="Arial" w:hAnsi="Arial" w:cs="Arial"/>
        </w:rPr>
        <w:t xml:space="preserve">of elderly participants, and </w:t>
      </w:r>
      <w:commentRangeStart w:id="11"/>
      <w:r w:rsidRPr="00ED2BDC">
        <w:rPr>
          <w:rFonts w:ascii="Arial" w:hAnsi="Arial" w:cs="Arial"/>
        </w:rPr>
        <w:t xml:space="preserve">11.11% </w:t>
      </w:r>
      <w:commentRangeEnd w:id="11"/>
      <w:r w:rsidR="00AD5209">
        <w:rPr>
          <w:rStyle w:val="CommentReference"/>
          <w:rFonts w:ascii="Times New Roman" w:hAnsi="Times New Roman"/>
          <w:lang w:val="nb-NO" w:eastAsia="nb-NO"/>
        </w:rPr>
        <w:commentReference w:id="11"/>
      </w:r>
      <w:r w:rsidRPr="00ED2BDC">
        <w:rPr>
          <w:rFonts w:ascii="Arial" w:hAnsi="Arial" w:cs="Arial"/>
        </w:rPr>
        <w:t xml:space="preserve">of asthmatic patients were PCR positive (fig 4).  </w:t>
      </w:r>
    </w:p>
    <w:p w14:paraId="277AF2B1" w14:textId="77777777" w:rsidR="00ED2BDC" w:rsidRDefault="008C3CF8" w:rsidP="00ED2BDC">
      <w:pPr>
        <w:pStyle w:val="Body"/>
        <w:spacing w:after="0"/>
        <w:jc w:val="center"/>
        <w:rPr>
          <w:rFonts w:ascii="Arial" w:hAnsi="Arial" w:cs="Arial"/>
        </w:rPr>
      </w:pPr>
      <w:r w:rsidRPr="00100E38">
        <w:rPr>
          <w:noProof/>
        </w:rPr>
        <w:drawing>
          <wp:inline distT="0" distB="0" distL="0" distR="0" wp14:anchorId="171954A6" wp14:editId="41D128CA">
            <wp:extent cx="5133975" cy="2962275"/>
            <wp:effectExtent l="0" t="0" r="9525" b="9525"/>
            <wp:docPr id="1553600668" name="Graphique 1">
              <a:extLst xmlns:a="http://schemas.openxmlformats.org/drawingml/2006/main">
                <a:ext uri="{FF2B5EF4-FFF2-40B4-BE49-F238E27FC236}">
                  <a16:creationId xmlns:a16="http://schemas.microsoft.com/office/drawing/2014/main" id="{B8B49E41-0894-9FBB-3BB2-19EEF15FD9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2BD4977" w14:textId="77777777" w:rsidR="008C3CF8" w:rsidRDefault="008C3CF8" w:rsidP="00ED2BDC">
      <w:pPr>
        <w:pStyle w:val="Body"/>
        <w:spacing w:after="0"/>
        <w:jc w:val="center"/>
        <w:rPr>
          <w:rFonts w:ascii="Arial" w:hAnsi="Arial" w:cs="Arial"/>
        </w:rPr>
      </w:pPr>
      <w:r w:rsidRPr="008C3CF8">
        <w:rPr>
          <w:rFonts w:ascii="Arial" w:hAnsi="Arial" w:cs="Arial"/>
        </w:rPr>
        <w:t>Figure 4</w:t>
      </w:r>
      <w:commentRangeStart w:id="12"/>
      <w:r w:rsidRPr="008C3CF8">
        <w:rPr>
          <w:rFonts w:ascii="Arial" w:hAnsi="Arial" w:cs="Arial"/>
        </w:rPr>
        <w:t>: Prevalence of SARS-CoV-2 by vulnerability</w:t>
      </w:r>
      <w:commentRangeEnd w:id="12"/>
      <w:r w:rsidR="00AD5209">
        <w:rPr>
          <w:rStyle w:val="CommentReference"/>
          <w:rFonts w:ascii="Times New Roman" w:hAnsi="Times New Roman"/>
          <w:lang w:val="nb-NO" w:eastAsia="nb-NO"/>
        </w:rPr>
        <w:commentReference w:id="12"/>
      </w:r>
    </w:p>
    <w:p w14:paraId="22B839EA" w14:textId="77777777" w:rsidR="008C3CF8" w:rsidRDefault="008C3CF8" w:rsidP="00ED2BDC">
      <w:pPr>
        <w:pStyle w:val="Body"/>
        <w:spacing w:after="0"/>
        <w:jc w:val="center"/>
        <w:rPr>
          <w:rFonts w:ascii="Arial" w:hAnsi="Arial" w:cs="Arial"/>
        </w:rPr>
      </w:pPr>
    </w:p>
    <w:p w14:paraId="10929E20" w14:textId="77777777" w:rsidR="008C3CF8" w:rsidRPr="00AB0968" w:rsidRDefault="008C3CF8" w:rsidP="008C3CF8">
      <w:pPr>
        <w:pStyle w:val="Body"/>
        <w:rPr>
          <w:rFonts w:ascii="Arial" w:hAnsi="Arial" w:cs="Arial"/>
          <w:b/>
          <w:bCs/>
          <w:sz w:val="22"/>
          <w:szCs w:val="22"/>
        </w:rPr>
      </w:pPr>
      <w:r w:rsidRPr="00AB0968">
        <w:rPr>
          <w:rFonts w:ascii="Arial" w:hAnsi="Arial" w:cs="Arial"/>
          <w:b/>
          <w:bCs/>
          <w:sz w:val="22"/>
          <w:szCs w:val="22"/>
        </w:rPr>
        <w:t xml:space="preserve">Seroprevalence of anti-SARS-CoV-2 antibodies  </w:t>
      </w:r>
    </w:p>
    <w:p w14:paraId="63C8FC7A" w14:textId="77777777" w:rsidR="008C3CF8" w:rsidRDefault="008C3CF8" w:rsidP="008C3CF8">
      <w:pPr>
        <w:pStyle w:val="Body"/>
        <w:spacing w:after="0"/>
        <w:rPr>
          <w:rFonts w:ascii="Arial" w:hAnsi="Arial" w:cs="Arial"/>
        </w:rPr>
      </w:pPr>
      <w:r w:rsidRPr="008C3CF8">
        <w:rPr>
          <w:rFonts w:ascii="Arial" w:hAnsi="Arial" w:cs="Arial"/>
        </w:rPr>
        <w:t>Thies: IgM antibodies were detected in 15.49% (n = 33), indicating recent or ongoing infection.  IgG antibodies were present in 76.52% (n = 163) and concurrent IgM and IgG positivity was observed in 11.73% (n = 25). IgG seroprevalence higher than IgM across all comorbidity categories (fig 5).</w:t>
      </w:r>
    </w:p>
    <w:p w14:paraId="308ABFC5" w14:textId="77777777" w:rsidR="008C3CF8" w:rsidRDefault="008C3CF8" w:rsidP="008C3CF8">
      <w:pPr>
        <w:pStyle w:val="Body"/>
        <w:spacing w:after="0"/>
        <w:jc w:val="left"/>
        <w:rPr>
          <w:rFonts w:ascii="Arial" w:hAnsi="Arial" w:cs="Arial"/>
        </w:rPr>
      </w:pPr>
    </w:p>
    <w:p w14:paraId="55EBAE2C" w14:textId="77777777" w:rsidR="008C3CF8" w:rsidRDefault="008C3CF8" w:rsidP="008C3CF8">
      <w:pPr>
        <w:pStyle w:val="Body"/>
        <w:spacing w:after="0"/>
        <w:jc w:val="center"/>
        <w:rPr>
          <w:rFonts w:ascii="Arial" w:hAnsi="Arial" w:cs="Arial"/>
        </w:rPr>
      </w:pPr>
      <w:r w:rsidRPr="00100E38">
        <w:rPr>
          <w:noProof/>
          <w:lang w:eastAsia="fr-FR"/>
        </w:rPr>
        <w:lastRenderedPageBreak/>
        <w:drawing>
          <wp:inline distT="0" distB="0" distL="0" distR="0" wp14:anchorId="1016A7F9" wp14:editId="5036C616">
            <wp:extent cx="5124450" cy="1746250"/>
            <wp:effectExtent l="0" t="0" r="0" b="6350"/>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D85C45F" w14:textId="77777777" w:rsidR="008C3CF8" w:rsidRDefault="008C3CF8" w:rsidP="008C3CF8">
      <w:pPr>
        <w:pStyle w:val="Body"/>
        <w:spacing w:after="0"/>
        <w:jc w:val="center"/>
        <w:rPr>
          <w:rFonts w:ascii="Arial" w:hAnsi="Arial" w:cs="Arial"/>
        </w:rPr>
      </w:pPr>
      <w:commentRangeStart w:id="13"/>
      <w:r w:rsidRPr="008C3CF8">
        <w:rPr>
          <w:rFonts w:ascii="Arial" w:hAnsi="Arial" w:cs="Arial"/>
        </w:rPr>
        <w:t xml:space="preserve">Figure </w:t>
      </w:r>
      <w:proofErr w:type="gramStart"/>
      <w:r w:rsidRPr="008C3CF8">
        <w:rPr>
          <w:rFonts w:ascii="Arial" w:hAnsi="Arial" w:cs="Arial"/>
        </w:rPr>
        <w:t>5 :</w:t>
      </w:r>
      <w:proofErr w:type="gramEnd"/>
      <w:r w:rsidRPr="008C3CF8">
        <w:rPr>
          <w:rFonts w:ascii="Arial" w:hAnsi="Arial" w:cs="Arial"/>
        </w:rPr>
        <w:t xml:space="preserve"> Results of serological tests at Thies site</w:t>
      </w:r>
      <w:commentRangeEnd w:id="13"/>
      <w:r w:rsidR="00AD5209">
        <w:rPr>
          <w:rStyle w:val="CommentReference"/>
          <w:rFonts w:ascii="Times New Roman" w:hAnsi="Times New Roman"/>
          <w:lang w:val="nb-NO" w:eastAsia="nb-NO"/>
        </w:rPr>
        <w:commentReference w:id="13"/>
      </w:r>
    </w:p>
    <w:p w14:paraId="1FCB4A0E" w14:textId="77777777" w:rsidR="008C3CF8" w:rsidRDefault="008C3CF8" w:rsidP="008C3CF8">
      <w:pPr>
        <w:pStyle w:val="Body"/>
        <w:spacing w:after="0"/>
        <w:jc w:val="center"/>
        <w:rPr>
          <w:rFonts w:ascii="Arial" w:hAnsi="Arial" w:cs="Arial"/>
        </w:rPr>
      </w:pPr>
    </w:p>
    <w:p w14:paraId="1F4800D5" w14:textId="77777777" w:rsidR="00FC7F9B" w:rsidRPr="00FC7F9B" w:rsidRDefault="008C3CF8" w:rsidP="00FC7F9B">
      <w:pPr>
        <w:pStyle w:val="Body"/>
        <w:rPr>
          <w:rFonts w:ascii="Arial" w:hAnsi="Arial" w:cs="Arial"/>
          <w:lang w:val="en-PK"/>
        </w:rPr>
      </w:pPr>
      <w:r w:rsidRPr="008C3CF8">
        <w:rPr>
          <w:rFonts w:ascii="Arial" w:hAnsi="Arial" w:cs="Arial"/>
        </w:rPr>
        <w:t xml:space="preserve">Saint-Louis: IgG antibodies were detected in </w:t>
      </w:r>
      <w:commentRangeStart w:id="14"/>
      <w:r w:rsidRPr="008C3CF8">
        <w:rPr>
          <w:rFonts w:ascii="Arial" w:hAnsi="Arial" w:cs="Arial"/>
        </w:rPr>
        <w:t xml:space="preserve">50.67% </w:t>
      </w:r>
      <w:commentRangeEnd w:id="14"/>
      <w:r w:rsidR="00AD5209">
        <w:rPr>
          <w:rStyle w:val="CommentReference"/>
          <w:rFonts w:ascii="Times New Roman" w:hAnsi="Times New Roman"/>
          <w:lang w:val="nb-NO" w:eastAsia="nb-NO"/>
        </w:rPr>
        <w:commentReference w:id="14"/>
      </w:r>
      <w:r w:rsidRPr="008C3CF8">
        <w:rPr>
          <w:rFonts w:ascii="Arial" w:hAnsi="Arial" w:cs="Arial"/>
        </w:rPr>
        <w:t>of participants. The highest seropositivity rates were observed among hypertensive patients</w:t>
      </w:r>
      <w:r w:rsidR="00FC7F9B">
        <w:rPr>
          <w:rFonts w:ascii="Arial" w:hAnsi="Arial" w:cs="Arial"/>
        </w:rPr>
        <w:t xml:space="preserve"> </w:t>
      </w:r>
      <w:commentRangeStart w:id="15"/>
      <w:r w:rsidR="00FC7F9B">
        <w:rPr>
          <w:rFonts w:ascii="Arial" w:hAnsi="Arial" w:cs="Arial"/>
        </w:rPr>
        <w:t>%?</w:t>
      </w:r>
      <w:commentRangeEnd w:id="15"/>
      <w:r w:rsidR="00FC7F9B">
        <w:rPr>
          <w:rStyle w:val="CommentReference"/>
          <w:rFonts w:ascii="Times New Roman" w:hAnsi="Times New Roman"/>
          <w:lang w:val="nb-NO" w:eastAsia="nb-NO"/>
        </w:rPr>
        <w:commentReference w:id="15"/>
      </w:r>
      <w:r w:rsidRPr="008C3CF8">
        <w:rPr>
          <w:rFonts w:ascii="Arial" w:hAnsi="Arial" w:cs="Arial"/>
        </w:rPr>
        <w:t xml:space="preserve"> (n = 77) and elderly </w:t>
      </w:r>
      <w:proofErr w:type="gramStart"/>
      <w:r w:rsidRPr="008C3CF8">
        <w:rPr>
          <w:rFonts w:ascii="Arial" w:hAnsi="Arial" w:cs="Arial"/>
        </w:rPr>
        <w:t>subjects</w:t>
      </w:r>
      <w:commentRangeStart w:id="16"/>
      <w:r w:rsidR="00FC7F9B" w:rsidRPr="00FC7F9B">
        <w:rPr>
          <w:rFonts w:ascii="Arial" w:hAnsi="Arial" w:cs="Arial"/>
          <w:lang w:val="en-PK"/>
        </w:rPr>
        <w:t>(</w:t>
      </w:r>
      <w:proofErr w:type="gramEnd"/>
      <w:r w:rsidR="00FC7F9B" w:rsidRPr="00FC7F9B">
        <w:rPr>
          <w:rFonts w:ascii="Arial" w:hAnsi="Arial" w:cs="Arial"/>
          <w:lang w:val="en-PK"/>
        </w:rPr>
        <w:t xml:space="preserve">% </w:t>
      </w:r>
      <w:proofErr w:type="gramStart"/>
      <w:r w:rsidR="00FC7F9B" w:rsidRPr="00FC7F9B">
        <w:rPr>
          <w:rFonts w:ascii="Arial" w:hAnsi="Arial" w:cs="Arial"/>
          <w:lang w:val="en-PK"/>
        </w:rPr>
        <w:t>= ?</w:t>
      </w:r>
      <w:proofErr w:type="gramEnd"/>
      <w:r w:rsidR="00FC7F9B" w:rsidRPr="00FC7F9B">
        <w:rPr>
          <w:rFonts w:ascii="Arial" w:hAnsi="Arial" w:cs="Arial"/>
          <w:lang w:val="en-PK"/>
        </w:rPr>
        <w:t xml:space="preserve">) </w:t>
      </w:r>
      <w:commentRangeEnd w:id="16"/>
      <w:r w:rsidR="00FC7F9B">
        <w:rPr>
          <w:rStyle w:val="CommentReference"/>
          <w:rFonts w:ascii="Times New Roman" w:hAnsi="Times New Roman"/>
          <w:lang w:val="nb-NO" w:eastAsia="nb-NO"/>
        </w:rPr>
        <w:commentReference w:id="16"/>
      </w:r>
    </w:p>
    <w:p w14:paraId="54E4B0E2" w14:textId="5E5BB3BC" w:rsidR="008C3CF8" w:rsidRDefault="008C3CF8" w:rsidP="008C3CF8">
      <w:pPr>
        <w:pStyle w:val="Body"/>
        <w:spacing w:after="0"/>
        <w:rPr>
          <w:rFonts w:ascii="Arial" w:hAnsi="Arial" w:cs="Arial"/>
        </w:rPr>
      </w:pPr>
      <w:r w:rsidRPr="008C3CF8">
        <w:rPr>
          <w:rFonts w:ascii="Arial" w:hAnsi="Arial" w:cs="Arial"/>
        </w:rPr>
        <w:t xml:space="preserve"> (n = 54). Quantitative antibody </w:t>
      </w:r>
      <w:proofErr w:type="gramStart"/>
      <w:r w:rsidRPr="008C3CF8">
        <w:rPr>
          <w:rFonts w:ascii="Arial" w:hAnsi="Arial" w:cs="Arial"/>
        </w:rPr>
        <w:t>titers</w:t>
      </w:r>
      <w:proofErr w:type="gramEnd"/>
      <w:r w:rsidRPr="008C3CF8">
        <w:rPr>
          <w:rFonts w:ascii="Arial" w:hAnsi="Arial" w:cs="Arial"/>
        </w:rPr>
        <w:t xml:space="preserve"> ranged from 130 to 25</w:t>
      </w:r>
      <w:r w:rsidR="00FC7F9B">
        <w:rPr>
          <w:rFonts w:ascii="Arial" w:hAnsi="Arial" w:cs="Arial"/>
        </w:rPr>
        <w:t>,</w:t>
      </w:r>
      <w:r w:rsidRPr="008C3CF8">
        <w:rPr>
          <w:rFonts w:ascii="Arial" w:hAnsi="Arial" w:cs="Arial"/>
        </w:rPr>
        <w:t>260 AU/mL (detection threshold, 50 AU/mL). fig 6</w:t>
      </w:r>
    </w:p>
    <w:p w14:paraId="6462B7F9" w14:textId="77777777" w:rsidR="008C3CF8" w:rsidRDefault="008C3CF8" w:rsidP="008C3CF8">
      <w:pPr>
        <w:pStyle w:val="Body"/>
        <w:spacing w:after="0"/>
        <w:jc w:val="center"/>
        <w:rPr>
          <w:rFonts w:ascii="Arial" w:hAnsi="Arial" w:cs="Arial"/>
        </w:rPr>
      </w:pPr>
      <w:r w:rsidRPr="00100E38">
        <w:rPr>
          <w:noProof/>
        </w:rPr>
        <w:drawing>
          <wp:inline distT="0" distB="0" distL="0" distR="0" wp14:anchorId="605A1088" wp14:editId="7A3929BD">
            <wp:extent cx="5124450" cy="2714625"/>
            <wp:effectExtent l="0" t="0" r="0" b="9525"/>
            <wp:docPr id="1413509640" name="Graphique 1">
              <a:extLst xmlns:a="http://schemas.openxmlformats.org/drawingml/2006/main">
                <a:ext uri="{FF2B5EF4-FFF2-40B4-BE49-F238E27FC236}">
                  <a16:creationId xmlns:a16="http://schemas.microsoft.com/office/drawing/2014/main" id="{C8163624-32C9-607E-EA20-3788AC4223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A38BE8C" w14:textId="77777777" w:rsidR="008C3CF8" w:rsidRDefault="008C3CF8" w:rsidP="008C3CF8">
      <w:pPr>
        <w:pStyle w:val="Body"/>
        <w:spacing w:after="0"/>
        <w:jc w:val="center"/>
        <w:rPr>
          <w:rFonts w:ascii="Arial" w:hAnsi="Arial" w:cs="Arial"/>
        </w:rPr>
      </w:pPr>
      <w:r w:rsidRPr="008C3CF8">
        <w:rPr>
          <w:rFonts w:ascii="Arial" w:hAnsi="Arial" w:cs="Arial"/>
        </w:rPr>
        <w:t xml:space="preserve">Figure </w:t>
      </w:r>
      <w:proofErr w:type="gramStart"/>
      <w:r w:rsidRPr="008C3CF8">
        <w:rPr>
          <w:rFonts w:ascii="Arial" w:hAnsi="Arial" w:cs="Arial"/>
        </w:rPr>
        <w:t>6 :</w:t>
      </w:r>
      <w:proofErr w:type="gramEnd"/>
      <w:r w:rsidRPr="008C3CF8">
        <w:rPr>
          <w:rFonts w:ascii="Arial" w:hAnsi="Arial" w:cs="Arial"/>
        </w:rPr>
        <w:t xml:space="preserve"> Seroprevalence according to vulnerability in Saint Louis</w:t>
      </w:r>
    </w:p>
    <w:p w14:paraId="2DF2DAB3" w14:textId="77777777" w:rsidR="008C3CF8" w:rsidRDefault="008C3CF8" w:rsidP="008C3CF8">
      <w:pPr>
        <w:pStyle w:val="Body"/>
        <w:spacing w:after="0"/>
        <w:jc w:val="left"/>
        <w:rPr>
          <w:rFonts w:ascii="Arial" w:hAnsi="Arial" w:cs="Arial"/>
        </w:rPr>
      </w:pPr>
    </w:p>
    <w:p w14:paraId="58BCD6B3" w14:textId="375EE9D2" w:rsidR="008C3CF8" w:rsidRDefault="008C3CF8" w:rsidP="00441B6F">
      <w:pPr>
        <w:pStyle w:val="Body"/>
        <w:spacing w:after="0"/>
        <w:rPr>
          <w:rFonts w:ascii="Arial" w:hAnsi="Arial" w:cs="Arial"/>
        </w:rPr>
      </w:pPr>
      <w:proofErr w:type="spellStart"/>
      <w:r w:rsidRPr="008C3CF8">
        <w:rPr>
          <w:rFonts w:ascii="Arial" w:hAnsi="Arial" w:cs="Arial"/>
        </w:rPr>
        <w:t>Ziguinchor</w:t>
      </w:r>
      <w:proofErr w:type="spellEnd"/>
      <w:r w:rsidRPr="008C3CF8">
        <w:rPr>
          <w:rFonts w:ascii="Arial" w:hAnsi="Arial" w:cs="Arial"/>
        </w:rPr>
        <w:t>: IgG seropositivity reached 92% among the cohort. Pregnant women</w:t>
      </w:r>
      <w:commentRangeStart w:id="17"/>
      <w:r w:rsidRPr="008C3CF8">
        <w:rPr>
          <w:rFonts w:ascii="Arial" w:hAnsi="Arial" w:cs="Arial"/>
        </w:rPr>
        <w:t xml:space="preserve"> (40.22%) </w:t>
      </w:r>
      <w:commentRangeEnd w:id="17"/>
      <w:r w:rsidR="00FC7F9B">
        <w:rPr>
          <w:rStyle w:val="CommentReference"/>
          <w:rFonts w:ascii="Times New Roman" w:hAnsi="Times New Roman"/>
          <w:lang w:val="nb-NO" w:eastAsia="nb-NO"/>
        </w:rPr>
        <w:commentReference w:id="17"/>
      </w:r>
      <w:r w:rsidRPr="008C3CF8">
        <w:rPr>
          <w:rFonts w:ascii="Arial" w:hAnsi="Arial" w:cs="Arial"/>
        </w:rPr>
        <w:t xml:space="preserve">and hypertensive patients </w:t>
      </w:r>
      <w:commentRangeStart w:id="18"/>
      <w:r w:rsidRPr="008C3CF8">
        <w:rPr>
          <w:rFonts w:ascii="Arial" w:hAnsi="Arial" w:cs="Arial"/>
        </w:rPr>
        <w:t xml:space="preserve">(23.56%) </w:t>
      </w:r>
      <w:commentRangeEnd w:id="18"/>
      <w:r w:rsidR="00FC7F9B">
        <w:rPr>
          <w:rStyle w:val="CommentReference"/>
          <w:rFonts w:ascii="Times New Roman" w:hAnsi="Times New Roman"/>
          <w:lang w:val="nb-NO" w:eastAsia="nb-NO"/>
        </w:rPr>
        <w:commentReference w:id="18"/>
      </w:r>
      <w:r w:rsidRPr="008C3CF8">
        <w:rPr>
          <w:rFonts w:ascii="Arial" w:hAnsi="Arial" w:cs="Arial"/>
        </w:rPr>
        <w:t>constituted the largest vulnerability subgroups. Antibody concentrations varied from 57 to 24 447 AU/</w:t>
      </w:r>
      <w:proofErr w:type="spellStart"/>
      <w:r w:rsidRPr="008C3CF8">
        <w:rPr>
          <w:rFonts w:ascii="Arial" w:hAnsi="Arial" w:cs="Arial"/>
        </w:rPr>
        <w:t>mL.</w:t>
      </w:r>
      <w:proofErr w:type="spellEnd"/>
    </w:p>
    <w:p w14:paraId="5F856A6A" w14:textId="77777777" w:rsidR="008C3CF8" w:rsidRDefault="008C3CF8" w:rsidP="00441B6F">
      <w:pPr>
        <w:pStyle w:val="Body"/>
        <w:spacing w:after="0"/>
        <w:rPr>
          <w:rFonts w:ascii="Arial" w:hAnsi="Arial" w:cs="Arial"/>
        </w:rPr>
      </w:pPr>
    </w:p>
    <w:p w14:paraId="1C505919" w14:textId="77777777" w:rsidR="008C3CF8" w:rsidRDefault="008C3CF8" w:rsidP="00441B6F">
      <w:pPr>
        <w:pStyle w:val="Body"/>
        <w:spacing w:after="0"/>
        <w:rPr>
          <w:rFonts w:ascii="Arial" w:hAnsi="Arial" w:cs="Arial"/>
        </w:rPr>
      </w:pPr>
    </w:p>
    <w:p w14:paraId="5176DFD5" w14:textId="77777777" w:rsidR="008C3CF8" w:rsidRDefault="008C3CF8" w:rsidP="00441B6F">
      <w:pPr>
        <w:pStyle w:val="Body"/>
        <w:spacing w:after="0"/>
        <w:rPr>
          <w:rFonts w:ascii="Arial" w:hAnsi="Arial" w:cs="Arial"/>
        </w:rPr>
      </w:pPr>
      <w:r w:rsidRPr="008C3CF8">
        <w:rPr>
          <w:rFonts w:ascii="Arial" w:hAnsi="Arial" w:cs="Arial"/>
          <w:b/>
          <w:bCs/>
          <w:sz w:val="22"/>
          <w:szCs w:val="22"/>
        </w:rPr>
        <w:t>DISCUSSION</w:t>
      </w:r>
      <w:r>
        <w:rPr>
          <w:rFonts w:ascii="Arial" w:hAnsi="Arial" w:cs="Arial"/>
        </w:rPr>
        <w:t xml:space="preserve"> </w:t>
      </w:r>
    </w:p>
    <w:p w14:paraId="5875E0B8" w14:textId="77777777" w:rsidR="008C3CF8" w:rsidRPr="008C3CF8" w:rsidRDefault="008C3CF8" w:rsidP="008C3CF8">
      <w:pPr>
        <w:pStyle w:val="Body"/>
        <w:rPr>
          <w:rFonts w:ascii="Arial" w:hAnsi="Arial" w:cs="Arial"/>
          <w:b/>
          <w:bCs/>
          <w:sz w:val="22"/>
          <w:szCs w:val="22"/>
        </w:rPr>
      </w:pPr>
      <w:r w:rsidRPr="008C3CF8">
        <w:rPr>
          <w:rFonts w:ascii="Arial" w:hAnsi="Arial" w:cs="Arial"/>
          <w:b/>
          <w:bCs/>
          <w:sz w:val="22"/>
          <w:szCs w:val="22"/>
        </w:rPr>
        <w:t xml:space="preserve">Epidemiological data  </w:t>
      </w:r>
    </w:p>
    <w:p w14:paraId="3D3AD3BA" w14:textId="77777777" w:rsidR="008C3CF8" w:rsidRPr="008C3CF8" w:rsidRDefault="008C3CF8" w:rsidP="008C3CF8">
      <w:pPr>
        <w:pStyle w:val="Body"/>
        <w:rPr>
          <w:rFonts w:ascii="Arial" w:hAnsi="Arial" w:cs="Arial"/>
        </w:rPr>
      </w:pPr>
      <w:r w:rsidRPr="008C3CF8">
        <w:rPr>
          <w:rFonts w:ascii="Arial" w:hAnsi="Arial" w:cs="Arial"/>
        </w:rPr>
        <w:t xml:space="preserve">Between 2019 and 2022, COVID-19 represented a severe global threat, with markedly elevated mortality among older adults and individuals with comorbid cardiovascular, metabolic or renal disorders [7]. In our cohort, characterized by a high median age and 26.7% of participants either over 65 years or with at least one comorbidity, we targeted precisely those at greatest risk for severe disease. Many studies have demonstrated that these patients </w:t>
      </w:r>
      <w:r w:rsidRPr="008C3CF8">
        <w:rPr>
          <w:rFonts w:ascii="Arial" w:hAnsi="Arial" w:cs="Arial"/>
        </w:rPr>
        <w:lastRenderedPageBreak/>
        <w:t xml:space="preserve">account for the majority of intensive-care admissions, prolonged hospital stays, and the highest in-hospital fatality rates [8].  </w:t>
      </w:r>
    </w:p>
    <w:p w14:paraId="14D95B18" w14:textId="77777777" w:rsidR="008C3CF8" w:rsidRPr="008C3CF8" w:rsidRDefault="008C3CF8" w:rsidP="008C3CF8">
      <w:pPr>
        <w:pStyle w:val="Body"/>
        <w:rPr>
          <w:rFonts w:ascii="Arial" w:hAnsi="Arial" w:cs="Arial"/>
        </w:rPr>
      </w:pPr>
      <w:r w:rsidRPr="008C3CF8">
        <w:rPr>
          <w:rFonts w:ascii="Arial" w:hAnsi="Arial" w:cs="Arial"/>
        </w:rPr>
        <w:t xml:space="preserve">The predominant comorbidities in this study were hypertension </w:t>
      </w:r>
      <w:commentRangeStart w:id="19"/>
      <w:r w:rsidRPr="008C3CF8">
        <w:rPr>
          <w:rFonts w:ascii="Arial" w:hAnsi="Arial" w:cs="Arial"/>
        </w:rPr>
        <w:t xml:space="preserve">(26.18%) </w:t>
      </w:r>
      <w:commentRangeEnd w:id="19"/>
      <w:r w:rsidR="00FC7F9B">
        <w:rPr>
          <w:rStyle w:val="CommentReference"/>
          <w:rFonts w:ascii="Times New Roman" w:hAnsi="Times New Roman"/>
          <w:lang w:val="nb-NO" w:eastAsia="nb-NO"/>
        </w:rPr>
        <w:commentReference w:id="19"/>
      </w:r>
      <w:r w:rsidRPr="008C3CF8">
        <w:rPr>
          <w:rFonts w:ascii="Arial" w:hAnsi="Arial" w:cs="Arial"/>
        </w:rPr>
        <w:t xml:space="preserve">and diabetes mellitus </w:t>
      </w:r>
      <w:commentRangeStart w:id="20"/>
      <w:r w:rsidRPr="008C3CF8">
        <w:rPr>
          <w:rFonts w:ascii="Arial" w:hAnsi="Arial" w:cs="Arial"/>
        </w:rPr>
        <w:t xml:space="preserve">(14.24 %), while pregnant women were 21.7% </w:t>
      </w:r>
      <w:commentRangeEnd w:id="20"/>
      <w:r w:rsidR="00FC7F9B">
        <w:rPr>
          <w:rStyle w:val="CommentReference"/>
          <w:rFonts w:ascii="Times New Roman" w:hAnsi="Times New Roman"/>
          <w:lang w:val="nb-NO" w:eastAsia="nb-NO"/>
        </w:rPr>
        <w:commentReference w:id="20"/>
      </w:r>
      <w:r w:rsidRPr="008C3CF8">
        <w:rPr>
          <w:rFonts w:ascii="Arial" w:hAnsi="Arial" w:cs="Arial"/>
        </w:rPr>
        <w:t xml:space="preserve">of the cohort. Comparable studies in China reported hypertension in 30% of cases and diabetes in 19%, with 8% exhibiting underlying cardiac disease [9]. In Italy, hypertension was the most frequent comorbidity and mortality peaked at 36% among those older than 65 years [10]. A large British series conducted during peak pandemic observed a mean age of 73 years, with cardiac disease, hypertension, and chronic kidney disease predominating; 17% required intensive care, and in-hospital mortality was 3% [11]. Collectively, these findings reaffirm that male sex, advanced age and chronic comorbidities are independent predictors of adverse hospital outcomes.  </w:t>
      </w:r>
    </w:p>
    <w:p w14:paraId="718856FF" w14:textId="77777777" w:rsidR="008C3CF8" w:rsidRPr="008C3CF8" w:rsidRDefault="008C3CF8" w:rsidP="008C3CF8">
      <w:pPr>
        <w:pStyle w:val="Body"/>
        <w:rPr>
          <w:rFonts w:ascii="Arial" w:hAnsi="Arial" w:cs="Arial"/>
        </w:rPr>
      </w:pPr>
      <w:r w:rsidRPr="008C3CF8">
        <w:rPr>
          <w:rFonts w:ascii="Arial" w:hAnsi="Arial" w:cs="Arial"/>
        </w:rPr>
        <w:t xml:space="preserve">COVID-19 vaccines, introduced in early 2021 </w:t>
      </w:r>
      <w:commentRangeStart w:id="21"/>
      <w:r w:rsidRPr="008C3CF8">
        <w:rPr>
          <w:rFonts w:ascii="Arial" w:hAnsi="Arial" w:cs="Arial"/>
        </w:rPr>
        <w:t xml:space="preserve">[https://www.who.int/emergencies/diseases/novel-coronavirus-2019/interactive-timeline], </w:t>
      </w:r>
      <w:commentRangeEnd w:id="21"/>
      <w:r w:rsidR="00FC7F9B">
        <w:rPr>
          <w:rStyle w:val="CommentReference"/>
          <w:rFonts w:ascii="Times New Roman" w:hAnsi="Times New Roman"/>
          <w:lang w:val="nb-NO" w:eastAsia="nb-NO"/>
        </w:rPr>
        <w:commentReference w:id="21"/>
      </w:r>
      <w:r w:rsidRPr="008C3CF8">
        <w:rPr>
          <w:rFonts w:ascii="Arial" w:hAnsi="Arial" w:cs="Arial"/>
        </w:rPr>
        <w:t xml:space="preserve">have substantially mitigated pandemic progression by reducing severe disease [12]. Under the COVAX initiative, Senegal’s initial vaccine supply was the inactivated Sinopharm vaccine and the non-replicating adenoviral AstraZeneca vaccine, prioritized for health-care workers, older adults, and those with comorbidities </w:t>
      </w:r>
      <w:commentRangeStart w:id="22"/>
      <w:r w:rsidRPr="008C3CF8">
        <w:rPr>
          <w:rFonts w:ascii="Arial" w:hAnsi="Arial" w:cs="Arial"/>
        </w:rPr>
        <w:t xml:space="preserve">[https://www.esante.sn/app/uploads/MSAS-info-Edition-Speciale-Covid-19.pdf]. </w:t>
      </w:r>
      <w:commentRangeEnd w:id="22"/>
      <w:r w:rsidR="00FC7F9B">
        <w:rPr>
          <w:rStyle w:val="CommentReference"/>
          <w:rFonts w:ascii="Times New Roman" w:hAnsi="Times New Roman"/>
          <w:lang w:val="nb-NO" w:eastAsia="nb-NO"/>
        </w:rPr>
        <w:commentReference w:id="22"/>
      </w:r>
      <w:r w:rsidRPr="008C3CF8">
        <w:rPr>
          <w:rFonts w:ascii="Arial" w:hAnsi="Arial" w:cs="Arial"/>
        </w:rPr>
        <w:t xml:space="preserve">Despite this, only </w:t>
      </w:r>
      <w:commentRangeStart w:id="23"/>
      <w:r w:rsidRPr="008C3CF8">
        <w:rPr>
          <w:rFonts w:ascii="Arial" w:hAnsi="Arial" w:cs="Arial"/>
        </w:rPr>
        <w:t xml:space="preserve">38.34 % </w:t>
      </w:r>
      <w:commentRangeEnd w:id="23"/>
      <w:r w:rsidR="00FC7F9B">
        <w:rPr>
          <w:rStyle w:val="CommentReference"/>
          <w:rFonts w:ascii="Times New Roman" w:hAnsi="Times New Roman"/>
          <w:lang w:val="nb-NO" w:eastAsia="nb-NO"/>
        </w:rPr>
        <w:commentReference w:id="23"/>
      </w:r>
      <w:r w:rsidRPr="008C3CF8">
        <w:rPr>
          <w:rFonts w:ascii="Arial" w:hAnsi="Arial" w:cs="Arial"/>
        </w:rPr>
        <w:t xml:space="preserve">of our participants had received at least one vaccine dose. This suboptimal uptake reflects global vaccine hesitancy driven by rapid development timelines and safety concerns [13,14]. </w:t>
      </w:r>
    </w:p>
    <w:p w14:paraId="167E6615" w14:textId="77777777" w:rsidR="008C3CF8" w:rsidRPr="008C3CF8" w:rsidRDefault="008C3CF8" w:rsidP="008C3CF8">
      <w:pPr>
        <w:pStyle w:val="Body"/>
        <w:rPr>
          <w:rFonts w:ascii="Arial" w:hAnsi="Arial" w:cs="Arial"/>
        </w:rPr>
      </w:pPr>
      <w:r w:rsidRPr="008C3CF8">
        <w:rPr>
          <w:rFonts w:ascii="Arial" w:hAnsi="Arial" w:cs="Arial"/>
        </w:rPr>
        <w:t xml:space="preserve">Similar reluctance levels were reported in Chad (22.3%) [15], United States (19% hesitancy, 8.1% refusal) [16], and among diabetic patients in China (55% apprehensive) [17]. Yet vaccination unequivocally reduces ICU admissions and mortality from severe COVID-19 [18]. </w:t>
      </w:r>
    </w:p>
    <w:p w14:paraId="0A1EE768" w14:textId="77777777" w:rsidR="008C3CF8" w:rsidRPr="008C3CF8" w:rsidRDefault="008C3CF8" w:rsidP="008C3CF8">
      <w:pPr>
        <w:pStyle w:val="Body"/>
        <w:rPr>
          <w:rFonts w:ascii="Arial" w:hAnsi="Arial" w:cs="Arial"/>
          <w:b/>
          <w:bCs/>
          <w:sz w:val="22"/>
          <w:szCs w:val="22"/>
        </w:rPr>
      </w:pPr>
      <w:r w:rsidRPr="008C3CF8">
        <w:rPr>
          <w:rFonts w:ascii="Arial" w:hAnsi="Arial" w:cs="Arial"/>
          <w:b/>
          <w:bCs/>
          <w:sz w:val="22"/>
          <w:szCs w:val="22"/>
        </w:rPr>
        <w:t xml:space="preserve">Molecular findings  </w:t>
      </w:r>
    </w:p>
    <w:p w14:paraId="5EA047F6" w14:textId="77777777" w:rsidR="008C3CF8" w:rsidRPr="008C3CF8" w:rsidRDefault="008C3CF8" w:rsidP="008C3CF8">
      <w:pPr>
        <w:pStyle w:val="Body"/>
        <w:rPr>
          <w:rFonts w:ascii="Arial" w:hAnsi="Arial" w:cs="Arial"/>
        </w:rPr>
      </w:pPr>
      <w:r w:rsidRPr="008C3CF8">
        <w:rPr>
          <w:rFonts w:ascii="Arial" w:hAnsi="Arial" w:cs="Arial"/>
        </w:rPr>
        <w:t xml:space="preserve">Real-time reverse-transcription PCR (RT-PCR) has been the gold standard for diagnosing active SARS-CoV-2 infection during this pandemic, targeting genes such as E, S, N, and </w:t>
      </w:r>
      <w:proofErr w:type="spellStart"/>
      <w:r w:rsidRPr="008C3CF8">
        <w:rPr>
          <w:rFonts w:ascii="Arial" w:hAnsi="Arial" w:cs="Arial"/>
        </w:rPr>
        <w:t>RdRP</w:t>
      </w:r>
      <w:proofErr w:type="spellEnd"/>
      <w:r w:rsidRPr="008C3CF8">
        <w:rPr>
          <w:rFonts w:ascii="Arial" w:hAnsi="Arial" w:cs="Arial"/>
        </w:rPr>
        <w:t xml:space="preserve"> (ORF1a–ORF1b) [19, 20]. A low PCR-positivity rate of 2.74% were observed, likely reflecting reduced viral circulation at the time of sampling, potentially due to accrued immunity, both natural and vaccine-induced. All PCR-positive participants had received at least one vaccine dose. Detection of viral RNA in a biological specimen may represent asymptomatic infection. Although some studies associate low cycle-threshold (Ct) values with poorer prognosis, the prognostic value of Ct remains equivocal, with other reports finding no such correlation [21]. Rapid antigen tests, while less sensitive than RT-PCR, proved useful for point-of-care screening during periods when molecular testing capacity was constrained, reliably detecting cases with high viral loads [22, 23, 24].  </w:t>
      </w:r>
    </w:p>
    <w:p w14:paraId="45F597A3" w14:textId="77777777" w:rsidR="008C3CF8" w:rsidRPr="008C3CF8" w:rsidRDefault="008C3CF8" w:rsidP="008C3CF8">
      <w:pPr>
        <w:pStyle w:val="Body"/>
        <w:rPr>
          <w:rFonts w:ascii="Arial" w:hAnsi="Arial" w:cs="Arial"/>
          <w:b/>
          <w:bCs/>
          <w:sz w:val="22"/>
          <w:szCs w:val="22"/>
        </w:rPr>
      </w:pPr>
      <w:r w:rsidRPr="008C3CF8">
        <w:rPr>
          <w:rFonts w:ascii="Arial" w:hAnsi="Arial" w:cs="Arial"/>
          <w:b/>
          <w:bCs/>
          <w:sz w:val="22"/>
          <w:szCs w:val="22"/>
        </w:rPr>
        <w:t xml:space="preserve">Serological findings  </w:t>
      </w:r>
    </w:p>
    <w:p w14:paraId="79C717EF" w14:textId="77777777" w:rsidR="008C3CF8" w:rsidRPr="008C3CF8" w:rsidRDefault="008C3CF8" w:rsidP="008C3CF8">
      <w:pPr>
        <w:pStyle w:val="Body"/>
        <w:rPr>
          <w:rFonts w:ascii="Arial" w:hAnsi="Arial" w:cs="Arial"/>
        </w:rPr>
      </w:pPr>
      <w:r w:rsidRPr="008C3CF8">
        <w:rPr>
          <w:rFonts w:ascii="Arial" w:hAnsi="Arial" w:cs="Arial"/>
        </w:rPr>
        <w:t xml:space="preserve">Serological assays are not indicated for acute diagnosis but serve to characterize population-level immunity, guide contact tracing and identify potential donors of neutralizing antibodies for therapeutic or prophylactic use [25].  </w:t>
      </w:r>
    </w:p>
    <w:p w14:paraId="65EE3637" w14:textId="77777777" w:rsidR="008C3CF8" w:rsidRPr="008C3CF8" w:rsidRDefault="008C3CF8" w:rsidP="008C3CF8">
      <w:pPr>
        <w:pStyle w:val="Body"/>
        <w:rPr>
          <w:rFonts w:ascii="Arial" w:hAnsi="Arial" w:cs="Arial"/>
        </w:rPr>
      </w:pPr>
      <w:commentRangeStart w:id="24"/>
      <w:r w:rsidRPr="008C3CF8">
        <w:rPr>
          <w:rFonts w:ascii="Arial" w:hAnsi="Arial" w:cs="Arial"/>
        </w:rPr>
        <w:t xml:space="preserve">For Thies site, 15.49% of participants had anti-SARS-CoV-2 IgM, suggesting recent or ongoing infection, whereas 76.52% were IgG-positive, indicating prior exposure or vaccination. Concurrent IgM and IgG positivity occurred in 11.73%, consistent with early secondary immune responses. In a comparable cohort, serology revealed 82% IgG positivity, 38% IgM positivity, and 31% dual positivity </w:t>
      </w:r>
      <w:commentRangeEnd w:id="24"/>
      <w:r w:rsidR="00FC7F9B">
        <w:rPr>
          <w:rStyle w:val="CommentReference"/>
          <w:rFonts w:ascii="Times New Roman" w:hAnsi="Times New Roman"/>
          <w:lang w:val="nb-NO" w:eastAsia="nb-NO"/>
        </w:rPr>
        <w:commentReference w:id="24"/>
      </w:r>
      <w:r w:rsidRPr="008C3CF8">
        <w:rPr>
          <w:rFonts w:ascii="Arial" w:hAnsi="Arial" w:cs="Arial"/>
        </w:rPr>
        <w:t xml:space="preserve">[26].  </w:t>
      </w:r>
    </w:p>
    <w:p w14:paraId="7EA2C8B3" w14:textId="77777777" w:rsidR="008C3CF8" w:rsidRPr="008C3CF8" w:rsidRDefault="008C3CF8" w:rsidP="008C3CF8">
      <w:pPr>
        <w:pStyle w:val="Body"/>
        <w:rPr>
          <w:rFonts w:ascii="Arial" w:hAnsi="Arial" w:cs="Arial"/>
        </w:rPr>
      </w:pPr>
      <w:r w:rsidRPr="008C3CF8">
        <w:rPr>
          <w:rFonts w:ascii="Arial" w:hAnsi="Arial" w:cs="Arial"/>
        </w:rPr>
        <w:lastRenderedPageBreak/>
        <w:t>In Saint-Louis, IgG seroprevalence was 50.67%, lower than in Thies but still substantial. Hypertensive patients (n = 77) and older adults (n = 54), priority vaccination groups, displayed particularly high IgG rates. Serological profiling can further inform screening of monoclonal antibodies targeting the spike protein’s receptor-binding domain, as IgG titers generally correlate strongly with neutralizing activity [27]. Authors documented anti-nucleocapsid antibodies in 10.12% of subjects, 95% of whom had measurable neutralizing activity, although titers waned by three to six months [28, 29]. The time for seroconversion is about 10–14 days, but early seroconversion has also been documented at 3–5 days post infection [30].</w:t>
      </w:r>
    </w:p>
    <w:p w14:paraId="45FA6A5F" w14:textId="77777777" w:rsidR="008C3CF8" w:rsidRPr="008C3CF8" w:rsidRDefault="008C3CF8" w:rsidP="008C3CF8">
      <w:pPr>
        <w:pStyle w:val="Body"/>
        <w:rPr>
          <w:rFonts w:ascii="Arial" w:hAnsi="Arial" w:cs="Arial"/>
        </w:rPr>
      </w:pPr>
      <w:r w:rsidRPr="008C3CF8">
        <w:rPr>
          <w:rFonts w:ascii="Arial" w:hAnsi="Arial" w:cs="Arial"/>
        </w:rPr>
        <w:t xml:space="preserve">As with most viral infections, IgM levels rise rapidly post-exposure, as IgG responses mature and persist at higher levels. It seems that immunity against SARS-CoV-2 infection is higher than the tests show [31]. So, serology aids in identifying previously infected individuals and delineating transmission dynamics, even in vaccinated populations. However, discordance between molecular and serological results is well documented: </w:t>
      </w:r>
      <w:proofErr w:type="spellStart"/>
      <w:r w:rsidRPr="008C3CF8">
        <w:rPr>
          <w:rFonts w:ascii="Arial" w:hAnsi="Arial" w:cs="Arial"/>
        </w:rPr>
        <w:t>Makuo</w:t>
      </w:r>
      <w:proofErr w:type="spellEnd"/>
      <w:r w:rsidRPr="008C3CF8">
        <w:rPr>
          <w:rFonts w:ascii="Arial" w:hAnsi="Arial" w:cs="Arial"/>
        </w:rPr>
        <w:t xml:space="preserve"> et al. reported 23.5% of patients with discordant PCR and antibody findings [32].  </w:t>
      </w:r>
    </w:p>
    <w:p w14:paraId="32CF955B" w14:textId="77777777" w:rsidR="00E053D0" w:rsidRDefault="008C3CF8" w:rsidP="00441B6F">
      <w:pPr>
        <w:pStyle w:val="Body"/>
        <w:spacing w:after="0"/>
        <w:rPr>
          <w:rFonts w:ascii="Arial" w:hAnsi="Arial" w:cs="Arial"/>
        </w:rPr>
      </w:pPr>
      <w:r w:rsidRPr="008C3CF8">
        <w:rPr>
          <w:rFonts w:ascii="Arial" w:hAnsi="Arial" w:cs="Arial"/>
        </w:rPr>
        <w:t>Overall, our serological data underscore widespread viral exposure across vulnerable groups, tempered by vaccination campaigns and naturally acquired immunity, which together have likely attenuated SARS-CoV-2 transmission in Senegal.</w:t>
      </w:r>
    </w:p>
    <w:p w14:paraId="60A18B8A" w14:textId="77777777" w:rsidR="00790ADA" w:rsidRPr="00FB3A86" w:rsidRDefault="00790ADA" w:rsidP="00441B6F">
      <w:pPr>
        <w:pStyle w:val="Body"/>
        <w:spacing w:after="0"/>
        <w:rPr>
          <w:rFonts w:ascii="Arial" w:hAnsi="Arial" w:cs="Arial"/>
        </w:rPr>
      </w:pPr>
    </w:p>
    <w:p w14:paraId="307311E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982FD3F" w14:textId="77777777" w:rsidR="00790ADA" w:rsidRPr="00FB3A86" w:rsidRDefault="00790ADA" w:rsidP="00441B6F">
      <w:pPr>
        <w:pStyle w:val="ConcHead"/>
        <w:spacing w:after="0"/>
        <w:jc w:val="both"/>
        <w:rPr>
          <w:rFonts w:ascii="Arial" w:hAnsi="Arial" w:cs="Arial"/>
        </w:rPr>
      </w:pPr>
    </w:p>
    <w:p w14:paraId="413A3F6A" w14:textId="77777777" w:rsidR="00790ADA" w:rsidRDefault="00093D1E" w:rsidP="00441B6F">
      <w:pPr>
        <w:pStyle w:val="Body"/>
        <w:spacing w:after="0"/>
        <w:rPr>
          <w:rFonts w:ascii="Arial" w:hAnsi="Arial" w:cs="Arial"/>
        </w:rPr>
      </w:pPr>
      <w:r w:rsidRPr="00093D1E">
        <w:rPr>
          <w:rFonts w:ascii="Arial" w:hAnsi="Arial" w:cs="Arial"/>
        </w:rPr>
        <w:t>This study highlights the significant presence of antibodies in a majority of vulnerable peoples, despite a low proportion of RT-PCR positivity. Vaccination appears playing an important role in immune response, but the persistence of antibodies and their long-term efficacy require continued monitoring. Then, it is importance to continue vaccination and epidemiological surveillance efforts to better protect vulnerable populations.</w:t>
      </w:r>
    </w:p>
    <w:p w14:paraId="729FA411" w14:textId="77777777" w:rsidR="00093D1E" w:rsidRPr="00FB3A86" w:rsidRDefault="00093D1E" w:rsidP="00441B6F">
      <w:pPr>
        <w:pStyle w:val="Body"/>
        <w:spacing w:after="0"/>
        <w:rPr>
          <w:rFonts w:ascii="Arial" w:hAnsi="Arial" w:cs="Arial"/>
        </w:rPr>
      </w:pPr>
    </w:p>
    <w:p w14:paraId="6D407F70" w14:textId="77777777" w:rsidR="00315186" w:rsidRPr="00315186" w:rsidRDefault="00315186" w:rsidP="00441B6F"/>
    <w:p w14:paraId="074344E6" w14:textId="77777777" w:rsidR="002B685A" w:rsidRDefault="002B685A" w:rsidP="00441B6F">
      <w:pPr>
        <w:pStyle w:val="ReferHead"/>
        <w:spacing w:after="0"/>
        <w:jc w:val="both"/>
        <w:rPr>
          <w:rFonts w:ascii="Arial" w:hAnsi="Arial" w:cs="Arial"/>
          <w:b w:val="0"/>
          <w:caps w:val="0"/>
          <w:sz w:val="20"/>
        </w:rPr>
      </w:pPr>
    </w:p>
    <w:p w14:paraId="3AB6E6D3"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p>
    <w:p w14:paraId="15C1FA22" w14:textId="77777777" w:rsidR="002B685A" w:rsidRPr="00067F12" w:rsidRDefault="002B685A" w:rsidP="00441B6F">
      <w:pPr>
        <w:pStyle w:val="ReferHead"/>
        <w:spacing w:after="0"/>
        <w:jc w:val="both"/>
        <w:rPr>
          <w:rFonts w:ascii="Arial" w:hAnsi="Arial" w:cs="Arial"/>
          <w:bCs/>
        </w:rPr>
      </w:pPr>
    </w:p>
    <w:p w14:paraId="4DA596C9" w14:textId="77777777" w:rsidR="001A29D8" w:rsidRPr="00067F12" w:rsidRDefault="001A29D8" w:rsidP="00441B6F">
      <w:pPr>
        <w:pStyle w:val="ReferHead"/>
        <w:spacing w:after="0"/>
        <w:jc w:val="both"/>
        <w:rPr>
          <w:rFonts w:ascii="Arial" w:hAnsi="Arial" w:cs="Arial"/>
          <w:b w:val="0"/>
          <w:caps w:val="0"/>
          <w:sz w:val="20"/>
        </w:rPr>
      </w:pPr>
      <w:r w:rsidRPr="00067F12">
        <w:rPr>
          <w:rFonts w:ascii="Arial" w:hAnsi="Arial" w:cs="Arial"/>
          <w:b w:val="0"/>
          <w:caps w:val="0"/>
          <w:sz w:val="20"/>
        </w:rPr>
        <w:t xml:space="preserve">All authors declare that ‘written informed consent was obtained from the patient (or other approved parties) for publication of this case report and accompanying images. A copy of the </w:t>
      </w:r>
      <w:r w:rsidRPr="00067F12">
        <w:rPr>
          <w:rFonts w:ascii="Arial" w:hAnsi="Arial" w:cs="Arial"/>
          <w:b w:val="0"/>
          <w:caps w:val="0"/>
          <w:sz w:val="20"/>
        </w:rPr>
        <w:lastRenderedPageBreak/>
        <w:t>written consent is available for review by the Editorial office/Chief Editor/Editorial Board members of this journal."</w:t>
      </w:r>
    </w:p>
    <w:p w14:paraId="64966BD8" w14:textId="77777777" w:rsidR="001A29D8" w:rsidRDefault="001A29D8" w:rsidP="00441B6F">
      <w:pPr>
        <w:pStyle w:val="ReferHead"/>
        <w:spacing w:after="0"/>
        <w:jc w:val="both"/>
        <w:rPr>
          <w:rFonts w:ascii="Arial" w:hAnsi="Arial" w:cs="Arial"/>
          <w:b w:val="0"/>
          <w:caps w:val="0"/>
          <w:sz w:val="20"/>
        </w:rPr>
      </w:pPr>
    </w:p>
    <w:p w14:paraId="79B41A9A" w14:textId="77777777" w:rsidR="005C784C" w:rsidRDefault="005C784C" w:rsidP="00441B6F">
      <w:pPr>
        <w:pStyle w:val="ReferHead"/>
        <w:spacing w:after="0"/>
        <w:jc w:val="both"/>
        <w:rPr>
          <w:rFonts w:ascii="Arial" w:hAnsi="Arial" w:cs="Arial"/>
          <w:b w:val="0"/>
          <w:caps w:val="0"/>
          <w:sz w:val="20"/>
        </w:rPr>
      </w:pPr>
    </w:p>
    <w:p w14:paraId="0D6D7DAF" w14:textId="77777777"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3C7B603E" w14:textId="77777777" w:rsidR="005C784C" w:rsidRPr="002B685A" w:rsidRDefault="005C784C" w:rsidP="00441B6F">
      <w:pPr>
        <w:pStyle w:val="ReferHead"/>
        <w:spacing w:after="0"/>
        <w:jc w:val="both"/>
        <w:rPr>
          <w:rFonts w:ascii="Arial" w:hAnsi="Arial" w:cs="Arial"/>
          <w:bCs/>
        </w:rPr>
      </w:pPr>
    </w:p>
    <w:p w14:paraId="6427F0CE" w14:textId="77777777" w:rsidR="000E6EA8" w:rsidRDefault="001A29D8" w:rsidP="00441B6F">
      <w:pPr>
        <w:pStyle w:val="ReferHead"/>
        <w:spacing w:after="0"/>
        <w:jc w:val="both"/>
        <w:rPr>
          <w:rFonts w:ascii="Arial" w:hAnsi="Arial" w:cs="Arial"/>
          <w:b w:val="0"/>
          <w:caps w:val="0"/>
          <w:sz w:val="20"/>
        </w:rPr>
      </w:pPr>
      <w:r w:rsidRPr="000E6EA8">
        <w:rPr>
          <w:rFonts w:ascii="Arial" w:hAnsi="Arial" w:cs="Arial"/>
          <w:b w:val="0"/>
          <w:caps w:val="0"/>
          <w:sz w:val="20"/>
        </w:rPr>
        <w:t xml:space="preserve"> </w:t>
      </w:r>
      <w:r w:rsidR="000E6EA8">
        <w:rPr>
          <w:rFonts w:ascii="Arial" w:hAnsi="Arial" w:cs="Arial"/>
          <w:b w:val="0"/>
          <w:caps w:val="0"/>
          <w:sz w:val="20"/>
        </w:rPr>
        <w:t xml:space="preserve">This study received the approval of National ethics committee </w:t>
      </w:r>
      <w:r w:rsidR="00067F12" w:rsidRPr="00067F12">
        <w:rPr>
          <w:rFonts w:ascii="Arial" w:hAnsi="Arial" w:cs="Arial"/>
          <w:b w:val="0"/>
          <w:caps w:val="0"/>
          <w:sz w:val="20"/>
        </w:rPr>
        <w:t xml:space="preserve">under number 0000075/MSAS/CNERS/SP on March 30, 2022.  </w:t>
      </w:r>
    </w:p>
    <w:p w14:paraId="6B4DF735" w14:textId="77777777" w:rsidR="0041027F" w:rsidRDefault="001A29D8" w:rsidP="00441B6F">
      <w:pPr>
        <w:pStyle w:val="ReferHead"/>
        <w:spacing w:after="0"/>
        <w:jc w:val="both"/>
        <w:rPr>
          <w:rFonts w:ascii="Arial" w:hAnsi="Arial" w:cs="Arial"/>
          <w:b w:val="0"/>
          <w:caps w:val="0"/>
          <w:sz w:val="20"/>
        </w:rPr>
      </w:pPr>
      <w:r w:rsidRPr="000E6EA8">
        <w:rPr>
          <w:rFonts w:ascii="Arial" w:hAnsi="Arial" w:cs="Arial"/>
          <w:b w:val="0"/>
          <w:caps w:val="0"/>
          <w:sz w:val="20"/>
        </w:rPr>
        <w:t>All authors hereby declare that a</w:t>
      </w:r>
      <w:r w:rsidR="0041027F" w:rsidRPr="000E6EA8">
        <w:rPr>
          <w:rFonts w:ascii="Arial" w:hAnsi="Arial" w:cs="Arial"/>
          <w:b w:val="0"/>
          <w:caps w:val="0"/>
          <w:sz w:val="20"/>
        </w:rPr>
        <w:t xml:space="preserve">ll </w:t>
      </w:r>
      <w:r w:rsidR="00F469F0" w:rsidRPr="000E6EA8">
        <w:rPr>
          <w:rFonts w:ascii="Arial" w:hAnsi="Arial" w:cs="Arial"/>
          <w:b w:val="0"/>
          <w:caps w:val="0"/>
          <w:sz w:val="20"/>
        </w:rPr>
        <w:t>experiments</w:t>
      </w:r>
      <w:r w:rsidR="0041027F" w:rsidRPr="000E6EA8">
        <w:rPr>
          <w:rFonts w:ascii="Arial" w:hAnsi="Arial" w:cs="Arial"/>
          <w:b w:val="0"/>
          <w:caps w:val="0"/>
          <w:sz w:val="20"/>
        </w:rPr>
        <w:t xml:space="preserve"> have been examined</w:t>
      </w:r>
      <w:r w:rsidRPr="000E6EA8">
        <w:rPr>
          <w:rFonts w:ascii="Arial" w:hAnsi="Arial" w:cs="Arial"/>
          <w:b w:val="0"/>
          <w:caps w:val="0"/>
          <w:sz w:val="20"/>
        </w:rPr>
        <w:t xml:space="preserve"> and approved</w:t>
      </w:r>
      <w:r w:rsidR="0041027F" w:rsidRPr="000E6EA8">
        <w:rPr>
          <w:rFonts w:ascii="Arial" w:hAnsi="Arial" w:cs="Arial"/>
          <w:b w:val="0"/>
          <w:caps w:val="0"/>
          <w:sz w:val="20"/>
        </w:rPr>
        <w:t xml:space="preserve"> by the appropriate ethics committee and have therefore been performed in accordance with the ethical standards laid down in the 1964 Declaration of Helsinki.</w:t>
      </w:r>
    </w:p>
    <w:p w14:paraId="3799C940" w14:textId="77777777" w:rsidR="000F1682" w:rsidRDefault="000F1682" w:rsidP="00441B6F">
      <w:pPr>
        <w:pStyle w:val="ReferHead"/>
        <w:spacing w:after="0"/>
        <w:jc w:val="both"/>
        <w:rPr>
          <w:rFonts w:ascii="Arial" w:hAnsi="Arial" w:cs="Arial"/>
          <w:b w:val="0"/>
          <w:caps w:val="0"/>
          <w:sz w:val="20"/>
        </w:rPr>
      </w:pPr>
    </w:p>
    <w:p w14:paraId="0389FFEA" w14:textId="77777777" w:rsidR="000F1682" w:rsidRDefault="000F1682" w:rsidP="00441B6F">
      <w:pPr>
        <w:pStyle w:val="ReferHead"/>
        <w:spacing w:after="0"/>
        <w:jc w:val="both"/>
        <w:rPr>
          <w:rFonts w:ascii="Arial" w:hAnsi="Arial" w:cs="Arial"/>
          <w:b w:val="0"/>
          <w:caps w:val="0"/>
          <w:sz w:val="20"/>
        </w:rPr>
      </w:pPr>
    </w:p>
    <w:p w14:paraId="0C1EBB33" w14:textId="77777777" w:rsidR="000F1682" w:rsidRPr="000E6EA8" w:rsidRDefault="000F1682" w:rsidP="00441B6F">
      <w:pPr>
        <w:pStyle w:val="ReferHead"/>
        <w:spacing w:after="0"/>
        <w:jc w:val="both"/>
        <w:rPr>
          <w:rFonts w:ascii="Arial" w:hAnsi="Arial" w:cs="Arial"/>
          <w:b w:val="0"/>
          <w:caps w:val="0"/>
          <w:sz w:val="20"/>
        </w:rPr>
      </w:pPr>
    </w:p>
    <w:p w14:paraId="2911AD6F" w14:textId="77777777" w:rsidR="00860000" w:rsidRDefault="00860000" w:rsidP="00441B6F">
      <w:pPr>
        <w:pStyle w:val="ReferHead"/>
        <w:spacing w:after="0"/>
        <w:jc w:val="both"/>
        <w:rPr>
          <w:rFonts w:ascii="Arial" w:hAnsi="Arial" w:cs="Arial"/>
        </w:rPr>
      </w:pPr>
    </w:p>
    <w:p w14:paraId="2637347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EE5B651" w14:textId="77777777" w:rsidR="00790ADA" w:rsidRPr="00FB3A86" w:rsidRDefault="00790ADA" w:rsidP="00441B6F">
      <w:pPr>
        <w:pStyle w:val="ReferHead"/>
        <w:spacing w:after="0"/>
        <w:jc w:val="both"/>
        <w:rPr>
          <w:rFonts w:ascii="Arial" w:hAnsi="Arial" w:cs="Arial"/>
        </w:rPr>
      </w:pPr>
    </w:p>
    <w:p w14:paraId="3D901486" w14:textId="77777777" w:rsidR="00067F12" w:rsidRPr="00067F12" w:rsidRDefault="00067F12" w:rsidP="00067F12">
      <w:pPr>
        <w:spacing w:line="276" w:lineRule="auto"/>
        <w:jc w:val="both"/>
        <w:rPr>
          <w:rFonts w:ascii="Arial" w:hAnsi="Arial" w:cs="Arial"/>
        </w:rPr>
      </w:pPr>
      <w:r w:rsidRPr="00067F12">
        <w:rPr>
          <w:rFonts w:ascii="Arial" w:hAnsi="Arial" w:cs="Arial"/>
          <w:b/>
          <w:bCs/>
        </w:rPr>
        <w:t>1.</w:t>
      </w:r>
      <w:commentRangeStart w:id="25"/>
      <w:r w:rsidRPr="00067F12">
        <w:rPr>
          <w:rFonts w:ascii="Arial" w:hAnsi="Arial" w:cs="Arial"/>
        </w:rPr>
        <w:t>Zhao</w:t>
      </w:r>
      <w:r>
        <w:rPr>
          <w:rFonts w:ascii="Arial" w:hAnsi="Arial" w:cs="Arial"/>
        </w:rPr>
        <w:t>,</w:t>
      </w:r>
      <w:r w:rsidRPr="00067F12">
        <w:rPr>
          <w:rFonts w:ascii="Arial" w:hAnsi="Arial" w:cs="Arial"/>
        </w:rPr>
        <w:t xml:space="preserve"> Y</w:t>
      </w:r>
      <w:r w:rsidR="00AF49B3">
        <w:rPr>
          <w:rFonts w:ascii="Arial" w:hAnsi="Arial" w:cs="Arial"/>
        </w:rPr>
        <w:t>.</w:t>
      </w:r>
      <w:r w:rsidRPr="00067F12">
        <w:rPr>
          <w:rFonts w:ascii="Arial" w:hAnsi="Arial" w:cs="Arial"/>
        </w:rPr>
        <w:t>, Huang</w:t>
      </w:r>
      <w:r>
        <w:rPr>
          <w:rFonts w:ascii="Arial" w:hAnsi="Arial" w:cs="Arial"/>
        </w:rPr>
        <w:t>,</w:t>
      </w:r>
      <w:r w:rsidRPr="00067F12">
        <w:rPr>
          <w:rFonts w:ascii="Arial" w:hAnsi="Arial" w:cs="Arial"/>
        </w:rPr>
        <w:t xml:space="preserve"> J</w:t>
      </w:r>
      <w:r w:rsidR="00AF49B3">
        <w:rPr>
          <w:rFonts w:ascii="Arial" w:hAnsi="Arial" w:cs="Arial"/>
        </w:rPr>
        <w:t>.</w:t>
      </w:r>
      <w:r w:rsidRPr="00067F12">
        <w:rPr>
          <w:rFonts w:ascii="Arial" w:hAnsi="Arial" w:cs="Arial"/>
        </w:rPr>
        <w:t>, Zhang</w:t>
      </w:r>
      <w:r>
        <w:rPr>
          <w:rFonts w:ascii="Arial" w:hAnsi="Arial" w:cs="Arial"/>
        </w:rPr>
        <w:t>,</w:t>
      </w:r>
      <w:r w:rsidRPr="00067F12">
        <w:rPr>
          <w:rFonts w:ascii="Arial" w:hAnsi="Arial" w:cs="Arial"/>
        </w:rPr>
        <w:t xml:space="preserve"> L</w:t>
      </w:r>
      <w:r w:rsidR="00AF49B3">
        <w:rPr>
          <w:rFonts w:ascii="Arial" w:hAnsi="Arial" w:cs="Arial"/>
        </w:rPr>
        <w:t>.</w:t>
      </w:r>
      <w:r w:rsidRPr="00067F12">
        <w:rPr>
          <w:rFonts w:ascii="Arial" w:hAnsi="Arial" w:cs="Arial"/>
        </w:rPr>
        <w:t>, Chen</w:t>
      </w:r>
      <w:r>
        <w:rPr>
          <w:rFonts w:ascii="Arial" w:hAnsi="Arial" w:cs="Arial"/>
        </w:rPr>
        <w:t>,</w:t>
      </w:r>
      <w:r w:rsidRPr="00067F12">
        <w:rPr>
          <w:rFonts w:ascii="Arial" w:hAnsi="Arial" w:cs="Arial"/>
        </w:rPr>
        <w:t xml:space="preserve"> S</w:t>
      </w:r>
      <w:r w:rsidR="00AF49B3">
        <w:rPr>
          <w:rFonts w:ascii="Arial" w:hAnsi="Arial" w:cs="Arial"/>
        </w:rPr>
        <w:t>.</w:t>
      </w:r>
      <w:r w:rsidRPr="00067F12">
        <w:rPr>
          <w:rFonts w:ascii="Arial" w:hAnsi="Arial" w:cs="Arial"/>
        </w:rPr>
        <w:t>, Gao</w:t>
      </w:r>
      <w:r>
        <w:rPr>
          <w:rFonts w:ascii="Arial" w:hAnsi="Arial" w:cs="Arial"/>
        </w:rPr>
        <w:t>,</w:t>
      </w:r>
      <w:r w:rsidRPr="00067F12">
        <w:rPr>
          <w:rFonts w:ascii="Arial" w:hAnsi="Arial" w:cs="Arial"/>
        </w:rPr>
        <w:t xml:space="preserve"> J</w:t>
      </w:r>
      <w:r w:rsidR="00AF49B3">
        <w:rPr>
          <w:rFonts w:ascii="Arial" w:hAnsi="Arial" w:cs="Arial"/>
        </w:rPr>
        <w:t>.</w:t>
      </w:r>
      <w:r w:rsidRPr="00067F12">
        <w:rPr>
          <w:rFonts w:ascii="Arial" w:hAnsi="Arial" w:cs="Arial"/>
        </w:rPr>
        <w:t>, Jiao</w:t>
      </w:r>
      <w:r>
        <w:rPr>
          <w:rFonts w:ascii="Arial" w:hAnsi="Arial" w:cs="Arial"/>
        </w:rPr>
        <w:t>,</w:t>
      </w:r>
      <w:r w:rsidRPr="00067F12">
        <w:rPr>
          <w:rFonts w:ascii="Arial" w:hAnsi="Arial" w:cs="Arial"/>
        </w:rPr>
        <w:t xml:space="preserve"> H. The global transmission of new coronavirus variants. Environmental Research.2022. </w:t>
      </w:r>
      <w:r w:rsidRPr="00067F12">
        <w:rPr>
          <w:rFonts w:ascii="Arial" w:hAnsi="Arial" w:cs="Arial"/>
          <w:color w:val="002060"/>
        </w:rPr>
        <w:t>doi.org/10.1016/j.envres.2021.112240</w:t>
      </w:r>
      <w:r w:rsidRPr="00067F12">
        <w:rPr>
          <w:rFonts w:ascii="Arial" w:hAnsi="Arial" w:cs="Arial"/>
        </w:rPr>
        <w:t>.</w:t>
      </w:r>
      <w:commentRangeEnd w:id="25"/>
      <w:r w:rsidR="00710B85">
        <w:rPr>
          <w:rStyle w:val="CommentReference"/>
          <w:rFonts w:ascii="Times New Roman" w:hAnsi="Times New Roman"/>
          <w:lang w:val="nb-NO" w:eastAsia="nb-NO"/>
        </w:rPr>
        <w:commentReference w:id="25"/>
      </w:r>
    </w:p>
    <w:p w14:paraId="5B701D03" w14:textId="77777777" w:rsidR="00067F12" w:rsidRPr="00067F12" w:rsidRDefault="00067F12" w:rsidP="00067F12">
      <w:pPr>
        <w:spacing w:line="276" w:lineRule="auto"/>
        <w:jc w:val="both"/>
        <w:rPr>
          <w:rFonts w:ascii="Arial" w:hAnsi="Arial" w:cs="Arial"/>
          <w:color w:val="002060"/>
        </w:rPr>
      </w:pPr>
      <w:r w:rsidRPr="00067F12">
        <w:rPr>
          <w:rFonts w:ascii="Arial" w:hAnsi="Arial" w:cs="Arial"/>
          <w:b/>
          <w:bCs/>
        </w:rPr>
        <w:t>2.</w:t>
      </w:r>
      <w:r w:rsidRPr="00067F12">
        <w:rPr>
          <w:rFonts w:ascii="Arial" w:hAnsi="Arial" w:cs="Arial"/>
        </w:rPr>
        <w:t xml:space="preserve"> </w:t>
      </w:r>
      <w:proofErr w:type="spellStart"/>
      <w:r w:rsidRPr="00067F12">
        <w:rPr>
          <w:rFonts w:ascii="Arial" w:hAnsi="Arial" w:cs="Arial"/>
        </w:rPr>
        <w:t>Cantón</w:t>
      </w:r>
      <w:proofErr w:type="spellEnd"/>
      <w:r>
        <w:rPr>
          <w:rFonts w:ascii="Arial" w:hAnsi="Arial" w:cs="Arial"/>
        </w:rPr>
        <w:t>,</w:t>
      </w:r>
      <w:r w:rsidRPr="00067F12">
        <w:rPr>
          <w:rFonts w:ascii="Arial" w:hAnsi="Arial" w:cs="Arial"/>
        </w:rPr>
        <w:t xml:space="preserve"> R</w:t>
      </w:r>
      <w:r w:rsidR="00AF49B3">
        <w:rPr>
          <w:rFonts w:ascii="Arial" w:hAnsi="Arial" w:cs="Arial"/>
        </w:rPr>
        <w:t>.</w:t>
      </w:r>
      <w:r w:rsidRPr="00067F12">
        <w:rPr>
          <w:rFonts w:ascii="Arial" w:hAnsi="Arial" w:cs="Arial"/>
        </w:rPr>
        <w:t>, Ramos</w:t>
      </w:r>
      <w:r>
        <w:rPr>
          <w:rFonts w:ascii="Arial" w:hAnsi="Arial" w:cs="Arial"/>
        </w:rPr>
        <w:t>,</w:t>
      </w:r>
      <w:r w:rsidRPr="00067F12">
        <w:rPr>
          <w:rFonts w:ascii="Arial" w:hAnsi="Arial" w:cs="Arial"/>
        </w:rPr>
        <w:t xml:space="preserve"> P</w:t>
      </w:r>
      <w:r w:rsidR="00AF49B3">
        <w:rPr>
          <w:rFonts w:ascii="Arial" w:hAnsi="Arial" w:cs="Arial"/>
        </w:rPr>
        <w:t>.</w:t>
      </w:r>
      <w:r w:rsidRPr="00067F12">
        <w:rPr>
          <w:rFonts w:ascii="Arial" w:hAnsi="Arial" w:cs="Arial"/>
        </w:rPr>
        <w:t>D</w:t>
      </w:r>
      <w:r w:rsidR="00AF49B3">
        <w:rPr>
          <w:rFonts w:ascii="Arial" w:hAnsi="Arial" w:cs="Arial"/>
        </w:rPr>
        <w:t>.</w:t>
      </w:r>
      <w:r w:rsidRPr="00067F12">
        <w:rPr>
          <w:rFonts w:ascii="Arial" w:hAnsi="Arial" w:cs="Arial"/>
        </w:rPr>
        <w:t>L</w:t>
      </w:r>
      <w:r w:rsidR="00AF49B3">
        <w:rPr>
          <w:rFonts w:ascii="Arial" w:hAnsi="Arial" w:cs="Arial"/>
        </w:rPr>
        <w:t>.</w:t>
      </w:r>
      <w:r w:rsidRPr="00067F12">
        <w:rPr>
          <w:rFonts w:ascii="Arial" w:hAnsi="Arial" w:cs="Arial"/>
        </w:rPr>
        <w:t>, García-Botella</w:t>
      </w:r>
      <w:r>
        <w:rPr>
          <w:rFonts w:ascii="Arial" w:hAnsi="Arial" w:cs="Arial"/>
        </w:rPr>
        <w:t>,</w:t>
      </w:r>
      <w:r w:rsidRPr="00067F12">
        <w:rPr>
          <w:rFonts w:ascii="Arial" w:hAnsi="Arial" w:cs="Arial"/>
        </w:rPr>
        <w:t xml:space="preserve"> A</w:t>
      </w:r>
      <w:r w:rsidR="00AF49B3">
        <w:rPr>
          <w:rFonts w:ascii="Arial" w:hAnsi="Arial" w:cs="Arial"/>
        </w:rPr>
        <w:t>.</w:t>
      </w:r>
      <w:r w:rsidRPr="00067F12">
        <w:rPr>
          <w:rFonts w:ascii="Arial" w:hAnsi="Arial" w:cs="Arial"/>
        </w:rPr>
        <w:t>, García-Lledó</w:t>
      </w:r>
      <w:r>
        <w:rPr>
          <w:rFonts w:ascii="Arial" w:hAnsi="Arial" w:cs="Arial"/>
        </w:rPr>
        <w:t>,</w:t>
      </w:r>
      <w:r w:rsidRPr="00067F12">
        <w:rPr>
          <w:rFonts w:ascii="Arial" w:hAnsi="Arial" w:cs="Arial"/>
        </w:rPr>
        <w:t xml:space="preserve"> A</w:t>
      </w:r>
      <w:r w:rsidR="00AF49B3">
        <w:rPr>
          <w:rFonts w:ascii="Arial" w:hAnsi="Arial" w:cs="Arial"/>
        </w:rPr>
        <w:t>.</w:t>
      </w:r>
      <w:r w:rsidRPr="00067F12">
        <w:rPr>
          <w:rFonts w:ascii="Arial" w:hAnsi="Arial" w:cs="Arial"/>
        </w:rPr>
        <w:t>, Gómez-Pavón</w:t>
      </w:r>
      <w:r>
        <w:rPr>
          <w:rFonts w:ascii="Arial" w:hAnsi="Arial" w:cs="Arial"/>
        </w:rPr>
        <w:t>,</w:t>
      </w:r>
      <w:r w:rsidRPr="00067F12">
        <w:rPr>
          <w:rFonts w:ascii="Arial" w:hAnsi="Arial" w:cs="Arial"/>
        </w:rPr>
        <w:t xml:space="preserve"> J</w:t>
      </w:r>
      <w:r w:rsidR="00AF49B3">
        <w:rPr>
          <w:rFonts w:ascii="Arial" w:hAnsi="Arial" w:cs="Arial"/>
        </w:rPr>
        <w:t>.</w:t>
      </w:r>
      <w:r w:rsidRPr="00067F12">
        <w:rPr>
          <w:rFonts w:ascii="Arial" w:hAnsi="Arial" w:cs="Arial"/>
        </w:rPr>
        <w:t>, del Castillo</w:t>
      </w:r>
      <w:r>
        <w:rPr>
          <w:rFonts w:ascii="Arial" w:hAnsi="Arial" w:cs="Arial"/>
        </w:rPr>
        <w:t>,</w:t>
      </w:r>
      <w:r w:rsidRPr="00067F12">
        <w:rPr>
          <w:rFonts w:ascii="Arial" w:hAnsi="Arial" w:cs="Arial"/>
        </w:rPr>
        <w:t xml:space="preserve"> J</w:t>
      </w:r>
      <w:r w:rsidR="00AF49B3">
        <w:rPr>
          <w:rFonts w:ascii="Arial" w:hAnsi="Arial" w:cs="Arial"/>
        </w:rPr>
        <w:t>.</w:t>
      </w:r>
      <w:r w:rsidRPr="00067F12">
        <w:rPr>
          <w:rFonts w:ascii="Arial" w:hAnsi="Arial" w:cs="Arial"/>
        </w:rPr>
        <w:t>G</w:t>
      </w:r>
      <w:r w:rsidR="00AF49B3">
        <w:rPr>
          <w:rFonts w:ascii="Arial" w:hAnsi="Arial" w:cs="Arial"/>
        </w:rPr>
        <w:t>.</w:t>
      </w:r>
      <w:r w:rsidRPr="00067F12">
        <w:rPr>
          <w:rFonts w:ascii="Arial" w:hAnsi="Arial" w:cs="Arial"/>
        </w:rPr>
        <w:t xml:space="preserve"> and al. New variants of SARS-CoV-2. Rev Esp </w:t>
      </w:r>
      <w:proofErr w:type="spellStart"/>
      <w:r w:rsidRPr="00067F12">
        <w:rPr>
          <w:rFonts w:ascii="Arial" w:hAnsi="Arial" w:cs="Arial"/>
        </w:rPr>
        <w:t>Quimioter</w:t>
      </w:r>
      <w:proofErr w:type="spellEnd"/>
      <w:r w:rsidRPr="00067F12">
        <w:rPr>
          <w:rFonts w:ascii="Arial" w:hAnsi="Arial" w:cs="Arial"/>
        </w:rPr>
        <w:t xml:space="preserve">. 2021;34(5):419-428 </w:t>
      </w:r>
      <w:proofErr w:type="spellStart"/>
      <w:r w:rsidRPr="00067F12">
        <w:rPr>
          <w:rFonts w:ascii="Arial" w:hAnsi="Arial" w:cs="Arial"/>
          <w:color w:val="002060"/>
        </w:rPr>
        <w:t>doi</w:t>
      </w:r>
      <w:proofErr w:type="spellEnd"/>
      <w:r w:rsidRPr="00067F12">
        <w:rPr>
          <w:rFonts w:ascii="Arial" w:hAnsi="Arial" w:cs="Arial"/>
          <w:color w:val="002060"/>
        </w:rPr>
        <w:t>: 10.37201/req/071.2021.</w:t>
      </w:r>
    </w:p>
    <w:p w14:paraId="7715EF1A" w14:textId="77777777" w:rsidR="00067F12" w:rsidRPr="00067F12" w:rsidRDefault="00067F12" w:rsidP="00067F12">
      <w:pPr>
        <w:jc w:val="both"/>
        <w:rPr>
          <w:rFonts w:ascii="Arial" w:hAnsi="Arial" w:cs="Arial"/>
          <w:color w:val="002060"/>
        </w:rPr>
      </w:pPr>
      <w:r w:rsidRPr="00067F12">
        <w:rPr>
          <w:rFonts w:ascii="Arial" w:hAnsi="Arial" w:cs="Arial"/>
          <w:b/>
          <w:bCs/>
        </w:rPr>
        <w:t>3.</w:t>
      </w:r>
      <w:r w:rsidRPr="00067F12">
        <w:rPr>
          <w:rFonts w:ascii="Arial" w:hAnsi="Arial" w:cs="Arial"/>
        </w:rPr>
        <w:t xml:space="preserve"> Murray</w:t>
      </w:r>
      <w:r>
        <w:rPr>
          <w:rFonts w:ascii="Arial" w:hAnsi="Arial" w:cs="Arial"/>
        </w:rPr>
        <w:t>,</w:t>
      </w:r>
      <w:r w:rsidRPr="00067F12">
        <w:rPr>
          <w:rFonts w:ascii="Arial" w:hAnsi="Arial" w:cs="Arial"/>
        </w:rPr>
        <w:t xml:space="preserve"> S</w:t>
      </w:r>
      <w:r w:rsidR="00AF49B3">
        <w:rPr>
          <w:rFonts w:ascii="Arial" w:hAnsi="Arial" w:cs="Arial"/>
        </w:rPr>
        <w:t>.</w:t>
      </w:r>
      <w:r w:rsidRPr="00067F12">
        <w:rPr>
          <w:rFonts w:ascii="Arial" w:hAnsi="Arial" w:cs="Arial"/>
        </w:rPr>
        <w:t>M</w:t>
      </w:r>
      <w:r w:rsidR="00AF49B3">
        <w:rPr>
          <w:rFonts w:ascii="Arial" w:hAnsi="Arial" w:cs="Arial"/>
        </w:rPr>
        <w:t>.</w:t>
      </w:r>
      <w:r w:rsidRPr="00067F12">
        <w:rPr>
          <w:rFonts w:ascii="Arial" w:hAnsi="Arial" w:cs="Arial"/>
        </w:rPr>
        <w:t>, Ansari</w:t>
      </w:r>
      <w:r>
        <w:rPr>
          <w:rFonts w:ascii="Arial" w:hAnsi="Arial" w:cs="Arial"/>
        </w:rPr>
        <w:t>,</w:t>
      </w:r>
      <w:r w:rsidRPr="00067F12">
        <w:rPr>
          <w:rFonts w:ascii="Arial" w:hAnsi="Arial" w:cs="Arial"/>
        </w:rPr>
        <w:t xml:space="preserve"> A</w:t>
      </w:r>
      <w:r w:rsidR="00AF49B3">
        <w:rPr>
          <w:rFonts w:ascii="Arial" w:hAnsi="Arial" w:cs="Arial"/>
        </w:rPr>
        <w:t>.</w:t>
      </w:r>
      <w:r w:rsidRPr="00067F12">
        <w:rPr>
          <w:rFonts w:ascii="Arial" w:hAnsi="Arial" w:cs="Arial"/>
        </w:rPr>
        <w:t>M</w:t>
      </w:r>
      <w:r w:rsidR="00AF49B3">
        <w:rPr>
          <w:rFonts w:ascii="Arial" w:hAnsi="Arial" w:cs="Arial"/>
        </w:rPr>
        <w:t>.</w:t>
      </w:r>
      <w:r w:rsidRPr="00067F12">
        <w:rPr>
          <w:rFonts w:ascii="Arial" w:hAnsi="Arial" w:cs="Arial"/>
        </w:rPr>
        <w:t>, Frater</w:t>
      </w:r>
      <w:r>
        <w:rPr>
          <w:rFonts w:ascii="Arial" w:hAnsi="Arial" w:cs="Arial"/>
        </w:rPr>
        <w:t>,</w:t>
      </w:r>
      <w:r w:rsidRPr="00067F12">
        <w:rPr>
          <w:rFonts w:ascii="Arial" w:hAnsi="Arial" w:cs="Arial"/>
        </w:rPr>
        <w:t xml:space="preserve"> J</w:t>
      </w:r>
      <w:r w:rsidR="00AF49B3">
        <w:rPr>
          <w:rFonts w:ascii="Arial" w:hAnsi="Arial" w:cs="Arial"/>
        </w:rPr>
        <w:t>.</w:t>
      </w:r>
      <w:r w:rsidRPr="00067F12">
        <w:rPr>
          <w:rFonts w:ascii="Arial" w:hAnsi="Arial" w:cs="Arial"/>
        </w:rPr>
        <w:t xml:space="preserve">, </w:t>
      </w:r>
      <w:proofErr w:type="spellStart"/>
      <w:r w:rsidRPr="00067F12">
        <w:rPr>
          <w:rFonts w:ascii="Arial" w:hAnsi="Arial" w:cs="Arial"/>
        </w:rPr>
        <w:t>Klenerman</w:t>
      </w:r>
      <w:proofErr w:type="spellEnd"/>
      <w:r>
        <w:rPr>
          <w:rFonts w:ascii="Arial" w:hAnsi="Arial" w:cs="Arial"/>
        </w:rPr>
        <w:t>,</w:t>
      </w:r>
      <w:r w:rsidRPr="00067F12">
        <w:rPr>
          <w:rFonts w:ascii="Arial" w:hAnsi="Arial" w:cs="Arial"/>
        </w:rPr>
        <w:t xml:space="preserve"> P</w:t>
      </w:r>
      <w:r w:rsidR="00AF49B3">
        <w:rPr>
          <w:rFonts w:ascii="Arial" w:hAnsi="Arial" w:cs="Arial"/>
        </w:rPr>
        <w:t>.</w:t>
      </w:r>
      <w:r w:rsidRPr="00067F12">
        <w:rPr>
          <w:rFonts w:ascii="Arial" w:hAnsi="Arial" w:cs="Arial"/>
        </w:rPr>
        <w:t xml:space="preserve">, </w:t>
      </w:r>
      <w:proofErr w:type="spellStart"/>
      <w:r w:rsidRPr="00067F12">
        <w:rPr>
          <w:rFonts w:ascii="Arial" w:hAnsi="Arial" w:cs="Arial"/>
        </w:rPr>
        <w:t>Dunachie</w:t>
      </w:r>
      <w:proofErr w:type="spellEnd"/>
      <w:r>
        <w:rPr>
          <w:rFonts w:ascii="Arial" w:hAnsi="Arial" w:cs="Arial"/>
        </w:rPr>
        <w:t>,</w:t>
      </w:r>
      <w:r w:rsidRPr="00067F12">
        <w:rPr>
          <w:rFonts w:ascii="Arial" w:hAnsi="Arial" w:cs="Arial"/>
        </w:rPr>
        <w:t xml:space="preserve"> S</w:t>
      </w:r>
      <w:r w:rsidR="00AF49B3">
        <w:rPr>
          <w:rFonts w:ascii="Arial" w:hAnsi="Arial" w:cs="Arial"/>
        </w:rPr>
        <w:t>.</w:t>
      </w:r>
      <w:r w:rsidRPr="00067F12">
        <w:rPr>
          <w:rFonts w:ascii="Arial" w:hAnsi="Arial" w:cs="Arial"/>
        </w:rPr>
        <w:t>, Barnes</w:t>
      </w:r>
      <w:r>
        <w:rPr>
          <w:rFonts w:ascii="Arial" w:hAnsi="Arial" w:cs="Arial"/>
        </w:rPr>
        <w:t>,</w:t>
      </w:r>
      <w:r w:rsidRPr="00067F12">
        <w:rPr>
          <w:rFonts w:ascii="Arial" w:hAnsi="Arial" w:cs="Arial"/>
        </w:rPr>
        <w:t xml:space="preserve"> E</w:t>
      </w:r>
      <w:r w:rsidR="00AF49B3">
        <w:rPr>
          <w:rFonts w:ascii="Arial" w:hAnsi="Arial" w:cs="Arial"/>
        </w:rPr>
        <w:t>.</w:t>
      </w:r>
      <w:r w:rsidRPr="00067F12">
        <w:rPr>
          <w:rFonts w:ascii="Arial" w:hAnsi="Arial" w:cs="Arial"/>
        </w:rPr>
        <w:t>, Ogbe</w:t>
      </w:r>
      <w:r>
        <w:rPr>
          <w:rFonts w:ascii="Arial" w:hAnsi="Arial" w:cs="Arial"/>
        </w:rPr>
        <w:t>,</w:t>
      </w:r>
      <w:r w:rsidRPr="00067F12">
        <w:rPr>
          <w:rFonts w:ascii="Arial" w:hAnsi="Arial" w:cs="Arial"/>
        </w:rPr>
        <w:t xml:space="preserve"> A. The impact of pre-existing cross-reactive immunity on SARS-CoV-2 infection and vaccine responses Nat Rev Immunol. 2023;23(5):304-316. </w:t>
      </w:r>
      <w:proofErr w:type="spellStart"/>
      <w:r w:rsidRPr="00067F12">
        <w:rPr>
          <w:rFonts w:ascii="Arial" w:hAnsi="Arial" w:cs="Arial"/>
          <w:color w:val="002060"/>
        </w:rPr>
        <w:t>doi</w:t>
      </w:r>
      <w:proofErr w:type="spellEnd"/>
      <w:r w:rsidRPr="00067F12">
        <w:rPr>
          <w:rFonts w:ascii="Arial" w:hAnsi="Arial" w:cs="Arial"/>
          <w:color w:val="002060"/>
        </w:rPr>
        <w:t>: 10.1038/s41577-022-00809</w:t>
      </w:r>
    </w:p>
    <w:p w14:paraId="1F82B1AE" w14:textId="77777777" w:rsidR="00067F12" w:rsidRPr="00067F12" w:rsidRDefault="00067F12" w:rsidP="00067F12">
      <w:pPr>
        <w:jc w:val="both"/>
        <w:rPr>
          <w:rFonts w:ascii="Arial" w:hAnsi="Arial" w:cs="Arial"/>
        </w:rPr>
      </w:pPr>
      <w:r w:rsidRPr="00067F12">
        <w:rPr>
          <w:rFonts w:ascii="Arial" w:hAnsi="Arial" w:cs="Arial"/>
          <w:b/>
          <w:bCs/>
        </w:rPr>
        <w:t>4.</w:t>
      </w:r>
      <w:r w:rsidRPr="00067F12">
        <w:rPr>
          <w:rFonts w:ascii="Arial" w:hAnsi="Arial" w:cs="Arial"/>
        </w:rPr>
        <w:t xml:space="preserve"> </w:t>
      </w:r>
      <w:proofErr w:type="spellStart"/>
      <w:r w:rsidRPr="00067F12">
        <w:rPr>
          <w:rFonts w:ascii="Arial" w:hAnsi="Arial" w:cs="Arial"/>
        </w:rPr>
        <w:t>Koupaei</w:t>
      </w:r>
      <w:proofErr w:type="spellEnd"/>
      <w:r>
        <w:rPr>
          <w:rFonts w:ascii="Arial" w:hAnsi="Arial" w:cs="Arial"/>
        </w:rPr>
        <w:t>,</w:t>
      </w:r>
      <w:r w:rsidRPr="00067F12">
        <w:rPr>
          <w:rFonts w:ascii="Arial" w:hAnsi="Arial" w:cs="Arial"/>
        </w:rPr>
        <w:t xml:space="preserve"> M</w:t>
      </w:r>
      <w:r w:rsidR="00AF49B3">
        <w:rPr>
          <w:rFonts w:ascii="Arial" w:hAnsi="Arial" w:cs="Arial"/>
        </w:rPr>
        <w:t>.</w:t>
      </w:r>
      <w:r w:rsidRPr="00067F12">
        <w:rPr>
          <w:rFonts w:ascii="Arial" w:hAnsi="Arial" w:cs="Arial"/>
        </w:rPr>
        <w:t>, Mohamadi</w:t>
      </w:r>
      <w:r>
        <w:rPr>
          <w:rFonts w:ascii="Arial" w:hAnsi="Arial" w:cs="Arial"/>
        </w:rPr>
        <w:t>,</w:t>
      </w:r>
      <w:r w:rsidRPr="00067F12">
        <w:rPr>
          <w:rFonts w:ascii="Arial" w:hAnsi="Arial" w:cs="Arial"/>
        </w:rPr>
        <w:t xml:space="preserve"> M</w:t>
      </w:r>
      <w:r w:rsidR="00AF49B3">
        <w:rPr>
          <w:rFonts w:ascii="Arial" w:hAnsi="Arial" w:cs="Arial"/>
        </w:rPr>
        <w:t>.</w:t>
      </w:r>
      <w:r w:rsidRPr="00067F12">
        <w:rPr>
          <w:rFonts w:ascii="Arial" w:hAnsi="Arial" w:cs="Arial"/>
        </w:rPr>
        <w:t>H</w:t>
      </w:r>
      <w:r w:rsidR="00AF49B3">
        <w:rPr>
          <w:rFonts w:ascii="Arial" w:hAnsi="Arial" w:cs="Arial"/>
        </w:rPr>
        <w:t>.</w:t>
      </w:r>
      <w:r w:rsidRPr="00067F12">
        <w:rPr>
          <w:rFonts w:ascii="Arial" w:hAnsi="Arial" w:cs="Arial"/>
        </w:rPr>
        <w:t>, Yashmi</w:t>
      </w:r>
      <w:r>
        <w:rPr>
          <w:rFonts w:ascii="Arial" w:hAnsi="Arial" w:cs="Arial"/>
        </w:rPr>
        <w:t>,</w:t>
      </w:r>
      <w:r w:rsidRPr="00067F12">
        <w:rPr>
          <w:rFonts w:ascii="Arial" w:hAnsi="Arial" w:cs="Arial"/>
        </w:rPr>
        <w:t xml:space="preserve"> I</w:t>
      </w:r>
      <w:r w:rsidR="00AF49B3">
        <w:rPr>
          <w:rFonts w:ascii="Arial" w:hAnsi="Arial" w:cs="Arial"/>
        </w:rPr>
        <w:t>.</w:t>
      </w:r>
      <w:r w:rsidRPr="00067F12">
        <w:rPr>
          <w:rFonts w:ascii="Arial" w:hAnsi="Arial" w:cs="Arial"/>
        </w:rPr>
        <w:t>, Shahabi</w:t>
      </w:r>
      <w:r>
        <w:rPr>
          <w:rFonts w:ascii="Arial" w:hAnsi="Arial" w:cs="Arial"/>
        </w:rPr>
        <w:t>,</w:t>
      </w:r>
      <w:r w:rsidRPr="00067F12">
        <w:rPr>
          <w:rFonts w:ascii="Arial" w:hAnsi="Arial" w:cs="Arial"/>
        </w:rPr>
        <w:t xml:space="preserve"> A</w:t>
      </w:r>
      <w:r w:rsidR="00AF49B3">
        <w:rPr>
          <w:rFonts w:ascii="Arial" w:hAnsi="Arial" w:cs="Arial"/>
        </w:rPr>
        <w:t>.</w:t>
      </w:r>
      <w:r w:rsidRPr="00067F12">
        <w:rPr>
          <w:rFonts w:ascii="Arial" w:hAnsi="Arial" w:cs="Arial"/>
        </w:rPr>
        <w:t>H</w:t>
      </w:r>
      <w:r w:rsidR="00AF49B3">
        <w:rPr>
          <w:rFonts w:ascii="Arial" w:hAnsi="Arial" w:cs="Arial"/>
        </w:rPr>
        <w:t>.</w:t>
      </w:r>
      <w:r w:rsidRPr="00067F12">
        <w:rPr>
          <w:rFonts w:ascii="Arial" w:hAnsi="Arial" w:cs="Arial"/>
        </w:rPr>
        <w:t>, Shabani</w:t>
      </w:r>
      <w:r>
        <w:rPr>
          <w:rFonts w:ascii="Arial" w:hAnsi="Arial" w:cs="Arial"/>
        </w:rPr>
        <w:t>,</w:t>
      </w:r>
      <w:r w:rsidRPr="00067F12">
        <w:rPr>
          <w:rFonts w:ascii="Arial" w:hAnsi="Arial" w:cs="Arial"/>
        </w:rPr>
        <w:t xml:space="preserve"> A</w:t>
      </w:r>
      <w:r w:rsidR="00AF49B3">
        <w:rPr>
          <w:rFonts w:ascii="Arial" w:hAnsi="Arial" w:cs="Arial"/>
        </w:rPr>
        <w:t>.</w:t>
      </w:r>
      <w:r w:rsidRPr="00067F12">
        <w:rPr>
          <w:rFonts w:ascii="Arial" w:hAnsi="Arial" w:cs="Arial"/>
        </w:rPr>
        <w:t>H</w:t>
      </w:r>
      <w:r w:rsidR="00AF49B3">
        <w:rPr>
          <w:rFonts w:ascii="Arial" w:hAnsi="Arial" w:cs="Arial"/>
        </w:rPr>
        <w:t>.</w:t>
      </w:r>
      <w:r w:rsidRPr="00067F12">
        <w:rPr>
          <w:rFonts w:ascii="Arial" w:hAnsi="Arial" w:cs="Arial"/>
        </w:rPr>
        <w:t>, Heidary</w:t>
      </w:r>
      <w:r>
        <w:rPr>
          <w:rFonts w:ascii="Arial" w:hAnsi="Arial" w:cs="Arial"/>
        </w:rPr>
        <w:t>,</w:t>
      </w:r>
      <w:r w:rsidRPr="00067F12">
        <w:rPr>
          <w:rFonts w:ascii="Arial" w:hAnsi="Arial" w:cs="Arial"/>
        </w:rPr>
        <w:t xml:space="preserve"> M</w:t>
      </w:r>
      <w:r w:rsidR="00AF49B3">
        <w:rPr>
          <w:rFonts w:ascii="Arial" w:hAnsi="Arial" w:cs="Arial"/>
        </w:rPr>
        <w:t>.</w:t>
      </w:r>
      <w:r w:rsidRPr="00067F12">
        <w:rPr>
          <w:rFonts w:ascii="Arial" w:hAnsi="Arial" w:cs="Arial"/>
        </w:rPr>
        <w:t xml:space="preserve">, </w:t>
      </w:r>
      <w:proofErr w:type="spellStart"/>
      <w:r w:rsidRPr="00067F12">
        <w:rPr>
          <w:rFonts w:ascii="Arial" w:hAnsi="Arial" w:cs="Arial"/>
        </w:rPr>
        <w:t>Khoshnood</w:t>
      </w:r>
      <w:proofErr w:type="spellEnd"/>
      <w:r>
        <w:rPr>
          <w:rFonts w:ascii="Arial" w:hAnsi="Arial" w:cs="Arial"/>
        </w:rPr>
        <w:t>,</w:t>
      </w:r>
      <w:r w:rsidRPr="00067F12">
        <w:rPr>
          <w:rFonts w:ascii="Arial" w:hAnsi="Arial" w:cs="Arial"/>
        </w:rPr>
        <w:t xml:space="preserve"> S. Clinical manifestations, treatment options, and comorbidities in COVID-19 relapse patients: A systematic review. J Clin Lab Anal. 2022;36(5</w:t>
      </w:r>
      <w:proofErr w:type="gramStart"/>
      <w:r w:rsidRPr="00067F12">
        <w:rPr>
          <w:rFonts w:ascii="Arial" w:hAnsi="Arial" w:cs="Arial"/>
        </w:rPr>
        <w:t>):e</w:t>
      </w:r>
      <w:proofErr w:type="gramEnd"/>
      <w:r w:rsidRPr="00067F12">
        <w:rPr>
          <w:rFonts w:ascii="Arial" w:hAnsi="Arial" w:cs="Arial"/>
        </w:rPr>
        <w:t xml:space="preserve">24402. </w:t>
      </w:r>
      <w:r w:rsidRPr="00067F12">
        <w:rPr>
          <w:rFonts w:ascii="Arial" w:hAnsi="Arial" w:cs="Arial"/>
          <w:color w:val="002060"/>
        </w:rPr>
        <w:t>doi.org/10.1002/jcla.24402</w:t>
      </w:r>
    </w:p>
    <w:p w14:paraId="73E73627" w14:textId="77777777" w:rsidR="00067F12" w:rsidRPr="00067F12" w:rsidRDefault="00067F12" w:rsidP="00067F12">
      <w:pPr>
        <w:jc w:val="both"/>
        <w:rPr>
          <w:rFonts w:ascii="Arial" w:hAnsi="Arial" w:cs="Arial"/>
        </w:rPr>
      </w:pPr>
      <w:r w:rsidRPr="00067F12">
        <w:rPr>
          <w:rFonts w:ascii="Arial" w:hAnsi="Arial" w:cs="Arial"/>
          <w:b/>
          <w:bCs/>
        </w:rPr>
        <w:t>5.</w:t>
      </w:r>
      <w:r w:rsidRPr="00067F12">
        <w:rPr>
          <w:rFonts w:ascii="Arial" w:hAnsi="Arial" w:cs="Arial"/>
        </w:rPr>
        <w:t xml:space="preserve"> Gul</w:t>
      </w:r>
      <w:r>
        <w:rPr>
          <w:rFonts w:ascii="Arial" w:hAnsi="Arial" w:cs="Arial"/>
        </w:rPr>
        <w:t>,</w:t>
      </w:r>
      <w:r w:rsidRPr="00067F12">
        <w:rPr>
          <w:rFonts w:ascii="Arial" w:hAnsi="Arial" w:cs="Arial"/>
        </w:rPr>
        <w:t xml:space="preserve"> S</w:t>
      </w:r>
      <w:r w:rsidR="00AF49B3">
        <w:rPr>
          <w:rFonts w:ascii="Arial" w:hAnsi="Arial" w:cs="Arial"/>
        </w:rPr>
        <w:t>.</w:t>
      </w:r>
      <w:r w:rsidRPr="00067F12">
        <w:rPr>
          <w:rFonts w:ascii="Arial" w:hAnsi="Arial" w:cs="Arial"/>
        </w:rPr>
        <w:t>, Ali</w:t>
      </w:r>
      <w:r>
        <w:rPr>
          <w:rFonts w:ascii="Arial" w:hAnsi="Arial" w:cs="Arial"/>
        </w:rPr>
        <w:t>,</w:t>
      </w:r>
      <w:r w:rsidRPr="00067F12">
        <w:rPr>
          <w:rFonts w:ascii="Arial" w:hAnsi="Arial" w:cs="Arial"/>
        </w:rPr>
        <w:t xml:space="preserve"> A</w:t>
      </w:r>
      <w:r w:rsidR="00AF49B3">
        <w:rPr>
          <w:rFonts w:ascii="Arial" w:hAnsi="Arial" w:cs="Arial"/>
        </w:rPr>
        <w:t>.</w:t>
      </w:r>
      <w:r w:rsidRPr="00067F12">
        <w:rPr>
          <w:rFonts w:ascii="Arial" w:hAnsi="Arial" w:cs="Arial"/>
        </w:rPr>
        <w:t>, Sheikh</w:t>
      </w:r>
      <w:r>
        <w:rPr>
          <w:rFonts w:ascii="Arial" w:hAnsi="Arial" w:cs="Arial"/>
        </w:rPr>
        <w:t>,</w:t>
      </w:r>
      <w:r w:rsidRPr="00067F12">
        <w:rPr>
          <w:rFonts w:ascii="Arial" w:hAnsi="Arial" w:cs="Arial"/>
        </w:rPr>
        <w:t xml:space="preserve"> N</w:t>
      </w:r>
      <w:r w:rsidR="00AF49B3">
        <w:rPr>
          <w:rFonts w:ascii="Arial" w:hAnsi="Arial" w:cs="Arial"/>
        </w:rPr>
        <w:t>.</w:t>
      </w:r>
      <w:r w:rsidRPr="00067F12">
        <w:rPr>
          <w:rFonts w:ascii="Arial" w:hAnsi="Arial" w:cs="Arial"/>
        </w:rPr>
        <w:t>A</w:t>
      </w:r>
      <w:r w:rsidR="00AF49B3">
        <w:rPr>
          <w:rFonts w:ascii="Arial" w:hAnsi="Arial" w:cs="Arial"/>
        </w:rPr>
        <w:t>.</w:t>
      </w:r>
      <w:r w:rsidRPr="00067F12">
        <w:rPr>
          <w:rFonts w:ascii="Arial" w:hAnsi="Arial" w:cs="Arial"/>
        </w:rPr>
        <w:t>, Gul</w:t>
      </w:r>
      <w:r>
        <w:rPr>
          <w:rFonts w:ascii="Arial" w:hAnsi="Arial" w:cs="Arial"/>
        </w:rPr>
        <w:t>,</w:t>
      </w:r>
      <w:r w:rsidRPr="00067F12">
        <w:rPr>
          <w:rFonts w:ascii="Arial" w:hAnsi="Arial" w:cs="Arial"/>
        </w:rPr>
        <w:t xml:space="preserve"> I</w:t>
      </w:r>
      <w:r w:rsidR="00AF49B3">
        <w:rPr>
          <w:rFonts w:ascii="Arial" w:hAnsi="Arial" w:cs="Arial"/>
        </w:rPr>
        <w:t>.</w:t>
      </w:r>
      <w:r w:rsidRPr="00067F12">
        <w:rPr>
          <w:rFonts w:ascii="Arial" w:hAnsi="Arial" w:cs="Arial"/>
        </w:rPr>
        <w:t>, Sheikh</w:t>
      </w:r>
      <w:r>
        <w:rPr>
          <w:rFonts w:ascii="Arial" w:hAnsi="Arial" w:cs="Arial"/>
        </w:rPr>
        <w:t>,</w:t>
      </w:r>
      <w:r w:rsidRPr="00067F12">
        <w:rPr>
          <w:rFonts w:ascii="Arial" w:hAnsi="Arial" w:cs="Arial"/>
        </w:rPr>
        <w:t xml:space="preserve"> T</w:t>
      </w:r>
      <w:r w:rsidR="00AF49B3">
        <w:rPr>
          <w:rFonts w:ascii="Arial" w:hAnsi="Arial" w:cs="Arial"/>
        </w:rPr>
        <w:t>.</w:t>
      </w:r>
      <w:r w:rsidRPr="00067F12">
        <w:rPr>
          <w:rFonts w:ascii="Arial" w:hAnsi="Arial" w:cs="Arial"/>
        </w:rPr>
        <w:t>S</w:t>
      </w:r>
      <w:r w:rsidR="00AF49B3">
        <w:rPr>
          <w:rFonts w:ascii="Arial" w:hAnsi="Arial" w:cs="Arial"/>
        </w:rPr>
        <w:t>.</w:t>
      </w:r>
      <w:r w:rsidRPr="00067F12">
        <w:rPr>
          <w:rFonts w:ascii="Arial" w:hAnsi="Arial" w:cs="Arial"/>
        </w:rPr>
        <w:t>, Prajjwal</w:t>
      </w:r>
      <w:r>
        <w:rPr>
          <w:rFonts w:ascii="Arial" w:hAnsi="Arial" w:cs="Arial"/>
        </w:rPr>
        <w:t>,</w:t>
      </w:r>
      <w:r w:rsidRPr="00067F12">
        <w:rPr>
          <w:rFonts w:ascii="Arial" w:hAnsi="Arial" w:cs="Arial"/>
        </w:rPr>
        <w:t xml:space="preserve"> P. Comparative assessment of SARS CoV2-associated mortalities in 3 COVID waves and related risk factors: The South Kashmir’s experience. J Family Med Prim Care </w:t>
      </w:r>
      <w:proofErr w:type="gramStart"/>
      <w:r w:rsidRPr="00067F12">
        <w:rPr>
          <w:rFonts w:ascii="Arial" w:hAnsi="Arial" w:cs="Arial"/>
        </w:rPr>
        <w:t>2023;12:1430</w:t>
      </w:r>
      <w:proofErr w:type="gramEnd"/>
      <w:r w:rsidRPr="00067F12">
        <w:rPr>
          <w:rFonts w:ascii="Arial" w:hAnsi="Arial" w:cs="Arial"/>
        </w:rPr>
        <w:t xml:space="preserve">-4. </w:t>
      </w:r>
      <w:proofErr w:type="spellStart"/>
      <w:r w:rsidRPr="00067F12">
        <w:rPr>
          <w:rFonts w:ascii="Arial" w:hAnsi="Arial" w:cs="Arial"/>
          <w:color w:val="002060"/>
        </w:rPr>
        <w:t>doi</w:t>
      </w:r>
      <w:proofErr w:type="spellEnd"/>
      <w:r w:rsidRPr="00067F12">
        <w:rPr>
          <w:rFonts w:ascii="Arial" w:hAnsi="Arial" w:cs="Arial"/>
          <w:color w:val="002060"/>
        </w:rPr>
        <w:t>: 10.4103/jfmpc.jfmpc_2318_22</w:t>
      </w:r>
    </w:p>
    <w:p w14:paraId="08155D20" w14:textId="77777777" w:rsidR="00067F12" w:rsidRPr="00067F12" w:rsidRDefault="00067F12" w:rsidP="00067F12">
      <w:pPr>
        <w:jc w:val="both"/>
        <w:rPr>
          <w:rFonts w:ascii="Arial" w:hAnsi="Arial" w:cs="Arial"/>
          <w:color w:val="002060"/>
        </w:rPr>
      </w:pPr>
      <w:r w:rsidRPr="00AF49B3">
        <w:rPr>
          <w:rFonts w:ascii="Arial" w:hAnsi="Arial" w:cs="Arial"/>
          <w:b/>
          <w:bCs/>
        </w:rPr>
        <w:t>6.</w:t>
      </w:r>
      <w:r w:rsidRPr="00AF49B3">
        <w:rPr>
          <w:rFonts w:ascii="Arial" w:hAnsi="Arial" w:cs="Arial"/>
        </w:rPr>
        <w:t xml:space="preserve"> Espinosa, O</w:t>
      </w:r>
      <w:r w:rsidR="00AF49B3" w:rsidRPr="00AF49B3">
        <w:rPr>
          <w:rFonts w:ascii="Arial" w:hAnsi="Arial" w:cs="Arial"/>
        </w:rPr>
        <w:t>.</w:t>
      </w:r>
      <w:r w:rsidRPr="00AF49B3">
        <w:rPr>
          <w:rFonts w:ascii="Arial" w:hAnsi="Arial" w:cs="Arial"/>
        </w:rPr>
        <w:t>A</w:t>
      </w:r>
      <w:r w:rsidR="00AF49B3" w:rsidRPr="00AF49B3">
        <w:rPr>
          <w:rFonts w:ascii="Arial" w:hAnsi="Arial" w:cs="Arial"/>
        </w:rPr>
        <w:t>.</w:t>
      </w:r>
      <w:r w:rsidRPr="00AF49B3">
        <w:rPr>
          <w:rFonts w:ascii="Arial" w:hAnsi="Arial" w:cs="Arial"/>
        </w:rPr>
        <w:t>, Zanetti, A</w:t>
      </w:r>
      <w:r w:rsidR="00AF49B3" w:rsidRPr="00AF49B3">
        <w:rPr>
          <w:rFonts w:ascii="Arial" w:hAnsi="Arial" w:cs="Arial"/>
        </w:rPr>
        <w:t>.</w:t>
      </w:r>
      <w:r w:rsidRPr="00AF49B3">
        <w:rPr>
          <w:rFonts w:ascii="Arial" w:hAnsi="Arial" w:cs="Arial"/>
        </w:rPr>
        <w:t>D</w:t>
      </w:r>
      <w:r w:rsidR="00AF49B3" w:rsidRPr="00AF49B3">
        <w:rPr>
          <w:rFonts w:ascii="Arial" w:hAnsi="Arial" w:cs="Arial"/>
        </w:rPr>
        <w:t>.</w:t>
      </w:r>
      <w:r w:rsidRPr="00AF49B3">
        <w:rPr>
          <w:rFonts w:ascii="Arial" w:hAnsi="Arial" w:cs="Arial"/>
        </w:rPr>
        <w:t>S</w:t>
      </w:r>
      <w:r w:rsidR="00AF49B3" w:rsidRPr="00AF49B3">
        <w:rPr>
          <w:rFonts w:ascii="Arial" w:hAnsi="Arial" w:cs="Arial"/>
        </w:rPr>
        <w:t>.</w:t>
      </w:r>
      <w:r w:rsidRPr="00AF49B3">
        <w:rPr>
          <w:rFonts w:ascii="Arial" w:hAnsi="Arial" w:cs="Arial"/>
        </w:rPr>
        <w:t>, Antunes, E</w:t>
      </w:r>
      <w:r w:rsidR="00AF49B3" w:rsidRPr="00AF49B3">
        <w:rPr>
          <w:rFonts w:ascii="Arial" w:hAnsi="Arial" w:cs="Arial"/>
        </w:rPr>
        <w:t>.</w:t>
      </w:r>
      <w:r w:rsidRPr="00AF49B3">
        <w:rPr>
          <w:rFonts w:ascii="Arial" w:hAnsi="Arial" w:cs="Arial"/>
        </w:rPr>
        <w:t>F</w:t>
      </w:r>
      <w:r w:rsidR="00AF49B3" w:rsidRPr="00AF49B3">
        <w:rPr>
          <w:rFonts w:ascii="Arial" w:hAnsi="Arial" w:cs="Arial"/>
        </w:rPr>
        <w:t>.</w:t>
      </w:r>
      <w:r w:rsidRPr="00AF49B3">
        <w:rPr>
          <w:rFonts w:ascii="Arial" w:hAnsi="Arial" w:cs="Arial"/>
        </w:rPr>
        <w:t>, Longhi, F</w:t>
      </w:r>
      <w:r w:rsidR="00AF49B3" w:rsidRPr="00AF49B3">
        <w:rPr>
          <w:rFonts w:ascii="Arial" w:hAnsi="Arial" w:cs="Arial"/>
        </w:rPr>
        <w:t>.</w:t>
      </w:r>
      <w:r w:rsidRPr="00AF49B3">
        <w:rPr>
          <w:rFonts w:ascii="Arial" w:hAnsi="Arial" w:cs="Arial"/>
        </w:rPr>
        <w:t>G</w:t>
      </w:r>
      <w:r w:rsidR="00AF49B3" w:rsidRPr="00AF49B3">
        <w:rPr>
          <w:rFonts w:ascii="Arial" w:hAnsi="Arial" w:cs="Arial"/>
        </w:rPr>
        <w:t>.</w:t>
      </w:r>
      <w:r w:rsidRPr="00AF49B3">
        <w:rPr>
          <w:rFonts w:ascii="Arial" w:hAnsi="Arial" w:cs="Arial"/>
        </w:rPr>
        <w:t>, Matos, T</w:t>
      </w:r>
      <w:r w:rsidR="00AF49B3" w:rsidRPr="00AF49B3">
        <w:rPr>
          <w:rFonts w:ascii="Arial" w:hAnsi="Arial" w:cs="Arial"/>
        </w:rPr>
        <w:t>.</w:t>
      </w:r>
      <w:r w:rsidRPr="00AF49B3">
        <w:rPr>
          <w:rFonts w:ascii="Arial" w:hAnsi="Arial" w:cs="Arial"/>
        </w:rPr>
        <w:t>A</w:t>
      </w:r>
      <w:r w:rsidR="00AF49B3">
        <w:rPr>
          <w:rFonts w:ascii="Arial" w:hAnsi="Arial" w:cs="Arial"/>
        </w:rPr>
        <w:t>.</w:t>
      </w:r>
      <w:r w:rsidRPr="00AF49B3">
        <w:rPr>
          <w:rFonts w:ascii="Arial" w:hAnsi="Arial" w:cs="Arial"/>
        </w:rPr>
        <w:t>, Battaglini, P</w:t>
      </w:r>
      <w:r w:rsidR="00AF49B3">
        <w:rPr>
          <w:rFonts w:ascii="Arial" w:hAnsi="Arial" w:cs="Arial"/>
        </w:rPr>
        <w:t>.</w:t>
      </w:r>
      <w:r w:rsidRPr="00AF49B3">
        <w:rPr>
          <w:rFonts w:ascii="Arial" w:hAnsi="Arial" w:cs="Arial"/>
        </w:rPr>
        <w:t xml:space="preserve">F. </w:t>
      </w:r>
      <w:r w:rsidRPr="00067F12">
        <w:rPr>
          <w:rFonts w:ascii="Arial" w:hAnsi="Arial" w:cs="Arial"/>
        </w:rPr>
        <w:t>Prevalence of comorbidities in patients and mortality cases affected by SARS-CoV2: a systematic review and meta-analysis. Rev Inst Med Trop Sao Paulo. 2020,22;</w:t>
      </w:r>
      <w:proofErr w:type="gramStart"/>
      <w:r w:rsidRPr="00067F12">
        <w:rPr>
          <w:rFonts w:ascii="Arial" w:hAnsi="Arial" w:cs="Arial"/>
        </w:rPr>
        <w:t>62:e</w:t>
      </w:r>
      <w:proofErr w:type="gramEnd"/>
      <w:r w:rsidRPr="00067F12">
        <w:rPr>
          <w:rFonts w:ascii="Arial" w:hAnsi="Arial" w:cs="Arial"/>
        </w:rPr>
        <w:t xml:space="preserve">43. </w:t>
      </w:r>
      <w:proofErr w:type="spellStart"/>
      <w:r w:rsidRPr="00067F12">
        <w:rPr>
          <w:rFonts w:ascii="Arial" w:hAnsi="Arial" w:cs="Arial"/>
          <w:color w:val="002060"/>
        </w:rPr>
        <w:t>doi</w:t>
      </w:r>
      <w:proofErr w:type="spellEnd"/>
      <w:r w:rsidRPr="00067F12">
        <w:rPr>
          <w:rFonts w:ascii="Arial" w:hAnsi="Arial" w:cs="Arial"/>
          <w:color w:val="002060"/>
        </w:rPr>
        <w:t xml:space="preserve">: 10.1590/S1678-9946202062043. </w:t>
      </w:r>
    </w:p>
    <w:p w14:paraId="36A237EB" w14:textId="77777777" w:rsidR="00067F12" w:rsidRPr="00067F12" w:rsidRDefault="00067F12" w:rsidP="00067F12">
      <w:pPr>
        <w:jc w:val="both"/>
        <w:rPr>
          <w:rFonts w:ascii="Arial" w:hAnsi="Arial" w:cs="Arial"/>
          <w:color w:val="002060"/>
        </w:rPr>
      </w:pPr>
      <w:r w:rsidRPr="00067F12">
        <w:rPr>
          <w:rFonts w:ascii="Arial" w:hAnsi="Arial" w:cs="Arial"/>
          <w:b/>
          <w:bCs/>
        </w:rPr>
        <w:t>7.</w:t>
      </w:r>
      <w:r w:rsidRPr="00067F12">
        <w:rPr>
          <w:rFonts w:ascii="Arial" w:hAnsi="Arial" w:cs="Arial"/>
        </w:rPr>
        <w:t xml:space="preserve"> Dessie</w:t>
      </w:r>
      <w:r>
        <w:rPr>
          <w:rFonts w:ascii="Arial" w:hAnsi="Arial" w:cs="Arial"/>
        </w:rPr>
        <w:t>,</w:t>
      </w:r>
      <w:r w:rsidRPr="00067F12">
        <w:rPr>
          <w:rFonts w:ascii="Arial" w:hAnsi="Arial" w:cs="Arial"/>
        </w:rPr>
        <w:t xml:space="preserve"> Z</w:t>
      </w:r>
      <w:r w:rsidR="00AF49B3">
        <w:rPr>
          <w:rFonts w:ascii="Arial" w:hAnsi="Arial" w:cs="Arial"/>
        </w:rPr>
        <w:t>.</w:t>
      </w:r>
      <w:r w:rsidRPr="00067F12">
        <w:rPr>
          <w:rFonts w:ascii="Arial" w:hAnsi="Arial" w:cs="Arial"/>
        </w:rPr>
        <w:t>G</w:t>
      </w:r>
      <w:r w:rsidR="00AF49B3">
        <w:rPr>
          <w:rFonts w:ascii="Arial" w:hAnsi="Arial" w:cs="Arial"/>
        </w:rPr>
        <w:t>.</w:t>
      </w:r>
      <w:r w:rsidRPr="00067F12">
        <w:rPr>
          <w:rFonts w:ascii="Arial" w:hAnsi="Arial" w:cs="Arial"/>
        </w:rPr>
        <w:t xml:space="preserve">, </w:t>
      </w:r>
      <w:proofErr w:type="spellStart"/>
      <w:r w:rsidRPr="00067F12">
        <w:rPr>
          <w:rFonts w:ascii="Arial" w:hAnsi="Arial" w:cs="Arial"/>
        </w:rPr>
        <w:t>Zewotir</w:t>
      </w:r>
      <w:proofErr w:type="spellEnd"/>
      <w:r>
        <w:rPr>
          <w:rFonts w:ascii="Arial" w:hAnsi="Arial" w:cs="Arial"/>
        </w:rPr>
        <w:t>,</w:t>
      </w:r>
      <w:r w:rsidRPr="00067F12">
        <w:rPr>
          <w:rFonts w:ascii="Arial" w:hAnsi="Arial" w:cs="Arial"/>
        </w:rPr>
        <w:t xml:space="preserve"> T. Mortality</w:t>
      </w:r>
      <w:r w:rsidRPr="00067F12">
        <w:rPr>
          <w:rFonts w:ascii="Cambria Math" w:hAnsi="Cambria Math" w:cs="Cambria Math"/>
        </w:rPr>
        <w:t>‑</w:t>
      </w:r>
      <w:r w:rsidRPr="00067F12">
        <w:rPr>
          <w:rFonts w:ascii="Arial" w:hAnsi="Arial" w:cs="Arial"/>
        </w:rPr>
        <w:t>related risk factors of COVID</w:t>
      </w:r>
      <w:r w:rsidRPr="00067F12">
        <w:rPr>
          <w:rFonts w:ascii="Cambria Math" w:hAnsi="Cambria Math" w:cs="Cambria Math"/>
        </w:rPr>
        <w:t>‑</w:t>
      </w:r>
      <w:r w:rsidRPr="00067F12">
        <w:rPr>
          <w:rFonts w:ascii="Arial" w:hAnsi="Arial" w:cs="Arial"/>
        </w:rPr>
        <w:t>19: A systematic review and meta</w:t>
      </w:r>
      <w:r w:rsidRPr="00067F12">
        <w:rPr>
          <w:rFonts w:ascii="Cambria Math" w:hAnsi="Cambria Math" w:cs="Cambria Math"/>
        </w:rPr>
        <w:t>‑</w:t>
      </w:r>
      <w:r w:rsidRPr="00067F12">
        <w:rPr>
          <w:rFonts w:ascii="Arial" w:hAnsi="Arial" w:cs="Arial"/>
        </w:rPr>
        <w:t xml:space="preserve">analysis of 42 studies and 423,117 patients. BMC Infect Dis </w:t>
      </w:r>
      <w:proofErr w:type="gramStart"/>
      <w:r w:rsidRPr="00067F12">
        <w:rPr>
          <w:rFonts w:ascii="Arial" w:hAnsi="Arial" w:cs="Arial"/>
        </w:rPr>
        <w:t>2021;21:855</w:t>
      </w:r>
      <w:proofErr w:type="gramEnd"/>
      <w:r w:rsidRPr="00067F12">
        <w:rPr>
          <w:rFonts w:ascii="Arial" w:hAnsi="Arial" w:cs="Arial"/>
        </w:rPr>
        <w:t xml:space="preserve">. </w:t>
      </w:r>
      <w:proofErr w:type="spellStart"/>
      <w:r w:rsidRPr="00067F12">
        <w:rPr>
          <w:rFonts w:ascii="Arial" w:hAnsi="Arial" w:cs="Arial"/>
          <w:color w:val="002060"/>
        </w:rPr>
        <w:t>doi</w:t>
      </w:r>
      <w:proofErr w:type="spellEnd"/>
      <w:r w:rsidRPr="00067F12">
        <w:rPr>
          <w:rFonts w:ascii="Arial" w:hAnsi="Arial" w:cs="Arial"/>
          <w:color w:val="002060"/>
        </w:rPr>
        <w:t>: 10.1186/s12879-021-06536-3</w:t>
      </w:r>
    </w:p>
    <w:p w14:paraId="0847FB0E" w14:textId="77777777" w:rsidR="00067F12" w:rsidRPr="00067F12" w:rsidRDefault="00067F12" w:rsidP="00067F12">
      <w:pPr>
        <w:jc w:val="both"/>
        <w:rPr>
          <w:rFonts w:ascii="Arial" w:hAnsi="Arial" w:cs="Arial"/>
        </w:rPr>
      </w:pPr>
      <w:r w:rsidRPr="00067F12">
        <w:rPr>
          <w:rFonts w:ascii="Arial" w:hAnsi="Arial" w:cs="Arial"/>
          <w:b/>
          <w:bCs/>
        </w:rPr>
        <w:t>8.</w:t>
      </w:r>
      <w:r w:rsidRPr="00067F12">
        <w:rPr>
          <w:rFonts w:ascii="Arial" w:hAnsi="Arial" w:cs="Arial"/>
        </w:rPr>
        <w:t xml:space="preserve"> Wong</w:t>
      </w:r>
      <w:r>
        <w:rPr>
          <w:rFonts w:ascii="Arial" w:hAnsi="Arial" w:cs="Arial"/>
        </w:rPr>
        <w:t>,</w:t>
      </w:r>
      <w:r w:rsidRPr="00067F12">
        <w:rPr>
          <w:rFonts w:ascii="Arial" w:hAnsi="Arial" w:cs="Arial"/>
        </w:rPr>
        <w:t xml:space="preserve"> E</w:t>
      </w:r>
      <w:r w:rsidR="00AF49B3">
        <w:rPr>
          <w:rFonts w:ascii="Arial" w:hAnsi="Arial" w:cs="Arial"/>
        </w:rPr>
        <w:t>.</w:t>
      </w:r>
      <w:r w:rsidRPr="00067F12">
        <w:rPr>
          <w:rFonts w:ascii="Arial" w:hAnsi="Arial" w:cs="Arial"/>
        </w:rPr>
        <w:t>K</w:t>
      </w:r>
      <w:r w:rsidR="00AF49B3">
        <w:rPr>
          <w:rFonts w:ascii="Arial" w:hAnsi="Arial" w:cs="Arial"/>
        </w:rPr>
        <w:t>.</w:t>
      </w:r>
      <w:r w:rsidRPr="00067F12">
        <w:rPr>
          <w:rFonts w:ascii="Arial" w:hAnsi="Arial" w:cs="Arial"/>
        </w:rPr>
        <w:t>C</w:t>
      </w:r>
      <w:r w:rsidR="00AF49B3">
        <w:rPr>
          <w:rFonts w:ascii="Arial" w:hAnsi="Arial" w:cs="Arial"/>
        </w:rPr>
        <w:t>.</w:t>
      </w:r>
      <w:r w:rsidRPr="00067F12">
        <w:rPr>
          <w:rFonts w:ascii="Arial" w:hAnsi="Arial" w:cs="Arial"/>
        </w:rPr>
        <w:t>, Watt</w:t>
      </w:r>
      <w:r>
        <w:rPr>
          <w:rFonts w:ascii="Arial" w:hAnsi="Arial" w:cs="Arial"/>
        </w:rPr>
        <w:t>,</w:t>
      </w:r>
      <w:r w:rsidRPr="00067F12">
        <w:rPr>
          <w:rFonts w:ascii="Arial" w:hAnsi="Arial" w:cs="Arial"/>
        </w:rPr>
        <w:t xml:space="preserve"> J</w:t>
      </w:r>
      <w:r w:rsidR="00AF49B3">
        <w:rPr>
          <w:rFonts w:ascii="Arial" w:hAnsi="Arial" w:cs="Arial"/>
        </w:rPr>
        <w:t>.</w:t>
      </w:r>
      <w:r w:rsidRPr="00067F12">
        <w:rPr>
          <w:rFonts w:ascii="Arial" w:hAnsi="Arial" w:cs="Arial"/>
        </w:rPr>
        <w:t>, Zou</w:t>
      </w:r>
      <w:r>
        <w:rPr>
          <w:rFonts w:ascii="Arial" w:hAnsi="Arial" w:cs="Arial"/>
        </w:rPr>
        <w:t>,</w:t>
      </w:r>
      <w:r w:rsidRPr="00067F12">
        <w:rPr>
          <w:rFonts w:ascii="Arial" w:hAnsi="Arial" w:cs="Arial"/>
        </w:rPr>
        <w:t xml:space="preserve"> H</w:t>
      </w:r>
      <w:r w:rsidR="00AF49B3">
        <w:rPr>
          <w:rFonts w:ascii="Arial" w:hAnsi="Arial" w:cs="Arial"/>
        </w:rPr>
        <w:t>.</w:t>
      </w:r>
      <w:r w:rsidRPr="00067F12">
        <w:rPr>
          <w:rFonts w:ascii="Arial" w:hAnsi="Arial" w:cs="Arial"/>
        </w:rPr>
        <w:t>, Chandraraj</w:t>
      </w:r>
      <w:r>
        <w:rPr>
          <w:rFonts w:ascii="Arial" w:hAnsi="Arial" w:cs="Arial"/>
        </w:rPr>
        <w:t>,</w:t>
      </w:r>
      <w:r w:rsidRPr="00067F12">
        <w:rPr>
          <w:rFonts w:ascii="Arial" w:hAnsi="Arial" w:cs="Arial"/>
        </w:rPr>
        <w:t xml:space="preserve"> A</w:t>
      </w:r>
      <w:r w:rsidR="00AF49B3">
        <w:rPr>
          <w:rFonts w:ascii="Arial" w:hAnsi="Arial" w:cs="Arial"/>
        </w:rPr>
        <w:t>.</w:t>
      </w:r>
      <w:r w:rsidRPr="00067F12">
        <w:rPr>
          <w:rFonts w:ascii="Arial" w:hAnsi="Arial" w:cs="Arial"/>
        </w:rPr>
        <w:t>, Zhang</w:t>
      </w:r>
      <w:r>
        <w:rPr>
          <w:rFonts w:ascii="Arial" w:hAnsi="Arial" w:cs="Arial"/>
        </w:rPr>
        <w:t>,</w:t>
      </w:r>
      <w:r w:rsidRPr="00067F12">
        <w:rPr>
          <w:rFonts w:ascii="Arial" w:hAnsi="Arial" w:cs="Arial"/>
        </w:rPr>
        <w:t xml:space="preserve"> A</w:t>
      </w:r>
      <w:r w:rsidR="00AF49B3">
        <w:rPr>
          <w:rFonts w:ascii="Arial" w:hAnsi="Arial" w:cs="Arial"/>
        </w:rPr>
        <w:t>.</w:t>
      </w:r>
      <w:r w:rsidRPr="00067F12">
        <w:rPr>
          <w:rFonts w:ascii="Arial" w:hAnsi="Arial" w:cs="Arial"/>
        </w:rPr>
        <w:t>W</w:t>
      </w:r>
      <w:r w:rsidR="00AF49B3">
        <w:rPr>
          <w:rFonts w:ascii="Arial" w:hAnsi="Arial" w:cs="Arial"/>
        </w:rPr>
        <w:t>.</w:t>
      </w:r>
      <w:r w:rsidRPr="00067F12">
        <w:rPr>
          <w:rFonts w:ascii="Arial" w:hAnsi="Arial" w:cs="Arial"/>
        </w:rPr>
        <w:t>, Norman</w:t>
      </w:r>
      <w:r>
        <w:rPr>
          <w:rFonts w:ascii="Arial" w:hAnsi="Arial" w:cs="Arial"/>
        </w:rPr>
        <w:t>,</w:t>
      </w:r>
      <w:r w:rsidRPr="00067F12">
        <w:rPr>
          <w:rFonts w:ascii="Arial" w:hAnsi="Arial" w:cs="Arial"/>
        </w:rPr>
        <w:t xml:space="preserve"> R</w:t>
      </w:r>
      <w:r w:rsidR="00AF49B3">
        <w:rPr>
          <w:rFonts w:ascii="Arial" w:hAnsi="Arial" w:cs="Arial"/>
        </w:rPr>
        <w:t>.</w:t>
      </w:r>
      <w:r w:rsidRPr="00067F12">
        <w:rPr>
          <w:rFonts w:ascii="Arial" w:hAnsi="Arial" w:cs="Arial"/>
        </w:rPr>
        <w:t xml:space="preserve"> and al. Mortality in hospitalized older adults with COVID</w:t>
      </w:r>
      <w:r w:rsidRPr="00067F12">
        <w:rPr>
          <w:rFonts w:ascii="Cambria Math" w:hAnsi="Cambria Math" w:cs="Cambria Math"/>
        </w:rPr>
        <w:t>‑</w:t>
      </w:r>
      <w:r w:rsidRPr="00067F12">
        <w:rPr>
          <w:rFonts w:ascii="Arial" w:hAnsi="Arial" w:cs="Arial"/>
        </w:rPr>
        <w:t>19 during three waves: A multicenter retrospective cohort study. Health Sci Rep 2022;</w:t>
      </w:r>
      <w:proofErr w:type="gramStart"/>
      <w:r w:rsidRPr="00067F12">
        <w:rPr>
          <w:rFonts w:ascii="Arial" w:hAnsi="Arial" w:cs="Arial"/>
        </w:rPr>
        <w:t>5:e</w:t>
      </w:r>
      <w:proofErr w:type="gramEnd"/>
      <w:r w:rsidRPr="00067F12">
        <w:rPr>
          <w:rFonts w:ascii="Arial" w:hAnsi="Arial" w:cs="Arial"/>
        </w:rPr>
        <w:t xml:space="preserve">603. </w:t>
      </w:r>
      <w:proofErr w:type="spellStart"/>
      <w:r w:rsidRPr="00067F12">
        <w:rPr>
          <w:rFonts w:ascii="Arial" w:hAnsi="Arial" w:cs="Arial"/>
          <w:color w:val="002060"/>
        </w:rPr>
        <w:t>doi</w:t>
      </w:r>
      <w:proofErr w:type="spellEnd"/>
      <w:r w:rsidRPr="00067F12">
        <w:rPr>
          <w:rFonts w:ascii="Arial" w:hAnsi="Arial" w:cs="Arial"/>
          <w:color w:val="002060"/>
        </w:rPr>
        <w:t>: 10.1002/hsr2.603</w:t>
      </w:r>
    </w:p>
    <w:p w14:paraId="4C7702E7" w14:textId="77777777" w:rsidR="00067F12" w:rsidRPr="00067F12" w:rsidRDefault="00067F12" w:rsidP="00067F12">
      <w:pPr>
        <w:jc w:val="both"/>
        <w:rPr>
          <w:rFonts w:ascii="Arial" w:hAnsi="Arial" w:cs="Arial"/>
        </w:rPr>
      </w:pPr>
      <w:r w:rsidRPr="00067F12">
        <w:rPr>
          <w:rFonts w:ascii="Arial" w:hAnsi="Arial" w:cs="Arial"/>
          <w:b/>
          <w:bCs/>
          <w:lang w:val="fr-FR"/>
        </w:rPr>
        <w:t>9.</w:t>
      </w:r>
      <w:r w:rsidRPr="00067F12">
        <w:rPr>
          <w:rFonts w:ascii="Arial" w:hAnsi="Arial" w:cs="Arial"/>
          <w:lang w:val="fr-FR"/>
        </w:rPr>
        <w:t xml:space="preserve"> Zhou, F</w:t>
      </w:r>
      <w:r w:rsidR="00AF49B3">
        <w:rPr>
          <w:rFonts w:ascii="Arial" w:hAnsi="Arial" w:cs="Arial"/>
          <w:lang w:val="fr-FR"/>
        </w:rPr>
        <w:t>.</w:t>
      </w:r>
      <w:r w:rsidRPr="00067F12">
        <w:rPr>
          <w:rFonts w:ascii="Arial" w:hAnsi="Arial" w:cs="Arial"/>
          <w:lang w:val="fr-FR"/>
        </w:rPr>
        <w:t>, Yu, T</w:t>
      </w:r>
      <w:r w:rsidR="00AF49B3">
        <w:rPr>
          <w:rFonts w:ascii="Arial" w:hAnsi="Arial" w:cs="Arial"/>
          <w:lang w:val="fr-FR"/>
        </w:rPr>
        <w:t>.</w:t>
      </w:r>
      <w:r w:rsidRPr="00067F12">
        <w:rPr>
          <w:rFonts w:ascii="Arial" w:hAnsi="Arial" w:cs="Arial"/>
          <w:lang w:val="fr-FR"/>
        </w:rPr>
        <w:t>, Du, R</w:t>
      </w:r>
      <w:r w:rsidR="00AF49B3">
        <w:rPr>
          <w:rFonts w:ascii="Arial" w:hAnsi="Arial" w:cs="Arial"/>
          <w:lang w:val="fr-FR"/>
        </w:rPr>
        <w:t>.</w:t>
      </w:r>
      <w:r w:rsidRPr="00067F12">
        <w:rPr>
          <w:rFonts w:ascii="Arial" w:hAnsi="Arial" w:cs="Arial"/>
          <w:lang w:val="fr-FR"/>
        </w:rPr>
        <w:t>, Fan, G</w:t>
      </w:r>
      <w:r w:rsidR="00AF49B3">
        <w:rPr>
          <w:rFonts w:ascii="Arial" w:hAnsi="Arial" w:cs="Arial"/>
          <w:lang w:val="fr-FR"/>
        </w:rPr>
        <w:t>.</w:t>
      </w:r>
      <w:r w:rsidRPr="00067F12">
        <w:rPr>
          <w:rFonts w:ascii="Arial" w:hAnsi="Arial" w:cs="Arial"/>
          <w:lang w:val="fr-FR"/>
        </w:rPr>
        <w:t>, Liu, Y</w:t>
      </w:r>
      <w:r w:rsidR="00AF49B3">
        <w:rPr>
          <w:rFonts w:ascii="Arial" w:hAnsi="Arial" w:cs="Arial"/>
          <w:lang w:val="fr-FR"/>
        </w:rPr>
        <w:t>.</w:t>
      </w:r>
      <w:r w:rsidRPr="00067F12">
        <w:rPr>
          <w:rFonts w:ascii="Arial" w:hAnsi="Arial" w:cs="Arial"/>
          <w:lang w:val="fr-FR"/>
        </w:rPr>
        <w:t>, Liu, Z</w:t>
      </w:r>
      <w:r w:rsidR="00AF49B3">
        <w:rPr>
          <w:rFonts w:ascii="Arial" w:hAnsi="Arial" w:cs="Arial"/>
          <w:lang w:val="fr-FR"/>
        </w:rPr>
        <w:t>.</w:t>
      </w:r>
      <w:r w:rsidRPr="00067F12">
        <w:rPr>
          <w:rFonts w:ascii="Arial" w:hAnsi="Arial" w:cs="Arial"/>
          <w:lang w:val="fr-FR"/>
        </w:rPr>
        <w:t xml:space="preserve"> and al. </w:t>
      </w:r>
      <w:r w:rsidRPr="00067F12">
        <w:rPr>
          <w:rFonts w:ascii="Arial" w:hAnsi="Arial" w:cs="Arial"/>
        </w:rPr>
        <w:t xml:space="preserve">Clinical course and risk factors for mortality of adult inpatients with COVID-19 in Wuhan, China: a retrospective cohort study. The Lancet, 2020, 395(10229):1054 – 1062. </w:t>
      </w:r>
      <w:r w:rsidRPr="00067F12">
        <w:rPr>
          <w:rFonts w:ascii="Arial" w:hAnsi="Arial" w:cs="Arial"/>
          <w:color w:val="002060"/>
        </w:rPr>
        <w:t>doi:16/S0140-6736(20)30566-3</w:t>
      </w:r>
    </w:p>
    <w:p w14:paraId="0CB74850" w14:textId="77777777" w:rsidR="00067F12" w:rsidRPr="00067F12" w:rsidRDefault="00067F12" w:rsidP="00067F12">
      <w:pPr>
        <w:jc w:val="both"/>
        <w:rPr>
          <w:rFonts w:ascii="Arial" w:hAnsi="Arial" w:cs="Arial"/>
          <w:color w:val="002060"/>
        </w:rPr>
      </w:pPr>
      <w:r w:rsidRPr="00067F12">
        <w:rPr>
          <w:rFonts w:ascii="Arial" w:hAnsi="Arial" w:cs="Arial"/>
          <w:b/>
          <w:bCs/>
        </w:rPr>
        <w:t>10.</w:t>
      </w:r>
      <w:r w:rsidRPr="00067F12">
        <w:rPr>
          <w:rFonts w:ascii="Arial" w:hAnsi="Arial" w:cs="Arial"/>
        </w:rPr>
        <w:t xml:space="preserve"> Grasselli</w:t>
      </w:r>
      <w:r>
        <w:rPr>
          <w:rFonts w:ascii="Arial" w:hAnsi="Arial" w:cs="Arial"/>
        </w:rPr>
        <w:t>,</w:t>
      </w:r>
      <w:r w:rsidRPr="00067F12">
        <w:rPr>
          <w:rFonts w:ascii="Arial" w:hAnsi="Arial" w:cs="Arial"/>
        </w:rPr>
        <w:t xml:space="preserve"> G</w:t>
      </w:r>
      <w:r w:rsidR="00AF49B3">
        <w:rPr>
          <w:rFonts w:ascii="Arial" w:hAnsi="Arial" w:cs="Arial"/>
        </w:rPr>
        <w:t>.</w:t>
      </w:r>
      <w:r w:rsidRPr="00067F12">
        <w:rPr>
          <w:rFonts w:ascii="Arial" w:hAnsi="Arial" w:cs="Arial"/>
        </w:rPr>
        <w:t>, Zangrillo</w:t>
      </w:r>
      <w:r>
        <w:rPr>
          <w:rFonts w:ascii="Arial" w:hAnsi="Arial" w:cs="Arial"/>
        </w:rPr>
        <w:t>,</w:t>
      </w:r>
      <w:r w:rsidRPr="00067F12">
        <w:rPr>
          <w:rFonts w:ascii="Arial" w:hAnsi="Arial" w:cs="Arial"/>
        </w:rPr>
        <w:t xml:space="preserve"> A</w:t>
      </w:r>
      <w:r w:rsidR="00AF49B3">
        <w:rPr>
          <w:rFonts w:ascii="Arial" w:hAnsi="Arial" w:cs="Arial"/>
        </w:rPr>
        <w:t>.</w:t>
      </w:r>
      <w:r w:rsidRPr="00067F12">
        <w:rPr>
          <w:rFonts w:ascii="Arial" w:hAnsi="Arial" w:cs="Arial"/>
        </w:rPr>
        <w:t>, Zanella</w:t>
      </w:r>
      <w:r>
        <w:rPr>
          <w:rFonts w:ascii="Arial" w:hAnsi="Arial" w:cs="Arial"/>
        </w:rPr>
        <w:t>,</w:t>
      </w:r>
      <w:r w:rsidRPr="00067F12">
        <w:rPr>
          <w:rFonts w:ascii="Arial" w:hAnsi="Arial" w:cs="Arial"/>
        </w:rPr>
        <w:t xml:space="preserve"> A</w:t>
      </w:r>
      <w:r w:rsidR="00AF49B3">
        <w:rPr>
          <w:rFonts w:ascii="Arial" w:hAnsi="Arial" w:cs="Arial"/>
        </w:rPr>
        <w:t>.</w:t>
      </w:r>
      <w:r w:rsidRPr="00067F12">
        <w:rPr>
          <w:rFonts w:ascii="Arial" w:hAnsi="Arial" w:cs="Arial"/>
        </w:rPr>
        <w:t>, Antonelli</w:t>
      </w:r>
      <w:r>
        <w:rPr>
          <w:rFonts w:ascii="Arial" w:hAnsi="Arial" w:cs="Arial"/>
        </w:rPr>
        <w:t>,</w:t>
      </w:r>
      <w:r w:rsidRPr="00067F12">
        <w:rPr>
          <w:rFonts w:ascii="Arial" w:hAnsi="Arial" w:cs="Arial"/>
        </w:rPr>
        <w:t xml:space="preserve"> M</w:t>
      </w:r>
      <w:r w:rsidR="00AF49B3">
        <w:rPr>
          <w:rFonts w:ascii="Arial" w:hAnsi="Arial" w:cs="Arial"/>
        </w:rPr>
        <w:t>.</w:t>
      </w:r>
      <w:r w:rsidRPr="00067F12">
        <w:rPr>
          <w:rFonts w:ascii="Arial" w:hAnsi="Arial" w:cs="Arial"/>
        </w:rPr>
        <w:t>, Cabrini</w:t>
      </w:r>
      <w:r>
        <w:rPr>
          <w:rFonts w:ascii="Arial" w:hAnsi="Arial" w:cs="Arial"/>
        </w:rPr>
        <w:t>,</w:t>
      </w:r>
      <w:r w:rsidRPr="00067F12">
        <w:rPr>
          <w:rFonts w:ascii="Arial" w:hAnsi="Arial" w:cs="Arial"/>
        </w:rPr>
        <w:t xml:space="preserve"> L</w:t>
      </w:r>
      <w:r w:rsidR="00AF49B3">
        <w:rPr>
          <w:rFonts w:ascii="Arial" w:hAnsi="Arial" w:cs="Arial"/>
        </w:rPr>
        <w:t>.</w:t>
      </w:r>
      <w:r w:rsidRPr="00067F12">
        <w:rPr>
          <w:rFonts w:ascii="Arial" w:hAnsi="Arial" w:cs="Arial"/>
        </w:rPr>
        <w:t>, Castelli</w:t>
      </w:r>
      <w:r>
        <w:rPr>
          <w:rFonts w:ascii="Arial" w:hAnsi="Arial" w:cs="Arial"/>
        </w:rPr>
        <w:t>,</w:t>
      </w:r>
      <w:r w:rsidRPr="00067F12">
        <w:rPr>
          <w:rFonts w:ascii="Arial" w:hAnsi="Arial" w:cs="Arial"/>
        </w:rPr>
        <w:t xml:space="preserve"> A</w:t>
      </w:r>
      <w:r w:rsidR="00AF49B3">
        <w:rPr>
          <w:rFonts w:ascii="Arial" w:hAnsi="Arial" w:cs="Arial"/>
        </w:rPr>
        <w:t>.</w:t>
      </w:r>
      <w:r w:rsidRPr="00067F12">
        <w:rPr>
          <w:rFonts w:ascii="Arial" w:hAnsi="Arial" w:cs="Arial"/>
        </w:rPr>
        <w:t xml:space="preserve">, </w:t>
      </w:r>
      <w:proofErr w:type="spellStart"/>
      <w:r w:rsidRPr="00067F12">
        <w:rPr>
          <w:rFonts w:ascii="Arial" w:hAnsi="Arial" w:cs="Arial"/>
        </w:rPr>
        <w:t>Cereda</w:t>
      </w:r>
      <w:proofErr w:type="spellEnd"/>
      <w:r>
        <w:rPr>
          <w:rFonts w:ascii="Arial" w:hAnsi="Arial" w:cs="Arial"/>
        </w:rPr>
        <w:t>,</w:t>
      </w:r>
      <w:r w:rsidRPr="00067F12">
        <w:rPr>
          <w:rFonts w:ascii="Arial" w:hAnsi="Arial" w:cs="Arial"/>
        </w:rPr>
        <w:t xml:space="preserve"> D</w:t>
      </w:r>
      <w:r w:rsidR="001820E8">
        <w:rPr>
          <w:rFonts w:ascii="Arial" w:hAnsi="Arial" w:cs="Arial"/>
        </w:rPr>
        <w:t>.</w:t>
      </w:r>
      <w:r w:rsidRPr="00067F12">
        <w:rPr>
          <w:rFonts w:ascii="Arial" w:hAnsi="Arial" w:cs="Arial"/>
        </w:rPr>
        <w:t xml:space="preserve"> and al: Baseline characteristics and outcomes of 1591 patients infected with SARS-CoV-2 admitted to ICUs of the Lombardy Region, Italy. JAMA. 2020,28;323(16):1574-1581. </w:t>
      </w:r>
      <w:proofErr w:type="spellStart"/>
      <w:r w:rsidRPr="00067F12">
        <w:rPr>
          <w:rFonts w:ascii="Arial" w:hAnsi="Arial" w:cs="Arial"/>
          <w:color w:val="002060"/>
        </w:rPr>
        <w:t>doi</w:t>
      </w:r>
      <w:proofErr w:type="spellEnd"/>
      <w:r w:rsidRPr="00067F12">
        <w:rPr>
          <w:rFonts w:ascii="Arial" w:hAnsi="Arial" w:cs="Arial"/>
          <w:color w:val="002060"/>
        </w:rPr>
        <w:t>: 10.1001/jama.2020.5394</w:t>
      </w:r>
    </w:p>
    <w:p w14:paraId="6E5DEA38" w14:textId="77777777" w:rsidR="00067F12" w:rsidRPr="00067F12" w:rsidRDefault="00067F12" w:rsidP="00067F12">
      <w:pPr>
        <w:jc w:val="both"/>
        <w:rPr>
          <w:rFonts w:ascii="Arial" w:hAnsi="Arial" w:cs="Arial"/>
          <w:color w:val="002060"/>
        </w:rPr>
      </w:pPr>
      <w:r w:rsidRPr="00067F12">
        <w:rPr>
          <w:rFonts w:ascii="Arial" w:hAnsi="Arial" w:cs="Arial"/>
          <w:b/>
          <w:bCs/>
        </w:rPr>
        <w:t>11.</w:t>
      </w:r>
      <w:r w:rsidRPr="00067F12">
        <w:rPr>
          <w:rFonts w:ascii="Arial" w:hAnsi="Arial" w:cs="Arial"/>
        </w:rPr>
        <w:t xml:space="preserve"> Docherty</w:t>
      </w:r>
      <w:r>
        <w:rPr>
          <w:rFonts w:ascii="Arial" w:hAnsi="Arial" w:cs="Arial"/>
        </w:rPr>
        <w:t>,</w:t>
      </w:r>
      <w:r w:rsidRPr="00067F12">
        <w:rPr>
          <w:rFonts w:ascii="Arial" w:hAnsi="Arial" w:cs="Arial"/>
        </w:rPr>
        <w:t xml:space="preserve"> A</w:t>
      </w:r>
      <w:r w:rsidR="001820E8">
        <w:rPr>
          <w:rFonts w:ascii="Arial" w:hAnsi="Arial" w:cs="Arial"/>
        </w:rPr>
        <w:t>.</w:t>
      </w:r>
      <w:r w:rsidRPr="00067F12">
        <w:rPr>
          <w:rFonts w:ascii="Arial" w:hAnsi="Arial" w:cs="Arial"/>
        </w:rPr>
        <w:t>B</w:t>
      </w:r>
      <w:r w:rsidR="001820E8">
        <w:rPr>
          <w:rFonts w:ascii="Arial" w:hAnsi="Arial" w:cs="Arial"/>
        </w:rPr>
        <w:t>.</w:t>
      </w:r>
      <w:r w:rsidRPr="00067F12">
        <w:rPr>
          <w:rFonts w:ascii="Arial" w:hAnsi="Arial" w:cs="Arial"/>
        </w:rPr>
        <w:t>, Harrison</w:t>
      </w:r>
      <w:r>
        <w:rPr>
          <w:rFonts w:ascii="Arial" w:hAnsi="Arial" w:cs="Arial"/>
        </w:rPr>
        <w:t>,</w:t>
      </w:r>
      <w:r w:rsidRPr="00067F12">
        <w:rPr>
          <w:rFonts w:ascii="Arial" w:hAnsi="Arial" w:cs="Arial"/>
        </w:rPr>
        <w:t xml:space="preserve"> E</w:t>
      </w:r>
      <w:r w:rsidR="001820E8">
        <w:rPr>
          <w:rFonts w:ascii="Arial" w:hAnsi="Arial" w:cs="Arial"/>
        </w:rPr>
        <w:t>.</w:t>
      </w:r>
      <w:r w:rsidRPr="00067F12">
        <w:rPr>
          <w:rFonts w:ascii="Arial" w:hAnsi="Arial" w:cs="Arial"/>
        </w:rPr>
        <w:t>M</w:t>
      </w:r>
      <w:r w:rsidR="001820E8">
        <w:rPr>
          <w:rFonts w:ascii="Arial" w:hAnsi="Arial" w:cs="Arial"/>
        </w:rPr>
        <w:t>.</w:t>
      </w:r>
      <w:r w:rsidRPr="00067F12">
        <w:rPr>
          <w:rFonts w:ascii="Arial" w:hAnsi="Arial" w:cs="Arial"/>
        </w:rPr>
        <w:t>, Green</w:t>
      </w:r>
      <w:r>
        <w:rPr>
          <w:rFonts w:ascii="Arial" w:hAnsi="Arial" w:cs="Arial"/>
        </w:rPr>
        <w:t>,</w:t>
      </w:r>
      <w:r w:rsidRPr="00067F12">
        <w:rPr>
          <w:rFonts w:ascii="Arial" w:hAnsi="Arial" w:cs="Arial"/>
        </w:rPr>
        <w:t xml:space="preserve"> C</w:t>
      </w:r>
      <w:r w:rsidR="001820E8">
        <w:rPr>
          <w:rFonts w:ascii="Arial" w:hAnsi="Arial" w:cs="Arial"/>
        </w:rPr>
        <w:t>.</w:t>
      </w:r>
      <w:r w:rsidRPr="00067F12">
        <w:rPr>
          <w:rFonts w:ascii="Arial" w:hAnsi="Arial" w:cs="Arial"/>
        </w:rPr>
        <w:t>A</w:t>
      </w:r>
      <w:r w:rsidR="001820E8">
        <w:rPr>
          <w:rFonts w:ascii="Arial" w:hAnsi="Arial" w:cs="Arial"/>
        </w:rPr>
        <w:t>.</w:t>
      </w:r>
      <w:r w:rsidRPr="00067F12">
        <w:rPr>
          <w:rFonts w:ascii="Arial" w:hAnsi="Arial" w:cs="Arial"/>
        </w:rPr>
        <w:t>, Hardwick</w:t>
      </w:r>
      <w:r>
        <w:rPr>
          <w:rFonts w:ascii="Arial" w:hAnsi="Arial" w:cs="Arial"/>
        </w:rPr>
        <w:t>,</w:t>
      </w:r>
      <w:r w:rsidRPr="00067F12">
        <w:rPr>
          <w:rFonts w:ascii="Arial" w:hAnsi="Arial" w:cs="Arial"/>
        </w:rPr>
        <w:t xml:space="preserve"> H</w:t>
      </w:r>
      <w:r w:rsidR="001820E8">
        <w:rPr>
          <w:rFonts w:ascii="Arial" w:hAnsi="Arial" w:cs="Arial"/>
        </w:rPr>
        <w:t>.</w:t>
      </w:r>
      <w:r w:rsidRPr="00067F12">
        <w:rPr>
          <w:rFonts w:ascii="Arial" w:hAnsi="Arial" w:cs="Arial"/>
        </w:rPr>
        <w:t>E</w:t>
      </w:r>
      <w:r w:rsidR="001820E8">
        <w:rPr>
          <w:rFonts w:ascii="Arial" w:hAnsi="Arial" w:cs="Arial"/>
        </w:rPr>
        <w:t>.</w:t>
      </w:r>
      <w:r w:rsidRPr="00067F12">
        <w:rPr>
          <w:rFonts w:ascii="Arial" w:hAnsi="Arial" w:cs="Arial"/>
        </w:rPr>
        <w:t>, Pius</w:t>
      </w:r>
      <w:r>
        <w:rPr>
          <w:rFonts w:ascii="Arial" w:hAnsi="Arial" w:cs="Arial"/>
        </w:rPr>
        <w:t>,</w:t>
      </w:r>
      <w:r w:rsidRPr="00067F12">
        <w:rPr>
          <w:rFonts w:ascii="Arial" w:hAnsi="Arial" w:cs="Arial"/>
        </w:rPr>
        <w:t xml:space="preserve"> R</w:t>
      </w:r>
      <w:r w:rsidR="001820E8">
        <w:rPr>
          <w:rFonts w:ascii="Arial" w:hAnsi="Arial" w:cs="Arial"/>
        </w:rPr>
        <w:t>.</w:t>
      </w:r>
      <w:r w:rsidRPr="00067F12">
        <w:rPr>
          <w:rFonts w:ascii="Arial" w:hAnsi="Arial" w:cs="Arial"/>
        </w:rPr>
        <w:t>, Norman</w:t>
      </w:r>
      <w:r>
        <w:rPr>
          <w:rFonts w:ascii="Arial" w:hAnsi="Arial" w:cs="Arial"/>
        </w:rPr>
        <w:t>,</w:t>
      </w:r>
      <w:r w:rsidRPr="00067F12">
        <w:rPr>
          <w:rFonts w:ascii="Arial" w:hAnsi="Arial" w:cs="Arial"/>
        </w:rPr>
        <w:t xml:space="preserve"> L</w:t>
      </w:r>
      <w:r w:rsidR="001820E8">
        <w:rPr>
          <w:rFonts w:ascii="Arial" w:hAnsi="Arial" w:cs="Arial"/>
        </w:rPr>
        <w:t>.</w:t>
      </w:r>
      <w:r w:rsidRPr="00067F12">
        <w:rPr>
          <w:rFonts w:ascii="Arial" w:hAnsi="Arial" w:cs="Arial"/>
        </w:rPr>
        <w:t>, Holden</w:t>
      </w:r>
      <w:r>
        <w:rPr>
          <w:rFonts w:ascii="Arial" w:hAnsi="Arial" w:cs="Arial"/>
        </w:rPr>
        <w:t>,</w:t>
      </w:r>
      <w:r w:rsidRPr="00067F12">
        <w:rPr>
          <w:rFonts w:ascii="Arial" w:hAnsi="Arial" w:cs="Arial"/>
        </w:rPr>
        <w:t xml:space="preserve"> K</w:t>
      </w:r>
      <w:r w:rsidR="001820E8">
        <w:rPr>
          <w:rFonts w:ascii="Arial" w:hAnsi="Arial" w:cs="Arial"/>
        </w:rPr>
        <w:t>.</w:t>
      </w:r>
      <w:r w:rsidRPr="00067F12">
        <w:rPr>
          <w:rFonts w:ascii="Arial" w:hAnsi="Arial" w:cs="Arial"/>
        </w:rPr>
        <w:t>A</w:t>
      </w:r>
      <w:r w:rsidR="001820E8">
        <w:rPr>
          <w:rFonts w:ascii="Arial" w:hAnsi="Arial" w:cs="Arial"/>
        </w:rPr>
        <w:t>.</w:t>
      </w:r>
      <w:r w:rsidRPr="00067F12">
        <w:rPr>
          <w:rFonts w:ascii="Arial" w:hAnsi="Arial" w:cs="Arial"/>
        </w:rPr>
        <w:t xml:space="preserve"> and al. Features of 20 133 UK patients in hospital with covid-19 using the ISARIC WHO </w:t>
      </w:r>
      <w:r w:rsidRPr="00067F12">
        <w:rPr>
          <w:rFonts w:ascii="Arial" w:hAnsi="Arial" w:cs="Arial"/>
        </w:rPr>
        <w:lastRenderedPageBreak/>
        <w:t xml:space="preserve">Clinical </w:t>
      </w:r>
      <w:proofErr w:type="spellStart"/>
      <w:r w:rsidRPr="00067F12">
        <w:rPr>
          <w:rFonts w:ascii="Arial" w:hAnsi="Arial" w:cs="Arial"/>
        </w:rPr>
        <w:t>Characterisation</w:t>
      </w:r>
      <w:proofErr w:type="spellEnd"/>
      <w:r w:rsidRPr="00067F12">
        <w:rPr>
          <w:rFonts w:ascii="Arial" w:hAnsi="Arial" w:cs="Arial"/>
        </w:rPr>
        <w:t xml:space="preserve"> Protocol: prospective observational cohort study. BMJ. 2020,22;369:m1985. </w:t>
      </w:r>
      <w:proofErr w:type="spellStart"/>
      <w:r w:rsidRPr="00067F12">
        <w:rPr>
          <w:rFonts w:ascii="Arial" w:hAnsi="Arial" w:cs="Arial"/>
          <w:color w:val="002060"/>
        </w:rPr>
        <w:t>doi</w:t>
      </w:r>
      <w:proofErr w:type="spellEnd"/>
      <w:r w:rsidRPr="00067F12">
        <w:rPr>
          <w:rFonts w:ascii="Arial" w:hAnsi="Arial" w:cs="Arial"/>
          <w:color w:val="002060"/>
        </w:rPr>
        <w:t>: 10.1136/bmj.m1985</w:t>
      </w:r>
    </w:p>
    <w:p w14:paraId="23EF5949" w14:textId="77777777" w:rsidR="00067F12" w:rsidRPr="00067F12" w:rsidRDefault="00067F12" w:rsidP="00067F12">
      <w:pPr>
        <w:jc w:val="both"/>
        <w:rPr>
          <w:rFonts w:ascii="Arial" w:hAnsi="Arial" w:cs="Arial"/>
          <w:color w:val="002060"/>
          <w:lang w:val="fr-SN"/>
        </w:rPr>
      </w:pPr>
      <w:r w:rsidRPr="00067F12">
        <w:rPr>
          <w:rFonts w:ascii="Arial" w:hAnsi="Arial" w:cs="Arial"/>
          <w:b/>
          <w:bCs/>
        </w:rPr>
        <w:t>12.</w:t>
      </w:r>
      <w:r w:rsidRPr="00067F12">
        <w:rPr>
          <w:rFonts w:ascii="Arial" w:hAnsi="Arial" w:cs="Arial"/>
        </w:rPr>
        <w:t xml:space="preserve"> </w:t>
      </w:r>
      <w:proofErr w:type="spellStart"/>
      <w:r w:rsidRPr="00067F12">
        <w:rPr>
          <w:rFonts w:ascii="Arial" w:hAnsi="Arial" w:cs="Arial"/>
        </w:rPr>
        <w:t>Fiolet</w:t>
      </w:r>
      <w:proofErr w:type="spellEnd"/>
      <w:r w:rsidR="007636D4">
        <w:rPr>
          <w:rFonts w:ascii="Arial" w:hAnsi="Arial" w:cs="Arial"/>
        </w:rPr>
        <w:t>,</w:t>
      </w:r>
      <w:r w:rsidRPr="00067F12">
        <w:rPr>
          <w:rFonts w:ascii="Arial" w:hAnsi="Arial" w:cs="Arial"/>
        </w:rPr>
        <w:t xml:space="preserve"> T</w:t>
      </w:r>
      <w:r w:rsidR="001820E8">
        <w:rPr>
          <w:rFonts w:ascii="Arial" w:hAnsi="Arial" w:cs="Arial"/>
        </w:rPr>
        <w:t>.</w:t>
      </w:r>
      <w:r w:rsidRPr="00067F12">
        <w:rPr>
          <w:rFonts w:ascii="Arial" w:hAnsi="Arial" w:cs="Arial"/>
        </w:rPr>
        <w:t xml:space="preserve">, </w:t>
      </w:r>
      <w:proofErr w:type="spellStart"/>
      <w:r w:rsidRPr="00067F12">
        <w:rPr>
          <w:rFonts w:ascii="Arial" w:hAnsi="Arial" w:cs="Arial"/>
        </w:rPr>
        <w:t>Kherabi</w:t>
      </w:r>
      <w:proofErr w:type="spellEnd"/>
      <w:r w:rsidR="007636D4">
        <w:rPr>
          <w:rFonts w:ascii="Arial" w:hAnsi="Arial" w:cs="Arial"/>
        </w:rPr>
        <w:t>,</w:t>
      </w:r>
      <w:r w:rsidRPr="00067F12">
        <w:rPr>
          <w:rFonts w:ascii="Arial" w:hAnsi="Arial" w:cs="Arial"/>
        </w:rPr>
        <w:t xml:space="preserve"> Y</w:t>
      </w:r>
      <w:r w:rsidR="001820E8">
        <w:rPr>
          <w:rFonts w:ascii="Arial" w:hAnsi="Arial" w:cs="Arial"/>
        </w:rPr>
        <w:t>.</w:t>
      </w:r>
      <w:r w:rsidRPr="00067F12">
        <w:rPr>
          <w:rFonts w:ascii="Arial" w:hAnsi="Arial" w:cs="Arial"/>
        </w:rPr>
        <w:t>, MacDonald</w:t>
      </w:r>
      <w:r w:rsidR="007636D4">
        <w:rPr>
          <w:rFonts w:ascii="Arial" w:hAnsi="Arial" w:cs="Arial"/>
        </w:rPr>
        <w:t>,</w:t>
      </w:r>
      <w:r w:rsidRPr="00067F12">
        <w:rPr>
          <w:rFonts w:ascii="Arial" w:hAnsi="Arial" w:cs="Arial"/>
        </w:rPr>
        <w:t xml:space="preserve"> C</w:t>
      </w:r>
      <w:r w:rsidR="001820E8">
        <w:rPr>
          <w:rFonts w:ascii="Arial" w:hAnsi="Arial" w:cs="Arial"/>
        </w:rPr>
        <w:t>.</w:t>
      </w:r>
      <w:r w:rsidRPr="00067F12">
        <w:rPr>
          <w:rFonts w:ascii="Arial" w:hAnsi="Arial" w:cs="Arial"/>
        </w:rPr>
        <w:t>J</w:t>
      </w:r>
      <w:r w:rsidR="001820E8">
        <w:rPr>
          <w:rFonts w:ascii="Arial" w:hAnsi="Arial" w:cs="Arial"/>
        </w:rPr>
        <w:t>.</w:t>
      </w:r>
      <w:r w:rsidRPr="00067F12">
        <w:rPr>
          <w:rFonts w:ascii="Arial" w:hAnsi="Arial" w:cs="Arial"/>
        </w:rPr>
        <w:t>, Ghosn</w:t>
      </w:r>
      <w:r w:rsidR="007636D4">
        <w:rPr>
          <w:rFonts w:ascii="Arial" w:hAnsi="Arial" w:cs="Arial"/>
        </w:rPr>
        <w:t>,</w:t>
      </w:r>
      <w:r w:rsidRPr="00067F12">
        <w:rPr>
          <w:rFonts w:ascii="Arial" w:hAnsi="Arial" w:cs="Arial"/>
        </w:rPr>
        <w:t xml:space="preserve"> J</w:t>
      </w:r>
      <w:r w:rsidR="001820E8">
        <w:rPr>
          <w:rFonts w:ascii="Arial" w:hAnsi="Arial" w:cs="Arial"/>
        </w:rPr>
        <w:t>.</w:t>
      </w:r>
      <w:r w:rsidRPr="00067F12">
        <w:rPr>
          <w:rFonts w:ascii="Arial" w:hAnsi="Arial" w:cs="Arial"/>
        </w:rPr>
        <w:t>, Peiffer-Smadja</w:t>
      </w:r>
      <w:r w:rsidR="007636D4">
        <w:rPr>
          <w:rFonts w:ascii="Arial" w:hAnsi="Arial" w:cs="Arial"/>
        </w:rPr>
        <w:t>,</w:t>
      </w:r>
      <w:r w:rsidRPr="00067F12">
        <w:rPr>
          <w:rFonts w:ascii="Arial" w:hAnsi="Arial" w:cs="Arial"/>
        </w:rPr>
        <w:t xml:space="preserve"> N. Comparing COVID-19 vaccines for their characteristics, efficacy and effectiveness against SARS-CoV-2 and variants of concern: a narrative review. </w:t>
      </w:r>
      <w:r w:rsidRPr="00067F12">
        <w:rPr>
          <w:rFonts w:ascii="Arial" w:hAnsi="Arial" w:cs="Arial"/>
          <w:lang w:val="fr-SN"/>
        </w:rPr>
        <w:t xml:space="preserve">Clin </w:t>
      </w:r>
      <w:proofErr w:type="spellStart"/>
      <w:r w:rsidRPr="00067F12">
        <w:rPr>
          <w:rFonts w:ascii="Arial" w:hAnsi="Arial" w:cs="Arial"/>
          <w:lang w:val="fr-SN"/>
        </w:rPr>
        <w:t>Microbiol</w:t>
      </w:r>
      <w:proofErr w:type="spellEnd"/>
      <w:r w:rsidRPr="00067F12">
        <w:rPr>
          <w:rFonts w:ascii="Arial" w:hAnsi="Arial" w:cs="Arial"/>
          <w:lang w:val="fr-SN"/>
        </w:rPr>
        <w:t xml:space="preserve"> Infect. </w:t>
      </w:r>
      <w:proofErr w:type="gramStart"/>
      <w:r w:rsidRPr="00067F12">
        <w:rPr>
          <w:rFonts w:ascii="Arial" w:hAnsi="Arial" w:cs="Arial"/>
          <w:lang w:val="fr-SN"/>
        </w:rPr>
        <w:t>2022;</w:t>
      </w:r>
      <w:proofErr w:type="gramEnd"/>
      <w:r w:rsidRPr="00067F12">
        <w:rPr>
          <w:rFonts w:ascii="Arial" w:hAnsi="Arial" w:cs="Arial"/>
          <w:lang w:val="fr-SN"/>
        </w:rPr>
        <w:t>28(2</w:t>
      </w:r>
      <w:proofErr w:type="gramStart"/>
      <w:r w:rsidRPr="00067F12">
        <w:rPr>
          <w:rFonts w:ascii="Arial" w:hAnsi="Arial" w:cs="Arial"/>
          <w:lang w:val="fr-SN"/>
        </w:rPr>
        <w:t>):</w:t>
      </w:r>
      <w:proofErr w:type="gramEnd"/>
      <w:r w:rsidRPr="00067F12">
        <w:rPr>
          <w:rFonts w:ascii="Arial" w:hAnsi="Arial" w:cs="Arial"/>
          <w:lang w:val="fr-SN"/>
        </w:rPr>
        <w:t xml:space="preserve">202-221. </w:t>
      </w:r>
      <w:proofErr w:type="spellStart"/>
      <w:proofErr w:type="gramStart"/>
      <w:r w:rsidRPr="00067F12">
        <w:rPr>
          <w:rFonts w:ascii="Arial" w:hAnsi="Arial" w:cs="Arial"/>
          <w:color w:val="002060"/>
          <w:lang w:val="fr-SN"/>
        </w:rPr>
        <w:t>doi</w:t>
      </w:r>
      <w:proofErr w:type="spellEnd"/>
      <w:r w:rsidRPr="00067F12">
        <w:rPr>
          <w:rFonts w:ascii="Arial" w:hAnsi="Arial" w:cs="Arial"/>
          <w:color w:val="002060"/>
          <w:lang w:val="fr-SN"/>
        </w:rPr>
        <w:t>:</w:t>
      </w:r>
      <w:proofErr w:type="gramEnd"/>
      <w:r w:rsidRPr="00067F12">
        <w:rPr>
          <w:rFonts w:ascii="Arial" w:hAnsi="Arial" w:cs="Arial"/>
          <w:color w:val="002060"/>
          <w:lang w:val="fr-SN"/>
        </w:rPr>
        <w:t xml:space="preserve"> 10.1016/j.cmi.2021.10.005</w:t>
      </w:r>
    </w:p>
    <w:p w14:paraId="30411193" w14:textId="77777777" w:rsidR="00067F12" w:rsidRPr="00067F12" w:rsidRDefault="00067F12" w:rsidP="00067F12">
      <w:pPr>
        <w:jc w:val="both"/>
        <w:rPr>
          <w:rFonts w:ascii="Arial" w:hAnsi="Arial" w:cs="Arial"/>
          <w:color w:val="002060"/>
        </w:rPr>
      </w:pPr>
      <w:r w:rsidRPr="001820E8">
        <w:rPr>
          <w:rFonts w:ascii="Arial" w:hAnsi="Arial" w:cs="Arial"/>
          <w:b/>
          <w:bCs/>
        </w:rPr>
        <w:t>13.</w:t>
      </w:r>
      <w:r w:rsidRPr="001820E8">
        <w:rPr>
          <w:rFonts w:ascii="Arial" w:hAnsi="Arial" w:cs="Arial"/>
        </w:rPr>
        <w:t xml:space="preserve"> de Figueiredo</w:t>
      </w:r>
      <w:r w:rsidR="007636D4" w:rsidRPr="001820E8">
        <w:rPr>
          <w:rFonts w:ascii="Arial" w:hAnsi="Arial" w:cs="Arial"/>
        </w:rPr>
        <w:t>,</w:t>
      </w:r>
      <w:r w:rsidRPr="001820E8">
        <w:rPr>
          <w:rFonts w:ascii="Arial" w:hAnsi="Arial" w:cs="Arial"/>
        </w:rPr>
        <w:t xml:space="preserve"> A</w:t>
      </w:r>
      <w:r w:rsidR="001820E8" w:rsidRPr="001820E8">
        <w:rPr>
          <w:rFonts w:ascii="Arial" w:hAnsi="Arial" w:cs="Arial"/>
        </w:rPr>
        <w:t>.</w:t>
      </w:r>
      <w:r w:rsidRPr="001820E8">
        <w:rPr>
          <w:rFonts w:ascii="Arial" w:hAnsi="Arial" w:cs="Arial"/>
        </w:rPr>
        <w:t>, Simas</w:t>
      </w:r>
      <w:r w:rsidR="007636D4" w:rsidRPr="001820E8">
        <w:rPr>
          <w:rFonts w:ascii="Arial" w:hAnsi="Arial" w:cs="Arial"/>
        </w:rPr>
        <w:t>,</w:t>
      </w:r>
      <w:r w:rsidRPr="001820E8">
        <w:rPr>
          <w:rFonts w:ascii="Arial" w:hAnsi="Arial" w:cs="Arial"/>
        </w:rPr>
        <w:t xml:space="preserve"> C</w:t>
      </w:r>
      <w:r w:rsidR="001820E8" w:rsidRPr="001820E8">
        <w:rPr>
          <w:rFonts w:ascii="Arial" w:hAnsi="Arial" w:cs="Arial"/>
        </w:rPr>
        <w:t>.</w:t>
      </w:r>
      <w:r w:rsidRPr="001820E8">
        <w:rPr>
          <w:rFonts w:ascii="Arial" w:hAnsi="Arial" w:cs="Arial"/>
        </w:rPr>
        <w:t>, Larson</w:t>
      </w:r>
      <w:r w:rsidR="007636D4" w:rsidRPr="001820E8">
        <w:rPr>
          <w:rFonts w:ascii="Arial" w:hAnsi="Arial" w:cs="Arial"/>
        </w:rPr>
        <w:t>,</w:t>
      </w:r>
      <w:r w:rsidRPr="001820E8">
        <w:rPr>
          <w:rFonts w:ascii="Arial" w:hAnsi="Arial" w:cs="Arial"/>
        </w:rPr>
        <w:t xml:space="preserve"> H</w:t>
      </w:r>
      <w:r w:rsidR="001820E8" w:rsidRPr="001820E8">
        <w:rPr>
          <w:rFonts w:ascii="Arial" w:hAnsi="Arial" w:cs="Arial"/>
        </w:rPr>
        <w:t>.</w:t>
      </w:r>
      <w:r w:rsidRPr="001820E8">
        <w:rPr>
          <w:rFonts w:ascii="Arial" w:hAnsi="Arial" w:cs="Arial"/>
        </w:rPr>
        <w:t xml:space="preserve">J. </w:t>
      </w:r>
      <w:r w:rsidRPr="00067F12">
        <w:rPr>
          <w:rFonts w:ascii="Arial" w:hAnsi="Arial" w:cs="Arial"/>
        </w:rPr>
        <w:t xml:space="preserve">COVID-19 vaccine acceptance and its socio-demographic and emotional determinants: A multi-country cross-sectional study. Vaccine. 2023;41(2):354-364. </w:t>
      </w:r>
      <w:proofErr w:type="spellStart"/>
      <w:r w:rsidRPr="00067F12">
        <w:rPr>
          <w:rFonts w:ascii="Arial" w:hAnsi="Arial" w:cs="Arial"/>
          <w:color w:val="002060"/>
        </w:rPr>
        <w:t>doi</w:t>
      </w:r>
      <w:proofErr w:type="spellEnd"/>
      <w:r w:rsidRPr="00067F12">
        <w:rPr>
          <w:rFonts w:ascii="Arial" w:hAnsi="Arial" w:cs="Arial"/>
          <w:color w:val="002060"/>
        </w:rPr>
        <w:t>: 10.1016/j.vaccine.2022.10.051</w:t>
      </w:r>
    </w:p>
    <w:p w14:paraId="4B4BF5E4" w14:textId="77777777" w:rsidR="00067F12" w:rsidRPr="00067F12" w:rsidRDefault="00067F12" w:rsidP="00067F12">
      <w:pPr>
        <w:jc w:val="both"/>
        <w:rPr>
          <w:rFonts w:ascii="Arial" w:hAnsi="Arial" w:cs="Arial"/>
        </w:rPr>
      </w:pPr>
      <w:r w:rsidRPr="00067F12">
        <w:rPr>
          <w:rFonts w:ascii="Arial" w:hAnsi="Arial" w:cs="Arial"/>
          <w:b/>
          <w:bCs/>
        </w:rPr>
        <w:t>14.</w:t>
      </w:r>
      <w:r w:rsidRPr="00067F12">
        <w:rPr>
          <w:rFonts w:ascii="Arial" w:hAnsi="Arial" w:cs="Arial"/>
        </w:rPr>
        <w:t xml:space="preserve"> Datta</w:t>
      </w:r>
      <w:r w:rsidR="00AF49B3">
        <w:rPr>
          <w:rFonts w:ascii="Arial" w:hAnsi="Arial" w:cs="Arial"/>
        </w:rPr>
        <w:t>,</w:t>
      </w:r>
      <w:r w:rsidRPr="00067F12">
        <w:rPr>
          <w:rFonts w:ascii="Arial" w:hAnsi="Arial" w:cs="Arial"/>
        </w:rPr>
        <w:t xml:space="preserve"> B</w:t>
      </w:r>
      <w:r w:rsidR="001820E8">
        <w:rPr>
          <w:rFonts w:ascii="Arial" w:hAnsi="Arial" w:cs="Arial"/>
        </w:rPr>
        <w:t>.</w:t>
      </w:r>
      <w:r w:rsidRPr="00067F12">
        <w:rPr>
          <w:rFonts w:ascii="Arial" w:hAnsi="Arial" w:cs="Arial"/>
        </w:rPr>
        <w:t>K</w:t>
      </w:r>
      <w:r w:rsidR="001820E8">
        <w:rPr>
          <w:rFonts w:ascii="Arial" w:hAnsi="Arial" w:cs="Arial"/>
        </w:rPr>
        <w:t>.</w:t>
      </w:r>
      <w:r w:rsidRPr="00067F12">
        <w:rPr>
          <w:rFonts w:ascii="Arial" w:hAnsi="Arial" w:cs="Arial"/>
        </w:rPr>
        <w:t xml:space="preserve">, </w:t>
      </w:r>
      <w:proofErr w:type="spellStart"/>
      <w:r w:rsidRPr="00067F12">
        <w:rPr>
          <w:rFonts w:ascii="Arial" w:hAnsi="Arial" w:cs="Arial"/>
        </w:rPr>
        <w:t>Jaremski</w:t>
      </w:r>
      <w:proofErr w:type="spellEnd"/>
      <w:r w:rsidR="00AF49B3">
        <w:rPr>
          <w:rFonts w:ascii="Arial" w:hAnsi="Arial" w:cs="Arial"/>
        </w:rPr>
        <w:t>,</w:t>
      </w:r>
      <w:r w:rsidRPr="00067F12">
        <w:rPr>
          <w:rFonts w:ascii="Arial" w:hAnsi="Arial" w:cs="Arial"/>
        </w:rPr>
        <w:t xml:space="preserve"> J</w:t>
      </w:r>
      <w:r w:rsidR="001820E8">
        <w:rPr>
          <w:rFonts w:ascii="Arial" w:hAnsi="Arial" w:cs="Arial"/>
        </w:rPr>
        <w:t>.</w:t>
      </w:r>
      <w:r w:rsidRPr="00067F12">
        <w:rPr>
          <w:rFonts w:ascii="Arial" w:hAnsi="Arial" w:cs="Arial"/>
        </w:rPr>
        <w:t>E</w:t>
      </w:r>
      <w:r w:rsidR="001820E8">
        <w:rPr>
          <w:rFonts w:ascii="Arial" w:hAnsi="Arial" w:cs="Arial"/>
        </w:rPr>
        <w:t>.</w:t>
      </w:r>
      <w:r w:rsidRPr="00067F12">
        <w:rPr>
          <w:rFonts w:ascii="Arial" w:hAnsi="Arial" w:cs="Arial"/>
        </w:rPr>
        <w:t>, Ansa</w:t>
      </w:r>
      <w:r w:rsidR="00AF49B3">
        <w:rPr>
          <w:rFonts w:ascii="Arial" w:hAnsi="Arial" w:cs="Arial"/>
        </w:rPr>
        <w:t>,</w:t>
      </w:r>
      <w:r w:rsidRPr="00067F12">
        <w:rPr>
          <w:rFonts w:ascii="Arial" w:hAnsi="Arial" w:cs="Arial"/>
        </w:rPr>
        <w:t xml:space="preserve"> B</w:t>
      </w:r>
      <w:r w:rsidR="001820E8">
        <w:rPr>
          <w:rFonts w:ascii="Arial" w:hAnsi="Arial" w:cs="Arial"/>
        </w:rPr>
        <w:t>.</w:t>
      </w:r>
      <w:r w:rsidRPr="00067F12">
        <w:rPr>
          <w:rFonts w:ascii="Arial" w:hAnsi="Arial" w:cs="Arial"/>
        </w:rPr>
        <w:t>E</w:t>
      </w:r>
      <w:r w:rsidR="001820E8">
        <w:rPr>
          <w:rFonts w:ascii="Arial" w:hAnsi="Arial" w:cs="Arial"/>
        </w:rPr>
        <w:t>.</w:t>
      </w:r>
      <w:r w:rsidRPr="00067F12">
        <w:rPr>
          <w:rFonts w:ascii="Arial" w:hAnsi="Arial" w:cs="Arial"/>
        </w:rPr>
        <w:t>, Odhiambo</w:t>
      </w:r>
      <w:r w:rsidR="00AF49B3">
        <w:rPr>
          <w:rFonts w:ascii="Arial" w:hAnsi="Arial" w:cs="Arial"/>
        </w:rPr>
        <w:t>,</w:t>
      </w:r>
      <w:r w:rsidRPr="00067F12">
        <w:rPr>
          <w:rFonts w:ascii="Arial" w:hAnsi="Arial" w:cs="Arial"/>
        </w:rPr>
        <w:t xml:space="preserve"> L</w:t>
      </w:r>
      <w:r w:rsidR="001820E8">
        <w:rPr>
          <w:rFonts w:ascii="Arial" w:hAnsi="Arial" w:cs="Arial"/>
        </w:rPr>
        <w:t>.</w:t>
      </w:r>
      <w:r w:rsidRPr="00067F12">
        <w:rPr>
          <w:rFonts w:ascii="Arial" w:hAnsi="Arial" w:cs="Arial"/>
        </w:rPr>
        <w:t>A</w:t>
      </w:r>
      <w:r w:rsidR="001820E8">
        <w:rPr>
          <w:rFonts w:ascii="Arial" w:hAnsi="Arial" w:cs="Arial"/>
        </w:rPr>
        <w:t>.</w:t>
      </w:r>
      <w:r w:rsidRPr="00067F12">
        <w:rPr>
          <w:rFonts w:ascii="Arial" w:hAnsi="Arial" w:cs="Arial"/>
        </w:rPr>
        <w:t>, Islam</w:t>
      </w:r>
      <w:r w:rsidR="00AF49B3">
        <w:rPr>
          <w:rFonts w:ascii="Arial" w:hAnsi="Arial" w:cs="Arial"/>
        </w:rPr>
        <w:t>,</w:t>
      </w:r>
      <w:r w:rsidRPr="00067F12">
        <w:rPr>
          <w:rFonts w:ascii="Arial" w:hAnsi="Arial" w:cs="Arial"/>
        </w:rPr>
        <w:t xml:space="preserve"> K</w:t>
      </w:r>
      <w:r w:rsidR="001820E8">
        <w:rPr>
          <w:rFonts w:ascii="Arial" w:hAnsi="Arial" w:cs="Arial"/>
        </w:rPr>
        <w:t>.</w:t>
      </w:r>
      <w:r w:rsidRPr="00067F12">
        <w:rPr>
          <w:rFonts w:ascii="Arial" w:hAnsi="Arial" w:cs="Arial"/>
        </w:rPr>
        <w:t>M</w:t>
      </w:r>
      <w:r w:rsidR="001820E8">
        <w:rPr>
          <w:rFonts w:ascii="Arial" w:hAnsi="Arial" w:cs="Arial"/>
        </w:rPr>
        <w:t>.</w:t>
      </w:r>
      <w:r w:rsidRPr="00067F12">
        <w:rPr>
          <w:rFonts w:ascii="Arial" w:hAnsi="Arial" w:cs="Arial"/>
        </w:rPr>
        <w:t>M</w:t>
      </w:r>
      <w:r w:rsidR="001820E8">
        <w:rPr>
          <w:rFonts w:ascii="Arial" w:hAnsi="Arial" w:cs="Arial"/>
        </w:rPr>
        <w:t>.</w:t>
      </w:r>
      <w:r w:rsidRPr="00067F12">
        <w:rPr>
          <w:rFonts w:ascii="Arial" w:hAnsi="Arial" w:cs="Arial"/>
        </w:rPr>
        <w:t>, Johnson</w:t>
      </w:r>
      <w:r w:rsidR="00AF49B3">
        <w:rPr>
          <w:rFonts w:ascii="Arial" w:hAnsi="Arial" w:cs="Arial"/>
        </w:rPr>
        <w:t>,</w:t>
      </w:r>
      <w:r w:rsidRPr="00067F12">
        <w:rPr>
          <w:rFonts w:ascii="Arial" w:hAnsi="Arial" w:cs="Arial"/>
        </w:rPr>
        <w:t xml:space="preserve"> J</w:t>
      </w:r>
      <w:r w:rsidR="001820E8">
        <w:rPr>
          <w:rFonts w:ascii="Arial" w:hAnsi="Arial" w:cs="Arial"/>
        </w:rPr>
        <w:t>.</w:t>
      </w:r>
      <w:r w:rsidRPr="00067F12">
        <w:rPr>
          <w:rFonts w:ascii="Arial" w:hAnsi="Arial" w:cs="Arial"/>
        </w:rPr>
        <w:t xml:space="preserve">A. Role of perceived social support in COVID-19 vaccine uptake among U.S. adults. AJPM Focus. 2023,27;2(3):100104. </w:t>
      </w:r>
      <w:proofErr w:type="spellStart"/>
      <w:r w:rsidRPr="00067F12">
        <w:rPr>
          <w:rFonts w:ascii="Arial" w:hAnsi="Arial" w:cs="Arial"/>
          <w:color w:val="002060"/>
        </w:rPr>
        <w:t>doi</w:t>
      </w:r>
      <w:proofErr w:type="spellEnd"/>
      <w:r w:rsidRPr="00067F12">
        <w:rPr>
          <w:rFonts w:ascii="Arial" w:hAnsi="Arial" w:cs="Arial"/>
          <w:color w:val="002060"/>
        </w:rPr>
        <w:t xml:space="preserve">: 10.1016/j.focus.2023.100104 </w:t>
      </w:r>
    </w:p>
    <w:p w14:paraId="3C24FC3A" w14:textId="77777777" w:rsidR="00067F12" w:rsidRPr="00067F12" w:rsidRDefault="00067F12" w:rsidP="00067F12">
      <w:pPr>
        <w:jc w:val="both"/>
        <w:rPr>
          <w:rFonts w:ascii="Arial" w:hAnsi="Arial" w:cs="Arial"/>
        </w:rPr>
      </w:pPr>
      <w:r w:rsidRPr="00067F12">
        <w:rPr>
          <w:rFonts w:ascii="Arial" w:hAnsi="Arial" w:cs="Arial"/>
          <w:b/>
          <w:bCs/>
        </w:rPr>
        <w:t>15.</w:t>
      </w:r>
      <w:r w:rsidRPr="00067F12">
        <w:rPr>
          <w:rFonts w:ascii="Arial" w:hAnsi="Arial" w:cs="Arial"/>
        </w:rPr>
        <w:t xml:space="preserve"> </w:t>
      </w:r>
      <w:proofErr w:type="spellStart"/>
      <w:r w:rsidRPr="00067F12">
        <w:rPr>
          <w:rFonts w:ascii="Arial" w:hAnsi="Arial" w:cs="Arial"/>
        </w:rPr>
        <w:t>Takoudjou</w:t>
      </w:r>
      <w:proofErr w:type="spellEnd"/>
      <w:r w:rsidRPr="00067F12">
        <w:rPr>
          <w:rFonts w:ascii="Arial" w:hAnsi="Arial" w:cs="Arial"/>
        </w:rPr>
        <w:t xml:space="preserve"> Dzomo</w:t>
      </w:r>
      <w:r w:rsidR="00AF49B3">
        <w:rPr>
          <w:rFonts w:ascii="Arial" w:hAnsi="Arial" w:cs="Arial"/>
        </w:rPr>
        <w:t>,</w:t>
      </w:r>
      <w:r w:rsidRPr="00067F12">
        <w:rPr>
          <w:rFonts w:ascii="Arial" w:hAnsi="Arial" w:cs="Arial"/>
        </w:rPr>
        <w:t xml:space="preserve"> G</w:t>
      </w:r>
      <w:r w:rsidR="001820E8">
        <w:rPr>
          <w:rFonts w:ascii="Arial" w:hAnsi="Arial" w:cs="Arial"/>
        </w:rPr>
        <w:t>.</w:t>
      </w:r>
      <w:r w:rsidRPr="00067F12">
        <w:rPr>
          <w:rFonts w:ascii="Arial" w:hAnsi="Arial" w:cs="Arial"/>
        </w:rPr>
        <w:t>R</w:t>
      </w:r>
      <w:r w:rsidR="001820E8">
        <w:rPr>
          <w:rFonts w:ascii="Arial" w:hAnsi="Arial" w:cs="Arial"/>
        </w:rPr>
        <w:t>.</w:t>
      </w:r>
      <w:r w:rsidRPr="00067F12">
        <w:rPr>
          <w:rFonts w:ascii="Arial" w:hAnsi="Arial" w:cs="Arial"/>
        </w:rPr>
        <w:t xml:space="preserve">, </w:t>
      </w:r>
      <w:proofErr w:type="spellStart"/>
      <w:r w:rsidRPr="00067F12">
        <w:rPr>
          <w:rFonts w:ascii="Arial" w:hAnsi="Arial" w:cs="Arial"/>
        </w:rPr>
        <w:t>Mbario</w:t>
      </w:r>
      <w:proofErr w:type="spellEnd"/>
      <w:r w:rsidR="00AF49B3">
        <w:rPr>
          <w:rFonts w:ascii="Arial" w:hAnsi="Arial" w:cs="Arial"/>
        </w:rPr>
        <w:t>,</w:t>
      </w:r>
      <w:r w:rsidRPr="00067F12">
        <w:rPr>
          <w:rFonts w:ascii="Arial" w:hAnsi="Arial" w:cs="Arial"/>
        </w:rPr>
        <w:t xml:space="preserve"> E</w:t>
      </w:r>
      <w:r w:rsidR="001820E8">
        <w:rPr>
          <w:rFonts w:ascii="Arial" w:hAnsi="Arial" w:cs="Arial"/>
        </w:rPr>
        <w:t>.</w:t>
      </w:r>
      <w:r w:rsidRPr="00067F12">
        <w:rPr>
          <w:rFonts w:ascii="Arial" w:hAnsi="Arial" w:cs="Arial"/>
        </w:rPr>
        <w:t xml:space="preserve">, </w:t>
      </w:r>
      <w:proofErr w:type="spellStart"/>
      <w:r w:rsidRPr="00067F12">
        <w:rPr>
          <w:rFonts w:ascii="Arial" w:hAnsi="Arial" w:cs="Arial"/>
        </w:rPr>
        <w:t>Djarma</w:t>
      </w:r>
      <w:proofErr w:type="spellEnd"/>
      <w:r w:rsidR="00AF49B3">
        <w:rPr>
          <w:rFonts w:ascii="Arial" w:hAnsi="Arial" w:cs="Arial"/>
        </w:rPr>
        <w:t>,</w:t>
      </w:r>
      <w:r w:rsidRPr="00067F12">
        <w:rPr>
          <w:rFonts w:ascii="Arial" w:hAnsi="Arial" w:cs="Arial"/>
        </w:rPr>
        <w:t xml:space="preserve"> O</w:t>
      </w:r>
      <w:r w:rsidR="001820E8">
        <w:rPr>
          <w:rFonts w:ascii="Arial" w:hAnsi="Arial" w:cs="Arial"/>
        </w:rPr>
        <w:t>.</w:t>
      </w:r>
      <w:r w:rsidRPr="00067F12">
        <w:rPr>
          <w:rFonts w:ascii="Arial" w:hAnsi="Arial" w:cs="Arial"/>
        </w:rPr>
        <w:t xml:space="preserve">, </w:t>
      </w:r>
      <w:proofErr w:type="spellStart"/>
      <w:r w:rsidRPr="00067F12">
        <w:rPr>
          <w:rFonts w:ascii="Arial" w:hAnsi="Arial" w:cs="Arial"/>
        </w:rPr>
        <w:t>Soumbatingar</w:t>
      </w:r>
      <w:proofErr w:type="spellEnd"/>
      <w:r w:rsidR="00AF49B3">
        <w:rPr>
          <w:rFonts w:ascii="Arial" w:hAnsi="Arial" w:cs="Arial"/>
        </w:rPr>
        <w:t>,</w:t>
      </w:r>
      <w:r w:rsidRPr="00067F12">
        <w:rPr>
          <w:rFonts w:ascii="Arial" w:hAnsi="Arial" w:cs="Arial"/>
        </w:rPr>
        <w:t xml:space="preserve"> N</w:t>
      </w:r>
      <w:r w:rsidR="001820E8">
        <w:rPr>
          <w:rFonts w:ascii="Arial" w:hAnsi="Arial" w:cs="Arial"/>
        </w:rPr>
        <w:t>.</w:t>
      </w:r>
      <w:r w:rsidRPr="00067F12">
        <w:rPr>
          <w:rFonts w:ascii="Arial" w:hAnsi="Arial" w:cs="Arial"/>
        </w:rPr>
        <w:t xml:space="preserve">, </w:t>
      </w:r>
      <w:proofErr w:type="spellStart"/>
      <w:r w:rsidRPr="00067F12">
        <w:rPr>
          <w:rFonts w:ascii="Arial" w:hAnsi="Arial" w:cs="Arial"/>
        </w:rPr>
        <w:t>Madengar</w:t>
      </w:r>
      <w:proofErr w:type="spellEnd"/>
      <w:r w:rsidR="00AF49B3">
        <w:rPr>
          <w:rFonts w:ascii="Arial" w:hAnsi="Arial" w:cs="Arial"/>
        </w:rPr>
        <w:t>,</w:t>
      </w:r>
      <w:r w:rsidRPr="00067F12">
        <w:rPr>
          <w:rFonts w:ascii="Arial" w:hAnsi="Arial" w:cs="Arial"/>
        </w:rPr>
        <w:t xml:space="preserve"> M</w:t>
      </w:r>
      <w:r w:rsidR="001820E8">
        <w:rPr>
          <w:rFonts w:ascii="Arial" w:hAnsi="Arial" w:cs="Arial"/>
        </w:rPr>
        <w:t>.</w:t>
      </w:r>
      <w:r w:rsidRPr="00067F12">
        <w:rPr>
          <w:rFonts w:ascii="Arial" w:hAnsi="Arial" w:cs="Arial"/>
        </w:rPr>
        <w:t>, Djimera</w:t>
      </w:r>
      <w:r w:rsidR="00AF49B3">
        <w:rPr>
          <w:rFonts w:ascii="Arial" w:hAnsi="Arial" w:cs="Arial"/>
        </w:rPr>
        <w:t>,</w:t>
      </w:r>
      <w:r w:rsidRPr="00067F12">
        <w:rPr>
          <w:rFonts w:ascii="Arial" w:hAnsi="Arial" w:cs="Arial"/>
        </w:rPr>
        <w:t xml:space="preserve"> N</w:t>
      </w:r>
      <w:r w:rsidR="001820E8">
        <w:rPr>
          <w:rFonts w:ascii="Arial" w:hAnsi="Arial" w:cs="Arial"/>
        </w:rPr>
        <w:t>.</w:t>
      </w:r>
      <w:r w:rsidRPr="00067F12">
        <w:rPr>
          <w:rFonts w:ascii="Arial" w:hAnsi="Arial" w:cs="Arial"/>
        </w:rPr>
        <w:t xml:space="preserve">, </w:t>
      </w:r>
      <w:proofErr w:type="spellStart"/>
      <w:r w:rsidRPr="00067F12">
        <w:rPr>
          <w:rFonts w:ascii="Arial" w:hAnsi="Arial" w:cs="Arial"/>
        </w:rPr>
        <w:t>Djindimadje</w:t>
      </w:r>
      <w:proofErr w:type="spellEnd"/>
      <w:r w:rsidR="00AF49B3">
        <w:rPr>
          <w:rFonts w:ascii="Arial" w:hAnsi="Arial" w:cs="Arial"/>
        </w:rPr>
        <w:t>,</w:t>
      </w:r>
      <w:r w:rsidRPr="00067F12">
        <w:rPr>
          <w:rFonts w:ascii="Arial" w:hAnsi="Arial" w:cs="Arial"/>
        </w:rPr>
        <w:t xml:space="preserve"> A</w:t>
      </w:r>
      <w:r w:rsidR="001820E8">
        <w:rPr>
          <w:rFonts w:ascii="Arial" w:hAnsi="Arial" w:cs="Arial"/>
        </w:rPr>
        <w:t>.</w:t>
      </w:r>
      <w:r w:rsidRPr="00067F12">
        <w:rPr>
          <w:rFonts w:ascii="Arial" w:hAnsi="Arial" w:cs="Arial"/>
        </w:rPr>
        <w:t xml:space="preserve"> and al. Predictors of COVID-19 vaccine hesitancy in Chad: A cross-sectional study. Front Public Health. 2023, 4;10:1063954. </w:t>
      </w:r>
      <w:proofErr w:type="spellStart"/>
      <w:r w:rsidRPr="00067F12">
        <w:rPr>
          <w:rFonts w:ascii="Arial" w:hAnsi="Arial" w:cs="Arial"/>
          <w:color w:val="002060"/>
        </w:rPr>
        <w:t>doi</w:t>
      </w:r>
      <w:proofErr w:type="spellEnd"/>
      <w:r w:rsidRPr="00067F12">
        <w:rPr>
          <w:rFonts w:ascii="Arial" w:hAnsi="Arial" w:cs="Arial"/>
          <w:color w:val="002060"/>
        </w:rPr>
        <w:t xml:space="preserve">: 10.3389/fpubh.2022.1063954     </w:t>
      </w:r>
    </w:p>
    <w:p w14:paraId="71ED1316" w14:textId="77777777" w:rsidR="00067F12" w:rsidRPr="00067F12" w:rsidRDefault="00067F12" w:rsidP="00067F12">
      <w:pPr>
        <w:jc w:val="both"/>
        <w:rPr>
          <w:rFonts w:ascii="Arial" w:hAnsi="Arial" w:cs="Arial"/>
        </w:rPr>
      </w:pPr>
      <w:r w:rsidRPr="00067F12">
        <w:rPr>
          <w:rFonts w:ascii="Arial" w:hAnsi="Arial" w:cs="Arial"/>
          <w:b/>
          <w:bCs/>
        </w:rPr>
        <w:t>16.</w:t>
      </w:r>
      <w:r w:rsidRPr="00067F12">
        <w:rPr>
          <w:rFonts w:ascii="Arial" w:hAnsi="Arial" w:cs="Arial"/>
        </w:rPr>
        <w:t xml:space="preserve"> Hu</w:t>
      </w:r>
      <w:r w:rsidR="00AF49B3">
        <w:rPr>
          <w:rFonts w:ascii="Arial" w:hAnsi="Arial" w:cs="Arial"/>
        </w:rPr>
        <w:t>,</w:t>
      </w:r>
      <w:r w:rsidRPr="00067F12">
        <w:rPr>
          <w:rFonts w:ascii="Arial" w:hAnsi="Arial" w:cs="Arial"/>
        </w:rPr>
        <w:t xml:space="preserve"> S</w:t>
      </w:r>
      <w:r w:rsidR="001820E8">
        <w:rPr>
          <w:rFonts w:ascii="Arial" w:hAnsi="Arial" w:cs="Arial"/>
        </w:rPr>
        <w:t>.</w:t>
      </w:r>
      <w:r w:rsidRPr="00067F12">
        <w:rPr>
          <w:rFonts w:ascii="Arial" w:hAnsi="Arial" w:cs="Arial"/>
        </w:rPr>
        <w:t>, Xiong</w:t>
      </w:r>
      <w:r w:rsidR="00AF49B3">
        <w:rPr>
          <w:rFonts w:ascii="Arial" w:hAnsi="Arial" w:cs="Arial"/>
        </w:rPr>
        <w:t>,</w:t>
      </w:r>
      <w:r w:rsidRPr="00067F12">
        <w:rPr>
          <w:rFonts w:ascii="Arial" w:hAnsi="Arial" w:cs="Arial"/>
        </w:rPr>
        <w:t xml:space="preserve"> C</w:t>
      </w:r>
      <w:r w:rsidR="001820E8">
        <w:rPr>
          <w:rFonts w:ascii="Arial" w:hAnsi="Arial" w:cs="Arial"/>
        </w:rPr>
        <w:t>.</w:t>
      </w:r>
      <w:r w:rsidRPr="00067F12">
        <w:rPr>
          <w:rFonts w:ascii="Arial" w:hAnsi="Arial" w:cs="Arial"/>
        </w:rPr>
        <w:t>, Li</w:t>
      </w:r>
      <w:r w:rsidR="00AF49B3">
        <w:rPr>
          <w:rFonts w:ascii="Arial" w:hAnsi="Arial" w:cs="Arial"/>
        </w:rPr>
        <w:t>,</w:t>
      </w:r>
      <w:r w:rsidRPr="00067F12">
        <w:rPr>
          <w:rFonts w:ascii="Arial" w:hAnsi="Arial" w:cs="Arial"/>
        </w:rPr>
        <w:t xml:space="preserve"> Q</w:t>
      </w:r>
      <w:r w:rsidR="001820E8">
        <w:rPr>
          <w:rFonts w:ascii="Arial" w:hAnsi="Arial" w:cs="Arial"/>
        </w:rPr>
        <w:t>.</w:t>
      </w:r>
      <w:r w:rsidRPr="00067F12">
        <w:rPr>
          <w:rFonts w:ascii="Arial" w:hAnsi="Arial" w:cs="Arial"/>
        </w:rPr>
        <w:t>, Wang</w:t>
      </w:r>
      <w:r w:rsidR="00AF49B3">
        <w:rPr>
          <w:rFonts w:ascii="Arial" w:hAnsi="Arial" w:cs="Arial"/>
        </w:rPr>
        <w:t>,</w:t>
      </w:r>
      <w:r w:rsidRPr="00067F12">
        <w:rPr>
          <w:rFonts w:ascii="Arial" w:hAnsi="Arial" w:cs="Arial"/>
        </w:rPr>
        <w:t xml:space="preserve"> Z</w:t>
      </w:r>
      <w:r w:rsidR="001820E8">
        <w:rPr>
          <w:rFonts w:ascii="Arial" w:hAnsi="Arial" w:cs="Arial"/>
        </w:rPr>
        <w:t>.</w:t>
      </w:r>
      <w:r w:rsidRPr="00067F12">
        <w:rPr>
          <w:rFonts w:ascii="Arial" w:hAnsi="Arial" w:cs="Arial"/>
        </w:rPr>
        <w:t>, Jiang</w:t>
      </w:r>
      <w:r w:rsidR="00AF49B3">
        <w:rPr>
          <w:rFonts w:ascii="Arial" w:hAnsi="Arial" w:cs="Arial"/>
        </w:rPr>
        <w:t>,</w:t>
      </w:r>
      <w:r w:rsidRPr="00067F12">
        <w:rPr>
          <w:rFonts w:ascii="Arial" w:hAnsi="Arial" w:cs="Arial"/>
        </w:rPr>
        <w:t xml:space="preserve"> Y. COVID-19 vaccine hesitancy cannot fully explain disparities in vaccination coverage across the contiguous United States. Vaccine, 2022, 40(37), 5471-5482. </w:t>
      </w:r>
      <w:r w:rsidRPr="00067F12">
        <w:rPr>
          <w:rFonts w:ascii="Arial" w:hAnsi="Arial" w:cs="Arial"/>
          <w:color w:val="002060"/>
        </w:rPr>
        <w:t xml:space="preserve">doi.org/10.1016/j.vaccine.2022.07.051  </w:t>
      </w:r>
    </w:p>
    <w:p w14:paraId="2F0220EA" w14:textId="77777777" w:rsidR="00067F12" w:rsidRPr="00067F12" w:rsidRDefault="00067F12" w:rsidP="00067F12">
      <w:pPr>
        <w:jc w:val="both"/>
        <w:rPr>
          <w:rFonts w:ascii="Arial" w:hAnsi="Arial" w:cs="Arial"/>
          <w:color w:val="002060"/>
        </w:rPr>
      </w:pPr>
      <w:r w:rsidRPr="00067F12">
        <w:rPr>
          <w:rFonts w:ascii="Arial" w:hAnsi="Arial" w:cs="Arial"/>
          <w:b/>
          <w:bCs/>
        </w:rPr>
        <w:t>17.</w:t>
      </w:r>
      <w:r w:rsidRPr="00067F12">
        <w:rPr>
          <w:rFonts w:ascii="Arial" w:hAnsi="Arial" w:cs="Arial"/>
        </w:rPr>
        <w:t xml:space="preserve"> Li</w:t>
      </w:r>
      <w:r w:rsidR="00AF49B3">
        <w:rPr>
          <w:rFonts w:ascii="Arial" w:hAnsi="Arial" w:cs="Arial"/>
        </w:rPr>
        <w:t>,</w:t>
      </w:r>
      <w:r w:rsidRPr="00067F12">
        <w:rPr>
          <w:rFonts w:ascii="Arial" w:hAnsi="Arial" w:cs="Arial"/>
        </w:rPr>
        <w:t xml:space="preserve"> H</w:t>
      </w:r>
      <w:r w:rsidR="001820E8">
        <w:rPr>
          <w:rFonts w:ascii="Arial" w:hAnsi="Arial" w:cs="Arial"/>
        </w:rPr>
        <w:t>.</w:t>
      </w:r>
      <w:r w:rsidRPr="00067F12">
        <w:rPr>
          <w:rFonts w:ascii="Arial" w:hAnsi="Arial" w:cs="Arial"/>
        </w:rPr>
        <w:t>, Ping</w:t>
      </w:r>
      <w:r w:rsidR="00AF49B3">
        <w:rPr>
          <w:rFonts w:ascii="Arial" w:hAnsi="Arial" w:cs="Arial"/>
        </w:rPr>
        <w:t>,</w:t>
      </w:r>
      <w:r w:rsidRPr="00067F12">
        <w:rPr>
          <w:rFonts w:ascii="Arial" w:hAnsi="Arial" w:cs="Arial"/>
        </w:rPr>
        <w:t xml:space="preserve"> F</w:t>
      </w:r>
      <w:r w:rsidR="001820E8">
        <w:rPr>
          <w:rFonts w:ascii="Arial" w:hAnsi="Arial" w:cs="Arial"/>
        </w:rPr>
        <w:t>.</w:t>
      </w:r>
      <w:r w:rsidRPr="00067F12">
        <w:rPr>
          <w:rFonts w:ascii="Arial" w:hAnsi="Arial" w:cs="Arial"/>
        </w:rPr>
        <w:t>, Li</w:t>
      </w:r>
      <w:r w:rsidR="00AF49B3">
        <w:rPr>
          <w:rFonts w:ascii="Arial" w:hAnsi="Arial" w:cs="Arial"/>
        </w:rPr>
        <w:t>,</w:t>
      </w:r>
      <w:r w:rsidRPr="00067F12">
        <w:rPr>
          <w:rFonts w:ascii="Arial" w:hAnsi="Arial" w:cs="Arial"/>
        </w:rPr>
        <w:t xml:space="preserve"> X</w:t>
      </w:r>
      <w:r w:rsidR="001820E8">
        <w:rPr>
          <w:rFonts w:ascii="Arial" w:hAnsi="Arial" w:cs="Arial"/>
        </w:rPr>
        <w:t>.</w:t>
      </w:r>
      <w:r w:rsidRPr="00067F12">
        <w:rPr>
          <w:rFonts w:ascii="Arial" w:hAnsi="Arial" w:cs="Arial"/>
        </w:rPr>
        <w:t>, Wang</w:t>
      </w:r>
      <w:r w:rsidR="00AF49B3">
        <w:rPr>
          <w:rFonts w:ascii="Arial" w:hAnsi="Arial" w:cs="Arial"/>
        </w:rPr>
        <w:t>,</w:t>
      </w:r>
      <w:r w:rsidRPr="00067F12">
        <w:rPr>
          <w:rFonts w:ascii="Arial" w:hAnsi="Arial" w:cs="Arial"/>
        </w:rPr>
        <w:t xml:space="preserve"> Z</w:t>
      </w:r>
      <w:r w:rsidR="001820E8">
        <w:rPr>
          <w:rFonts w:ascii="Arial" w:hAnsi="Arial" w:cs="Arial"/>
        </w:rPr>
        <w:t>.</w:t>
      </w:r>
      <w:r w:rsidRPr="00067F12">
        <w:rPr>
          <w:rFonts w:ascii="Arial" w:hAnsi="Arial" w:cs="Arial"/>
        </w:rPr>
        <w:t>, Xiao</w:t>
      </w:r>
      <w:r w:rsidR="00AF49B3">
        <w:rPr>
          <w:rFonts w:ascii="Arial" w:hAnsi="Arial" w:cs="Arial"/>
        </w:rPr>
        <w:t>,</w:t>
      </w:r>
      <w:r w:rsidRPr="00067F12">
        <w:rPr>
          <w:rFonts w:ascii="Arial" w:hAnsi="Arial" w:cs="Arial"/>
        </w:rPr>
        <w:t xml:space="preserve"> J</w:t>
      </w:r>
      <w:r w:rsidR="001820E8">
        <w:rPr>
          <w:rFonts w:ascii="Arial" w:hAnsi="Arial" w:cs="Arial"/>
        </w:rPr>
        <w:t>.</w:t>
      </w:r>
      <w:r w:rsidRPr="00067F12">
        <w:rPr>
          <w:rFonts w:ascii="Arial" w:hAnsi="Arial" w:cs="Arial"/>
        </w:rPr>
        <w:t>, Jiang</w:t>
      </w:r>
      <w:r w:rsidR="00AF49B3">
        <w:rPr>
          <w:rFonts w:ascii="Arial" w:hAnsi="Arial" w:cs="Arial"/>
        </w:rPr>
        <w:t>,</w:t>
      </w:r>
      <w:r w:rsidRPr="00067F12">
        <w:rPr>
          <w:rFonts w:ascii="Arial" w:hAnsi="Arial" w:cs="Arial"/>
        </w:rPr>
        <w:t xml:space="preserve"> H</w:t>
      </w:r>
      <w:r w:rsidR="001820E8">
        <w:rPr>
          <w:rFonts w:ascii="Arial" w:hAnsi="Arial" w:cs="Arial"/>
        </w:rPr>
        <w:t>.</w:t>
      </w:r>
      <w:r w:rsidRPr="00067F12">
        <w:rPr>
          <w:rFonts w:ascii="Arial" w:hAnsi="Arial" w:cs="Arial"/>
        </w:rPr>
        <w:t>, Xue</w:t>
      </w:r>
      <w:r w:rsidR="00AF49B3">
        <w:rPr>
          <w:rFonts w:ascii="Arial" w:hAnsi="Arial" w:cs="Arial"/>
        </w:rPr>
        <w:t>,</w:t>
      </w:r>
      <w:r w:rsidRPr="00067F12">
        <w:rPr>
          <w:rFonts w:ascii="Arial" w:hAnsi="Arial" w:cs="Arial"/>
        </w:rPr>
        <w:t xml:space="preserve"> Y</w:t>
      </w:r>
      <w:r w:rsidR="001820E8">
        <w:rPr>
          <w:rFonts w:ascii="Arial" w:hAnsi="Arial" w:cs="Arial"/>
        </w:rPr>
        <w:t>.</w:t>
      </w:r>
      <w:r w:rsidRPr="00067F12">
        <w:rPr>
          <w:rFonts w:ascii="Arial" w:hAnsi="Arial" w:cs="Arial"/>
        </w:rPr>
        <w:t xml:space="preserve"> and al. 2023 COVID-19 vaccine coverage, safety, and perceptions among patients with diabetes mellitus in China: a cross sectional study. Front. Endocrinol. 2023, 14:1172089. </w:t>
      </w:r>
      <w:proofErr w:type="spellStart"/>
      <w:r w:rsidRPr="00067F12">
        <w:rPr>
          <w:rFonts w:ascii="Arial" w:hAnsi="Arial" w:cs="Arial"/>
          <w:color w:val="002060"/>
        </w:rPr>
        <w:t>doi</w:t>
      </w:r>
      <w:proofErr w:type="spellEnd"/>
      <w:r w:rsidRPr="00067F12">
        <w:rPr>
          <w:rFonts w:ascii="Arial" w:hAnsi="Arial" w:cs="Arial"/>
          <w:color w:val="002060"/>
        </w:rPr>
        <w:t>: 10.3389/fendo.2023.1172089</w:t>
      </w:r>
    </w:p>
    <w:p w14:paraId="7FB57676" w14:textId="77777777" w:rsidR="00067F12" w:rsidRPr="00067F12" w:rsidRDefault="00067F12" w:rsidP="00067F12">
      <w:pPr>
        <w:jc w:val="both"/>
        <w:rPr>
          <w:rFonts w:ascii="Arial" w:hAnsi="Arial" w:cs="Arial"/>
        </w:rPr>
      </w:pPr>
      <w:r w:rsidRPr="00067F12">
        <w:rPr>
          <w:rFonts w:ascii="Arial" w:hAnsi="Arial" w:cs="Arial"/>
          <w:b/>
          <w:bCs/>
        </w:rPr>
        <w:t>18.</w:t>
      </w:r>
      <w:r w:rsidRPr="00067F12">
        <w:rPr>
          <w:rFonts w:ascii="Arial" w:hAnsi="Arial" w:cs="Arial"/>
        </w:rPr>
        <w:t xml:space="preserve"> </w:t>
      </w:r>
      <w:proofErr w:type="spellStart"/>
      <w:r w:rsidRPr="00067F12">
        <w:rPr>
          <w:rFonts w:ascii="Arial" w:hAnsi="Arial" w:cs="Arial"/>
        </w:rPr>
        <w:t>Pescarini</w:t>
      </w:r>
      <w:proofErr w:type="spellEnd"/>
      <w:r w:rsidR="00AF49B3">
        <w:rPr>
          <w:rFonts w:ascii="Arial" w:hAnsi="Arial" w:cs="Arial"/>
        </w:rPr>
        <w:t>,</w:t>
      </w:r>
      <w:r w:rsidRPr="00067F12">
        <w:rPr>
          <w:rFonts w:ascii="Arial" w:hAnsi="Arial" w:cs="Arial"/>
        </w:rPr>
        <w:t xml:space="preserve"> J</w:t>
      </w:r>
      <w:r w:rsidR="001820E8">
        <w:rPr>
          <w:rFonts w:ascii="Arial" w:hAnsi="Arial" w:cs="Arial"/>
        </w:rPr>
        <w:t>.</w:t>
      </w:r>
      <w:r w:rsidRPr="00067F12">
        <w:rPr>
          <w:rFonts w:ascii="Arial" w:hAnsi="Arial" w:cs="Arial"/>
        </w:rPr>
        <w:t>M, Cardoso</w:t>
      </w:r>
      <w:r w:rsidR="00AF49B3">
        <w:rPr>
          <w:rFonts w:ascii="Arial" w:hAnsi="Arial" w:cs="Arial"/>
        </w:rPr>
        <w:t>,</w:t>
      </w:r>
      <w:r w:rsidRPr="00067F12">
        <w:rPr>
          <w:rFonts w:ascii="Arial" w:hAnsi="Arial" w:cs="Arial"/>
        </w:rPr>
        <w:t xml:space="preserve"> A</w:t>
      </w:r>
      <w:r w:rsidR="001820E8">
        <w:rPr>
          <w:rFonts w:ascii="Arial" w:hAnsi="Arial" w:cs="Arial"/>
        </w:rPr>
        <w:t>.</w:t>
      </w:r>
      <w:r w:rsidRPr="00067F12">
        <w:rPr>
          <w:rFonts w:ascii="Arial" w:hAnsi="Arial" w:cs="Arial"/>
        </w:rPr>
        <w:t>M</w:t>
      </w:r>
      <w:r w:rsidR="001820E8">
        <w:rPr>
          <w:rFonts w:ascii="Arial" w:hAnsi="Arial" w:cs="Arial"/>
        </w:rPr>
        <w:t>.</w:t>
      </w:r>
      <w:r w:rsidRPr="00067F12">
        <w:rPr>
          <w:rFonts w:ascii="Arial" w:hAnsi="Arial" w:cs="Arial"/>
        </w:rPr>
        <w:t>, Santos</w:t>
      </w:r>
      <w:r w:rsidR="00AF49B3">
        <w:rPr>
          <w:rFonts w:ascii="Arial" w:hAnsi="Arial" w:cs="Arial"/>
        </w:rPr>
        <w:t>,</w:t>
      </w:r>
      <w:r w:rsidRPr="00067F12">
        <w:rPr>
          <w:rFonts w:ascii="Arial" w:hAnsi="Arial" w:cs="Arial"/>
        </w:rPr>
        <w:t xml:space="preserve"> R</w:t>
      </w:r>
      <w:r w:rsidR="001820E8">
        <w:rPr>
          <w:rFonts w:ascii="Arial" w:hAnsi="Arial" w:cs="Arial"/>
        </w:rPr>
        <w:t>.</w:t>
      </w:r>
      <w:r w:rsidRPr="00067F12">
        <w:rPr>
          <w:rFonts w:ascii="Arial" w:hAnsi="Arial" w:cs="Arial"/>
        </w:rPr>
        <w:t>V</w:t>
      </w:r>
      <w:r w:rsidR="001820E8">
        <w:rPr>
          <w:rFonts w:ascii="Arial" w:hAnsi="Arial" w:cs="Arial"/>
        </w:rPr>
        <w:t>.</w:t>
      </w:r>
      <w:r w:rsidRPr="00067F12">
        <w:rPr>
          <w:rFonts w:ascii="Arial" w:hAnsi="Arial" w:cs="Arial"/>
        </w:rPr>
        <w:t>, Scaff</w:t>
      </w:r>
      <w:r w:rsidR="00AF49B3">
        <w:rPr>
          <w:rFonts w:ascii="Arial" w:hAnsi="Arial" w:cs="Arial"/>
        </w:rPr>
        <w:t>,</w:t>
      </w:r>
      <w:r w:rsidRPr="00067F12">
        <w:rPr>
          <w:rFonts w:ascii="Arial" w:hAnsi="Arial" w:cs="Arial"/>
        </w:rPr>
        <w:t xml:space="preserve"> P</w:t>
      </w:r>
      <w:r w:rsidR="001820E8">
        <w:rPr>
          <w:rFonts w:ascii="Arial" w:hAnsi="Arial" w:cs="Arial"/>
        </w:rPr>
        <w:t>.</w:t>
      </w:r>
      <w:r w:rsidRPr="00067F12">
        <w:rPr>
          <w:rFonts w:ascii="Arial" w:hAnsi="Arial" w:cs="Arial"/>
        </w:rPr>
        <w:t>F</w:t>
      </w:r>
      <w:r w:rsidR="001820E8">
        <w:rPr>
          <w:rFonts w:ascii="Arial" w:hAnsi="Arial" w:cs="Arial"/>
        </w:rPr>
        <w:t>.</w:t>
      </w:r>
      <w:r w:rsidRPr="00067F12">
        <w:rPr>
          <w:rFonts w:ascii="Arial" w:hAnsi="Arial" w:cs="Arial"/>
        </w:rPr>
        <w:t>, Paixao</w:t>
      </w:r>
      <w:r w:rsidR="00AF49B3">
        <w:rPr>
          <w:rFonts w:ascii="Arial" w:hAnsi="Arial" w:cs="Arial"/>
        </w:rPr>
        <w:t>,</w:t>
      </w:r>
      <w:r w:rsidRPr="00067F12">
        <w:rPr>
          <w:rFonts w:ascii="Arial" w:hAnsi="Arial" w:cs="Arial"/>
        </w:rPr>
        <w:t xml:space="preserve"> E</w:t>
      </w:r>
      <w:r w:rsidR="001820E8">
        <w:rPr>
          <w:rFonts w:ascii="Arial" w:hAnsi="Arial" w:cs="Arial"/>
        </w:rPr>
        <w:t>.</w:t>
      </w:r>
      <w:r w:rsidRPr="00067F12">
        <w:rPr>
          <w:rFonts w:ascii="Arial" w:hAnsi="Arial" w:cs="Arial"/>
        </w:rPr>
        <w:t>S</w:t>
      </w:r>
      <w:r w:rsidR="001820E8">
        <w:rPr>
          <w:rFonts w:ascii="Arial" w:hAnsi="Arial" w:cs="Arial"/>
        </w:rPr>
        <w:t>.</w:t>
      </w:r>
      <w:r w:rsidRPr="00067F12">
        <w:rPr>
          <w:rFonts w:ascii="Arial" w:hAnsi="Arial" w:cs="Arial"/>
        </w:rPr>
        <w:t xml:space="preserve">, </w:t>
      </w:r>
      <w:proofErr w:type="spellStart"/>
      <w:r w:rsidRPr="00067F12">
        <w:rPr>
          <w:rFonts w:ascii="Arial" w:hAnsi="Arial" w:cs="Arial"/>
        </w:rPr>
        <w:t>Ranzani</w:t>
      </w:r>
      <w:proofErr w:type="spellEnd"/>
      <w:r w:rsidR="00AF49B3">
        <w:rPr>
          <w:rFonts w:ascii="Arial" w:hAnsi="Arial" w:cs="Arial"/>
        </w:rPr>
        <w:t>,</w:t>
      </w:r>
      <w:r w:rsidRPr="00067F12">
        <w:rPr>
          <w:rFonts w:ascii="Arial" w:hAnsi="Arial" w:cs="Arial"/>
        </w:rPr>
        <w:t xml:space="preserve"> O</w:t>
      </w:r>
      <w:r w:rsidR="001820E8">
        <w:rPr>
          <w:rFonts w:ascii="Arial" w:hAnsi="Arial" w:cs="Arial"/>
        </w:rPr>
        <w:t>.</w:t>
      </w:r>
      <w:r w:rsidRPr="00067F12">
        <w:rPr>
          <w:rFonts w:ascii="Arial" w:hAnsi="Arial" w:cs="Arial"/>
        </w:rPr>
        <w:t>T</w:t>
      </w:r>
      <w:r w:rsidR="001820E8">
        <w:rPr>
          <w:rFonts w:ascii="Arial" w:hAnsi="Arial" w:cs="Arial"/>
        </w:rPr>
        <w:t>.</w:t>
      </w:r>
      <w:r w:rsidRPr="00067F12">
        <w:rPr>
          <w:rFonts w:ascii="Arial" w:hAnsi="Arial" w:cs="Arial"/>
        </w:rPr>
        <w:t xml:space="preserve"> et al. Vaccine coverage and effectiveness against laboratory-confirmed symptomatic and severe Covid-19 in indigenous people in Brazil: a cohort study. BMC Public Health 2023, 1267 (2023). </w:t>
      </w:r>
      <w:r w:rsidRPr="00067F12">
        <w:rPr>
          <w:rFonts w:ascii="Arial" w:hAnsi="Arial" w:cs="Arial"/>
          <w:color w:val="002060"/>
        </w:rPr>
        <w:t xml:space="preserve">doi.org/10.1186/s12889-023-16196-4 </w:t>
      </w:r>
    </w:p>
    <w:p w14:paraId="6F8E9BAE" w14:textId="77777777" w:rsidR="00067F12" w:rsidRPr="00067F12" w:rsidRDefault="00067F12" w:rsidP="00067F12">
      <w:pPr>
        <w:jc w:val="both"/>
        <w:rPr>
          <w:rFonts w:ascii="Arial" w:hAnsi="Arial" w:cs="Arial"/>
        </w:rPr>
      </w:pPr>
      <w:r w:rsidRPr="00067F12">
        <w:rPr>
          <w:rFonts w:ascii="Arial" w:hAnsi="Arial" w:cs="Arial"/>
          <w:b/>
          <w:bCs/>
        </w:rPr>
        <w:t>19.</w:t>
      </w:r>
      <w:r w:rsidRPr="00067F12">
        <w:rPr>
          <w:rFonts w:ascii="Arial" w:hAnsi="Arial" w:cs="Arial"/>
        </w:rPr>
        <w:t xml:space="preserve"> </w:t>
      </w:r>
      <w:proofErr w:type="spellStart"/>
      <w:r w:rsidRPr="00067F12">
        <w:rPr>
          <w:rFonts w:ascii="Arial" w:hAnsi="Arial" w:cs="Arial"/>
        </w:rPr>
        <w:t>Vacaflores</w:t>
      </w:r>
      <w:proofErr w:type="spellEnd"/>
      <w:r w:rsidRPr="00067F12">
        <w:rPr>
          <w:rFonts w:ascii="Arial" w:hAnsi="Arial" w:cs="Arial"/>
        </w:rPr>
        <w:t xml:space="preserve"> Salinas</w:t>
      </w:r>
      <w:r w:rsidR="00AF49B3">
        <w:rPr>
          <w:rFonts w:ascii="Arial" w:hAnsi="Arial" w:cs="Arial"/>
        </w:rPr>
        <w:t>,</w:t>
      </w:r>
      <w:r w:rsidRPr="00067F12">
        <w:rPr>
          <w:rFonts w:ascii="Arial" w:hAnsi="Arial" w:cs="Arial"/>
        </w:rPr>
        <w:t xml:space="preserve"> A</w:t>
      </w:r>
      <w:r w:rsidR="001820E8">
        <w:rPr>
          <w:rFonts w:ascii="Arial" w:hAnsi="Arial" w:cs="Arial"/>
        </w:rPr>
        <w:t>.</w:t>
      </w:r>
      <w:r w:rsidRPr="00067F12">
        <w:rPr>
          <w:rFonts w:ascii="Arial" w:hAnsi="Arial" w:cs="Arial"/>
        </w:rPr>
        <w:t xml:space="preserve">, </w:t>
      </w:r>
      <w:proofErr w:type="spellStart"/>
      <w:r w:rsidRPr="00067F12">
        <w:rPr>
          <w:rFonts w:ascii="Arial" w:hAnsi="Arial" w:cs="Arial"/>
        </w:rPr>
        <w:t>Ashavaid</w:t>
      </w:r>
      <w:proofErr w:type="spellEnd"/>
      <w:r w:rsidR="00AF49B3">
        <w:rPr>
          <w:rFonts w:ascii="Arial" w:hAnsi="Arial" w:cs="Arial"/>
        </w:rPr>
        <w:t>,</w:t>
      </w:r>
      <w:r w:rsidRPr="00067F12">
        <w:rPr>
          <w:rFonts w:ascii="Arial" w:hAnsi="Arial" w:cs="Arial"/>
        </w:rPr>
        <w:t xml:space="preserve"> T</w:t>
      </w:r>
      <w:r w:rsidR="001820E8">
        <w:rPr>
          <w:rFonts w:ascii="Arial" w:hAnsi="Arial" w:cs="Arial"/>
        </w:rPr>
        <w:t>.</w:t>
      </w:r>
      <w:r w:rsidRPr="00067F12">
        <w:rPr>
          <w:rFonts w:ascii="Arial" w:hAnsi="Arial" w:cs="Arial"/>
        </w:rPr>
        <w:t>, Payne</w:t>
      </w:r>
      <w:r w:rsidR="00AF49B3">
        <w:rPr>
          <w:rFonts w:ascii="Arial" w:hAnsi="Arial" w:cs="Arial"/>
        </w:rPr>
        <w:t>,</w:t>
      </w:r>
      <w:r w:rsidRPr="00067F12">
        <w:rPr>
          <w:rFonts w:ascii="Arial" w:hAnsi="Arial" w:cs="Arial"/>
        </w:rPr>
        <w:t xml:space="preserve"> D</w:t>
      </w:r>
      <w:r w:rsidR="001820E8">
        <w:rPr>
          <w:rFonts w:ascii="Arial" w:hAnsi="Arial" w:cs="Arial"/>
        </w:rPr>
        <w:t>.</w:t>
      </w:r>
      <w:r w:rsidRPr="00067F12">
        <w:rPr>
          <w:rFonts w:ascii="Arial" w:hAnsi="Arial" w:cs="Arial"/>
        </w:rPr>
        <w:t>A</w:t>
      </w:r>
      <w:r w:rsidR="001820E8">
        <w:rPr>
          <w:rFonts w:ascii="Arial" w:hAnsi="Arial" w:cs="Arial"/>
        </w:rPr>
        <w:t>.</w:t>
      </w:r>
      <w:r w:rsidRPr="00067F12">
        <w:rPr>
          <w:rFonts w:ascii="Arial" w:hAnsi="Arial" w:cs="Arial"/>
        </w:rPr>
        <w:t>, Linder</w:t>
      </w:r>
      <w:r w:rsidR="00AF49B3">
        <w:rPr>
          <w:rFonts w:ascii="Arial" w:hAnsi="Arial" w:cs="Arial"/>
        </w:rPr>
        <w:t>,</w:t>
      </w:r>
      <w:r w:rsidRPr="00067F12">
        <w:rPr>
          <w:rFonts w:ascii="Arial" w:hAnsi="Arial" w:cs="Arial"/>
        </w:rPr>
        <w:t xml:space="preserve"> M</w:t>
      </w:r>
      <w:r w:rsidR="001820E8">
        <w:rPr>
          <w:rFonts w:ascii="Arial" w:hAnsi="Arial" w:cs="Arial"/>
        </w:rPr>
        <w:t>.</w:t>
      </w:r>
      <w:r w:rsidRPr="00067F12">
        <w:rPr>
          <w:rFonts w:ascii="Arial" w:hAnsi="Arial" w:cs="Arial"/>
        </w:rPr>
        <w:t>W</w:t>
      </w:r>
      <w:r w:rsidR="001820E8">
        <w:rPr>
          <w:rFonts w:ascii="Arial" w:hAnsi="Arial" w:cs="Arial"/>
        </w:rPr>
        <w:t>.</w:t>
      </w:r>
      <w:r w:rsidRPr="00067F12">
        <w:rPr>
          <w:rFonts w:ascii="Arial" w:hAnsi="Arial" w:cs="Arial"/>
        </w:rPr>
        <w:t>, Baluchova</w:t>
      </w:r>
      <w:r w:rsidR="00AF49B3">
        <w:rPr>
          <w:rFonts w:ascii="Arial" w:hAnsi="Arial" w:cs="Arial"/>
        </w:rPr>
        <w:t>,</w:t>
      </w:r>
      <w:r w:rsidRPr="00067F12">
        <w:rPr>
          <w:rFonts w:ascii="Arial" w:hAnsi="Arial" w:cs="Arial"/>
        </w:rPr>
        <w:t xml:space="preserve"> K</w:t>
      </w:r>
      <w:r w:rsidR="001820E8">
        <w:rPr>
          <w:rFonts w:ascii="Arial" w:hAnsi="Arial" w:cs="Arial"/>
        </w:rPr>
        <w:t>.</w:t>
      </w:r>
      <w:r w:rsidRPr="00067F12">
        <w:rPr>
          <w:rFonts w:ascii="Arial" w:hAnsi="Arial" w:cs="Arial"/>
        </w:rPr>
        <w:t>, Pan</w:t>
      </w:r>
      <w:r w:rsidR="00AF49B3">
        <w:rPr>
          <w:rFonts w:ascii="Arial" w:hAnsi="Arial" w:cs="Arial"/>
        </w:rPr>
        <w:t>,</w:t>
      </w:r>
      <w:r w:rsidRPr="00067F12">
        <w:rPr>
          <w:rFonts w:ascii="Arial" w:hAnsi="Arial" w:cs="Arial"/>
        </w:rPr>
        <w:t xml:space="preserve"> S</w:t>
      </w:r>
      <w:r w:rsidR="001820E8">
        <w:rPr>
          <w:rFonts w:ascii="Arial" w:hAnsi="Arial" w:cs="Arial"/>
        </w:rPr>
        <w:t>.</w:t>
      </w:r>
      <w:r w:rsidRPr="00067F12">
        <w:rPr>
          <w:rFonts w:ascii="Arial" w:hAnsi="Arial" w:cs="Arial"/>
        </w:rPr>
        <w:t>, Huggett</w:t>
      </w:r>
      <w:r w:rsidR="00AF49B3">
        <w:rPr>
          <w:rFonts w:ascii="Arial" w:hAnsi="Arial" w:cs="Arial"/>
        </w:rPr>
        <w:t>,</w:t>
      </w:r>
      <w:r w:rsidRPr="00067F12">
        <w:rPr>
          <w:rFonts w:ascii="Arial" w:hAnsi="Arial" w:cs="Arial"/>
        </w:rPr>
        <w:t xml:space="preserve"> J</w:t>
      </w:r>
      <w:r w:rsidR="001820E8">
        <w:rPr>
          <w:rFonts w:ascii="Arial" w:hAnsi="Arial" w:cs="Arial"/>
        </w:rPr>
        <w:t>.</w:t>
      </w:r>
      <w:r w:rsidRPr="00067F12">
        <w:rPr>
          <w:rFonts w:ascii="Arial" w:hAnsi="Arial" w:cs="Arial"/>
        </w:rPr>
        <w:t>, Ahmad-Nejad</w:t>
      </w:r>
      <w:r w:rsidR="00AF49B3">
        <w:rPr>
          <w:rFonts w:ascii="Arial" w:hAnsi="Arial" w:cs="Arial"/>
        </w:rPr>
        <w:t>,</w:t>
      </w:r>
      <w:r w:rsidRPr="00067F12">
        <w:rPr>
          <w:rFonts w:ascii="Arial" w:hAnsi="Arial" w:cs="Arial"/>
        </w:rPr>
        <w:t xml:space="preserve"> P. Molecular diagnostics of SARS-CoV-2: Findings of an international survey. Clin Chim Acta. 2022.1;531:237-242. </w:t>
      </w:r>
      <w:proofErr w:type="spellStart"/>
      <w:r w:rsidRPr="00067F12">
        <w:rPr>
          <w:rFonts w:ascii="Arial" w:hAnsi="Arial" w:cs="Arial"/>
          <w:color w:val="002060"/>
        </w:rPr>
        <w:t>doi</w:t>
      </w:r>
      <w:proofErr w:type="spellEnd"/>
      <w:r w:rsidRPr="00067F12">
        <w:rPr>
          <w:rFonts w:ascii="Arial" w:hAnsi="Arial" w:cs="Arial"/>
          <w:color w:val="002060"/>
        </w:rPr>
        <w:t>: 10.1016/j.cca.2022.04.007</w:t>
      </w:r>
      <w:r w:rsidRPr="00067F12">
        <w:rPr>
          <w:rFonts w:ascii="Arial" w:hAnsi="Arial" w:cs="Arial"/>
        </w:rPr>
        <w:tab/>
        <w:t xml:space="preserve"> </w:t>
      </w:r>
    </w:p>
    <w:p w14:paraId="4CF74424" w14:textId="77777777" w:rsidR="00067F12" w:rsidRPr="00067F12" w:rsidRDefault="00067F12" w:rsidP="00067F12">
      <w:pPr>
        <w:jc w:val="both"/>
        <w:rPr>
          <w:rFonts w:ascii="Arial" w:hAnsi="Arial" w:cs="Arial"/>
          <w:color w:val="002060"/>
        </w:rPr>
      </w:pPr>
      <w:r w:rsidRPr="00067F12">
        <w:rPr>
          <w:rFonts w:ascii="Arial" w:hAnsi="Arial" w:cs="Arial"/>
          <w:b/>
          <w:bCs/>
        </w:rPr>
        <w:t>20.</w:t>
      </w:r>
      <w:r w:rsidRPr="00067F12">
        <w:rPr>
          <w:rFonts w:ascii="Arial" w:hAnsi="Arial" w:cs="Arial"/>
        </w:rPr>
        <w:t xml:space="preserve"> Bwire</w:t>
      </w:r>
      <w:r w:rsidR="00AF49B3">
        <w:rPr>
          <w:rFonts w:ascii="Arial" w:hAnsi="Arial" w:cs="Arial"/>
        </w:rPr>
        <w:t>,</w:t>
      </w:r>
      <w:r w:rsidRPr="00067F12">
        <w:rPr>
          <w:rFonts w:ascii="Arial" w:hAnsi="Arial" w:cs="Arial"/>
        </w:rPr>
        <w:t xml:space="preserve"> G</w:t>
      </w:r>
      <w:r w:rsidR="001820E8">
        <w:rPr>
          <w:rFonts w:ascii="Arial" w:hAnsi="Arial" w:cs="Arial"/>
        </w:rPr>
        <w:t>.</w:t>
      </w:r>
      <w:r w:rsidRPr="00067F12">
        <w:rPr>
          <w:rFonts w:ascii="Arial" w:hAnsi="Arial" w:cs="Arial"/>
        </w:rPr>
        <w:t>M</w:t>
      </w:r>
      <w:r w:rsidR="001820E8">
        <w:rPr>
          <w:rFonts w:ascii="Arial" w:hAnsi="Arial" w:cs="Arial"/>
        </w:rPr>
        <w:t>.</w:t>
      </w:r>
      <w:r w:rsidRPr="00067F12">
        <w:rPr>
          <w:rFonts w:ascii="Arial" w:hAnsi="Arial" w:cs="Arial"/>
        </w:rPr>
        <w:t xml:space="preserve">, </w:t>
      </w:r>
      <w:proofErr w:type="spellStart"/>
      <w:r w:rsidRPr="00067F12">
        <w:rPr>
          <w:rFonts w:ascii="Arial" w:hAnsi="Arial" w:cs="Arial"/>
        </w:rPr>
        <w:t>Majigo</w:t>
      </w:r>
      <w:proofErr w:type="spellEnd"/>
      <w:r w:rsidR="00AF49B3">
        <w:rPr>
          <w:rFonts w:ascii="Arial" w:hAnsi="Arial" w:cs="Arial"/>
        </w:rPr>
        <w:t>,</w:t>
      </w:r>
      <w:r w:rsidRPr="00067F12">
        <w:rPr>
          <w:rFonts w:ascii="Arial" w:hAnsi="Arial" w:cs="Arial"/>
        </w:rPr>
        <w:t xml:space="preserve"> M</w:t>
      </w:r>
      <w:r w:rsidR="001820E8">
        <w:rPr>
          <w:rFonts w:ascii="Arial" w:hAnsi="Arial" w:cs="Arial"/>
        </w:rPr>
        <w:t>.</w:t>
      </w:r>
      <w:r w:rsidRPr="00067F12">
        <w:rPr>
          <w:rFonts w:ascii="Arial" w:hAnsi="Arial" w:cs="Arial"/>
        </w:rPr>
        <w:t>V</w:t>
      </w:r>
      <w:r w:rsidR="001820E8">
        <w:rPr>
          <w:rFonts w:ascii="Arial" w:hAnsi="Arial" w:cs="Arial"/>
        </w:rPr>
        <w:t>.</w:t>
      </w:r>
      <w:r w:rsidRPr="00067F12">
        <w:rPr>
          <w:rFonts w:ascii="Arial" w:hAnsi="Arial" w:cs="Arial"/>
        </w:rPr>
        <w:t>, Njiro</w:t>
      </w:r>
      <w:r w:rsidR="00AF49B3">
        <w:rPr>
          <w:rFonts w:ascii="Arial" w:hAnsi="Arial" w:cs="Arial"/>
        </w:rPr>
        <w:t>,</w:t>
      </w:r>
      <w:r w:rsidRPr="00067F12">
        <w:rPr>
          <w:rFonts w:ascii="Arial" w:hAnsi="Arial" w:cs="Arial"/>
        </w:rPr>
        <w:t xml:space="preserve"> B</w:t>
      </w:r>
      <w:r w:rsidR="001820E8">
        <w:rPr>
          <w:rFonts w:ascii="Arial" w:hAnsi="Arial" w:cs="Arial"/>
        </w:rPr>
        <w:t>.</w:t>
      </w:r>
      <w:r w:rsidRPr="00067F12">
        <w:rPr>
          <w:rFonts w:ascii="Arial" w:hAnsi="Arial" w:cs="Arial"/>
        </w:rPr>
        <w:t>J</w:t>
      </w:r>
      <w:r w:rsidR="001820E8">
        <w:rPr>
          <w:rFonts w:ascii="Arial" w:hAnsi="Arial" w:cs="Arial"/>
        </w:rPr>
        <w:t>.</w:t>
      </w:r>
      <w:r w:rsidRPr="00067F12">
        <w:rPr>
          <w:rFonts w:ascii="Arial" w:hAnsi="Arial" w:cs="Arial"/>
        </w:rPr>
        <w:t>, Mawazo</w:t>
      </w:r>
      <w:r w:rsidR="00AF49B3">
        <w:rPr>
          <w:rFonts w:ascii="Arial" w:hAnsi="Arial" w:cs="Arial"/>
        </w:rPr>
        <w:t>,</w:t>
      </w:r>
      <w:r w:rsidRPr="00067F12">
        <w:rPr>
          <w:rFonts w:ascii="Arial" w:hAnsi="Arial" w:cs="Arial"/>
        </w:rPr>
        <w:t xml:space="preserve"> A. Detection profile of SARS-CoV-2 using RT-PCR in different types of clinical specimens: A systematic review and meta-analysis. J Med </w:t>
      </w:r>
      <w:proofErr w:type="spellStart"/>
      <w:r w:rsidRPr="00067F12">
        <w:rPr>
          <w:rFonts w:ascii="Arial" w:hAnsi="Arial" w:cs="Arial"/>
        </w:rPr>
        <w:t>Virol</w:t>
      </w:r>
      <w:proofErr w:type="spellEnd"/>
      <w:r w:rsidRPr="00067F12">
        <w:rPr>
          <w:rFonts w:ascii="Arial" w:hAnsi="Arial" w:cs="Arial"/>
        </w:rPr>
        <w:t xml:space="preserve">. 2021;93(2):719-725. </w:t>
      </w:r>
      <w:proofErr w:type="spellStart"/>
      <w:r w:rsidRPr="00067F12">
        <w:rPr>
          <w:rFonts w:ascii="Arial" w:hAnsi="Arial" w:cs="Arial"/>
          <w:color w:val="002060"/>
        </w:rPr>
        <w:t>doi</w:t>
      </w:r>
      <w:proofErr w:type="spellEnd"/>
      <w:r w:rsidRPr="00067F12">
        <w:rPr>
          <w:rFonts w:ascii="Arial" w:hAnsi="Arial" w:cs="Arial"/>
          <w:color w:val="002060"/>
        </w:rPr>
        <w:t>: 10.1002/jmv.26349</w:t>
      </w:r>
    </w:p>
    <w:p w14:paraId="44FE0281" w14:textId="77777777" w:rsidR="00067F12" w:rsidRPr="00067F12" w:rsidRDefault="00067F12" w:rsidP="00067F12">
      <w:pPr>
        <w:jc w:val="both"/>
        <w:rPr>
          <w:rFonts w:ascii="Arial" w:hAnsi="Arial" w:cs="Arial"/>
        </w:rPr>
      </w:pPr>
      <w:r w:rsidRPr="00067F12">
        <w:rPr>
          <w:rFonts w:ascii="Arial" w:hAnsi="Arial" w:cs="Arial"/>
          <w:b/>
          <w:bCs/>
        </w:rPr>
        <w:t>21.</w:t>
      </w:r>
      <w:r w:rsidRPr="00067F12">
        <w:rPr>
          <w:rFonts w:ascii="Arial" w:hAnsi="Arial" w:cs="Arial"/>
        </w:rPr>
        <w:t xml:space="preserve"> Martínez</w:t>
      </w:r>
      <w:r w:rsidR="00AF49B3">
        <w:rPr>
          <w:rFonts w:ascii="Arial" w:hAnsi="Arial" w:cs="Arial"/>
        </w:rPr>
        <w:t>,</w:t>
      </w:r>
      <w:r w:rsidRPr="00067F12">
        <w:rPr>
          <w:rFonts w:ascii="Arial" w:hAnsi="Arial" w:cs="Arial"/>
        </w:rPr>
        <w:t xml:space="preserve"> M</w:t>
      </w:r>
      <w:r w:rsidR="001820E8">
        <w:rPr>
          <w:rFonts w:ascii="Arial" w:hAnsi="Arial" w:cs="Arial"/>
        </w:rPr>
        <w:t>.</w:t>
      </w:r>
      <w:r w:rsidRPr="00067F12">
        <w:rPr>
          <w:rFonts w:ascii="Arial" w:hAnsi="Arial" w:cs="Arial"/>
        </w:rPr>
        <w:t>J</w:t>
      </w:r>
      <w:r w:rsidR="001820E8">
        <w:rPr>
          <w:rFonts w:ascii="Arial" w:hAnsi="Arial" w:cs="Arial"/>
        </w:rPr>
        <w:t>.</w:t>
      </w:r>
      <w:r w:rsidRPr="00067F12">
        <w:rPr>
          <w:rFonts w:ascii="Arial" w:hAnsi="Arial" w:cs="Arial"/>
        </w:rPr>
        <w:t>, Basile</w:t>
      </w:r>
      <w:r w:rsidR="00AF49B3">
        <w:rPr>
          <w:rFonts w:ascii="Arial" w:hAnsi="Arial" w:cs="Arial"/>
        </w:rPr>
        <w:t>,</w:t>
      </w:r>
      <w:r w:rsidRPr="00067F12">
        <w:rPr>
          <w:rFonts w:ascii="Arial" w:hAnsi="Arial" w:cs="Arial"/>
        </w:rPr>
        <w:t xml:space="preserve"> L</w:t>
      </w:r>
      <w:r w:rsidR="001820E8">
        <w:rPr>
          <w:rFonts w:ascii="Arial" w:hAnsi="Arial" w:cs="Arial"/>
        </w:rPr>
        <w:t>.</w:t>
      </w:r>
      <w:r w:rsidRPr="00067F12">
        <w:rPr>
          <w:rFonts w:ascii="Arial" w:hAnsi="Arial" w:cs="Arial"/>
        </w:rPr>
        <w:t xml:space="preserve">, </w:t>
      </w:r>
      <w:proofErr w:type="spellStart"/>
      <w:r w:rsidRPr="00067F12">
        <w:rPr>
          <w:rFonts w:ascii="Arial" w:hAnsi="Arial" w:cs="Arial"/>
        </w:rPr>
        <w:t>Sisó</w:t>
      </w:r>
      <w:proofErr w:type="spellEnd"/>
      <w:r w:rsidRPr="00067F12">
        <w:rPr>
          <w:rFonts w:ascii="Arial" w:hAnsi="Arial" w:cs="Arial"/>
        </w:rPr>
        <w:t>-Almirall</w:t>
      </w:r>
      <w:r w:rsidR="00AF49B3">
        <w:rPr>
          <w:rFonts w:ascii="Arial" w:hAnsi="Arial" w:cs="Arial"/>
        </w:rPr>
        <w:t>,</w:t>
      </w:r>
      <w:r w:rsidRPr="00067F12">
        <w:rPr>
          <w:rFonts w:ascii="Arial" w:hAnsi="Arial" w:cs="Arial"/>
        </w:rPr>
        <w:t xml:space="preserve"> A</w:t>
      </w:r>
      <w:r w:rsidR="001820E8">
        <w:rPr>
          <w:rFonts w:ascii="Arial" w:hAnsi="Arial" w:cs="Arial"/>
        </w:rPr>
        <w:t>.</w:t>
      </w:r>
      <w:r w:rsidRPr="00067F12">
        <w:rPr>
          <w:rFonts w:ascii="Arial" w:hAnsi="Arial" w:cs="Arial"/>
        </w:rPr>
        <w:t>, Cristino</w:t>
      </w:r>
      <w:r w:rsidR="00AF49B3">
        <w:rPr>
          <w:rFonts w:ascii="Arial" w:hAnsi="Arial" w:cs="Arial"/>
        </w:rPr>
        <w:t>,</w:t>
      </w:r>
      <w:r w:rsidRPr="00067F12">
        <w:rPr>
          <w:rFonts w:ascii="Arial" w:hAnsi="Arial" w:cs="Arial"/>
        </w:rPr>
        <w:t xml:space="preserve"> V</w:t>
      </w:r>
      <w:r w:rsidR="001820E8">
        <w:rPr>
          <w:rFonts w:ascii="Arial" w:hAnsi="Arial" w:cs="Arial"/>
        </w:rPr>
        <w:t>.</w:t>
      </w:r>
      <w:r w:rsidRPr="00067F12">
        <w:rPr>
          <w:rFonts w:ascii="Arial" w:hAnsi="Arial" w:cs="Arial"/>
        </w:rPr>
        <w:t>, Cuesta</w:t>
      </w:r>
      <w:r w:rsidR="00AF49B3">
        <w:rPr>
          <w:rFonts w:ascii="Arial" w:hAnsi="Arial" w:cs="Arial"/>
        </w:rPr>
        <w:t>,</w:t>
      </w:r>
      <w:r w:rsidRPr="00067F12">
        <w:rPr>
          <w:rFonts w:ascii="Arial" w:hAnsi="Arial" w:cs="Arial"/>
        </w:rPr>
        <w:t xml:space="preserve"> G</w:t>
      </w:r>
      <w:r w:rsidR="001820E8">
        <w:rPr>
          <w:rFonts w:ascii="Arial" w:hAnsi="Arial" w:cs="Arial"/>
        </w:rPr>
        <w:t>.</w:t>
      </w:r>
      <w:r w:rsidRPr="00067F12">
        <w:rPr>
          <w:rFonts w:ascii="Arial" w:hAnsi="Arial" w:cs="Arial"/>
        </w:rPr>
        <w:t>, Hurtado</w:t>
      </w:r>
      <w:r w:rsidR="00AF49B3">
        <w:rPr>
          <w:rFonts w:ascii="Arial" w:hAnsi="Arial" w:cs="Arial"/>
        </w:rPr>
        <w:t>,</w:t>
      </w:r>
      <w:r w:rsidRPr="00067F12">
        <w:rPr>
          <w:rFonts w:ascii="Arial" w:hAnsi="Arial" w:cs="Arial"/>
        </w:rPr>
        <w:t xml:space="preserve"> J</w:t>
      </w:r>
      <w:r w:rsidR="001820E8">
        <w:rPr>
          <w:rFonts w:ascii="Arial" w:hAnsi="Arial" w:cs="Arial"/>
        </w:rPr>
        <w:t>.</w:t>
      </w:r>
      <w:r w:rsidRPr="00067F12">
        <w:rPr>
          <w:rFonts w:ascii="Arial" w:hAnsi="Arial" w:cs="Arial"/>
        </w:rPr>
        <w:t>C</w:t>
      </w:r>
      <w:r w:rsidR="001820E8">
        <w:rPr>
          <w:rFonts w:ascii="Arial" w:hAnsi="Arial" w:cs="Arial"/>
        </w:rPr>
        <w:t>.</w:t>
      </w:r>
      <w:r w:rsidRPr="00067F12">
        <w:rPr>
          <w:rFonts w:ascii="Arial" w:hAnsi="Arial" w:cs="Arial"/>
        </w:rPr>
        <w:t>, Fernandez-</w:t>
      </w:r>
      <w:proofErr w:type="spellStart"/>
      <w:r w:rsidRPr="00067F12">
        <w:rPr>
          <w:rFonts w:ascii="Arial" w:hAnsi="Arial" w:cs="Arial"/>
        </w:rPr>
        <w:t>Pittol</w:t>
      </w:r>
      <w:proofErr w:type="spellEnd"/>
      <w:r w:rsidR="00AF49B3">
        <w:rPr>
          <w:rFonts w:ascii="Arial" w:hAnsi="Arial" w:cs="Arial"/>
        </w:rPr>
        <w:t>,</w:t>
      </w:r>
      <w:r w:rsidRPr="00067F12">
        <w:rPr>
          <w:rFonts w:ascii="Arial" w:hAnsi="Arial" w:cs="Arial"/>
        </w:rPr>
        <w:t xml:space="preserve"> M</w:t>
      </w:r>
      <w:r w:rsidR="001820E8">
        <w:rPr>
          <w:rFonts w:ascii="Arial" w:hAnsi="Arial" w:cs="Arial"/>
        </w:rPr>
        <w:t>.</w:t>
      </w:r>
      <w:r w:rsidRPr="00067F12">
        <w:rPr>
          <w:rFonts w:ascii="Arial" w:hAnsi="Arial" w:cs="Arial"/>
        </w:rPr>
        <w:t xml:space="preserve"> and al. Lack of Prognostic Value of SARS-CoV2 RT-PCR Cycle Threshold in the Community. Infect Dis Ther. 2022;11(1):587-593. </w:t>
      </w:r>
      <w:proofErr w:type="spellStart"/>
      <w:r w:rsidRPr="00067F12">
        <w:rPr>
          <w:rFonts w:ascii="Arial" w:hAnsi="Arial" w:cs="Arial"/>
          <w:color w:val="002060"/>
        </w:rPr>
        <w:t>doi</w:t>
      </w:r>
      <w:proofErr w:type="spellEnd"/>
      <w:r w:rsidRPr="00067F12">
        <w:rPr>
          <w:rFonts w:ascii="Arial" w:hAnsi="Arial" w:cs="Arial"/>
          <w:color w:val="002060"/>
        </w:rPr>
        <w:t>: 10.1007/s40121-021-00561-0</w:t>
      </w:r>
      <w:r w:rsidRPr="00067F12">
        <w:rPr>
          <w:rFonts w:ascii="Arial" w:hAnsi="Arial" w:cs="Arial"/>
        </w:rPr>
        <w:t xml:space="preserve">. </w:t>
      </w:r>
    </w:p>
    <w:p w14:paraId="5FB2D824" w14:textId="77777777" w:rsidR="00067F12" w:rsidRPr="00067F12" w:rsidRDefault="00067F12" w:rsidP="00067F12">
      <w:pPr>
        <w:jc w:val="both"/>
        <w:rPr>
          <w:rFonts w:ascii="Arial" w:hAnsi="Arial" w:cs="Arial"/>
          <w:color w:val="002060"/>
        </w:rPr>
      </w:pPr>
      <w:r w:rsidRPr="00067F12">
        <w:rPr>
          <w:rFonts w:ascii="Arial" w:hAnsi="Arial" w:cs="Arial"/>
          <w:b/>
          <w:bCs/>
        </w:rPr>
        <w:t>22.</w:t>
      </w:r>
      <w:r w:rsidRPr="00067F12">
        <w:rPr>
          <w:rFonts w:ascii="Arial" w:hAnsi="Arial" w:cs="Arial"/>
        </w:rPr>
        <w:t xml:space="preserve"> </w:t>
      </w:r>
      <w:proofErr w:type="spellStart"/>
      <w:r w:rsidRPr="00067F12">
        <w:rPr>
          <w:rFonts w:ascii="Arial" w:hAnsi="Arial" w:cs="Arial"/>
        </w:rPr>
        <w:t>Randriamahazo</w:t>
      </w:r>
      <w:proofErr w:type="spellEnd"/>
      <w:r w:rsidR="00AF49B3">
        <w:rPr>
          <w:rFonts w:ascii="Arial" w:hAnsi="Arial" w:cs="Arial"/>
        </w:rPr>
        <w:t>,</w:t>
      </w:r>
      <w:r w:rsidRPr="00067F12">
        <w:rPr>
          <w:rFonts w:ascii="Arial" w:hAnsi="Arial" w:cs="Arial"/>
        </w:rPr>
        <w:t xml:space="preserve"> T</w:t>
      </w:r>
      <w:r w:rsidR="001820E8">
        <w:rPr>
          <w:rFonts w:ascii="Arial" w:hAnsi="Arial" w:cs="Arial"/>
        </w:rPr>
        <w:t>.</w:t>
      </w:r>
      <w:r w:rsidRPr="00067F12">
        <w:rPr>
          <w:rFonts w:ascii="Arial" w:hAnsi="Arial" w:cs="Arial"/>
        </w:rPr>
        <w:t>R</w:t>
      </w:r>
      <w:r w:rsidR="001820E8">
        <w:rPr>
          <w:rFonts w:ascii="Arial" w:hAnsi="Arial" w:cs="Arial"/>
        </w:rPr>
        <w:t>.</w:t>
      </w:r>
      <w:r w:rsidRPr="00067F12">
        <w:rPr>
          <w:rFonts w:ascii="Arial" w:hAnsi="Arial" w:cs="Arial"/>
        </w:rPr>
        <w:t xml:space="preserve">, </w:t>
      </w:r>
      <w:proofErr w:type="spellStart"/>
      <w:r w:rsidRPr="00067F12">
        <w:rPr>
          <w:rFonts w:ascii="Arial" w:hAnsi="Arial" w:cs="Arial"/>
        </w:rPr>
        <w:t>Andrianarivelo</w:t>
      </w:r>
      <w:proofErr w:type="spellEnd"/>
      <w:r w:rsidR="00AF49B3">
        <w:rPr>
          <w:rFonts w:ascii="Arial" w:hAnsi="Arial" w:cs="Arial"/>
        </w:rPr>
        <w:t>,</w:t>
      </w:r>
      <w:r w:rsidRPr="00067F12">
        <w:rPr>
          <w:rFonts w:ascii="Arial" w:hAnsi="Arial" w:cs="Arial"/>
        </w:rPr>
        <w:t xml:space="preserve"> A</w:t>
      </w:r>
      <w:r w:rsidR="001820E8">
        <w:rPr>
          <w:rFonts w:ascii="Arial" w:hAnsi="Arial" w:cs="Arial"/>
        </w:rPr>
        <w:t>.</w:t>
      </w:r>
      <w:r w:rsidRPr="00067F12">
        <w:rPr>
          <w:rFonts w:ascii="Arial" w:hAnsi="Arial" w:cs="Arial"/>
        </w:rPr>
        <w:t>M</w:t>
      </w:r>
      <w:r w:rsidR="001820E8">
        <w:rPr>
          <w:rFonts w:ascii="Arial" w:hAnsi="Arial" w:cs="Arial"/>
        </w:rPr>
        <w:t>.</w:t>
      </w:r>
      <w:r w:rsidRPr="00067F12">
        <w:rPr>
          <w:rFonts w:ascii="Arial" w:hAnsi="Arial" w:cs="Arial"/>
        </w:rPr>
        <w:t xml:space="preserve">, </w:t>
      </w:r>
      <w:proofErr w:type="spellStart"/>
      <w:r w:rsidRPr="00067F12">
        <w:rPr>
          <w:rFonts w:ascii="Arial" w:hAnsi="Arial" w:cs="Arial"/>
        </w:rPr>
        <w:t>Rakotoarivo</w:t>
      </w:r>
      <w:proofErr w:type="spellEnd"/>
      <w:r w:rsidR="00AF49B3">
        <w:rPr>
          <w:rFonts w:ascii="Arial" w:hAnsi="Arial" w:cs="Arial"/>
        </w:rPr>
        <w:t>,</w:t>
      </w:r>
      <w:r w:rsidRPr="00067F12">
        <w:rPr>
          <w:rFonts w:ascii="Arial" w:hAnsi="Arial" w:cs="Arial"/>
        </w:rPr>
        <w:t xml:space="preserve"> A</w:t>
      </w:r>
      <w:r w:rsidR="001820E8">
        <w:rPr>
          <w:rFonts w:ascii="Arial" w:hAnsi="Arial" w:cs="Arial"/>
        </w:rPr>
        <w:t>.</w:t>
      </w:r>
      <w:r w:rsidRPr="00067F12">
        <w:rPr>
          <w:rFonts w:ascii="Arial" w:hAnsi="Arial" w:cs="Arial"/>
        </w:rPr>
        <w:t>T</w:t>
      </w:r>
      <w:r w:rsidR="001820E8">
        <w:rPr>
          <w:rFonts w:ascii="Arial" w:hAnsi="Arial" w:cs="Arial"/>
        </w:rPr>
        <w:t>.</w:t>
      </w:r>
      <w:r w:rsidRPr="00067F12">
        <w:rPr>
          <w:rFonts w:ascii="Arial" w:hAnsi="Arial" w:cs="Arial"/>
        </w:rPr>
        <w:t xml:space="preserve">, </w:t>
      </w:r>
      <w:proofErr w:type="spellStart"/>
      <w:r w:rsidRPr="00067F12">
        <w:rPr>
          <w:rFonts w:ascii="Arial" w:hAnsi="Arial" w:cs="Arial"/>
        </w:rPr>
        <w:t>Raheritiana</w:t>
      </w:r>
      <w:proofErr w:type="spellEnd"/>
      <w:r w:rsidR="00AF49B3">
        <w:rPr>
          <w:rFonts w:ascii="Arial" w:hAnsi="Arial" w:cs="Arial"/>
        </w:rPr>
        <w:t>,</w:t>
      </w:r>
      <w:r w:rsidRPr="00067F12">
        <w:rPr>
          <w:rFonts w:ascii="Arial" w:hAnsi="Arial" w:cs="Arial"/>
        </w:rPr>
        <w:t xml:space="preserve"> T</w:t>
      </w:r>
      <w:r w:rsidR="001820E8">
        <w:rPr>
          <w:rFonts w:ascii="Arial" w:hAnsi="Arial" w:cs="Arial"/>
        </w:rPr>
        <w:t>.</w:t>
      </w:r>
      <w:r w:rsidRPr="00067F12">
        <w:rPr>
          <w:rFonts w:ascii="Arial" w:hAnsi="Arial" w:cs="Arial"/>
        </w:rPr>
        <w:t>M</w:t>
      </w:r>
      <w:r w:rsidR="001820E8">
        <w:rPr>
          <w:rFonts w:ascii="Arial" w:hAnsi="Arial" w:cs="Arial"/>
        </w:rPr>
        <w:t>.</w:t>
      </w:r>
      <w:r w:rsidRPr="00067F12">
        <w:rPr>
          <w:rFonts w:ascii="Arial" w:hAnsi="Arial" w:cs="Arial"/>
        </w:rPr>
        <w:t>, Rakotovao</w:t>
      </w:r>
      <w:r w:rsidR="00AF49B3">
        <w:rPr>
          <w:rFonts w:ascii="Arial" w:hAnsi="Arial" w:cs="Arial"/>
        </w:rPr>
        <w:t>,</w:t>
      </w:r>
      <w:r w:rsidRPr="00067F12">
        <w:rPr>
          <w:rFonts w:ascii="Arial" w:hAnsi="Arial" w:cs="Arial"/>
        </w:rPr>
        <w:t xml:space="preserve"> L</w:t>
      </w:r>
      <w:r w:rsidR="001820E8">
        <w:rPr>
          <w:rFonts w:ascii="Arial" w:hAnsi="Arial" w:cs="Arial"/>
        </w:rPr>
        <w:t>.</w:t>
      </w:r>
      <w:r w:rsidRPr="00067F12">
        <w:rPr>
          <w:rFonts w:ascii="Arial" w:hAnsi="Arial" w:cs="Arial"/>
        </w:rPr>
        <w:t>A</w:t>
      </w:r>
      <w:r w:rsidR="001820E8">
        <w:rPr>
          <w:rFonts w:ascii="Arial" w:hAnsi="Arial" w:cs="Arial"/>
        </w:rPr>
        <w:t>.</w:t>
      </w:r>
      <w:r w:rsidRPr="00067F12">
        <w:rPr>
          <w:rFonts w:ascii="Arial" w:hAnsi="Arial" w:cs="Arial"/>
        </w:rPr>
        <w:t xml:space="preserve">, </w:t>
      </w:r>
      <w:proofErr w:type="spellStart"/>
      <w:r w:rsidRPr="00067F12">
        <w:rPr>
          <w:rFonts w:ascii="Arial" w:hAnsi="Arial" w:cs="Arial"/>
        </w:rPr>
        <w:t>Randriamanantany</w:t>
      </w:r>
      <w:proofErr w:type="spellEnd"/>
      <w:r w:rsidR="00AF49B3">
        <w:rPr>
          <w:rFonts w:ascii="Arial" w:hAnsi="Arial" w:cs="Arial"/>
        </w:rPr>
        <w:t>,</w:t>
      </w:r>
      <w:r w:rsidRPr="00067F12">
        <w:rPr>
          <w:rFonts w:ascii="Arial" w:hAnsi="Arial" w:cs="Arial"/>
        </w:rPr>
        <w:t xml:space="preserve"> Z</w:t>
      </w:r>
      <w:r w:rsidR="001820E8">
        <w:rPr>
          <w:rFonts w:ascii="Arial" w:hAnsi="Arial" w:cs="Arial"/>
        </w:rPr>
        <w:t>.</w:t>
      </w:r>
      <w:r w:rsidRPr="00067F12">
        <w:rPr>
          <w:rFonts w:ascii="Arial" w:hAnsi="Arial" w:cs="Arial"/>
        </w:rPr>
        <w:t>A</w:t>
      </w:r>
      <w:r w:rsidR="001820E8">
        <w:rPr>
          <w:rFonts w:ascii="Arial" w:hAnsi="Arial" w:cs="Arial"/>
        </w:rPr>
        <w:t>.</w:t>
      </w:r>
      <w:r w:rsidRPr="00067F12">
        <w:rPr>
          <w:rFonts w:ascii="Arial" w:hAnsi="Arial" w:cs="Arial"/>
        </w:rPr>
        <w:t xml:space="preserve"> and al. Evaluation of Antigen-Based Rapid Detection Test for the Diagnosis of SARS CoV-2 in Low-Income Countries. Journal of Virological Methods. 2022, 300 </w:t>
      </w:r>
      <w:r w:rsidRPr="00067F12">
        <w:rPr>
          <w:rFonts w:ascii="Arial" w:hAnsi="Arial" w:cs="Arial"/>
          <w:color w:val="002060"/>
        </w:rPr>
        <w:t xml:space="preserve">doi.org/10.1016/j.jviromet.2021.114409  </w:t>
      </w:r>
    </w:p>
    <w:p w14:paraId="6B1ACFA4" w14:textId="77777777" w:rsidR="00067F12" w:rsidRPr="00067F12" w:rsidRDefault="00067F12" w:rsidP="00067F12">
      <w:pPr>
        <w:jc w:val="both"/>
        <w:rPr>
          <w:rFonts w:ascii="Arial" w:hAnsi="Arial" w:cs="Arial"/>
          <w:color w:val="002060"/>
        </w:rPr>
      </w:pPr>
      <w:r w:rsidRPr="00067F12">
        <w:rPr>
          <w:rFonts w:ascii="Arial" w:hAnsi="Arial" w:cs="Arial"/>
          <w:b/>
          <w:bCs/>
        </w:rPr>
        <w:t>23.</w:t>
      </w:r>
      <w:r w:rsidRPr="00067F12">
        <w:rPr>
          <w:rFonts w:ascii="Arial" w:hAnsi="Arial" w:cs="Arial"/>
        </w:rPr>
        <w:t xml:space="preserve"> Bräunlich</w:t>
      </w:r>
      <w:r w:rsidR="00AF49B3">
        <w:rPr>
          <w:rFonts w:ascii="Arial" w:hAnsi="Arial" w:cs="Arial"/>
        </w:rPr>
        <w:t>,</w:t>
      </w:r>
      <w:r w:rsidRPr="00067F12">
        <w:rPr>
          <w:rFonts w:ascii="Arial" w:hAnsi="Arial" w:cs="Arial"/>
        </w:rPr>
        <w:t xml:space="preserve"> J</w:t>
      </w:r>
      <w:r w:rsidR="001820E8">
        <w:rPr>
          <w:rFonts w:ascii="Arial" w:hAnsi="Arial" w:cs="Arial"/>
        </w:rPr>
        <w:t>.</w:t>
      </w:r>
      <w:r w:rsidRPr="00067F12">
        <w:rPr>
          <w:rFonts w:ascii="Arial" w:hAnsi="Arial" w:cs="Arial"/>
        </w:rPr>
        <w:t>, Hoheisel</w:t>
      </w:r>
      <w:r w:rsidR="00AF49B3">
        <w:rPr>
          <w:rFonts w:ascii="Arial" w:hAnsi="Arial" w:cs="Arial"/>
        </w:rPr>
        <w:t>,</w:t>
      </w:r>
      <w:r w:rsidRPr="00067F12">
        <w:rPr>
          <w:rFonts w:ascii="Arial" w:hAnsi="Arial" w:cs="Arial"/>
        </w:rPr>
        <w:t xml:space="preserve"> R</w:t>
      </w:r>
      <w:r w:rsidR="001820E8">
        <w:rPr>
          <w:rFonts w:ascii="Arial" w:hAnsi="Arial" w:cs="Arial"/>
        </w:rPr>
        <w:t>.</w:t>
      </w:r>
      <w:r w:rsidRPr="00067F12">
        <w:rPr>
          <w:rFonts w:ascii="Arial" w:hAnsi="Arial" w:cs="Arial"/>
        </w:rPr>
        <w:t>, Dinse-</w:t>
      </w:r>
      <w:proofErr w:type="spellStart"/>
      <w:r w:rsidRPr="00067F12">
        <w:rPr>
          <w:rFonts w:ascii="Arial" w:hAnsi="Arial" w:cs="Arial"/>
        </w:rPr>
        <w:t>Lambracht</w:t>
      </w:r>
      <w:proofErr w:type="spellEnd"/>
      <w:r w:rsidR="00AF49B3">
        <w:rPr>
          <w:rFonts w:ascii="Arial" w:hAnsi="Arial" w:cs="Arial"/>
        </w:rPr>
        <w:t>,</w:t>
      </w:r>
      <w:r w:rsidRPr="00067F12">
        <w:rPr>
          <w:rFonts w:ascii="Arial" w:hAnsi="Arial" w:cs="Arial"/>
        </w:rPr>
        <w:t xml:space="preserve"> A. Comparison of SARS-CoV-2 antigen testing to RT-PCR in a real-world setting-an observational cohort study. Diagn Microbiol Infect Dis. 2022;102(1):115531. </w:t>
      </w:r>
      <w:proofErr w:type="spellStart"/>
      <w:r w:rsidRPr="00067F12">
        <w:rPr>
          <w:rFonts w:ascii="Arial" w:hAnsi="Arial" w:cs="Arial"/>
          <w:color w:val="002060"/>
        </w:rPr>
        <w:t>doi</w:t>
      </w:r>
      <w:proofErr w:type="spellEnd"/>
      <w:r w:rsidRPr="00067F12">
        <w:rPr>
          <w:rFonts w:ascii="Arial" w:hAnsi="Arial" w:cs="Arial"/>
          <w:color w:val="002060"/>
        </w:rPr>
        <w:t>: 10.1016/j.diagmicrobio.2021.115531</w:t>
      </w:r>
    </w:p>
    <w:p w14:paraId="7E9CBC5D" w14:textId="77777777" w:rsidR="00067F12" w:rsidRPr="00067F12" w:rsidRDefault="00067F12" w:rsidP="00067F12">
      <w:pPr>
        <w:jc w:val="both"/>
        <w:rPr>
          <w:rFonts w:ascii="Arial" w:hAnsi="Arial" w:cs="Arial"/>
        </w:rPr>
      </w:pPr>
      <w:r w:rsidRPr="00067F12">
        <w:rPr>
          <w:rFonts w:ascii="Arial" w:hAnsi="Arial" w:cs="Arial"/>
          <w:b/>
          <w:bCs/>
        </w:rPr>
        <w:t>24.</w:t>
      </w:r>
      <w:r w:rsidRPr="00067F12">
        <w:rPr>
          <w:rFonts w:ascii="Arial" w:hAnsi="Arial" w:cs="Arial"/>
        </w:rPr>
        <w:t xml:space="preserve"> Lippi</w:t>
      </w:r>
      <w:r w:rsidR="00AF49B3">
        <w:rPr>
          <w:rFonts w:ascii="Arial" w:hAnsi="Arial" w:cs="Arial"/>
        </w:rPr>
        <w:t>,</w:t>
      </w:r>
      <w:r w:rsidRPr="00067F12">
        <w:rPr>
          <w:rFonts w:ascii="Arial" w:hAnsi="Arial" w:cs="Arial"/>
        </w:rPr>
        <w:t xml:space="preserve"> G</w:t>
      </w:r>
      <w:r w:rsidR="001820E8">
        <w:rPr>
          <w:rFonts w:ascii="Arial" w:hAnsi="Arial" w:cs="Arial"/>
        </w:rPr>
        <w:t>.</w:t>
      </w:r>
      <w:r w:rsidRPr="00067F12">
        <w:rPr>
          <w:rFonts w:ascii="Arial" w:hAnsi="Arial" w:cs="Arial"/>
        </w:rPr>
        <w:t>, Henry, Brandon</w:t>
      </w:r>
      <w:r w:rsidR="00AF49B3">
        <w:rPr>
          <w:rFonts w:ascii="Arial" w:hAnsi="Arial" w:cs="Arial"/>
        </w:rPr>
        <w:t>,</w:t>
      </w:r>
      <w:r w:rsidRPr="00067F12">
        <w:rPr>
          <w:rFonts w:ascii="Arial" w:hAnsi="Arial" w:cs="Arial"/>
        </w:rPr>
        <w:t xml:space="preserve"> M</w:t>
      </w:r>
      <w:r w:rsidR="001820E8">
        <w:rPr>
          <w:rFonts w:ascii="Arial" w:hAnsi="Arial" w:cs="Arial"/>
        </w:rPr>
        <w:t>.</w:t>
      </w:r>
      <w:r w:rsidRPr="00067F12">
        <w:rPr>
          <w:rFonts w:ascii="Arial" w:hAnsi="Arial" w:cs="Arial"/>
        </w:rPr>
        <w:t xml:space="preserve"> and </w:t>
      </w:r>
      <w:proofErr w:type="spellStart"/>
      <w:r w:rsidRPr="00067F12">
        <w:rPr>
          <w:rFonts w:ascii="Arial" w:hAnsi="Arial" w:cs="Arial"/>
        </w:rPr>
        <w:t>Plebani</w:t>
      </w:r>
      <w:proofErr w:type="spellEnd"/>
      <w:r w:rsidRPr="00067F12">
        <w:rPr>
          <w:rFonts w:ascii="Arial" w:hAnsi="Arial" w:cs="Arial"/>
        </w:rPr>
        <w:t xml:space="preserve"> M. "Pooled analysis of laboratory-based SARS-CoV-2 antigen immunoassays" Clin Chem Lab Med 2023; 61(9): e165–e167 </w:t>
      </w:r>
      <w:r w:rsidRPr="00067F12">
        <w:rPr>
          <w:rFonts w:ascii="Arial" w:hAnsi="Arial" w:cs="Arial"/>
          <w:color w:val="002060"/>
        </w:rPr>
        <w:t>doi.org/10.1515/cclm-2022-1321</w:t>
      </w:r>
    </w:p>
    <w:p w14:paraId="5DF32A4E" w14:textId="77777777" w:rsidR="00067F12" w:rsidRPr="00067F12" w:rsidRDefault="00067F12" w:rsidP="00067F12">
      <w:pPr>
        <w:jc w:val="both"/>
        <w:rPr>
          <w:rFonts w:ascii="Arial" w:hAnsi="Arial" w:cs="Arial"/>
        </w:rPr>
      </w:pPr>
      <w:r w:rsidRPr="00067F12">
        <w:rPr>
          <w:rFonts w:ascii="Arial" w:hAnsi="Arial" w:cs="Arial"/>
          <w:b/>
          <w:bCs/>
        </w:rPr>
        <w:t>25.</w:t>
      </w:r>
      <w:r w:rsidRPr="00067F12">
        <w:rPr>
          <w:rFonts w:ascii="Arial" w:hAnsi="Arial" w:cs="Arial"/>
        </w:rPr>
        <w:t xml:space="preserve"> Patel</w:t>
      </w:r>
      <w:r w:rsidR="00AF49B3">
        <w:rPr>
          <w:rFonts w:ascii="Arial" w:hAnsi="Arial" w:cs="Arial"/>
        </w:rPr>
        <w:t>,</w:t>
      </w:r>
      <w:r w:rsidRPr="00067F12">
        <w:rPr>
          <w:rFonts w:ascii="Arial" w:hAnsi="Arial" w:cs="Arial"/>
        </w:rPr>
        <w:t xml:space="preserve"> R</w:t>
      </w:r>
      <w:r w:rsidR="001820E8">
        <w:rPr>
          <w:rFonts w:ascii="Arial" w:hAnsi="Arial" w:cs="Arial"/>
        </w:rPr>
        <w:t>.</w:t>
      </w:r>
      <w:r w:rsidRPr="00067F12">
        <w:rPr>
          <w:rFonts w:ascii="Arial" w:hAnsi="Arial" w:cs="Arial"/>
        </w:rPr>
        <w:t xml:space="preserve">, </w:t>
      </w:r>
      <w:proofErr w:type="spellStart"/>
      <w:r w:rsidRPr="00067F12">
        <w:rPr>
          <w:rFonts w:ascii="Arial" w:hAnsi="Arial" w:cs="Arial"/>
        </w:rPr>
        <w:t>Babady</w:t>
      </w:r>
      <w:proofErr w:type="spellEnd"/>
      <w:r w:rsidR="00AF49B3">
        <w:rPr>
          <w:rFonts w:ascii="Arial" w:hAnsi="Arial" w:cs="Arial"/>
        </w:rPr>
        <w:t>,</w:t>
      </w:r>
      <w:r w:rsidRPr="00067F12">
        <w:rPr>
          <w:rFonts w:ascii="Arial" w:hAnsi="Arial" w:cs="Arial"/>
        </w:rPr>
        <w:t xml:space="preserve"> E</w:t>
      </w:r>
      <w:r w:rsidR="001820E8">
        <w:rPr>
          <w:rFonts w:ascii="Arial" w:hAnsi="Arial" w:cs="Arial"/>
        </w:rPr>
        <w:t>.</w:t>
      </w:r>
      <w:r w:rsidRPr="00067F12">
        <w:rPr>
          <w:rFonts w:ascii="Arial" w:hAnsi="Arial" w:cs="Arial"/>
        </w:rPr>
        <w:t>, Theel</w:t>
      </w:r>
      <w:r w:rsidR="00AF49B3">
        <w:rPr>
          <w:rFonts w:ascii="Arial" w:hAnsi="Arial" w:cs="Arial"/>
        </w:rPr>
        <w:t>,</w:t>
      </w:r>
      <w:r w:rsidRPr="00067F12">
        <w:rPr>
          <w:rFonts w:ascii="Arial" w:hAnsi="Arial" w:cs="Arial"/>
        </w:rPr>
        <w:t xml:space="preserve"> E</w:t>
      </w:r>
      <w:r w:rsidR="001820E8">
        <w:rPr>
          <w:rFonts w:ascii="Arial" w:hAnsi="Arial" w:cs="Arial"/>
        </w:rPr>
        <w:t>.</w:t>
      </w:r>
      <w:r w:rsidRPr="00067F12">
        <w:rPr>
          <w:rFonts w:ascii="Arial" w:hAnsi="Arial" w:cs="Arial"/>
        </w:rPr>
        <w:t>S</w:t>
      </w:r>
      <w:r w:rsidR="001820E8">
        <w:rPr>
          <w:rFonts w:ascii="Arial" w:hAnsi="Arial" w:cs="Arial"/>
        </w:rPr>
        <w:t>.</w:t>
      </w:r>
      <w:r w:rsidRPr="00067F12">
        <w:rPr>
          <w:rFonts w:ascii="Arial" w:hAnsi="Arial" w:cs="Arial"/>
        </w:rPr>
        <w:t>, Storch</w:t>
      </w:r>
      <w:r w:rsidR="00AF49B3">
        <w:rPr>
          <w:rFonts w:ascii="Arial" w:hAnsi="Arial" w:cs="Arial"/>
        </w:rPr>
        <w:t>,</w:t>
      </w:r>
      <w:r w:rsidRPr="00067F12">
        <w:rPr>
          <w:rFonts w:ascii="Arial" w:hAnsi="Arial" w:cs="Arial"/>
        </w:rPr>
        <w:t xml:space="preserve"> G</w:t>
      </w:r>
      <w:r w:rsidR="001820E8">
        <w:rPr>
          <w:rFonts w:ascii="Arial" w:hAnsi="Arial" w:cs="Arial"/>
        </w:rPr>
        <w:t>.</w:t>
      </w:r>
      <w:r w:rsidRPr="00067F12">
        <w:rPr>
          <w:rFonts w:ascii="Arial" w:hAnsi="Arial" w:cs="Arial"/>
        </w:rPr>
        <w:t>A</w:t>
      </w:r>
      <w:r w:rsidR="001820E8">
        <w:rPr>
          <w:rFonts w:ascii="Arial" w:hAnsi="Arial" w:cs="Arial"/>
        </w:rPr>
        <w:t>.</w:t>
      </w:r>
      <w:r w:rsidRPr="00067F12">
        <w:rPr>
          <w:rFonts w:ascii="Arial" w:hAnsi="Arial" w:cs="Arial"/>
        </w:rPr>
        <w:t>, Pinsky</w:t>
      </w:r>
      <w:r w:rsidR="00AF49B3">
        <w:rPr>
          <w:rFonts w:ascii="Arial" w:hAnsi="Arial" w:cs="Arial"/>
        </w:rPr>
        <w:t>,</w:t>
      </w:r>
      <w:r w:rsidRPr="00067F12">
        <w:rPr>
          <w:rFonts w:ascii="Arial" w:hAnsi="Arial" w:cs="Arial"/>
        </w:rPr>
        <w:t xml:space="preserve"> B</w:t>
      </w:r>
      <w:r w:rsidR="001820E8">
        <w:rPr>
          <w:rFonts w:ascii="Arial" w:hAnsi="Arial" w:cs="Arial"/>
        </w:rPr>
        <w:t>.</w:t>
      </w:r>
      <w:r w:rsidRPr="00067F12">
        <w:rPr>
          <w:rFonts w:ascii="Arial" w:hAnsi="Arial" w:cs="Arial"/>
        </w:rPr>
        <w:t>A</w:t>
      </w:r>
      <w:r w:rsidR="001820E8">
        <w:rPr>
          <w:rFonts w:ascii="Arial" w:hAnsi="Arial" w:cs="Arial"/>
        </w:rPr>
        <w:t>.</w:t>
      </w:r>
      <w:r w:rsidRPr="00067F12">
        <w:rPr>
          <w:rFonts w:ascii="Arial" w:hAnsi="Arial" w:cs="Arial"/>
        </w:rPr>
        <w:t>, St. George</w:t>
      </w:r>
      <w:r w:rsidR="00AF49B3">
        <w:rPr>
          <w:rFonts w:ascii="Arial" w:hAnsi="Arial" w:cs="Arial"/>
        </w:rPr>
        <w:t>,</w:t>
      </w:r>
      <w:r w:rsidRPr="00067F12">
        <w:rPr>
          <w:rFonts w:ascii="Arial" w:hAnsi="Arial" w:cs="Arial"/>
        </w:rPr>
        <w:t xml:space="preserve"> K</w:t>
      </w:r>
      <w:r w:rsidR="001820E8">
        <w:rPr>
          <w:rFonts w:ascii="Arial" w:hAnsi="Arial" w:cs="Arial"/>
        </w:rPr>
        <w:t>.</w:t>
      </w:r>
      <w:r w:rsidRPr="00067F12">
        <w:rPr>
          <w:rFonts w:ascii="Arial" w:hAnsi="Arial" w:cs="Arial"/>
        </w:rPr>
        <w:t>, Smith T</w:t>
      </w:r>
      <w:r w:rsidR="001820E8">
        <w:rPr>
          <w:rFonts w:ascii="Arial" w:hAnsi="Arial" w:cs="Arial"/>
        </w:rPr>
        <w:t>.</w:t>
      </w:r>
      <w:r w:rsidRPr="00067F12">
        <w:rPr>
          <w:rFonts w:ascii="Arial" w:hAnsi="Arial" w:cs="Arial"/>
        </w:rPr>
        <w:t>C</w:t>
      </w:r>
      <w:r w:rsidR="001820E8">
        <w:rPr>
          <w:rFonts w:ascii="Arial" w:hAnsi="Arial" w:cs="Arial"/>
        </w:rPr>
        <w:t>.</w:t>
      </w:r>
      <w:r w:rsidRPr="00067F12">
        <w:rPr>
          <w:rFonts w:ascii="Arial" w:hAnsi="Arial" w:cs="Arial"/>
        </w:rPr>
        <w:t xml:space="preserve">, Bertuzzi S. Report from the American Society for Microbiology COVID-19 International Summit: Value of diagnostic testing for SARS–CoV-2/COVID-19. mBio 2020 </w:t>
      </w:r>
      <w:proofErr w:type="gramStart"/>
      <w:r w:rsidRPr="00067F12">
        <w:rPr>
          <w:rFonts w:ascii="Arial" w:hAnsi="Arial" w:cs="Arial"/>
        </w:rPr>
        <w:t>11:e</w:t>
      </w:r>
      <w:proofErr w:type="gramEnd"/>
      <w:r w:rsidRPr="00067F12">
        <w:rPr>
          <w:rFonts w:ascii="Arial" w:hAnsi="Arial" w:cs="Arial"/>
        </w:rPr>
        <w:t xml:space="preserve">00722-20. </w:t>
      </w:r>
      <w:r w:rsidRPr="00067F12">
        <w:rPr>
          <w:rFonts w:ascii="Arial" w:hAnsi="Arial" w:cs="Arial"/>
          <w:color w:val="002060"/>
        </w:rPr>
        <w:t>doi.org/10.1128/mBio.00722-20</w:t>
      </w:r>
    </w:p>
    <w:p w14:paraId="54AAC92D" w14:textId="77777777" w:rsidR="00067F12" w:rsidRPr="00067F12" w:rsidRDefault="00067F12" w:rsidP="00067F12">
      <w:pPr>
        <w:jc w:val="both"/>
        <w:rPr>
          <w:rFonts w:ascii="Arial" w:hAnsi="Arial" w:cs="Arial"/>
        </w:rPr>
      </w:pPr>
      <w:r w:rsidRPr="00067F12">
        <w:rPr>
          <w:rFonts w:ascii="Arial" w:hAnsi="Arial" w:cs="Arial"/>
          <w:b/>
          <w:bCs/>
        </w:rPr>
        <w:t>26</w:t>
      </w:r>
      <w:r w:rsidRPr="00067F12">
        <w:rPr>
          <w:rFonts w:ascii="Arial" w:hAnsi="Arial" w:cs="Arial"/>
        </w:rPr>
        <w:t xml:space="preserve">. </w:t>
      </w:r>
      <w:proofErr w:type="spellStart"/>
      <w:r w:rsidRPr="00067F12">
        <w:rPr>
          <w:rFonts w:ascii="Arial" w:hAnsi="Arial" w:cs="Arial"/>
        </w:rPr>
        <w:t>Haghi</w:t>
      </w:r>
      <w:proofErr w:type="spellEnd"/>
      <w:r w:rsidRPr="00067F12">
        <w:rPr>
          <w:rFonts w:ascii="Arial" w:hAnsi="Arial" w:cs="Arial"/>
        </w:rPr>
        <w:t xml:space="preserve"> Ashtiani</w:t>
      </w:r>
      <w:r w:rsidR="00AF49B3">
        <w:rPr>
          <w:rFonts w:ascii="Arial" w:hAnsi="Arial" w:cs="Arial"/>
        </w:rPr>
        <w:t>,</w:t>
      </w:r>
      <w:r w:rsidRPr="00067F12">
        <w:rPr>
          <w:rFonts w:ascii="Arial" w:hAnsi="Arial" w:cs="Arial"/>
        </w:rPr>
        <w:t xml:space="preserve"> M</w:t>
      </w:r>
      <w:r w:rsidR="001820E8">
        <w:rPr>
          <w:rFonts w:ascii="Arial" w:hAnsi="Arial" w:cs="Arial"/>
        </w:rPr>
        <w:t>.</w:t>
      </w:r>
      <w:r w:rsidRPr="00067F12">
        <w:rPr>
          <w:rFonts w:ascii="Arial" w:hAnsi="Arial" w:cs="Arial"/>
        </w:rPr>
        <w:t>T</w:t>
      </w:r>
      <w:r w:rsidR="001820E8">
        <w:rPr>
          <w:rFonts w:ascii="Arial" w:hAnsi="Arial" w:cs="Arial"/>
        </w:rPr>
        <w:t>.</w:t>
      </w:r>
      <w:r w:rsidRPr="00067F12">
        <w:rPr>
          <w:rFonts w:ascii="Arial" w:hAnsi="Arial" w:cs="Arial"/>
        </w:rPr>
        <w:t>, Sadeghi</w:t>
      </w:r>
      <w:r w:rsidR="00AF49B3">
        <w:rPr>
          <w:rFonts w:ascii="Arial" w:hAnsi="Arial" w:cs="Arial"/>
        </w:rPr>
        <w:t>,</w:t>
      </w:r>
      <w:r w:rsidRPr="00067F12">
        <w:rPr>
          <w:rFonts w:ascii="Arial" w:hAnsi="Arial" w:cs="Arial"/>
        </w:rPr>
        <w:t xml:space="preserve"> Rad P</w:t>
      </w:r>
      <w:r w:rsidR="001820E8">
        <w:rPr>
          <w:rFonts w:ascii="Arial" w:hAnsi="Arial" w:cs="Arial"/>
        </w:rPr>
        <w:t>.</w:t>
      </w:r>
      <w:r w:rsidRPr="00067F12">
        <w:rPr>
          <w:rFonts w:ascii="Arial" w:hAnsi="Arial" w:cs="Arial"/>
        </w:rPr>
        <w:t xml:space="preserve">, </w:t>
      </w:r>
      <w:proofErr w:type="spellStart"/>
      <w:r w:rsidRPr="00067F12">
        <w:rPr>
          <w:rFonts w:ascii="Arial" w:hAnsi="Arial" w:cs="Arial"/>
        </w:rPr>
        <w:t>Asnaashari</w:t>
      </w:r>
      <w:proofErr w:type="spellEnd"/>
      <w:r w:rsidR="00AF49B3">
        <w:rPr>
          <w:rFonts w:ascii="Arial" w:hAnsi="Arial" w:cs="Arial"/>
        </w:rPr>
        <w:t>,</w:t>
      </w:r>
      <w:r w:rsidRPr="00067F12">
        <w:rPr>
          <w:rFonts w:ascii="Arial" w:hAnsi="Arial" w:cs="Arial"/>
        </w:rPr>
        <w:t xml:space="preserve"> K</w:t>
      </w:r>
      <w:r w:rsidR="001820E8">
        <w:rPr>
          <w:rFonts w:ascii="Arial" w:hAnsi="Arial" w:cs="Arial"/>
        </w:rPr>
        <w:t>.</w:t>
      </w:r>
      <w:r w:rsidRPr="00067F12">
        <w:rPr>
          <w:rFonts w:ascii="Arial" w:hAnsi="Arial" w:cs="Arial"/>
        </w:rPr>
        <w:t>, Shahhosseini</w:t>
      </w:r>
      <w:r w:rsidR="00AF49B3">
        <w:rPr>
          <w:rFonts w:ascii="Arial" w:hAnsi="Arial" w:cs="Arial"/>
        </w:rPr>
        <w:t>,</w:t>
      </w:r>
      <w:r w:rsidRPr="00067F12">
        <w:rPr>
          <w:rFonts w:ascii="Arial" w:hAnsi="Arial" w:cs="Arial"/>
        </w:rPr>
        <w:t xml:space="preserve"> A</w:t>
      </w:r>
      <w:r w:rsidR="001820E8">
        <w:rPr>
          <w:rFonts w:ascii="Arial" w:hAnsi="Arial" w:cs="Arial"/>
        </w:rPr>
        <w:t>.</w:t>
      </w:r>
      <w:r w:rsidRPr="00067F12">
        <w:rPr>
          <w:rFonts w:ascii="Arial" w:hAnsi="Arial" w:cs="Arial"/>
        </w:rPr>
        <w:t>, Berenji</w:t>
      </w:r>
      <w:r w:rsidR="00AF49B3">
        <w:rPr>
          <w:rFonts w:ascii="Arial" w:hAnsi="Arial" w:cs="Arial"/>
        </w:rPr>
        <w:t>,</w:t>
      </w:r>
      <w:r w:rsidRPr="00067F12">
        <w:rPr>
          <w:rFonts w:ascii="Arial" w:hAnsi="Arial" w:cs="Arial"/>
        </w:rPr>
        <w:t xml:space="preserve"> F</w:t>
      </w:r>
      <w:r w:rsidR="001820E8">
        <w:rPr>
          <w:rFonts w:ascii="Arial" w:hAnsi="Arial" w:cs="Arial"/>
        </w:rPr>
        <w:t>.</w:t>
      </w:r>
      <w:r w:rsidRPr="00067F12">
        <w:rPr>
          <w:rFonts w:ascii="Arial" w:hAnsi="Arial" w:cs="Arial"/>
        </w:rPr>
        <w:t xml:space="preserve">, </w:t>
      </w:r>
      <w:proofErr w:type="spellStart"/>
      <w:r w:rsidRPr="00067F12">
        <w:rPr>
          <w:rFonts w:ascii="Arial" w:hAnsi="Arial" w:cs="Arial"/>
        </w:rPr>
        <w:t>Mamishi</w:t>
      </w:r>
      <w:proofErr w:type="spellEnd"/>
      <w:r w:rsidR="00AF49B3">
        <w:rPr>
          <w:rFonts w:ascii="Arial" w:hAnsi="Arial" w:cs="Arial"/>
        </w:rPr>
        <w:t>,</w:t>
      </w:r>
      <w:r w:rsidRPr="00067F12">
        <w:rPr>
          <w:rFonts w:ascii="Arial" w:hAnsi="Arial" w:cs="Arial"/>
        </w:rPr>
        <w:t xml:space="preserve"> S. Role of serology tests in COVID-19 non-hospitalized patients: A cross-sectional study. </w:t>
      </w:r>
      <w:proofErr w:type="spellStart"/>
      <w:r w:rsidRPr="00067F12">
        <w:rPr>
          <w:rFonts w:ascii="Arial" w:hAnsi="Arial" w:cs="Arial"/>
        </w:rPr>
        <w:t>PLoS</w:t>
      </w:r>
      <w:proofErr w:type="spellEnd"/>
      <w:r w:rsidRPr="00067F12">
        <w:rPr>
          <w:rFonts w:ascii="Arial" w:hAnsi="Arial" w:cs="Arial"/>
        </w:rPr>
        <w:t xml:space="preserve"> ONE.2022, 17(4): e0266923. </w:t>
      </w:r>
      <w:r w:rsidRPr="00067F12">
        <w:rPr>
          <w:rFonts w:ascii="Arial" w:hAnsi="Arial" w:cs="Arial"/>
          <w:color w:val="002060"/>
        </w:rPr>
        <w:t xml:space="preserve">doi.org/10.1371/journal.pone.0266923 </w:t>
      </w:r>
    </w:p>
    <w:p w14:paraId="36F4B132" w14:textId="77777777" w:rsidR="00067F12" w:rsidRPr="00067F12" w:rsidRDefault="00067F12" w:rsidP="00067F12">
      <w:pPr>
        <w:jc w:val="both"/>
        <w:rPr>
          <w:rFonts w:ascii="Arial" w:hAnsi="Arial" w:cs="Arial"/>
          <w:color w:val="002060"/>
        </w:rPr>
      </w:pPr>
      <w:r w:rsidRPr="00067F12">
        <w:rPr>
          <w:rFonts w:ascii="Arial" w:hAnsi="Arial" w:cs="Arial"/>
          <w:b/>
          <w:bCs/>
        </w:rPr>
        <w:lastRenderedPageBreak/>
        <w:t>27.</w:t>
      </w:r>
      <w:r w:rsidRPr="00067F12">
        <w:rPr>
          <w:rFonts w:ascii="Arial" w:hAnsi="Arial" w:cs="Arial"/>
        </w:rPr>
        <w:t xml:space="preserve"> </w:t>
      </w:r>
      <w:proofErr w:type="spellStart"/>
      <w:r w:rsidRPr="00067F12">
        <w:rPr>
          <w:rFonts w:ascii="Arial" w:hAnsi="Arial" w:cs="Arial"/>
        </w:rPr>
        <w:t>Zost</w:t>
      </w:r>
      <w:proofErr w:type="spellEnd"/>
      <w:r w:rsidR="00AF49B3">
        <w:rPr>
          <w:rFonts w:ascii="Arial" w:hAnsi="Arial" w:cs="Arial"/>
        </w:rPr>
        <w:t>,</w:t>
      </w:r>
      <w:r w:rsidRPr="00067F12">
        <w:rPr>
          <w:rFonts w:ascii="Arial" w:hAnsi="Arial" w:cs="Arial"/>
        </w:rPr>
        <w:t xml:space="preserve"> S</w:t>
      </w:r>
      <w:r w:rsidR="001820E8">
        <w:rPr>
          <w:rFonts w:ascii="Arial" w:hAnsi="Arial" w:cs="Arial"/>
        </w:rPr>
        <w:t>.</w:t>
      </w:r>
      <w:r w:rsidRPr="00067F12">
        <w:rPr>
          <w:rFonts w:ascii="Arial" w:hAnsi="Arial" w:cs="Arial"/>
        </w:rPr>
        <w:t>J</w:t>
      </w:r>
      <w:r w:rsidR="001820E8">
        <w:rPr>
          <w:rFonts w:ascii="Arial" w:hAnsi="Arial" w:cs="Arial"/>
        </w:rPr>
        <w:t>.</w:t>
      </w:r>
      <w:r w:rsidRPr="00067F12">
        <w:rPr>
          <w:rFonts w:ascii="Arial" w:hAnsi="Arial" w:cs="Arial"/>
        </w:rPr>
        <w:t>, Gilchuk</w:t>
      </w:r>
      <w:r w:rsidR="00AF49B3">
        <w:rPr>
          <w:rFonts w:ascii="Arial" w:hAnsi="Arial" w:cs="Arial"/>
        </w:rPr>
        <w:t>,</w:t>
      </w:r>
      <w:r w:rsidRPr="00067F12">
        <w:rPr>
          <w:rFonts w:ascii="Arial" w:hAnsi="Arial" w:cs="Arial"/>
        </w:rPr>
        <w:t xml:space="preserve"> P</w:t>
      </w:r>
      <w:r w:rsidR="001820E8">
        <w:rPr>
          <w:rFonts w:ascii="Arial" w:hAnsi="Arial" w:cs="Arial"/>
        </w:rPr>
        <w:t>.</w:t>
      </w:r>
      <w:r w:rsidRPr="00067F12">
        <w:rPr>
          <w:rFonts w:ascii="Arial" w:hAnsi="Arial" w:cs="Arial"/>
        </w:rPr>
        <w:t>, Case</w:t>
      </w:r>
      <w:r w:rsidR="00AF49B3">
        <w:rPr>
          <w:rFonts w:ascii="Arial" w:hAnsi="Arial" w:cs="Arial"/>
        </w:rPr>
        <w:t>,</w:t>
      </w:r>
      <w:r w:rsidRPr="00067F12">
        <w:rPr>
          <w:rFonts w:ascii="Arial" w:hAnsi="Arial" w:cs="Arial"/>
        </w:rPr>
        <w:t xml:space="preserve"> J</w:t>
      </w:r>
      <w:r w:rsidR="001820E8">
        <w:rPr>
          <w:rFonts w:ascii="Arial" w:hAnsi="Arial" w:cs="Arial"/>
        </w:rPr>
        <w:t>.</w:t>
      </w:r>
      <w:r w:rsidRPr="00067F12">
        <w:rPr>
          <w:rFonts w:ascii="Arial" w:hAnsi="Arial" w:cs="Arial"/>
        </w:rPr>
        <w:t>B</w:t>
      </w:r>
      <w:r w:rsidR="001820E8">
        <w:rPr>
          <w:rFonts w:ascii="Arial" w:hAnsi="Arial" w:cs="Arial"/>
        </w:rPr>
        <w:t>.</w:t>
      </w:r>
      <w:r w:rsidRPr="00067F12">
        <w:rPr>
          <w:rFonts w:ascii="Arial" w:hAnsi="Arial" w:cs="Arial"/>
        </w:rPr>
        <w:t xml:space="preserve">, </w:t>
      </w:r>
      <w:proofErr w:type="spellStart"/>
      <w:r w:rsidRPr="00067F12">
        <w:rPr>
          <w:rFonts w:ascii="Arial" w:hAnsi="Arial" w:cs="Arial"/>
        </w:rPr>
        <w:t>Binshtein</w:t>
      </w:r>
      <w:proofErr w:type="spellEnd"/>
      <w:r w:rsidR="00AF49B3">
        <w:rPr>
          <w:rFonts w:ascii="Arial" w:hAnsi="Arial" w:cs="Arial"/>
        </w:rPr>
        <w:t>,</w:t>
      </w:r>
      <w:r w:rsidRPr="00067F12">
        <w:rPr>
          <w:rFonts w:ascii="Arial" w:hAnsi="Arial" w:cs="Arial"/>
        </w:rPr>
        <w:t xml:space="preserve"> E</w:t>
      </w:r>
      <w:r w:rsidR="001820E8">
        <w:rPr>
          <w:rFonts w:ascii="Arial" w:hAnsi="Arial" w:cs="Arial"/>
        </w:rPr>
        <w:t>.</w:t>
      </w:r>
      <w:r w:rsidRPr="00067F12">
        <w:rPr>
          <w:rFonts w:ascii="Arial" w:hAnsi="Arial" w:cs="Arial"/>
        </w:rPr>
        <w:t>, Chen</w:t>
      </w:r>
      <w:r w:rsidR="00AF49B3">
        <w:rPr>
          <w:rFonts w:ascii="Arial" w:hAnsi="Arial" w:cs="Arial"/>
        </w:rPr>
        <w:t>,</w:t>
      </w:r>
      <w:r w:rsidRPr="00067F12">
        <w:rPr>
          <w:rFonts w:ascii="Arial" w:hAnsi="Arial" w:cs="Arial"/>
        </w:rPr>
        <w:t xml:space="preserve"> R</w:t>
      </w:r>
      <w:r w:rsidR="001820E8">
        <w:rPr>
          <w:rFonts w:ascii="Arial" w:hAnsi="Arial" w:cs="Arial"/>
        </w:rPr>
        <w:t>.</w:t>
      </w:r>
      <w:r w:rsidRPr="00067F12">
        <w:rPr>
          <w:rFonts w:ascii="Arial" w:hAnsi="Arial" w:cs="Arial"/>
        </w:rPr>
        <w:t>E</w:t>
      </w:r>
      <w:r w:rsidR="001820E8">
        <w:rPr>
          <w:rFonts w:ascii="Arial" w:hAnsi="Arial" w:cs="Arial"/>
        </w:rPr>
        <w:t>.</w:t>
      </w:r>
      <w:r w:rsidRPr="00067F12">
        <w:rPr>
          <w:rFonts w:ascii="Arial" w:hAnsi="Arial" w:cs="Arial"/>
        </w:rPr>
        <w:t>, Nkolola</w:t>
      </w:r>
      <w:r w:rsidR="00AF49B3">
        <w:rPr>
          <w:rFonts w:ascii="Arial" w:hAnsi="Arial" w:cs="Arial"/>
        </w:rPr>
        <w:t>,</w:t>
      </w:r>
      <w:r w:rsidRPr="00067F12">
        <w:rPr>
          <w:rFonts w:ascii="Arial" w:hAnsi="Arial" w:cs="Arial"/>
        </w:rPr>
        <w:t xml:space="preserve"> J</w:t>
      </w:r>
      <w:r w:rsidR="001820E8">
        <w:rPr>
          <w:rFonts w:ascii="Arial" w:hAnsi="Arial" w:cs="Arial"/>
        </w:rPr>
        <w:t>.</w:t>
      </w:r>
      <w:r w:rsidRPr="00067F12">
        <w:rPr>
          <w:rFonts w:ascii="Arial" w:hAnsi="Arial" w:cs="Arial"/>
        </w:rPr>
        <w:t>P</w:t>
      </w:r>
      <w:r w:rsidR="001820E8">
        <w:rPr>
          <w:rFonts w:ascii="Arial" w:hAnsi="Arial" w:cs="Arial"/>
        </w:rPr>
        <w:t>.</w:t>
      </w:r>
      <w:r w:rsidRPr="00067F12">
        <w:rPr>
          <w:rFonts w:ascii="Arial" w:hAnsi="Arial" w:cs="Arial"/>
        </w:rPr>
        <w:t xml:space="preserve"> and al. Potently neutralizing and protective human antibodies against SARS-CoV-2. Nature. 2020;584(7821):443-449. </w:t>
      </w:r>
      <w:proofErr w:type="spellStart"/>
      <w:r w:rsidRPr="00067F12">
        <w:rPr>
          <w:rFonts w:ascii="Arial" w:hAnsi="Arial" w:cs="Arial"/>
          <w:color w:val="002060"/>
        </w:rPr>
        <w:t>doi</w:t>
      </w:r>
      <w:proofErr w:type="spellEnd"/>
      <w:r w:rsidRPr="00067F12">
        <w:rPr>
          <w:rFonts w:ascii="Arial" w:hAnsi="Arial" w:cs="Arial"/>
          <w:color w:val="002060"/>
        </w:rPr>
        <w:t>: 10.1038/s41586-020-2548-6</w:t>
      </w:r>
    </w:p>
    <w:p w14:paraId="643E8994" w14:textId="77777777" w:rsidR="00067F12" w:rsidRPr="00067F12" w:rsidRDefault="00067F12" w:rsidP="001820E8">
      <w:pPr>
        <w:jc w:val="both"/>
        <w:rPr>
          <w:rFonts w:ascii="Arial" w:hAnsi="Arial" w:cs="Arial"/>
          <w:color w:val="002060"/>
        </w:rPr>
      </w:pPr>
      <w:r w:rsidRPr="00067F12">
        <w:rPr>
          <w:rFonts w:ascii="Arial" w:hAnsi="Arial" w:cs="Arial"/>
          <w:b/>
          <w:bCs/>
        </w:rPr>
        <w:t>28.</w:t>
      </w:r>
      <w:r w:rsidRPr="00067F12">
        <w:rPr>
          <w:rFonts w:ascii="Arial" w:hAnsi="Arial" w:cs="Arial"/>
        </w:rPr>
        <w:t xml:space="preserve"> </w:t>
      </w:r>
      <w:proofErr w:type="spellStart"/>
      <w:r w:rsidRPr="00067F12">
        <w:rPr>
          <w:rFonts w:ascii="Arial" w:hAnsi="Arial" w:cs="Arial"/>
        </w:rPr>
        <w:t>Naushin</w:t>
      </w:r>
      <w:proofErr w:type="spellEnd"/>
      <w:r w:rsidR="00AF49B3">
        <w:rPr>
          <w:rFonts w:ascii="Arial" w:hAnsi="Arial" w:cs="Arial"/>
        </w:rPr>
        <w:t>,</w:t>
      </w:r>
      <w:r w:rsidRPr="00067F12">
        <w:rPr>
          <w:rFonts w:ascii="Arial" w:hAnsi="Arial" w:cs="Arial"/>
        </w:rPr>
        <w:t xml:space="preserve"> S</w:t>
      </w:r>
      <w:r w:rsidR="001820E8">
        <w:rPr>
          <w:rFonts w:ascii="Arial" w:hAnsi="Arial" w:cs="Arial"/>
        </w:rPr>
        <w:t>.</w:t>
      </w:r>
      <w:r w:rsidRPr="00067F12">
        <w:rPr>
          <w:rFonts w:ascii="Arial" w:hAnsi="Arial" w:cs="Arial"/>
        </w:rPr>
        <w:t>, Sardana</w:t>
      </w:r>
      <w:r w:rsidR="00AF49B3">
        <w:rPr>
          <w:rFonts w:ascii="Arial" w:hAnsi="Arial" w:cs="Arial"/>
        </w:rPr>
        <w:t>,</w:t>
      </w:r>
      <w:r w:rsidRPr="00067F12">
        <w:rPr>
          <w:rFonts w:ascii="Arial" w:hAnsi="Arial" w:cs="Arial"/>
        </w:rPr>
        <w:t xml:space="preserve"> V</w:t>
      </w:r>
      <w:r w:rsidR="001820E8">
        <w:rPr>
          <w:rFonts w:ascii="Arial" w:hAnsi="Arial" w:cs="Arial"/>
        </w:rPr>
        <w:t>.</w:t>
      </w:r>
      <w:r w:rsidRPr="00067F12">
        <w:rPr>
          <w:rFonts w:ascii="Arial" w:hAnsi="Arial" w:cs="Arial"/>
        </w:rPr>
        <w:t xml:space="preserve">, </w:t>
      </w:r>
      <w:proofErr w:type="spellStart"/>
      <w:r w:rsidRPr="00067F12">
        <w:rPr>
          <w:rFonts w:ascii="Arial" w:hAnsi="Arial" w:cs="Arial"/>
        </w:rPr>
        <w:t>Ujjainiya</w:t>
      </w:r>
      <w:proofErr w:type="spellEnd"/>
      <w:r w:rsidR="00AF49B3">
        <w:rPr>
          <w:rFonts w:ascii="Arial" w:hAnsi="Arial" w:cs="Arial"/>
        </w:rPr>
        <w:t>,</w:t>
      </w:r>
      <w:r w:rsidRPr="00067F12">
        <w:rPr>
          <w:rFonts w:ascii="Arial" w:hAnsi="Arial" w:cs="Arial"/>
        </w:rPr>
        <w:t xml:space="preserve"> R</w:t>
      </w:r>
      <w:r w:rsidR="001820E8">
        <w:rPr>
          <w:rFonts w:ascii="Arial" w:hAnsi="Arial" w:cs="Arial"/>
        </w:rPr>
        <w:t>.</w:t>
      </w:r>
      <w:r w:rsidRPr="00067F12">
        <w:rPr>
          <w:rFonts w:ascii="Arial" w:hAnsi="Arial" w:cs="Arial"/>
        </w:rPr>
        <w:t>, Bhatheja</w:t>
      </w:r>
      <w:r w:rsidR="00AF49B3">
        <w:rPr>
          <w:rFonts w:ascii="Arial" w:hAnsi="Arial" w:cs="Arial"/>
        </w:rPr>
        <w:t>,</w:t>
      </w:r>
      <w:r w:rsidRPr="00067F12">
        <w:rPr>
          <w:rFonts w:ascii="Arial" w:hAnsi="Arial" w:cs="Arial"/>
        </w:rPr>
        <w:t xml:space="preserve"> N</w:t>
      </w:r>
      <w:r w:rsidR="001820E8">
        <w:rPr>
          <w:rFonts w:ascii="Arial" w:hAnsi="Arial" w:cs="Arial"/>
        </w:rPr>
        <w:t>.</w:t>
      </w:r>
      <w:r w:rsidRPr="00067F12">
        <w:rPr>
          <w:rFonts w:ascii="Arial" w:hAnsi="Arial" w:cs="Arial"/>
        </w:rPr>
        <w:t xml:space="preserve">, </w:t>
      </w:r>
      <w:proofErr w:type="spellStart"/>
      <w:r w:rsidRPr="00067F12">
        <w:rPr>
          <w:rFonts w:ascii="Arial" w:hAnsi="Arial" w:cs="Arial"/>
        </w:rPr>
        <w:t>Kutum</w:t>
      </w:r>
      <w:proofErr w:type="spellEnd"/>
      <w:r w:rsidR="00AF49B3">
        <w:rPr>
          <w:rFonts w:ascii="Arial" w:hAnsi="Arial" w:cs="Arial"/>
        </w:rPr>
        <w:t>,</w:t>
      </w:r>
      <w:r w:rsidRPr="00067F12">
        <w:rPr>
          <w:rFonts w:ascii="Arial" w:hAnsi="Arial" w:cs="Arial"/>
        </w:rPr>
        <w:t xml:space="preserve"> R</w:t>
      </w:r>
      <w:r w:rsidR="001820E8">
        <w:rPr>
          <w:rFonts w:ascii="Arial" w:hAnsi="Arial" w:cs="Arial"/>
        </w:rPr>
        <w:t>.</w:t>
      </w:r>
      <w:r w:rsidRPr="00067F12">
        <w:rPr>
          <w:rFonts w:ascii="Arial" w:hAnsi="Arial" w:cs="Arial"/>
        </w:rPr>
        <w:t>, Bhaskar</w:t>
      </w:r>
      <w:r w:rsidR="00AF49B3">
        <w:rPr>
          <w:rFonts w:ascii="Arial" w:hAnsi="Arial" w:cs="Arial"/>
        </w:rPr>
        <w:t>,</w:t>
      </w:r>
      <w:r w:rsidRPr="00067F12">
        <w:rPr>
          <w:rFonts w:ascii="Arial" w:hAnsi="Arial" w:cs="Arial"/>
        </w:rPr>
        <w:t xml:space="preserve"> A</w:t>
      </w:r>
      <w:r w:rsidR="001820E8">
        <w:rPr>
          <w:rFonts w:ascii="Arial" w:hAnsi="Arial" w:cs="Arial"/>
        </w:rPr>
        <w:t>.</w:t>
      </w:r>
      <w:r w:rsidRPr="00067F12">
        <w:rPr>
          <w:rFonts w:ascii="Arial" w:hAnsi="Arial" w:cs="Arial"/>
        </w:rPr>
        <w:t>K</w:t>
      </w:r>
      <w:r w:rsidR="001820E8">
        <w:rPr>
          <w:rFonts w:ascii="Arial" w:hAnsi="Arial" w:cs="Arial"/>
        </w:rPr>
        <w:t>.</w:t>
      </w:r>
      <w:r w:rsidRPr="00067F12">
        <w:rPr>
          <w:rFonts w:ascii="Arial" w:hAnsi="Arial" w:cs="Arial"/>
        </w:rPr>
        <w:t>, Pradhan</w:t>
      </w:r>
      <w:r w:rsidR="00AF49B3">
        <w:rPr>
          <w:rFonts w:ascii="Arial" w:hAnsi="Arial" w:cs="Arial"/>
        </w:rPr>
        <w:t>,</w:t>
      </w:r>
      <w:r w:rsidRPr="00067F12">
        <w:rPr>
          <w:rFonts w:ascii="Arial" w:hAnsi="Arial" w:cs="Arial"/>
        </w:rPr>
        <w:t xml:space="preserve"> S</w:t>
      </w:r>
      <w:r w:rsidR="001820E8">
        <w:rPr>
          <w:rFonts w:ascii="Arial" w:hAnsi="Arial" w:cs="Arial"/>
        </w:rPr>
        <w:t>.</w:t>
      </w:r>
      <w:r w:rsidRPr="00067F12">
        <w:rPr>
          <w:rFonts w:ascii="Arial" w:hAnsi="Arial" w:cs="Arial"/>
        </w:rPr>
        <w:t xml:space="preserve"> and al. Insights from a Pan India Sero-Epidemiological survey (Phenome-India Cohort) for SARS-CoV2 </w:t>
      </w:r>
      <w:proofErr w:type="spellStart"/>
      <w:r w:rsidRPr="00067F12">
        <w:rPr>
          <w:rFonts w:ascii="Arial" w:hAnsi="Arial" w:cs="Arial"/>
        </w:rPr>
        <w:t>eLife</w:t>
      </w:r>
      <w:proofErr w:type="spellEnd"/>
      <w:r w:rsidRPr="00067F12">
        <w:rPr>
          <w:rFonts w:ascii="Arial" w:hAnsi="Arial" w:cs="Arial"/>
        </w:rPr>
        <w:t xml:space="preserve"> 2021;</w:t>
      </w:r>
      <w:proofErr w:type="gramStart"/>
      <w:r w:rsidRPr="00067F12">
        <w:rPr>
          <w:rFonts w:ascii="Arial" w:hAnsi="Arial" w:cs="Arial"/>
        </w:rPr>
        <w:t>10:e</w:t>
      </w:r>
      <w:proofErr w:type="gramEnd"/>
      <w:r w:rsidRPr="00067F12">
        <w:rPr>
          <w:rFonts w:ascii="Arial" w:hAnsi="Arial" w:cs="Arial"/>
        </w:rPr>
        <w:t xml:space="preserve">66537. </w:t>
      </w:r>
      <w:r w:rsidRPr="00067F12">
        <w:rPr>
          <w:rFonts w:ascii="Arial" w:hAnsi="Arial" w:cs="Arial"/>
          <w:color w:val="002060"/>
        </w:rPr>
        <w:t xml:space="preserve">doi.org/10.7554/eLife.66537  </w:t>
      </w:r>
    </w:p>
    <w:p w14:paraId="4E30D85E" w14:textId="77777777" w:rsidR="00067F12" w:rsidRPr="00067F12" w:rsidRDefault="00067F12" w:rsidP="00067F12">
      <w:pPr>
        <w:spacing w:line="276" w:lineRule="auto"/>
        <w:jc w:val="both"/>
        <w:rPr>
          <w:rFonts w:ascii="Arial" w:hAnsi="Arial" w:cs="Arial"/>
        </w:rPr>
      </w:pPr>
      <w:r w:rsidRPr="00067F12">
        <w:rPr>
          <w:rFonts w:ascii="Arial" w:hAnsi="Arial" w:cs="Arial"/>
          <w:b/>
          <w:bCs/>
        </w:rPr>
        <w:t>29.</w:t>
      </w:r>
      <w:r w:rsidRPr="00067F12">
        <w:rPr>
          <w:rFonts w:ascii="Arial" w:hAnsi="Arial" w:cs="Arial"/>
        </w:rPr>
        <w:t xml:space="preserve"> </w:t>
      </w:r>
      <w:proofErr w:type="spellStart"/>
      <w:r w:rsidRPr="00067F12">
        <w:rPr>
          <w:rFonts w:ascii="Arial" w:hAnsi="Arial" w:cs="Arial"/>
        </w:rPr>
        <w:t>Bubonja-Šonje</w:t>
      </w:r>
      <w:proofErr w:type="spellEnd"/>
      <w:r w:rsidR="00AF49B3">
        <w:rPr>
          <w:rFonts w:ascii="Arial" w:hAnsi="Arial" w:cs="Arial"/>
        </w:rPr>
        <w:t>,</w:t>
      </w:r>
      <w:r w:rsidRPr="00067F12">
        <w:rPr>
          <w:rFonts w:ascii="Arial" w:hAnsi="Arial" w:cs="Arial"/>
        </w:rPr>
        <w:t xml:space="preserve"> M</w:t>
      </w:r>
      <w:r w:rsidR="001820E8">
        <w:rPr>
          <w:rFonts w:ascii="Arial" w:hAnsi="Arial" w:cs="Arial"/>
        </w:rPr>
        <w:t>.</w:t>
      </w:r>
      <w:r w:rsidRPr="00067F12">
        <w:rPr>
          <w:rFonts w:ascii="Arial" w:hAnsi="Arial" w:cs="Arial"/>
        </w:rPr>
        <w:t>, Batičić</w:t>
      </w:r>
      <w:r w:rsidR="00AF49B3">
        <w:rPr>
          <w:rFonts w:ascii="Arial" w:hAnsi="Arial" w:cs="Arial"/>
        </w:rPr>
        <w:t>,</w:t>
      </w:r>
      <w:r w:rsidRPr="00067F12">
        <w:rPr>
          <w:rFonts w:ascii="Arial" w:hAnsi="Arial" w:cs="Arial"/>
        </w:rPr>
        <w:t xml:space="preserve"> L</w:t>
      </w:r>
      <w:r w:rsidR="001820E8">
        <w:rPr>
          <w:rFonts w:ascii="Arial" w:hAnsi="Arial" w:cs="Arial"/>
        </w:rPr>
        <w:t>.</w:t>
      </w:r>
      <w:r w:rsidRPr="00067F12">
        <w:rPr>
          <w:rFonts w:ascii="Arial" w:hAnsi="Arial" w:cs="Arial"/>
        </w:rPr>
        <w:t>, Abram</w:t>
      </w:r>
      <w:r w:rsidR="00AF49B3">
        <w:rPr>
          <w:rFonts w:ascii="Arial" w:hAnsi="Arial" w:cs="Arial"/>
        </w:rPr>
        <w:t>,</w:t>
      </w:r>
      <w:r w:rsidRPr="00067F12">
        <w:rPr>
          <w:rFonts w:ascii="Arial" w:hAnsi="Arial" w:cs="Arial"/>
        </w:rPr>
        <w:t xml:space="preserve"> M</w:t>
      </w:r>
      <w:r w:rsidR="001820E8">
        <w:rPr>
          <w:rFonts w:ascii="Arial" w:hAnsi="Arial" w:cs="Arial"/>
        </w:rPr>
        <w:t>.</w:t>
      </w:r>
      <w:r w:rsidRPr="00067F12">
        <w:rPr>
          <w:rFonts w:ascii="Arial" w:hAnsi="Arial" w:cs="Arial"/>
        </w:rPr>
        <w:t>, Cekinović</w:t>
      </w:r>
      <w:r w:rsidR="00AF49B3">
        <w:rPr>
          <w:rFonts w:ascii="Arial" w:hAnsi="Arial" w:cs="Arial"/>
        </w:rPr>
        <w:t>,</w:t>
      </w:r>
      <w:r w:rsidRPr="00067F12">
        <w:rPr>
          <w:rFonts w:ascii="Arial" w:hAnsi="Arial" w:cs="Arial"/>
        </w:rPr>
        <w:t xml:space="preserve"> G</w:t>
      </w:r>
      <w:r w:rsidR="001820E8">
        <w:rPr>
          <w:rFonts w:ascii="Arial" w:hAnsi="Arial" w:cs="Arial"/>
        </w:rPr>
        <w:t>.</w:t>
      </w:r>
      <w:r w:rsidRPr="00067F12">
        <w:rPr>
          <w:rFonts w:ascii="Arial" w:hAnsi="Arial" w:cs="Arial"/>
        </w:rPr>
        <w:t xml:space="preserve">Đ. Diagnostic accuracy of three SARS-CoV2 antibody detection assays, neutralizing effect and longevity of serum antibodies. J </w:t>
      </w:r>
      <w:proofErr w:type="spellStart"/>
      <w:r w:rsidRPr="00067F12">
        <w:rPr>
          <w:rFonts w:ascii="Arial" w:hAnsi="Arial" w:cs="Arial"/>
        </w:rPr>
        <w:t>Virol</w:t>
      </w:r>
      <w:proofErr w:type="spellEnd"/>
      <w:r w:rsidRPr="00067F12">
        <w:rPr>
          <w:rFonts w:ascii="Arial" w:hAnsi="Arial" w:cs="Arial"/>
        </w:rPr>
        <w:t xml:space="preserve"> Methods. </w:t>
      </w:r>
      <w:proofErr w:type="gramStart"/>
      <w:r w:rsidRPr="00067F12">
        <w:rPr>
          <w:rFonts w:ascii="Arial" w:hAnsi="Arial" w:cs="Arial"/>
        </w:rPr>
        <w:t>2021;293:114173</w:t>
      </w:r>
      <w:proofErr w:type="gramEnd"/>
      <w:r w:rsidRPr="00067F12">
        <w:rPr>
          <w:rFonts w:ascii="Arial" w:hAnsi="Arial" w:cs="Arial"/>
        </w:rPr>
        <w:t xml:space="preserve">. </w:t>
      </w:r>
      <w:proofErr w:type="spellStart"/>
      <w:r w:rsidRPr="00067F12">
        <w:rPr>
          <w:rFonts w:ascii="Arial" w:hAnsi="Arial" w:cs="Arial"/>
          <w:color w:val="002060"/>
        </w:rPr>
        <w:t>doi</w:t>
      </w:r>
      <w:proofErr w:type="spellEnd"/>
      <w:r w:rsidRPr="00067F12">
        <w:rPr>
          <w:rFonts w:ascii="Arial" w:hAnsi="Arial" w:cs="Arial"/>
          <w:color w:val="002060"/>
        </w:rPr>
        <w:t>: 10.1016/j.jviromet.2021.114173</w:t>
      </w:r>
    </w:p>
    <w:p w14:paraId="42E973AD" w14:textId="77777777" w:rsidR="00067F12" w:rsidRPr="00067F12" w:rsidRDefault="00067F12" w:rsidP="00067F12">
      <w:pPr>
        <w:spacing w:line="276" w:lineRule="auto"/>
        <w:jc w:val="both"/>
        <w:rPr>
          <w:rFonts w:ascii="Arial" w:hAnsi="Arial" w:cs="Arial"/>
          <w:color w:val="002060"/>
        </w:rPr>
      </w:pPr>
      <w:r w:rsidRPr="00067F12">
        <w:rPr>
          <w:rFonts w:ascii="Arial" w:hAnsi="Arial" w:cs="Arial"/>
          <w:b/>
          <w:bCs/>
        </w:rPr>
        <w:t>30</w:t>
      </w:r>
      <w:r w:rsidRPr="00067F12">
        <w:rPr>
          <w:rFonts w:ascii="Arial" w:hAnsi="Arial" w:cs="Arial"/>
        </w:rPr>
        <w:t>. Zhao</w:t>
      </w:r>
      <w:r w:rsidR="00AF49B3">
        <w:rPr>
          <w:rFonts w:ascii="Arial" w:hAnsi="Arial" w:cs="Arial"/>
        </w:rPr>
        <w:t>,</w:t>
      </w:r>
      <w:r w:rsidRPr="00067F12">
        <w:rPr>
          <w:rFonts w:ascii="Arial" w:hAnsi="Arial" w:cs="Arial"/>
        </w:rPr>
        <w:t xml:space="preserve"> J</w:t>
      </w:r>
      <w:r w:rsidR="001820E8">
        <w:rPr>
          <w:rFonts w:ascii="Arial" w:hAnsi="Arial" w:cs="Arial"/>
        </w:rPr>
        <w:t>.</w:t>
      </w:r>
      <w:r w:rsidRPr="00067F12">
        <w:rPr>
          <w:rFonts w:ascii="Arial" w:hAnsi="Arial" w:cs="Arial"/>
        </w:rPr>
        <w:t>, Yuan</w:t>
      </w:r>
      <w:r w:rsidR="00AF49B3">
        <w:rPr>
          <w:rFonts w:ascii="Arial" w:hAnsi="Arial" w:cs="Arial"/>
        </w:rPr>
        <w:t>,</w:t>
      </w:r>
      <w:r w:rsidRPr="00067F12">
        <w:rPr>
          <w:rFonts w:ascii="Arial" w:hAnsi="Arial" w:cs="Arial"/>
        </w:rPr>
        <w:t xml:space="preserve"> Q</w:t>
      </w:r>
      <w:r w:rsidR="001820E8">
        <w:rPr>
          <w:rFonts w:ascii="Arial" w:hAnsi="Arial" w:cs="Arial"/>
        </w:rPr>
        <w:t>.</w:t>
      </w:r>
      <w:r w:rsidRPr="00067F12">
        <w:rPr>
          <w:rFonts w:ascii="Arial" w:hAnsi="Arial" w:cs="Arial"/>
        </w:rPr>
        <w:t>, Wang</w:t>
      </w:r>
      <w:r w:rsidR="00AF49B3">
        <w:rPr>
          <w:rFonts w:ascii="Arial" w:hAnsi="Arial" w:cs="Arial"/>
        </w:rPr>
        <w:t>,</w:t>
      </w:r>
      <w:r w:rsidRPr="00067F12">
        <w:rPr>
          <w:rFonts w:ascii="Arial" w:hAnsi="Arial" w:cs="Arial"/>
        </w:rPr>
        <w:t xml:space="preserve"> H</w:t>
      </w:r>
      <w:r w:rsidR="001820E8">
        <w:rPr>
          <w:rFonts w:ascii="Arial" w:hAnsi="Arial" w:cs="Arial"/>
        </w:rPr>
        <w:t>.</w:t>
      </w:r>
      <w:r w:rsidRPr="00067F12">
        <w:rPr>
          <w:rFonts w:ascii="Arial" w:hAnsi="Arial" w:cs="Arial"/>
        </w:rPr>
        <w:t>, Liu</w:t>
      </w:r>
      <w:r w:rsidR="00AF49B3">
        <w:rPr>
          <w:rFonts w:ascii="Arial" w:hAnsi="Arial" w:cs="Arial"/>
        </w:rPr>
        <w:t>,</w:t>
      </w:r>
      <w:r w:rsidRPr="00067F12">
        <w:rPr>
          <w:rFonts w:ascii="Arial" w:hAnsi="Arial" w:cs="Arial"/>
        </w:rPr>
        <w:t xml:space="preserve"> W</w:t>
      </w:r>
      <w:r w:rsidR="001820E8">
        <w:rPr>
          <w:rFonts w:ascii="Arial" w:hAnsi="Arial" w:cs="Arial"/>
        </w:rPr>
        <w:t>.</w:t>
      </w:r>
      <w:r w:rsidRPr="00067F12">
        <w:rPr>
          <w:rFonts w:ascii="Arial" w:hAnsi="Arial" w:cs="Arial"/>
        </w:rPr>
        <w:t>, Liao</w:t>
      </w:r>
      <w:r w:rsidR="00AF49B3">
        <w:rPr>
          <w:rFonts w:ascii="Arial" w:hAnsi="Arial" w:cs="Arial"/>
        </w:rPr>
        <w:t>,</w:t>
      </w:r>
      <w:r w:rsidRPr="00067F12">
        <w:rPr>
          <w:rFonts w:ascii="Arial" w:hAnsi="Arial" w:cs="Arial"/>
        </w:rPr>
        <w:t xml:space="preserve"> X</w:t>
      </w:r>
      <w:r w:rsidR="001820E8">
        <w:rPr>
          <w:rFonts w:ascii="Arial" w:hAnsi="Arial" w:cs="Arial"/>
        </w:rPr>
        <w:t>.</w:t>
      </w:r>
      <w:r w:rsidRPr="00067F12">
        <w:rPr>
          <w:rFonts w:ascii="Arial" w:hAnsi="Arial" w:cs="Arial"/>
        </w:rPr>
        <w:t>, Su</w:t>
      </w:r>
      <w:r w:rsidR="00AF49B3">
        <w:rPr>
          <w:rFonts w:ascii="Arial" w:hAnsi="Arial" w:cs="Arial"/>
        </w:rPr>
        <w:t>,</w:t>
      </w:r>
      <w:r w:rsidRPr="00067F12">
        <w:rPr>
          <w:rFonts w:ascii="Arial" w:hAnsi="Arial" w:cs="Arial"/>
        </w:rPr>
        <w:t xml:space="preserve"> Y</w:t>
      </w:r>
      <w:r w:rsidR="001820E8">
        <w:rPr>
          <w:rFonts w:ascii="Arial" w:hAnsi="Arial" w:cs="Arial"/>
        </w:rPr>
        <w:t>.</w:t>
      </w:r>
      <w:r w:rsidRPr="00067F12">
        <w:rPr>
          <w:rFonts w:ascii="Arial" w:hAnsi="Arial" w:cs="Arial"/>
        </w:rPr>
        <w:t xml:space="preserve"> and al. Antibody responses to </w:t>
      </w:r>
      <w:proofErr w:type="spellStart"/>
      <w:r w:rsidRPr="00067F12">
        <w:rPr>
          <w:rFonts w:ascii="Arial" w:hAnsi="Arial" w:cs="Arial"/>
        </w:rPr>
        <w:t>SARSCoV</w:t>
      </w:r>
      <w:proofErr w:type="spellEnd"/>
      <w:r w:rsidRPr="00067F12">
        <w:rPr>
          <w:rFonts w:ascii="Arial" w:hAnsi="Arial" w:cs="Arial"/>
        </w:rPr>
        <w:t xml:space="preserve"> 2 in patients of novel coronavirus disease 2019. Clin Infect Dis. 2020. 19;71(16):2027-2034 </w:t>
      </w:r>
      <w:r w:rsidRPr="00067F12">
        <w:rPr>
          <w:rFonts w:ascii="Arial" w:hAnsi="Arial" w:cs="Arial"/>
          <w:color w:val="002060"/>
        </w:rPr>
        <w:t>doi.org/10.1093/</w:t>
      </w:r>
      <w:proofErr w:type="spellStart"/>
      <w:r w:rsidRPr="00067F12">
        <w:rPr>
          <w:rFonts w:ascii="Arial" w:hAnsi="Arial" w:cs="Arial"/>
          <w:color w:val="002060"/>
        </w:rPr>
        <w:t>cid</w:t>
      </w:r>
      <w:proofErr w:type="spellEnd"/>
      <w:r w:rsidRPr="00067F12">
        <w:rPr>
          <w:rFonts w:ascii="Arial" w:hAnsi="Arial" w:cs="Arial"/>
          <w:color w:val="002060"/>
        </w:rPr>
        <w:t>/ciaa344</w:t>
      </w:r>
    </w:p>
    <w:p w14:paraId="11079269" w14:textId="77777777" w:rsidR="00067F12" w:rsidRPr="00067F12" w:rsidRDefault="00067F12" w:rsidP="00067F12">
      <w:pPr>
        <w:spacing w:line="276" w:lineRule="auto"/>
        <w:jc w:val="both"/>
        <w:rPr>
          <w:rFonts w:ascii="Arial" w:hAnsi="Arial" w:cs="Arial"/>
        </w:rPr>
      </w:pPr>
      <w:r w:rsidRPr="00067F12">
        <w:rPr>
          <w:rFonts w:ascii="Arial" w:hAnsi="Arial" w:cs="Arial"/>
          <w:b/>
          <w:bCs/>
        </w:rPr>
        <w:t>31.</w:t>
      </w:r>
      <w:r w:rsidRPr="00067F12">
        <w:rPr>
          <w:rFonts w:ascii="Arial" w:hAnsi="Arial" w:cs="Arial"/>
        </w:rPr>
        <w:t xml:space="preserve"> Sekine</w:t>
      </w:r>
      <w:r w:rsidR="00AF49B3">
        <w:rPr>
          <w:rFonts w:ascii="Arial" w:hAnsi="Arial" w:cs="Arial"/>
        </w:rPr>
        <w:t>,</w:t>
      </w:r>
      <w:r w:rsidRPr="00067F12">
        <w:rPr>
          <w:rFonts w:ascii="Arial" w:hAnsi="Arial" w:cs="Arial"/>
        </w:rPr>
        <w:t xml:space="preserve"> T</w:t>
      </w:r>
      <w:r w:rsidR="001820E8">
        <w:rPr>
          <w:rFonts w:ascii="Arial" w:hAnsi="Arial" w:cs="Arial"/>
        </w:rPr>
        <w:t>.</w:t>
      </w:r>
      <w:r w:rsidRPr="00067F12">
        <w:rPr>
          <w:rFonts w:ascii="Arial" w:hAnsi="Arial" w:cs="Arial"/>
        </w:rPr>
        <w:t>, Perez-Potti</w:t>
      </w:r>
      <w:r w:rsidR="00AF49B3">
        <w:rPr>
          <w:rFonts w:ascii="Arial" w:hAnsi="Arial" w:cs="Arial"/>
        </w:rPr>
        <w:t>,</w:t>
      </w:r>
      <w:r w:rsidRPr="00067F12">
        <w:rPr>
          <w:rFonts w:ascii="Arial" w:hAnsi="Arial" w:cs="Arial"/>
        </w:rPr>
        <w:t xml:space="preserve"> A</w:t>
      </w:r>
      <w:r w:rsidR="001820E8">
        <w:rPr>
          <w:rFonts w:ascii="Arial" w:hAnsi="Arial" w:cs="Arial"/>
        </w:rPr>
        <w:t>.</w:t>
      </w:r>
      <w:r w:rsidRPr="00067F12">
        <w:rPr>
          <w:rFonts w:ascii="Arial" w:hAnsi="Arial" w:cs="Arial"/>
        </w:rPr>
        <w:t>, Rivera-Ballesteros</w:t>
      </w:r>
      <w:r w:rsidR="00AF49B3">
        <w:rPr>
          <w:rFonts w:ascii="Arial" w:hAnsi="Arial" w:cs="Arial"/>
        </w:rPr>
        <w:t>,</w:t>
      </w:r>
      <w:r w:rsidRPr="00067F12">
        <w:rPr>
          <w:rFonts w:ascii="Arial" w:hAnsi="Arial" w:cs="Arial"/>
        </w:rPr>
        <w:t xml:space="preserve"> O</w:t>
      </w:r>
      <w:r w:rsidR="001820E8">
        <w:rPr>
          <w:rFonts w:ascii="Arial" w:hAnsi="Arial" w:cs="Arial"/>
        </w:rPr>
        <w:t>.</w:t>
      </w:r>
      <w:r w:rsidRPr="00067F12">
        <w:rPr>
          <w:rFonts w:ascii="Arial" w:hAnsi="Arial" w:cs="Arial"/>
        </w:rPr>
        <w:t xml:space="preserve">, </w:t>
      </w:r>
      <w:proofErr w:type="spellStart"/>
      <w:r w:rsidRPr="00067F12">
        <w:rPr>
          <w:rFonts w:ascii="Arial" w:hAnsi="Arial" w:cs="Arial"/>
        </w:rPr>
        <w:t>Strålin</w:t>
      </w:r>
      <w:proofErr w:type="spellEnd"/>
      <w:r w:rsidR="00AF49B3">
        <w:rPr>
          <w:rFonts w:ascii="Arial" w:hAnsi="Arial" w:cs="Arial"/>
        </w:rPr>
        <w:t>,</w:t>
      </w:r>
      <w:r w:rsidRPr="00067F12">
        <w:rPr>
          <w:rFonts w:ascii="Arial" w:hAnsi="Arial" w:cs="Arial"/>
        </w:rPr>
        <w:t xml:space="preserve"> K</w:t>
      </w:r>
      <w:r w:rsidR="001820E8">
        <w:rPr>
          <w:rFonts w:ascii="Arial" w:hAnsi="Arial" w:cs="Arial"/>
        </w:rPr>
        <w:t>.</w:t>
      </w:r>
      <w:r w:rsidRPr="00067F12">
        <w:rPr>
          <w:rFonts w:ascii="Arial" w:hAnsi="Arial" w:cs="Arial"/>
        </w:rPr>
        <w:t>, Gorin</w:t>
      </w:r>
      <w:r w:rsidR="00AF49B3">
        <w:rPr>
          <w:rFonts w:ascii="Arial" w:hAnsi="Arial" w:cs="Arial"/>
        </w:rPr>
        <w:t>,</w:t>
      </w:r>
      <w:r w:rsidRPr="00067F12">
        <w:rPr>
          <w:rFonts w:ascii="Arial" w:hAnsi="Arial" w:cs="Arial"/>
        </w:rPr>
        <w:t xml:space="preserve"> J</w:t>
      </w:r>
      <w:r w:rsidR="001820E8">
        <w:rPr>
          <w:rFonts w:ascii="Arial" w:hAnsi="Arial" w:cs="Arial"/>
        </w:rPr>
        <w:t>.</w:t>
      </w:r>
      <w:r w:rsidRPr="00067F12">
        <w:rPr>
          <w:rFonts w:ascii="Arial" w:hAnsi="Arial" w:cs="Arial"/>
        </w:rPr>
        <w:t>B</w:t>
      </w:r>
      <w:r w:rsidR="001820E8">
        <w:rPr>
          <w:rFonts w:ascii="Arial" w:hAnsi="Arial" w:cs="Arial"/>
        </w:rPr>
        <w:t>.</w:t>
      </w:r>
      <w:r w:rsidRPr="00067F12">
        <w:rPr>
          <w:rFonts w:ascii="Arial" w:hAnsi="Arial" w:cs="Arial"/>
        </w:rPr>
        <w:t>, Olsson</w:t>
      </w:r>
      <w:r w:rsidR="00AF49B3">
        <w:rPr>
          <w:rFonts w:ascii="Arial" w:hAnsi="Arial" w:cs="Arial"/>
        </w:rPr>
        <w:t>,</w:t>
      </w:r>
      <w:r w:rsidRPr="00067F12">
        <w:rPr>
          <w:rFonts w:ascii="Arial" w:hAnsi="Arial" w:cs="Arial"/>
        </w:rPr>
        <w:t xml:space="preserve"> A</w:t>
      </w:r>
      <w:r w:rsidR="001820E8">
        <w:rPr>
          <w:rFonts w:ascii="Arial" w:hAnsi="Arial" w:cs="Arial"/>
        </w:rPr>
        <w:t>.</w:t>
      </w:r>
      <w:r w:rsidRPr="00067F12">
        <w:rPr>
          <w:rFonts w:ascii="Arial" w:hAnsi="Arial" w:cs="Arial"/>
        </w:rPr>
        <w:t>, Llewellyn-Lacey</w:t>
      </w:r>
      <w:r w:rsidR="00AF49B3">
        <w:rPr>
          <w:rFonts w:ascii="Arial" w:hAnsi="Arial" w:cs="Arial"/>
        </w:rPr>
        <w:t>,</w:t>
      </w:r>
      <w:r w:rsidRPr="00067F12">
        <w:rPr>
          <w:rFonts w:ascii="Arial" w:hAnsi="Arial" w:cs="Arial"/>
        </w:rPr>
        <w:t xml:space="preserve"> S</w:t>
      </w:r>
      <w:r w:rsidR="001820E8">
        <w:rPr>
          <w:rFonts w:ascii="Arial" w:hAnsi="Arial" w:cs="Arial"/>
        </w:rPr>
        <w:t>.</w:t>
      </w:r>
      <w:r w:rsidRPr="00067F12">
        <w:rPr>
          <w:rFonts w:ascii="Arial" w:hAnsi="Arial" w:cs="Arial"/>
        </w:rPr>
        <w:t xml:space="preserve"> and al. Robust T cell immunity in convalescent individuals with asymptomatic or mild COVID-19. Cell. 2020;183(1):158-168.e14. </w:t>
      </w:r>
      <w:proofErr w:type="spellStart"/>
      <w:r w:rsidRPr="00067F12">
        <w:rPr>
          <w:rFonts w:ascii="Arial" w:hAnsi="Arial" w:cs="Arial"/>
          <w:color w:val="002060"/>
        </w:rPr>
        <w:t>doi</w:t>
      </w:r>
      <w:proofErr w:type="spellEnd"/>
      <w:r w:rsidRPr="00067F12">
        <w:rPr>
          <w:rFonts w:ascii="Arial" w:hAnsi="Arial" w:cs="Arial"/>
          <w:color w:val="002060"/>
        </w:rPr>
        <w:t>: 10.1016/j.cell.2020.08.017</w:t>
      </w:r>
    </w:p>
    <w:p w14:paraId="6A888276" w14:textId="77777777" w:rsidR="00B01FCD" w:rsidRDefault="00067F12" w:rsidP="008C3B79">
      <w:pPr>
        <w:jc w:val="both"/>
        <w:rPr>
          <w:rFonts w:ascii="Arial" w:hAnsi="Arial" w:cs="Arial"/>
          <w:color w:val="002060"/>
        </w:rPr>
      </w:pPr>
      <w:r w:rsidRPr="00067F12">
        <w:rPr>
          <w:rFonts w:ascii="Arial" w:hAnsi="Arial" w:cs="Arial"/>
          <w:b/>
          <w:bCs/>
        </w:rPr>
        <w:t>32</w:t>
      </w:r>
      <w:r w:rsidRPr="00067F12">
        <w:rPr>
          <w:rFonts w:ascii="Arial" w:hAnsi="Arial" w:cs="Arial"/>
        </w:rPr>
        <w:t xml:space="preserve">. </w:t>
      </w:r>
      <w:commentRangeStart w:id="26"/>
      <w:proofErr w:type="spellStart"/>
      <w:r w:rsidRPr="00067F12">
        <w:rPr>
          <w:rFonts w:ascii="Arial" w:hAnsi="Arial" w:cs="Arial"/>
        </w:rPr>
        <w:t>Makulo</w:t>
      </w:r>
      <w:proofErr w:type="spellEnd"/>
      <w:r w:rsidR="00AF49B3">
        <w:rPr>
          <w:rFonts w:ascii="Arial" w:hAnsi="Arial" w:cs="Arial"/>
        </w:rPr>
        <w:t>,</w:t>
      </w:r>
      <w:r w:rsidRPr="00067F12">
        <w:rPr>
          <w:rFonts w:ascii="Arial" w:hAnsi="Arial" w:cs="Arial"/>
        </w:rPr>
        <w:t xml:space="preserve"> J</w:t>
      </w:r>
      <w:r w:rsidR="001820E8">
        <w:rPr>
          <w:rFonts w:ascii="Arial" w:hAnsi="Arial" w:cs="Arial"/>
        </w:rPr>
        <w:t>.</w:t>
      </w:r>
      <w:r w:rsidRPr="00067F12">
        <w:rPr>
          <w:rFonts w:ascii="Arial" w:hAnsi="Arial" w:cs="Arial"/>
        </w:rPr>
        <w:t>R</w:t>
      </w:r>
      <w:r w:rsidR="001820E8">
        <w:rPr>
          <w:rFonts w:ascii="Arial" w:hAnsi="Arial" w:cs="Arial"/>
        </w:rPr>
        <w:t>.</w:t>
      </w:r>
      <w:r w:rsidRPr="00067F12">
        <w:rPr>
          <w:rFonts w:ascii="Arial" w:hAnsi="Arial" w:cs="Arial"/>
        </w:rPr>
        <w:t>, Mandina</w:t>
      </w:r>
      <w:r w:rsidR="00AF49B3">
        <w:rPr>
          <w:rFonts w:ascii="Arial" w:hAnsi="Arial" w:cs="Arial"/>
        </w:rPr>
        <w:t>,</w:t>
      </w:r>
      <w:r w:rsidRPr="00067F12">
        <w:rPr>
          <w:rFonts w:ascii="Arial" w:hAnsi="Arial" w:cs="Arial"/>
        </w:rPr>
        <w:t xml:space="preserve"> M</w:t>
      </w:r>
      <w:r w:rsidR="001820E8">
        <w:rPr>
          <w:rFonts w:ascii="Arial" w:hAnsi="Arial" w:cs="Arial"/>
        </w:rPr>
        <w:t>.</w:t>
      </w:r>
      <w:r w:rsidRPr="00067F12">
        <w:rPr>
          <w:rFonts w:ascii="Arial" w:hAnsi="Arial" w:cs="Arial"/>
        </w:rPr>
        <w:t>N</w:t>
      </w:r>
      <w:r w:rsidR="001820E8">
        <w:rPr>
          <w:rFonts w:ascii="Arial" w:hAnsi="Arial" w:cs="Arial"/>
        </w:rPr>
        <w:t>.</w:t>
      </w:r>
      <w:r w:rsidRPr="00067F12">
        <w:rPr>
          <w:rFonts w:ascii="Arial" w:hAnsi="Arial" w:cs="Arial"/>
        </w:rPr>
        <w:t>, Mbala</w:t>
      </w:r>
      <w:r w:rsidR="00AF49B3">
        <w:rPr>
          <w:rFonts w:ascii="Arial" w:hAnsi="Arial" w:cs="Arial"/>
        </w:rPr>
        <w:t>,</w:t>
      </w:r>
      <w:r w:rsidRPr="00067F12">
        <w:rPr>
          <w:rFonts w:ascii="Arial" w:hAnsi="Arial" w:cs="Arial"/>
        </w:rPr>
        <w:t xml:space="preserve"> P</w:t>
      </w:r>
      <w:r w:rsidR="001820E8">
        <w:rPr>
          <w:rFonts w:ascii="Arial" w:hAnsi="Arial" w:cs="Arial"/>
        </w:rPr>
        <w:t>.</w:t>
      </w:r>
      <w:r w:rsidRPr="00067F12">
        <w:rPr>
          <w:rFonts w:ascii="Arial" w:hAnsi="Arial" w:cs="Arial"/>
        </w:rPr>
        <w:t>K</w:t>
      </w:r>
      <w:r w:rsidR="001820E8">
        <w:rPr>
          <w:rFonts w:ascii="Arial" w:hAnsi="Arial" w:cs="Arial"/>
        </w:rPr>
        <w:t>.</w:t>
      </w:r>
      <w:r w:rsidRPr="00067F12">
        <w:rPr>
          <w:rFonts w:ascii="Arial" w:hAnsi="Arial" w:cs="Arial"/>
        </w:rPr>
        <w:t xml:space="preserve"> and al. SARS-CoV2 infection in symptomatic patients: interest of serological tests and predictors of mortality: experience of DR Congo. BMC Infect Dis 2022,22-21 </w:t>
      </w:r>
      <w:r w:rsidRPr="00067F12">
        <w:rPr>
          <w:rFonts w:ascii="Arial" w:hAnsi="Arial" w:cs="Arial"/>
          <w:color w:val="002060"/>
        </w:rPr>
        <w:t>doi.org/10.1186/s12879-021-07003-9</w:t>
      </w:r>
      <w:commentRangeEnd w:id="26"/>
      <w:r w:rsidR="00710B85">
        <w:rPr>
          <w:rStyle w:val="CommentReference"/>
          <w:rFonts w:ascii="Times New Roman" w:hAnsi="Times New Roman"/>
          <w:lang w:val="nb-NO" w:eastAsia="nb-NO"/>
        </w:rPr>
        <w:commentReference w:id="26"/>
      </w:r>
    </w:p>
    <w:p w14:paraId="1201CB2D" w14:textId="77777777" w:rsidR="008C3B79" w:rsidRPr="008C3B79" w:rsidRDefault="008C3B79" w:rsidP="008C3B79">
      <w:pPr>
        <w:jc w:val="both"/>
        <w:rPr>
          <w:rFonts w:ascii="Times New Roman" w:hAnsi="Times New Roman"/>
          <w:color w:val="002060"/>
        </w:rPr>
      </w:pPr>
    </w:p>
    <w:p w14:paraId="7C31D80B" w14:textId="63CE3437" w:rsidR="004D4277" w:rsidRDefault="004D4277" w:rsidP="000F1682">
      <w:pPr>
        <w:pStyle w:val="DefAcrHead"/>
        <w:spacing w:after="0"/>
        <w:jc w:val="both"/>
        <w:rPr>
          <w:rFonts w:ascii="Arial" w:hAnsi="Arial" w:cs="Arial"/>
        </w:rPr>
      </w:pPr>
    </w:p>
    <w:p w14:paraId="1F3A282B" w14:textId="77777777" w:rsidR="008C3B79" w:rsidRPr="00FB3A86" w:rsidRDefault="008C3B79" w:rsidP="00441B6F">
      <w:pPr>
        <w:pStyle w:val="Appendix"/>
        <w:spacing w:after="0"/>
        <w:jc w:val="both"/>
        <w:rPr>
          <w:rFonts w:ascii="Arial" w:hAnsi="Arial" w:cs="Arial"/>
          <w:b w:val="0"/>
        </w:rPr>
        <w:sectPr w:rsidR="008C3B79" w:rsidRPr="00FB3A86" w:rsidSect="00F26DC2">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440" w:right="2016" w:bottom="2016" w:left="2016" w:header="720" w:footer="1123" w:gutter="0"/>
          <w:cols w:space="720"/>
          <w:docGrid w:linePitch="272"/>
        </w:sectPr>
      </w:pPr>
    </w:p>
    <w:p w14:paraId="1523AB00" w14:textId="77777777" w:rsidR="00B01FCD" w:rsidRPr="00FB3A86" w:rsidRDefault="00B01FCD" w:rsidP="00441B6F">
      <w:pPr>
        <w:pStyle w:val="Appendix"/>
        <w:spacing w:after="0"/>
        <w:jc w:val="both"/>
        <w:rPr>
          <w:rFonts w:ascii="Arial" w:hAnsi="Arial" w:cs="Arial"/>
          <w:b w:val="0"/>
        </w:rPr>
      </w:pPr>
    </w:p>
    <w:sectPr w:rsidR="00B01FCD" w:rsidRPr="00FB3A86" w:rsidSect="00F26DC2">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viewer" w:date="2025-09-19T15:52:00Z" w:initials="R">
    <w:p w14:paraId="0A0B9157" w14:textId="77777777" w:rsidR="002B33D1" w:rsidRDefault="002B33D1" w:rsidP="002B33D1">
      <w:pPr>
        <w:pStyle w:val="CommentText"/>
      </w:pPr>
      <w:r>
        <w:rPr>
          <w:rStyle w:val="CommentReference"/>
        </w:rPr>
        <w:annotationRef/>
      </w:r>
      <w:r>
        <w:t>What do mean by this?</w:t>
      </w:r>
    </w:p>
  </w:comment>
  <w:comment w:id="1" w:author="Reviewer" w:date="2025-09-19T15:55:00Z" w:initials="R">
    <w:p w14:paraId="365A8D6B" w14:textId="77777777" w:rsidR="002B33D1" w:rsidRDefault="002B33D1" w:rsidP="002B33D1">
      <w:pPr>
        <w:pStyle w:val="CommentText"/>
      </w:pPr>
      <w:r>
        <w:rPr>
          <w:rStyle w:val="CommentReference"/>
        </w:rPr>
        <w:annotationRef/>
      </w:r>
      <w:r>
        <w:t>population</w:t>
      </w:r>
    </w:p>
  </w:comment>
  <w:comment w:id="2" w:author="Reviewer" w:date="2025-09-19T16:00:00Z" w:initials="R">
    <w:p w14:paraId="5B8F1117" w14:textId="77777777" w:rsidR="00AD5209" w:rsidRDefault="00AD5209" w:rsidP="00AD5209">
      <w:pPr>
        <w:pStyle w:val="CommentText"/>
      </w:pPr>
      <w:r>
        <w:rPr>
          <w:rStyle w:val="CommentReference"/>
        </w:rPr>
        <w:annotationRef/>
      </w:r>
      <w:r>
        <w:t>Please mention two medina ages, one for children &lt;5 years and second for patients &gt; 65years</w:t>
      </w:r>
    </w:p>
  </w:comment>
  <w:comment w:id="3" w:author="Reviewer" w:date="2025-09-19T16:02:00Z" w:initials="R">
    <w:p w14:paraId="16C77A46" w14:textId="77777777" w:rsidR="00AD5209" w:rsidRDefault="00AD5209" w:rsidP="00AD5209">
      <w:pPr>
        <w:pStyle w:val="CommentText"/>
      </w:pPr>
      <w:r>
        <w:rPr>
          <w:rStyle w:val="CommentReference"/>
        </w:rPr>
        <w:annotationRef/>
      </w:r>
      <w:r>
        <w:t>Please just mention the major findings as others are presented in figure 1.</w:t>
      </w:r>
    </w:p>
  </w:comment>
  <w:comment w:id="4" w:author="Reviewer" w:date="2025-09-19T16:02:00Z" w:initials="R">
    <w:p w14:paraId="461BABB3" w14:textId="77777777" w:rsidR="00AD5209" w:rsidRDefault="00AD5209" w:rsidP="00AD5209">
      <w:pPr>
        <w:pStyle w:val="CommentText"/>
      </w:pPr>
      <w:r>
        <w:rPr>
          <w:rStyle w:val="CommentReference"/>
        </w:rPr>
        <w:annotationRef/>
      </w:r>
      <w:r>
        <w:t>Please mention n</w:t>
      </w:r>
    </w:p>
  </w:comment>
  <w:comment w:id="5" w:author="Reviewer" w:date="2025-09-19T16:03:00Z" w:initials="R">
    <w:p w14:paraId="117EB0AD" w14:textId="77777777" w:rsidR="00AD5209" w:rsidRDefault="00AD5209" w:rsidP="00AD5209">
      <w:pPr>
        <w:pStyle w:val="CommentText"/>
      </w:pPr>
      <w:r>
        <w:rPr>
          <w:rStyle w:val="CommentReference"/>
        </w:rPr>
        <w:annotationRef/>
      </w:r>
      <w:r>
        <w:t>Plese mention ‘n’ here</w:t>
      </w:r>
    </w:p>
  </w:comment>
  <w:comment w:id="6" w:author="Reviewer" w:date="2025-09-19T16:04:00Z" w:initials="R">
    <w:p w14:paraId="34324FC5" w14:textId="77777777" w:rsidR="00AD5209" w:rsidRDefault="00AD5209" w:rsidP="00AD5209">
      <w:pPr>
        <w:pStyle w:val="CommentText"/>
      </w:pPr>
      <w:r>
        <w:rPr>
          <w:rStyle w:val="CommentReference"/>
        </w:rPr>
        <w:annotationRef/>
      </w:r>
      <w:r>
        <w:t>petients</w:t>
      </w:r>
    </w:p>
  </w:comment>
  <w:comment w:id="7" w:author="Reviewer" w:date="2025-09-19T16:05:00Z" w:initials="R">
    <w:p w14:paraId="2993CE42" w14:textId="77777777" w:rsidR="00AD5209" w:rsidRDefault="00AD5209" w:rsidP="00AD5209">
      <w:pPr>
        <w:pStyle w:val="CommentText"/>
      </w:pPr>
      <w:r>
        <w:rPr>
          <w:rStyle w:val="CommentReference"/>
        </w:rPr>
        <w:annotationRef/>
      </w:r>
      <w:r>
        <w:t>Mention n here</w:t>
      </w:r>
    </w:p>
  </w:comment>
  <w:comment w:id="8" w:author="Reviewer" w:date="2025-09-19T16:05:00Z" w:initials="R">
    <w:p w14:paraId="1EE15A75" w14:textId="77777777" w:rsidR="00AD5209" w:rsidRDefault="00AD5209" w:rsidP="00AD5209">
      <w:pPr>
        <w:pStyle w:val="CommentText"/>
      </w:pPr>
      <w:r>
        <w:rPr>
          <w:rStyle w:val="CommentReference"/>
        </w:rPr>
        <w:annotationRef/>
      </w:r>
      <w:r>
        <w:t>Mention n here</w:t>
      </w:r>
    </w:p>
  </w:comment>
  <w:comment w:id="9" w:author="Reviewer" w:date="2025-09-19T16:06:00Z" w:initials="R">
    <w:p w14:paraId="3D408884" w14:textId="77777777" w:rsidR="00AD5209" w:rsidRDefault="00AD5209" w:rsidP="00AD5209">
      <w:pPr>
        <w:pStyle w:val="CommentText"/>
      </w:pPr>
      <w:r>
        <w:rPr>
          <w:rStyle w:val="CommentReference"/>
        </w:rPr>
        <w:annotationRef/>
      </w:r>
      <w:r>
        <w:t>Mention n here</w:t>
      </w:r>
    </w:p>
  </w:comment>
  <w:comment w:id="10" w:author="Reviewer" w:date="2025-09-19T16:06:00Z" w:initials="R">
    <w:p w14:paraId="7C0498EB" w14:textId="77777777" w:rsidR="00AD5209" w:rsidRDefault="00AD5209" w:rsidP="00AD5209">
      <w:pPr>
        <w:pStyle w:val="CommentText"/>
      </w:pPr>
      <w:r>
        <w:rPr>
          <w:rStyle w:val="CommentReference"/>
        </w:rPr>
        <w:annotationRef/>
      </w:r>
      <w:r>
        <w:t>Mention n here</w:t>
      </w:r>
    </w:p>
  </w:comment>
  <w:comment w:id="11" w:author="Reviewer" w:date="2025-09-19T16:06:00Z" w:initials="R">
    <w:p w14:paraId="3CD9397D" w14:textId="77777777" w:rsidR="00AD5209" w:rsidRDefault="00AD5209" w:rsidP="00AD5209">
      <w:pPr>
        <w:pStyle w:val="CommentText"/>
      </w:pPr>
      <w:r>
        <w:rPr>
          <w:rStyle w:val="CommentReference"/>
        </w:rPr>
        <w:annotationRef/>
      </w:r>
      <w:r>
        <w:t>Mention n here</w:t>
      </w:r>
    </w:p>
  </w:comment>
  <w:comment w:id="12" w:author="Reviewer" w:date="2025-09-19T16:07:00Z" w:initials="R">
    <w:p w14:paraId="3718ADFD" w14:textId="77777777" w:rsidR="00AD5209" w:rsidRDefault="00AD5209" w:rsidP="00AD5209">
      <w:pPr>
        <w:pStyle w:val="CommentText"/>
      </w:pPr>
      <w:r>
        <w:rPr>
          <w:rStyle w:val="CommentReference"/>
        </w:rPr>
        <w:annotationRef/>
      </w:r>
      <w:r>
        <w:t>Please add % sign with each number mentioned in the figure</w:t>
      </w:r>
    </w:p>
  </w:comment>
  <w:comment w:id="13" w:author="Reviewer" w:date="2025-09-19T16:09:00Z" w:initials="R">
    <w:p w14:paraId="38A5F0D7" w14:textId="77777777" w:rsidR="00AD5209" w:rsidRDefault="00AD5209" w:rsidP="00AD5209">
      <w:pPr>
        <w:pStyle w:val="CommentText"/>
      </w:pPr>
      <w:r>
        <w:rPr>
          <w:rStyle w:val="CommentReference"/>
        </w:rPr>
        <w:annotationRef/>
      </w:r>
      <w:r>
        <w:t>Please delete this figure as results are already mentioned in the text</w:t>
      </w:r>
    </w:p>
  </w:comment>
  <w:comment w:id="14" w:author="Reviewer" w:date="2025-09-19T16:10:00Z" w:initials="R">
    <w:p w14:paraId="36022BDC" w14:textId="77777777" w:rsidR="00AD5209" w:rsidRDefault="00AD5209" w:rsidP="00AD5209">
      <w:pPr>
        <w:pStyle w:val="CommentText"/>
      </w:pPr>
      <w:r>
        <w:rPr>
          <w:rStyle w:val="CommentReference"/>
        </w:rPr>
        <w:annotationRef/>
      </w:r>
      <w:r>
        <w:t xml:space="preserve">(n = ?) </w:t>
      </w:r>
    </w:p>
  </w:comment>
  <w:comment w:id="15" w:author="Reviewer" w:date="2025-09-19T16:10:00Z" w:initials="R">
    <w:p w14:paraId="651F2257" w14:textId="77777777" w:rsidR="00FC7F9B" w:rsidRDefault="00FC7F9B" w:rsidP="00FC7F9B">
      <w:pPr>
        <w:pStyle w:val="CommentText"/>
      </w:pPr>
      <w:r>
        <w:rPr>
          <w:rStyle w:val="CommentReference"/>
        </w:rPr>
        <w:annotationRef/>
      </w:r>
      <w:r>
        <w:t xml:space="preserve">(% = ?) </w:t>
      </w:r>
    </w:p>
  </w:comment>
  <w:comment w:id="16" w:author="Reviewer" w:date="2025-09-19T16:11:00Z" w:initials="R">
    <w:p w14:paraId="30D2F354" w14:textId="77777777" w:rsidR="00FC7F9B" w:rsidRDefault="00FC7F9B" w:rsidP="00FC7F9B">
      <w:pPr>
        <w:pStyle w:val="CommentText"/>
      </w:pPr>
      <w:r>
        <w:rPr>
          <w:rStyle w:val="CommentReference"/>
        </w:rPr>
        <w:annotationRef/>
      </w:r>
      <w:r>
        <w:t xml:space="preserve">(% = ?) </w:t>
      </w:r>
    </w:p>
  </w:comment>
  <w:comment w:id="17" w:author="Reviewer" w:date="2025-09-19T16:12:00Z" w:initials="R">
    <w:p w14:paraId="4F3CE0A6" w14:textId="77777777" w:rsidR="00FC7F9B" w:rsidRDefault="00FC7F9B" w:rsidP="00FC7F9B">
      <w:pPr>
        <w:pStyle w:val="CommentText"/>
      </w:pPr>
      <w:r>
        <w:rPr>
          <w:rStyle w:val="CommentReference"/>
        </w:rPr>
        <w:annotationRef/>
      </w:r>
      <w:r>
        <w:t xml:space="preserve">(n= ?) </w:t>
      </w:r>
    </w:p>
  </w:comment>
  <w:comment w:id="18" w:author="Reviewer" w:date="2025-09-19T16:12:00Z" w:initials="R">
    <w:p w14:paraId="3E4C8394" w14:textId="77777777" w:rsidR="00FC7F9B" w:rsidRDefault="00FC7F9B" w:rsidP="00FC7F9B">
      <w:pPr>
        <w:pStyle w:val="CommentText"/>
      </w:pPr>
      <w:r>
        <w:rPr>
          <w:rStyle w:val="CommentReference"/>
        </w:rPr>
        <w:annotationRef/>
      </w:r>
      <w:r>
        <w:t xml:space="preserve">(n = ?) </w:t>
      </w:r>
    </w:p>
  </w:comment>
  <w:comment w:id="19" w:author="Reviewer" w:date="2025-09-19T16:14:00Z" w:initials="R">
    <w:p w14:paraId="0FAD2C80" w14:textId="77777777" w:rsidR="00FC7F9B" w:rsidRDefault="00FC7F9B" w:rsidP="00FC7F9B">
      <w:pPr>
        <w:pStyle w:val="CommentText"/>
      </w:pPr>
      <w:r>
        <w:rPr>
          <w:rStyle w:val="CommentReference"/>
        </w:rPr>
        <w:annotationRef/>
      </w:r>
      <w:r>
        <w:t xml:space="preserve">(n= ?) </w:t>
      </w:r>
    </w:p>
  </w:comment>
  <w:comment w:id="20" w:author="Reviewer" w:date="2025-09-19T16:15:00Z" w:initials="R">
    <w:p w14:paraId="56B0D024" w14:textId="77777777" w:rsidR="00FC7F9B" w:rsidRDefault="00FC7F9B" w:rsidP="00FC7F9B">
      <w:pPr>
        <w:pStyle w:val="CommentText"/>
      </w:pPr>
      <w:r>
        <w:rPr>
          <w:rStyle w:val="CommentReference"/>
        </w:rPr>
        <w:annotationRef/>
      </w:r>
      <w:r>
        <w:t xml:space="preserve">n= ?) </w:t>
      </w:r>
    </w:p>
  </w:comment>
  <w:comment w:id="21" w:author="Reviewer" w:date="2025-09-19T16:16:00Z" w:initials="R">
    <w:p w14:paraId="2DBF7920" w14:textId="77777777" w:rsidR="00FC7F9B" w:rsidRDefault="00FC7F9B" w:rsidP="00FC7F9B">
      <w:pPr>
        <w:pStyle w:val="CommentText"/>
      </w:pPr>
      <w:r>
        <w:rPr>
          <w:rStyle w:val="CommentReference"/>
        </w:rPr>
        <w:annotationRef/>
      </w:r>
      <w:r>
        <w:t>delete</w:t>
      </w:r>
    </w:p>
  </w:comment>
  <w:comment w:id="22" w:author="Reviewer" w:date="2025-09-19T16:16:00Z" w:initials="R">
    <w:p w14:paraId="6FEB44C6" w14:textId="77777777" w:rsidR="00FC7F9B" w:rsidRDefault="00FC7F9B" w:rsidP="00FC7F9B">
      <w:pPr>
        <w:pStyle w:val="CommentText"/>
      </w:pPr>
      <w:r>
        <w:rPr>
          <w:rStyle w:val="CommentReference"/>
        </w:rPr>
        <w:annotationRef/>
      </w:r>
      <w:r>
        <w:t>delete</w:t>
      </w:r>
    </w:p>
  </w:comment>
  <w:comment w:id="23" w:author="Reviewer" w:date="2025-09-19T16:16:00Z" w:initials="R">
    <w:p w14:paraId="2A683F48" w14:textId="77777777" w:rsidR="00FC7F9B" w:rsidRDefault="00FC7F9B" w:rsidP="00FC7F9B">
      <w:pPr>
        <w:pStyle w:val="CommentText"/>
      </w:pPr>
      <w:r>
        <w:rPr>
          <w:rStyle w:val="CommentReference"/>
        </w:rPr>
        <w:annotationRef/>
      </w:r>
      <w:r>
        <w:t>N=?</w:t>
      </w:r>
    </w:p>
  </w:comment>
  <w:comment w:id="24" w:author="Reviewer" w:date="2025-09-19T16:19:00Z" w:initials="R">
    <w:p w14:paraId="338D3A75" w14:textId="77777777" w:rsidR="00FC7F9B" w:rsidRDefault="00FC7F9B" w:rsidP="00FC7F9B">
      <w:pPr>
        <w:pStyle w:val="CommentText"/>
      </w:pPr>
      <w:r>
        <w:rPr>
          <w:rStyle w:val="CommentReference"/>
        </w:rPr>
        <w:annotationRef/>
      </w:r>
      <w:r>
        <w:t>N=?</w:t>
      </w:r>
    </w:p>
  </w:comment>
  <w:comment w:id="25" w:author="Reviewer" w:date="2025-09-19T16:23:00Z" w:initials="R">
    <w:p w14:paraId="4F786999" w14:textId="77777777" w:rsidR="00710B85" w:rsidRDefault="00710B85" w:rsidP="00710B85">
      <w:pPr>
        <w:pStyle w:val="CommentText"/>
      </w:pPr>
      <w:r>
        <w:rPr>
          <w:rStyle w:val="CommentReference"/>
        </w:rPr>
        <w:annotationRef/>
      </w:r>
      <w:r>
        <w:t>Use correct format</w:t>
      </w:r>
    </w:p>
  </w:comment>
  <w:comment w:id="26" w:author="Reviewer" w:date="2025-09-19T16:26:00Z" w:initials="R">
    <w:p w14:paraId="1328A7B0" w14:textId="77777777" w:rsidR="00710B85" w:rsidRDefault="00710B85" w:rsidP="00710B85">
      <w:pPr>
        <w:pStyle w:val="CommentText"/>
      </w:pPr>
      <w:r>
        <w:rPr>
          <w:rStyle w:val="CommentReference"/>
        </w:rPr>
        <w:annotationRef/>
      </w:r>
      <w:r>
        <w:t>Use correct format</w:t>
      </w:r>
    </w:p>
    <w:p w14:paraId="79B416EC" w14:textId="77777777" w:rsidR="00710B85" w:rsidRDefault="00710B85" w:rsidP="00710B85">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0B9157" w15:done="0"/>
  <w15:commentEx w15:paraId="365A8D6B" w15:done="0"/>
  <w15:commentEx w15:paraId="5B8F1117" w15:done="0"/>
  <w15:commentEx w15:paraId="16C77A46" w15:done="0"/>
  <w15:commentEx w15:paraId="461BABB3" w15:done="0"/>
  <w15:commentEx w15:paraId="117EB0AD" w15:done="0"/>
  <w15:commentEx w15:paraId="34324FC5" w15:done="0"/>
  <w15:commentEx w15:paraId="2993CE42" w15:done="0"/>
  <w15:commentEx w15:paraId="1EE15A75" w15:done="0"/>
  <w15:commentEx w15:paraId="3D408884" w15:done="0"/>
  <w15:commentEx w15:paraId="7C0498EB" w15:done="0"/>
  <w15:commentEx w15:paraId="3CD9397D" w15:done="0"/>
  <w15:commentEx w15:paraId="3718ADFD" w15:done="0"/>
  <w15:commentEx w15:paraId="38A5F0D7" w15:done="0"/>
  <w15:commentEx w15:paraId="36022BDC" w15:done="0"/>
  <w15:commentEx w15:paraId="651F2257" w15:done="0"/>
  <w15:commentEx w15:paraId="30D2F354" w15:done="0"/>
  <w15:commentEx w15:paraId="4F3CE0A6" w15:done="0"/>
  <w15:commentEx w15:paraId="3E4C8394" w15:done="0"/>
  <w15:commentEx w15:paraId="0FAD2C80" w15:done="0"/>
  <w15:commentEx w15:paraId="56B0D024" w15:done="0"/>
  <w15:commentEx w15:paraId="2DBF7920" w15:done="0"/>
  <w15:commentEx w15:paraId="6FEB44C6" w15:done="0"/>
  <w15:commentEx w15:paraId="2A683F48" w15:done="0"/>
  <w15:commentEx w15:paraId="338D3A75" w15:done="0"/>
  <w15:commentEx w15:paraId="4F786999" w15:done="0"/>
  <w15:commentEx w15:paraId="79B416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E35702" w16cex:dateUtc="2025-09-19T10:52:00Z"/>
  <w16cex:commentExtensible w16cex:durableId="7569AF5D" w16cex:dateUtc="2025-09-19T10:55:00Z"/>
  <w16cex:commentExtensible w16cex:durableId="33182E2C" w16cex:dateUtc="2025-09-19T11:00:00Z"/>
  <w16cex:commentExtensible w16cex:durableId="777FFE51" w16cex:dateUtc="2025-09-19T11:02:00Z"/>
  <w16cex:commentExtensible w16cex:durableId="56732435" w16cex:dateUtc="2025-09-19T11:02:00Z"/>
  <w16cex:commentExtensible w16cex:durableId="066FF68A" w16cex:dateUtc="2025-09-19T11:03:00Z"/>
  <w16cex:commentExtensible w16cex:durableId="28EBD40F" w16cex:dateUtc="2025-09-19T11:04:00Z"/>
  <w16cex:commentExtensible w16cex:durableId="42A87EF4" w16cex:dateUtc="2025-09-19T11:05:00Z"/>
  <w16cex:commentExtensible w16cex:durableId="6D04C0E2" w16cex:dateUtc="2025-09-19T11:05:00Z"/>
  <w16cex:commentExtensible w16cex:durableId="31596175" w16cex:dateUtc="2025-09-19T11:06:00Z"/>
  <w16cex:commentExtensible w16cex:durableId="687035F4" w16cex:dateUtc="2025-09-19T11:06:00Z"/>
  <w16cex:commentExtensible w16cex:durableId="67B2B0A0" w16cex:dateUtc="2025-09-19T11:06:00Z"/>
  <w16cex:commentExtensible w16cex:durableId="3ED5A2FF" w16cex:dateUtc="2025-09-19T11:07:00Z"/>
  <w16cex:commentExtensible w16cex:durableId="2B160C06" w16cex:dateUtc="2025-09-19T11:09:00Z"/>
  <w16cex:commentExtensible w16cex:durableId="49E2081D" w16cex:dateUtc="2025-09-19T11:10:00Z"/>
  <w16cex:commentExtensible w16cex:durableId="53C6B8C5" w16cex:dateUtc="2025-09-19T11:10:00Z"/>
  <w16cex:commentExtensible w16cex:durableId="35C1B2F3" w16cex:dateUtc="2025-09-19T11:11:00Z"/>
  <w16cex:commentExtensible w16cex:durableId="4A465C6F" w16cex:dateUtc="2025-09-19T11:12:00Z"/>
  <w16cex:commentExtensible w16cex:durableId="47321B35" w16cex:dateUtc="2025-09-19T11:12:00Z"/>
  <w16cex:commentExtensible w16cex:durableId="53CB88C4" w16cex:dateUtc="2025-09-19T11:14:00Z"/>
  <w16cex:commentExtensible w16cex:durableId="22AAC903" w16cex:dateUtc="2025-09-19T11:15:00Z"/>
  <w16cex:commentExtensible w16cex:durableId="439FC2BF" w16cex:dateUtc="2025-09-19T11:16:00Z"/>
  <w16cex:commentExtensible w16cex:durableId="593E587E" w16cex:dateUtc="2025-09-19T11:16:00Z"/>
  <w16cex:commentExtensible w16cex:durableId="5046CB65" w16cex:dateUtc="2025-09-19T11:16:00Z"/>
  <w16cex:commentExtensible w16cex:durableId="4BC6A4C4" w16cex:dateUtc="2025-09-19T11:19:00Z"/>
  <w16cex:commentExtensible w16cex:durableId="642A7784" w16cex:dateUtc="2025-09-19T11:23:00Z"/>
  <w16cex:commentExtensible w16cex:durableId="3856D41D" w16cex:dateUtc="2025-09-19T1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0B9157" w16cid:durableId="38E35702"/>
  <w16cid:commentId w16cid:paraId="365A8D6B" w16cid:durableId="7569AF5D"/>
  <w16cid:commentId w16cid:paraId="5B8F1117" w16cid:durableId="33182E2C"/>
  <w16cid:commentId w16cid:paraId="16C77A46" w16cid:durableId="777FFE51"/>
  <w16cid:commentId w16cid:paraId="461BABB3" w16cid:durableId="56732435"/>
  <w16cid:commentId w16cid:paraId="117EB0AD" w16cid:durableId="066FF68A"/>
  <w16cid:commentId w16cid:paraId="34324FC5" w16cid:durableId="28EBD40F"/>
  <w16cid:commentId w16cid:paraId="2993CE42" w16cid:durableId="42A87EF4"/>
  <w16cid:commentId w16cid:paraId="1EE15A75" w16cid:durableId="6D04C0E2"/>
  <w16cid:commentId w16cid:paraId="3D408884" w16cid:durableId="31596175"/>
  <w16cid:commentId w16cid:paraId="7C0498EB" w16cid:durableId="687035F4"/>
  <w16cid:commentId w16cid:paraId="3CD9397D" w16cid:durableId="67B2B0A0"/>
  <w16cid:commentId w16cid:paraId="3718ADFD" w16cid:durableId="3ED5A2FF"/>
  <w16cid:commentId w16cid:paraId="38A5F0D7" w16cid:durableId="2B160C06"/>
  <w16cid:commentId w16cid:paraId="36022BDC" w16cid:durableId="49E2081D"/>
  <w16cid:commentId w16cid:paraId="651F2257" w16cid:durableId="53C6B8C5"/>
  <w16cid:commentId w16cid:paraId="30D2F354" w16cid:durableId="35C1B2F3"/>
  <w16cid:commentId w16cid:paraId="4F3CE0A6" w16cid:durableId="4A465C6F"/>
  <w16cid:commentId w16cid:paraId="3E4C8394" w16cid:durableId="47321B35"/>
  <w16cid:commentId w16cid:paraId="0FAD2C80" w16cid:durableId="53CB88C4"/>
  <w16cid:commentId w16cid:paraId="56B0D024" w16cid:durableId="22AAC903"/>
  <w16cid:commentId w16cid:paraId="2DBF7920" w16cid:durableId="439FC2BF"/>
  <w16cid:commentId w16cid:paraId="6FEB44C6" w16cid:durableId="593E587E"/>
  <w16cid:commentId w16cid:paraId="2A683F48" w16cid:durableId="5046CB65"/>
  <w16cid:commentId w16cid:paraId="338D3A75" w16cid:durableId="4BC6A4C4"/>
  <w16cid:commentId w16cid:paraId="4F786999" w16cid:durableId="642A7784"/>
  <w16cid:commentId w16cid:paraId="79B416EC" w16cid:durableId="3856D4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C5903" w14:textId="77777777" w:rsidR="003A71AA" w:rsidRDefault="003A71AA" w:rsidP="00C37E61">
      <w:r>
        <w:separator/>
      </w:r>
    </w:p>
  </w:endnote>
  <w:endnote w:type="continuationSeparator" w:id="0">
    <w:p w14:paraId="16D48611" w14:textId="77777777" w:rsidR="003A71AA" w:rsidRDefault="003A71A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97D92" w14:textId="77777777" w:rsidR="00C85B89" w:rsidRDefault="00C85B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10470"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0B1A6" w14:textId="77777777" w:rsidR="00C85B89" w:rsidRDefault="00C85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8564A" w14:textId="77777777" w:rsidR="003A71AA" w:rsidRDefault="003A71AA" w:rsidP="00C37E61">
      <w:r>
        <w:separator/>
      </w:r>
    </w:p>
  </w:footnote>
  <w:footnote w:type="continuationSeparator" w:id="0">
    <w:p w14:paraId="2FC124F2" w14:textId="77777777" w:rsidR="003A71AA" w:rsidRDefault="003A71A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E278B" w14:textId="2335D9B6" w:rsidR="00C85B89" w:rsidRDefault="00000000">
    <w:pPr>
      <w:pStyle w:val="Header"/>
    </w:pPr>
    <w:r>
      <w:rPr>
        <w:noProof/>
      </w:rPr>
      <w:pict w14:anchorId="11812A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382438"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21B2C" w14:textId="40385256" w:rsidR="00C85B89" w:rsidRDefault="00000000">
    <w:pPr>
      <w:pStyle w:val="Header"/>
    </w:pPr>
    <w:r>
      <w:rPr>
        <w:noProof/>
      </w:rPr>
      <w:pict w14:anchorId="788C7A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382439"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2C51F" w14:textId="296C5E82" w:rsidR="00C85B89" w:rsidRDefault="00000000">
    <w:pPr>
      <w:pStyle w:val="Header"/>
    </w:pPr>
    <w:r>
      <w:rPr>
        <w:noProof/>
      </w:rPr>
      <w:pict w14:anchorId="7BD15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382437"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7704938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29520326">
    <w:abstractNumId w:val="15"/>
  </w:num>
  <w:num w:numId="3" w16cid:durableId="1650742235">
    <w:abstractNumId w:val="23"/>
  </w:num>
  <w:num w:numId="4" w16cid:durableId="154471445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870874919">
    <w:abstractNumId w:val="7"/>
  </w:num>
  <w:num w:numId="6" w16cid:durableId="944077553">
    <w:abstractNumId w:val="6"/>
  </w:num>
  <w:num w:numId="7" w16cid:durableId="1344431672">
    <w:abstractNumId w:val="1"/>
  </w:num>
  <w:num w:numId="8" w16cid:durableId="455804416">
    <w:abstractNumId w:val="12"/>
  </w:num>
  <w:num w:numId="9" w16cid:durableId="1958489187">
    <w:abstractNumId w:val="25"/>
  </w:num>
  <w:num w:numId="10" w16cid:durableId="828711777">
    <w:abstractNumId w:val="2"/>
  </w:num>
  <w:num w:numId="11" w16cid:durableId="741292848">
    <w:abstractNumId w:val="18"/>
  </w:num>
  <w:num w:numId="12" w16cid:durableId="1422489407">
    <w:abstractNumId w:val="3"/>
  </w:num>
  <w:num w:numId="13" w16cid:durableId="1248424920">
    <w:abstractNumId w:val="17"/>
  </w:num>
  <w:num w:numId="14" w16cid:durableId="1212881251">
    <w:abstractNumId w:val="8"/>
  </w:num>
  <w:num w:numId="15" w16cid:durableId="1992445227">
    <w:abstractNumId w:val="21"/>
  </w:num>
  <w:num w:numId="16" w16cid:durableId="2019699778">
    <w:abstractNumId w:val="5"/>
  </w:num>
  <w:num w:numId="17" w16cid:durableId="1673485004">
    <w:abstractNumId w:val="22"/>
  </w:num>
  <w:num w:numId="18" w16cid:durableId="1097336069">
    <w:abstractNumId w:val="14"/>
  </w:num>
  <w:num w:numId="19" w16cid:durableId="1350595754">
    <w:abstractNumId w:val="28"/>
  </w:num>
  <w:num w:numId="20" w16cid:durableId="435948761">
    <w:abstractNumId w:val="11"/>
  </w:num>
  <w:num w:numId="21" w16cid:durableId="451486523">
    <w:abstractNumId w:val="9"/>
  </w:num>
  <w:num w:numId="22" w16cid:durableId="2135560207">
    <w:abstractNumId w:val="13"/>
  </w:num>
  <w:num w:numId="23" w16cid:durableId="2109108440">
    <w:abstractNumId w:val="19"/>
  </w:num>
  <w:num w:numId="24" w16cid:durableId="313490759">
    <w:abstractNumId w:val="26"/>
  </w:num>
  <w:num w:numId="25" w16cid:durableId="1873348722">
    <w:abstractNumId w:val="4"/>
  </w:num>
  <w:num w:numId="26" w16cid:durableId="1347368236">
    <w:abstractNumId w:val="16"/>
  </w:num>
  <w:num w:numId="27" w16cid:durableId="1553543586">
    <w:abstractNumId w:val="20"/>
  </w:num>
  <w:num w:numId="28" w16cid:durableId="669911815">
    <w:abstractNumId w:val="27"/>
  </w:num>
  <w:num w:numId="29" w16cid:durableId="458307913">
    <w:abstractNumId w:val="24"/>
  </w:num>
  <w:num w:numId="30" w16cid:durableId="42423332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7F12"/>
    <w:rsid w:val="00093D1E"/>
    <w:rsid w:val="000A47FA"/>
    <w:rsid w:val="000A65D3"/>
    <w:rsid w:val="000B1E33"/>
    <w:rsid w:val="000D689F"/>
    <w:rsid w:val="000E6EA8"/>
    <w:rsid w:val="000E7B7B"/>
    <w:rsid w:val="000E7D62"/>
    <w:rsid w:val="000F1682"/>
    <w:rsid w:val="00103357"/>
    <w:rsid w:val="00113654"/>
    <w:rsid w:val="00123C9F"/>
    <w:rsid w:val="00126190"/>
    <w:rsid w:val="00130F17"/>
    <w:rsid w:val="001320BF"/>
    <w:rsid w:val="00163BC4"/>
    <w:rsid w:val="001820E8"/>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33D1"/>
    <w:rsid w:val="002B685A"/>
    <w:rsid w:val="002C57D2"/>
    <w:rsid w:val="002E0D56"/>
    <w:rsid w:val="00315186"/>
    <w:rsid w:val="0033343E"/>
    <w:rsid w:val="003512C2"/>
    <w:rsid w:val="00371FB6"/>
    <w:rsid w:val="003763C1"/>
    <w:rsid w:val="00376BBE"/>
    <w:rsid w:val="003845D4"/>
    <w:rsid w:val="0039224F"/>
    <w:rsid w:val="003A43A4"/>
    <w:rsid w:val="003A71AA"/>
    <w:rsid w:val="003A7E18"/>
    <w:rsid w:val="003C236A"/>
    <w:rsid w:val="003C4C86"/>
    <w:rsid w:val="003C6258"/>
    <w:rsid w:val="003E2904"/>
    <w:rsid w:val="00401927"/>
    <w:rsid w:val="0041027F"/>
    <w:rsid w:val="00412475"/>
    <w:rsid w:val="00423789"/>
    <w:rsid w:val="00440F43"/>
    <w:rsid w:val="00441B6F"/>
    <w:rsid w:val="00446221"/>
    <w:rsid w:val="00450E62"/>
    <w:rsid w:val="004539DB"/>
    <w:rsid w:val="00462ADC"/>
    <w:rsid w:val="00471A80"/>
    <w:rsid w:val="00483F64"/>
    <w:rsid w:val="004D305E"/>
    <w:rsid w:val="004D4277"/>
    <w:rsid w:val="00502516"/>
    <w:rsid w:val="00505F06"/>
    <w:rsid w:val="00506828"/>
    <w:rsid w:val="00513416"/>
    <w:rsid w:val="0053056E"/>
    <w:rsid w:val="00554FDA"/>
    <w:rsid w:val="005C784C"/>
    <w:rsid w:val="005D17F6"/>
    <w:rsid w:val="005E5539"/>
    <w:rsid w:val="00602BF5"/>
    <w:rsid w:val="00617FDD"/>
    <w:rsid w:val="0062195E"/>
    <w:rsid w:val="00633614"/>
    <w:rsid w:val="00633F68"/>
    <w:rsid w:val="00636EB2"/>
    <w:rsid w:val="006375B8"/>
    <w:rsid w:val="0066510A"/>
    <w:rsid w:val="00673F9F"/>
    <w:rsid w:val="00685D4D"/>
    <w:rsid w:val="00686953"/>
    <w:rsid w:val="00687DEA"/>
    <w:rsid w:val="00687E67"/>
    <w:rsid w:val="006967F7"/>
    <w:rsid w:val="006A250C"/>
    <w:rsid w:val="006B21D3"/>
    <w:rsid w:val="006B4879"/>
    <w:rsid w:val="006B57D0"/>
    <w:rsid w:val="006D30FF"/>
    <w:rsid w:val="006D6940"/>
    <w:rsid w:val="006F11EC"/>
    <w:rsid w:val="0070082C"/>
    <w:rsid w:val="00710B85"/>
    <w:rsid w:val="007369E6"/>
    <w:rsid w:val="00746E59"/>
    <w:rsid w:val="00754C9A"/>
    <w:rsid w:val="0075599A"/>
    <w:rsid w:val="00761D52"/>
    <w:rsid w:val="007636D4"/>
    <w:rsid w:val="0077749E"/>
    <w:rsid w:val="00790ADA"/>
    <w:rsid w:val="007B1F01"/>
    <w:rsid w:val="007D2288"/>
    <w:rsid w:val="007E088F"/>
    <w:rsid w:val="007F7B32"/>
    <w:rsid w:val="00804BC2"/>
    <w:rsid w:val="0081431A"/>
    <w:rsid w:val="0083216F"/>
    <w:rsid w:val="00860000"/>
    <w:rsid w:val="008610A8"/>
    <w:rsid w:val="00863BD3"/>
    <w:rsid w:val="008641ED"/>
    <w:rsid w:val="00866D66"/>
    <w:rsid w:val="008671C6"/>
    <w:rsid w:val="00875803"/>
    <w:rsid w:val="008B459E"/>
    <w:rsid w:val="008C3B79"/>
    <w:rsid w:val="008C3CF8"/>
    <w:rsid w:val="008D3E80"/>
    <w:rsid w:val="008E13AE"/>
    <w:rsid w:val="008E1506"/>
    <w:rsid w:val="008E710C"/>
    <w:rsid w:val="008F69D6"/>
    <w:rsid w:val="00902823"/>
    <w:rsid w:val="00912863"/>
    <w:rsid w:val="00915CA6"/>
    <w:rsid w:val="00927834"/>
    <w:rsid w:val="009500A6"/>
    <w:rsid w:val="00957C18"/>
    <w:rsid w:val="009659BA"/>
    <w:rsid w:val="00983040"/>
    <w:rsid w:val="009B3FB9"/>
    <w:rsid w:val="009C2465"/>
    <w:rsid w:val="009D35A0"/>
    <w:rsid w:val="009D4BD7"/>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3C21"/>
    <w:rsid w:val="00A94063"/>
    <w:rsid w:val="00AA3E4E"/>
    <w:rsid w:val="00AA3F53"/>
    <w:rsid w:val="00AA6219"/>
    <w:rsid w:val="00AA74E0"/>
    <w:rsid w:val="00AB0968"/>
    <w:rsid w:val="00AB4804"/>
    <w:rsid w:val="00AB703F"/>
    <w:rsid w:val="00AC6BB8"/>
    <w:rsid w:val="00AD5209"/>
    <w:rsid w:val="00AE008F"/>
    <w:rsid w:val="00AF49B3"/>
    <w:rsid w:val="00B01FCD"/>
    <w:rsid w:val="00B1776C"/>
    <w:rsid w:val="00B52583"/>
    <w:rsid w:val="00B52896"/>
    <w:rsid w:val="00B83F33"/>
    <w:rsid w:val="00B95236"/>
    <w:rsid w:val="00B969F8"/>
    <w:rsid w:val="00B96BD9"/>
    <w:rsid w:val="00BA1B01"/>
    <w:rsid w:val="00BA2641"/>
    <w:rsid w:val="00BB22CC"/>
    <w:rsid w:val="00BB37AA"/>
    <w:rsid w:val="00BC53A0"/>
    <w:rsid w:val="00BE233B"/>
    <w:rsid w:val="00BE62AD"/>
    <w:rsid w:val="00BF121F"/>
    <w:rsid w:val="00BF1F80"/>
    <w:rsid w:val="00C166EF"/>
    <w:rsid w:val="00C17EB0"/>
    <w:rsid w:val="00C27F5F"/>
    <w:rsid w:val="00C30A0F"/>
    <w:rsid w:val="00C37E61"/>
    <w:rsid w:val="00C40307"/>
    <w:rsid w:val="00C70F1B"/>
    <w:rsid w:val="00C71A47"/>
    <w:rsid w:val="00C7464C"/>
    <w:rsid w:val="00C85588"/>
    <w:rsid w:val="00C85B89"/>
    <w:rsid w:val="00CD6755"/>
    <w:rsid w:val="00CD6856"/>
    <w:rsid w:val="00CD759C"/>
    <w:rsid w:val="00CE0089"/>
    <w:rsid w:val="00CE793C"/>
    <w:rsid w:val="00CF193C"/>
    <w:rsid w:val="00D173F1"/>
    <w:rsid w:val="00D4301D"/>
    <w:rsid w:val="00D74CB0"/>
    <w:rsid w:val="00D8295D"/>
    <w:rsid w:val="00DA2D1E"/>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2BDC"/>
    <w:rsid w:val="00EE2290"/>
    <w:rsid w:val="00EE52CB"/>
    <w:rsid w:val="00EE5780"/>
    <w:rsid w:val="00EF581D"/>
    <w:rsid w:val="00EF7FD8"/>
    <w:rsid w:val="00F06F59"/>
    <w:rsid w:val="00F17988"/>
    <w:rsid w:val="00F26DC2"/>
    <w:rsid w:val="00F469F0"/>
    <w:rsid w:val="00F53273"/>
    <w:rsid w:val="00F755E4"/>
    <w:rsid w:val="00F77D02"/>
    <w:rsid w:val="00FB3A86"/>
    <w:rsid w:val="00FC7F9B"/>
    <w:rsid w:val="00FD36C8"/>
    <w:rsid w:val="00FD4A22"/>
    <w:rsid w:val="00FE6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C6501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EE5780"/>
    <w:rPr>
      <w:rFonts w:asciiTheme="minorHAnsi" w:eastAsiaTheme="minorHAnsi" w:hAnsiTheme="minorHAnsi" w:cstheme="minorBidi"/>
      <w:sz w:val="22"/>
      <w:szCs w:val="22"/>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Subject">
    <w:name w:val="annotation subject"/>
    <w:basedOn w:val="CommentText"/>
    <w:next w:val="CommentText"/>
    <w:link w:val="CommentSubjectChar"/>
    <w:semiHidden/>
    <w:unhideWhenUsed/>
    <w:rsid w:val="002B33D1"/>
    <w:rPr>
      <w:rFonts w:ascii="Helvetica" w:hAnsi="Helvetica"/>
      <w:b/>
      <w:bCs/>
      <w:lang w:val="en-US" w:eastAsia="en-US"/>
    </w:rPr>
  </w:style>
  <w:style w:type="character" w:customStyle="1" w:styleId="CommentSubjectChar">
    <w:name w:val="Comment Subject Char"/>
    <w:basedOn w:val="CommentTextChar"/>
    <w:link w:val="CommentSubject"/>
    <w:semiHidden/>
    <w:rsid w:val="002B33D1"/>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2.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oter" Target="footer3.xm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3.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compilat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ownloads\compilation.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HP\Downloads\compilation.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'données covid19'!$B$12</c:f>
              <c:strCache>
                <c:ptCount val="1"/>
                <c:pt idx="0">
                  <c:v>Ziguinchor</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'données covid19'!$A$13:$A$20</c:f>
              <c:strCache>
                <c:ptCount val="8"/>
                <c:pt idx="0">
                  <c:v>Asthma</c:v>
                </c:pt>
                <c:pt idx="1">
                  <c:v>Heart disease</c:v>
                </c:pt>
                <c:pt idx="2">
                  <c:v>Diabetes</c:v>
                </c:pt>
                <c:pt idx="3">
                  <c:v>Sickle cells disease</c:v>
                </c:pt>
                <c:pt idx="4">
                  <c:v>Hypertension</c:v>
                </c:pt>
                <c:pt idx="5">
                  <c:v>Pregnancy</c:v>
                </c:pt>
                <c:pt idx="6">
                  <c:v>Eldery</c:v>
                </c:pt>
                <c:pt idx="7">
                  <c:v>Others</c:v>
                </c:pt>
              </c:strCache>
            </c:strRef>
          </c:cat>
          <c:val>
            <c:numRef>
              <c:f>'données covid19'!$B$13:$B$20</c:f>
              <c:numCache>
                <c:formatCode>General</c:formatCode>
                <c:ptCount val="8"/>
                <c:pt idx="0">
                  <c:v>2</c:v>
                </c:pt>
                <c:pt idx="1">
                  <c:v>7</c:v>
                </c:pt>
                <c:pt idx="2">
                  <c:v>14</c:v>
                </c:pt>
                <c:pt idx="3">
                  <c:v>2</c:v>
                </c:pt>
                <c:pt idx="4">
                  <c:v>43</c:v>
                </c:pt>
                <c:pt idx="5">
                  <c:v>77</c:v>
                </c:pt>
                <c:pt idx="6">
                  <c:v>30</c:v>
                </c:pt>
                <c:pt idx="7">
                  <c:v>13</c:v>
                </c:pt>
              </c:numCache>
            </c:numRef>
          </c:val>
          <c:extLst>
            <c:ext xmlns:c16="http://schemas.microsoft.com/office/drawing/2014/chart" uri="{C3380CC4-5D6E-409C-BE32-E72D297353CC}">
              <c16:uniqueId val="{00000000-8DAC-43EC-8796-B2CA015825BB}"/>
            </c:ext>
          </c:extLst>
        </c:ser>
        <c:ser>
          <c:idx val="1"/>
          <c:order val="1"/>
          <c:tx>
            <c:strRef>
              <c:f>'données covid19'!$C$12</c:f>
              <c:strCache>
                <c:ptCount val="1"/>
                <c:pt idx="0">
                  <c:v>Saint Louis</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'données covid19'!$A$13:$A$20</c:f>
              <c:strCache>
                <c:ptCount val="8"/>
                <c:pt idx="0">
                  <c:v>Asthma</c:v>
                </c:pt>
                <c:pt idx="1">
                  <c:v>Heart disease</c:v>
                </c:pt>
                <c:pt idx="2">
                  <c:v>Diabetes</c:v>
                </c:pt>
                <c:pt idx="3">
                  <c:v>Sickle cells disease</c:v>
                </c:pt>
                <c:pt idx="4">
                  <c:v>Hypertension</c:v>
                </c:pt>
                <c:pt idx="5">
                  <c:v>Pregnancy</c:v>
                </c:pt>
                <c:pt idx="6">
                  <c:v>Eldery</c:v>
                </c:pt>
                <c:pt idx="7">
                  <c:v>Others</c:v>
                </c:pt>
              </c:strCache>
            </c:strRef>
          </c:cat>
          <c:val>
            <c:numRef>
              <c:f>'données covid19'!$C$13:$C$20</c:f>
              <c:numCache>
                <c:formatCode>General</c:formatCode>
                <c:ptCount val="8"/>
                <c:pt idx="0">
                  <c:v>22</c:v>
                </c:pt>
                <c:pt idx="1">
                  <c:v>5</c:v>
                </c:pt>
                <c:pt idx="2">
                  <c:v>36</c:v>
                </c:pt>
                <c:pt idx="3">
                  <c:v>24</c:v>
                </c:pt>
                <c:pt idx="4">
                  <c:v>99</c:v>
                </c:pt>
                <c:pt idx="5">
                  <c:v>72</c:v>
                </c:pt>
                <c:pt idx="6">
                  <c:v>74</c:v>
                </c:pt>
                <c:pt idx="7">
                  <c:v>2</c:v>
                </c:pt>
              </c:numCache>
            </c:numRef>
          </c:val>
          <c:extLst>
            <c:ext xmlns:c16="http://schemas.microsoft.com/office/drawing/2014/chart" uri="{C3380CC4-5D6E-409C-BE32-E72D297353CC}">
              <c16:uniqueId val="{00000001-8DAC-43EC-8796-B2CA015825BB}"/>
            </c:ext>
          </c:extLst>
        </c:ser>
        <c:ser>
          <c:idx val="2"/>
          <c:order val="2"/>
          <c:tx>
            <c:strRef>
              <c:f>'données covid19'!$D$12</c:f>
              <c:strCache>
                <c:ptCount val="1"/>
                <c:pt idx="0">
                  <c:v>Thies</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'données covid19'!$A$13:$A$20</c:f>
              <c:strCache>
                <c:ptCount val="8"/>
                <c:pt idx="0">
                  <c:v>Asthma</c:v>
                </c:pt>
                <c:pt idx="1">
                  <c:v>Heart disease</c:v>
                </c:pt>
                <c:pt idx="2">
                  <c:v>Diabetes</c:v>
                </c:pt>
                <c:pt idx="3">
                  <c:v>Sickle cells disease</c:v>
                </c:pt>
                <c:pt idx="4">
                  <c:v>Hypertension</c:v>
                </c:pt>
                <c:pt idx="5">
                  <c:v>Pregnancy</c:v>
                </c:pt>
                <c:pt idx="6">
                  <c:v>Eldery</c:v>
                </c:pt>
                <c:pt idx="7">
                  <c:v>Others</c:v>
                </c:pt>
              </c:strCache>
            </c:strRef>
          </c:cat>
          <c:val>
            <c:numRef>
              <c:f>'données covid19'!$D$13:$D$20</c:f>
              <c:numCache>
                <c:formatCode>General</c:formatCode>
                <c:ptCount val="8"/>
                <c:pt idx="0">
                  <c:v>8</c:v>
                </c:pt>
                <c:pt idx="1">
                  <c:v>11</c:v>
                </c:pt>
                <c:pt idx="2">
                  <c:v>55</c:v>
                </c:pt>
                <c:pt idx="3">
                  <c:v>6</c:v>
                </c:pt>
                <c:pt idx="4">
                  <c:v>51</c:v>
                </c:pt>
                <c:pt idx="5">
                  <c:v>11</c:v>
                </c:pt>
                <c:pt idx="6">
                  <c:v>36</c:v>
                </c:pt>
                <c:pt idx="7">
                  <c:v>37</c:v>
                </c:pt>
              </c:numCache>
            </c:numRef>
          </c:val>
          <c:extLst>
            <c:ext xmlns:c16="http://schemas.microsoft.com/office/drawing/2014/chart" uri="{C3380CC4-5D6E-409C-BE32-E72D297353CC}">
              <c16:uniqueId val="{00000002-8DAC-43EC-8796-B2CA015825BB}"/>
            </c:ext>
          </c:extLst>
        </c:ser>
        <c:dLbls>
          <c:dLblPos val="outEnd"/>
          <c:showLegendKey val="0"/>
          <c:showVal val="1"/>
          <c:showCatName val="0"/>
          <c:showSerName val="0"/>
          <c:showPercent val="0"/>
          <c:showBubbleSize val="0"/>
        </c:dLbls>
        <c:gapWidth val="444"/>
        <c:overlap val="-90"/>
        <c:axId val="355296224"/>
        <c:axId val="355294656"/>
      </c:barChart>
      <c:catAx>
        <c:axId val="355296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1" i="0" u="none" strike="noStrike" kern="1200" cap="none" spc="120" normalizeH="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55294656"/>
        <c:crosses val="autoZero"/>
        <c:auto val="1"/>
        <c:lblAlgn val="ctr"/>
        <c:lblOffset val="100"/>
        <c:noMultiLvlLbl val="0"/>
      </c:catAx>
      <c:valAx>
        <c:axId val="355294656"/>
        <c:scaling>
          <c:orientation val="minMax"/>
        </c:scaling>
        <c:delete val="1"/>
        <c:axPos val="l"/>
        <c:numFmt formatCode="General" sourceLinked="1"/>
        <c:majorTickMark val="none"/>
        <c:minorTickMark val="none"/>
        <c:tickLblPos val="nextTo"/>
        <c:crossAx val="35529622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sz="10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900575585946491"/>
          <c:y val="0.1465698668400395"/>
          <c:w val="0.63912289911129527"/>
          <c:h val="0.72183967829709361"/>
        </c:manualLayout>
      </c:layout>
      <c:barChart>
        <c:barDir val="bar"/>
        <c:grouping val="clustered"/>
        <c:varyColors val="0"/>
        <c:ser>
          <c:idx val="0"/>
          <c:order val="0"/>
          <c:tx>
            <c:strRef>
              <c:f>'données covid19'!$F$13</c:f>
              <c:strCache>
                <c:ptCount val="1"/>
                <c:pt idx="0">
                  <c:v>Vaccinated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'données covid19'!$G$12:$I$12</c:f>
              <c:strCache>
                <c:ptCount val="3"/>
                <c:pt idx="0">
                  <c:v>Ziguinchor</c:v>
                </c:pt>
                <c:pt idx="1">
                  <c:v>Saint Louis</c:v>
                </c:pt>
                <c:pt idx="2">
                  <c:v>Thies</c:v>
                </c:pt>
              </c:strCache>
            </c:strRef>
          </c:cat>
          <c:val>
            <c:numRef>
              <c:f>'données covid19'!$G$13:$I$13</c:f>
              <c:numCache>
                <c:formatCode>General</c:formatCode>
                <c:ptCount val="3"/>
                <c:pt idx="0">
                  <c:v>48</c:v>
                </c:pt>
                <c:pt idx="1">
                  <c:v>160</c:v>
                </c:pt>
                <c:pt idx="2">
                  <c:v>75</c:v>
                </c:pt>
              </c:numCache>
            </c:numRef>
          </c:val>
          <c:extLst>
            <c:ext xmlns:c16="http://schemas.microsoft.com/office/drawing/2014/chart" uri="{C3380CC4-5D6E-409C-BE32-E72D297353CC}">
              <c16:uniqueId val="{00000000-F278-4FB9-8F95-E7471AD299FE}"/>
            </c:ext>
          </c:extLst>
        </c:ser>
        <c:ser>
          <c:idx val="1"/>
          <c:order val="1"/>
          <c:tx>
            <c:strRef>
              <c:f>'données covid19'!$F$14</c:f>
              <c:strCache>
                <c:ptCount val="1"/>
                <c:pt idx="0">
                  <c:v>Not Vaccinated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'données covid19'!$G$12:$I$12</c:f>
              <c:strCache>
                <c:ptCount val="3"/>
                <c:pt idx="0">
                  <c:v>Ziguinchor</c:v>
                </c:pt>
                <c:pt idx="1">
                  <c:v>Saint Louis</c:v>
                </c:pt>
                <c:pt idx="2">
                  <c:v>Thies</c:v>
                </c:pt>
              </c:strCache>
            </c:strRef>
          </c:cat>
          <c:val>
            <c:numRef>
              <c:f>'données covid19'!$G$14:$I$14</c:f>
              <c:numCache>
                <c:formatCode>General</c:formatCode>
                <c:ptCount val="3"/>
                <c:pt idx="0">
                  <c:v>141</c:v>
                </c:pt>
                <c:pt idx="1">
                  <c:v>174</c:v>
                </c:pt>
                <c:pt idx="2">
                  <c:v>140</c:v>
                </c:pt>
              </c:numCache>
            </c:numRef>
          </c:val>
          <c:extLst>
            <c:ext xmlns:c16="http://schemas.microsoft.com/office/drawing/2014/chart" uri="{C3380CC4-5D6E-409C-BE32-E72D297353CC}">
              <c16:uniqueId val="{00000001-F278-4FB9-8F95-E7471AD299FE}"/>
            </c:ext>
          </c:extLst>
        </c:ser>
        <c:dLbls>
          <c:showLegendKey val="0"/>
          <c:showVal val="0"/>
          <c:showCatName val="0"/>
          <c:showSerName val="0"/>
          <c:showPercent val="0"/>
          <c:showBubbleSize val="0"/>
        </c:dLbls>
        <c:gapWidth val="100"/>
        <c:overlap val="10"/>
        <c:axId val="285614448"/>
        <c:axId val="285918392"/>
      </c:barChart>
      <c:catAx>
        <c:axId val="2856144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85918392"/>
        <c:crosses val="autoZero"/>
        <c:auto val="1"/>
        <c:lblAlgn val="ctr"/>
        <c:lblOffset val="100"/>
        <c:noMultiLvlLbl val="0"/>
      </c:catAx>
      <c:valAx>
        <c:axId val="2859183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85614448"/>
        <c:crosses val="autoZero"/>
        <c:crossBetween val="between"/>
      </c:valAx>
      <c:spPr>
        <a:noFill/>
        <a:ln>
          <a:noFill/>
        </a:ln>
        <a:effectLst/>
      </c:spPr>
    </c:plotArea>
    <c:legend>
      <c:legendPos val="b"/>
      <c:layout>
        <c:manualLayout>
          <c:xMode val="edge"/>
          <c:yMode val="edge"/>
          <c:x val="0.18934733158355205"/>
          <c:y val="4.051915528907505E-2"/>
          <c:w val="0.69615913800248652"/>
          <c:h val="0.103211731561077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2219245692114573"/>
          <c:y val="0.11617333688374344"/>
          <c:w val="0.74214085739282587"/>
          <c:h val="0.77963259536698404"/>
        </c:manualLayout>
      </c:layout>
      <c:barChart>
        <c:barDir val="bar"/>
        <c:grouping val="clustered"/>
        <c:varyColors val="0"/>
        <c:ser>
          <c:idx val="0"/>
          <c:order val="0"/>
          <c:tx>
            <c:strRef>
              <c:f>'données covid19'!$G$17</c:f>
              <c:strCache>
                <c:ptCount val="1"/>
                <c:pt idx="0">
                  <c:v>Ziguinchor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'données covid19'!$F$18:$F$21</c:f>
              <c:strCache>
                <c:ptCount val="4"/>
                <c:pt idx="0">
                  <c:v>Astrazeneca</c:v>
                </c:pt>
                <c:pt idx="1">
                  <c:v>JonhsonJohnson</c:v>
                </c:pt>
                <c:pt idx="2">
                  <c:v>Sinopharm</c:v>
                </c:pt>
                <c:pt idx="3">
                  <c:v>Not specified</c:v>
                </c:pt>
              </c:strCache>
            </c:strRef>
          </c:cat>
          <c:val>
            <c:numRef>
              <c:f>'données covid19'!$G$18:$G$21</c:f>
              <c:numCache>
                <c:formatCode>General</c:formatCode>
                <c:ptCount val="4"/>
                <c:pt idx="0">
                  <c:v>10</c:v>
                </c:pt>
                <c:pt idx="1">
                  <c:v>9</c:v>
                </c:pt>
                <c:pt idx="2">
                  <c:v>27</c:v>
                </c:pt>
                <c:pt idx="3">
                  <c:v>2</c:v>
                </c:pt>
              </c:numCache>
            </c:numRef>
          </c:val>
          <c:extLst>
            <c:ext xmlns:c16="http://schemas.microsoft.com/office/drawing/2014/chart" uri="{C3380CC4-5D6E-409C-BE32-E72D297353CC}">
              <c16:uniqueId val="{00000000-08B2-4A27-A416-D0A9A95FBCBB}"/>
            </c:ext>
          </c:extLst>
        </c:ser>
        <c:ser>
          <c:idx val="1"/>
          <c:order val="1"/>
          <c:tx>
            <c:strRef>
              <c:f>'données covid19'!$H$17</c:f>
              <c:strCache>
                <c:ptCount val="1"/>
                <c:pt idx="0">
                  <c:v>Saint Louis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'données covid19'!$F$18:$F$21</c:f>
              <c:strCache>
                <c:ptCount val="4"/>
                <c:pt idx="0">
                  <c:v>Astrazeneca</c:v>
                </c:pt>
                <c:pt idx="1">
                  <c:v>JonhsonJohnson</c:v>
                </c:pt>
                <c:pt idx="2">
                  <c:v>Sinopharm</c:v>
                </c:pt>
                <c:pt idx="3">
                  <c:v>Not specified</c:v>
                </c:pt>
              </c:strCache>
            </c:strRef>
          </c:cat>
          <c:val>
            <c:numRef>
              <c:f>'données covid19'!$H$18:$H$21</c:f>
              <c:numCache>
                <c:formatCode>General</c:formatCode>
                <c:ptCount val="4"/>
                <c:pt idx="0">
                  <c:v>16</c:v>
                </c:pt>
                <c:pt idx="1">
                  <c:v>26</c:v>
                </c:pt>
                <c:pt idx="2">
                  <c:v>113</c:v>
                </c:pt>
                <c:pt idx="3">
                  <c:v>5</c:v>
                </c:pt>
              </c:numCache>
            </c:numRef>
          </c:val>
          <c:extLst>
            <c:ext xmlns:c16="http://schemas.microsoft.com/office/drawing/2014/chart" uri="{C3380CC4-5D6E-409C-BE32-E72D297353CC}">
              <c16:uniqueId val="{00000001-08B2-4A27-A416-D0A9A95FBCBB}"/>
            </c:ext>
          </c:extLst>
        </c:ser>
        <c:ser>
          <c:idx val="2"/>
          <c:order val="2"/>
          <c:tx>
            <c:strRef>
              <c:f>'données covid19'!$I$17</c:f>
              <c:strCache>
                <c:ptCount val="1"/>
                <c:pt idx="0">
                  <c:v>Thies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'données covid19'!$F$18:$F$21</c:f>
              <c:strCache>
                <c:ptCount val="4"/>
                <c:pt idx="0">
                  <c:v>Astrazeneca</c:v>
                </c:pt>
                <c:pt idx="1">
                  <c:v>JonhsonJohnson</c:v>
                </c:pt>
                <c:pt idx="2">
                  <c:v>Sinopharm</c:v>
                </c:pt>
                <c:pt idx="3">
                  <c:v>Not specified</c:v>
                </c:pt>
              </c:strCache>
            </c:strRef>
          </c:cat>
          <c:val>
            <c:numRef>
              <c:f>'données covid19'!$I$18:$I$21</c:f>
              <c:numCache>
                <c:formatCode>General</c:formatCode>
                <c:ptCount val="4"/>
                <c:pt idx="0">
                  <c:v>25</c:v>
                </c:pt>
                <c:pt idx="1">
                  <c:v>4</c:v>
                </c:pt>
                <c:pt idx="2">
                  <c:v>8</c:v>
                </c:pt>
                <c:pt idx="3">
                  <c:v>37</c:v>
                </c:pt>
              </c:numCache>
            </c:numRef>
          </c:val>
          <c:extLst>
            <c:ext xmlns:c16="http://schemas.microsoft.com/office/drawing/2014/chart" uri="{C3380CC4-5D6E-409C-BE32-E72D297353CC}">
              <c16:uniqueId val="{00000002-08B2-4A27-A416-D0A9A95FBCBB}"/>
            </c:ext>
          </c:extLst>
        </c:ser>
        <c:dLbls>
          <c:showLegendKey val="0"/>
          <c:showVal val="0"/>
          <c:showCatName val="0"/>
          <c:showSerName val="0"/>
          <c:showPercent val="0"/>
          <c:showBubbleSize val="0"/>
        </c:dLbls>
        <c:gapWidth val="100"/>
        <c:axId val="264909336"/>
        <c:axId val="264910120"/>
      </c:barChart>
      <c:catAx>
        <c:axId val="2649093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64910120"/>
        <c:crosses val="autoZero"/>
        <c:auto val="1"/>
        <c:lblAlgn val="ctr"/>
        <c:lblOffset val="100"/>
        <c:noMultiLvlLbl val="0"/>
      </c:catAx>
      <c:valAx>
        <c:axId val="2649101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64909336"/>
        <c:crosses val="autoZero"/>
        <c:crossBetween val="between"/>
      </c:valAx>
      <c:spPr>
        <a:noFill/>
        <a:ln>
          <a:noFill/>
        </a:ln>
        <a:effectLst/>
      </c:spPr>
    </c:plotArea>
    <c:legend>
      <c:legendPos val="b"/>
      <c:layout>
        <c:manualLayout>
          <c:xMode val="edge"/>
          <c:yMode val="edge"/>
          <c:x val="0.13772335276272285"/>
          <c:y val="1.4435451382530662E-2"/>
          <c:w val="0.85638374748610968"/>
          <c:h val="5.3003897992834184E-2"/>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'données covid19'!$B$48</c:f>
              <c:strCache>
                <c:ptCount val="1"/>
                <c:pt idx="0">
                  <c:v>Ziguinchor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'données covid19'!$A$49:$A$55</c:f>
              <c:strCache>
                <c:ptCount val="7"/>
                <c:pt idx="0">
                  <c:v>Asthma</c:v>
                </c:pt>
                <c:pt idx="1">
                  <c:v>Heart disease</c:v>
                </c:pt>
                <c:pt idx="2">
                  <c:v>Diabetes</c:v>
                </c:pt>
                <c:pt idx="3">
                  <c:v>Hypertension</c:v>
                </c:pt>
                <c:pt idx="4">
                  <c:v>Pregnancy</c:v>
                </c:pt>
                <c:pt idx="5">
                  <c:v>Eldery</c:v>
                </c:pt>
                <c:pt idx="6">
                  <c:v>Others</c:v>
                </c:pt>
              </c:strCache>
            </c:strRef>
          </c:cat>
          <c:val>
            <c:numRef>
              <c:f>'données covid19'!$B$49:$B$55</c:f>
              <c:numCache>
                <c:formatCode>General</c:formatCode>
                <c:ptCount val="7"/>
                <c:pt idx="0">
                  <c:v>11.11</c:v>
                </c:pt>
                <c:pt idx="1">
                  <c:v>14.28</c:v>
                </c:pt>
                <c:pt idx="2">
                  <c:v>0</c:v>
                </c:pt>
                <c:pt idx="3">
                  <c:v>0</c:v>
                </c:pt>
                <c:pt idx="4">
                  <c:v>2.56</c:v>
                </c:pt>
                <c:pt idx="5">
                  <c:v>5.71</c:v>
                </c:pt>
                <c:pt idx="6">
                  <c:v>4.76</c:v>
                </c:pt>
              </c:numCache>
            </c:numRef>
          </c:val>
          <c:extLst>
            <c:ext xmlns:c16="http://schemas.microsoft.com/office/drawing/2014/chart" uri="{C3380CC4-5D6E-409C-BE32-E72D297353CC}">
              <c16:uniqueId val="{00000000-2B3E-47E3-83B9-A941E253697B}"/>
            </c:ext>
          </c:extLst>
        </c:ser>
        <c:ser>
          <c:idx val="1"/>
          <c:order val="1"/>
          <c:tx>
            <c:strRef>
              <c:f>'données covid19'!$C$48</c:f>
              <c:strCache>
                <c:ptCount val="1"/>
                <c:pt idx="0">
                  <c:v>Thies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'données covid19'!$A$49:$A$55</c:f>
              <c:strCache>
                <c:ptCount val="7"/>
                <c:pt idx="0">
                  <c:v>Asthma</c:v>
                </c:pt>
                <c:pt idx="1">
                  <c:v>Heart disease</c:v>
                </c:pt>
                <c:pt idx="2">
                  <c:v>Diabetes</c:v>
                </c:pt>
                <c:pt idx="3">
                  <c:v>Hypertension</c:v>
                </c:pt>
                <c:pt idx="4">
                  <c:v>Pregnancy</c:v>
                </c:pt>
                <c:pt idx="5">
                  <c:v>Eldery</c:v>
                </c:pt>
                <c:pt idx="6">
                  <c:v>Others</c:v>
                </c:pt>
              </c:strCache>
            </c:strRef>
          </c:cat>
          <c:val>
            <c:numRef>
              <c:f>'données covid19'!$C$49:$C$55</c:f>
              <c:numCache>
                <c:formatCode>General</c:formatCode>
                <c:ptCount val="7"/>
                <c:pt idx="0">
                  <c:v>0</c:v>
                </c:pt>
                <c:pt idx="1">
                  <c:v>18.18</c:v>
                </c:pt>
                <c:pt idx="2">
                  <c:v>3.63</c:v>
                </c:pt>
                <c:pt idx="3">
                  <c:v>7.84</c:v>
                </c:pt>
                <c:pt idx="4">
                  <c:v>0</c:v>
                </c:pt>
                <c:pt idx="5">
                  <c:v>0</c:v>
                </c:pt>
                <c:pt idx="6">
                  <c:v>4</c:v>
                </c:pt>
              </c:numCache>
            </c:numRef>
          </c:val>
          <c:extLst>
            <c:ext xmlns:c16="http://schemas.microsoft.com/office/drawing/2014/chart" uri="{C3380CC4-5D6E-409C-BE32-E72D297353CC}">
              <c16:uniqueId val="{00000001-2B3E-47E3-83B9-A941E253697B}"/>
            </c:ext>
          </c:extLst>
        </c:ser>
        <c:dLbls>
          <c:showLegendKey val="0"/>
          <c:showVal val="0"/>
          <c:showCatName val="0"/>
          <c:showSerName val="0"/>
          <c:showPercent val="0"/>
          <c:showBubbleSize val="0"/>
        </c:dLbls>
        <c:gapWidth val="89"/>
        <c:axId val="574793039"/>
        <c:axId val="574793519"/>
      </c:barChart>
      <c:catAx>
        <c:axId val="57479303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74793519"/>
        <c:crosses val="autoZero"/>
        <c:auto val="1"/>
        <c:lblAlgn val="ctr"/>
        <c:lblOffset val="100"/>
        <c:noMultiLvlLbl val="0"/>
      </c:catAx>
      <c:valAx>
        <c:axId val="57479351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74793039"/>
        <c:crosses val="autoZero"/>
        <c:crossBetween val="between"/>
      </c:valAx>
      <c:spPr>
        <a:noFill/>
        <a:ln>
          <a:noFill/>
        </a:ln>
        <a:effectLst/>
      </c:spPr>
    </c:plotArea>
    <c:legend>
      <c:legendPos val="b"/>
      <c:layout>
        <c:manualLayout>
          <c:xMode val="edge"/>
          <c:yMode val="edge"/>
          <c:x val="0.61264435695538055"/>
          <c:y val="6.0763342082239678E-2"/>
          <c:w val="0.25804461942257217"/>
          <c:h val="7.8125546806649182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dLbl>
              <c:idx val="0"/>
              <c:tx>
                <c:rich>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a:solidFill>
                          <a:sysClr val="windowText" lastClr="000000"/>
                        </a:solidFill>
                        <a:latin typeface="Times New Roman" panose="02020603050405020304" pitchFamily="18" charset="0"/>
                        <a:cs typeface="Times New Roman" panose="02020603050405020304" pitchFamily="18" charset="0"/>
                      </a:rPr>
                      <a:t>15,5%</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B6B-49BB-BAA9-B533AF5601B3}"/>
                </c:ext>
              </c:extLst>
            </c:dLbl>
            <c:dLbl>
              <c:idx val="1"/>
              <c:tx>
                <c:rich>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a:solidFill>
                          <a:sysClr val="windowText" lastClr="000000"/>
                        </a:solidFill>
                        <a:latin typeface="Times New Roman" panose="02020603050405020304" pitchFamily="18" charset="0"/>
                        <a:cs typeface="Times New Roman" panose="02020603050405020304" pitchFamily="18" charset="0"/>
                      </a:rPr>
                      <a:t>76,5%</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1B6B-49BB-BAA9-B533AF5601B3}"/>
                </c:ext>
              </c:extLst>
            </c:dLbl>
            <c:dLbl>
              <c:idx val="2"/>
              <c:layout>
                <c:manualLayout>
                  <c:x val="2.2185246810870365E-3"/>
                  <c:y val="0"/>
                </c:manualLayout>
              </c:layout>
              <c:tx>
                <c:rich>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a:solidFill>
                          <a:sysClr val="windowText" lastClr="000000"/>
                        </a:solidFill>
                        <a:latin typeface="Times New Roman" panose="02020603050405020304" pitchFamily="18" charset="0"/>
                        <a:cs typeface="Times New Roman" panose="02020603050405020304" pitchFamily="18" charset="0"/>
                      </a:rPr>
                      <a:t>11,73%</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1B6B-49BB-BAA9-B533AF5601B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Feuil1!$A$2:$A$4</c:f>
              <c:strCache>
                <c:ptCount val="3"/>
                <c:pt idx="0">
                  <c:v>IgM</c:v>
                </c:pt>
                <c:pt idx="1">
                  <c:v>IgG</c:v>
                </c:pt>
                <c:pt idx="2">
                  <c:v>IgM + IgG</c:v>
                </c:pt>
              </c:strCache>
            </c:strRef>
          </c:cat>
          <c:val>
            <c:numRef>
              <c:f>Feuil1!$B$2:$B$4</c:f>
              <c:numCache>
                <c:formatCode>General</c:formatCode>
                <c:ptCount val="3"/>
                <c:pt idx="0">
                  <c:v>33</c:v>
                </c:pt>
                <c:pt idx="1">
                  <c:v>163</c:v>
                </c:pt>
                <c:pt idx="2">
                  <c:v>25</c:v>
                </c:pt>
              </c:numCache>
            </c:numRef>
          </c:val>
          <c:extLst>
            <c:ext xmlns:c16="http://schemas.microsoft.com/office/drawing/2014/chart" uri="{C3380CC4-5D6E-409C-BE32-E72D297353CC}">
              <c16:uniqueId val="{00000003-1B6B-49BB-BAA9-B533AF5601B3}"/>
            </c:ext>
          </c:extLst>
        </c:ser>
        <c:dLbls>
          <c:showLegendKey val="0"/>
          <c:showVal val="0"/>
          <c:showCatName val="0"/>
          <c:showSerName val="0"/>
          <c:showPercent val="0"/>
          <c:showBubbleSize val="0"/>
        </c:dLbls>
        <c:gapWidth val="110"/>
        <c:overlap val="-44"/>
        <c:axId val="285806920"/>
        <c:axId val="285807704"/>
      </c:barChart>
      <c:catAx>
        <c:axId val="2858069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5807704"/>
        <c:crosses val="autoZero"/>
        <c:auto val="1"/>
        <c:lblAlgn val="ctr"/>
        <c:lblOffset val="100"/>
        <c:noMultiLvlLbl val="0"/>
      </c:catAx>
      <c:valAx>
        <c:axId val="2858077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5806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'données covid19'!$F$48</c:f>
              <c:strCache>
                <c:ptCount val="1"/>
                <c:pt idx="0">
                  <c:v>Positive serology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'données covid19'!$E$49:$E$55</c:f>
              <c:strCache>
                <c:ptCount val="7"/>
                <c:pt idx="0">
                  <c:v>Asthma</c:v>
                </c:pt>
                <c:pt idx="1">
                  <c:v>Heart disease</c:v>
                </c:pt>
                <c:pt idx="2">
                  <c:v>Diabetes</c:v>
                </c:pt>
                <c:pt idx="3">
                  <c:v>Hypertension</c:v>
                </c:pt>
                <c:pt idx="4">
                  <c:v>Pregnancy</c:v>
                </c:pt>
                <c:pt idx="5">
                  <c:v>Eldery</c:v>
                </c:pt>
                <c:pt idx="6">
                  <c:v>Others</c:v>
                </c:pt>
              </c:strCache>
            </c:strRef>
          </c:cat>
          <c:val>
            <c:numRef>
              <c:f>'données covid19'!$F$49:$F$55</c:f>
              <c:numCache>
                <c:formatCode>General</c:formatCode>
                <c:ptCount val="7"/>
                <c:pt idx="0">
                  <c:v>15</c:v>
                </c:pt>
                <c:pt idx="1">
                  <c:v>3</c:v>
                </c:pt>
                <c:pt idx="2">
                  <c:v>26</c:v>
                </c:pt>
                <c:pt idx="3">
                  <c:v>77</c:v>
                </c:pt>
                <c:pt idx="4">
                  <c:v>34</c:v>
                </c:pt>
                <c:pt idx="5">
                  <c:v>54</c:v>
                </c:pt>
                <c:pt idx="6">
                  <c:v>12</c:v>
                </c:pt>
              </c:numCache>
            </c:numRef>
          </c:val>
          <c:extLst>
            <c:ext xmlns:c16="http://schemas.microsoft.com/office/drawing/2014/chart" uri="{C3380CC4-5D6E-409C-BE32-E72D297353CC}">
              <c16:uniqueId val="{00000000-B854-47F3-9FC8-43230FC12F59}"/>
            </c:ext>
          </c:extLst>
        </c:ser>
        <c:ser>
          <c:idx val="1"/>
          <c:order val="1"/>
          <c:tx>
            <c:strRef>
              <c:f>'données covid19'!$G$48</c:f>
              <c:strCache>
                <c:ptCount val="1"/>
                <c:pt idx="0">
                  <c:v>Negative serology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'données covid19'!$E$49:$E$55</c:f>
              <c:strCache>
                <c:ptCount val="7"/>
                <c:pt idx="0">
                  <c:v>Asthma</c:v>
                </c:pt>
                <c:pt idx="1">
                  <c:v>Heart disease</c:v>
                </c:pt>
                <c:pt idx="2">
                  <c:v>Diabetes</c:v>
                </c:pt>
                <c:pt idx="3">
                  <c:v>Hypertension</c:v>
                </c:pt>
                <c:pt idx="4">
                  <c:v>Pregnancy</c:v>
                </c:pt>
                <c:pt idx="5">
                  <c:v>Eldery</c:v>
                </c:pt>
                <c:pt idx="6">
                  <c:v>Others</c:v>
                </c:pt>
              </c:strCache>
            </c:strRef>
          </c:cat>
          <c:val>
            <c:numRef>
              <c:f>'données covid19'!$G$49:$G$55</c:f>
              <c:numCache>
                <c:formatCode>General</c:formatCode>
                <c:ptCount val="7"/>
                <c:pt idx="0">
                  <c:v>22</c:v>
                </c:pt>
                <c:pt idx="1">
                  <c:v>5</c:v>
                </c:pt>
                <c:pt idx="2">
                  <c:v>36</c:v>
                </c:pt>
                <c:pt idx="3">
                  <c:v>99</c:v>
                </c:pt>
                <c:pt idx="4">
                  <c:v>72</c:v>
                </c:pt>
                <c:pt idx="5">
                  <c:v>74</c:v>
                </c:pt>
                <c:pt idx="6">
                  <c:v>26</c:v>
                </c:pt>
              </c:numCache>
            </c:numRef>
          </c:val>
          <c:extLst>
            <c:ext xmlns:c16="http://schemas.microsoft.com/office/drawing/2014/chart" uri="{C3380CC4-5D6E-409C-BE32-E72D297353CC}">
              <c16:uniqueId val="{00000001-B854-47F3-9FC8-43230FC12F59}"/>
            </c:ext>
          </c:extLst>
        </c:ser>
        <c:dLbls>
          <c:showLegendKey val="0"/>
          <c:showVal val="0"/>
          <c:showCatName val="0"/>
          <c:showSerName val="0"/>
          <c:showPercent val="0"/>
          <c:showBubbleSize val="0"/>
        </c:dLbls>
        <c:gapWidth val="150"/>
        <c:overlap val="100"/>
        <c:axId val="481293407"/>
        <c:axId val="481293887"/>
      </c:barChart>
      <c:catAx>
        <c:axId val="48129340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1293887"/>
        <c:crosses val="autoZero"/>
        <c:auto val="1"/>
        <c:lblAlgn val="ctr"/>
        <c:lblOffset val="100"/>
        <c:noMultiLvlLbl val="0"/>
      </c:catAx>
      <c:valAx>
        <c:axId val="48129388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1293407"/>
        <c:crosses val="autoZero"/>
        <c:crossBetween val="between"/>
      </c:valAx>
      <c:spPr>
        <a:noFill/>
        <a:ln>
          <a:noFill/>
        </a:ln>
        <a:effectLst/>
      </c:spPr>
    </c:plotArea>
    <c:legend>
      <c:legendPos val="b"/>
      <c:layout>
        <c:manualLayout>
          <c:xMode val="edge"/>
          <c:yMode val="edge"/>
          <c:x val="0.48475504688308013"/>
          <c:y val="4.6198277846848046E-2"/>
          <c:w val="0.43693352457336887"/>
          <c:h val="7.8947920983561265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4D7F3-D2E0-4F32-90D5-DA90BCA96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57</TotalTime>
  <Pages>11</Pages>
  <Words>3689</Words>
  <Characters>21029</Characters>
  <Application>Microsoft Office Word</Application>
  <DocSecurity>0</DocSecurity>
  <Lines>175</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24669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Reviewer</cp:lastModifiedBy>
  <cp:revision>47</cp:revision>
  <cp:lastPrinted>1999-07-06T11:00:00Z</cp:lastPrinted>
  <dcterms:created xsi:type="dcterms:W3CDTF">2025-09-16T18:51:00Z</dcterms:created>
  <dcterms:modified xsi:type="dcterms:W3CDTF">2025-09-19T11:39:00Z</dcterms:modified>
</cp:coreProperties>
</file>