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C6739" w14:textId="00575C08" w:rsidR="009B7762" w:rsidRDefault="00E413E3" w:rsidP="00FB4899">
      <w:pPr>
        <w:jc w:val="both"/>
        <w:rPr>
          <w:rFonts w:ascii="Arial" w:hAnsi="Arial" w:cs="Arial"/>
          <w:b/>
          <w:bCs/>
          <w:sz w:val="24"/>
          <w:szCs w:val="24"/>
        </w:rPr>
      </w:pPr>
      <w:r>
        <w:rPr>
          <w:rFonts w:ascii="Arial" w:hAnsi="Arial" w:cs="Arial"/>
          <w:b/>
          <w:bCs/>
          <w:sz w:val="24"/>
          <w:szCs w:val="24"/>
        </w:rPr>
        <w:t>Growth and yield attributes</w:t>
      </w:r>
      <w:r w:rsidR="009B7762" w:rsidRPr="00D17BD4">
        <w:rPr>
          <w:rFonts w:ascii="Arial" w:hAnsi="Arial" w:cs="Arial"/>
          <w:b/>
          <w:bCs/>
          <w:sz w:val="24"/>
          <w:szCs w:val="24"/>
        </w:rPr>
        <w:t xml:space="preserve"> of Linseed (</w:t>
      </w:r>
      <w:proofErr w:type="spellStart"/>
      <w:r w:rsidR="009B7762" w:rsidRPr="00D17BD4">
        <w:rPr>
          <w:rFonts w:ascii="Arial" w:hAnsi="Arial" w:cs="Arial"/>
          <w:b/>
          <w:bCs/>
          <w:i/>
          <w:iCs/>
          <w:sz w:val="24"/>
          <w:szCs w:val="24"/>
        </w:rPr>
        <w:t>Linum</w:t>
      </w:r>
      <w:proofErr w:type="spellEnd"/>
      <w:r w:rsidR="009B7762" w:rsidRPr="00D17BD4">
        <w:rPr>
          <w:rFonts w:ascii="Arial" w:hAnsi="Arial" w:cs="Arial"/>
          <w:b/>
          <w:bCs/>
          <w:i/>
          <w:iCs/>
          <w:sz w:val="24"/>
          <w:szCs w:val="24"/>
        </w:rPr>
        <w:t xml:space="preserve"> </w:t>
      </w:r>
      <w:proofErr w:type="spellStart"/>
      <w:r w:rsidR="009B7762" w:rsidRPr="00D17BD4">
        <w:rPr>
          <w:rFonts w:ascii="Arial" w:hAnsi="Arial" w:cs="Arial"/>
          <w:b/>
          <w:bCs/>
          <w:i/>
          <w:iCs/>
          <w:sz w:val="24"/>
          <w:szCs w:val="24"/>
        </w:rPr>
        <w:t>usitatissimum</w:t>
      </w:r>
      <w:proofErr w:type="spellEnd"/>
      <w:r w:rsidR="009B7762" w:rsidRPr="00D17BD4">
        <w:rPr>
          <w:rFonts w:ascii="Arial" w:hAnsi="Arial" w:cs="Arial"/>
          <w:b/>
          <w:bCs/>
          <w:sz w:val="24"/>
          <w:szCs w:val="24"/>
        </w:rPr>
        <w:t xml:space="preserve"> L.) as influenced by different sources of Sulphur under </w:t>
      </w:r>
      <w:proofErr w:type="spellStart"/>
      <w:r w:rsidR="009B7762" w:rsidRPr="00D17BD4">
        <w:rPr>
          <w:rFonts w:ascii="Arial" w:hAnsi="Arial" w:cs="Arial"/>
          <w:b/>
          <w:bCs/>
          <w:sz w:val="24"/>
          <w:szCs w:val="24"/>
        </w:rPr>
        <w:t>Dhampur</w:t>
      </w:r>
      <w:proofErr w:type="spellEnd"/>
      <w:r w:rsidR="009B7762" w:rsidRPr="00D17BD4">
        <w:rPr>
          <w:rFonts w:ascii="Arial" w:hAnsi="Arial" w:cs="Arial"/>
          <w:b/>
          <w:bCs/>
          <w:sz w:val="24"/>
          <w:szCs w:val="24"/>
        </w:rPr>
        <w:t xml:space="preserve"> condition</w:t>
      </w:r>
    </w:p>
    <w:p w14:paraId="3F376F84" w14:textId="77777777" w:rsidR="00425632" w:rsidRPr="00E413E3" w:rsidRDefault="00425632" w:rsidP="00E413E3">
      <w:pPr>
        <w:jc w:val="center"/>
        <w:rPr>
          <w:rFonts w:ascii="Arial" w:hAnsi="Arial" w:cs="Arial"/>
          <w:sz w:val="24"/>
          <w:szCs w:val="24"/>
        </w:rPr>
      </w:pPr>
    </w:p>
    <w:p w14:paraId="0C6F5B65" w14:textId="77777777" w:rsidR="00E413E3" w:rsidRDefault="00E413E3" w:rsidP="00FB4899">
      <w:pPr>
        <w:jc w:val="both"/>
        <w:rPr>
          <w:rFonts w:ascii="Arial" w:hAnsi="Arial" w:cs="Arial"/>
          <w:b/>
          <w:bCs/>
          <w:sz w:val="24"/>
          <w:szCs w:val="24"/>
        </w:rPr>
      </w:pPr>
    </w:p>
    <w:p w14:paraId="429F9809" w14:textId="77777777" w:rsidR="00D17BD4" w:rsidRPr="00D17BD4" w:rsidRDefault="00D17BD4" w:rsidP="00FB4899">
      <w:pPr>
        <w:jc w:val="both"/>
        <w:rPr>
          <w:rFonts w:ascii="Arial" w:hAnsi="Arial" w:cs="Arial"/>
          <w:b/>
          <w:bCs/>
          <w:sz w:val="24"/>
          <w:szCs w:val="24"/>
        </w:rPr>
      </w:pPr>
    </w:p>
    <w:p w14:paraId="099056B2" w14:textId="77777777" w:rsidR="00D17BD4" w:rsidRDefault="00D17BD4" w:rsidP="00D17BD4">
      <w:pPr>
        <w:jc w:val="center"/>
        <w:rPr>
          <w:rFonts w:ascii="Arial" w:hAnsi="Arial" w:cs="Arial"/>
          <w:b/>
          <w:bCs/>
          <w:sz w:val="24"/>
          <w:szCs w:val="24"/>
        </w:rPr>
      </w:pPr>
      <w:commentRangeStart w:id="0"/>
      <w:r w:rsidRPr="00FB4899">
        <w:rPr>
          <w:rFonts w:ascii="Arial" w:hAnsi="Arial" w:cs="Arial"/>
          <w:b/>
          <w:bCs/>
          <w:sz w:val="24"/>
          <w:szCs w:val="24"/>
        </w:rPr>
        <w:t>ABSTRACT</w:t>
      </w:r>
      <w:commentRangeEnd w:id="0"/>
      <w:r w:rsidR="00CC02FD">
        <w:rPr>
          <w:rStyle w:val="CommentReference"/>
        </w:rPr>
        <w:commentReference w:id="0"/>
      </w:r>
    </w:p>
    <w:p w14:paraId="01CF020E" w14:textId="75FDA054" w:rsidR="002331C9" w:rsidRPr="00D17BD4" w:rsidRDefault="008B6293" w:rsidP="00351A31">
      <w:pPr>
        <w:jc w:val="both"/>
        <w:rPr>
          <w:rFonts w:ascii="Arial" w:hAnsi="Arial" w:cs="Arial"/>
          <w:b/>
          <w:bCs/>
          <w:sz w:val="24"/>
          <w:szCs w:val="24"/>
        </w:rPr>
      </w:pPr>
      <w:r w:rsidRPr="008B6293">
        <w:rPr>
          <w:rFonts w:ascii="Arial" w:hAnsi="Arial" w:cs="Arial"/>
          <w:sz w:val="24"/>
          <w:szCs w:val="24"/>
        </w:rPr>
        <w:br/>
      </w:r>
      <w:r w:rsidR="00691C1B">
        <w:rPr>
          <w:rFonts w:ascii="Arial" w:hAnsi="Arial" w:cs="Arial"/>
          <w:sz w:val="24"/>
          <w:szCs w:val="24"/>
        </w:rPr>
        <w:t xml:space="preserve"> </w:t>
      </w:r>
      <w:proofErr w:type="gramStart"/>
      <w:r w:rsidRPr="00814751">
        <w:rPr>
          <w:rFonts w:ascii="Arial" w:hAnsi="Arial" w:cs="Arial"/>
          <w:sz w:val="24"/>
          <w:szCs w:val="24"/>
        </w:rPr>
        <w:t xml:space="preserve">A </w:t>
      </w:r>
      <w:r w:rsidR="00FB4899" w:rsidRPr="00814751">
        <w:rPr>
          <w:rFonts w:ascii="Arial" w:hAnsi="Arial" w:cs="Arial"/>
          <w:sz w:val="24"/>
          <w:szCs w:val="24"/>
        </w:rPr>
        <w:t xml:space="preserve"> </w:t>
      </w:r>
      <w:r w:rsidRPr="00814751">
        <w:rPr>
          <w:rFonts w:ascii="Arial" w:hAnsi="Arial" w:cs="Arial"/>
          <w:sz w:val="24"/>
          <w:szCs w:val="24"/>
        </w:rPr>
        <w:t>field</w:t>
      </w:r>
      <w:proofErr w:type="gramEnd"/>
      <w:r w:rsidRPr="00814751">
        <w:rPr>
          <w:rFonts w:ascii="Arial" w:hAnsi="Arial" w:cs="Arial"/>
          <w:sz w:val="24"/>
          <w:szCs w:val="24"/>
        </w:rPr>
        <w:t xml:space="preserve"> experiment entitled </w:t>
      </w:r>
      <w:r w:rsidRPr="00351A31">
        <w:rPr>
          <w:rFonts w:ascii="Arial" w:hAnsi="Arial" w:cs="Arial"/>
          <w:sz w:val="24"/>
          <w:szCs w:val="24"/>
        </w:rPr>
        <w:t>“</w:t>
      </w:r>
      <w:r w:rsidR="00351A31" w:rsidRPr="00351A31">
        <w:rPr>
          <w:rFonts w:ascii="Arial" w:hAnsi="Arial" w:cs="Arial"/>
          <w:sz w:val="24"/>
          <w:szCs w:val="24"/>
        </w:rPr>
        <w:t>Growth and yield attributes of Linseed (</w:t>
      </w:r>
      <w:proofErr w:type="spellStart"/>
      <w:r w:rsidR="00351A31" w:rsidRPr="00351A31">
        <w:rPr>
          <w:rFonts w:ascii="Arial" w:hAnsi="Arial" w:cs="Arial"/>
          <w:i/>
          <w:iCs/>
          <w:sz w:val="24"/>
          <w:szCs w:val="24"/>
        </w:rPr>
        <w:t>Linum</w:t>
      </w:r>
      <w:proofErr w:type="spellEnd"/>
      <w:r w:rsidR="00351A31" w:rsidRPr="00351A31">
        <w:rPr>
          <w:rFonts w:ascii="Arial" w:hAnsi="Arial" w:cs="Arial"/>
          <w:i/>
          <w:iCs/>
          <w:sz w:val="24"/>
          <w:szCs w:val="24"/>
        </w:rPr>
        <w:t xml:space="preserve"> </w:t>
      </w:r>
      <w:proofErr w:type="spellStart"/>
      <w:r w:rsidR="00351A31" w:rsidRPr="00351A31">
        <w:rPr>
          <w:rFonts w:ascii="Arial" w:hAnsi="Arial" w:cs="Arial"/>
          <w:i/>
          <w:iCs/>
          <w:sz w:val="24"/>
          <w:szCs w:val="24"/>
        </w:rPr>
        <w:t>usitatissimum</w:t>
      </w:r>
      <w:proofErr w:type="spellEnd"/>
      <w:r w:rsidR="00351A31" w:rsidRPr="00351A31">
        <w:rPr>
          <w:rFonts w:ascii="Arial" w:hAnsi="Arial" w:cs="Arial"/>
          <w:sz w:val="24"/>
          <w:szCs w:val="24"/>
        </w:rPr>
        <w:t xml:space="preserve"> L.) as influenced by different sources of Sulphur under </w:t>
      </w:r>
      <w:proofErr w:type="spellStart"/>
      <w:r w:rsidR="00351A31" w:rsidRPr="00351A31">
        <w:rPr>
          <w:rFonts w:ascii="Arial" w:hAnsi="Arial" w:cs="Arial"/>
          <w:sz w:val="24"/>
          <w:szCs w:val="24"/>
        </w:rPr>
        <w:t>Dhampur</w:t>
      </w:r>
      <w:proofErr w:type="spellEnd"/>
      <w:r w:rsidR="00351A31" w:rsidRPr="00351A31">
        <w:rPr>
          <w:rFonts w:ascii="Arial" w:hAnsi="Arial" w:cs="Arial"/>
          <w:sz w:val="24"/>
          <w:szCs w:val="24"/>
        </w:rPr>
        <w:t xml:space="preserve"> condition</w:t>
      </w:r>
      <w:r w:rsidRPr="00351A31">
        <w:rPr>
          <w:rFonts w:ascii="Arial" w:hAnsi="Arial" w:cs="Arial"/>
          <w:sz w:val="24"/>
          <w:szCs w:val="24"/>
        </w:rPr>
        <w:t>” was conducted during the</w:t>
      </w:r>
      <w:r w:rsidRPr="00351A31">
        <w:rPr>
          <w:rFonts w:ascii="Arial" w:hAnsi="Arial" w:cs="Arial"/>
          <w:i/>
          <w:iCs/>
          <w:sz w:val="24"/>
          <w:szCs w:val="24"/>
        </w:rPr>
        <w:t xml:space="preserve"> </w:t>
      </w:r>
      <w:r w:rsidRPr="00EC50E7">
        <w:rPr>
          <w:rFonts w:ascii="Arial" w:hAnsi="Arial" w:cs="Arial"/>
          <w:i/>
          <w:iCs/>
          <w:sz w:val="24"/>
          <w:szCs w:val="24"/>
        </w:rPr>
        <w:t>rabi</w:t>
      </w:r>
      <w:r w:rsidRPr="00814751">
        <w:rPr>
          <w:rFonts w:ascii="Arial" w:hAnsi="Arial" w:cs="Arial"/>
          <w:sz w:val="24"/>
          <w:szCs w:val="24"/>
        </w:rPr>
        <w:t xml:space="preserve"> season of 2024</w:t>
      </w:r>
      <w:r w:rsidR="00A329CB" w:rsidRPr="00814751">
        <w:rPr>
          <w:rFonts w:ascii="Arial" w:hAnsi="Arial" w:cs="Arial"/>
          <w:sz w:val="24"/>
          <w:szCs w:val="24"/>
        </w:rPr>
        <w:t>-</w:t>
      </w:r>
      <w:r w:rsidRPr="00814751">
        <w:rPr>
          <w:rFonts w:ascii="Arial" w:hAnsi="Arial" w:cs="Arial"/>
          <w:sz w:val="24"/>
          <w:szCs w:val="24"/>
        </w:rPr>
        <w:t xml:space="preserve">25 at the Agronomy Research Farm, R.S.M. (P.G.) College, </w:t>
      </w:r>
      <w:proofErr w:type="spellStart"/>
      <w:r w:rsidRPr="00814751">
        <w:rPr>
          <w:rFonts w:ascii="Arial" w:hAnsi="Arial" w:cs="Arial"/>
          <w:sz w:val="24"/>
          <w:szCs w:val="24"/>
        </w:rPr>
        <w:t>Dhampur</w:t>
      </w:r>
      <w:proofErr w:type="spellEnd"/>
      <w:r w:rsidRPr="00814751">
        <w:rPr>
          <w:rFonts w:ascii="Arial" w:hAnsi="Arial" w:cs="Arial"/>
          <w:sz w:val="24"/>
          <w:szCs w:val="24"/>
        </w:rPr>
        <w:t xml:space="preserve">, </w:t>
      </w:r>
      <w:proofErr w:type="spellStart"/>
      <w:r w:rsidRPr="00814751">
        <w:rPr>
          <w:rFonts w:ascii="Arial" w:hAnsi="Arial" w:cs="Arial"/>
          <w:sz w:val="24"/>
          <w:szCs w:val="24"/>
        </w:rPr>
        <w:t>Bijnor</w:t>
      </w:r>
      <w:proofErr w:type="spellEnd"/>
      <w:r w:rsidRPr="00814751">
        <w:rPr>
          <w:rFonts w:ascii="Arial" w:hAnsi="Arial" w:cs="Arial"/>
          <w:sz w:val="24"/>
          <w:szCs w:val="24"/>
        </w:rPr>
        <w:t xml:space="preserve"> (U.P.), to evaluate the effect of various sulphur sources on growth</w:t>
      </w:r>
      <w:r w:rsidR="00A776D0">
        <w:rPr>
          <w:rFonts w:ascii="Arial" w:hAnsi="Arial" w:cs="Arial"/>
          <w:sz w:val="24"/>
          <w:szCs w:val="24"/>
        </w:rPr>
        <w:t xml:space="preserve"> and yield attributes of</w:t>
      </w:r>
      <w:r w:rsidRPr="00814751">
        <w:rPr>
          <w:rFonts w:ascii="Arial" w:hAnsi="Arial" w:cs="Arial"/>
          <w:sz w:val="24"/>
          <w:szCs w:val="24"/>
        </w:rPr>
        <w:t xml:space="preserve"> linseed. The experiment was laid out in a randomized block design with seven treatments and three replications</w:t>
      </w:r>
      <w:r w:rsidR="000F7E4C">
        <w:rPr>
          <w:rFonts w:ascii="Arial" w:hAnsi="Arial" w:cs="Arial"/>
          <w:sz w:val="24"/>
          <w:szCs w:val="24"/>
        </w:rPr>
        <w:t xml:space="preserve">. </w:t>
      </w:r>
      <w:r w:rsidRPr="00814751">
        <w:rPr>
          <w:rFonts w:ascii="Arial" w:hAnsi="Arial" w:cs="Arial"/>
          <w:sz w:val="24"/>
          <w:szCs w:val="24"/>
        </w:rPr>
        <w:t xml:space="preserve">Results revealed that </w:t>
      </w:r>
      <w:r w:rsidR="000F7E4C">
        <w:rPr>
          <w:rFonts w:ascii="Arial" w:hAnsi="Arial" w:cs="Arial"/>
          <w:sz w:val="24"/>
          <w:szCs w:val="24"/>
        </w:rPr>
        <w:t>t</w:t>
      </w:r>
      <w:r w:rsidRPr="00814751">
        <w:rPr>
          <w:rFonts w:ascii="Arial" w:hAnsi="Arial" w:cs="Arial"/>
          <w:sz w:val="24"/>
          <w:szCs w:val="24"/>
        </w:rPr>
        <w:t>he foliar spray of nano</w:t>
      </w:r>
      <w:r w:rsidR="00F165A8">
        <w:rPr>
          <w:rFonts w:ascii="Arial" w:hAnsi="Arial" w:cs="Arial"/>
          <w:sz w:val="24"/>
          <w:szCs w:val="24"/>
        </w:rPr>
        <w:t xml:space="preserve"> </w:t>
      </w:r>
      <w:r w:rsidRPr="00814751">
        <w:rPr>
          <w:rFonts w:ascii="Arial" w:hAnsi="Arial" w:cs="Arial"/>
          <w:sz w:val="24"/>
          <w:szCs w:val="24"/>
        </w:rPr>
        <w:t>sulphur (0.5%) at 30 DAS and flowering stage (T</w:t>
      </w:r>
      <w:r w:rsidRPr="00814751">
        <w:rPr>
          <w:rFonts w:ascii="Cambria Math" w:hAnsi="Cambria Math" w:cs="Cambria Math"/>
          <w:sz w:val="24"/>
          <w:szCs w:val="24"/>
        </w:rPr>
        <w:t>₅</w:t>
      </w:r>
      <w:r w:rsidRPr="00814751">
        <w:rPr>
          <w:rFonts w:ascii="Arial" w:hAnsi="Arial" w:cs="Arial"/>
          <w:sz w:val="24"/>
          <w:szCs w:val="24"/>
        </w:rPr>
        <w:t>) recorded the highest values for growth</w:t>
      </w:r>
      <w:r w:rsidR="00422F25">
        <w:rPr>
          <w:rFonts w:ascii="Arial" w:hAnsi="Arial" w:cs="Arial"/>
          <w:sz w:val="24"/>
          <w:szCs w:val="24"/>
        </w:rPr>
        <w:t xml:space="preserve"> parameters and yield attributes</w:t>
      </w:r>
      <w:r w:rsidR="000F7E4C">
        <w:rPr>
          <w:rFonts w:ascii="Arial" w:hAnsi="Arial" w:cs="Arial"/>
          <w:sz w:val="24"/>
          <w:szCs w:val="24"/>
        </w:rPr>
        <w:t xml:space="preserve"> </w:t>
      </w:r>
      <w:r w:rsidRPr="00814751">
        <w:rPr>
          <w:rFonts w:ascii="Arial" w:hAnsi="Arial" w:cs="Arial"/>
          <w:sz w:val="24"/>
          <w:szCs w:val="24"/>
        </w:rPr>
        <w:t>followed by foliar application of sulphur fertilizer</w:t>
      </w:r>
      <w:r w:rsidR="00F165A8">
        <w:rPr>
          <w:rFonts w:ascii="Arial" w:hAnsi="Arial" w:cs="Arial"/>
          <w:sz w:val="24"/>
          <w:szCs w:val="24"/>
        </w:rPr>
        <w:t xml:space="preserve"> (0.5%) at 30 DAS and flowering stage</w:t>
      </w:r>
      <w:r w:rsidRPr="00814751">
        <w:rPr>
          <w:rFonts w:ascii="Arial" w:hAnsi="Arial" w:cs="Arial"/>
          <w:sz w:val="24"/>
          <w:szCs w:val="24"/>
        </w:rPr>
        <w:t xml:space="preserve"> at the same stages (T</w:t>
      </w:r>
      <w:r w:rsidRPr="00814751">
        <w:rPr>
          <w:rFonts w:ascii="Cambria Math" w:hAnsi="Cambria Math" w:cs="Cambria Math"/>
          <w:sz w:val="24"/>
          <w:szCs w:val="24"/>
        </w:rPr>
        <w:t>₇</w:t>
      </w:r>
      <w:r w:rsidRPr="00814751">
        <w:rPr>
          <w:rFonts w:ascii="Arial" w:hAnsi="Arial" w:cs="Arial"/>
          <w:sz w:val="24"/>
          <w:szCs w:val="24"/>
        </w:rPr>
        <w:t>).</w:t>
      </w:r>
      <w:r w:rsidR="00B2293E">
        <w:rPr>
          <w:rFonts w:ascii="Arial" w:hAnsi="Arial" w:cs="Arial"/>
          <w:sz w:val="24"/>
          <w:szCs w:val="24"/>
        </w:rPr>
        <w:t xml:space="preserve"> </w:t>
      </w:r>
      <w:r w:rsidRPr="00814751">
        <w:rPr>
          <w:rFonts w:ascii="Arial" w:hAnsi="Arial" w:cs="Arial"/>
          <w:sz w:val="24"/>
          <w:szCs w:val="24"/>
        </w:rPr>
        <w:t>It is concluded that foliar application of nano</w:t>
      </w:r>
      <w:r w:rsidR="001C6A73">
        <w:rPr>
          <w:rFonts w:ascii="Arial" w:hAnsi="Arial" w:cs="Arial"/>
          <w:sz w:val="24"/>
          <w:szCs w:val="24"/>
        </w:rPr>
        <w:t xml:space="preserve"> </w:t>
      </w:r>
      <w:r w:rsidRPr="00814751">
        <w:rPr>
          <w:rFonts w:ascii="Arial" w:hAnsi="Arial" w:cs="Arial"/>
          <w:sz w:val="24"/>
          <w:szCs w:val="24"/>
        </w:rPr>
        <w:t>sulphur at 30 DAS and flowering</w:t>
      </w:r>
      <w:r w:rsidR="004A4FAE" w:rsidRPr="00814751">
        <w:rPr>
          <w:rFonts w:ascii="Arial" w:hAnsi="Arial" w:cs="Arial"/>
          <w:sz w:val="24"/>
          <w:szCs w:val="24"/>
        </w:rPr>
        <w:t xml:space="preserve"> stage</w:t>
      </w:r>
      <w:r w:rsidRPr="00814751">
        <w:rPr>
          <w:rFonts w:ascii="Arial" w:hAnsi="Arial" w:cs="Arial"/>
          <w:sz w:val="24"/>
          <w:szCs w:val="24"/>
        </w:rPr>
        <w:t xml:space="preserve"> can be recommended for enhancing productivity and profitability of linseed under the agro-climatic conditions of </w:t>
      </w:r>
      <w:proofErr w:type="spellStart"/>
      <w:r w:rsidRPr="00814751">
        <w:rPr>
          <w:rFonts w:ascii="Arial" w:hAnsi="Arial" w:cs="Arial"/>
          <w:sz w:val="24"/>
          <w:szCs w:val="24"/>
        </w:rPr>
        <w:t>Dhampur</w:t>
      </w:r>
      <w:proofErr w:type="spellEnd"/>
      <w:r w:rsidRPr="00814751">
        <w:rPr>
          <w:rFonts w:ascii="Arial" w:hAnsi="Arial" w:cs="Arial"/>
          <w:sz w:val="24"/>
          <w:szCs w:val="24"/>
        </w:rPr>
        <w:t>.</w:t>
      </w:r>
    </w:p>
    <w:p w14:paraId="0B6992C4" w14:textId="595D094A" w:rsidR="00FB4899" w:rsidRPr="00814751" w:rsidRDefault="00FB4899" w:rsidP="000D4F37">
      <w:pPr>
        <w:spacing w:after="120"/>
        <w:jc w:val="both"/>
        <w:rPr>
          <w:rFonts w:ascii="Arial" w:hAnsi="Arial" w:cs="Arial"/>
          <w:sz w:val="24"/>
          <w:szCs w:val="24"/>
        </w:rPr>
      </w:pPr>
      <w:r w:rsidRPr="00814751">
        <w:rPr>
          <w:rFonts w:ascii="Arial" w:hAnsi="Arial" w:cs="Arial"/>
          <w:b/>
          <w:bCs/>
          <w:sz w:val="24"/>
          <w:szCs w:val="24"/>
        </w:rPr>
        <w:t>Keywords:</w:t>
      </w:r>
      <w:r w:rsidRPr="00814751">
        <w:rPr>
          <w:rFonts w:ascii="Arial" w:hAnsi="Arial" w:cs="Arial"/>
          <w:sz w:val="24"/>
          <w:szCs w:val="24"/>
        </w:rPr>
        <w:t xml:space="preserve"> Level of sulphur, sources of sulphur, growth and yield </w:t>
      </w:r>
      <w:r w:rsidR="00C354BC" w:rsidRPr="00814751">
        <w:rPr>
          <w:rFonts w:ascii="Arial" w:hAnsi="Arial" w:cs="Arial"/>
          <w:sz w:val="24"/>
          <w:szCs w:val="24"/>
        </w:rPr>
        <w:t xml:space="preserve">attributes </w:t>
      </w:r>
      <w:r w:rsidRPr="00814751">
        <w:rPr>
          <w:rFonts w:ascii="Arial" w:hAnsi="Arial" w:cs="Arial"/>
          <w:sz w:val="24"/>
          <w:szCs w:val="24"/>
        </w:rPr>
        <w:t>of linseed</w:t>
      </w:r>
    </w:p>
    <w:p w14:paraId="7BC78F31" w14:textId="7888E9AF" w:rsidR="009B7762" w:rsidRPr="00814751" w:rsidRDefault="009B7762" w:rsidP="000D4F37">
      <w:pPr>
        <w:pStyle w:val="NoSpacing"/>
        <w:numPr>
          <w:ilvl w:val="0"/>
          <w:numId w:val="4"/>
        </w:numPr>
        <w:spacing w:after="120" w:line="360" w:lineRule="auto"/>
        <w:jc w:val="both"/>
        <w:rPr>
          <w:rFonts w:ascii="Arial" w:hAnsi="Arial" w:cs="Arial"/>
          <w:sz w:val="24"/>
          <w:szCs w:val="24"/>
        </w:rPr>
      </w:pPr>
      <w:commentRangeStart w:id="1"/>
      <w:r w:rsidRPr="00814751">
        <w:rPr>
          <w:rFonts w:ascii="Arial" w:hAnsi="Arial" w:cs="Arial"/>
          <w:b/>
          <w:bCs/>
          <w:sz w:val="24"/>
          <w:szCs w:val="24"/>
        </w:rPr>
        <w:t>Introduction</w:t>
      </w:r>
      <w:commentRangeEnd w:id="1"/>
      <w:r w:rsidR="00CC02FD">
        <w:rPr>
          <w:rStyle w:val="CommentReference"/>
          <w:rFonts w:asciiTheme="minorHAnsi" w:eastAsiaTheme="minorHAnsi" w:hAnsiTheme="minorHAnsi" w:cstheme="minorBidi"/>
          <w:kern w:val="2"/>
          <w:lang w:val="en-IN" w:bidi="ar-SA"/>
          <w14:ligatures w14:val="standardContextual"/>
        </w:rPr>
        <w:commentReference w:id="1"/>
      </w:r>
      <w:r w:rsidRPr="00814751">
        <w:rPr>
          <w:rFonts w:ascii="Arial" w:hAnsi="Arial" w:cs="Arial"/>
          <w:b/>
          <w:bCs/>
          <w:sz w:val="24"/>
          <w:szCs w:val="24"/>
        </w:rPr>
        <w:t>:</w:t>
      </w:r>
      <w:r w:rsidRPr="00814751">
        <w:rPr>
          <w:rFonts w:ascii="Arial" w:hAnsi="Arial" w:cs="Arial"/>
          <w:sz w:val="24"/>
          <w:szCs w:val="24"/>
        </w:rPr>
        <w:t xml:space="preserve"> </w:t>
      </w:r>
    </w:p>
    <w:p w14:paraId="2D96901B" w14:textId="55B852DC" w:rsidR="009B7762" w:rsidRPr="00814751" w:rsidRDefault="009B7762" w:rsidP="000D4F37">
      <w:pPr>
        <w:pStyle w:val="NoSpacing"/>
        <w:spacing w:after="120" w:line="360" w:lineRule="auto"/>
        <w:jc w:val="both"/>
        <w:rPr>
          <w:rFonts w:ascii="Arial" w:hAnsi="Arial" w:cs="Arial"/>
          <w:sz w:val="24"/>
          <w:szCs w:val="24"/>
        </w:rPr>
      </w:pPr>
      <w:r w:rsidRPr="00814751">
        <w:rPr>
          <w:rFonts w:ascii="Arial" w:hAnsi="Arial" w:cs="Arial"/>
          <w:sz w:val="24"/>
          <w:szCs w:val="24"/>
        </w:rPr>
        <w:t xml:space="preserve">           Linseed (</w:t>
      </w:r>
      <w:proofErr w:type="spellStart"/>
      <w:r w:rsidRPr="00814751">
        <w:rPr>
          <w:rFonts w:ascii="Arial" w:hAnsi="Arial" w:cs="Arial"/>
          <w:i/>
          <w:iCs/>
          <w:sz w:val="24"/>
          <w:szCs w:val="24"/>
        </w:rPr>
        <w:t>Linum</w:t>
      </w:r>
      <w:proofErr w:type="spellEnd"/>
      <w:r w:rsidRPr="00814751">
        <w:rPr>
          <w:rFonts w:ascii="Arial" w:hAnsi="Arial" w:cs="Arial"/>
          <w:i/>
          <w:iCs/>
          <w:sz w:val="24"/>
          <w:szCs w:val="24"/>
        </w:rPr>
        <w:t xml:space="preserve"> </w:t>
      </w:r>
      <w:proofErr w:type="spellStart"/>
      <w:r w:rsidRPr="00814751">
        <w:rPr>
          <w:rFonts w:ascii="Arial" w:hAnsi="Arial" w:cs="Arial"/>
          <w:i/>
          <w:iCs/>
          <w:sz w:val="24"/>
          <w:szCs w:val="24"/>
        </w:rPr>
        <w:t>usitatissimum</w:t>
      </w:r>
      <w:proofErr w:type="spellEnd"/>
      <w:r w:rsidRPr="00814751">
        <w:rPr>
          <w:rFonts w:ascii="Arial" w:hAnsi="Arial" w:cs="Arial"/>
          <w:i/>
          <w:iCs/>
          <w:sz w:val="24"/>
          <w:szCs w:val="24"/>
        </w:rPr>
        <w:t xml:space="preserve"> </w:t>
      </w:r>
      <w:r w:rsidRPr="00814751">
        <w:rPr>
          <w:rFonts w:ascii="Arial" w:hAnsi="Arial" w:cs="Arial"/>
          <w:sz w:val="24"/>
          <w:szCs w:val="24"/>
        </w:rPr>
        <w:t xml:space="preserve">L.) 2n = 30, is an important oilseed crop that belongs to the genus linum of the family </w:t>
      </w:r>
      <w:proofErr w:type="spellStart"/>
      <w:r w:rsidRPr="00814751">
        <w:rPr>
          <w:rFonts w:ascii="Arial" w:hAnsi="Arial" w:cs="Arial"/>
          <w:sz w:val="24"/>
          <w:szCs w:val="24"/>
        </w:rPr>
        <w:t>Linaceae</w:t>
      </w:r>
      <w:proofErr w:type="spellEnd"/>
      <w:r w:rsidRPr="00814751">
        <w:rPr>
          <w:rFonts w:ascii="Arial" w:hAnsi="Arial" w:cs="Arial"/>
          <w:sz w:val="24"/>
          <w:szCs w:val="24"/>
        </w:rPr>
        <w:t xml:space="preserve">. It is also called flax or flaxseed. The name </w:t>
      </w:r>
      <w:proofErr w:type="spellStart"/>
      <w:r w:rsidRPr="00814751">
        <w:rPr>
          <w:rFonts w:ascii="Arial" w:hAnsi="Arial" w:cs="Arial"/>
          <w:sz w:val="24"/>
          <w:szCs w:val="24"/>
        </w:rPr>
        <w:t>Linum</w:t>
      </w:r>
      <w:proofErr w:type="spellEnd"/>
      <w:r w:rsidRPr="00814751">
        <w:rPr>
          <w:rFonts w:ascii="Arial" w:hAnsi="Arial" w:cs="Arial"/>
          <w:sz w:val="24"/>
          <w:szCs w:val="24"/>
        </w:rPr>
        <w:t xml:space="preserve"> originated from </w:t>
      </w:r>
      <w:proofErr w:type="spellStart"/>
      <w:r w:rsidRPr="00814751">
        <w:rPr>
          <w:rFonts w:ascii="Arial" w:hAnsi="Arial" w:cs="Arial"/>
          <w:sz w:val="24"/>
          <w:szCs w:val="24"/>
        </w:rPr>
        <w:t>lin</w:t>
      </w:r>
      <w:proofErr w:type="spellEnd"/>
      <w:r w:rsidRPr="00814751">
        <w:rPr>
          <w:rFonts w:ascii="Arial" w:hAnsi="Arial" w:cs="Arial"/>
          <w:sz w:val="24"/>
          <w:szCs w:val="24"/>
        </w:rPr>
        <w:t xml:space="preserve"> or thread and the species name </w:t>
      </w:r>
      <w:proofErr w:type="spellStart"/>
      <w:r w:rsidRPr="00814751">
        <w:rPr>
          <w:rFonts w:ascii="Arial" w:hAnsi="Arial" w:cs="Arial"/>
          <w:sz w:val="24"/>
          <w:szCs w:val="24"/>
        </w:rPr>
        <w:t>usitatissimum</w:t>
      </w:r>
      <w:proofErr w:type="spellEnd"/>
      <w:r w:rsidRPr="00814751">
        <w:rPr>
          <w:rFonts w:ascii="Arial" w:hAnsi="Arial" w:cs="Arial"/>
          <w:sz w:val="24"/>
          <w:szCs w:val="24"/>
        </w:rPr>
        <w:t xml:space="preserve"> is a </w:t>
      </w:r>
      <w:proofErr w:type="spellStart"/>
      <w:r w:rsidRPr="00814751">
        <w:rPr>
          <w:rFonts w:ascii="Arial" w:hAnsi="Arial" w:cs="Arial"/>
          <w:sz w:val="24"/>
          <w:szCs w:val="24"/>
        </w:rPr>
        <w:t>latin</w:t>
      </w:r>
      <w:proofErr w:type="spellEnd"/>
      <w:r w:rsidRPr="00814751">
        <w:rPr>
          <w:rFonts w:ascii="Arial" w:hAnsi="Arial" w:cs="Arial"/>
          <w:sz w:val="24"/>
          <w:szCs w:val="24"/>
        </w:rPr>
        <w:t xml:space="preserve"> word meaning “most useful”. On the basis of diversity of plant types, linseed has two centers of origin i.e., South West Asia, particularly in India </w:t>
      </w:r>
      <w:r w:rsidR="000A36E4">
        <w:rPr>
          <w:rFonts w:ascii="Arial" w:hAnsi="Arial" w:cs="Arial"/>
          <w:sz w:val="24"/>
          <w:szCs w:val="24"/>
        </w:rPr>
        <w:t>(</w:t>
      </w:r>
      <w:r w:rsidR="002F3B0E"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{"citationItems":[{"id":"ITEM-1","itemData":{"author":[{"dropping-particle":"","family":"Richharia","given":"R H","non-dropping-particle":"","parse-names":false,"suffix":""}],"container-title":"Studies on the origin of cultivated plants. Bot. Pl. Breed.","id":"ITEM-1","issued":{"date-parts":[["1962"]]},"page":"139-145","title":"The Indian central oil seeds committee, Hyderabad,","type":"article-journal","volume":"16"},"uris":["http://www.mendeley.com/documents/?uuid=21481891-4d7d-4eac-9ba5-dcb1bdf41137"]}],"mendeley":{"formattedCitation":"(Richharia, 1962)","manualFormatting":"Richharia et al., 1962)","plainTextFormattedCitation":"(Richharia, 1962)","previouslyFormattedCitation":"(Richharia, 1962)"},"properties":{"noteIndex":0},"schema":"https://github.com/citation-style-language/schema/raw/master/csl-citation.json"}</w:instrText>
      </w:r>
      <w:r w:rsidR="002F3B0E" w:rsidRPr="00814751">
        <w:rPr>
          <w:rFonts w:ascii="Arial" w:hAnsi="Arial" w:cs="Arial"/>
          <w:sz w:val="24"/>
          <w:szCs w:val="24"/>
        </w:rPr>
        <w:fldChar w:fldCharType="separate"/>
      </w:r>
      <w:r w:rsidR="002F3B0E" w:rsidRPr="00814751">
        <w:rPr>
          <w:rFonts w:ascii="Arial" w:hAnsi="Arial" w:cs="Arial"/>
          <w:noProof/>
          <w:sz w:val="24"/>
          <w:szCs w:val="24"/>
        </w:rPr>
        <w:t>Richharia et al., 1962)</w:t>
      </w:r>
      <w:r w:rsidR="002F3B0E" w:rsidRPr="00814751">
        <w:rPr>
          <w:rFonts w:ascii="Arial" w:hAnsi="Arial" w:cs="Arial"/>
          <w:sz w:val="24"/>
          <w:szCs w:val="24"/>
        </w:rPr>
        <w:fldChar w:fldCharType="end"/>
      </w:r>
      <w:r w:rsidRPr="00814751">
        <w:rPr>
          <w:rFonts w:ascii="Arial" w:hAnsi="Arial" w:cs="Arial"/>
          <w:sz w:val="24"/>
          <w:szCs w:val="24"/>
        </w:rPr>
        <w:t xml:space="preserve">. Flax seeds are added to chutneys and breads like chapattis and parathas. Flax seeds are also substituted for eggs since; they form a gummy solution when mixed with water. However, modern diet is deficient in crucial omega-3 fatty acid, leading to increase in severity and incidences of several chronic metabolic disorders </w:t>
      </w:r>
      <w:r w:rsidR="000A36E4">
        <w:rPr>
          <w:rFonts w:ascii="Arial" w:hAnsi="Arial" w:cs="Arial"/>
          <w:sz w:val="24"/>
          <w:szCs w:val="24"/>
        </w:rPr>
        <w:t>(</w:t>
      </w:r>
      <w:r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10.1007/s13197-013-1247-9","ISSN":"0022-1155","author":[{"dropping-particle":"","family":"Goyal","given":"Ankit","non-dropping-particle":"","parse-names":false,"suffix":""},{"dropping-particle":"","family":"Sharma","given":"Vivek","non-dropping-particle":"","parse-names":false,"suffix":""},{"dropping-particle":"","family":"Upadhyay","given":"Neelam","non-dropping-particle":"","parse-names":false,"suffix":""},{"dropping-particle":"","family":"Gill","given":"Sandeep","non-dropping-particle":"","parse-names":false,"suffix":""},{"dropping-particle":"","family":"Sihag","given":"Manvesh","non-dropping-particle":"","parse-names":false,"suffix":""}],"container-title":"Journal of Food Science and Technology","id":"ITEM-1","issue":"9","issued":{"date-parts":[["2014","9","10"]]},"page":"1633-1653","title":"Flax and flaxseed oil: an ancient medicine &amp; modern functional food","type":"article-journal","volume":"51"},"uris":["http://www.mendeley.com/documents/?uuid=10abb72c-f5e3-4b4a-b234-267b0fc9db7f"]}],"mendeley":{"formattedCitation":"(Goyal et al., 2014)","manualFormatting":"Goyal et al., 2014)","plainTextFormattedCitation":"(Goyal et al., 2014)","previouslyFormattedCitation":"(Goyal et al., 2014)"},"properties":{"noteIndex":0},"schema":"https://github.com/citation-style-language/schema/raw/master/csl-citation.json"}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Goyal et al., 2014)</w:t>
      </w:r>
      <w:r w:rsidRPr="00814751">
        <w:rPr>
          <w:rFonts w:ascii="Arial" w:hAnsi="Arial" w:cs="Arial"/>
          <w:sz w:val="24"/>
          <w:szCs w:val="24"/>
        </w:rPr>
        <w:fldChar w:fldCharType="end"/>
      </w:r>
      <w:r w:rsidRPr="00814751">
        <w:rPr>
          <w:rFonts w:ascii="Arial" w:hAnsi="Arial" w:cs="Arial"/>
          <w:sz w:val="24"/>
          <w:szCs w:val="24"/>
        </w:rPr>
        <w:t>. The important fatty acid viz. alpha-linolenic acid (ALA) a polyunsaturated fatty acid, often known as omega-3 fatty acid, which is abundant in linseed, have an important function in lowering the  risk  of  heart  disease,  diabetes,  cancer,  rheumatoid  arthritis,  blood cholesterol  levels  and  providing  immune  and  cardiovascular advantages</w:t>
      </w:r>
      <w:r w:rsidR="000A36E4">
        <w:rPr>
          <w:rFonts w:ascii="Arial" w:hAnsi="Arial" w:cs="Arial"/>
          <w:sz w:val="24"/>
          <w:szCs w:val="24"/>
        </w:rPr>
        <w:t xml:space="preserve"> (</w:t>
      </w:r>
      <w:r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10.15414/2016.9788055214849","ISBN":"9788055214849","author":[{"dropping-particle":"","family":"Nôžková","given":"Janka","non-dropping-particle":"","parse-names":false,"suffix":""}],"editor":[{"dropping-particle":"","family":"Nôžková","given":"Janka","non-dropping-particle":"","parse-names":false,"suffix":""}],"id":"ITEM-1","issued":{"date-parts":[["2016","9","12"]]},"publisher":"Slovak University of Agriculture in Nitra, Slovakia","title":"Descriptor list for flax (Linum usitatissimum L.)","type":"article-magazine"},"uris":["http://www.mendeley.com/documents/?uuid=f06b17d8-5079-45e5-9387-5dfd3647ac93"]}],"mendeley":{"formattedCitation":"(Nôžková, 2016)","manualFormatting":"Nôžková et al., 2016)","plainTextFormattedCitation":"(Nôžková, 2016)","previouslyFormattedCitation":"(Nôžková, 2016)"},"properties":{"noteIndex":0},"schema":"https://github.com/citation-style-language/schema/raw/master/csl-citation.json"}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Nôžková et al.,</w:t>
      </w:r>
      <w:r w:rsidR="00D23C79">
        <w:rPr>
          <w:rFonts w:ascii="Arial" w:hAnsi="Arial" w:cs="Arial"/>
          <w:noProof/>
          <w:sz w:val="24"/>
          <w:szCs w:val="24"/>
        </w:rPr>
        <w:t xml:space="preserve"> </w:t>
      </w:r>
      <w:r w:rsidRPr="00814751">
        <w:rPr>
          <w:rFonts w:ascii="Arial" w:hAnsi="Arial" w:cs="Arial"/>
          <w:noProof/>
          <w:sz w:val="24"/>
          <w:szCs w:val="24"/>
        </w:rPr>
        <w:t>2016)</w:t>
      </w:r>
      <w:r w:rsidRPr="00814751">
        <w:rPr>
          <w:rFonts w:ascii="Arial" w:hAnsi="Arial" w:cs="Arial"/>
          <w:sz w:val="24"/>
          <w:szCs w:val="24"/>
        </w:rPr>
        <w:fldChar w:fldCharType="end"/>
      </w:r>
      <w:r w:rsidRPr="00814751">
        <w:rPr>
          <w:rFonts w:ascii="Arial" w:hAnsi="Arial" w:cs="Arial"/>
          <w:sz w:val="24"/>
          <w:szCs w:val="24"/>
        </w:rPr>
        <w:t>.</w:t>
      </w:r>
      <w:r w:rsidR="00E413E3">
        <w:rPr>
          <w:rFonts w:ascii="Arial" w:hAnsi="Arial" w:cs="Arial"/>
          <w:sz w:val="24"/>
          <w:szCs w:val="24"/>
        </w:rPr>
        <w:t xml:space="preserve"> </w:t>
      </w:r>
      <w:r w:rsidRPr="00814751">
        <w:rPr>
          <w:rFonts w:ascii="Arial" w:hAnsi="Arial" w:cs="Arial"/>
          <w:sz w:val="24"/>
          <w:szCs w:val="24"/>
        </w:rPr>
        <w:lastRenderedPageBreak/>
        <w:t>Nutritionally,</w:t>
      </w:r>
      <w:r w:rsidR="00E413E3">
        <w:rPr>
          <w:rFonts w:ascii="Arial" w:hAnsi="Arial" w:cs="Arial"/>
          <w:sz w:val="24"/>
          <w:szCs w:val="24"/>
        </w:rPr>
        <w:t xml:space="preserve"> </w:t>
      </w:r>
      <w:r w:rsidRPr="00814751">
        <w:rPr>
          <w:rFonts w:ascii="Arial" w:hAnsi="Arial" w:cs="Arial"/>
          <w:sz w:val="24"/>
          <w:szCs w:val="24"/>
        </w:rPr>
        <w:t xml:space="preserve">linseed is considered a functional food due to its high content of alpha-linolenic acid (ALA), an omega-3 fatty acid, as well as dietary fiber, </w:t>
      </w:r>
      <w:proofErr w:type="spellStart"/>
      <w:r w:rsidRPr="00814751">
        <w:rPr>
          <w:rFonts w:ascii="Arial" w:hAnsi="Arial" w:cs="Arial"/>
          <w:sz w:val="24"/>
          <w:szCs w:val="24"/>
        </w:rPr>
        <w:t>lignans</w:t>
      </w:r>
      <w:proofErr w:type="spellEnd"/>
      <w:r w:rsidRPr="00814751">
        <w:rPr>
          <w:rFonts w:ascii="Arial" w:hAnsi="Arial" w:cs="Arial"/>
          <w:sz w:val="24"/>
          <w:szCs w:val="24"/>
        </w:rPr>
        <w:t xml:space="preserve">, and high-quality </w:t>
      </w:r>
      <w:proofErr w:type="spellStart"/>
      <w:r w:rsidRPr="00814751">
        <w:rPr>
          <w:rFonts w:ascii="Arial" w:hAnsi="Arial" w:cs="Arial"/>
          <w:sz w:val="24"/>
          <w:szCs w:val="24"/>
        </w:rPr>
        <w:t>proteins.These</w:t>
      </w:r>
      <w:proofErr w:type="spellEnd"/>
      <w:r w:rsidRPr="00814751">
        <w:rPr>
          <w:rFonts w:ascii="Arial" w:hAnsi="Arial" w:cs="Arial"/>
          <w:sz w:val="24"/>
          <w:szCs w:val="24"/>
        </w:rPr>
        <w:t xml:space="preserve"> components are associated with various health benefits including cardiovascular protection, anti-inflammatory properties, and support for digestive health </w:t>
      </w:r>
      <w:r w:rsidR="009C09A2"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{"citationItems":[{"id":"ITEM-1","itemData":{"DOI":"10.1080/10408390903537241","ISSN":"1040-8398","author":[{"dropping-particle":"","family":"Singh","given":"K K","non-dropping-particle":"","parse-names":false,"suffix":""},{"dropping-particle":"","family":"Mridula","given":"D","non-dropping-particle":"","parse-names":false,"suffix":""},{"dropping-particle":"","family":"Rehal","given":"Jagbir","non-dropping-particle":"","parse-names":false,"suffix":""},{"dropping-particle":"","family":"Barnwal","given":"P","non-dropping-particle":"","parse-names":false,"suffix":""}],"container-title":"Critical Reviews in Food Science and Nutrition","id":"ITEM-1","issue":"3","issued":{"date-parts":[["2011","2","28"]]},"page":"210-222","title":"Flaxseed: a potential source of food, feed and fiber","type":"article-journal","volume":"51"},"uris":["http://www.mendeley.com/documents/?uuid=e8a010b6-f663-48cc-a8e0-c48d8699bfc1"]}],"mendeley":{"formattedCitation":"(K. K. Singh et al., 2011)","manualFormatting":" (Singh et al., 2011)","plainTextFormattedCitation":"(K. K. Singh et al., 2011)","previouslyFormattedCitation":"(K. K. Singh et al., 2011)"},"properties":{"noteIndex":0},"schema":"https://github.com/citation-style-language/schema/raw/master/csl-citation.json"}</w:instrText>
      </w:r>
      <w:r w:rsidR="009C09A2" w:rsidRPr="00814751">
        <w:rPr>
          <w:rFonts w:ascii="Arial" w:hAnsi="Arial" w:cs="Arial"/>
          <w:sz w:val="24"/>
          <w:szCs w:val="24"/>
        </w:rPr>
        <w:fldChar w:fldCharType="separate"/>
      </w:r>
      <w:r w:rsidR="009C09A2" w:rsidRPr="00814751">
        <w:rPr>
          <w:rFonts w:ascii="Arial" w:hAnsi="Arial" w:cs="Arial"/>
          <w:noProof/>
          <w:sz w:val="24"/>
          <w:szCs w:val="24"/>
        </w:rPr>
        <w:t xml:space="preserve"> </w:t>
      </w:r>
      <w:r w:rsidR="000A36E4">
        <w:rPr>
          <w:rFonts w:ascii="Arial" w:hAnsi="Arial" w:cs="Arial"/>
          <w:noProof/>
          <w:sz w:val="24"/>
          <w:szCs w:val="24"/>
        </w:rPr>
        <w:t>(</w:t>
      </w:r>
      <w:r w:rsidR="009C09A2" w:rsidRPr="00814751">
        <w:rPr>
          <w:rFonts w:ascii="Arial" w:hAnsi="Arial" w:cs="Arial"/>
          <w:noProof/>
          <w:sz w:val="24"/>
          <w:szCs w:val="24"/>
        </w:rPr>
        <w:t>Singh et al., 2011)</w:t>
      </w:r>
      <w:r w:rsidR="009C09A2" w:rsidRPr="00814751">
        <w:rPr>
          <w:rFonts w:ascii="Arial" w:hAnsi="Arial" w:cs="Arial"/>
          <w:sz w:val="24"/>
          <w:szCs w:val="24"/>
        </w:rPr>
        <w:fldChar w:fldCharType="end"/>
      </w:r>
      <w:r w:rsidRPr="00814751">
        <w:rPr>
          <w:rFonts w:ascii="Arial" w:hAnsi="Arial" w:cs="Arial"/>
          <w:sz w:val="24"/>
          <w:szCs w:val="24"/>
        </w:rPr>
        <w:t>.</w:t>
      </w:r>
    </w:p>
    <w:p w14:paraId="051AD1BF" w14:textId="2A2D2589" w:rsidR="009B7762" w:rsidRPr="00814751" w:rsidRDefault="009B7762" w:rsidP="000D4F37">
      <w:pPr>
        <w:pStyle w:val="NoSpacing"/>
        <w:spacing w:after="120" w:line="360" w:lineRule="auto"/>
        <w:jc w:val="both"/>
        <w:rPr>
          <w:rFonts w:ascii="Arial" w:hAnsi="Arial" w:cs="Arial"/>
          <w:sz w:val="24"/>
          <w:szCs w:val="24"/>
        </w:rPr>
      </w:pPr>
      <w:r w:rsidRPr="00814751">
        <w:rPr>
          <w:rFonts w:ascii="Arial" w:hAnsi="Arial" w:cs="Arial"/>
          <w:sz w:val="24"/>
          <w:szCs w:val="24"/>
        </w:rPr>
        <w:t>Flax seeds has 7% water, 18% </w:t>
      </w:r>
      <w:hyperlink r:id="rId10" w:tooltip="Protein (nutrient)" w:history="1">
        <w:r w:rsidRPr="00814751">
          <w:rPr>
            <w:rStyle w:val="Hyperlink"/>
            <w:rFonts w:ascii="Arial" w:hAnsi="Arial" w:cs="Arial"/>
            <w:color w:val="0D0D0D" w:themeColor="text1" w:themeTint="F2"/>
            <w:sz w:val="24"/>
            <w:szCs w:val="24"/>
            <w:u w:val="none"/>
          </w:rPr>
          <w:t>protein</w:t>
        </w:r>
      </w:hyperlink>
      <w:r w:rsidRPr="00814751">
        <w:rPr>
          <w:rFonts w:ascii="Arial" w:hAnsi="Arial" w:cs="Arial"/>
          <w:color w:val="0D0D0D" w:themeColor="text1" w:themeTint="F2"/>
          <w:sz w:val="24"/>
          <w:szCs w:val="24"/>
        </w:rPr>
        <w:t>, 29% </w:t>
      </w:r>
      <w:hyperlink r:id="rId11" w:tooltip="Carbohydrate" w:history="1">
        <w:r w:rsidRPr="00814751">
          <w:rPr>
            <w:rStyle w:val="Hyperlink"/>
            <w:rFonts w:ascii="Arial" w:hAnsi="Arial" w:cs="Arial"/>
            <w:color w:val="0D0D0D" w:themeColor="text1" w:themeTint="F2"/>
            <w:sz w:val="24"/>
            <w:szCs w:val="24"/>
            <w:u w:val="none"/>
          </w:rPr>
          <w:t>carbohydrates</w:t>
        </w:r>
      </w:hyperlink>
      <w:r w:rsidRPr="00814751">
        <w:rPr>
          <w:rFonts w:ascii="Arial" w:hAnsi="Arial" w:cs="Arial"/>
          <w:color w:val="0D0D0D" w:themeColor="text1" w:themeTint="F2"/>
          <w:sz w:val="24"/>
          <w:szCs w:val="24"/>
        </w:rPr>
        <w:t>, and 42% </w:t>
      </w:r>
      <w:hyperlink r:id="rId12" w:tooltip="Fat" w:history="1">
        <w:r w:rsidRPr="00814751">
          <w:rPr>
            <w:rStyle w:val="Hyperlink"/>
            <w:rFonts w:ascii="Arial" w:hAnsi="Arial" w:cs="Arial"/>
            <w:color w:val="0D0D0D" w:themeColor="text1" w:themeTint="F2"/>
            <w:sz w:val="24"/>
            <w:szCs w:val="24"/>
            <w:u w:val="none"/>
          </w:rPr>
          <w:t>fat</w:t>
        </w:r>
      </w:hyperlink>
      <w:r w:rsidRPr="00814751">
        <w:rPr>
          <w:rFonts w:ascii="Arial" w:hAnsi="Arial" w:cs="Arial"/>
          <w:color w:val="0D0D0D" w:themeColor="text1" w:themeTint="F2"/>
          <w:sz w:val="24"/>
          <w:szCs w:val="24"/>
        </w:rPr>
        <w:t>  in 100 grams as a reference amount. Flax seeds provide 534 </w:t>
      </w:r>
      <w:hyperlink r:id="rId13" w:tooltip="Kilocalorie" w:history="1">
        <w:r w:rsidRPr="00814751">
          <w:rPr>
            <w:rStyle w:val="Hyperlink"/>
            <w:rFonts w:ascii="Arial" w:hAnsi="Arial" w:cs="Arial"/>
            <w:color w:val="0D0D0D" w:themeColor="text1" w:themeTint="F2"/>
            <w:sz w:val="24"/>
            <w:szCs w:val="24"/>
            <w:u w:val="none"/>
          </w:rPr>
          <w:t>kilocalories</w:t>
        </w:r>
      </w:hyperlink>
      <w:r w:rsidRPr="00814751">
        <w:rPr>
          <w:rFonts w:ascii="Arial" w:hAnsi="Arial" w:cs="Arial"/>
          <w:color w:val="0D0D0D" w:themeColor="text1" w:themeTint="F2"/>
          <w:sz w:val="24"/>
          <w:szCs w:val="24"/>
        </w:rPr>
        <w:t> and contain high levels (20% or more of the </w:t>
      </w:r>
      <w:hyperlink r:id="rId14" w:tooltip="Daily Value" w:history="1">
        <w:r w:rsidRPr="00814751">
          <w:rPr>
            <w:rStyle w:val="Hyperlink"/>
            <w:rFonts w:ascii="Arial" w:hAnsi="Arial" w:cs="Arial"/>
            <w:color w:val="0D0D0D" w:themeColor="text1" w:themeTint="F2"/>
            <w:sz w:val="24"/>
            <w:szCs w:val="24"/>
            <w:u w:val="none"/>
          </w:rPr>
          <w:t>daily value</w:t>
        </w:r>
      </w:hyperlink>
      <w:r w:rsidRPr="00814751">
        <w:rPr>
          <w:rFonts w:ascii="Arial" w:hAnsi="Arial" w:cs="Arial"/>
          <w:color w:val="0D0D0D" w:themeColor="text1" w:themeTint="F2"/>
          <w:sz w:val="24"/>
          <w:szCs w:val="24"/>
        </w:rPr>
        <w:t>, (DV) of protein, </w:t>
      </w:r>
      <w:hyperlink r:id="rId15" w:tooltip="Dietary fiber" w:history="1">
        <w:r w:rsidRPr="00814751">
          <w:rPr>
            <w:rStyle w:val="Hyperlink"/>
            <w:rFonts w:ascii="Arial" w:hAnsi="Arial" w:cs="Arial"/>
            <w:color w:val="0D0D0D" w:themeColor="text1" w:themeTint="F2"/>
            <w:sz w:val="24"/>
            <w:szCs w:val="24"/>
            <w:u w:val="none"/>
          </w:rPr>
          <w:t>dietary fiber</w:t>
        </w:r>
      </w:hyperlink>
      <w:r w:rsidRPr="00814751">
        <w:rPr>
          <w:rFonts w:ascii="Arial" w:hAnsi="Arial" w:cs="Arial"/>
          <w:color w:val="0D0D0D" w:themeColor="text1" w:themeTint="F2"/>
          <w:sz w:val="24"/>
          <w:szCs w:val="24"/>
        </w:rPr>
        <w:t xml:space="preserve">, vitamins-B and </w:t>
      </w:r>
      <w:hyperlink r:id="rId16" w:tooltip="Dietary minerals" w:history="1">
        <w:r w:rsidRPr="00814751">
          <w:rPr>
            <w:rStyle w:val="Hyperlink"/>
            <w:rFonts w:ascii="Arial" w:hAnsi="Arial" w:cs="Arial"/>
            <w:color w:val="0D0D0D" w:themeColor="text1" w:themeTint="F2"/>
            <w:sz w:val="24"/>
            <w:szCs w:val="24"/>
            <w:u w:val="none"/>
          </w:rPr>
          <w:t>dietary minerals</w:t>
        </w:r>
      </w:hyperlink>
      <w:r w:rsidRPr="00814751">
        <w:rPr>
          <w:rFonts w:ascii="Arial" w:hAnsi="Arial" w:cs="Arial"/>
          <w:color w:val="0D0D0D" w:themeColor="text1" w:themeTint="F2"/>
          <w:sz w:val="24"/>
          <w:szCs w:val="24"/>
        </w:rPr>
        <w:t>. It is especially rich in </w:t>
      </w:r>
      <w:hyperlink r:id="rId17" w:tooltip="Thiamine" w:history="1">
        <w:r w:rsidRPr="00814751">
          <w:rPr>
            <w:rStyle w:val="Hyperlink"/>
            <w:rFonts w:ascii="Arial" w:hAnsi="Arial" w:cs="Arial"/>
            <w:color w:val="0D0D0D" w:themeColor="text1" w:themeTint="F2"/>
            <w:sz w:val="24"/>
            <w:szCs w:val="24"/>
            <w:u w:val="none"/>
          </w:rPr>
          <w:t>thiamine</w:t>
        </w:r>
      </w:hyperlink>
      <w:r w:rsidRPr="00814751">
        <w:rPr>
          <w:rFonts w:ascii="Arial" w:hAnsi="Arial" w:cs="Arial"/>
          <w:color w:val="0D0D0D" w:themeColor="text1" w:themeTint="F2"/>
          <w:sz w:val="24"/>
          <w:szCs w:val="24"/>
        </w:rPr>
        <w:t>, </w:t>
      </w:r>
      <w:hyperlink r:id="rId18" w:tooltip="Magnesium" w:history="1">
        <w:r w:rsidRPr="00814751">
          <w:rPr>
            <w:rStyle w:val="Hyperlink"/>
            <w:rFonts w:ascii="Arial" w:hAnsi="Arial" w:cs="Arial"/>
            <w:color w:val="0D0D0D" w:themeColor="text1" w:themeTint="F2"/>
            <w:sz w:val="24"/>
            <w:szCs w:val="24"/>
            <w:u w:val="none"/>
          </w:rPr>
          <w:t>magnesium</w:t>
        </w:r>
      </w:hyperlink>
      <w:r w:rsidRPr="00814751">
        <w:rPr>
          <w:rFonts w:ascii="Arial" w:hAnsi="Arial" w:cs="Arial"/>
          <w:color w:val="0D0D0D" w:themeColor="text1" w:themeTint="F2"/>
          <w:sz w:val="24"/>
          <w:szCs w:val="24"/>
        </w:rPr>
        <w:t>, and </w:t>
      </w:r>
      <w:hyperlink r:id="rId19" w:tooltip="Phosphorus" w:history="1">
        <w:r w:rsidRPr="00814751">
          <w:rPr>
            <w:rStyle w:val="Hyperlink"/>
            <w:rFonts w:ascii="Arial" w:hAnsi="Arial" w:cs="Arial"/>
            <w:color w:val="0D0D0D" w:themeColor="text1" w:themeTint="F2"/>
            <w:sz w:val="24"/>
            <w:szCs w:val="24"/>
            <w:u w:val="none"/>
          </w:rPr>
          <w:t>phosphorus</w:t>
        </w:r>
      </w:hyperlink>
      <w:r w:rsidRPr="00814751">
        <w:rPr>
          <w:rFonts w:ascii="Arial" w:hAnsi="Arial" w:cs="Arial"/>
          <w:color w:val="0D0D0D" w:themeColor="text1" w:themeTint="F2"/>
          <w:sz w:val="24"/>
          <w:szCs w:val="24"/>
        </w:rPr>
        <w:t xml:space="preserve"> (DVs above 90%). </w:t>
      </w:r>
      <w:r w:rsidR="000D4F37">
        <w:rPr>
          <w:rFonts w:ascii="Arial" w:hAnsi="Arial" w:cs="Arial"/>
          <w:color w:val="0D0D0D" w:themeColor="text1" w:themeTint="F2"/>
          <w:sz w:val="24"/>
          <w:szCs w:val="24"/>
        </w:rPr>
        <w:t xml:space="preserve"> </w:t>
      </w:r>
      <w:r w:rsidRPr="00814751">
        <w:rPr>
          <w:rFonts w:ascii="Arial" w:hAnsi="Arial" w:cs="Arial"/>
          <w:color w:val="0D0D0D" w:themeColor="text1" w:themeTint="F2"/>
          <w:sz w:val="24"/>
          <w:szCs w:val="24"/>
        </w:rPr>
        <w:t>As a percentage of total </w:t>
      </w:r>
      <w:hyperlink r:id="rId20" w:tooltip="Fat" w:history="1">
        <w:r w:rsidRPr="00814751">
          <w:rPr>
            <w:rStyle w:val="Hyperlink"/>
            <w:rFonts w:ascii="Arial" w:hAnsi="Arial" w:cs="Arial"/>
            <w:color w:val="0D0D0D" w:themeColor="text1" w:themeTint="F2"/>
            <w:sz w:val="24"/>
            <w:szCs w:val="24"/>
            <w:u w:val="none"/>
          </w:rPr>
          <w:t>fat</w:t>
        </w:r>
      </w:hyperlink>
      <w:r w:rsidRPr="00814751">
        <w:rPr>
          <w:rFonts w:ascii="Arial" w:hAnsi="Arial" w:cs="Arial"/>
          <w:color w:val="0D0D0D" w:themeColor="text1" w:themeTint="F2"/>
          <w:sz w:val="24"/>
          <w:szCs w:val="24"/>
        </w:rPr>
        <w:t>, flax seeds contain 54% omega-3 fatty acids (mostly </w:t>
      </w:r>
      <w:hyperlink r:id="rId21" w:tooltip="Alpha-Linolenic acid" w:history="1">
        <w:r w:rsidRPr="00814751">
          <w:rPr>
            <w:rStyle w:val="Hyperlink"/>
            <w:rFonts w:ascii="Arial" w:hAnsi="Arial" w:cs="Arial"/>
            <w:color w:val="0D0D0D" w:themeColor="text1" w:themeTint="F2"/>
            <w:sz w:val="24"/>
            <w:szCs w:val="24"/>
            <w:u w:val="none"/>
          </w:rPr>
          <w:t>ALA</w:t>
        </w:r>
      </w:hyperlink>
      <w:r w:rsidRPr="00814751">
        <w:rPr>
          <w:rFonts w:ascii="Arial" w:hAnsi="Arial" w:cs="Arial"/>
          <w:color w:val="0D0D0D" w:themeColor="text1" w:themeTint="F2"/>
          <w:sz w:val="24"/>
          <w:szCs w:val="24"/>
        </w:rPr>
        <w:t>),</w:t>
      </w:r>
      <w:r w:rsidR="000D4F37">
        <w:rPr>
          <w:rFonts w:ascii="Arial" w:hAnsi="Arial" w:cs="Arial"/>
          <w:color w:val="0D0D0D" w:themeColor="text1" w:themeTint="F2"/>
          <w:sz w:val="24"/>
          <w:szCs w:val="24"/>
        </w:rPr>
        <w:t xml:space="preserve"> </w:t>
      </w:r>
      <w:r w:rsidRPr="00814751">
        <w:rPr>
          <w:rFonts w:ascii="Arial" w:hAnsi="Arial" w:cs="Arial"/>
          <w:color w:val="0D0D0D" w:themeColor="text1" w:themeTint="F2"/>
          <w:sz w:val="24"/>
          <w:szCs w:val="24"/>
        </w:rPr>
        <w:t>18% </w:t>
      </w:r>
      <w:hyperlink r:id="rId22" w:tooltip="Omega-9 fatty acids" w:history="1">
        <w:r w:rsidRPr="00814751">
          <w:rPr>
            <w:rStyle w:val="Hyperlink"/>
            <w:rFonts w:ascii="Arial" w:hAnsi="Arial" w:cs="Arial"/>
            <w:color w:val="0D0D0D" w:themeColor="text1" w:themeTint="F2"/>
            <w:sz w:val="24"/>
            <w:szCs w:val="24"/>
            <w:u w:val="none"/>
          </w:rPr>
          <w:t>omega-9 fatty acids</w:t>
        </w:r>
      </w:hyperlink>
      <w:r w:rsidRPr="00814751">
        <w:rPr>
          <w:rFonts w:ascii="Arial" w:hAnsi="Arial" w:cs="Arial"/>
          <w:color w:val="0D0D0D" w:themeColor="text1" w:themeTint="F2"/>
          <w:sz w:val="24"/>
          <w:szCs w:val="24"/>
        </w:rPr>
        <w:t> (</w:t>
      </w:r>
      <w:hyperlink r:id="rId23" w:tooltip="Oleic acid" w:history="1">
        <w:r w:rsidRPr="00814751">
          <w:rPr>
            <w:rStyle w:val="Hyperlink"/>
            <w:rFonts w:ascii="Arial" w:hAnsi="Arial" w:cs="Arial"/>
            <w:color w:val="0D0D0D" w:themeColor="text1" w:themeTint="F2"/>
            <w:sz w:val="24"/>
            <w:szCs w:val="24"/>
            <w:u w:val="none"/>
          </w:rPr>
          <w:t>oleic acid</w:t>
        </w:r>
      </w:hyperlink>
      <w:r w:rsidRPr="00814751">
        <w:rPr>
          <w:rFonts w:ascii="Arial" w:hAnsi="Arial" w:cs="Arial"/>
          <w:color w:val="0D0D0D" w:themeColor="text1" w:themeTint="F2"/>
          <w:sz w:val="24"/>
          <w:szCs w:val="24"/>
        </w:rPr>
        <w:t>), and 6% </w:t>
      </w:r>
      <w:hyperlink r:id="rId24" w:tooltip="Omega-6 fatty acids" w:history="1">
        <w:r w:rsidRPr="00814751">
          <w:rPr>
            <w:rStyle w:val="Hyperlink"/>
            <w:rFonts w:ascii="Arial" w:hAnsi="Arial" w:cs="Arial"/>
            <w:color w:val="0D0D0D" w:themeColor="text1" w:themeTint="F2"/>
            <w:sz w:val="24"/>
            <w:szCs w:val="24"/>
            <w:u w:val="none"/>
          </w:rPr>
          <w:t>omega-6 fatty acids</w:t>
        </w:r>
      </w:hyperlink>
      <w:r w:rsidRPr="00814751">
        <w:rPr>
          <w:rFonts w:ascii="Arial" w:hAnsi="Arial" w:cs="Arial"/>
          <w:color w:val="0D0D0D" w:themeColor="text1" w:themeTint="F2"/>
          <w:sz w:val="24"/>
          <w:szCs w:val="24"/>
        </w:rPr>
        <w:t> (</w:t>
      </w:r>
      <w:hyperlink r:id="rId25" w:tooltip="Linoleic acid" w:history="1">
        <w:r w:rsidRPr="00814751">
          <w:rPr>
            <w:rStyle w:val="Hyperlink"/>
            <w:rFonts w:ascii="Arial" w:hAnsi="Arial" w:cs="Arial"/>
            <w:color w:val="0D0D0D" w:themeColor="text1" w:themeTint="F2"/>
            <w:sz w:val="24"/>
            <w:szCs w:val="24"/>
            <w:u w:val="none"/>
          </w:rPr>
          <w:t>linoleic acid</w:t>
        </w:r>
      </w:hyperlink>
      <w:r w:rsidRPr="00814751">
        <w:rPr>
          <w:rFonts w:ascii="Arial" w:hAnsi="Arial" w:cs="Arial"/>
          <w:color w:val="0D0D0D" w:themeColor="text1" w:themeTint="F2"/>
          <w:sz w:val="24"/>
          <w:szCs w:val="24"/>
        </w:rPr>
        <w:t>). The seeds contain 9% </w:t>
      </w:r>
      <w:hyperlink r:id="rId26" w:tooltip="Saturated fat" w:history="1">
        <w:r w:rsidRPr="00814751">
          <w:rPr>
            <w:rStyle w:val="Hyperlink"/>
            <w:rFonts w:ascii="Arial" w:hAnsi="Arial" w:cs="Arial"/>
            <w:color w:val="0D0D0D" w:themeColor="text1" w:themeTint="F2"/>
            <w:sz w:val="24"/>
            <w:szCs w:val="24"/>
            <w:u w:val="none"/>
          </w:rPr>
          <w:t>saturated fat</w:t>
        </w:r>
      </w:hyperlink>
      <w:r w:rsidRPr="00814751">
        <w:rPr>
          <w:rFonts w:ascii="Arial" w:hAnsi="Arial" w:cs="Arial"/>
          <w:color w:val="0D0D0D" w:themeColor="text1" w:themeTint="F2"/>
          <w:sz w:val="24"/>
          <w:szCs w:val="24"/>
        </w:rPr>
        <w:t>, including 5% as </w:t>
      </w:r>
      <w:hyperlink r:id="rId27" w:tooltip="Palmitic acid" w:history="1">
        <w:r w:rsidRPr="00814751">
          <w:rPr>
            <w:rStyle w:val="Hyperlink"/>
            <w:rFonts w:ascii="Arial" w:hAnsi="Arial" w:cs="Arial"/>
            <w:color w:val="0D0D0D" w:themeColor="text1" w:themeTint="F2"/>
            <w:sz w:val="24"/>
            <w:szCs w:val="24"/>
            <w:u w:val="none"/>
          </w:rPr>
          <w:t>palmitic acid</w:t>
        </w:r>
      </w:hyperlink>
      <w:r w:rsidRPr="00814751">
        <w:rPr>
          <w:rFonts w:ascii="Arial" w:hAnsi="Arial" w:cs="Arial"/>
          <w:color w:val="0D0D0D" w:themeColor="text1" w:themeTint="F2"/>
          <w:sz w:val="24"/>
          <w:szCs w:val="24"/>
        </w:rPr>
        <w:t xml:space="preserve">. </w:t>
      </w:r>
      <w:r w:rsidRPr="00814751">
        <w:rPr>
          <w:rFonts w:ascii="Arial" w:hAnsi="Arial" w:cs="Arial"/>
          <w:sz w:val="24"/>
          <w:szCs w:val="24"/>
        </w:rPr>
        <w:t>Linseed occupies an area of 32.23 lakh ha</w:t>
      </w:r>
      <w:r w:rsidRPr="00814751">
        <w:rPr>
          <w:rFonts w:ascii="Arial" w:hAnsi="Arial" w:cs="Arial"/>
          <w:sz w:val="24"/>
          <w:szCs w:val="24"/>
          <w:vertAlign w:val="superscript"/>
        </w:rPr>
        <w:t>-1</w:t>
      </w:r>
      <w:r w:rsidRPr="00814751">
        <w:rPr>
          <w:rFonts w:ascii="Arial" w:hAnsi="Arial" w:cs="Arial"/>
          <w:sz w:val="24"/>
          <w:szCs w:val="24"/>
        </w:rPr>
        <w:t xml:space="preserve"> yielding 30.68 lakh </w:t>
      </w:r>
      <w:proofErr w:type="spellStart"/>
      <w:r w:rsidRPr="00814751">
        <w:rPr>
          <w:rFonts w:ascii="Arial" w:hAnsi="Arial" w:cs="Arial"/>
          <w:sz w:val="24"/>
          <w:szCs w:val="24"/>
        </w:rPr>
        <w:t>tonnes</w:t>
      </w:r>
      <w:proofErr w:type="spellEnd"/>
      <w:r w:rsidRPr="00814751">
        <w:rPr>
          <w:rFonts w:ascii="Arial" w:hAnsi="Arial" w:cs="Arial"/>
          <w:sz w:val="24"/>
          <w:szCs w:val="24"/>
        </w:rPr>
        <w:t xml:space="preserve"> with an average productivity of 952 kg ha</w:t>
      </w:r>
      <w:r w:rsidRPr="00814751">
        <w:rPr>
          <w:rFonts w:ascii="Arial" w:hAnsi="Arial" w:cs="Arial"/>
          <w:sz w:val="24"/>
          <w:szCs w:val="24"/>
          <w:vertAlign w:val="superscript"/>
        </w:rPr>
        <w:t>-1</w:t>
      </w:r>
      <w:r w:rsidRPr="00814751">
        <w:rPr>
          <w:rFonts w:ascii="Arial" w:hAnsi="Arial" w:cs="Arial"/>
          <w:sz w:val="24"/>
          <w:szCs w:val="24"/>
        </w:rPr>
        <w:t xml:space="preserve"> in the world where as in India, it occupies an area of 1.7 lakh ha with a production and productivity of about 1 lakh </w:t>
      </w:r>
      <w:proofErr w:type="spellStart"/>
      <w:r w:rsidRPr="00814751">
        <w:rPr>
          <w:rFonts w:ascii="Arial" w:hAnsi="Arial" w:cs="Arial"/>
          <w:sz w:val="24"/>
          <w:szCs w:val="24"/>
        </w:rPr>
        <w:t>tonnes</w:t>
      </w:r>
      <w:proofErr w:type="spellEnd"/>
      <w:r w:rsidRPr="00814751">
        <w:rPr>
          <w:rFonts w:ascii="Arial" w:hAnsi="Arial" w:cs="Arial"/>
          <w:sz w:val="24"/>
          <w:szCs w:val="24"/>
        </w:rPr>
        <w:t xml:space="preserve"> and 574 kg ha</w:t>
      </w:r>
      <w:r w:rsidRPr="00814751">
        <w:rPr>
          <w:rFonts w:ascii="Arial" w:hAnsi="Arial" w:cs="Arial"/>
          <w:sz w:val="24"/>
          <w:szCs w:val="24"/>
          <w:vertAlign w:val="superscript"/>
        </w:rPr>
        <w:t>-1</w:t>
      </w:r>
      <w:r w:rsidRPr="00814751">
        <w:rPr>
          <w:rFonts w:ascii="Arial" w:hAnsi="Arial" w:cs="Arial"/>
          <w:sz w:val="24"/>
          <w:szCs w:val="24"/>
        </w:rPr>
        <w:t>, respectively. India holds fifth position in area after Kazakhstan, Russian Federation,</w:t>
      </w:r>
      <w:r w:rsidR="008C4579" w:rsidRPr="00814751">
        <w:rPr>
          <w:rFonts w:ascii="Arial" w:hAnsi="Arial" w:cs="Arial"/>
          <w:sz w:val="24"/>
          <w:szCs w:val="24"/>
        </w:rPr>
        <w:t xml:space="preserve"> </w:t>
      </w:r>
      <w:r w:rsidRPr="00814751">
        <w:rPr>
          <w:rFonts w:ascii="Arial" w:hAnsi="Arial" w:cs="Arial"/>
          <w:sz w:val="24"/>
          <w:szCs w:val="24"/>
        </w:rPr>
        <w:t xml:space="preserve">Canada and China but ranks sixth in production after Kazakhstan, Canada, Russian Federation, China and USA </w:t>
      </w:r>
      <w:r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{"citationItems":[{"id":"ITEM-1","itemData":{"author":[{"dropping-particle":"","family":"AICRP-Linseed","given":"","non-dropping-particle":"","parse-names":false,"suffix":""}],"id":"ITEM-1","issued":{"date-parts":[["2024"]]},"title":"Project coordinator’s message. All India Coordinated Research Project on Linseed.","type":"report"},"uris":["http://www.mendeley.com/documents/?uuid=8d0d9d19-e65e-4809-a4b8-738c93f3a644"]}],"mendeley":{"formattedCitation":"(AICRP-Linseed, 2024)","manualFormatting":" (AICRP-Linseed, 2024)","plainTextFormattedCitation":"(AICRP-Linseed, 2024)","previouslyFormattedCitation":"(AICRP-Linseed, 2024)"},"properties":{"noteIndex":0},"schema":"https://github.com/citation-style-language/schema/raw/master/csl-citation.json"}</w:instrText>
      </w:r>
      <w:r w:rsidRPr="00814751">
        <w:rPr>
          <w:rFonts w:ascii="Arial" w:hAnsi="Arial" w:cs="Arial"/>
          <w:sz w:val="24"/>
          <w:szCs w:val="24"/>
        </w:rPr>
        <w:fldChar w:fldCharType="separate"/>
      </w:r>
      <w:r w:rsidR="00D23C79">
        <w:rPr>
          <w:rFonts w:ascii="Arial" w:hAnsi="Arial" w:cs="Arial"/>
          <w:noProof/>
          <w:sz w:val="24"/>
          <w:szCs w:val="24"/>
        </w:rPr>
        <w:t xml:space="preserve"> </w:t>
      </w:r>
      <w:r w:rsidR="000A36E4">
        <w:rPr>
          <w:rFonts w:ascii="Arial" w:hAnsi="Arial" w:cs="Arial"/>
          <w:noProof/>
          <w:sz w:val="24"/>
          <w:szCs w:val="24"/>
        </w:rPr>
        <w:t>(</w:t>
      </w:r>
      <w:r w:rsidRPr="00814751">
        <w:rPr>
          <w:rFonts w:ascii="Arial" w:hAnsi="Arial" w:cs="Arial"/>
          <w:noProof/>
          <w:sz w:val="24"/>
          <w:szCs w:val="24"/>
        </w:rPr>
        <w:t>AICRP-Linseed, 2024)</w:t>
      </w:r>
      <w:r w:rsidRPr="00814751">
        <w:rPr>
          <w:rFonts w:ascii="Arial" w:hAnsi="Arial" w:cs="Arial"/>
          <w:sz w:val="24"/>
          <w:szCs w:val="24"/>
        </w:rPr>
        <w:fldChar w:fldCharType="end"/>
      </w:r>
      <w:r w:rsidRPr="00814751">
        <w:rPr>
          <w:rFonts w:ascii="Arial" w:hAnsi="Arial" w:cs="Arial"/>
          <w:sz w:val="24"/>
          <w:szCs w:val="24"/>
        </w:rPr>
        <w:t xml:space="preserve">. At the end of fiscal year 2023, India is estimated to produce nearly 140 thousand metric tons of linseed. This was an increase from the previous financial year. During financial year 2022, the south Asian nation produced </w:t>
      </w:r>
      <w:proofErr w:type="gramStart"/>
      <w:r w:rsidRPr="00814751">
        <w:rPr>
          <w:rFonts w:ascii="Arial" w:hAnsi="Arial" w:cs="Arial"/>
          <w:sz w:val="24"/>
          <w:szCs w:val="24"/>
        </w:rPr>
        <w:t>over  38</w:t>
      </w:r>
      <w:proofErr w:type="gramEnd"/>
      <w:r w:rsidRPr="00814751">
        <w:rPr>
          <w:rFonts w:ascii="Arial" w:hAnsi="Arial" w:cs="Arial"/>
          <w:sz w:val="24"/>
          <w:szCs w:val="24"/>
        </w:rPr>
        <w:t xml:space="preserve">  million  metric  </w:t>
      </w:r>
      <w:proofErr w:type="spellStart"/>
      <w:r w:rsidRPr="00814751">
        <w:rPr>
          <w:rFonts w:ascii="Arial" w:hAnsi="Arial" w:cs="Arial"/>
          <w:sz w:val="24"/>
          <w:szCs w:val="24"/>
        </w:rPr>
        <w:t>tones  of</w:t>
      </w:r>
      <w:proofErr w:type="spellEnd"/>
      <w:r w:rsidRPr="00814751">
        <w:rPr>
          <w:rFonts w:ascii="Arial" w:hAnsi="Arial" w:cs="Arial"/>
          <w:sz w:val="24"/>
          <w:szCs w:val="24"/>
        </w:rPr>
        <w:t xml:space="preserve">  oilseeds.  Total  Oilseeds  production  in  the country during 2022-23 is estimated at record 400.01 lakh tones which is higher  by  20.38  lakh  tones  than  the  previous  year’s  oilseeds  production </w:t>
      </w:r>
      <w:r w:rsidR="000A36E4">
        <w:rPr>
          <w:rFonts w:ascii="Arial" w:hAnsi="Arial" w:cs="Arial"/>
          <w:sz w:val="24"/>
          <w:szCs w:val="24"/>
        </w:rPr>
        <w:t>(</w:t>
      </w:r>
      <w:r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{"citationItems":[{"id":"ITEM-1","itemData":{"author":[{"dropping-particle":"","family":"AICRP-Linseed","given":"","non-dropping-particle":"","parse-names":false,"suffix":""}],"id":"ITEM-1","issued":{"date-parts":[["2024"]]},"title":"Project coordinator’s message. All India Coordinated Research Project on Linseed.","type":"report"},"uris":["http://www.mendeley.com/documents/?uuid=8d0d9d19-e65e-4809-a4b8-738c93f3a644"]}],"mendeley":{"formattedCitation":"(AICRP-Linseed, 2024)","manualFormatting":"AICRP-Linseed, 2024)","plainTextFormattedCitation":"(AICRP-Linseed, 2024)","previouslyFormattedCitation":"(AICRP-Linseed, 2024)"},"properties":{"noteIndex":0},"schema":"https://github.com/citation-style-language/schema/raw/master/csl-citation.json"}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AICRP-Linseed, 2024)</w:t>
      </w:r>
      <w:r w:rsidRPr="00814751">
        <w:rPr>
          <w:rFonts w:ascii="Arial" w:hAnsi="Arial" w:cs="Arial"/>
          <w:sz w:val="24"/>
          <w:szCs w:val="24"/>
        </w:rPr>
        <w:fldChar w:fldCharType="end"/>
      </w:r>
      <w:r w:rsidRPr="00814751">
        <w:rPr>
          <w:rFonts w:ascii="Arial" w:hAnsi="Arial" w:cs="Arial"/>
          <w:sz w:val="24"/>
          <w:szCs w:val="24"/>
        </w:rPr>
        <w:t xml:space="preserve">. However, according to statistics from the Food and Agricultural Organization the area harvested for linseed 3540139 ha, yield was 9512 kg/ha and production value was 3367331 tones </w:t>
      </w:r>
      <w:r w:rsidR="000A36E4">
        <w:rPr>
          <w:rFonts w:ascii="Arial" w:hAnsi="Arial" w:cs="Arial"/>
          <w:sz w:val="24"/>
          <w:szCs w:val="24"/>
        </w:rPr>
        <w:t>(</w:t>
      </w:r>
      <w:commentRangeStart w:id="2"/>
      <w:r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{"citationItems":[{"id":"ITEM-1","itemData":{"author":[{"dropping-particle":"","family":"FAO-STAT","given":"","non-dropping-particle":"","parse-names":false,"suffix":""}],"id":"ITEM-1","issued":{"date-parts":[["2007"]]},"number-of-pages":"120","title":"Food and Agriculture Organisation Statistical Databases","type":"report"},"uris":["http://www.mendeley.com/documents/?uuid=3ee48071-50fe-4261-802d-b02de11426f1"]}],"mendeley":{"formattedCitation":"(FAO-STAT, 2007)","manualFormatting":"FAOSTAT, 2007)","plainTextFormattedCitation":"(FAO-STAT, 2007)","previouslyFormattedCitation":"(FAO-STAT, 2007)"},"properties":{"noteIndex":0},"schema":"https://github.com/citation-style-language/schema/raw/master/csl-citation.json"}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FAOSTAT, 2007)</w:t>
      </w:r>
      <w:r w:rsidRPr="00814751">
        <w:rPr>
          <w:rFonts w:ascii="Arial" w:hAnsi="Arial" w:cs="Arial"/>
          <w:sz w:val="24"/>
          <w:szCs w:val="24"/>
        </w:rPr>
        <w:fldChar w:fldCharType="end"/>
      </w:r>
      <w:commentRangeEnd w:id="2"/>
      <w:r w:rsidR="00077208">
        <w:rPr>
          <w:rStyle w:val="CommentReference"/>
          <w:rFonts w:asciiTheme="minorHAnsi" w:eastAsiaTheme="minorHAnsi" w:hAnsiTheme="minorHAnsi" w:cstheme="minorBidi"/>
          <w:kern w:val="2"/>
          <w:lang w:val="en-IN" w:bidi="ar-SA"/>
          <w14:ligatures w14:val="standardContextual"/>
        </w:rPr>
        <w:commentReference w:id="2"/>
      </w:r>
      <w:r w:rsidRPr="00814751">
        <w:rPr>
          <w:rFonts w:ascii="Arial" w:hAnsi="Arial" w:cs="Arial"/>
          <w:sz w:val="24"/>
          <w:szCs w:val="24"/>
        </w:rPr>
        <w:t>.</w:t>
      </w:r>
    </w:p>
    <w:p w14:paraId="37E5E1C8" w14:textId="496C1EAC" w:rsidR="00A329CB" w:rsidRPr="00814751" w:rsidRDefault="00646E2B" w:rsidP="000D4F37">
      <w:pPr>
        <w:spacing w:after="120" w:line="360" w:lineRule="auto"/>
        <w:ind w:firstLine="720"/>
        <w:jc w:val="both"/>
        <w:rPr>
          <w:rFonts w:ascii="Arial" w:hAnsi="Arial" w:cs="Arial"/>
          <w:sz w:val="24"/>
          <w:szCs w:val="24"/>
        </w:rPr>
      </w:pPr>
      <w:r>
        <w:rPr>
          <w:rFonts w:ascii="Arial" w:hAnsi="Arial" w:cs="Arial"/>
          <w:sz w:val="24"/>
          <w:szCs w:val="24"/>
        </w:rPr>
        <w:t xml:space="preserve">Nutrients plays </w:t>
      </w:r>
      <w:proofErr w:type="spellStart"/>
      <w:r>
        <w:rPr>
          <w:rFonts w:ascii="Arial" w:hAnsi="Arial" w:cs="Arial"/>
          <w:sz w:val="24"/>
          <w:szCs w:val="24"/>
        </w:rPr>
        <w:t>a</w:t>
      </w:r>
      <w:proofErr w:type="spellEnd"/>
      <w:r>
        <w:rPr>
          <w:rFonts w:ascii="Arial" w:hAnsi="Arial" w:cs="Arial"/>
          <w:sz w:val="24"/>
          <w:szCs w:val="24"/>
        </w:rPr>
        <w:t xml:space="preserve"> important role in enhancing growth of crop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{"citationItems":[{"id":"ITEM-1","itemData":{"author":[{"dropping-particle":"","family":"Aakash","given":"","non-dropping-particle":"","parse-names":false,"suffix":""},{"dropping-particle":"","family":"Singh","given":"M. K.","non-dropping-particle":"","parse-names":false,"suffix":""},{"dropping-particle":"","family":"Saikia","given":"N.","non-dropping-particle":"","parse-names":false,"suffix":""},{"dropping-particle":"","family":"Bhayal","given":"L.","non-dropping-particle":"","parse-names":false,"suffix":""},{"dropping-particle":"","family":"Bhayal","given":"D.","non-dropping-particle":"","parse-names":false,"suffix":""}],"container-title":"Indian Society of Agricultural Science","id":"ITEM-1","issue":"2","issued":{"date-parts":[["2023"]]},"page":"190-196","title":"Effect of integrated nutrient management on growth, yield attributes and yield of green pea in humid subtropical climate of Indo-gangetic Plains.","type":"article-journal","volume":"44"},"uris":["http://www.mendeley.com/documents/?uuid=168fbc97-1d63-469c-b98b-65724a171b50"]}],"mendeley":{"formattedCitation":"(Aakash et al., 2023)","plainTextFormattedCitation":"(Aakash et al., 2023)","previouslyFormattedCitation":"(Aakash et al., 2023)"},"properties":{"noteIndex":0},"schema":"https://github.com/citation-style-language/schema/raw/master/csl-citation.json"}</w:instrText>
      </w:r>
      <w:r>
        <w:rPr>
          <w:rFonts w:ascii="Arial" w:hAnsi="Arial" w:cs="Arial"/>
          <w:sz w:val="24"/>
          <w:szCs w:val="24"/>
        </w:rPr>
        <w:fldChar w:fldCharType="separate"/>
      </w:r>
      <w:r w:rsidRPr="00646E2B">
        <w:rPr>
          <w:rFonts w:ascii="Arial" w:hAnsi="Arial" w:cs="Arial"/>
          <w:noProof/>
          <w:sz w:val="24"/>
          <w:szCs w:val="24"/>
        </w:rPr>
        <w:t>(Aakash et al., 2023)</w:t>
      </w:r>
      <w:r>
        <w:rPr>
          <w:rFonts w:ascii="Arial" w:hAnsi="Arial" w:cs="Arial"/>
          <w:sz w:val="24"/>
          <w:szCs w:val="24"/>
        </w:rPr>
        <w:fldChar w:fldCharType="end"/>
      </w:r>
      <w:r>
        <w:rPr>
          <w:rFonts w:ascii="Arial" w:hAnsi="Arial" w:cs="Arial"/>
          <w:sz w:val="24"/>
          <w:szCs w:val="24"/>
        </w:rPr>
        <w:t xml:space="preserve">. </w:t>
      </w:r>
      <w:r w:rsidRPr="00646E2B">
        <w:rPr>
          <w:rFonts w:ascii="Arial" w:hAnsi="Arial" w:cs="Arial"/>
          <w:sz w:val="24"/>
          <w:szCs w:val="24"/>
        </w:rPr>
        <w:t xml:space="preserve">Foliar application of </w:t>
      </w:r>
      <w:r>
        <w:rPr>
          <w:rFonts w:ascii="Arial" w:hAnsi="Arial" w:cs="Arial"/>
          <w:sz w:val="24"/>
          <w:szCs w:val="24"/>
        </w:rPr>
        <w:t xml:space="preserve">nutrients </w:t>
      </w:r>
      <w:r w:rsidRPr="00646E2B">
        <w:rPr>
          <w:rFonts w:ascii="Arial" w:hAnsi="Arial" w:cs="Arial"/>
          <w:sz w:val="24"/>
          <w:szCs w:val="24"/>
        </w:rPr>
        <w:t>improves the plant’s capacity to synthesize, store and transport nutrients</w:t>
      </w:r>
      <w:r>
        <w:rPr>
          <w:rFonts w:ascii="Arial" w:hAnsi="Arial" w:cs="Arial"/>
          <w:sz w:val="24"/>
          <w:szCs w:val="24"/>
        </w:rPr>
        <w:t xml:space="preserve"> </w:t>
      </w:r>
      <w:r>
        <w:rPr>
          <w:rFonts w:ascii="Arial" w:hAnsi="Arial" w:cs="Arial"/>
          <w:sz w:val="24"/>
          <w:szCs w:val="24"/>
        </w:rPr>
        <w:fldChar w:fldCharType="begin" w:fldLock="1"/>
      </w:r>
      <w:r w:rsidR="00151613">
        <w:rPr>
          <w:rFonts w:ascii="Arial" w:hAnsi="Arial" w:cs="Arial"/>
          <w:sz w:val="24"/>
          <w:szCs w:val="24"/>
        </w:rPr>
        <w:instrText>ADDIN CSL_CITATION {"citationItems":[{"id":"ITEM-1","itemData":{"DOI":"10.18805/LR-4748","ISSN":"0976-0571","abstract":"Background: Dryland is characterised by drought/dry spell (s) of 10 to 15 days and is the main reason for decline in soybean production. The aim of this study was to develop a strategy of drought amelioration by using foliar sprays and enhancement of yield, quality, energetics and carbon footprint. Methods: A field experiment was carried out at Rajmata Vijayaraje Scindia Krishi Vishwa Vidyalaya, College of Agriculture, Indore, (M.P.) during 2017-18 under spilt-plot design having two main plot treatments viz., foliar application at dry spell (F1), foliar application after dry spell (F2) and seven sub plot treatments i.e. different variants of foliar sprays (DVFS). Different growth, yield, quality, energetic and carbon footprint traits were recorded. The data were analyzed using standard statistical procedures. Result: The highest growth, yield, quality and energetic parameters were recorded for F1 as compared to F2. In case of DVFS, foliar application of water soluble complex fertilizer 19:19:19 (NPK) @ 0.5% + 0.5% ZnSO4 (T4) produced maximum values for growth, energetics, carbon footprint, oil (22.5%) and protein (43.1%) content as well as produced maximum yield.","author":[{"dropping-particle":"","family":"Bhayal","given":"Lalita","non-dropping-particle":"","parse-names":false,"suffix":""},{"dropping-particle":"","family":"Aakash","given":"","non-dropping-particle":"","parse-names":false,"suffix":""},{"dropping-particle":"","family":"Jain","given":"M.P.","non-dropping-particle":"","parse-names":false,"suffix":""},{"dropping-particle":"","family":"Bhayal","given":"Divya","non-dropping-particle":"","parse-names":false,"suffix":""},{"dropping-particle":"","family":"Meena","given":"Kamlesh","non-dropping-particle":"","parse-names":false,"suffix":""}],"container-title":"LEGUME RESEARCH - AN INTERNATIONAL JOURNAL","id":"ITEM-1","issue":"2","issued":{"date-parts":[["2022","1","10"]]},"page":"174-181","title":"Impact of Foliar Spray of NPK and Zn on Soybean for Growth, Yield, Quality, Energetics and Carbon Footprint under Dryland Condition at Indore","type":"article-journal","volume":"45"},"uris":["http://www.mendeley.com/documents/?uuid=707bb253-1907-46c6-9e9b-77c621d5f910"]},{"id":"ITEM-2","itemData":{"DOI":"10.9734/jeai/2023/v45i112257","ISSN":"2457-0591","abstract":"The current study was conducted during Rabi 2018–19 at the All India Coordinated Research Project on Potato, which was located in the Department of Horticulture at Rajmata Vijyaraje Scindia Krishi Vishwa Vidyalya, Gwalior (M.P.).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Randomized Block Design and statistical analysis was performed using analysis of variance methods. 'F' test was used to determine treatment significance. The application of zinc, manganese, and boron had a substantial impact on the yield characteristics and yield of potatoes, according to the treatment. In treatment T8 (Boron + Zinc + Manganese), the highest number of tubers (27.67/plant) and weights of tubers (680 g/plant) were noted. It is determined that using boron, zinc, and manganese would increase crop yields in potato farming under the climatic circumstances of Gwalior.","author":[{"dropping-particle":"","family":"Sharma","given":"Avinash","non-dropping-particle":"","parse-names":false,"suffix":""},{"dropping-particle":"","family":"Aakash","given":"","non-dropping-particle":"","parse-names":false,"suffix":""},{"dropping-particle":"","family":"Singh","given":"Dheerendra","non-dropping-particle":"","parse-names":false,"suffix":""},{"dropping-particle":"","family":"Singh","given":"Veer","non-dropping-particle":"","parse-names":false,"suffix":""},{"dropping-particle":"","family":"Bhayal","given":"Divya","non-dropping-particle":"","parse-names":false,"suffix":""},{"dropping-particle":"","family":"Rajput","given":"Bharti","non-dropping-particle":"","parse-names":false,"suffix":""}],"container-title":"Journal of Experimental Agriculture International","id":"ITEM-2","issue":"11","issued":{"date-parts":[["2023","12","7"]]},"page":"263-270","title":"Effect of Applying Boron, Zinc, and Manganese Foliarly on the Yield Attributes and Yield of the Potato (Solanum tuberosum) Cultivar Kufri Chipsona-1 in the Gwalior Climate","type":"article-journal","volume":"45"},"uris":["http://www.mendeley.com/documents/?uuid=ece18b7e-2e42-4315-8ca9-a4ced433d231"]}],"mendeley":{"formattedCitation":"(Bhayal et al., 2022; A. Sharma et al., 2023)","manualFormatting":"(Bhayal et al., 2022; Sharma et al., 2023)","plainTextFormattedCitation":"(Bhayal et al., 2022; A. Sharma et al., 2023)","previouslyFormattedCitation":"(Bhayal et al., 2022; A. Sharma et al., 2023)"},"properties":{"noteIndex":0},"schema":"https://github.com/citation-style-language/schema/raw/master/csl-citation.json"}</w:instrText>
      </w:r>
      <w:r>
        <w:rPr>
          <w:rFonts w:ascii="Arial" w:hAnsi="Arial" w:cs="Arial"/>
          <w:sz w:val="24"/>
          <w:szCs w:val="24"/>
        </w:rPr>
        <w:fldChar w:fldCharType="separate"/>
      </w:r>
      <w:r w:rsidRPr="00646E2B">
        <w:rPr>
          <w:rFonts w:ascii="Arial" w:hAnsi="Arial" w:cs="Arial"/>
          <w:noProof/>
          <w:sz w:val="24"/>
          <w:szCs w:val="24"/>
        </w:rPr>
        <w:t>(Bhayal et al., 2022; Sharma et al., 2023)</w:t>
      </w:r>
      <w:r>
        <w:rPr>
          <w:rFonts w:ascii="Arial" w:hAnsi="Arial" w:cs="Arial"/>
          <w:sz w:val="24"/>
          <w:szCs w:val="24"/>
        </w:rPr>
        <w:fldChar w:fldCharType="end"/>
      </w:r>
      <w:r w:rsidRPr="00646E2B">
        <w:rPr>
          <w:rFonts w:ascii="Arial" w:hAnsi="Arial" w:cs="Arial"/>
          <w:sz w:val="24"/>
          <w:szCs w:val="24"/>
        </w:rPr>
        <w:t>.</w:t>
      </w:r>
      <w:r w:rsidR="00151613">
        <w:rPr>
          <w:rFonts w:ascii="Arial" w:hAnsi="Arial" w:cs="Arial"/>
          <w:sz w:val="24"/>
          <w:szCs w:val="24"/>
        </w:rPr>
        <w:t xml:space="preserve"> </w:t>
      </w:r>
      <w:r w:rsidR="00151613" w:rsidRPr="00151613">
        <w:rPr>
          <w:rFonts w:ascii="Arial" w:hAnsi="Arial" w:cs="Arial"/>
          <w:sz w:val="24"/>
          <w:szCs w:val="24"/>
        </w:rPr>
        <w:t>Foliar application of nutrients has been shown as an important asset of fertilizer application with the specific aim of increasing nutrient availability when needed</w:t>
      </w:r>
      <w:r w:rsidR="00151613">
        <w:rPr>
          <w:rFonts w:ascii="Arial" w:hAnsi="Arial" w:cs="Arial"/>
          <w:sz w:val="24"/>
          <w:szCs w:val="24"/>
        </w:rPr>
        <w:t xml:space="preserve"> </w:t>
      </w:r>
      <w:r w:rsidR="00151613">
        <w:rPr>
          <w:rFonts w:ascii="Arial" w:hAnsi="Arial" w:cs="Arial"/>
          <w:sz w:val="24"/>
          <w:szCs w:val="24"/>
        </w:rPr>
        <w:fldChar w:fldCharType="begin" w:fldLock="1"/>
      </w:r>
      <w:r w:rsidR="00151613">
        <w:rPr>
          <w:rFonts w:ascii="Arial" w:hAnsi="Arial" w:cs="Arial"/>
          <w:sz w:val="24"/>
          <w:szCs w:val="24"/>
        </w:rPr>
        <w:instrText>ADDIN CSL_CITATION {"citationItems":[{"id":"ITEM-1","itemData":{"DOI":"10.56093/ijas.v92i11.127891","ISSN":"2394-3319","abstract":"An experiment was conducted at research farm of Rajiv Gandhi South Campus, Barkachha, Mirzapur situated in eastern Uttar Pradesh during winter (rabi) season of 2021–22 with the objective to study the response of nitrogen, phosphorous, sulphur doses and urea foliar spray on lentil growth attributes, yield attributes, yield and economics under guava + lentil based agri-horti system. Results revealed that the higher growth, yield attributes, yield, net monetory returns and benefit-cost ratio were recorded under N23.5+P60+S40 which was at par with N20+P50+S30. In case of varied doses of foliar spray of urea, foliar spray of 2% urea at pre-flowering stage fb 2% urea at pod initiation stage recorded significantly higher growth, yield, yield attributes and economics which was at par with foliar spray of 2% urea spray at pre-flowering stage. Moreover, between the sowing of the lentils and the harvest, the guava's growth attributes were also increased. Therefore, under rainfed conditions of Vidhyan region of eastern Uttar Pradesh, application of nitrogen, phosphorus and sulphur @20, 50 and 30 kg/ha as basal application along with foliar application (spray) of 2% urea at pre-flowering stage (45 DAS) to lentil crop was found to be better option for higher profitability under guava plantation.","author":[{"dropping-particle":"","family":"Kumar","given":"Vikash","non-dropping-particle":"","parse-names":false,"suffix":""},{"dropping-particle":"","family":"Singh","given":"Manoj Kumar","non-dropping-particle":"","parse-names":false,"suffix":""},{"dropping-particle":"","family":"Lakshmi","given":"D Udaya","non-dropping-particle":"","parse-names":false,"suffix":""},{"dropping-particle":"","family":"Aakash","given":"","non-dropping-particle":"","parse-names":false,"suffix":""},{"dropping-particle":"","family":"Saikia","given":"Nilutpal","non-dropping-particle":"","parse-names":false,"suffix":""},{"dropping-particle":"","family":"Kumari","given":"Anamika","non-dropping-particle":"","parse-names":false,"suffix":""}],"container-title":"The Indian Journal of Agricultural Sciences","id":"ITEM-1","issue":"11","issued":{"date-parts":[["2022","11","11"]]},"page":"1410-1412","title":"Response of N P S doses and urea foliar spray on lentil under guava (Psidium guajava) + lentil (Lens culinaris) based agri-horti system","type":"article-journal","volume":"92"},"uris":["http://www.mendeley.com/documents/?uuid=b8ea8e15-7320-4a66-a586-99c2bf7e3740"]}],"mendeley":{"formattedCitation":"(Kumar et al., 2022)","plainTextFormattedCitation":"(Kumar et al., 2022)","previouslyFormattedCitation":"(Kumar et al., 2022)"},"properties":{"noteIndex":0},"schema":"https://github.com/citation-style-language/schema/raw/master/csl-citation.json"}</w:instrText>
      </w:r>
      <w:r w:rsidR="00151613">
        <w:rPr>
          <w:rFonts w:ascii="Arial" w:hAnsi="Arial" w:cs="Arial"/>
          <w:sz w:val="24"/>
          <w:szCs w:val="24"/>
        </w:rPr>
        <w:fldChar w:fldCharType="separate"/>
      </w:r>
      <w:r w:rsidR="00151613" w:rsidRPr="00151613">
        <w:rPr>
          <w:rFonts w:ascii="Arial" w:hAnsi="Arial" w:cs="Arial"/>
          <w:noProof/>
          <w:sz w:val="24"/>
          <w:szCs w:val="24"/>
        </w:rPr>
        <w:t>(Kumar et al., 2022)</w:t>
      </w:r>
      <w:r w:rsidR="00151613">
        <w:rPr>
          <w:rFonts w:ascii="Arial" w:hAnsi="Arial" w:cs="Arial"/>
          <w:sz w:val="24"/>
          <w:szCs w:val="24"/>
        </w:rPr>
        <w:fldChar w:fldCharType="end"/>
      </w:r>
      <w:r w:rsidR="00151613" w:rsidRPr="00151613">
        <w:rPr>
          <w:rFonts w:ascii="Arial" w:hAnsi="Arial" w:cs="Arial"/>
          <w:sz w:val="24"/>
          <w:szCs w:val="24"/>
        </w:rPr>
        <w:t>.</w:t>
      </w:r>
      <w:r w:rsidRPr="00646E2B">
        <w:rPr>
          <w:rFonts w:ascii="Arial" w:hAnsi="Arial" w:cs="Arial"/>
          <w:sz w:val="24"/>
          <w:szCs w:val="24"/>
        </w:rPr>
        <w:t xml:space="preserve"> </w:t>
      </w:r>
      <w:proofErr w:type="gramStart"/>
      <w:r w:rsidR="00A329CB" w:rsidRPr="00814751">
        <w:rPr>
          <w:rFonts w:ascii="Arial" w:hAnsi="Arial" w:cs="Arial"/>
          <w:sz w:val="24"/>
          <w:szCs w:val="24"/>
        </w:rPr>
        <w:t xml:space="preserve">A </w:t>
      </w:r>
      <w:r w:rsidR="00B511B7">
        <w:rPr>
          <w:rFonts w:ascii="Arial" w:hAnsi="Arial" w:cs="Arial"/>
          <w:sz w:val="24"/>
          <w:szCs w:val="24"/>
        </w:rPr>
        <w:t xml:space="preserve"> </w:t>
      </w:r>
      <w:r w:rsidR="00A329CB" w:rsidRPr="00814751">
        <w:rPr>
          <w:rFonts w:ascii="Arial" w:hAnsi="Arial" w:cs="Arial"/>
          <w:sz w:val="24"/>
          <w:szCs w:val="24"/>
        </w:rPr>
        <w:t>deficiency</w:t>
      </w:r>
      <w:proofErr w:type="gramEnd"/>
      <w:r w:rsidR="00A329CB" w:rsidRPr="00814751">
        <w:rPr>
          <w:rFonts w:ascii="Arial" w:hAnsi="Arial" w:cs="Arial"/>
          <w:sz w:val="24"/>
          <w:szCs w:val="24"/>
        </w:rPr>
        <w:t xml:space="preserve"> of sulphur at any stage of growth can result in reduced yields. </w:t>
      </w:r>
      <w:r w:rsidR="002F3B0E" w:rsidRPr="00814751">
        <w:rPr>
          <w:rFonts w:ascii="Arial" w:hAnsi="Arial" w:cs="Arial"/>
          <w:sz w:val="24"/>
          <w:szCs w:val="24"/>
        </w:rPr>
        <w:t>f</w:t>
      </w:r>
      <w:r w:rsidR="00A329CB" w:rsidRPr="00814751">
        <w:rPr>
          <w:rFonts w:ascii="Arial" w:hAnsi="Arial" w:cs="Arial"/>
          <w:sz w:val="24"/>
          <w:szCs w:val="24"/>
        </w:rPr>
        <w:t xml:space="preserve">or the first half century or more of cultivation, sulphur deficiency </w:t>
      </w:r>
      <w:r w:rsidR="00A329CB" w:rsidRPr="00814751">
        <w:rPr>
          <w:rFonts w:ascii="Arial" w:hAnsi="Arial" w:cs="Arial"/>
          <w:sz w:val="24"/>
          <w:szCs w:val="24"/>
        </w:rPr>
        <w:lastRenderedPageBreak/>
        <w:t>was not a concern on most of our soils because a large pool of organic sulphur was made available as organic matter mineralized. Over time, the pool of organic sulphur has declined significantly, mostly due to use by crops, particularly high sulphur</w:t>
      </w:r>
      <w:r w:rsidR="008D16B7">
        <w:rPr>
          <w:rFonts w:ascii="Arial" w:hAnsi="Arial" w:cs="Arial"/>
          <w:sz w:val="24"/>
          <w:szCs w:val="24"/>
        </w:rPr>
        <w:t xml:space="preserve"> </w:t>
      </w:r>
      <w:r w:rsidR="00A329CB" w:rsidRPr="00814751">
        <w:rPr>
          <w:rFonts w:ascii="Arial" w:hAnsi="Arial" w:cs="Arial"/>
          <w:sz w:val="24"/>
          <w:szCs w:val="24"/>
        </w:rPr>
        <w:t xml:space="preserve">using oilseeds crops </w:t>
      </w:r>
      <w:r w:rsidR="000A36E4">
        <w:rPr>
          <w:rFonts w:ascii="Arial" w:hAnsi="Arial" w:cs="Arial"/>
          <w:sz w:val="24"/>
          <w:szCs w:val="24"/>
        </w:rPr>
        <w:t>(</w:t>
      </w:r>
      <w:r w:rsidR="00A329CB"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{"citationItems":[{"id":"ITEM-1","itemData":{"DOI":"10.1080/15592324.2022.2030082","ISSN":"1559-2324","author":[{"dropping-particle":"","family":"Narayan","given":"Om Prakash","non-dropping-particle":"","parse-names":false,"suffix":""},{"dropping-particle":"","family":"Kumar","given":"Paras","non-dropping-particle":"","parse-names":false,"suffix":""},{"dropping-particle":"","family":"Yadav","given":"Bindu","non-dropping-particle":"","parse-names":false,"suffix":""},{"dropping-particle":"","family":"Dua","given":"Meenakshi","non-dropping-particle":"","parse-names":false,"suffix":""},{"dropping-particle":"","family":"Johri","given":"Atul Kumar","non-dropping-particle":"","parse-names":false,"suffix":""}],"container-title":"Plant Signaling &amp; Behavior","id":"ITEM-1","issue":"1","issued":{"date-parts":[["2023","12","31"]]},"title":"Sulphur nutrition and its role in plant growth and development","type":"article-journal","volume":"18"},"uris":["http://www.mendeley.com/documents/?uuid=c48b6455-62ec-4aac-a5ac-71e41b4fd05b"]}],"mendeley":{"formattedCitation":"(Narayan et al., 2023)","manualFormatting":"Narayan et al., 2023)","plainTextFormattedCitation":"(Narayan et al., 2023)","previouslyFormattedCitation":"(Narayan et al., 2023)"},"properties":{"noteIndex":0},"schema":"https://github.com/citation-style-language/schema/raw/master/csl-citation.json"}</w:instrText>
      </w:r>
      <w:r w:rsidR="00A329CB" w:rsidRPr="00814751">
        <w:rPr>
          <w:rFonts w:ascii="Arial" w:hAnsi="Arial" w:cs="Arial"/>
          <w:sz w:val="24"/>
          <w:szCs w:val="24"/>
        </w:rPr>
        <w:fldChar w:fldCharType="separate"/>
      </w:r>
      <w:r w:rsidR="00A329CB" w:rsidRPr="00814751">
        <w:rPr>
          <w:rFonts w:ascii="Arial" w:hAnsi="Arial" w:cs="Arial"/>
          <w:noProof/>
          <w:sz w:val="24"/>
          <w:szCs w:val="24"/>
        </w:rPr>
        <w:t>Narayan et al., 2023)</w:t>
      </w:r>
      <w:r w:rsidR="00A329CB" w:rsidRPr="00814751">
        <w:rPr>
          <w:rFonts w:ascii="Arial" w:hAnsi="Arial" w:cs="Arial"/>
          <w:sz w:val="24"/>
          <w:szCs w:val="24"/>
        </w:rPr>
        <w:fldChar w:fldCharType="end"/>
      </w:r>
      <w:r w:rsidR="00A329CB" w:rsidRPr="00814751">
        <w:rPr>
          <w:rFonts w:ascii="Arial" w:hAnsi="Arial" w:cs="Arial"/>
          <w:sz w:val="24"/>
          <w:szCs w:val="24"/>
        </w:rPr>
        <w:t>.</w:t>
      </w:r>
      <w:r w:rsidR="00A329CB" w:rsidRPr="00814751">
        <w:rPr>
          <w:sz w:val="24"/>
          <w:szCs w:val="24"/>
        </w:rPr>
        <w:t xml:space="preserve"> </w:t>
      </w:r>
      <w:r w:rsidR="00A329CB" w:rsidRPr="00814751">
        <w:rPr>
          <w:rFonts w:ascii="Arial" w:hAnsi="Arial" w:cs="Arial"/>
          <w:sz w:val="24"/>
          <w:szCs w:val="24"/>
        </w:rPr>
        <w:t xml:space="preserve">Sulphur is a crucial </w:t>
      </w:r>
      <w:proofErr w:type="gramStart"/>
      <w:r w:rsidR="00A329CB" w:rsidRPr="00814751">
        <w:rPr>
          <w:rFonts w:ascii="Arial" w:hAnsi="Arial" w:cs="Arial"/>
          <w:sz w:val="24"/>
          <w:szCs w:val="24"/>
        </w:rPr>
        <w:t>macronutrient  for</w:t>
      </w:r>
      <w:proofErr w:type="gramEnd"/>
      <w:r w:rsidR="00A329CB" w:rsidRPr="00814751">
        <w:rPr>
          <w:rFonts w:ascii="Arial" w:hAnsi="Arial" w:cs="Arial"/>
          <w:sz w:val="24"/>
          <w:szCs w:val="24"/>
        </w:rPr>
        <w:t xml:space="preserve">  plants  growth  </w:t>
      </w:r>
      <w:proofErr w:type="spellStart"/>
      <w:r w:rsidR="00A329CB" w:rsidRPr="00814751">
        <w:rPr>
          <w:rFonts w:ascii="Arial" w:hAnsi="Arial" w:cs="Arial"/>
          <w:sz w:val="24"/>
          <w:szCs w:val="24"/>
        </w:rPr>
        <w:t>an</w:t>
      </w:r>
      <w:proofErr w:type="spellEnd"/>
      <w:r w:rsidR="00A329CB" w:rsidRPr="00814751">
        <w:rPr>
          <w:rFonts w:ascii="Arial" w:hAnsi="Arial" w:cs="Arial"/>
          <w:sz w:val="24"/>
          <w:szCs w:val="24"/>
        </w:rPr>
        <w:t xml:space="preserve"> development. All though it is</w:t>
      </w:r>
      <w:r w:rsidR="00B2293E">
        <w:rPr>
          <w:rFonts w:ascii="Arial" w:hAnsi="Arial" w:cs="Arial"/>
          <w:sz w:val="24"/>
          <w:szCs w:val="24"/>
        </w:rPr>
        <w:t xml:space="preserve"> </w:t>
      </w:r>
      <w:r w:rsidR="00A329CB" w:rsidRPr="00814751">
        <w:rPr>
          <w:rFonts w:ascii="Arial" w:hAnsi="Arial" w:cs="Arial"/>
          <w:sz w:val="24"/>
          <w:szCs w:val="24"/>
        </w:rPr>
        <w:t xml:space="preserve">categorised as a tertiary element along with Magnesium (Mg) and Calcium (Ca), it is occasionally referred to as "the fourth major nutrient." The element S is a necessary component for all living things. It aids in the development and activation of several enzymes and vitamins in plants, promotes nodulation in legumes, and is a structural component of amino acids that make up protein cysteine and methionine </w:t>
      </w:r>
      <w:r w:rsidR="000A36E4">
        <w:rPr>
          <w:rFonts w:ascii="Arial" w:hAnsi="Arial" w:cs="Arial"/>
          <w:sz w:val="24"/>
          <w:szCs w:val="24"/>
        </w:rPr>
        <w:t>(</w:t>
      </w:r>
      <w:r w:rsidR="00A329CB" w:rsidRPr="00814751">
        <w:rPr>
          <w:rFonts w:ascii="Arial" w:hAnsi="Arial" w:cs="Arial"/>
          <w:sz w:val="24"/>
          <w:szCs w:val="24"/>
        </w:rPr>
        <w:fldChar w:fldCharType="begin" w:fldLock="1"/>
      </w:r>
      <w:r w:rsidR="00151613">
        <w:rPr>
          <w:rFonts w:ascii="Arial" w:hAnsi="Arial" w:cs="Arial"/>
          <w:sz w:val="24"/>
          <w:szCs w:val="24"/>
        </w:rPr>
        <w:instrText>ADDIN CSL_CITATION {"citationItems":[{"id":"ITEM-1","itemData":{"DOI":"10.1016/j.jafr.2024.101013","ISSN":"26661543","author":[{"dropping-particle":"","family":"Sharma","given":"Ramandeep K.","non-dropping-particle":"","parse-names":false,"suffix":""},{"dropping-particle":"","family":"Cox","given":"Michael S.","non-dropping-particle":"","parse-names":false,"suffix":""},{"dropping-particle":"","family":"Oglesby","given":"Camden","non-dropping-particle":"","parse-names":false,"suffix":""},{"dropping-particle":"","family":"Dhillon","given":"Jagmandeep S.","non-dropping-particle":"","parse-names":false,"suffix":""}],"container-title":"Journal of Agriculture and Food Research","id":"ITEM-1","issued":{"date-parts":[["2024","3"]]},"page":"101013","title":"Revisiting the role of sulphur in crop production: A narrative review","type":"article-journal","volume":"15"},"uris":["http://www.mendeley.com/documents/?uuid=e589a296-55a4-4cb8-a819-9c9606fabc57"]}],"mendeley":{"formattedCitation":"(R. K. Sharma et al., 2024)","manualFormatting":"Sharma et al., 2024)","plainTextFormattedCitation":"(R. K. Sharma et al., 2024)","previouslyFormattedCitation":"(R. K. Sharma et al., 2024)"},"properties":{"noteIndex":0},"schema":"https://github.com/citation-style-language/schema/raw/master/csl-citation.json"}</w:instrText>
      </w:r>
      <w:r w:rsidR="00A329CB" w:rsidRPr="00814751">
        <w:rPr>
          <w:rFonts w:ascii="Arial" w:hAnsi="Arial" w:cs="Arial"/>
          <w:sz w:val="24"/>
          <w:szCs w:val="24"/>
        </w:rPr>
        <w:fldChar w:fldCharType="separate"/>
      </w:r>
      <w:r w:rsidR="00A329CB" w:rsidRPr="00814751">
        <w:rPr>
          <w:rFonts w:ascii="Arial" w:hAnsi="Arial" w:cs="Arial"/>
          <w:noProof/>
          <w:sz w:val="24"/>
          <w:szCs w:val="24"/>
        </w:rPr>
        <w:t>Sharma et al., 2024)</w:t>
      </w:r>
      <w:r w:rsidR="00A329CB" w:rsidRPr="00814751">
        <w:rPr>
          <w:rFonts w:ascii="Arial" w:hAnsi="Arial" w:cs="Arial"/>
          <w:sz w:val="24"/>
          <w:szCs w:val="24"/>
        </w:rPr>
        <w:fldChar w:fldCharType="end"/>
      </w:r>
      <w:r w:rsidR="00A329CB" w:rsidRPr="00814751">
        <w:rPr>
          <w:rFonts w:ascii="Arial" w:hAnsi="Arial" w:cs="Arial"/>
          <w:sz w:val="24"/>
          <w:szCs w:val="24"/>
        </w:rPr>
        <w:t>. Reduced plant growth rate is associated with sulphur</w:t>
      </w:r>
      <w:r w:rsidR="009B4017">
        <w:rPr>
          <w:rFonts w:ascii="Arial" w:hAnsi="Arial" w:cs="Arial"/>
          <w:sz w:val="24"/>
          <w:szCs w:val="24"/>
        </w:rPr>
        <w:t xml:space="preserve"> </w:t>
      </w:r>
      <w:r w:rsidR="00A329CB" w:rsidRPr="00814751">
        <w:rPr>
          <w:rFonts w:ascii="Arial" w:hAnsi="Arial" w:cs="Arial"/>
          <w:sz w:val="24"/>
          <w:szCs w:val="24"/>
        </w:rPr>
        <w:t>deficient soil, and typically, shoot growth is more impacted than root growth. Lack of S</w:t>
      </w:r>
      <w:r w:rsidR="009B4017">
        <w:rPr>
          <w:rFonts w:ascii="Arial" w:hAnsi="Arial" w:cs="Arial"/>
          <w:sz w:val="24"/>
          <w:szCs w:val="24"/>
        </w:rPr>
        <w:t>ulphur</w:t>
      </w:r>
      <w:r w:rsidR="00A329CB" w:rsidRPr="00814751">
        <w:rPr>
          <w:rFonts w:ascii="Arial" w:hAnsi="Arial" w:cs="Arial"/>
          <w:sz w:val="24"/>
          <w:szCs w:val="24"/>
        </w:rPr>
        <w:t xml:space="preserve"> nutrition impacts nodulation in legumes and lowers nitrogen fixation.</w:t>
      </w:r>
    </w:p>
    <w:p w14:paraId="3475C1D4" w14:textId="2DA7FC4A" w:rsidR="00151613" w:rsidRDefault="00A329CB" w:rsidP="00151613">
      <w:pPr>
        <w:spacing w:line="276" w:lineRule="auto"/>
        <w:jc w:val="both"/>
        <w:rPr>
          <w:rFonts w:ascii="Arial" w:hAnsi="Arial" w:cs="Arial"/>
          <w:b/>
          <w:bCs/>
          <w:sz w:val="24"/>
          <w:szCs w:val="24"/>
        </w:rPr>
      </w:pPr>
      <w:r w:rsidRPr="00814751">
        <w:rPr>
          <w:rFonts w:ascii="Arial" w:hAnsi="Arial" w:cs="Arial"/>
          <w:sz w:val="24"/>
          <w:szCs w:val="24"/>
        </w:rPr>
        <w:t xml:space="preserve">Sulphur deficiency results in the production of pale green, yellowish-green or solid yellow. Symptoms of sulphur deficiency look like nitrogen (N) but appear first in younger leaves due to less mobility in the plant than N, while in the case of nitrogen, they appear first in the older leaves </w:t>
      </w:r>
      <w:r w:rsidR="00F44E2A">
        <w:rPr>
          <w:rFonts w:ascii="Arial" w:hAnsi="Arial" w:cs="Arial"/>
          <w:sz w:val="24"/>
          <w:szCs w:val="24"/>
        </w:rPr>
        <w:t>(</w:t>
      </w:r>
      <w:r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{"citationItems":[{"id":"ITEM-1","itemData":{"author":[{"dropping-particle":"","family":"Chahal","given":"H S","non-dropping-particle":"","parse-names":false,"suffix":""},{"dropping-particle":"","family":"Singh","given":"A","non-dropping-particle":"","parse-names":false,"suffix":""},{"dropping-particle":"","family":"Gurdeep","given":"S M","non-dropping-particle":"","parse-names":false,"suffix":""}],"container-title":"Journal of Oilseed Brassica,","id":"ITEM-1","issue":"2","issued":{"date-parts":[["2020"]]},"page":"95-102","title":"Role of sulphur nutrition in oilseed crop production.","type":"article-journal","volume":"11"},"uris":["http://www.mendeley.com/documents/?uuid=804dc43d-a972-4f0a-94a5-0148c96a5a30"]}],"mendeley":{"formattedCitation":"(Chahal et al., 2020)","manualFormatting":"Chahal et al., 2020)","plainTextFormattedCitation":"(Chahal et al., 2020)","previouslyFormattedCitation":"(Chahal et al., 2020)"},"properties":{"noteIndex":0},"schema":"https://github.com/citation-style-language/schema/raw/master/csl-citation.json"}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Chahal et al., 2020)</w:t>
      </w:r>
      <w:r w:rsidRPr="00814751">
        <w:rPr>
          <w:rFonts w:ascii="Arial" w:hAnsi="Arial" w:cs="Arial"/>
          <w:sz w:val="24"/>
          <w:szCs w:val="24"/>
        </w:rPr>
        <w:fldChar w:fldCharType="end"/>
      </w:r>
      <w:r w:rsidRPr="00814751">
        <w:rPr>
          <w:rFonts w:ascii="Arial" w:hAnsi="Arial" w:cs="Arial"/>
          <w:sz w:val="24"/>
          <w:szCs w:val="24"/>
        </w:rPr>
        <w:t xml:space="preserve">. Disruption of protein metabolism in the synthesis of chlorophyll leads to acute deficiency. Cell division is also reduced due to </w:t>
      </w:r>
      <w:proofErr w:type="gramStart"/>
      <w:r w:rsidRPr="00814751">
        <w:rPr>
          <w:rFonts w:ascii="Arial" w:hAnsi="Arial" w:cs="Arial"/>
          <w:sz w:val="24"/>
          <w:szCs w:val="24"/>
        </w:rPr>
        <w:t>an</w:t>
      </w:r>
      <w:proofErr w:type="gramEnd"/>
      <w:r w:rsidRPr="00814751">
        <w:rPr>
          <w:rFonts w:ascii="Arial" w:hAnsi="Arial" w:cs="Arial"/>
          <w:sz w:val="24"/>
          <w:szCs w:val="24"/>
        </w:rPr>
        <w:t xml:space="preserve"> Sulphur deficiency which causes the plant to atrophy. Substantial yield obtained by applying sulphur fertilizer to crops having sulphur demand that cannot be satisfied by soil sulphur supply. Sulphur fertilization may also produce earlier and more uniform maturity and higher oil and protein levels. </w:t>
      </w:r>
      <w:r w:rsidR="003C2A55">
        <w:rPr>
          <w:rFonts w:ascii="Arial" w:hAnsi="Arial" w:cs="Arial"/>
          <w:sz w:val="24"/>
          <w:szCs w:val="24"/>
        </w:rPr>
        <w:t>(</w:t>
      </w:r>
      <w:r w:rsidRPr="00814751">
        <w:rPr>
          <w:rFonts w:ascii="Arial" w:hAnsi="Arial" w:cs="Arial"/>
          <w:sz w:val="24"/>
          <w:szCs w:val="24"/>
        </w:rPr>
        <w:fldChar w:fldCharType="begin" w:fldLock="1"/>
      </w:r>
      <w:r w:rsidR="003C2A55">
        <w:rPr>
          <w:rFonts w:ascii="Arial" w:hAnsi="Arial" w:cs="Arial"/>
          <w:sz w:val="24"/>
          <w:szCs w:val="24"/>
        </w:rPr>
        <w:instrText>ADDIN CSL_CITATION {"citationItems":[{"id":"ITEM-1","itemData":{"DOI":"10.1016/j.sjbs.2020.11.033","ISSN":"1319562X","author":[{"dropping-particle":"","family":"Burkitbayev","given":"Mukhambetkali","non-dropping-particle":"","parse-names":false,"suffix":""},{"dropping-particle":"","family":"Bachilova","given":"Nadezhda","non-dropping-particle":"","parse-names":false,"suffix":""},{"dropping-particle":"","family":"Kurmanbayeva","given":"Meruyert","non-dropping-particle":"","parse-names":false,"suffix":""},{"dropping-particle":"","family":"Tolenova","given":"Karakoz","non-dropping-particle":"","parse-names":false,"suffix":""},{"dropping-particle":"","family":"Yerezhepova","given":"Nurgul","non-dropping-particle":"","parse-names":false,"suffix":""},{"dropping-particle":"","family":"Zhumagul","given":"Moldir","non-dropping-particle":"","parse-names":false,"suffix":""},{"dropping-particle":"","family":"Mamurova","given":"Asem","non-dropping-particle":"","parse-names":false,"suffix":""},{"dropping-particle":"","family":"Turysbek","given":"Bexultan","non-dropping-particle":"","parse-names":false,"suffix":""},{"dropping-particle":"","family":"Demeu","given":"Gulim","non-dropping-particle":"","parse-names":false,"suffix":""}],"container-title":"Saudi Journal of Biological Sciences","id":"ITEM-1","issue":"1","issued":{"date-parts":[["2021","1"]]},"page":"891-900","title":"Effect of sulphur-containing agrochemicals on growth, yield, and protein content of soybeans (Glycine max (L.) Merr)","type":"article-journal","volume":"28"},"uris":["http://www.mendeley.com/documents/?uuid=36083f34-4ffd-46fc-a668-254d4e2f688d"]}],"mendeley":{"formattedCitation":"(Burkitbayev et al., 2021)","manualFormatting":"Burkitbayev et al., 2021)","plainTextFormattedCitation":"(Burkitbayev et al., 2021)","previouslyFormattedCitation":"(Burkitbayev et al., 2021)"},"properties":{"noteIndex":0},"schema":"https://github.com/citation-style-language/schema/raw/master/csl-citation.json"}</w:instrText>
      </w:r>
      <w:r w:rsidRPr="00814751">
        <w:rPr>
          <w:rFonts w:ascii="Arial" w:hAnsi="Arial" w:cs="Arial"/>
          <w:sz w:val="24"/>
          <w:szCs w:val="24"/>
        </w:rPr>
        <w:fldChar w:fldCharType="separate"/>
      </w:r>
      <w:r w:rsidRPr="00814751">
        <w:rPr>
          <w:rFonts w:ascii="Arial" w:hAnsi="Arial" w:cs="Arial"/>
          <w:noProof/>
          <w:sz w:val="24"/>
          <w:szCs w:val="24"/>
        </w:rPr>
        <w:t>Burkitbayev et al., 2021)</w:t>
      </w:r>
      <w:r w:rsidRPr="00814751">
        <w:rPr>
          <w:rFonts w:ascii="Arial" w:hAnsi="Arial" w:cs="Arial"/>
          <w:sz w:val="24"/>
          <w:szCs w:val="24"/>
        </w:rPr>
        <w:fldChar w:fldCharType="end"/>
      </w:r>
      <w:r w:rsidRPr="00814751">
        <w:rPr>
          <w:rFonts w:ascii="Arial" w:hAnsi="Arial" w:cs="Arial"/>
          <w:sz w:val="24"/>
          <w:szCs w:val="24"/>
        </w:rPr>
        <w:t>.</w:t>
      </w:r>
      <w:r w:rsidRPr="00814751">
        <w:rPr>
          <w:sz w:val="24"/>
          <w:szCs w:val="24"/>
        </w:rPr>
        <w:t xml:space="preserve"> </w:t>
      </w:r>
      <w:r w:rsidRPr="00814751">
        <w:rPr>
          <w:rFonts w:ascii="Arial" w:hAnsi="Arial" w:cs="Arial"/>
          <w:sz w:val="24"/>
          <w:szCs w:val="24"/>
        </w:rPr>
        <w:t>Elemental sulphur is not immediately effective for soils very deficient in sulphur, but may be a useful part of a long-term sulphur fertilizer management plan for soils low in plant</w:t>
      </w:r>
      <w:r w:rsidR="0099617E">
        <w:rPr>
          <w:rFonts w:ascii="Arial" w:hAnsi="Arial" w:cs="Arial"/>
          <w:sz w:val="24"/>
          <w:szCs w:val="24"/>
        </w:rPr>
        <w:t xml:space="preserve"> </w:t>
      </w:r>
      <w:r w:rsidRPr="00814751">
        <w:rPr>
          <w:rFonts w:ascii="Arial" w:hAnsi="Arial" w:cs="Arial"/>
          <w:sz w:val="24"/>
          <w:szCs w:val="24"/>
        </w:rPr>
        <w:t xml:space="preserve">available Sulphur. Sulphur solubilizing bacteria it helps in the chlorophyll formation that allows photosynthesis, by which plants produce starch, sugars, oils, fats, vitamins and other </w:t>
      </w:r>
      <w:r w:rsidRPr="0099617E">
        <w:rPr>
          <w:rFonts w:ascii="Arial" w:hAnsi="Arial" w:cs="Arial"/>
          <w:sz w:val="24"/>
          <w:szCs w:val="24"/>
        </w:rPr>
        <w:t xml:space="preserve">compounds </w:t>
      </w:r>
      <w:r w:rsidR="003C2A55" w:rsidRPr="0099617E">
        <w:rPr>
          <w:rFonts w:ascii="Arial" w:hAnsi="Arial" w:cs="Arial"/>
          <w:sz w:val="24"/>
          <w:szCs w:val="24"/>
        </w:rPr>
        <w:t>(</w:t>
      </w:r>
      <w:r w:rsidRPr="0099617E">
        <w:rPr>
          <w:rFonts w:ascii="Arial" w:hAnsi="Arial" w:cs="Arial"/>
          <w:sz w:val="24"/>
          <w:szCs w:val="24"/>
        </w:rPr>
        <w:fldChar w:fldCharType="begin" w:fldLock="1"/>
      </w:r>
      <w:r w:rsidR="003C2A55" w:rsidRPr="0099617E">
        <w:rPr>
          <w:rFonts w:ascii="Arial" w:hAnsi="Arial" w:cs="Arial"/>
          <w:sz w:val="24"/>
          <w:szCs w:val="24"/>
        </w:rPr>
        <w:instrText>ADDIN CSL_CITATION {"citationItems":[{"id":"ITEM-1","itemData":{"DOI":"10.1007/s42729-022-00798-9","ISSN":"0718-9508","author":[{"dropping-particle":"","family":"Shah","given":"S H","non-dropping-particle":"","parse-names":false,"suffix":""},{"dropping-particle":"","family":"Islam","given":"Shaistul","non-dropping-particle":"","parse-names":false,"suffix":""},{"dropping-particle":"","family":"Mohammad","given":"Firoz","non-dropping-particle":"","parse-names":false,"suffix":""}],"container-title":"Journal of Soil Science and Plant Nutrition","id":"ITEM-1","issue":"2","issued":{"date-parts":[["2022","6","25"]]},"page":"2118-2143","title":"Sulphur as a dynamic mineral element for plants: a review","type":"article-journal","volume":"22"},"uris":["http://www.mendeley.com/documents/?uuid=f0f20ed0-83b2-4be0-bc25-42e7bdc0874f"]}],"mendeley":{"formattedCitation":"(Shah et al., 2022)","manualFormatting":"Shah et al., 2022)","plainTextFormattedCitation":"(Shah et al., 2022)","previouslyFormattedCitation":"(Shah et al., 2022)"},"properties":{"noteIndex":0},"schema":"https://github.com/citation-style-language/schema/raw/master/csl-citation.json"}</w:instrText>
      </w:r>
      <w:r w:rsidRPr="0099617E">
        <w:rPr>
          <w:rFonts w:ascii="Arial" w:hAnsi="Arial" w:cs="Arial"/>
          <w:sz w:val="24"/>
          <w:szCs w:val="24"/>
        </w:rPr>
        <w:fldChar w:fldCharType="separate"/>
      </w:r>
      <w:r w:rsidRPr="0099617E">
        <w:rPr>
          <w:rFonts w:ascii="Arial" w:hAnsi="Arial" w:cs="Arial"/>
          <w:noProof/>
          <w:sz w:val="24"/>
          <w:szCs w:val="24"/>
        </w:rPr>
        <w:t>Shah et al., 2022)</w:t>
      </w:r>
      <w:r w:rsidRPr="0099617E">
        <w:rPr>
          <w:rFonts w:ascii="Arial" w:hAnsi="Arial" w:cs="Arial"/>
          <w:sz w:val="24"/>
          <w:szCs w:val="24"/>
        </w:rPr>
        <w:fldChar w:fldCharType="end"/>
      </w:r>
      <w:r w:rsidRPr="0099617E">
        <w:rPr>
          <w:rFonts w:ascii="Arial" w:hAnsi="Arial" w:cs="Arial"/>
          <w:sz w:val="24"/>
          <w:szCs w:val="24"/>
        </w:rPr>
        <w:t xml:space="preserve">. Nano materials are the product of nano technology, a field in which </w:t>
      </w:r>
      <w:r w:rsidRPr="00814751">
        <w:rPr>
          <w:rFonts w:ascii="Arial" w:hAnsi="Arial" w:cs="Arial"/>
          <w:sz w:val="24"/>
          <w:szCs w:val="24"/>
        </w:rPr>
        <w:t xml:space="preserve">particle sizes are reduced </w:t>
      </w:r>
      <w:r w:rsidR="00F44E2A">
        <w:rPr>
          <w:rFonts w:ascii="Arial" w:hAnsi="Arial" w:cs="Arial"/>
          <w:sz w:val="24"/>
          <w:szCs w:val="24"/>
        </w:rPr>
        <w:t>(</w:t>
      </w:r>
      <w:r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DOI":"10.1016/j.arabjc.2017.05.011","ISSN":"18785352","author":[{"dropping-particle":"","family":"Khan","given":"Ibrahim","non-dropping-particle":"","parse-names":false,"suffix":""},{"dropping-particle":"","family":"Saeed","given":"Khalid","non-dropping-particle":"","parse-names":false,"suffix":""},{"dropping-particle":"","family":"Khan","given":"Idrees","non-dropping-particle":"","parse-names":false,"suffix":""}],"container-title":"Arabian Journal of Chemistry","id":"ITEM-1","issue":"7","issued":{"date-parts":[["2019","11"]]},"page":"908-931","title":"Nanoparticles: Properties, applications and toxicities","type":"article-journal","volume":"12"},"uris":["http://www.mendeley.com/documents/?uuid=4a66fda6-4271-4aac-be31-274cc55a58e5"]}],"mendeley":{"formattedCitation":"(Khan et al., 2019)","manualFormatting":"Khan et al., 2019)","plainTextFormattedCitation":"(Khan et al., 2019)","previouslyFormattedCitation":"(Khan et al., 2019)"},"properties":{"noteIndex":0},"schema":"https://github.com/citation-style-language/schema/raw/master/csl-citation.json"}</w:instrText>
      </w:r>
      <w:r w:rsidRPr="00814751">
        <w:rPr>
          <w:rFonts w:ascii="Arial" w:hAnsi="Arial" w:cs="Arial"/>
          <w:sz w:val="24"/>
          <w:szCs w:val="24"/>
        </w:rPr>
        <w:fldChar w:fldCharType="separate"/>
      </w:r>
      <w:r w:rsidR="002F3B0E" w:rsidRPr="00814751">
        <w:rPr>
          <w:rFonts w:ascii="Arial" w:hAnsi="Arial" w:cs="Arial"/>
          <w:noProof/>
          <w:sz w:val="24"/>
          <w:szCs w:val="24"/>
        </w:rPr>
        <w:t>Khan et al., 2019)</w:t>
      </w:r>
      <w:r w:rsidRPr="00814751">
        <w:rPr>
          <w:rFonts w:ascii="Arial" w:hAnsi="Arial" w:cs="Arial"/>
          <w:sz w:val="24"/>
          <w:szCs w:val="24"/>
        </w:rPr>
        <w:fldChar w:fldCharType="end"/>
      </w:r>
      <w:r w:rsidRPr="00814751">
        <w:rPr>
          <w:rFonts w:ascii="Arial" w:hAnsi="Arial" w:cs="Arial"/>
          <w:sz w:val="24"/>
          <w:szCs w:val="24"/>
        </w:rPr>
        <w:t>.</w:t>
      </w:r>
      <w:r w:rsidR="00E413E3">
        <w:rPr>
          <w:rFonts w:ascii="Arial" w:hAnsi="Arial" w:cs="Arial"/>
          <w:sz w:val="24"/>
          <w:szCs w:val="24"/>
        </w:rPr>
        <w:t xml:space="preserve"> </w:t>
      </w:r>
      <w:r w:rsidRPr="00814751">
        <w:rPr>
          <w:rFonts w:ascii="Arial" w:hAnsi="Arial" w:cs="Arial"/>
          <w:sz w:val="24"/>
          <w:szCs w:val="24"/>
        </w:rPr>
        <w:t>It has been shown that nano-sulphur application decreased Hg accumulation and increased</w:t>
      </w:r>
      <w:r w:rsidR="00B2293E">
        <w:rPr>
          <w:rFonts w:ascii="Arial" w:hAnsi="Arial" w:cs="Arial"/>
          <w:sz w:val="24"/>
          <w:szCs w:val="24"/>
        </w:rPr>
        <w:t xml:space="preserve"> </w:t>
      </w:r>
      <w:r w:rsidRPr="00814751">
        <w:rPr>
          <w:rFonts w:ascii="Arial" w:hAnsi="Arial" w:cs="Arial"/>
          <w:sz w:val="24"/>
          <w:szCs w:val="24"/>
        </w:rPr>
        <w:t>growth</w:t>
      </w:r>
      <w:r w:rsidR="00B2293E">
        <w:rPr>
          <w:rFonts w:ascii="Arial" w:hAnsi="Arial" w:cs="Arial"/>
          <w:sz w:val="24"/>
          <w:szCs w:val="24"/>
        </w:rPr>
        <w:t xml:space="preserve"> </w:t>
      </w:r>
      <w:r w:rsidRPr="00814751">
        <w:rPr>
          <w:rFonts w:ascii="Arial" w:hAnsi="Arial" w:cs="Arial"/>
          <w:sz w:val="24"/>
          <w:szCs w:val="24"/>
        </w:rPr>
        <w:t>of</w:t>
      </w:r>
      <w:r w:rsidR="00B2293E">
        <w:rPr>
          <w:rFonts w:ascii="Arial" w:hAnsi="Arial" w:cs="Arial"/>
          <w:sz w:val="24"/>
          <w:szCs w:val="24"/>
        </w:rPr>
        <w:t xml:space="preserve"> </w:t>
      </w:r>
      <w:r w:rsidRPr="00814751">
        <w:rPr>
          <w:rFonts w:ascii="Arial" w:hAnsi="Arial" w:cs="Arial"/>
          <w:sz w:val="24"/>
          <w:szCs w:val="24"/>
        </w:rPr>
        <w:t xml:space="preserve">oilseed </w:t>
      </w:r>
      <w:proofErr w:type="spellStart"/>
      <w:r w:rsidRPr="00814751">
        <w:rPr>
          <w:rFonts w:ascii="Arial" w:hAnsi="Arial" w:cs="Arial"/>
          <w:sz w:val="24"/>
          <w:szCs w:val="24"/>
        </w:rPr>
        <w:t>rapeseedlings</w:t>
      </w:r>
      <w:proofErr w:type="spellEnd"/>
      <w:r w:rsidRPr="00814751">
        <w:rPr>
          <w:rFonts w:ascii="Arial" w:hAnsi="Arial" w:cs="Arial"/>
          <w:sz w:val="24"/>
          <w:szCs w:val="24"/>
        </w:rPr>
        <w:t xml:space="preserve"> (</w:t>
      </w:r>
      <w:proofErr w:type="gramStart"/>
      <w:r w:rsidRPr="00814751">
        <w:rPr>
          <w:rFonts w:ascii="Arial" w:hAnsi="Arial" w:cs="Arial"/>
          <w:i/>
          <w:iCs/>
          <w:sz w:val="24"/>
          <w:szCs w:val="24"/>
        </w:rPr>
        <w:t xml:space="preserve">Brassica  </w:t>
      </w:r>
      <w:proofErr w:type="spellStart"/>
      <w:r w:rsidRPr="00814751">
        <w:rPr>
          <w:rFonts w:ascii="Arial" w:hAnsi="Arial" w:cs="Arial"/>
          <w:i/>
          <w:iCs/>
          <w:sz w:val="24"/>
          <w:szCs w:val="24"/>
        </w:rPr>
        <w:t>napus</w:t>
      </w:r>
      <w:proofErr w:type="spellEnd"/>
      <w:proofErr w:type="gramEnd"/>
      <w:r w:rsidRPr="00814751">
        <w:rPr>
          <w:rFonts w:ascii="Arial" w:hAnsi="Arial" w:cs="Arial"/>
          <w:sz w:val="24"/>
          <w:szCs w:val="24"/>
        </w:rPr>
        <w:t xml:space="preserve"> L.) via modulation of antioxidant enzymes pathway and affecting the soil microbial communities when grown on mercury-contaminated soil. Nano-</w:t>
      </w:r>
      <w:proofErr w:type="gramStart"/>
      <w:r w:rsidRPr="00814751">
        <w:rPr>
          <w:rFonts w:ascii="Arial" w:hAnsi="Arial" w:cs="Arial"/>
          <w:sz w:val="24"/>
          <w:szCs w:val="24"/>
        </w:rPr>
        <w:t>sulphur  holds</w:t>
      </w:r>
      <w:proofErr w:type="gramEnd"/>
      <w:r w:rsidRPr="00814751">
        <w:rPr>
          <w:rFonts w:ascii="Arial" w:hAnsi="Arial" w:cs="Arial"/>
          <w:sz w:val="24"/>
          <w:szCs w:val="24"/>
        </w:rPr>
        <w:t xml:space="preserve">  great  promise  as  an important nanomaterial to alleviate the current food security challenges faced by agriculture and to simultaneously reduce the input of synthetic pesticides. Its beneficial effects are attributed to its ability to improve plant growth and development, enhance </w:t>
      </w:r>
      <w:proofErr w:type="gramStart"/>
      <w:r w:rsidRPr="00814751">
        <w:rPr>
          <w:rFonts w:ascii="Arial" w:hAnsi="Arial" w:cs="Arial"/>
          <w:sz w:val="24"/>
          <w:szCs w:val="24"/>
        </w:rPr>
        <w:t>nutrient  absorption</w:t>
      </w:r>
      <w:proofErr w:type="gramEnd"/>
      <w:r w:rsidRPr="00814751">
        <w:rPr>
          <w:rFonts w:ascii="Arial" w:hAnsi="Arial" w:cs="Arial"/>
          <w:sz w:val="24"/>
          <w:szCs w:val="24"/>
        </w:rPr>
        <w:t xml:space="preserve"> through soil improvement, stimulate significant defence activity against plant pathogens, and regulate oxidative stress.</w:t>
      </w:r>
      <w:r w:rsidR="000F7E4C">
        <w:rPr>
          <w:rFonts w:ascii="Arial" w:hAnsi="Arial" w:cs="Arial"/>
          <w:sz w:val="24"/>
          <w:szCs w:val="24"/>
        </w:rPr>
        <w:t xml:space="preserve"> </w:t>
      </w:r>
      <w:r w:rsidR="00151613">
        <w:rPr>
          <w:rFonts w:ascii="Arial" w:hAnsi="Arial" w:cs="Arial"/>
          <w:sz w:val="24"/>
          <w:szCs w:val="24"/>
        </w:rPr>
        <w:t xml:space="preserve">Thus, the experiment was </w:t>
      </w:r>
      <w:r w:rsidR="00151613" w:rsidRPr="00151613">
        <w:rPr>
          <w:rFonts w:ascii="Arial" w:hAnsi="Arial" w:cs="Arial"/>
          <w:sz w:val="24"/>
          <w:szCs w:val="24"/>
        </w:rPr>
        <w:t xml:space="preserve">aimed to </w:t>
      </w:r>
      <w:r w:rsidR="00151613" w:rsidRPr="00151613">
        <w:rPr>
          <w:rFonts w:ascii="Arial" w:hAnsi="Arial" w:cs="Arial"/>
          <w:sz w:val="24"/>
          <w:szCs w:val="24"/>
        </w:rPr>
        <w:lastRenderedPageBreak/>
        <w:t>evaluate the growth and yield attributes of Linseed (</w:t>
      </w:r>
      <w:proofErr w:type="spellStart"/>
      <w:r w:rsidR="00151613" w:rsidRPr="00151613">
        <w:rPr>
          <w:rFonts w:ascii="Arial" w:hAnsi="Arial" w:cs="Arial"/>
          <w:i/>
          <w:iCs/>
          <w:sz w:val="24"/>
          <w:szCs w:val="24"/>
        </w:rPr>
        <w:t>Linum</w:t>
      </w:r>
      <w:proofErr w:type="spellEnd"/>
      <w:r w:rsidR="00151613" w:rsidRPr="00151613">
        <w:rPr>
          <w:rFonts w:ascii="Arial" w:hAnsi="Arial" w:cs="Arial"/>
          <w:i/>
          <w:iCs/>
          <w:sz w:val="24"/>
          <w:szCs w:val="24"/>
        </w:rPr>
        <w:t xml:space="preserve"> </w:t>
      </w:r>
      <w:proofErr w:type="spellStart"/>
      <w:r w:rsidR="00151613" w:rsidRPr="00151613">
        <w:rPr>
          <w:rFonts w:ascii="Arial" w:hAnsi="Arial" w:cs="Arial"/>
          <w:i/>
          <w:iCs/>
          <w:sz w:val="24"/>
          <w:szCs w:val="24"/>
        </w:rPr>
        <w:t>usitatissimum</w:t>
      </w:r>
      <w:proofErr w:type="spellEnd"/>
      <w:r w:rsidR="00151613" w:rsidRPr="00151613">
        <w:rPr>
          <w:rFonts w:ascii="Arial" w:hAnsi="Arial" w:cs="Arial"/>
          <w:sz w:val="24"/>
          <w:szCs w:val="24"/>
        </w:rPr>
        <w:t xml:space="preserve"> L.) as influenced by different sources of Sulphur under </w:t>
      </w:r>
      <w:proofErr w:type="spellStart"/>
      <w:r w:rsidR="00151613" w:rsidRPr="00151613">
        <w:rPr>
          <w:rFonts w:ascii="Arial" w:hAnsi="Arial" w:cs="Arial"/>
          <w:sz w:val="24"/>
          <w:szCs w:val="24"/>
        </w:rPr>
        <w:t>Dhampur</w:t>
      </w:r>
      <w:proofErr w:type="spellEnd"/>
      <w:r w:rsidR="00151613" w:rsidRPr="00151613">
        <w:rPr>
          <w:rFonts w:ascii="Arial" w:hAnsi="Arial" w:cs="Arial"/>
          <w:sz w:val="24"/>
          <w:szCs w:val="24"/>
        </w:rPr>
        <w:t xml:space="preserve"> condition</w:t>
      </w:r>
      <w:r w:rsidR="00151613">
        <w:rPr>
          <w:rFonts w:ascii="Arial" w:hAnsi="Arial" w:cs="Arial"/>
          <w:sz w:val="24"/>
          <w:szCs w:val="24"/>
        </w:rPr>
        <w:t>.</w:t>
      </w:r>
    </w:p>
    <w:p w14:paraId="78297B35" w14:textId="2499A501" w:rsidR="00742EA4" w:rsidRPr="000F7E4C" w:rsidRDefault="00742EA4" w:rsidP="000D4F37">
      <w:pPr>
        <w:spacing w:after="120" w:line="360" w:lineRule="auto"/>
        <w:ind w:firstLine="720"/>
        <w:jc w:val="both"/>
        <w:rPr>
          <w:rFonts w:ascii="Arial" w:hAnsi="Arial" w:cs="Arial"/>
          <w:sz w:val="24"/>
          <w:szCs w:val="24"/>
        </w:rPr>
      </w:pPr>
    </w:p>
    <w:p w14:paraId="6A6E9536" w14:textId="694095A6" w:rsidR="009B7762" w:rsidRPr="00814751" w:rsidRDefault="006334EF" w:rsidP="000D4F37">
      <w:pPr>
        <w:pStyle w:val="NoSpacing"/>
        <w:numPr>
          <w:ilvl w:val="0"/>
          <w:numId w:val="4"/>
        </w:numPr>
        <w:spacing w:after="120" w:line="360" w:lineRule="auto"/>
        <w:jc w:val="center"/>
        <w:rPr>
          <w:rFonts w:ascii="Arial" w:hAnsi="Arial" w:cs="Arial"/>
          <w:b/>
          <w:bCs/>
          <w:sz w:val="24"/>
          <w:szCs w:val="24"/>
        </w:rPr>
      </w:pPr>
      <w:r w:rsidRPr="00814751">
        <w:rPr>
          <w:rFonts w:ascii="Arial" w:hAnsi="Arial" w:cs="Arial"/>
          <w:b/>
          <w:bCs/>
          <w:sz w:val="24"/>
          <w:szCs w:val="24"/>
        </w:rPr>
        <w:t>METHOD</w:t>
      </w:r>
      <w:r w:rsidR="00151613">
        <w:rPr>
          <w:rFonts w:ascii="Arial" w:hAnsi="Arial" w:cs="Arial"/>
          <w:b/>
          <w:bCs/>
          <w:sz w:val="24"/>
          <w:szCs w:val="24"/>
        </w:rPr>
        <w:t>S</w:t>
      </w:r>
      <w:r w:rsidRPr="00814751">
        <w:rPr>
          <w:rFonts w:ascii="Arial" w:hAnsi="Arial" w:cs="Arial"/>
          <w:b/>
          <w:bCs/>
          <w:sz w:val="24"/>
          <w:szCs w:val="24"/>
        </w:rPr>
        <w:t xml:space="preserve"> AND </w:t>
      </w:r>
      <w:commentRangeStart w:id="3"/>
      <w:r w:rsidRPr="00814751">
        <w:rPr>
          <w:rFonts w:ascii="Arial" w:hAnsi="Arial" w:cs="Arial"/>
          <w:b/>
          <w:bCs/>
          <w:sz w:val="24"/>
          <w:szCs w:val="24"/>
        </w:rPr>
        <w:t>METERIAL</w:t>
      </w:r>
      <w:r w:rsidR="00151613">
        <w:rPr>
          <w:rFonts w:ascii="Arial" w:hAnsi="Arial" w:cs="Arial"/>
          <w:b/>
          <w:bCs/>
          <w:sz w:val="24"/>
          <w:szCs w:val="24"/>
        </w:rPr>
        <w:t>S</w:t>
      </w:r>
      <w:commentRangeEnd w:id="3"/>
      <w:r w:rsidR="00077208">
        <w:rPr>
          <w:rStyle w:val="CommentReference"/>
          <w:rFonts w:asciiTheme="minorHAnsi" w:eastAsiaTheme="minorHAnsi" w:hAnsiTheme="minorHAnsi" w:cstheme="minorBidi"/>
          <w:kern w:val="2"/>
          <w:lang w:val="en-IN" w:bidi="ar-SA"/>
          <w14:ligatures w14:val="standardContextual"/>
        </w:rPr>
        <w:commentReference w:id="3"/>
      </w:r>
    </w:p>
    <w:p w14:paraId="41966E3C" w14:textId="2FDD2DDD" w:rsidR="001820F8" w:rsidRPr="00151613" w:rsidRDefault="004C497C" w:rsidP="00151613">
      <w:pPr>
        <w:jc w:val="both"/>
        <w:rPr>
          <w:rFonts w:ascii="Arial" w:hAnsi="Arial" w:cs="Arial"/>
          <w:b/>
          <w:bCs/>
          <w:sz w:val="24"/>
          <w:szCs w:val="24"/>
        </w:rPr>
      </w:pPr>
      <w:r w:rsidRPr="004C497C">
        <w:rPr>
          <w:rFonts w:ascii="Arial" w:eastAsia="Arial Unicode MS" w:hAnsi="Arial" w:cs="Arial"/>
          <w:sz w:val="24"/>
          <w:szCs w:val="24"/>
        </w:rPr>
        <w:t>A field experiment entitled</w:t>
      </w:r>
      <w:r w:rsidRPr="004C497C">
        <w:rPr>
          <w:rFonts w:ascii="Arial" w:eastAsia="Arial Unicode MS" w:hAnsi="Arial" w:cs="Arial"/>
          <w:b/>
          <w:bCs/>
          <w:sz w:val="24"/>
          <w:szCs w:val="24"/>
        </w:rPr>
        <w:t xml:space="preserve"> </w:t>
      </w:r>
      <w:r w:rsidR="00151613" w:rsidRPr="00151613">
        <w:rPr>
          <w:rFonts w:ascii="Arial" w:hAnsi="Arial" w:cs="Arial"/>
          <w:sz w:val="24"/>
          <w:szCs w:val="24"/>
        </w:rPr>
        <w:t>growth and yield attributes of Linseed (</w:t>
      </w:r>
      <w:proofErr w:type="spellStart"/>
      <w:r w:rsidR="00151613" w:rsidRPr="00151613">
        <w:rPr>
          <w:rFonts w:ascii="Arial" w:hAnsi="Arial" w:cs="Arial"/>
          <w:i/>
          <w:iCs/>
          <w:sz w:val="24"/>
          <w:szCs w:val="24"/>
        </w:rPr>
        <w:t>Linum</w:t>
      </w:r>
      <w:proofErr w:type="spellEnd"/>
      <w:r w:rsidR="00151613" w:rsidRPr="00151613">
        <w:rPr>
          <w:rFonts w:ascii="Arial" w:hAnsi="Arial" w:cs="Arial"/>
          <w:i/>
          <w:iCs/>
          <w:sz w:val="24"/>
          <w:szCs w:val="24"/>
        </w:rPr>
        <w:t xml:space="preserve"> </w:t>
      </w:r>
      <w:proofErr w:type="spellStart"/>
      <w:r w:rsidR="00151613" w:rsidRPr="00151613">
        <w:rPr>
          <w:rFonts w:ascii="Arial" w:hAnsi="Arial" w:cs="Arial"/>
          <w:i/>
          <w:iCs/>
          <w:sz w:val="24"/>
          <w:szCs w:val="24"/>
        </w:rPr>
        <w:t>usitatissimum</w:t>
      </w:r>
      <w:proofErr w:type="spellEnd"/>
      <w:r w:rsidR="00151613" w:rsidRPr="00151613">
        <w:rPr>
          <w:rFonts w:ascii="Arial" w:hAnsi="Arial" w:cs="Arial"/>
          <w:sz w:val="24"/>
          <w:szCs w:val="24"/>
        </w:rPr>
        <w:t xml:space="preserve"> L.) as influenced by different sources of Sulphur under </w:t>
      </w:r>
      <w:proofErr w:type="spellStart"/>
      <w:r w:rsidR="00151613" w:rsidRPr="00151613">
        <w:rPr>
          <w:rFonts w:ascii="Arial" w:hAnsi="Arial" w:cs="Arial"/>
          <w:sz w:val="24"/>
          <w:szCs w:val="24"/>
        </w:rPr>
        <w:t>Dhampur</w:t>
      </w:r>
      <w:proofErr w:type="spellEnd"/>
      <w:r w:rsidR="00151613" w:rsidRPr="00151613">
        <w:rPr>
          <w:rFonts w:ascii="Arial" w:hAnsi="Arial" w:cs="Arial"/>
          <w:sz w:val="24"/>
          <w:szCs w:val="24"/>
        </w:rPr>
        <w:t xml:space="preserve"> condition</w:t>
      </w:r>
      <w:r w:rsidR="00151613">
        <w:rPr>
          <w:rFonts w:ascii="Arial" w:hAnsi="Arial" w:cs="Arial"/>
          <w:b/>
          <w:bCs/>
          <w:sz w:val="24"/>
          <w:szCs w:val="24"/>
        </w:rPr>
        <w:t xml:space="preserve"> </w:t>
      </w:r>
      <w:r w:rsidRPr="004C497C">
        <w:rPr>
          <w:rFonts w:ascii="Arial" w:eastAsia="Arial Unicode MS" w:hAnsi="Arial" w:cs="Arial"/>
          <w:sz w:val="24"/>
          <w:szCs w:val="24"/>
        </w:rPr>
        <w:t>was conducted during winter (</w:t>
      </w:r>
      <w:r w:rsidRPr="004C497C">
        <w:rPr>
          <w:rFonts w:ascii="Arial" w:eastAsia="Arial Unicode MS" w:hAnsi="Arial" w:cs="Arial"/>
          <w:i/>
          <w:iCs/>
          <w:sz w:val="24"/>
          <w:szCs w:val="24"/>
        </w:rPr>
        <w:t>Rabi</w:t>
      </w:r>
      <w:r w:rsidRPr="004C497C">
        <w:rPr>
          <w:rFonts w:ascii="Arial" w:eastAsia="Arial Unicode MS" w:hAnsi="Arial" w:cs="Arial"/>
          <w:sz w:val="24"/>
          <w:szCs w:val="24"/>
        </w:rPr>
        <w:t>) seasons 2024-25 at Agronom</w:t>
      </w:r>
      <w:r w:rsidR="00EC50E7">
        <w:rPr>
          <w:rFonts w:ascii="Arial" w:eastAsia="Arial Unicode MS" w:hAnsi="Arial" w:cs="Arial"/>
          <w:sz w:val="24"/>
          <w:szCs w:val="24"/>
        </w:rPr>
        <w:t>y</w:t>
      </w:r>
      <w:r w:rsidRPr="004C497C">
        <w:rPr>
          <w:rFonts w:ascii="Arial" w:eastAsia="Arial Unicode MS" w:hAnsi="Arial" w:cs="Arial"/>
          <w:sz w:val="24"/>
          <w:szCs w:val="24"/>
        </w:rPr>
        <w:t xml:space="preserve"> Research Farm R.S.M. (P.G.) College, </w:t>
      </w:r>
      <w:proofErr w:type="spellStart"/>
      <w:r w:rsidRPr="004C497C">
        <w:rPr>
          <w:rFonts w:ascii="Arial" w:eastAsia="Arial Unicode MS" w:hAnsi="Arial" w:cs="Arial"/>
          <w:sz w:val="24"/>
          <w:szCs w:val="24"/>
        </w:rPr>
        <w:t>Dhampur</w:t>
      </w:r>
      <w:proofErr w:type="spellEnd"/>
      <w:r w:rsidRPr="004C497C">
        <w:rPr>
          <w:rFonts w:ascii="Arial" w:eastAsia="Arial Unicode MS" w:hAnsi="Arial" w:cs="Arial"/>
          <w:sz w:val="24"/>
          <w:szCs w:val="24"/>
        </w:rPr>
        <w:t xml:space="preserve">, </w:t>
      </w:r>
      <w:proofErr w:type="spellStart"/>
      <w:r w:rsidRPr="004C497C">
        <w:rPr>
          <w:rFonts w:ascii="Arial" w:eastAsia="Arial Unicode MS" w:hAnsi="Arial" w:cs="Arial"/>
          <w:sz w:val="24"/>
          <w:szCs w:val="24"/>
        </w:rPr>
        <w:t>Bijnor</w:t>
      </w:r>
      <w:proofErr w:type="spellEnd"/>
      <w:r w:rsidRPr="004C497C">
        <w:rPr>
          <w:rFonts w:ascii="Arial" w:eastAsia="Arial Unicode MS" w:hAnsi="Arial" w:cs="Arial"/>
          <w:sz w:val="24"/>
          <w:szCs w:val="24"/>
        </w:rPr>
        <w:t xml:space="preserve">, Uttar Pradesh, India. The details of experiment techniques and materials used for treatment evaluation during the course of investigation are described. </w:t>
      </w:r>
      <w:r w:rsidRPr="00CE072E">
        <w:rPr>
          <w:rFonts w:ascii="Arial" w:eastAsia="Arial Unicode MS" w:hAnsi="Arial" w:cs="Arial"/>
          <w:sz w:val="24"/>
          <w:szCs w:val="24"/>
        </w:rPr>
        <w:t xml:space="preserve">The current study was conducted as a field experiment during the </w:t>
      </w:r>
      <w:r>
        <w:rPr>
          <w:rFonts w:ascii="Arial" w:eastAsia="Arial Unicode MS" w:hAnsi="Arial" w:cs="Arial"/>
          <w:i/>
          <w:sz w:val="24"/>
          <w:szCs w:val="24"/>
        </w:rPr>
        <w:t>r</w:t>
      </w:r>
      <w:r w:rsidRPr="00CE072E">
        <w:rPr>
          <w:rFonts w:ascii="Arial" w:eastAsia="Arial Unicode MS" w:hAnsi="Arial" w:cs="Arial"/>
          <w:i/>
          <w:sz w:val="24"/>
          <w:szCs w:val="24"/>
        </w:rPr>
        <w:t>abi</w:t>
      </w:r>
      <w:r w:rsidRPr="00CE072E">
        <w:rPr>
          <w:rFonts w:ascii="Arial" w:eastAsia="Arial Unicode MS" w:hAnsi="Arial" w:cs="Arial"/>
          <w:sz w:val="24"/>
          <w:szCs w:val="24"/>
        </w:rPr>
        <w:t xml:space="preserve"> season, spanning from </w:t>
      </w:r>
      <w:r w:rsidRPr="00D80E0F">
        <w:rPr>
          <w:rFonts w:ascii="Arial" w:eastAsia="Arial Unicode MS" w:hAnsi="Arial" w:cs="Arial"/>
          <w:color w:val="000000" w:themeColor="text1"/>
          <w:sz w:val="24"/>
          <w:szCs w:val="24"/>
        </w:rPr>
        <w:t>December 2024 to April 2025 at Agronom</w:t>
      </w:r>
      <w:r w:rsidR="004D7867">
        <w:rPr>
          <w:rFonts w:ascii="Arial" w:eastAsia="Arial Unicode MS" w:hAnsi="Arial" w:cs="Arial"/>
          <w:color w:val="000000" w:themeColor="text1"/>
          <w:sz w:val="24"/>
          <w:szCs w:val="24"/>
        </w:rPr>
        <w:t>y</w:t>
      </w:r>
      <w:r w:rsidRPr="00D80E0F">
        <w:rPr>
          <w:rFonts w:ascii="Arial" w:eastAsia="Arial Unicode MS" w:hAnsi="Arial" w:cs="Arial"/>
          <w:color w:val="000000" w:themeColor="text1"/>
          <w:sz w:val="24"/>
          <w:szCs w:val="24"/>
        </w:rPr>
        <w:t xml:space="preserve"> Research Farm, R.S.M. (P.G.) College, </w:t>
      </w:r>
      <w:proofErr w:type="spellStart"/>
      <w:r w:rsidRPr="00D80E0F">
        <w:rPr>
          <w:rFonts w:ascii="Arial" w:eastAsia="Arial Unicode MS" w:hAnsi="Arial" w:cs="Arial"/>
          <w:color w:val="000000" w:themeColor="text1"/>
          <w:sz w:val="24"/>
          <w:szCs w:val="24"/>
        </w:rPr>
        <w:t>Dhampur</w:t>
      </w:r>
      <w:proofErr w:type="spellEnd"/>
      <w:r w:rsidRPr="00D80E0F">
        <w:rPr>
          <w:rFonts w:ascii="Arial" w:eastAsia="Arial Unicode MS" w:hAnsi="Arial" w:cs="Arial"/>
          <w:color w:val="000000" w:themeColor="text1"/>
          <w:sz w:val="24"/>
          <w:szCs w:val="24"/>
        </w:rPr>
        <w:t xml:space="preserve"> (</w:t>
      </w:r>
      <w:proofErr w:type="spellStart"/>
      <w:r w:rsidRPr="00D80E0F">
        <w:rPr>
          <w:rFonts w:ascii="Arial" w:eastAsia="Arial Unicode MS" w:hAnsi="Arial" w:cs="Arial"/>
          <w:color w:val="000000" w:themeColor="text1"/>
          <w:sz w:val="24"/>
          <w:szCs w:val="24"/>
        </w:rPr>
        <w:t>Bijnor</w:t>
      </w:r>
      <w:proofErr w:type="spellEnd"/>
      <w:r w:rsidRPr="00D80E0F">
        <w:rPr>
          <w:rFonts w:ascii="Arial" w:eastAsia="Arial Unicode MS" w:hAnsi="Arial" w:cs="Arial"/>
          <w:color w:val="000000" w:themeColor="text1"/>
          <w:sz w:val="24"/>
          <w:szCs w:val="24"/>
        </w:rPr>
        <w:t xml:space="preserve">). This farm is positioned approximately 1 </w:t>
      </w:r>
      <w:proofErr w:type="spellStart"/>
      <w:r w:rsidRPr="00D80E0F">
        <w:rPr>
          <w:rFonts w:ascii="Arial" w:eastAsia="Arial Unicode MS" w:hAnsi="Arial" w:cs="Arial"/>
          <w:color w:val="000000" w:themeColor="text1"/>
          <w:sz w:val="24"/>
          <w:szCs w:val="24"/>
        </w:rPr>
        <w:t>kilometer</w:t>
      </w:r>
      <w:proofErr w:type="spellEnd"/>
      <w:r w:rsidRPr="00D80E0F">
        <w:rPr>
          <w:rFonts w:ascii="Arial" w:eastAsia="Arial Unicode MS" w:hAnsi="Arial" w:cs="Arial"/>
          <w:color w:val="000000" w:themeColor="text1"/>
          <w:sz w:val="24"/>
          <w:szCs w:val="24"/>
        </w:rPr>
        <w:t xml:space="preserve"> east of </w:t>
      </w:r>
      <w:proofErr w:type="spellStart"/>
      <w:r w:rsidRPr="00D80E0F">
        <w:rPr>
          <w:rFonts w:ascii="Arial" w:eastAsia="Arial Unicode MS" w:hAnsi="Arial" w:cs="Arial"/>
          <w:color w:val="000000" w:themeColor="text1"/>
          <w:sz w:val="24"/>
          <w:szCs w:val="24"/>
        </w:rPr>
        <w:t>Dhampur</w:t>
      </w:r>
      <w:proofErr w:type="spellEnd"/>
      <w:r w:rsidRPr="00D80E0F">
        <w:rPr>
          <w:rFonts w:ascii="Arial" w:eastAsia="Arial Unicode MS" w:hAnsi="Arial" w:cs="Arial"/>
          <w:color w:val="000000" w:themeColor="text1"/>
          <w:sz w:val="24"/>
          <w:szCs w:val="24"/>
        </w:rPr>
        <w:t xml:space="preserve"> town, situated along the </w:t>
      </w:r>
      <w:proofErr w:type="spellStart"/>
      <w:r w:rsidRPr="00D80E0F">
        <w:rPr>
          <w:rFonts w:ascii="Arial" w:eastAsia="Arial Unicode MS" w:hAnsi="Arial" w:cs="Arial"/>
          <w:color w:val="000000" w:themeColor="text1"/>
          <w:sz w:val="24"/>
          <w:szCs w:val="24"/>
        </w:rPr>
        <w:t>Dhampur</w:t>
      </w:r>
      <w:proofErr w:type="spellEnd"/>
      <w:r w:rsidR="00B2293E">
        <w:rPr>
          <w:rFonts w:ascii="Arial" w:eastAsia="Arial Unicode MS" w:hAnsi="Arial" w:cs="Arial"/>
          <w:color w:val="000000" w:themeColor="text1"/>
          <w:sz w:val="24"/>
          <w:szCs w:val="24"/>
        </w:rPr>
        <w:t xml:space="preserve"> </w:t>
      </w:r>
      <w:r w:rsidRPr="00D80E0F">
        <w:rPr>
          <w:rFonts w:ascii="Arial" w:eastAsia="Arial Unicode MS" w:hAnsi="Arial" w:cs="Arial"/>
          <w:color w:val="000000" w:themeColor="text1"/>
          <w:sz w:val="24"/>
          <w:szCs w:val="24"/>
        </w:rPr>
        <w:t>- Moradabad road. The farm stands at an elevation of 286 meters above mean sea level (MSL) and is situated at co</w:t>
      </w:r>
      <w:r>
        <w:rPr>
          <w:rFonts w:ascii="Arial" w:eastAsia="Arial Unicode MS" w:hAnsi="Arial" w:cs="Arial"/>
          <w:color w:val="000000" w:themeColor="text1"/>
          <w:sz w:val="24"/>
          <w:szCs w:val="24"/>
        </w:rPr>
        <w:t>-</w:t>
      </w:r>
      <w:r w:rsidRPr="00D80E0F">
        <w:rPr>
          <w:rFonts w:ascii="Arial" w:eastAsia="Arial Unicode MS" w:hAnsi="Arial" w:cs="Arial"/>
          <w:color w:val="000000" w:themeColor="text1"/>
          <w:sz w:val="24"/>
          <w:szCs w:val="24"/>
        </w:rPr>
        <w:t>ordinates 29.021°N latitude and 78.508°E longitude. The l</w:t>
      </w:r>
      <w:r w:rsidRPr="00CE072E">
        <w:rPr>
          <w:rFonts w:ascii="Arial" w:eastAsia="Arial Unicode MS" w:hAnsi="Arial" w:cs="Arial"/>
          <w:sz w:val="24"/>
          <w:szCs w:val="24"/>
        </w:rPr>
        <w:t>ocation benefits from a range of amenities and resources.</w:t>
      </w:r>
      <w:r w:rsidRPr="004C497C">
        <w:rPr>
          <w:rFonts w:ascii="Arial" w:eastAsia="Arial Unicode MS" w:hAnsi="Arial" w:cs="Arial"/>
          <w:sz w:val="24"/>
          <w:szCs w:val="24"/>
        </w:rPr>
        <w:t xml:space="preserve"> </w:t>
      </w:r>
      <w:r w:rsidRPr="00CE072E">
        <w:rPr>
          <w:rFonts w:ascii="Arial" w:eastAsia="Arial Unicode MS" w:hAnsi="Arial" w:cs="Arial"/>
          <w:sz w:val="24"/>
          <w:szCs w:val="24"/>
        </w:rPr>
        <w:t xml:space="preserve">Bijnor is situated in North-Western Plains Agro-climatic Zone in the Uttar Pradesh at an altitude of 225 m above </w:t>
      </w:r>
      <w:r w:rsidRPr="00D80E0F">
        <w:rPr>
          <w:rFonts w:ascii="Arial" w:eastAsia="Arial Unicode MS" w:hAnsi="Arial" w:cs="Arial"/>
          <w:color w:val="000000" w:themeColor="text1"/>
          <w:sz w:val="24"/>
          <w:szCs w:val="24"/>
        </w:rPr>
        <w:t>MSL</w:t>
      </w:r>
      <w:r w:rsidRPr="00CE072E">
        <w:rPr>
          <w:rFonts w:ascii="Arial" w:eastAsia="Arial Unicode MS" w:hAnsi="Arial" w:cs="Arial"/>
          <w:sz w:val="24"/>
          <w:szCs w:val="24"/>
        </w:rPr>
        <w:t>. It is located in the North-Western corner of the Moradabad Division, historically recognized as part of the Rohilkhand region. To its west, the boundary is defined by the flowing waters of the Ganges River.</w:t>
      </w:r>
      <w:r w:rsidRPr="004C497C">
        <w:rPr>
          <w:rFonts w:ascii="Arial" w:eastAsia="Arial Unicode MS" w:hAnsi="Arial" w:cs="Arial"/>
          <w:sz w:val="24"/>
          <w:szCs w:val="24"/>
        </w:rPr>
        <w:t xml:space="preserve"> </w:t>
      </w:r>
      <w:r w:rsidRPr="00CE072E">
        <w:rPr>
          <w:rFonts w:ascii="Arial" w:eastAsia="Arial Unicode MS" w:hAnsi="Arial" w:cs="Arial"/>
          <w:sz w:val="24"/>
          <w:szCs w:val="24"/>
        </w:rPr>
        <w:t xml:space="preserve">This region enjoys tropical semi-arid type climate with an average annual rainfall of 964 mm, most </w:t>
      </w:r>
      <w:r>
        <w:rPr>
          <w:rFonts w:ascii="Arial" w:eastAsia="Arial Unicode MS" w:hAnsi="Arial" w:cs="Arial"/>
          <w:sz w:val="24"/>
          <w:szCs w:val="24"/>
        </w:rPr>
        <w:t>of which is received during mid-</w:t>
      </w:r>
      <w:r w:rsidRPr="00CE072E">
        <w:rPr>
          <w:rFonts w:ascii="Arial" w:eastAsia="Arial Unicode MS" w:hAnsi="Arial" w:cs="Arial"/>
          <w:sz w:val="24"/>
          <w:szCs w:val="24"/>
        </w:rPr>
        <w:t>June to middle of September.</w:t>
      </w:r>
      <w:r w:rsidR="005B0B41">
        <w:rPr>
          <w:rFonts w:ascii="Arial" w:eastAsia="Arial Unicode MS" w:hAnsi="Arial" w:cs="Arial"/>
          <w:sz w:val="24"/>
          <w:szCs w:val="24"/>
        </w:rPr>
        <w:t xml:space="preserve"> </w:t>
      </w:r>
      <w:r w:rsidRPr="00CE072E">
        <w:rPr>
          <w:rFonts w:ascii="Arial" w:eastAsia="Arial Unicode MS" w:hAnsi="Arial" w:cs="Arial"/>
          <w:sz w:val="24"/>
          <w:szCs w:val="24"/>
        </w:rPr>
        <w:t xml:space="preserve">The major rainfall received during month of June to September. The average temperature ranges between </w:t>
      </w:r>
      <w:r w:rsidRPr="00E71BAB">
        <w:rPr>
          <w:rFonts w:ascii="Arial" w:eastAsia="Arial Unicode MS" w:hAnsi="Arial" w:cs="Arial"/>
          <w:color w:val="000000" w:themeColor="text1"/>
          <w:sz w:val="24"/>
          <w:szCs w:val="24"/>
        </w:rPr>
        <w:t>10°C (during Dec. and Jan.) to 25°C (during Mar. and Apr.).</w:t>
      </w:r>
      <w:r>
        <w:rPr>
          <w:rFonts w:ascii="Arial" w:eastAsia="Arial Unicode MS" w:hAnsi="Arial" w:cs="Arial"/>
          <w:color w:val="000000" w:themeColor="text1"/>
          <w:sz w:val="24"/>
          <w:szCs w:val="24"/>
        </w:rPr>
        <w:t xml:space="preserve"> </w:t>
      </w:r>
      <w:r w:rsidR="001820F8">
        <w:rPr>
          <w:rFonts w:ascii="Arial" w:eastAsia="Arial Unicode MS" w:hAnsi="Arial" w:cs="Arial"/>
          <w:sz w:val="24"/>
          <w:szCs w:val="24"/>
        </w:rPr>
        <w:t>Urea, single super phosphate (SSP)</w:t>
      </w:r>
      <w:r w:rsidR="001820F8" w:rsidRPr="00521904">
        <w:rPr>
          <w:rFonts w:ascii="Arial" w:eastAsia="Arial Unicode MS" w:hAnsi="Arial" w:cs="Arial"/>
          <w:color w:val="EE0000"/>
          <w:sz w:val="24"/>
          <w:szCs w:val="24"/>
        </w:rPr>
        <w:t xml:space="preserve"> </w:t>
      </w:r>
      <w:r w:rsidR="001820F8">
        <w:rPr>
          <w:rFonts w:ascii="Arial" w:eastAsia="Arial Unicode MS" w:hAnsi="Arial" w:cs="Arial"/>
          <w:sz w:val="24"/>
          <w:szCs w:val="24"/>
        </w:rPr>
        <w:t>and M</w:t>
      </w:r>
      <w:r w:rsidR="001820F8" w:rsidRPr="00A75543">
        <w:rPr>
          <w:rFonts w:ascii="Arial" w:eastAsia="Arial Unicode MS" w:hAnsi="Arial" w:cs="Arial"/>
          <w:sz w:val="24"/>
          <w:szCs w:val="24"/>
        </w:rPr>
        <w:t>uriate of potash</w:t>
      </w:r>
      <w:r w:rsidR="001820F8">
        <w:rPr>
          <w:rFonts w:ascii="Arial" w:eastAsia="Arial Unicode MS" w:hAnsi="Arial" w:cs="Arial"/>
          <w:sz w:val="24"/>
          <w:szCs w:val="24"/>
        </w:rPr>
        <w:t xml:space="preserve"> (</w:t>
      </w:r>
      <w:proofErr w:type="spellStart"/>
      <w:r w:rsidR="001820F8">
        <w:rPr>
          <w:rFonts w:ascii="Arial" w:eastAsia="Arial Unicode MS" w:hAnsi="Arial" w:cs="Arial"/>
          <w:sz w:val="24"/>
          <w:szCs w:val="24"/>
        </w:rPr>
        <w:t>MoP</w:t>
      </w:r>
      <w:proofErr w:type="spellEnd"/>
      <w:r w:rsidR="001820F8">
        <w:rPr>
          <w:rFonts w:ascii="Arial" w:eastAsia="Arial Unicode MS" w:hAnsi="Arial" w:cs="Arial"/>
          <w:sz w:val="24"/>
          <w:szCs w:val="24"/>
        </w:rPr>
        <w:t>)</w:t>
      </w:r>
      <w:r w:rsidR="001820F8" w:rsidRPr="00A75543">
        <w:rPr>
          <w:rFonts w:ascii="Arial" w:eastAsia="Arial Unicode MS" w:hAnsi="Arial" w:cs="Arial"/>
          <w:sz w:val="24"/>
          <w:szCs w:val="24"/>
        </w:rPr>
        <w:t xml:space="preserve"> were utilized to provide nutrients to a field at the rate of 100 kg of nitrogen (N), 60 kg of phosphorous pentoxide (P</w:t>
      </w:r>
      <w:r w:rsidR="001820F8" w:rsidRPr="00A75543">
        <w:rPr>
          <w:rFonts w:ascii="Arial" w:eastAsia="Arial Unicode MS" w:hAnsi="Arial" w:cs="Arial"/>
          <w:sz w:val="24"/>
          <w:szCs w:val="24"/>
          <w:vertAlign w:val="subscript"/>
        </w:rPr>
        <w:t>2</w:t>
      </w:r>
      <w:r w:rsidR="001820F8" w:rsidRPr="00A75543">
        <w:rPr>
          <w:rFonts w:ascii="Arial" w:eastAsia="Arial Unicode MS" w:hAnsi="Arial" w:cs="Arial"/>
          <w:sz w:val="24"/>
          <w:szCs w:val="24"/>
        </w:rPr>
        <w:t>O</w:t>
      </w:r>
      <w:r w:rsidR="001820F8" w:rsidRPr="00A75543">
        <w:rPr>
          <w:rFonts w:ascii="Arial" w:eastAsia="Arial Unicode MS" w:hAnsi="Arial" w:cs="Arial"/>
          <w:sz w:val="24"/>
          <w:szCs w:val="24"/>
          <w:vertAlign w:val="subscript"/>
        </w:rPr>
        <w:t>5</w:t>
      </w:r>
      <w:r w:rsidR="001820F8" w:rsidRPr="00A75543">
        <w:rPr>
          <w:rFonts w:ascii="Arial" w:eastAsia="Arial Unicode MS" w:hAnsi="Arial" w:cs="Arial"/>
          <w:sz w:val="24"/>
          <w:szCs w:val="24"/>
        </w:rPr>
        <w:t xml:space="preserve">), and </w:t>
      </w:r>
      <w:r w:rsidR="001820F8">
        <w:rPr>
          <w:rFonts w:ascii="Arial" w:eastAsia="Arial Unicode MS" w:hAnsi="Arial" w:cs="Arial"/>
          <w:sz w:val="24"/>
          <w:szCs w:val="24"/>
        </w:rPr>
        <w:t>40</w:t>
      </w:r>
      <w:r w:rsidR="001820F8" w:rsidRPr="00A75543">
        <w:rPr>
          <w:rFonts w:ascii="Arial" w:eastAsia="Arial Unicode MS" w:hAnsi="Arial" w:cs="Arial"/>
          <w:sz w:val="24"/>
          <w:szCs w:val="24"/>
        </w:rPr>
        <w:t xml:space="preserve"> kg of potassium oxide (K</w:t>
      </w:r>
      <w:r w:rsidR="001820F8" w:rsidRPr="00A75543">
        <w:rPr>
          <w:rFonts w:ascii="Arial" w:eastAsia="Arial Unicode MS" w:hAnsi="Arial" w:cs="Arial"/>
          <w:sz w:val="24"/>
          <w:szCs w:val="24"/>
          <w:vertAlign w:val="subscript"/>
        </w:rPr>
        <w:t>2</w:t>
      </w:r>
      <w:r w:rsidR="001820F8">
        <w:rPr>
          <w:rFonts w:ascii="Arial" w:eastAsia="Arial Unicode MS" w:hAnsi="Arial" w:cs="Arial"/>
          <w:sz w:val="24"/>
          <w:szCs w:val="24"/>
        </w:rPr>
        <w:t xml:space="preserve">O) </w:t>
      </w:r>
      <w:r w:rsidR="001820F8" w:rsidRPr="00A75543">
        <w:rPr>
          <w:rFonts w:ascii="Arial" w:eastAsia="Arial Unicode MS" w:hAnsi="Arial" w:cs="Arial"/>
          <w:sz w:val="24"/>
          <w:szCs w:val="24"/>
        </w:rPr>
        <w:t>hectare</w:t>
      </w:r>
      <w:r w:rsidR="001820F8" w:rsidRPr="00165EC2">
        <w:rPr>
          <w:rFonts w:ascii="Arial" w:eastAsia="Arial Unicode MS" w:hAnsi="Arial" w:cs="Arial"/>
          <w:sz w:val="24"/>
          <w:szCs w:val="24"/>
          <w:vertAlign w:val="superscript"/>
        </w:rPr>
        <w:t>-1</w:t>
      </w:r>
      <w:r w:rsidR="001820F8" w:rsidRPr="00A75543">
        <w:rPr>
          <w:rFonts w:ascii="Arial" w:eastAsia="Arial Unicode MS" w:hAnsi="Arial" w:cs="Arial"/>
          <w:sz w:val="24"/>
          <w:szCs w:val="24"/>
        </w:rPr>
        <w:t>.</w:t>
      </w:r>
      <w:r w:rsidR="001820F8" w:rsidRPr="001820F8">
        <w:rPr>
          <w:rFonts w:ascii="Arial" w:eastAsia="Arial Unicode MS" w:hAnsi="Arial" w:cs="Arial"/>
          <w:sz w:val="24"/>
          <w:szCs w:val="24"/>
        </w:rPr>
        <w:t xml:space="preserve"> </w:t>
      </w:r>
      <w:r w:rsidR="001820F8" w:rsidRPr="00A75543">
        <w:rPr>
          <w:rFonts w:ascii="Arial" w:eastAsia="Arial Unicode MS" w:hAnsi="Arial" w:cs="Arial"/>
          <w:sz w:val="24"/>
          <w:szCs w:val="24"/>
        </w:rPr>
        <w:t>The linseed variety A</w:t>
      </w:r>
      <w:r w:rsidR="001820F8">
        <w:rPr>
          <w:rFonts w:ascii="Arial" w:eastAsia="Arial Unicode MS" w:hAnsi="Arial" w:cs="Arial"/>
          <w:sz w:val="24"/>
          <w:szCs w:val="24"/>
        </w:rPr>
        <w:t>z</w:t>
      </w:r>
      <w:r w:rsidR="001820F8" w:rsidRPr="00A75543">
        <w:rPr>
          <w:rFonts w:ascii="Arial" w:eastAsia="Arial Unicode MS" w:hAnsi="Arial" w:cs="Arial"/>
          <w:sz w:val="24"/>
          <w:szCs w:val="24"/>
        </w:rPr>
        <w:t xml:space="preserve">ad </w:t>
      </w:r>
      <w:r w:rsidR="001820F8">
        <w:rPr>
          <w:rFonts w:ascii="Arial" w:eastAsia="Arial Unicode MS" w:hAnsi="Arial" w:cs="Arial"/>
          <w:sz w:val="24"/>
          <w:szCs w:val="24"/>
        </w:rPr>
        <w:t>A</w:t>
      </w:r>
      <w:r w:rsidR="001820F8" w:rsidRPr="00A75543">
        <w:rPr>
          <w:rFonts w:ascii="Arial" w:eastAsia="Arial Unicode MS" w:hAnsi="Arial" w:cs="Arial"/>
          <w:sz w:val="24"/>
          <w:szCs w:val="24"/>
        </w:rPr>
        <w:t>lsi</w:t>
      </w:r>
      <w:r w:rsidR="001820F8">
        <w:rPr>
          <w:rFonts w:ascii="Arial" w:eastAsia="Arial Unicode MS" w:hAnsi="Arial" w:cs="Arial"/>
          <w:sz w:val="24"/>
          <w:szCs w:val="24"/>
        </w:rPr>
        <w:t>-</w:t>
      </w:r>
      <w:r w:rsidR="001820F8" w:rsidRPr="00A75543">
        <w:rPr>
          <w:rFonts w:ascii="Arial" w:eastAsia="Arial Unicode MS" w:hAnsi="Arial" w:cs="Arial"/>
          <w:sz w:val="24"/>
          <w:szCs w:val="24"/>
        </w:rPr>
        <w:t>1 was used in the experimental field. This particular variety typically reaches maturity with</w:t>
      </w:r>
      <w:r w:rsidR="001820F8">
        <w:rPr>
          <w:rFonts w:ascii="Arial" w:eastAsia="Arial Unicode MS" w:hAnsi="Arial" w:cs="Arial"/>
          <w:sz w:val="24"/>
          <w:szCs w:val="24"/>
        </w:rPr>
        <w:t xml:space="preserve"> </w:t>
      </w:r>
      <w:r w:rsidR="001820F8" w:rsidRPr="00A75543">
        <w:rPr>
          <w:rFonts w:ascii="Arial" w:eastAsia="Arial Unicode MS" w:hAnsi="Arial" w:cs="Arial"/>
          <w:sz w:val="24"/>
          <w:szCs w:val="24"/>
        </w:rPr>
        <w:t>in a span of 120 to 140 days. Across all the different treatments, a consistent seed rate of 30 kg ha</w:t>
      </w:r>
      <w:r w:rsidR="001820F8" w:rsidRPr="00A75543">
        <w:rPr>
          <w:rFonts w:ascii="Arial" w:eastAsia="Arial Unicode MS" w:hAnsi="Arial" w:cs="Arial"/>
          <w:sz w:val="24"/>
          <w:szCs w:val="24"/>
          <w:vertAlign w:val="superscript"/>
        </w:rPr>
        <w:t>-1</w:t>
      </w:r>
      <w:r w:rsidR="001820F8" w:rsidRPr="00A75543">
        <w:rPr>
          <w:rFonts w:ascii="Arial" w:eastAsia="Arial Unicode MS" w:hAnsi="Arial" w:cs="Arial"/>
          <w:sz w:val="24"/>
          <w:szCs w:val="24"/>
        </w:rPr>
        <w:t xml:space="preserve"> was employed.</w:t>
      </w:r>
      <w:r w:rsidR="001820F8">
        <w:rPr>
          <w:rFonts w:ascii="Arial" w:eastAsia="Arial Unicode MS" w:hAnsi="Arial" w:cs="Arial"/>
          <w:sz w:val="24"/>
          <w:szCs w:val="24"/>
        </w:rPr>
        <w:t xml:space="preserve"> </w:t>
      </w:r>
      <w:r w:rsidR="001820F8" w:rsidRPr="00E8256A">
        <w:rPr>
          <w:rFonts w:ascii="Arial" w:eastAsia="Arial Unicode MS" w:hAnsi="Arial" w:cs="Arial"/>
          <w:bCs/>
          <w:sz w:val="24"/>
          <w:szCs w:val="24"/>
        </w:rPr>
        <w:t>To ensure the good germination, healthy and good quality seeds were used.</w:t>
      </w:r>
      <w:r w:rsidR="001820F8">
        <w:rPr>
          <w:rFonts w:ascii="Arial" w:eastAsia="Arial Unicode MS" w:hAnsi="Arial" w:cs="Arial"/>
          <w:bCs/>
          <w:sz w:val="24"/>
          <w:szCs w:val="24"/>
        </w:rPr>
        <w:t xml:space="preserve"> Before sowing the seed,</w:t>
      </w:r>
      <w:r w:rsidR="001820F8" w:rsidRPr="00E8256A">
        <w:rPr>
          <w:rFonts w:ascii="Arial" w:eastAsia="Arial Unicode MS" w:hAnsi="Arial" w:cs="Arial"/>
          <w:bCs/>
          <w:sz w:val="24"/>
          <w:szCs w:val="24"/>
        </w:rPr>
        <w:t xml:space="preserve"> </w:t>
      </w:r>
      <w:r w:rsidR="001820F8">
        <w:rPr>
          <w:rFonts w:ascii="Arial" w:eastAsia="Arial Unicode MS" w:hAnsi="Arial" w:cs="Arial"/>
          <w:bCs/>
          <w:sz w:val="24"/>
          <w:szCs w:val="24"/>
        </w:rPr>
        <w:t>t</w:t>
      </w:r>
      <w:r w:rsidR="001820F8" w:rsidRPr="00E8256A">
        <w:rPr>
          <w:rFonts w:ascii="Arial" w:eastAsia="Arial Unicode MS" w:hAnsi="Arial" w:cs="Arial"/>
          <w:bCs/>
          <w:sz w:val="24"/>
          <w:szCs w:val="24"/>
        </w:rPr>
        <w:t>he seeds were treated with 12% Carbendazim + 63% WP Mancozeb @ 2 g kg</w:t>
      </w:r>
      <w:r w:rsidR="001820F8" w:rsidRPr="00E8256A">
        <w:rPr>
          <w:rFonts w:ascii="Arial" w:eastAsia="Arial Unicode MS" w:hAnsi="Arial" w:cs="Arial"/>
          <w:bCs/>
          <w:sz w:val="24"/>
          <w:szCs w:val="24"/>
          <w:vertAlign w:val="superscript"/>
        </w:rPr>
        <w:t>-1</w:t>
      </w:r>
      <w:r w:rsidR="001820F8" w:rsidRPr="00E8256A">
        <w:rPr>
          <w:rFonts w:ascii="Arial" w:eastAsia="Arial Unicode MS" w:hAnsi="Arial" w:cs="Arial"/>
          <w:bCs/>
          <w:sz w:val="24"/>
          <w:szCs w:val="24"/>
        </w:rPr>
        <w:t xml:space="preserve"> of seed.</w:t>
      </w:r>
      <w:r w:rsidR="001820F8">
        <w:rPr>
          <w:rFonts w:ascii="Arial" w:eastAsia="Arial Unicode MS" w:hAnsi="Arial" w:cs="Arial"/>
          <w:bCs/>
          <w:sz w:val="24"/>
          <w:szCs w:val="24"/>
        </w:rPr>
        <w:t xml:space="preserve"> Against the seed borne disease. </w:t>
      </w:r>
      <w:r w:rsidR="001820F8">
        <w:rPr>
          <w:rFonts w:ascii="Arial" w:eastAsia="Arial Unicode MS" w:hAnsi="Arial" w:cs="Arial"/>
          <w:sz w:val="24"/>
          <w:szCs w:val="24"/>
        </w:rPr>
        <w:t>Seed</w:t>
      </w:r>
      <w:r w:rsidR="001820F8" w:rsidRPr="00A75543">
        <w:rPr>
          <w:rFonts w:ascii="Arial" w:eastAsia="Arial Unicode MS" w:hAnsi="Arial" w:cs="Arial"/>
          <w:sz w:val="24"/>
          <w:szCs w:val="24"/>
        </w:rPr>
        <w:t xml:space="preserve"> sowing was done manually on 1</w:t>
      </w:r>
      <w:r w:rsidR="001820F8">
        <w:rPr>
          <w:rFonts w:ascii="Arial" w:eastAsia="Arial Unicode MS" w:hAnsi="Arial" w:cs="Arial"/>
          <w:sz w:val="24"/>
          <w:szCs w:val="24"/>
        </w:rPr>
        <w:t>6</w:t>
      </w:r>
      <w:r w:rsidR="001820F8" w:rsidRPr="00A75543">
        <w:rPr>
          <w:rFonts w:ascii="Arial" w:eastAsia="Arial Unicode MS" w:hAnsi="Arial" w:cs="Arial"/>
          <w:sz w:val="24"/>
          <w:szCs w:val="24"/>
          <w:vertAlign w:val="superscript"/>
        </w:rPr>
        <w:t>th</w:t>
      </w:r>
      <w:r w:rsidR="001820F8" w:rsidRPr="00A75543">
        <w:rPr>
          <w:rFonts w:ascii="Arial" w:eastAsia="Arial Unicode MS" w:hAnsi="Arial" w:cs="Arial"/>
          <w:sz w:val="24"/>
          <w:szCs w:val="24"/>
        </w:rPr>
        <w:t xml:space="preserve"> of December. The seeds were sown in rows that were spaced 25 cm apart, and at a depth of 2-4 cm in the </w:t>
      </w:r>
      <w:proofErr w:type="spellStart"/>
      <w:r w:rsidR="001820F8" w:rsidRPr="00A75543">
        <w:rPr>
          <w:rFonts w:ascii="Arial" w:eastAsia="Arial Unicode MS" w:hAnsi="Arial" w:cs="Arial"/>
          <w:sz w:val="24"/>
          <w:szCs w:val="24"/>
        </w:rPr>
        <w:t>soil.Tubewell</w:t>
      </w:r>
      <w:proofErr w:type="spellEnd"/>
      <w:r w:rsidR="001820F8" w:rsidRPr="00A75543">
        <w:rPr>
          <w:rFonts w:ascii="Arial" w:eastAsia="Arial Unicode MS" w:hAnsi="Arial" w:cs="Arial"/>
          <w:sz w:val="24"/>
          <w:szCs w:val="24"/>
        </w:rPr>
        <w:t xml:space="preserve"> served as the primary irrigation source, ensuring consistent soil moisture throughout every phase of crop development. In addition to initial irrigation before sowing,</w:t>
      </w:r>
      <w:r w:rsidR="008D16B7">
        <w:rPr>
          <w:rFonts w:ascii="Arial" w:eastAsia="Arial Unicode MS" w:hAnsi="Arial" w:cs="Arial"/>
          <w:sz w:val="24"/>
          <w:szCs w:val="24"/>
        </w:rPr>
        <w:t xml:space="preserve"> </w:t>
      </w:r>
      <w:r w:rsidR="001820F8" w:rsidRPr="00120B0F">
        <w:rPr>
          <w:rFonts w:ascii="Arial" w:eastAsia="Arial Unicode MS" w:hAnsi="Arial" w:cs="Arial"/>
          <w:color w:val="000000" w:themeColor="text1"/>
          <w:sz w:val="24"/>
          <w:szCs w:val="24"/>
        </w:rPr>
        <w:t>three</w:t>
      </w:r>
      <w:r w:rsidR="008D16B7">
        <w:rPr>
          <w:rFonts w:ascii="Arial" w:eastAsia="Arial Unicode MS" w:hAnsi="Arial" w:cs="Arial"/>
          <w:color w:val="EE0000"/>
          <w:sz w:val="24"/>
          <w:szCs w:val="24"/>
        </w:rPr>
        <w:t xml:space="preserve"> </w:t>
      </w:r>
      <w:r w:rsidR="001820F8" w:rsidRPr="00A75543">
        <w:rPr>
          <w:rFonts w:ascii="Arial" w:eastAsia="Arial Unicode MS" w:hAnsi="Arial" w:cs="Arial"/>
          <w:sz w:val="24"/>
          <w:szCs w:val="24"/>
        </w:rPr>
        <w:t xml:space="preserve">irrigations were applied precisely during the critical growth stages of the </w:t>
      </w:r>
      <w:proofErr w:type="spellStart"/>
      <w:r w:rsidR="001820F8">
        <w:rPr>
          <w:rFonts w:ascii="Arial" w:eastAsia="Arial Unicode MS" w:hAnsi="Arial" w:cs="Arial"/>
          <w:sz w:val="24"/>
          <w:szCs w:val="24"/>
        </w:rPr>
        <w:t>crop</w:t>
      </w:r>
      <w:r w:rsidR="001820F8" w:rsidRPr="00A75543">
        <w:rPr>
          <w:rFonts w:ascii="Arial" w:eastAsia="Arial Unicode MS" w:hAnsi="Arial" w:cs="Arial"/>
          <w:sz w:val="24"/>
          <w:szCs w:val="24"/>
        </w:rPr>
        <w:t>.The</w:t>
      </w:r>
      <w:proofErr w:type="spellEnd"/>
      <w:r w:rsidR="001820F8" w:rsidRPr="00A75543">
        <w:rPr>
          <w:rFonts w:ascii="Arial" w:eastAsia="Arial Unicode MS" w:hAnsi="Arial" w:cs="Arial"/>
          <w:sz w:val="24"/>
          <w:szCs w:val="24"/>
        </w:rPr>
        <w:t xml:space="preserve"> purpose of this precise irrigation approach was to keep the soil at the ideal moisture level, which would then encourage the development of strong and healthy crop.</w:t>
      </w:r>
      <w:r w:rsidR="001820F8">
        <w:rPr>
          <w:rFonts w:ascii="Arial" w:eastAsia="Arial Unicode MS" w:hAnsi="Arial" w:cs="Arial"/>
          <w:sz w:val="24"/>
          <w:szCs w:val="24"/>
        </w:rPr>
        <w:t xml:space="preserve"> </w:t>
      </w:r>
      <w:r w:rsidR="001820F8" w:rsidRPr="00A75543">
        <w:rPr>
          <w:rFonts w:ascii="Arial" w:eastAsia="Arial Unicode MS" w:hAnsi="Arial" w:cs="Arial"/>
          <w:sz w:val="24"/>
          <w:szCs w:val="24"/>
        </w:rPr>
        <w:t>Pre</w:t>
      </w:r>
      <w:r w:rsidR="001820F8">
        <w:rPr>
          <w:rFonts w:ascii="Arial" w:eastAsia="Arial Unicode MS" w:hAnsi="Arial" w:cs="Arial"/>
          <w:sz w:val="24"/>
          <w:szCs w:val="24"/>
        </w:rPr>
        <w:t>-</w:t>
      </w:r>
      <w:r w:rsidR="001820F8" w:rsidRPr="00A75543">
        <w:rPr>
          <w:rFonts w:ascii="Arial" w:eastAsia="Arial Unicode MS" w:hAnsi="Arial" w:cs="Arial"/>
          <w:sz w:val="24"/>
          <w:szCs w:val="24"/>
        </w:rPr>
        <w:t xml:space="preserve">emergence herbicide i.e. Pendimethalin was applied @ 1 </w:t>
      </w:r>
      <w:proofErr w:type="spellStart"/>
      <w:r w:rsidR="001820F8" w:rsidRPr="00A75543">
        <w:rPr>
          <w:rFonts w:ascii="Arial" w:eastAsia="Arial Unicode MS" w:hAnsi="Arial" w:cs="Arial"/>
          <w:sz w:val="24"/>
          <w:szCs w:val="24"/>
        </w:rPr>
        <w:t>liter</w:t>
      </w:r>
      <w:proofErr w:type="spellEnd"/>
      <w:r w:rsidR="001820F8" w:rsidRPr="00A75543">
        <w:rPr>
          <w:rFonts w:ascii="Arial" w:eastAsia="Arial Unicode MS" w:hAnsi="Arial" w:cs="Arial"/>
          <w:sz w:val="24"/>
          <w:szCs w:val="24"/>
        </w:rPr>
        <w:t xml:space="preserve"> </w:t>
      </w:r>
      <w:proofErr w:type="spellStart"/>
      <w:r w:rsidR="001820F8" w:rsidRPr="00A75543">
        <w:rPr>
          <w:rFonts w:ascii="Arial" w:eastAsia="Arial Unicode MS" w:hAnsi="Arial" w:cs="Arial"/>
          <w:sz w:val="24"/>
          <w:szCs w:val="24"/>
        </w:rPr>
        <w:t>a.i</w:t>
      </w:r>
      <w:proofErr w:type="spellEnd"/>
      <w:r w:rsidR="001820F8" w:rsidRPr="00A75543">
        <w:rPr>
          <w:rFonts w:ascii="Arial" w:eastAsia="Arial Unicode MS" w:hAnsi="Arial" w:cs="Arial"/>
          <w:sz w:val="24"/>
          <w:szCs w:val="24"/>
        </w:rPr>
        <w:t>. ha</w:t>
      </w:r>
      <w:r w:rsidR="001820F8" w:rsidRPr="00A75543">
        <w:rPr>
          <w:rFonts w:ascii="Arial" w:eastAsia="Arial Unicode MS" w:hAnsi="Arial" w:cs="Arial"/>
          <w:sz w:val="24"/>
          <w:szCs w:val="24"/>
          <w:vertAlign w:val="superscript"/>
        </w:rPr>
        <w:t>-1</w:t>
      </w:r>
      <w:r w:rsidR="001820F8" w:rsidRPr="00A75543">
        <w:rPr>
          <w:rFonts w:ascii="Arial" w:eastAsia="Arial Unicode MS" w:hAnsi="Arial" w:cs="Arial"/>
          <w:sz w:val="24"/>
          <w:szCs w:val="24"/>
        </w:rPr>
        <w:t xml:space="preserve"> to control early emerging flush</w:t>
      </w:r>
      <w:r w:rsidR="001820F8">
        <w:rPr>
          <w:rFonts w:ascii="Arial" w:eastAsia="Arial Unicode MS" w:hAnsi="Arial" w:cs="Arial"/>
          <w:sz w:val="24"/>
          <w:szCs w:val="24"/>
        </w:rPr>
        <w:t>es</w:t>
      </w:r>
      <w:r w:rsidR="001820F8" w:rsidRPr="00A75543">
        <w:rPr>
          <w:rFonts w:ascii="Arial" w:eastAsia="Arial Unicode MS" w:hAnsi="Arial" w:cs="Arial"/>
          <w:sz w:val="24"/>
          <w:szCs w:val="24"/>
        </w:rPr>
        <w:t xml:space="preserve"> of weeds. Later on hand weed</w:t>
      </w:r>
      <w:r w:rsidR="001820F8">
        <w:rPr>
          <w:rFonts w:ascii="Arial" w:eastAsia="Arial Unicode MS" w:hAnsi="Arial" w:cs="Arial"/>
          <w:sz w:val="24"/>
          <w:szCs w:val="24"/>
        </w:rPr>
        <w:t xml:space="preserve">s were removed by hand hoe at </w:t>
      </w:r>
      <w:r w:rsidR="001820F8" w:rsidRPr="00690564">
        <w:rPr>
          <w:rFonts w:ascii="Arial" w:eastAsia="Arial Unicode MS" w:hAnsi="Arial" w:cs="Arial"/>
          <w:color w:val="000000" w:themeColor="text1"/>
          <w:sz w:val="24"/>
          <w:szCs w:val="24"/>
        </w:rPr>
        <w:t>45</w:t>
      </w:r>
      <w:r w:rsidR="001820F8" w:rsidRPr="00A75543">
        <w:rPr>
          <w:rFonts w:ascii="Arial" w:eastAsia="Arial Unicode MS" w:hAnsi="Arial" w:cs="Arial"/>
          <w:sz w:val="24"/>
          <w:szCs w:val="24"/>
        </w:rPr>
        <w:t xml:space="preserve"> DAS in order to protect the crop from</w:t>
      </w:r>
      <w:r w:rsidR="001820F8">
        <w:rPr>
          <w:rFonts w:ascii="Arial" w:eastAsia="Arial Unicode MS" w:hAnsi="Arial" w:cs="Arial"/>
          <w:sz w:val="24"/>
          <w:szCs w:val="24"/>
        </w:rPr>
        <w:t xml:space="preserve"> late emerging</w:t>
      </w:r>
      <w:r w:rsidR="001820F8" w:rsidRPr="00A75543">
        <w:rPr>
          <w:rFonts w:ascii="Arial" w:eastAsia="Arial Unicode MS" w:hAnsi="Arial" w:cs="Arial"/>
          <w:sz w:val="24"/>
          <w:szCs w:val="24"/>
        </w:rPr>
        <w:t xml:space="preserve"> weeds.</w:t>
      </w:r>
      <w:r w:rsidR="000D4F37">
        <w:rPr>
          <w:rFonts w:ascii="Arial" w:eastAsia="Arial Unicode MS" w:hAnsi="Arial" w:cs="Arial"/>
          <w:sz w:val="24"/>
          <w:szCs w:val="24"/>
        </w:rPr>
        <w:t xml:space="preserve"> </w:t>
      </w:r>
      <w:r w:rsidR="001820F8">
        <w:rPr>
          <w:rFonts w:ascii="Arial" w:eastAsia="Arial Unicode MS" w:hAnsi="Arial" w:cs="Arial"/>
          <w:sz w:val="24"/>
          <w:szCs w:val="24"/>
        </w:rPr>
        <w:t>There was n</w:t>
      </w:r>
      <w:r w:rsidR="001820F8" w:rsidRPr="00E8256A">
        <w:rPr>
          <w:rFonts w:ascii="Arial" w:eastAsia="Arial Unicode MS" w:hAnsi="Arial" w:cs="Arial"/>
          <w:sz w:val="24"/>
          <w:szCs w:val="24"/>
        </w:rPr>
        <w:t>o</w:t>
      </w:r>
      <w:r w:rsidR="001820F8">
        <w:rPr>
          <w:rFonts w:ascii="Arial" w:eastAsia="Arial Unicode MS" w:hAnsi="Arial" w:cs="Arial"/>
          <w:sz w:val="24"/>
          <w:szCs w:val="24"/>
        </w:rPr>
        <w:t xml:space="preserve"> </w:t>
      </w:r>
      <w:r w:rsidR="001820F8" w:rsidRPr="00E8256A">
        <w:rPr>
          <w:rFonts w:ascii="Arial" w:eastAsia="Arial Unicode MS" w:hAnsi="Arial" w:cs="Arial"/>
          <w:sz w:val="24"/>
          <w:szCs w:val="24"/>
        </w:rPr>
        <w:t>insect pest infestation seen in the crop.</w:t>
      </w:r>
      <w:r w:rsidR="008D16B7">
        <w:rPr>
          <w:rFonts w:ascii="Arial" w:eastAsia="Arial Unicode MS" w:hAnsi="Arial" w:cs="Arial"/>
          <w:sz w:val="24"/>
          <w:szCs w:val="24"/>
        </w:rPr>
        <w:t xml:space="preserve"> </w:t>
      </w:r>
      <w:r w:rsidR="001820F8" w:rsidRPr="00AF5EC3">
        <w:rPr>
          <w:rFonts w:ascii="Arial" w:eastAsia="Arial Unicode MS" w:hAnsi="Arial" w:cs="Arial"/>
          <w:sz w:val="24"/>
          <w:szCs w:val="24"/>
        </w:rPr>
        <w:t xml:space="preserve">Plant height was measured at 60, 90 DAS from five randomly </w:t>
      </w:r>
      <w:r w:rsidR="001820F8" w:rsidRPr="00AF5EC3">
        <w:rPr>
          <w:rFonts w:ascii="Arial" w:eastAsia="Arial Unicode MS" w:hAnsi="Arial" w:cs="Arial"/>
          <w:sz w:val="24"/>
          <w:szCs w:val="24"/>
        </w:rPr>
        <w:lastRenderedPageBreak/>
        <w:t>selected plant from each treatments. Plant height was measured in cm from the soil level to the tip, and the average plant height was computed.</w:t>
      </w:r>
      <w:r w:rsidR="001820F8">
        <w:rPr>
          <w:rFonts w:ascii="Arial" w:eastAsia="Arial Unicode MS" w:hAnsi="Arial" w:cs="Arial"/>
          <w:sz w:val="24"/>
          <w:szCs w:val="24"/>
        </w:rPr>
        <w:t xml:space="preserve"> </w:t>
      </w:r>
      <w:r w:rsidR="001820F8" w:rsidRPr="00AF5EC3">
        <w:rPr>
          <w:rFonts w:ascii="Arial" w:eastAsia="Times New Roman" w:hAnsi="Arial" w:cs="Arial"/>
          <w:color w:val="000000"/>
          <w:sz w:val="24"/>
          <w:szCs w:val="24"/>
        </w:rPr>
        <w:t xml:space="preserve">Plant sample taken for dry matter </w:t>
      </w:r>
      <w:r w:rsidR="001820F8" w:rsidRPr="00AF5EC3">
        <w:rPr>
          <w:rFonts w:ascii="Arial" w:eastAsia="Times New Roman" w:hAnsi="Arial" w:cs="Arial"/>
          <w:bCs/>
          <w:color w:val="000000"/>
          <w:sz w:val="24"/>
          <w:szCs w:val="24"/>
        </w:rPr>
        <w:t xml:space="preserve">were firstly used for estimating the leaf area. The leaf area was worked out by using graph paper method. </w:t>
      </w:r>
    </w:p>
    <w:p w14:paraId="7E4C1769" w14:textId="22276FE3" w:rsidR="00856E85" w:rsidRPr="00B2293E" w:rsidRDefault="001820F8" w:rsidP="000D4F37">
      <w:pPr>
        <w:spacing w:after="120" w:line="360" w:lineRule="auto"/>
        <w:jc w:val="both"/>
        <w:rPr>
          <w:rFonts w:ascii="Arial" w:eastAsia="Arial Unicode MS" w:hAnsi="Arial" w:cs="Arial"/>
          <w:sz w:val="24"/>
          <w:szCs w:val="24"/>
        </w:rPr>
      </w:pPr>
      <w:r w:rsidRPr="00AF5EC3">
        <w:rPr>
          <w:rFonts w:ascii="Arial" w:eastAsia="Arial Unicode MS" w:hAnsi="Arial" w:cs="Arial"/>
          <w:sz w:val="24"/>
          <w:szCs w:val="24"/>
        </w:rPr>
        <w:t xml:space="preserve">The functional leaves on the five tagged plant were </w:t>
      </w:r>
      <w:proofErr w:type="gramStart"/>
      <w:r w:rsidRPr="00AF5EC3">
        <w:rPr>
          <w:rFonts w:ascii="Arial" w:eastAsia="Arial Unicode MS" w:hAnsi="Arial" w:cs="Arial"/>
          <w:sz w:val="24"/>
          <w:szCs w:val="24"/>
        </w:rPr>
        <w:t xml:space="preserve">counted </w:t>
      </w:r>
      <w:r>
        <w:rPr>
          <w:rFonts w:ascii="Arial" w:eastAsia="Arial Unicode MS" w:hAnsi="Arial" w:cs="Arial"/>
          <w:sz w:val="24"/>
          <w:szCs w:val="24"/>
        </w:rPr>
        <w:t xml:space="preserve"> </w:t>
      </w:r>
      <w:r w:rsidRPr="00AF5EC3">
        <w:rPr>
          <w:rFonts w:ascii="Arial" w:eastAsia="Arial Unicode MS" w:hAnsi="Arial" w:cs="Arial"/>
          <w:sz w:val="24"/>
          <w:szCs w:val="24"/>
        </w:rPr>
        <w:t>60</w:t>
      </w:r>
      <w:proofErr w:type="gramEnd"/>
      <w:r w:rsidRPr="00AF5EC3">
        <w:rPr>
          <w:rFonts w:ascii="Arial" w:eastAsia="Arial Unicode MS" w:hAnsi="Arial" w:cs="Arial"/>
          <w:sz w:val="24"/>
          <w:szCs w:val="24"/>
        </w:rPr>
        <w:t>,</w:t>
      </w:r>
      <w:r>
        <w:rPr>
          <w:rFonts w:ascii="Arial" w:eastAsia="Arial Unicode MS" w:hAnsi="Arial" w:cs="Arial"/>
          <w:sz w:val="24"/>
          <w:szCs w:val="24"/>
        </w:rPr>
        <w:t xml:space="preserve"> </w:t>
      </w:r>
      <w:r w:rsidRPr="00AF5EC3">
        <w:rPr>
          <w:rFonts w:ascii="Arial" w:eastAsia="Arial Unicode MS" w:hAnsi="Arial" w:cs="Arial"/>
          <w:sz w:val="24"/>
          <w:szCs w:val="24"/>
        </w:rPr>
        <w:t>90</w:t>
      </w:r>
      <w:r>
        <w:rPr>
          <w:rFonts w:ascii="Arial" w:eastAsia="Arial Unicode MS" w:hAnsi="Arial" w:cs="Arial"/>
          <w:sz w:val="24"/>
          <w:szCs w:val="24"/>
        </w:rPr>
        <w:t xml:space="preserve"> DAS </w:t>
      </w:r>
      <w:r w:rsidRPr="00AF5EC3">
        <w:rPr>
          <w:rFonts w:ascii="Arial" w:eastAsia="Arial Unicode MS" w:hAnsi="Arial" w:cs="Arial"/>
          <w:sz w:val="24"/>
          <w:szCs w:val="24"/>
        </w:rPr>
        <w:t>recorded and the average number of leaves per plant was worked out as per the schedule.</w:t>
      </w:r>
      <w:r>
        <w:rPr>
          <w:rFonts w:ascii="Arial" w:eastAsia="Arial Unicode MS" w:hAnsi="Arial" w:cs="Arial"/>
          <w:sz w:val="24"/>
          <w:szCs w:val="24"/>
        </w:rPr>
        <w:t xml:space="preserve"> </w:t>
      </w:r>
      <w:r w:rsidRPr="00AF5EC3">
        <w:rPr>
          <w:rFonts w:ascii="Arial" w:eastAsia="Arial Unicode MS" w:hAnsi="Arial" w:cs="Arial"/>
          <w:sz w:val="24"/>
          <w:szCs w:val="24"/>
        </w:rPr>
        <w:t xml:space="preserve">The number of branches of five randomly tagged plant were selected </w:t>
      </w:r>
      <w:proofErr w:type="gramStart"/>
      <w:r w:rsidRPr="00AF5EC3">
        <w:rPr>
          <w:rFonts w:ascii="Arial" w:eastAsia="Arial Unicode MS" w:hAnsi="Arial" w:cs="Arial"/>
          <w:sz w:val="24"/>
          <w:szCs w:val="24"/>
        </w:rPr>
        <w:t>at  60</w:t>
      </w:r>
      <w:proofErr w:type="gramEnd"/>
      <w:r w:rsidRPr="00AF5EC3">
        <w:rPr>
          <w:rFonts w:ascii="Arial" w:eastAsia="Arial Unicode MS" w:hAnsi="Arial" w:cs="Arial"/>
          <w:sz w:val="24"/>
          <w:szCs w:val="24"/>
        </w:rPr>
        <w:t>, 90</w:t>
      </w:r>
      <w:r>
        <w:rPr>
          <w:rFonts w:ascii="Arial" w:eastAsia="Arial Unicode MS" w:hAnsi="Arial" w:cs="Arial"/>
          <w:sz w:val="24"/>
          <w:szCs w:val="24"/>
        </w:rPr>
        <w:t xml:space="preserve"> </w:t>
      </w:r>
      <w:r w:rsidRPr="00AF5EC3">
        <w:rPr>
          <w:rFonts w:ascii="Arial" w:eastAsia="Arial Unicode MS" w:hAnsi="Arial" w:cs="Arial"/>
          <w:sz w:val="24"/>
          <w:szCs w:val="24"/>
        </w:rPr>
        <w:t>DAS   of the crop. The average number of plant</w:t>
      </w:r>
      <w:r w:rsidRPr="00AF5EC3">
        <w:rPr>
          <w:rFonts w:ascii="Arial" w:eastAsia="Arial Unicode MS" w:hAnsi="Arial" w:cs="Arial"/>
          <w:sz w:val="24"/>
          <w:szCs w:val="24"/>
          <w:vertAlign w:val="superscript"/>
        </w:rPr>
        <w:t>-1</w:t>
      </w:r>
      <w:r w:rsidRPr="00AF5EC3">
        <w:rPr>
          <w:rFonts w:ascii="Arial" w:eastAsia="Arial Unicode MS" w:hAnsi="Arial" w:cs="Arial"/>
          <w:sz w:val="24"/>
          <w:szCs w:val="24"/>
        </w:rPr>
        <w:t xml:space="preserve"> was used to statistical </w:t>
      </w:r>
      <w:commentRangeStart w:id="4"/>
      <w:r w:rsidRPr="00AF5EC3">
        <w:rPr>
          <w:rFonts w:ascii="Arial" w:eastAsia="Arial Unicode MS" w:hAnsi="Arial" w:cs="Arial"/>
          <w:sz w:val="24"/>
          <w:szCs w:val="24"/>
        </w:rPr>
        <w:t>analysis</w:t>
      </w:r>
      <w:commentRangeEnd w:id="4"/>
      <w:r w:rsidR="00077208">
        <w:rPr>
          <w:rStyle w:val="CommentReference"/>
        </w:rPr>
        <w:commentReference w:id="4"/>
      </w:r>
      <w:r w:rsidRPr="00AF5EC3">
        <w:rPr>
          <w:rFonts w:ascii="Arial" w:eastAsia="Arial Unicode MS" w:hAnsi="Arial" w:cs="Arial"/>
          <w:sz w:val="24"/>
          <w:szCs w:val="24"/>
        </w:rPr>
        <w:t>.</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The capsule present on five randomly selected plants were separated and counted, average value was reported as number of capsule plant</w:t>
      </w:r>
      <w:r w:rsidR="00A776D0" w:rsidRPr="00AF5EC3">
        <w:rPr>
          <w:rFonts w:ascii="Arial" w:eastAsia="Arial Unicode MS" w:hAnsi="Arial" w:cs="Arial"/>
          <w:sz w:val="24"/>
          <w:szCs w:val="24"/>
          <w:vertAlign w:val="superscript"/>
        </w:rPr>
        <w:t>-1</w:t>
      </w:r>
      <w:r w:rsidR="00A776D0" w:rsidRPr="00AF5EC3">
        <w:rPr>
          <w:rFonts w:ascii="Arial" w:eastAsia="Arial Unicode MS" w:hAnsi="Arial" w:cs="Arial"/>
          <w:sz w:val="24"/>
          <w:szCs w:val="24"/>
        </w:rPr>
        <w:t>.</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Capsule were taken from respective plant and threshed. Seeds were counted and average number of seeds capsule was worked out was reported as number of seed capsule</w:t>
      </w:r>
      <w:r w:rsidR="00A776D0" w:rsidRPr="00AF5EC3">
        <w:rPr>
          <w:rFonts w:ascii="Arial" w:eastAsia="Arial Unicode MS" w:hAnsi="Arial" w:cs="Arial"/>
          <w:sz w:val="24"/>
          <w:szCs w:val="24"/>
          <w:vertAlign w:val="superscript"/>
        </w:rPr>
        <w:t>-1</w:t>
      </w:r>
      <w:r w:rsidR="00A776D0" w:rsidRPr="00AF5EC3">
        <w:rPr>
          <w:rFonts w:ascii="Arial" w:eastAsia="Arial Unicode MS" w:hAnsi="Arial" w:cs="Arial"/>
          <w:sz w:val="24"/>
          <w:szCs w:val="24"/>
        </w:rPr>
        <w:t>.</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Five random sample 1000 grains were taken from each net plot’s grain yield and recorded in grams.</w:t>
      </w:r>
    </w:p>
    <w:tbl>
      <w:tblPr>
        <w:tblStyle w:val="TableGrid"/>
        <w:tblW w:w="0" w:type="auto"/>
        <w:tblLook w:val="04A0" w:firstRow="1" w:lastRow="0" w:firstColumn="1" w:lastColumn="0" w:noHBand="0" w:noVBand="1"/>
      </w:tblPr>
      <w:tblGrid>
        <w:gridCol w:w="9096"/>
      </w:tblGrid>
      <w:tr w:rsidR="008C4579" w14:paraId="23CFBB1D" w14:textId="77777777" w:rsidTr="008C4579">
        <w:trPr>
          <w:trHeight w:val="4571"/>
        </w:trPr>
        <w:tc>
          <w:tcPr>
            <w:tcW w:w="8900" w:type="dxa"/>
          </w:tcPr>
          <w:p w14:paraId="33AA3569" w14:textId="17A25559" w:rsidR="008C4579" w:rsidRDefault="001A567C" w:rsidP="008C4579">
            <w:pPr>
              <w:pStyle w:val="NoSpacing"/>
              <w:spacing w:after="120" w:line="360" w:lineRule="auto"/>
              <w:jc w:val="center"/>
              <w:rPr>
                <w:rFonts w:ascii="Arial" w:hAnsi="Arial" w:cs="Arial"/>
                <w:color w:val="0D0D0D" w:themeColor="text1" w:themeTint="F2"/>
                <w:sz w:val="24"/>
                <w:szCs w:val="24"/>
                <w:lang w:val="en-IN"/>
              </w:rPr>
            </w:pPr>
            <w:r>
              <w:rPr>
                <w:rFonts w:ascii="Arial" w:hAnsi="Arial" w:cs="Arial"/>
                <w:noProof/>
                <w:color w:val="0D0D0D" w:themeColor="text1" w:themeTint="F2"/>
                <w:sz w:val="24"/>
                <w:szCs w:val="24"/>
                <w:lang w:bidi="ar-SA"/>
                <w14:ligatures w14:val="standardContextual"/>
              </w:rPr>
              <mc:AlternateContent>
                <mc:Choice Requires="wps">
                  <w:drawing>
                    <wp:anchor distT="0" distB="0" distL="114300" distR="114300" simplePos="0" relativeHeight="251659264" behindDoc="0" locked="0" layoutInCell="1" allowOverlap="1" wp14:anchorId="49B0ECAE" wp14:editId="475252EB">
                      <wp:simplePos x="0" y="0"/>
                      <wp:positionH relativeFrom="column">
                        <wp:posOffset>2312596</wp:posOffset>
                      </wp:positionH>
                      <wp:positionV relativeFrom="paragraph">
                        <wp:posOffset>2240354</wp:posOffset>
                      </wp:positionV>
                      <wp:extent cx="946298" cy="191386"/>
                      <wp:effectExtent l="0" t="0" r="25400" b="18415"/>
                      <wp:wrapNone/>
                      <wp:docPr id="1247227544" name="Rectangle 1"/>
                      <wp:cNvGraphicFramePr/>
                      <a:graphic xmlns:a="http://schemas.openxmlformats.org/drawingml/2006/main">
                        <a:graphicData uri="http://schemas.microsoft.com/office/word/2010/wordprocessingShape">
                          <wps:wsp>
                            <wps:cNvSpPr/>
                            <wps:spPr>
                              <a:xfrm>
                                <a:off x="0" y="0"/>
                                <a:ext cx="946298" cy="1913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406657" id="Rectangle 1" o:spid="_x0000_s1026" style="position:absolute;margin-left:182.1pt;margin-top:176.4pt;width:74.5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" fillcolor="#4472c4 [3204]" strokecolor="#09101d [484]" strokeweight="1pt"/>
                  </w:pict>
                </mc:Fallback>
              </mc:AlternateContent>
            </w:r>
            <w:r w:rsidR="008C4579">
              <w:rPr>
                <w:rFonts w:ascii="Arial" w:hAnsi="Arial" w:cs="Arial"/>
                <w:noProof/>
                <w:color w:val="0D0D0D" w:themeColor="text1" w:themeTint="F2"/>
                <w:sz w:val="24"/>
                <w:szCs w:val="24"/>
                <w:lang w:bidi="ar-SA"/>
                <w14:ligatures w14:val="standardContextual"/>
              </w:rPr>
              <w:drawing>
                <wp:inline distT="0" distB="0" distL="0" distR="0" wp14:anchorId="44F5F6C7" wp14:editId="3C43E34E">
                  <wp:extent cx="5436870" cy="3448050"/>
                  <wp:effectExtent l="76200" t="76200" r="125730" b="133350"/>
                  <wp:docPr id="989718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8539" name="Picture 98971853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36870" cy="3448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8C4579" w14:paraId="796E8567" w14:textId="77777777" w:rsidTr="00742EA4">
        <w:tc>
          <w:tcPr>
            <w:tcW w:w="8900" w:type="dxa"/>
            <w:shd w:val="clear" w:color="auto" w:fill="92D050"/>
          </w:tcPr>
          <w:p w14:paraId="734A0353" w14:textId="12D911DC" w:rsidR="008C4579" w:rsidRPr="008C4579" w:rsidRDefault="00334377" w:rsidP="008C4579">
            <w:pPr>
              <w:pStyle w:val="NoSpacing"/>
              <w:spacing w:after="120" w:line="360" w:lineRule="auto"/>
              <w:jc w:val="center"/>
              <w:rPr>
                <w:rFonts w:ascii="Arial" w:hAnsi="Arial" w:cs="Arial"/>
                <w:b/>
                <w:bCs/>
                <w:color w:val="0D0D0D" w:themeColor="text1" w:themeTint="F2"/>
                <w:sz w:val="24"/>
                <w:szCs w:val="24"/>
                <w:lang w:val="en-IN"/>
              </w:rPr>
            </w:pPr>
            <w:r>
              <w:rPr>
                <w:rFonts w:ascii="Arial" w:hAnsi="Arial" w:cs="Arial"/>
                <w:b/>
                <w:bCs/>
                <w:color w:val="0D0D0D" w:themeColor="text1" w:themeTint="F2"/>
                <w:sz w:val="24"/>
                <w:szCs w:val="24"/>
                <w:lang w:val="en-IN"/>
              </w:rPr>
              <w:t xml:space="preserve">PIC 1. </w:t>
            </w:r>
            <w:proofErr w:type="spellStart"/>
            <w:r w:rsidR="008C4579" w:rsidRPr="008C4579">
              <w:rPr>
                <w:rFonts w:ascii="Arial" w:hAnsi="Arial" w:cs="Arial"/>
                <w:b/>
                <w:bCs/>
                <w:color w:val="0D0D0D" w:themeColor="text1" w:themeTint="F2"/>
                <w:sz w:val="24"/>
                <w:szCs w:val="24"/>
                <w:lang w:val="en-IN"/>
              </w:rPr>
              <w:t>Exprimental</w:t>
            </w:r>
            <w:proofErr w:type="spellEnd"/>
            <w:r w:rsidR="008C4579" w:rsidRPr="008C4579">
              <w:rPr>
                <w:rFonts w:ascii="Arial" w:hAnsi="Arial" w:cs="Arial"/>
                <w:b/>
                <w:bCs/>
                <w:color w:val="0D0D0D" w:themeColor="text1" w:themeTint="F2"/>
                <w:sz w:val="24"/>
                <w:szCs w:val="24"/>
                <w:lang w:val="en-IN"/>
              </w:rPr>
              <w:t xml:space="preserve"> field </w:t>
            </w:r>
            <w:commentRangeStart w:id="5"/>
            <w:r w:rsidR="008C4579" w:rsidRPr="008C4579">
              <w:rPr>
                <w:rFonts w:ascii="Arial" w:hAnsi="Arial" w:cs="Arial"/>
                <w:b/>
                <w:bCs/>
                <w:color w:val="0D0D0D" w:themeColor="text1" w:themeTint="F2"/>
                <w:sz w:val="24"/>
                <w:szCs w:val="24"/>
                <w:lang w:val="en-IN"/>
              </w:rPr>
              <w:t>layout</w:t>
            </w:r>
            <w:commentRangeEnd w:id="5"/>
            <w:r w:rsidR="0007717A">
              <w:rPr>
                <w:rStyle w:val="CommentReference"/>
                <w:rFonts w:asciiTheme="minorHAnsi" w:eastAsiaTheme="minorHAnsi" w:hAnsiTheme="minorHAnsi" w:cstheme="minorBidi"/>
                <w:kern w:val="2"/>
                <w:lang w:val="en-IN" w:bidi="ar-SA"/>
                <w14:ligatures w14:val="standardContextual"/>
              </w:rPr>
              <w:commentReference w:id="5"/>
            </w:r>
          </w:p>
        </w:tc>
      </w:tr>
    </w:tbl>
    <w:p w14:paraId="2D52E226" w14:textId="77777777" w:rsidR="00B2293E" w:rsidRDefault="00B2293E" w:rsidP="00742EA4">
      <w:pPr>
        <w:pStyle w:val="NoSpacing"/>
        <w:spacing w:after="120" w:line="360" w:lineRule="auto"/>
        <w:rPr>
          <w:rFonts w:ascii="Arial" w:hAnsi="Arial" w:cs="Arial"/>
          <w:color w:val="0D0D0D" w:themeColor="text1" w:themeTint="F2"/>
          <w:sz w:val="24"/>
          <w:szCs w:val="24"/>
          <w:lang w:val="en-IN"/>
        </w:rPr>
      </w:pPr>
    </w:p>
    <w:p w14:paraId="5DD31AF0" w14:textId="5A307465" w:rsidR="00856E85" w:rsidRPr="00814751" w:rsidRDefault="006334EF" w:rsidP="006334EF">
      <w:pPr>
        <w:pStyle w:val="NoSpacing"/>
        <w:numPr>
          <w:ilvl w:val="0"/>
          <w:numId w:val="4"/>
        </w:numPr>
        <w:spacing w:after="120" w:line="360" w:lineRule="auto"/>
        <w:jc w:val="center"/>
        <w:rPr>
          <w:rFonts w:ascii="Arial" w:hAnsi="Arial" w:cs="Arial"/>
          <w:b/>
          <w:bCs/>
          <w:color w:val="0D0D0D" w:themeColor="text1" w:themeTint="F2"/>
          <w:sz w:val="24"/>
          <w:szCs w:val="24"/>
          <w:lang w:val="en-IN"/>
        </w:rPr>
      </w:pPr>
      <w:r w:rsidRPr="00814751">
        <w:rPr>
          <w:rFonts w:ascii="Arial" w:hAnsi="Arial" w:cs="Arial"/>
          <w:b/>
          <w:bCs/>
          <w:color w:val="0D0D0D" w:themeColor="text1" w:themeTint="F2"/>
          <w:sz w:val="24"/>
          <w:szCs w:val="24"/>
          <w:lang w:val="en-IN"/>
        </w:rPr>
        <w:t xml:space="preserve">RESULTS AND </w:t>
      </w:r>
      <w:commentRangeStart w:id="6"/>
      <w:r w:rsidRPr="00814751">
        <w:rPr>
          <w:rFonts w:ascii="Arial" w:hAnsi="Arial" w:cs="Arial"/>
          <w:b/>
          <w:bCs/>
          <w:color w:val="0D0D0D" w:themeColor="text1" w:themeTint="F2"/>
          <w:sz w:val="24"/>
          <w:szCs w:val="24"/>
          <w:lang w:val="en-IN"/>
        </w:rPr>
        <w:t>DISCUSSION</w:t>
      </w:r>
      <w:commentRangeEnd w:id="6"/>
      <w:r w:rsidR="00077208">
        <w:rPr>
          <w:rStyle w:val="CommentReference"/>
          <w:rFonts w:asciiTheme="minorHAnsi" w:eastAsiaTheme="minorHAnsi" w:hAnsiTheme="minorHAnsi" w:cstheme="minorBidi"/>
          <w:kern w:val="2"/>
          <w:lang w:val="en-IN" w:bidi="ar-SA"/>
          <w14:ligatures w14:val="standardContextual"/>
        </w:rPr>
        <w:commentReference w:id="6"/>
      </w:r>
    </w:p>
    <w:p w14:paraId="507D39F9" w14:textId="1D5CCFB7" w:rsidR="007002BA" w:rsidRPr="004D7867" w:rsidRDefault="007002BA" w:rsidP="004D7867">
      <w:pPr>
        <w:pStyle w:val="ListParagraph"/>
        <w:numPr>
          <w:ilvl w:val="1"/>
          <w:numId w:val="4"/>
        </w:numPr>
        <w:spacing w:after="120" w:line="360" w:lineRule="auto"/>
        <w:jc w:val="both"/>
        <w:rPr>
          <w:rFonts w:ascii="Arial" w:eastAsia="Arial Unicode MS" w:hAnsi="Arial" w:cs="Arial"/>
          <w:b/>
          <w:bCs/>
          <w:color w:val="000000" w:themeColor="text1"/>
          <w:sz w:val="24"/>
          <w:szCs w:val="24"/>
        </w:rPr>
      </w:pPr>
      <w:r w:rsidRPr="004D7867">
        <w:rPr>
          <w:rFonts w:ascii="Arial" w:eastAsia="Arial Unicode MS" w:hAnsi="Arial" w:cs="Arial"/>
          <w:b/>
          <w:bCs/>
          <w:color w:val="000000" w:themeColor="text1"/>
          <w:sz w:val="24"/>
          <w:szCs w:val="24"/>
        </w:rPr>
        <w:t>Plant height</w:t>
      </w:r>
      <w:r w:rsidR="00386082" w:rsidRPr="004D7867">
        <w:rPr>
          <w:rFonts w:ascii="Arial" w:eastAsia="Arial Unicode MS" w:hAnsi="Arial" w:cs="Arial"/>
          <w:b/>
          <w:bCs/>
          <w:color w:val="000000" w:themeColor="text1"/>
          <w:sz w:val="24"/>
          <w:szCs w:val="24"/>
        </w:rPr>
        <w:t xml:space="preserve"> </w:t>
      </w:r>
    </w:p>
    <w:p w14:paraId="344B3499" w14:textId="031FD21D" w:rsidR="004D7867" w:rsidRPr="00704967" w:rsidRDefault="004D7867" w:rsidP="00D17BD4">
      <w:pPr>
        <w:spacing w:after="120" w:line="360" w:lineRule="auto"/>
        <w:jc w:val="both"/>
        <w:rPr>
          <w:rFonts w:ascii="Arial" w:eastAsia="Arial Unicode MS" w:hAnsi="Arial" w:cs="Arial"/>
          <w:color w:val="000000" w:themeColor="text1"/>
          <w:sz w:val="24"/>
          <w:szCs w:val="24"/>
        </w:rPr>
      </w:pPr>
      <w:r w:rsidRPr="00704967">
        <w:rPr>
          <w:rFonts w:ascii="Arial" w:eastAsia="Arial Unicode MS" w:hAnsi="Arial" w:cs="Arial"/>
          <w:color w:val="000000" w:themeColor="text1"/>
          <w:sz w:val="24"/>
          <w:szCs w:val="24"/>
        </w:rPr>
        <w:lastRenderedPageBreak/>
        <w:t>At 60 DAS, the highest plant height was recorded under foliar spray of Nano</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sulphur (0.5%) at 30 DAS and flowering stage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which remained statistically at par with T</w:t>
      </w:r>
      <w:r w:rsidRPr="00704967">
        <w:rPr>
          <w:rFonts w:ascii="Arial" w:eastAsia="Arial Unicode MS" w:hAnsi="Arial" w:cs="Arial"/>
          <w:color w:val="000000" w:themeColor="text1"/>
          <w:sz w:val="24"/>
          <w:szCs w:val="24"/>
          <w:vertAlign w:val="subscript"/>
        </w:rPr>
        <w:t>2</w:t>
      </w:r>
      <w:r w:rsidRPr="00704967">
        <w:rPr>
          <w:rFonts w:ascii="Arial" w:eastAsia="Arial Unicode MS" w:hAnsi="Arial" w:cs="Arial"/>
          <w:color w:val="000000" w:themeColor="text1"/>
          <w:sz w:val="24"/>
          <w:szCs w:val="24"/>
        </w:rPr>
        <w:t xml:space="preserve"> (20 k</w:t>
      </w:r>
      <w:r w:rsidR="009B5C8B">
        <w:rPr>
          <w:rFonts w:ascii="Arial" w:eastAsia="Arial Unicode MS" w:hAnsi="Arial" w:cs="Arial"/>
          <w:color w:val="000000" w:themeColor="text1"/>
          <w:sz w:val="24"/>
          <w:szCs w:val="24"/>
        </w:rPr>
        <w:t xml:space="preserve">g </w:t>
      </w:r>
      <w:r w:rsidRPr="00704967">
        <w:rPr>
          <w:rFonts w:ascii="Arial" w:eastAsia="Arial Unicode MS" w:hAnsi="Arial" w:cs="Arial"/>
          <w:color w:val="000000" w:themeColor="text1"/>
          <w:sz w:val="24"/>
          <w:szCs w:val="24"/>
        </w:rPr>
        <w:t>Sulphur</w:t>
      </w:r>
      <w:r w:rsidR="009B5C8B">
        <w:rPr>
          <w:rFonts w:ascii="Arial" w:eastAsia="Arial Unicode MS" w:hAnsi="Arial" w:cs="Arial"/>
          <w:color w:val="000000" w:themeColor="text1"/>
          <w:sz w:val="24"/>
          <w:szCs w:val="24"/>
        </w:rPr>
        <w:t xml:space="preserve"> </w:t>
      </w:r>
      <w:r w:rsidR="009B5C8B" w:rsidRPr="00704967">
        <w:rPr>
          <w:rFonts w:ascii="Arial" w:eastAsia="Arial Unicode MS" w:hAnsi="Arial" w:cs="Arial"/>
          <w:color w:val="000000" w:themeColor="text1"/>
          <w:sz w:val="24"/>
          <w:szCs w:val="24"/>
        </w:rPr>
        <w:t>ha</w:t>
      </w:r>
      <w:r w:rsidR="009B5C8B" w:rsidRPr="00704967">
        <w:rPr>
          <w:rFonts w:ascii="Cambria Math" w:eastAsia="Arial Unicode MS" w:hAnsi="Cambria Math" w:cs="Cambria Math"/>
          <w:color w:val="000000" w:themeColor="text1"/>
          <w:sz w:val="24"/>
          <w:szCs w:val="24"/>
        </w:rPr>
        <w:t>⁻</w:t>
      </w:r>
      <w:r w:rsidR="009B5C8B" w:rsidRPr="00704967">
        <w:rPr>
          <w:rFonts w:ascii="Arial" w:eastAsia="Arial Unicode MS" w:hAnsi="Arial" w:cs="Arial"/>
          <w:color w:val="000000" w:themeColor="text1"/>
          <w:sz w:val="24"/>
          <w:szCs w:val="24"/>
        </w:rPr>
        <w:t>¹</w:t>
      </w:r>
      <w:r w:rsidR="009B5C8B">
        <w:rPr>
          <w:rFonts w:ascii="Arial" w:eastAsia="Arial Unicode MS" w:hAnsi="Arial" w:cs="Arial"/>
          <w:color w:val="000000" w:themeColor="text1"/>
          <w:sz w:val="24"/>
          <w:szCs w:val="24"/>
        </w:rPr>
        <w:t xml:space="preserve"> as basal application</w:t>
      </w:r>
      <w:r w:rsidRPr="00704967">
        <w:rPr>
          <w:rFonts w:ascii="Arial" w:eastAsia="Arial Unicode MS" w:hAnsi="Arial" w:cs="Arial"/>
          <w:color w:val="000000" w:themeColor="text1"/>
          <w:sz w:val="24"/>
          <w:szCs w:val="24"/>
        </w:rPr>
        <w:t>), T</w:t>
      </w:r>
      <w:r w:rsidRPr="00704967">
        <w:rPr>
          <w:rFonts w:ascii="Arial" w:eastAsia="Arial Unicode MS" w:hAnsi="Arial" w:cs="Arial"/>
          <w:color w:val="000000" w:themeColor="text1"/>
          <w:sz w:val="24"/>
          <w:szCs w:val="24"/>
          <w:vertAlign w:val="subscript"/>
        </w:rPr>
        <w:t>4</w:t>
      </w:r>
      <w:r w:rsidRPr="00704967">
        <w:rPr>
          <w:rFonts w:ascii="Arial" w:eastAsia="Arial Unicode MS" w:hAnsi="Arial" w:cs="Arial"/>
          <w:color w:val="000000" w:themeColor="text1"/>
          <w:sz w:val="24"/>
          <w:szCs w:val="24"/>
        </w:rPr>
        <w:t xml:space="preserve"> (foliar spray of Nano</w:t>
      </w:r>
      <w:r w:rsidR="009B5C8B">
        <w:rPr>
          <w:rFonts w:ascii="Arial" w:eastAsia="Arial Unicode MS" w:hAnsi="Arial" w:cs="Arial"/>
          <w:color w:val="000000" w:themeColor="text1"/>
          <w:sz w:val="24"/>
          <w:szCs w:val="24"/>
        </w:rPr>
        <w:t xml:space="preserve"> S</w:t>
      </w:r>
      <w:r w:rsidRPr="00704967">
        <w:rPr>
          <w:rFonts w:ascii="Arial" w:eastAsia="Arial Unicode MS" w:hAnsi="Arial" w:cs="Arial"/>
          <w:color w:val="000000" w:themeColor="text1"/>
          <w:sz w:val="24"/>
          <w:szCs w:val="24"/>
        </w:rPr>
        <w:t>ulphur</w:t>
      </w:r>
      <w:r w:rsidR="009B5C8B">
        <w:rPr>
          <w:rFonts w:ascii="Arial" w:eastAsia="Arial Unicode MS" w:hAnsi="Arial" w:cs="Arial"/>
          <w:color w:val="000000" w:themeColor="text1"/>
          <w:sz w:val="24"/>
          <w:szCs w:val="24"/>
        </w:rPr>
        <w:t xml:space="preserve"> (0.5%)</w:t>
      </w:r>
      <w:r w:rsidRPr="00704967">
        <w:rPr>
          <w:rFonts w:ascii="Arial" w:eastAsia="Arial Unicode MS" w:hAnsi="Arial" w:cs="Arial"/>
          <w:color w:val="000000" w:themeColor="text1"/>
          <w:sz w:val="24"/>
          <w:szCs w:val="24"/>
        </w:rPr>
        <w:t xml:space="preserve"> at 30 DAS), T</w:t>
      </w:r>
      <w:r w:rsidRPr="00704967">
        <w:rPr>
          <w:rFonts w:ascii="Arial" w:eastAsia="Arial Unicode MS" w:hAnsi="Arial" w:cs="Arial"/>
          <w:color w:val="000000" w:themeColor="text1"/>
          <w:sz w:val="24"/>
          <w:szCs w:val="24"/>
          <w:vertAlign w:val="subscript"/>
        </w:rPr>
        <w:t>6</w:t>
      </w:r>
      <w:r w:rsidRPr="00704967">
        <w:rPr>
          <w:rFonts w:ascii="Arial" w:eastAsia="Arial Unicode MS" w:hAnsi="Arial" w:cs="Arial"/>
          <w:color w:val="000000" w:themeColor="text1"/>
          <w:sz w:val="24"/>
          <w:szCs w:val="24"/>
        </w:rPr>
        <w:t xml:space="preserve"> (foliar application of sulphur fertilizer</w:t>
      </w:r>
      <w:r w:rsidR="009B5C8B">
        <w:rPr>
          <w:rFonts w:ascii="Arial" w:eastAsia="Arial Unicode MS" w:hAnsi="Arial" w:cs="Arial"/>
          <w:color w:val="000000" w:themeColor="text1"/>
          <w:sz w:val="24"/>
          <w:szCs w:val="24"/>
        </w:rPr>
        <w:t xml:space="preserve"> (0.5%)</w:t>
      </w:r>
      <w:r w:rsidRPr="00704967">
        <w:rPr>
          <w:rFonts w:ascii="Arial" w:eastAsia="Arial Unicode MS" w:hAnsi="Arial" w:cs="Arial"/>
          <w:color w:val="000000" w:themeColor="text1"/>
          <w:sz w:val="24"/>
          <w:szCs w:val="24"/>
        </w:rPr>
        <w:t xml:space="preserve"> at 30 DAS) and T</w:t>
      </w:r>
      <w:r w:rsidRPr="00704967">
        <w:rPr>
          <w:rFonts w:ascii="Arial" w:eastAsia="Arial Unicode MS" w:hAnsi="Arial" w:cs="Arial"/>
          <w:color w:val="000000" w:themeColor="text1"/>
          <w:sz w:val="24"/>
          <w:szCs w:val="24"/>
          <w:vertAlign w:val="subscript"/>
        </w:rPr>
        <w:t>7</w:t>
      </w:r>
      <w:r w:rsidRPr="00704967">
        <w:rPr>
          <w:rFonts w:ascii="Arial" w:eastAsia="Arial Unicode MS" w:hAnsi="Arial" w:cs="Arial"/>
          <w:color w:val="000000" w:themeColor="text1"/>
          <w:sz w:val="24"/>
          <w:szCs w:val="24"/>
        </w:rPr>
        <w:t xml:space="preserve"> (foliar application</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of</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sulphur</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fertilize</w:t>
      </w:r>
      <w:r w:rsidR="009B5C8B">
        <w:rPr>
          <w:rFonts w:ascii="Arial" w:eastAsia="Arial Unicode MS" w:hAnsi="Arial" w:cs="Arial"/>
          <w:color w:val="000000" w:themeColor="text1"/>
          <w:sz w:val="24"/>
          <w:szCs w:val="24"/>
        </w:rPr>
        <w:t>r</w:t>
      </w:r>
      <w:r w:rsidR="008D16B7">
        <w:rPr>
          <w:rFonts w:ascii="Arial" w:eastAsia="Arial Unicode MS" w:hAnsi="Arial" w:cs="Arial"/>
          <w:color w:val="000000" w:themeColor="text1"/>
          <w:sz w:val="24"/>
          <w:szCs w:val="24"/>
        </w:rPr>
        <w:t xml:space="preserve"> </w:t>
      </w:r>
      <w:r w:rsidR="009B5C8B">
        <w:rPr>
          <w:rFonts w:ascii="Arial" w:eastAsia="Arial Unicode MS" w:hAnsi="Arial" w:cs="Arial"/>
          <w:color w:val="000000" w:themeColor="text1"/>
          <w:sz w:val="24"/>
          <w:szCs w:val="24"/>
        </w:rPr>
        <w:t>(0.5%)</w:t>
      </w:r>
      <w:r w:rsidRPr="00704967">
        <w:rPr>
          <w:rFonts w:ascii="Arial" w:eastAsia="Arial Unicode MS" w:hAnsi="Arial" w:cs="Arial"/>
          <w:color w:val="000000" w:themeColor="text1"/>
          <w:sz w:val="24"/>
          <w:szCs w:val="24"/>
        </w:rPr>
        <w:t xml:space="preserve"> at 30 DAS</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and flowering stage), but significantly superior over the remaining treatments. At 90 DAS,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xml:space="preserve"> again produced the maximum plant height, being statistically similar to T</w:t>
      </w:r>
      <w:r w:rsidRPr="00704967">
        <w:rPr>
          <w:rFonts w:ascii="Arial" w:eastAsia="Arial Unicode MS" w:hAnsi="Arial" w:cs="Arial"/>
          <w:color w:val="000000" w:themeColor="text1"/>
          <w:sz w:val="24"/>
          <w:szCs w:val="24"/>
          <w:vertAlign w:val="subscript"/>
        </w:rPr>
        <w:t>7</w:t>
      </w:r>
      <w:r w:rsidRPr="00704967">
        <w:rPr>
          <w:rFonts w:ascii="Arial" w:eastAsia="Arial Unicode MS" w:hAnsi="Arial" w:cs="Arial"/>
          <w:color w:val="000000" w:themeColor="text1"/>
          <w:sz w:val="24"/>
          <w:szCs w:val="24"/>
        </w:rPr>
        <w:t xml:space="preserve"> but significantly superior to other treatments. The maximum plant height observed under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xml:space="preserve"> may be attributed to rapid absorption and efficient translocation of nano</w:t>
      </w:r>
      <w:r w:rsidR="002B2B42">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 xml:space="preserve">sized sulphur particles, enhancing cell division and elongation processes. Similar results were reported by </w:t>
      </w:r>
      <w:r w:rsidR="0099617E">
        <w:rPr>
          <w:rFonts w:ascii="Arial" w:eastAsia="Arial Unicode MS" w:hAnsi="Arial" w:cs="Arial"/>
          <w:color w:val="000000" w:themeColor="text1"/>
          <w:sz w:val="24"/>
          <w:szCs w:val="24"/>
        </w:rPr>
        <w:t>(</w:t>
      </w:r>
      <w:r w:rsidR="00704967">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10.33545/2618060X.2024.v7.i8g.1300","ISSN":"2618060X","author":[{"dropping-particle":"","family":"Gouri","given":"P","non-dropping-particle":"","parse-names":false,"suffix":""},{"dropping-particle":"","family":"Kumar","given":"Prateek","non-dropping-particle":"","parse-names":false,"suffix":""},{"dropping-particle":"","family":"Mehera","given":"Biswarup","non-dropping-particle":"","parse-names":false,"suffix":""},{"dropping-particle":"","family":"Kumar","given":"Akhil","non-dropping-particle":"","parse-names":false,"suffix":""}],"container-title":"International Journal of Research in Agronomy","id":"ITEM-1","issue":"8","issued":{"date-parts":[["2024","8","1"]]},"page":"489-492","title":"Effect of sulphur and nano urea on growth and yield of Indian mustard","type":"article-journal","volume":"7"},"uris":["http://www.mendeley.com/documents/?uuid=bc5ae799-c617-4e9b-80d0-c4efdbcb4231"]}],"mendeley":{"formattedCitation":"(Gouri et al., 2024)","manualFormatting":"Gouri et al., 2024)","plainTextFormattedCitation":"(Gouri et al., 2024)","previouslyFormattedCitation":"(Gouri et al., 2024)"},"properties":{"noteIndex":0},"schema":"https://github.com/citation-style-language/schema/raw/master/csl-citation.json"}</w:instrText>
      </w:r>
      <w:r w:rsidR="00704967">
        <w:rPr>
          <w:rFonts w:ascii="Arial" w:eastAsia="Arial Unicode MS" w:hAnsi="Arial" w:cs="Arial"/>
          <w:color w:val="000000" w:themeColor="text1"/>
          <w:sz w:val="24"/>
          <w:szCs w:val="24"/>
        </w:rPr>
        <w:fldChar w:fldCharType="separate"/>
      </w:r>
      <w:r w:rsidR="00704967" w:rsidRPr="00704967">
        <w:rPr>
          <w:rFonts w:ascii="Arial" w:eastAsia="Arial Unicode MS" w:hAnsi="Arial" w:cs="Arial"/>
          <w:noProof/>
          <w:color w:val="000000" w:themeColor="text1"/>
          <w:sz w:val="24"/>
          <w:szCs w:val="24"/>
        </w:rPr>
        <w:t>Gouri et al., 2024)</w:t>
      </w:r>
      <w:r w:rsidR="00704967">
        <w:rPr>
          <w:rFonts w:ascii="Arial" w:eastAsia="Arial Unicode MS" w:hAnsi="Arial" w:cs="Arial"/>
          <w:color w:val="000000" w:themeColor="text1"/>
          <w:sz w:val="24"/>
          <w:szCs w:val="24"/>
        </w:rPr>
        <w:fldChar w:fldCharType="end"/>
      </w:r>
      <w:r w:rsidRPr="00704967">
        <w:rPr>
          <w:rFonts w:ascii="Arial" w:eastAsia="Arial Unicode MS" w:hAnsi="Arial" w:cs="Arial"/>
          <w:color w:val="000000" w:themeColor="text1"/>
          <w:sz w:val="24"/>
          <w:szCs w:val="24"/>
        </w:rPr>
        <w:t xml:space="preserve"> in Indian mustard, where 30 kg S/ha with nano urea (4 ml/l) resulted in tallest plants (175.07 cm), indicating that the synergistic effect of sulphur and nano-fertilizers significantly improves vertical growth.</w:t>
      </w:r>
    </w:p>
    <w:p w14:paraId="43788D3C" w14:textId="2EAE1805" w:rsidR="00A47583" w:rsidRPr="000F7E4C" w:rsidRDefault="001129AE" w:rsidP="000F7E4C">
      <w:pPr>
        <w:spacing w:after="120" w:line="360" w:lineRule="auto"/>
        <w:jc w:val="both"/>
        <w:rPr>
          <w:rFonts w:ascii="Arial" w:eastAsia="Arial Unicode MS" w:hAnsi="Arial" w:cs="Arial"/>
          <w:color w:val="000000" w:themeColor="text1"/>
          <w:sz w:val="24"/>
          <w:szCs w:val="24"/>
        </w:rPr>
      </w:pPr>
      <w:r>
        <w:rPr>
          <w:rFonts w:ascii="Arial" w:eastAsia="Arial Unicode MS" w:hAnsi="Arial" w:cs="Arial"/>
          <w:b/>
          <w:bCs/>
          <w:color w:val="000000" w:themeColor="text1"/>
          <w:sz w:val="24"/>
          <w:szCs w:val="24"/>
        </w:rPr>
        <w:t xml:space="preserve">3.2 </w:t>
      </w:r>
      <w:r w:rsidR="00A47583" w:rsidRPr="00814751">
        <w:rPr>
          <w:rFonts w:ascii="Arial" w:eastAsia="Arial Unicode MS" w:hAnsi="Arial" w:cs="Arial"/>
          <w:b/>
          <w:bCs/>
          <w:color w:val="000000" w:themeColor="text1"/>
          <w:sz w:val="24"/>
          <w:szCs w:val="24"/>
        </w:rPr>
        <w:t>Number of leaves</w:t>
      </w:r>
      <w:r w:rsidR="00386082">
        <w:rPr>
          <w:rFonts w:ascii="Arial" w:eastAsia="Arial Unicode MS" w:hAnsi="Arial" w:cs="Arial"/>
          <w:b/>
          <w:bCs/>
          <w:color w:val="000000" w:themeColor="text1"/>
          <w:sz w:val="24"/>
          <w:szCs w:val="24"/>
        </w:rPr>
        <w:t xml:space="preserve"> plant</w:t>
      </w:r>
      <w:r w:rsidR="00386082" w:rsidRPr="00386082">
        <w:rPr>
          <w:rFonts w:ascii="Arial Bold" w:eastAsia="Arial Unicode MS" w:hAnsi="Arial Bold" w:cs="Arial"/>
          <w:b/>
          <w:bCs/>
          <w:color w:val="000000" w:themeColor="text1"/>
          <w:sz w:val="24"/>
          <w:szCs w:val="24"/>
          <w:vertAlign w:val="superscript"/>
        </w:rPr>
        <w:t>-1</w:t>
      </w:r>
    </w:p>
    <w:p w14:paraId="0FE80192" w14:textId="7A3B9077" w:rsidR="00B978F2" w:rsidRPr="00DE6803" w:rsidRDefault="00B978F2" w:rsidP="00D17BD4">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At 60 DAS, significantly higher number of leaves (125.8 plant</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was recorded under</w:t>
      </w:r>
      <w:r w:rsidR="009B5C8B">
        <w:rPr>
          <w:rFonts w:ascii="Arial" w:eastAsia="Arial Unicode MS" w:hAnsi="Arial" w:cs="Arial"/>
          <w:color w:val="000000" w:themeColor="text1"/>
          <w:sz w:val="24"/>
          <w:szCs w:val="24"/>
        </w:rPr>
        <w:t xml:space="preserve"> (Table 1.)</w:t>
      </w:r>
      <w:r w:rsidRPr="00DE6803">
        <w:rPr>
          <w:rFonts w:ascii="Arial" w:eastAsia="Arial Unicode MS" w:hAnsi="Arial" w:cs="Arial"/>
          <w:color w:val="000000" w:themeColor="text1"/>
          <w:sz w:val="24"/>
          <w:szCs w:val="24"/>
        </w:rPr>
        <w:t xml:space="preserve"> foliar spray of nano-sulphur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(foliar application of sulphur fertilizer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w:t>
      </w:r>
      <w:r w:rsidR="00DC40A5">
        <w:rPr>
          <w:rFonts w:ascii="Arial" w:eastAsia="Arial Unicode MS" w:hAnsi="Arial" w:cs="Arial"/>
          <w:color w:val="000000" w:themeColor="text1"/>
          <w:sz w:val="24"/>
          <w:szCs w:val="24"/>
        </w:rPr>
        <w:t xml:space="preserve"> and flowering stage</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(foliar spray of nano-sulphur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xml:space="preserve"> (20 kg S</w:t>
      </w:r>
      <w:r w:rsidR="00DC40A5">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 xml:space="preserve">¹ as basal application), but superior over the rest of the treatments. </w:t>
      </w:r>
      <w:r w:rsidR="002F6978">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At 90 DAS, the maximum number of leaves was also observed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remained statistically similar to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yet superior to other </w:t>
      </w:r>
      <w:proofErr w:type="spellStart"/>
      <w:r w:rsidRPr="00DE6803">
        <w:rPr>
          <w:rFonts w:ascii="Arial" w:eastAsia="Arial Unicode MS" w:hAnsi="Arial" w:cs="Arial"/>
          <w:color w:val="000000" w:themeColor="text1"/>
          <w:sz w:val="24"/>
          <w:szCs w:val="24"/>
        </w:rPr>
        <w:t>treatments.The</w:t>
      </w:r>
      <w:proofErr w:type="spellEnd"/>
      <w:r w:rsidRPr="00DE6803">
        <w:rPr>
          <w:rFonts w:ascii="Arial" w:eastAsia="Arial Unicode MS" w:hAnsi="Arial" w:cs="Arial"/>
          <w:color w:val="000000" w:themeColor="text1"/>
          <w:sz w:val="24"/>
          <w:szCs w:val="24"/>
        </w:rPr>
        <w:t xml:space="preserve"> superiority of</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may be attributed to the higher surface area and faster</w:t>
      </w:r>
      <w:r w:rsidR="00DE6803">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solubility of nano</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sulphur, which enhanced nutrient absorption, photosynthetic activity and leaf proliferation. Similar findings were reported by </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{"citationItems":[{"id":"ITEM-1","itemData":{"author":[{"dropping-particle":"","family":"Singh","given":"Harvir","non-dropping-particle":"","parse-names":false,"suffix":""},{"dropping-particle":"","family":"Choudhary","given":"Ram Lal","non-dropping-particle":"","parse-names":false,"suffix":""},{"dropping-particle":"","family":"Jat","given":"R S","non-dropping-particle":"","parse-names":false,"suffix":""},{"dropping-particle":"","family":"Rathore","given":"Sanjay Singh","non-dropping-particle":"","parse-names":false,"suffix":""}],"container-title":"Indian Journal of Agricultural Sciences","id":"ITEM-1","issue":"1","issued":{"date-parts":[["2023"]]},"page":"51-56","title":"Re-visiting of nitrogen and sulphur requirements in Indian mustard (Brassica juncea) under irrigated conditions","type":"article-journal","volume":"93"},"uris":["http://www.mendeley.com/documents/?uuid=f26f9928-f1a2-4b44-81dc-e851f820f065"]}],"mendeley":{"formattedCitation":"(H. Singh et al., 2023)","manualFormatting":" (Singh et al., 2023)","plainTextFormattedCitation":"(H. Singh et al., 2023)","previouslyFormattedCitation":"(H. Singh et al., 2023)"},"properties":{"noteIndex":0},"schema":"https://github.com/citation-style-language/schema/raw/master/csl-citation.json"}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DE6803" w:rsidRPr="00DE6803">
        <w:rPr>
          <w:rFonts w:ascii="Arial" w:eastAsia="Arial Unicode MS" w:hAnsi="Arial" w:cs="Arial"/>
          <w:noProof/>
          <w:color w:val="000000" w:themeColor="text1"/>
          <w:sz w:val="24"/>
          <w:szCs w:val="24"/>
        </w:rPr>
        <w:t xml:space="preserve"> </w:t>
      </w:r>
      <w:r w:rsidR="0099617E">
        <w:rPr>
          <w:rFonts w:ascii="Arial" w:eastAsia="Arial Unicode MS" w:hAnsi="Arial" w:cs="Arial"/>
          <w:noProof/>
          <w:color w:val="000000" w:themeColor="text1"/>
          <w:sz w:val="24"/>
          <w:szCs w:val="24"/>
        </w:rPr>
        <w:t>(</w:t>
      </w:r>
      <w:r w:rsidR="00DE6803" w:rsidRPr="00DE6803">
        <w:rPr>
          <w:rFonts w:ascii="Arial" w:eastAsia="Arial Unicode MS" w:hAnsi="Arial" w:cs="Arial"/>
          <w:noProof/>
          <w:color w:val="000000" w:themeColor="text1"/>
          <w:sz w:val="24"/>
          <w:szCs w:val="24"/>
        </w:rPr>
        <w:t>Singh et al., 2023)</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who noted that 60 kg S</w:t>
      </w:r>
      <w:r w:rsidR="002B2B42">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in mustard produced maximum number of leaves and higher leaf area index.</w:t>
      </w:r>
    </w:p>
    <w:p w14:paraId="4E8259BB" w14:textId="0C9950C9" w:rsidR="00FE3CB0" w:rsidRDefault="001129AE" w:rsidP="00FE3CB0">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3.3 </w:t>
      </w:r>
      <w:r w:rsidR="00FE3CB0" w:rsidRPr="00814751">
        <w:rPr>
          <w:rFonts w:ascii="Arial" w:eastAsia="Arial Unicode MS" w:hAnsi="Arial" w:cs="Arial"/>
          <w:b/>
          <w:bCs/>
          <w:color w:val="000000" w:themeColor="text1"/>
          <w:sz w:val="24"/>
          <w:szCs w:val="24"/>
        </w:rPr>
        <w:t>Leaf area</w:t>
      </w:r>
      <w:r w:rsidR="00A47583" w:rsidRPr="00814751">
        <w:rPr>
          <w:rFonts w:ascii="Arial" w:eastAsia="Arial Unicode MS" w:hAnsi="Arial" w:cs="Arial"/>
          <w:b/>
          <w:bCs/>
          <w:color w:val="000000" w:themeColor="text1"/>
          <w:sz w:val="24"/>
          <w:szCs w:val="24"/>
        </w:rPr>
        <w:t xml:space="preserve"> </w:t>
      </w:r>
    </w:p>
    <w:p w14:paraId="72750E67" w14:textId="1D8BBA0C" w:rsidR="00B978F2" w:rsidRPr="00DE6803" w:rsidRDefault="00B978F2" w:rsidP="009B5C8B">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At 60 DAS, the highest leaf area was recorded under foliar spray of nano</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but statistically superior over the rest of the treatments. At 90 DAS, the maximum leaf area was also observed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remaining at par with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yet superior to other treatments. Leaf area was consistently highest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1.</w:t>
      </w:r>
      <w:r w:rsidRPr="00DE6803">
        <w:rPr>
          <w:rFonts w:ascii="Arial" w:eastAsia="Arial Unicode MS" w:hAnsi="Arial" w:cs="Arial"/>
          <w:color w:val="000000" w:themeColor="text1"/>
          <w:sz w:val="24"/>
          <w:szCs w:val="24"/>
        </w:rPr>
        <w:t xml:space="preserve">), which may be </w:t>
      </w:r>
      <w:r w:rsidRPr="00DE6803">
        <w:rPr>
          <w:rFonts w:ascii="Arial" w:eastAsia="Arial Unicode MS" w:hAnsi="Arial" w:cs="Arial"/>
          <w:color w:val="000000" w:themeColor="text1"/>
          <w:sz w:val="24"/>
          <w:szCs w:val="24"/>
        </w:rPr>
        <w:lastRenderedPageBreak/>
        <w:t xml:space="preserve">attributed to the role of sulphur in chlorophyll synthesis and amino acid (cysteine and methionine) formation, enhancing photosynthetic efficiency and promoting larger leaf area. Similar results were reported by </w:t>
      </w:r>
      <w:r w:rsidR="0099617E">
        <w:rPr>
          <w:rFonts w:ascii="Arial" w:eastAsia="Arial Unicode MS" w:hAnsi="Arial" w:cs="Arial"/>
          <w:color w:val="000000" w:themeColor="text1"/>
          <w:sz w:val="24"/>
          <w:szCs w:val="24"/>
        </w:rPr>
        <w:t>(</w:t>
      </w:r>
      <w:r w:rsidR="002F6978">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01904167.2023.2294931","ISSN":"0190-4167","author":[{"dropping-particle":"","family":"Thirunavukkarasu","given":"M.","non-dropping-particle":"","parse-names":false,"suffix":""},{"dropping-particle":"","family":"Subramanian","given":"K S","non-dropping-particle":"","parse-names":false,"suffix":""},{"dropping-particle":"","family":"Yuvaraj","given":"M","non-dropping-particle":"","parse-names":false,"suffix":""}],"container-title":"Journal of Plant Nutrition","id":"ITEM-1","issue":"7","issued":{"date-parts":[["2024","4","20"]]},"page":"1079-1088","title":"Response studies of nano-sulphur on nutrient uptake, sulphur fractions, yield and quality parameters of peanut (Arachis hypogaea L.)","type":"article-journal","volume":"47"},"uris":["http://www.mendeley.com/documents/?uuid=2c0dd792-42f0-4b11-ab3a-a28d4b25b5fd"]}],"mendeley":{"formattedCitation":"(Thirunavukkarasu et al., 2024)","manualFormatting":"Thirunavukkarasu et al., 2024)","plainTextFormattedCitation":"(Thirunavukkarasu et al., 2024)","previouslyFormattedCitation":"(Thirunavukkarasu et al., 2024)"},"properties":{"noteIndex":0},"schema":"https://github.com/citation-style-language/schema/raw/master/csl-citation.json"}</w:instrText>
      </w:r>
      <w:r w:rsidR="002F6978">
        <w:rPr>
          <w:rFonts w:ascii="Arial" w:eastAsia="Arial Unicode MS" w:hAnsi="Arial" w:cs="Arial"/>
          <w:color w:val="000000" w:themeColor="text1"/>
          <w:sz w:val="24"/>
          <w:szCs w:val="24"/>
        </w:rPr>
        <w:fldChar w:fldCharType="separate"/>
      </w:r>
      <w:r w:rsidR="002F6978" w:rsidRPr="002F6978">
        <w:rPr>
          <w:rFonts w:ascii="Arial" w:eastAsia="Arial Unicode MS" w:hAnsi="Arial" w:cs="Arial"/>
          <w:noProof/>
          <w:color w:val="000000" w:themeColor="text1"/>
          <w:sz w:val="24"/>
          <w:szCs w:val="24"/>
        </w:rPr>
        <w:t>Thirunavukkarasu et al., 2024)</w:t>
      </w:r>
      <w:r w:rsidR="002F6978">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in groundnut, where nano-sulphur improved sulphur use efficiency and canopy development, confirming the effectiveness of foliar nano-sulphur application at critical stages for better foliage and photosynthetic </w:t>
      </w:r>
      <w:commentRangeStart w:id="7"/>
      <w:r w:rsidRPr="00DE6803">
        <w:rPr>
          <w:rFonts w:ascii="Arial" w:eastAsia="Arial Unicode MS" w:hAnsi="Arial" w:cs="Arial"/>
          <w:color w:val="000000" w:themeColor="text1"/>
          <w:sz w:val="24"/>
          <w:szCs w:val="24"/>
        </w:rPr>
        <w:t>surface</w:t>
      </w:r>
      <w:commentRangeEnd w:id="7"/>
      <w:r w:rsidR="00077208">
        <w:rPr>
          <w:rStyle w:val="CommentReference"/>
        </w:rPr>
        <w:commentReference w:id="7"/>
      </w:r>
      <w:r w:rsidRPr="00DE6803">
        <w:rPr>
          <w:rFonts w:ascii="Arial" w:eastAsia="Arial Unicode MS" w:hAnsi="Arial" w:cs="Arial"/>
          <w:color w:val="000000" w:themeColor="text1"/>
          <w:sz w:val="24"/>
          <w:szCs w:val="24"/>
        </w:rPr>
        <w:t>.</w:t>
      </w:r>
    </w:p>
    <w:p w14:paraId="0FE536AF" w14:textId="23A15F59" w:rsidR="00BC45BB" w:rsidRPr="00BC45BB" w:rsidRDefault="001129AE" w:rsidP="00784905">
      <w:pPr>
        <w:spacing w:after="120" w:line="360" w:lineRule="auto"/>
        <w:jc w:val="both"/>
        <w:rPr>
          <w:rFonts w:ascii="Arial" w:eastAsia="Arial Unicode MS" w:hAnsi="Arial" w:cs="Arial"/>
          <w:color w:val="000000" w:themeColor="text1"/>
          <w:sz w:val="20"/>
          <w:szCs w:val="20"/>
        </w:rPr>
      </w:pPr>
      <w:r>
        <w:rPr>
          <w:rFonts w:ascii="Arial" w:hAnsi="Arial" w:cs="Arial"/>
          <w:b/>
          <w:bCs/>
          <w:sz w:val="20"/>
          <w:szCs w:val="20"/>
        </w:rPr>
        <w:t>Table 1</w:t>
      </w:r>
      <w:r w:rsidR="006828EF">
        <w:rPr>
          <w:rFonts w:ascii="Arial" w:hAnsi="Arial" w:cs="Arial"/>
          <w:b/>
          <w:bCs/>
          <w:sz w:val="20"/>
          <w:szCs w:val="20"/>
        </w:rPr>
        <w:t>.</w:t>
      </w:r>
      <w:r>
        <w:rPr>
          <w:rFonts w:ascii="Arial" w:hAnsi="Arial" w:cs="Arial"/>
          <w:b/>
          <w:bCs/>
          <w:sz w:val="20"/>
          <w:szCs w:val="20"/>
        </w:rPr>
        <w:t xml:space="preserve"> </w:t>
      </w:r>
      <w:r w:rsidR="00BC45BB" w:rsidRPr="00726616">
        <w:rPr>
          <w:rFonts w:ascii="Arial" w:hAnsi="Arial" w:cs="Arial"/>
          <w:b/>
          <w:bCs/>
          <w:sz w:val="20"/>
          <w:szCs w:val="20"/>
        </w:rPr>
        <w:t>Influenced by different sources of Sulphur on Growth parameter</w:t>
      </w:r>
    </w:p>
    <w:tbl>
      <w:tblPr>
        <w:tblW w:w="8890" w:type="dxa"/>
        <w:jc w:val="center"/>
        <w:tblLook w:val="04A0" w:firstRow="1" w:lastRow="0" w:firstColumn="1" w:lastColumn="0" w:noHBand="0" w:noVBand="1"/>
      </w:tblPr>
      <w:tblGrid>
        <w:gridCol w:w="436"/>
        <w:gridCol w:w="2269"/>
        <w:gridCol w:w="777"/>
        <w:gridCol w:w="703"/>
        <w:gridCol w:w="957"/>
        <w:gridCol w:w="866"/>
        <w:gridCol w:w="764"/>
        <w:gridCol w:w="785"/>
        <w:gridCol w:w="777"/>
        <w:gridCol w:w="792"/>
      </w:tblGrid>
      <w:tr w:rsidR="00E10D00" w:rsidRPr="00ED7D1B" w14:paraId="234B95BA" w14:textId="77777777" w:rsidTr="001129AE">
        <w:trPr>
          <w:trHeight w:val="269"/>
          <w:jc w:val="center"/>
        </w:trPr>
        <w:tc>
          <w:tcPr>
            <w:tcW w:w="2767" w:type="dxa"/>
            <w:gridSpan w:val="2"/>
            <w:vMerge w:val="restart"/>
            <w:tcBorders>
              <w:top w:val="single" w:sz="4" w:space="0" w:color="auto"/>
            </w:tcBorders>
            <w:noWrap/>
            <w:vAlign w:val="center"/>
            <w:hideMark/>
          </w:tcPr>
          <w:p w14:paraId="2AA303C2" w14:textId="77777777" w:rsidR="00E10D00" w:rsidRPr="001C4DE4" w:rsidRDefault="00E10D00" w:rsidP="00E10D00">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Treatment</w:t>
            </w:r>
          </w:p>
          <w:p w14:paraId="4AD3F7B4" w14:textId="777704C0" w:rsidR="00E10D00" w:rsidRPr="001C4DE4" w:rsidRDefault="00E10D00" w:rsidP="00E10D00">
            <w:pPr>
              <w:spacing w:after="0" w:line="240" w:lineRule="auto"/>
              <w:jc w:val="center"/>
              <w:rPr>
                <w:rFonts w:ascii="Calibri" w:eastAsia="Times New Roman" w:hAnsi="Calibri" w:cs="Calibri"/>
                <w:color w:val="000000"/>
                <w:kern w:val="0"/>
                <w:sz w:val="18"/>
                <w:szCs w:val="18"/>
                <w:lang w:eastAsia="en-IN" w:bidi="hi-IN"/>
                <w14:ligatures w14:val="none"/>
              </w:rPr>
            </w:pPr>
          </w:p>
          <w:p w14:paraId="05B9EB18" w14:textId="2BFE34A2" w:rsidR="00E10D00" w:rsidRPr="001C4DE4" w:rsidRDefault="00E10D00" w:rsidP="00E10D00">
            <w:pPr>
              <w:spacing w:after="0" w:line="240" w:lineRule="auto"/>
              <w:jc w:val="center"/>
              <w:rPr>
                <w:rFonts w:eastAsia="Times New Roman" w:cstheme="minorHAnsi"/>
                <w:b/>
                <w:bCs/>
                <w:color w:val="000000"/>
                <w:kern w:val="0"/>
                <w:sz w:val="18"/>
                <w:szCs w:val="18"/>
                <w:lang w:eastAsia="en-IN" w:bidi="hi-IN"/>
                <w14:ligatures w14:val="none"/>
              </w:rPr>
            </w:pPr>
          </w:p>
        </w:tc>
        <w:tc>
          <w:tcPr>
            <w:tcW w:w="1423" w:type="dxa"/>
            <w:gridSpan w:val="2"/>
            <w:tcBorders>
              <w:top w:val="single" w:sz="4" w:space="0" w:color="auto"/>
              <w:bottom w:val="single" w:sz="4" w:space="0" w:color="auto"/>
            </w:tcBorders>
            <w:noWrap/>
            <w:vAlign w:val="center"/>
            <w:hideMark/>
          </w:tcPr>
          <w:p w14:paraId="487CA3ED" w14:textId="436C4A0E"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Plant height (cm)</w:t>
            </w:r>
          </w:p>
        </w:tc>
        <w:tc>
          <w:tcPr>
            <w:tcW w:w="1705" w:type="dxa"/>
            <w:gridSpan w:val="2"/>
            <w:tcBorders>
              <w:top w:val="single" w:sz="4" w:space="0" w:color="auto"/>
              <w:bottom w:val="single" w:sz="4" w:space="0" w:color="auto"/>
            </w:tcBorders>
            <w:noWrap/>
            <w:vAlign w:val="center"/>
            <w:hideMark/>
          </w:tcPr>
          <w:p w14:paraId="70A99B61" w14:textId="0143917B"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Number of leaves</w:t>
            </w:r>
            <w:r w:rsidR="00B17267" w:rsidRPr="001C4DE4">
              <w:rPr>
                <w:rFonts w:eastAsia="Times New Roman" w:cstheme="minorHAnsi"/>
                <w:b/>
                <w:bCs/>
                <w:color w:val="000000"/>
                <w:kern w:val="0"/>
                <w:sz w:val="18"/>
                <w:szCs w:val="18"/>
                <w:lang w:eastAsia="en-IN" w:bidi="hi-IN"/>
                <w14:ligatures w14:val="none"/>
              </w:rPr>
              <w:t xml:space="preserve"> plant</w:t>
            </w:r>
            <w:r w:rsidR="00B17267" w:rsidRPr="001C4DE4">
              <w:rPr>
                <w:rFonts w:eastAsia="Times New Roman" w:cstheme="minorHAnsi"/>
                <w:b/>
                <w:bCs/>
                <w:color w:val="000000"/>
                <w:kern w:val="0"/>
                <w:sz w:val="18"/>
                <w:szCs w:val="18"/>
                <w:vertAlign w:val="superscript"/>
                <w:lang w:eastAsia="en-IN" w:bidi="hi-IN"/>
                <w14:ligatures w14:val="none"/>
              </w:rPr>
              <w:t>-1</w:t>
            </w:r>
          </w:p>
        </w:tc>
        <w:tc>
          <w:tcPr>
            <w:tcW w:w="1516" w:type="dxa"/>
            <w:gridSpan w:val="2"/>
            <w:tcBorders>
              <w:top w:val="single" w:sz="4" w:space="0" w:color="auto"/>
              <w:bottom w:val="single" w:sz="4" w:space="0" w:color="auto"/>
            </w:tcBorders>
            <w:noWrap/>
            <w:vAlign w:val="bottom"/>
            <w:hideMark/>
          </w:tcPr>
          <w:p w14:paraId="35BAC1BD"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Leaf area (cm</w:t>
            </w:r>
            <w:r w:rsidRPr="001C4DE4">
              <w:rPr>
                <w:rFonts w:eastAsia="Times New Roman" w:cstheme="minorHAnsi"/>
                <w:b/>
                <w:bCs/>
                <w:color w:val="000000"/>
                <w:kern w:val="0"/>
                <w:sz w:val="18"/>
                <w:szCs w:val="18"/>
                <w:vertAlign w:val="superscript"/>
                <w:lang w:eastAsia="en-IN" w:bidi="hi-IN"/>
                <w14:ligatures w14:val="none"/>
              </w:rPr>
              <w:t>-2</w:t>
            </w:r>
            <w:r w:rsidRPr="001C4DE4">
              <w:rPr>
                <w:rFonts w:eastAsia="Times New Roman" w:cstheme="minorHAnsi"/>
                <w:b/>
                <w:bCs/>
                <w:color w:val="000000"/>
                <w:kern w:val="0"/>
                <w:sz w:val="18"/>
                <w:szCs w:val="18"/>
                <w:lang w:eastAsia="en-IN" w:bidi="hi-IN"/>
                <w14:ligatures w14:val="none"/>
              </w:rPr>
              <w:t xml:space="preserve"> plant</w:t>
            </w:r>
            <w:r w:rsidRPr="001C4DE4">
              <w:rPr>
                <w:rFonts w:eastAsia="Times New Roman" w:cstheme="minorHAnsi"/>
                <w:b/>
                <w:bCs/>
                <w:color w:val="000000"/>
                <w:kern w:val="0"/>
                <w:sz w:val="18"/>
                <w:szCs w:val="18"/>
                <w:vertAlign w:val="superscript"/>
                <w:lang w:eastAsia="en-IN" w:bidi="hi-IN"/>
                <w14:ligatures w14:val="none"/>
              </w:rPr>
              <w:t>-1</w:t>
            </w:r>
            <w:r w:rsidRPr="001C4DE4">
              <w:rPr>
                <w:rFonts w:eastAsia="Times New Roman" w:cstheme="minorHAnsi"/>
                <w:b/>
                <w:bCs/>
                <w:color w:val="000000"/>
                <w:kern w:val="0"/>
                <w:sz w:val="18"/>
                <w:szCs w:val="18"/>
                <w:lang w:eastAsia="en-IN" w:bidi="hi-IN"/>
                <w14:ligatures w14:val="none"/>
              </w:rPr>
              <w:t xml:space="preserve">) </w:t>
            </w:r>
          </w:p>
        </w:tc>
        <w:tc>
          <w:tcPr>
            <w:tcW w:w="1479" w:type="dxa"/>
            <w:gridSpan w:val="2"/>
            <w:tcBorders>
              <w:top w:val="single" w:sz="4" w:space="0" w:color="auto"/>
              <w:bottom w:val="single" w:sz="4" w:space="0" w:color="auto"/>
            </w:tcBorders>
            <w:noWrap/>
            <w:vAlign w:val="bottom"/>
            <w:hideMark/>
          </w:tcPr>
          <w:p w14:paraId="58A73FE8"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Number of  branches plant</w:t>
            </w:r>
            <w:r w:rsidRPr="001C4DE4">
              <w:rPr>
                <w:rFonts w:eastAsia="Times New Roman" w:cstheme="minorHAnsi"/>
                <w:b/>
                <w:bCs/>
                <w:color w:val="000000"/>
                <w:kern w:val="0"/>
                <w:sz w:val="18"/>
                <w:szCs w:val="18"/>
                <w:vertAlign w:val="superscript"/>
                <w:lang w:eastAsia="en-IN" w:bidi="hi-IN"/>
                <w14:ligatures w14:val="none"/>
              </w:rPr>
              <w:t>-1</w:t>
            </w:r>
          </w:p>
        </w:tc>
      </w:tr>
      <w:tr w:rsidR="00E10D00" w:rsidRPr="00ED7D1B" w14:paraId="58EEC497" w14:textId="77777777" w:rsidTr="001129AE">
        <w:trPr>
          <w:trHeight w:val="253"/>
          <w:jc w:val="center"/>
        </w:trPr>
        <w:tc>
          <w:tcPr>
            <w:tcW w:w="2767" w:type="dxa"/>
            <w:gridSpan w:val="2"/>
            <w:vMerge/>
            <w:tcBorders>
              <w:bottom w:val="single" w:sz="4" w:space="0" w:color="auto"/>
            </w:tcBorders>
            <w:noWrap/>
            <w:vAlign w:val="bottom"/>
            <w:hideMark/>
          </w:tcPr>
          <w:p w14:paraId="31359126" w14:textId="43E7B1F6"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p>
        </w:tc>
        <w:tc>
          <w:tcPr>
            <w:tcW w:w="729" w:type="dxa"/>
            <w:tcBorders>
              <w:bottom w:val="single" w:sz="4" w:space="0" w:color="auto"/>
            </w:tcBorders>
            <w:noWrap/>
            <w:vAlign w:val="center"/>
            <w:hideMark/>
          </w:tcPr>
          <w:p w14:paraId="6F0E20F7" w14:textId="77777777"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693" w:type="dxa"/>
            <w:tcBorders>
              <w:bottom w:val="single" w:sz="4" w:space="0" w:color="auto"/>
            </w:tcBorders>
            <w:noWrap/>
            <w:vAlign w:val="center"/>
            <w:hideMark/>
          </w:tcPr>
          <w:p w14:paraId="0C138C7C" w14:textId="77777777"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894" w:type="dxa"/>
            <w:tcBorders>
              <w:bottom w:val="single" w:sz="4" w:space="0" w:color="auto"/>
            </w:tcBorders>
            <w:noWrap/>
            <w:vAlign w:val="center"/>
            <w:hideMark/>
          </w:tcPr>
          <w:p w14:paraId="6501221F"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810" w:type="dxa"/>
            <w:tcBorders>
              <w:bottom w:val="single" w:sz="4" w:space="0" w:color="auto"/>
            </w:tcBorders>
            <w:noWrap/>
            <w:vAlign w:val="center"/>
            <w:hideMark/>
          </w:tcPr>
          <w:p w14:paraId="7786FE7D"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779" w:type="dxa"/>
            <w:tcBorders>
              <w:bottom w:val="single" w:sz="4" w:space="0" w:color="auto"/>
            </w:tcBorders>
            <w:noWrap/>
            <w:vAlign w:val="center"/>
            <w:hideMark/>
          </w:tcPr>
          <w:p w14:paraId="10DDEB96"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736" w:type="dxa"/>
            <w:tcBorders>
              <w:bottom w:val="single" w:sz="4" w:space="0" w:color="auto"/>
            </w:tcBorders>
            <w:noWrap/>
            <w:vAlign w:val="center"/>
            <w:hideMark/>
          </w:tcPr>
          <w:p w14:paraId="2CA39BCE"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731" w:type="dxa"/>
            <w:tcBorders>
              <w:bottom w:val="single" w:sz="4" w:space="0" w:color="auto"/>
            </w:tcBorders>
            <w:noWrap/>
            <w:vAlign w:val="center"/>
            <w:hideMark/>
          </w:tcPr>
          <w:p w14:paraId="1B9CFE29"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742" w:type="dxa"/>
            <w:tcBorders>
              <w:bottom w:val="single" w:sz="4" w:space="0" w:color="auto"/>
            </w:tcBorders>
            <w:noWrap/>
            <w:vAlign w:val="center"/>
            <w:hideMark/>
          </w:tcPr>
          <w:p w14:paraId="70CF39F1"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r>
      <w:tr w:rsidR="00E10D00" w:rsidRPr="00ED7D1B" w14:paraId="62BDA408" w14:textId="77777777" w:rsidTr="001129AE">
        <w:trPr>
          <w:trHeight w:val="253"/>
          <w:jc w:val="center"/>
        </w:trPr>
        <w:tc>
          <w:tcPr>
            <w:tcW w:w="441" w:type="dxa"/>
            <w:tcBorders>
              <w:top w:val="single" w:sz="4" w:space="0" w:color="auto"/>
            </w:tcBorders>
            <w:noWrap/>
            <w:vAlign w:val="center"/>
            <w:hideMark/>
          </w:tcPr>
          <w:p w14:paraId="5AF8C060"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1</w:t>
            </w:r>
          </w:p>
        </w:tc>
        <w:tc>
          <w:tcPr>
            <w:tcW w:w="2325" w:type="dxa"/>
            <w:tcBorders>
              <w:top w:val="single" w:sz="4" w:space="0" w:color="auto"/>
            </w:tcBorders>
            <w:noWrap/>
            <w:vAlign w:val="bottom"/>
            <w:hideMark/>
          </w:tcPr>
          <w:p w14:paraId="13F915D1"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Control (without Sulphur)   </w:t>
            </w:r>
          </w:p>
        </w:tc>
        <w:tc>
          <w:tcPr>
            <w:tcW w:w="729" w:type="dxa"/>
            <w:tcBorders>
              <w:top w:val="single" w:sz="4" w:space="0" w:color="auto"/>
            </w:tcBorders>
            <w:noWrap/>
            <w:vAlign w:val="center"/>
            <w:hideMark/>
          </w:tcPr>
          <w:p w14:paraId="55C6BED4"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22.2c</w:t>
            </w:r>
          </w:p>
        </w:tc>
        <w:tc>
          <w:tcPr>
            <w:tcW w:w="693" w:type="dxa"/>
            <w:tcBorders>
              <w:top w:val="single" w:sz="4" w:space="0" w:color="auto"/>
            </w:tcBorders>
            <w:noWrap/>
            <w:vAlign w:val="center"/>
            <w:hideMark/>
          </w:tcPr>
          <w:p w14:paraId="4493A4EE"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60.6c</w:t>
            </w:r>
          </w:p>
        </w:tc>
        <w:tc>
          <w:tcPr>
            <w:tcW w:w="894" w:type="dxa"/>
            <w:tcBorders>
              <w:top w:val="single" w:sz="4" w:space="0" w:color="auto"/>
            </w:tcBorders>
            <w:noWrap/>
            <w:vAlign w:val="center"/>
            <w:hideMark/>
          </w:tcPr>
          <w:p w14:paraId="6F2B1719"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100.8d</w:t>
            </w:r>
          </w:p>
        </w:tc>
        <w:tc>
          <w:tcPr>
            <w:tcW w:w="810" w:type="dxa"/>
            <w:tcBorders>
              <w:top w:val="single" w:sz="4" w:space="0" w:color="auto"/>
            </w:tcBorders>
            <w:noWrap/>
            <w:vAlign w:val="center"/>
            <w:hideMark/>
          </w:tcPr>
          <w:p w14:paraId="632215B6"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149.1c</w:t>
            </w:r>
          </w:p>
        </w:tc>
        <w:tc>
          <w:tcPr>
            <w:tcW w:w="779" w:type="dxa"/>
            <w:tcBorders>
              <w:top w:val="single" w:sz="4" w:space="0" w:color="auto"/>
            </w:tcBorders>
            <w:noWrap/>
            <w:vAlign w:val="center"/>
            <w:hideMark/>
          </w:tcPr>
          <w:p w14:paraId="2DA7DC3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39.7c</w:t>
            </w:r>
          </w:p>
        </w:tc>
        <w:tc>
          <w:tcPr>
            <w:tcW w:w="736" w:type="dxa"/>
            <w:tcBorders>
              <w:top w:val="single" w:sz="4" w:space="0" w:color="auto"/>
            </w:tcBorders>
            <w:noWrap/>
            <w:vAlign w:val="center"/>
            <w:hideMark/>
          </w:tcPr>
          <w:p w14:paraId="1BB8999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44.4d</w:t>
            </w:r>
          </w:p>
        </w:tc>
        <w:tc>
          <w:tcPr>
            <w:tcW w:w="731" w:type="dxa"/>
            <w:tcBorders>
              <w:top w:val="single" w:sz="4" w:space="0" w:color="auto"/>
            </w:tcBorders>
            <w:noWrap/>
            <w:vAlign w:val="center"/>
            <w:hideMark/>
          </w:tcPr>
          <w:p w14:paraId="13E97E7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2.57c</w:t>
            </w:r>
          </w:p>
        </w:tc>
        <w:tc>
          <w:tcPr>
            <w:tcW w:w="742" w:type="dxa"/>
            <w:tcBorders>
              <w:top w:val="single" w:sz="4" w:space="0" w:color="auto"/>
            </w:tcBorders>
            <w:noWrap/>
            <w:vAlign w:val="center"/>
            <w:hideMark/>
          </w:tcPr>
          <w:p w14:paraId="7FA4723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15.40c</w:t>
            </w:r>
          </w:p>
        </w:tc>
      </w:tr>
      <w:tr w:rsidR="00E10D00" w:rsidRPr="00ED7D1B" w14:paraId="278E37BE" w14:textId="77777777" w:rsidTr="00E10D00">
        <w:trPr>
          <w:trHeight w:val="253"/>
          <w:jc w:val="center"/>
        </w:trPr>
        <w:tc>
          <w:tcPr>
            <w:tcW w:w="441" w:type="dxa"/>
            <w:noWrap/>
            <w:vAlign w:val="center"/>
            <w:hideMark/>
          </w:tcPr>
          <w:p w14:paraId="204AA5D8"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2</w:t>
            </w:r>
          </w:p>
        </w:tc>
        <w:tc>
          <w:tcPr>
            <w:tcW w:w="2325" w:type="dxa"/>
            <w:noWrap/>
            <w:vAlign w:val="bottom"/>
            <w:hideMark/>
          </w:tcPr>
          <w:p w14:paraId="6AC90843"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20 kg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ha⁻¹ as basal application  </w:t>
            </w:r>
          </w:p>
        </w:tc>
        <w:tc>
          <w:tcPr>
            <w:tcW w:w="729" w:type="dxa"/>
            <w:noWrap/>
            <w:vAlign w:val="center"/>
            <w:hideMark/>
          </w:tcPr>
          <w:p w14:paraId="3D4EE66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25.4abc</w:t>
            </w:r>
          </w:p>
        </w:tc>
        <w:tc>
          <w:tcPr>
            <w:tcW w:w="693" w:type="dxa"/>
            <w:noWrap/>
            <w:vAlign w:val="center"/>
            <w:hideMark/>
          </w:tcPr>
          <w:p w14:paraId="16E9E532"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64.4bc</w:t>
            </w:r>
          </w:p>
        </w:tc>
        <w:tc>
          <w:tcPr>
            <w:tcW w:w="894" w:type="dxa"/>
            <w:noWrap/>
            <w:vAlign w:val="center"/>
            <w:hideMark/>
          </w:tcPr>
          <w:p w14:paraId="260A7898"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112.3abcd</w:t>
            </w:r>
          </w:p>
        </w:tc>
        <w:tc>
          <w:tcPr>
            <w:tcW w:w="810" w:type="dxa"/>
            <w:noWrap/>
            <w:vAlign w:val="center"/>
            <w:hideMark/>
          </w:tcPr>
          <w:p w14:paraId="7AC1395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165.9abc</w:t>
            </w:r>
          </w:p>
        </w:tc>
        <w:tc>
          <w:tcPr>
            <w:tcW w:w="779" w:type="dxa"/>
            <w:noWrap/>
            <w:vAlign w:val="center"/>
            <w:hideMark/>
          </w:tcPr>
          <w:p w14:paraId="61C2459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43.2bc</w:t>
            </w:r>
          </w:p>
        </w:tc>
        <w:tc>
          <w:tcPr>
            <w:tcW w:w="736" w:type="dxa"/>
            <w:noWrap/>
            <w:vAlign w:val="center"/>
            <w:hideMark/>
          </w:tcPr>
          <w:p w14:paraId="74F5145C"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50.1abc</w:t>
            </w:r>
          </w:p>
        </w:tc>
        <w:tc>
          <w:tcPr>
            <w:tcW w:w="731" w:type="dxa"/>
            <w:noWrap/>
            <w:vAlign w:val="center"/>
            <w:hideMark/>
          </w:tcPr>
          <w:p w14:paraId="791B117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3.76a</w:t>
            </w:r>
          </w:p>
        </w:tc>
        <w:tc>
          <w:tcPr>
            <w:tcW w:w="742" w:type="dxa"/>
            <w:noWrap/>
            <w:vAlign w:val="center"/>
            <w:hideMark/>
          </w:tcPr>
          <w:p w14:paraId="1E791E5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16.03c</w:t>
            </w:r>
          </w:p>
        </w:tc>
      </w:tr>
      <w:tr w:rsidR="00E10D00" w:rsidRPr="00ED7D1B" w14:paraId="45E343E3" w14:textId="77777777" w:rsidTr="00E10D00">
        <w:trPr>
          <w:trHeight w:val="253"/>
          <w:jc w:val="center"/>
        </w:trPr>
        <w:tc>
          <w:tcPr>
            <w:tcW w:w="441" w:type="dxa"/>
            <w:noWrap/>
            <w:vAlign w:val="center"/>
            <w:hideMark/>
          </w:tcPr>
          <w:p w14:paraId="15FD2DB9"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3</w:t>
            </w:r>
          </w:p>
        </w:tc>
        <w:tc>
          <w:tcPr>
            <w:tcW w:w="2325" w:type="dxa"/>
            <w:noWrap/>
            <w:vAlign w:val="bottom"/>
            <w:hideMark/>
          </w:tcPr>
          <w:p w14:paraId="2CCFC070"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Soil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solubilizing bacteria (7.5 l ha⁻¹)</w:t>
            </w:r>
          </w:p>
        </w:tc>
        <w:tc>
          <w:tcPr>
            <w:tcW w:w="729" w:type="dxa"/>
            <w:noWrap/>
            <w:vAlign w:val="center"/>
            <w:hideMark/>
          </w:tcPr>
          <w:p w14:paraId="3916654D"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24.2bc</w:t>
            </w:r>
          </w:p>
        </w:tc>
        <w:tc>
          <w:tcPr>
            <w:tcW w:w="693" w:type="dxa"/>
            <w:noWrap/>
            <w:vAlign w:val="center"/>
            <w:hideMark/>
          </w:tcPr>
          <w:p w14:paraId="2B3901EE"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63.0bc</w:t>
            </w:r>
          </w:p>
        </w:tc>
        <w:tc>
          <w:tcPr>
            <w:tcW w:w="894" w:type="dxa"/>
            <w:noWrap/>
            <w:vAlign w:val="center"/>
            <w:hideMark/>
          </w:tcPr>
          <w:p w14:paraId="450BE1D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106.1cd</w:t>
            </w:r>
          </w:p>
        </w:tc>
        <w:tc>
          <w:tcPr>
            <w:tcW w:w="810" w:type="dxa"/>
            <w:noWrap/>
            <w:vAlign w:val="center"/>
            <w:hideMark/>
          </w:tcPr>
          <w:p w14:paraId="73E337BD"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153.8c</w:t>
            </w:r>
          </w:p>
        </w:tc>
        <w:tc>
          <w:tcPr>
            <w:tcW w:w="779" w:type="dxa"/>
            <w:noWrap/>
            <w:vAlign w:val="center"/>
            <w:hideMark/>
          </w:tcPr>
          <w:p w14:paraId="6EDE309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40.6c</w:t>
            </w:r>
          </w:p>
        </w:tc>
        <w:tc>
          <w:tcPr>
            <w:tcW w:w="736" w:type="dxa"/>
            <w:noWrap/>
            <w:vAlign w:val="center"/>
            <w:hideMark/>
          </w:tcPr>
          <w:p w14:paraId="5CF9FB86"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45.6cd</w:t>
            </w:r>
          </w:p>
        </w:tc>
        <w:tc>
          <w:tcPr>
            <w:tcW w:w="731" w:type="dxa"/>
            <w:noWrap/>
            <w:vAlign w:val="center"/>
            <w:hideMark/>
          </w:tcPr>
          <w:p w14:paraId="7D331D37"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2.83bc</w:t>
            </w:r>
          </w:p>
        </w:tc>
        <w:tc>
          <w:tcPr>
            <w:tcW w:w="742" w:type="dxa"/>
            <w:noWrap/>
            <w:vAlign w:val="center"/>
            <w:hideMark/>
          </w:tcPr>
          <w:p w14:paraId="2CF4C982"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15.13c</w:t>
            </w:r>
          </w:p>
        </w:tc>
      </w:tr>
      <w:tr w:rsidR="00E10D00" w:rsidRPr="00ED7D1B" w14:paraId="490704E5" w14:textId="77777777" w:rsidTr="00E10D00">
        <w:trPr>
          <w:trHeight w:val="253"/>
          <w:jc w:val="center"/>
        </w:trPr>
        <w:tc>
          <w:tcPr>
            <w:tcW w:w="441" w:type="dxa"/>
            <w:noWrap/>
            <w:vAlign w:val="center"/>
            <w:hideMark/>
          </w:tcPr>
          <w:p w14:paraId="3AB03621"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4</w:t>
            </w:r>
          </w:p>
        </w:tc>
        <w:tc>
          <w:tcPr>
            <w:tcW w:w="2325" w:type="dxa"/>
            <w:noWrap/>
            <w:vAlign w:val="bottom"/>
            <w:hideMark/>
          </w:tcPr>
          <w:p w14:paraId="1519619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spray of Nano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(0.5%) at 30 DAS  </w:t>
            </w:r>
          </w:p>
        </w:tc>
        <w:tc>
          <w:tcPr>
            <w:tcW w:w="729" w:type="dxa"/>
            <w:noWrap/>
            <w:vAlign w:val="center"/>
            <w:hideMark/>
          </w:tcPr>
          <w:p w14:paraId="09C189EB"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27.1ab</w:t>
            </w:r>
          </w:p>
        </w:tc>
        <w:tc>
          <w:tcPr>
            <w:tcW w:w="693" w:type="dxa"/>
            <w:noWrap/>
            <w:vAlign w:val="center"/>
            <w:hideMark/>
          </w:tcPr>
          <w:p w14:paraId="60D4A85A"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64.7bc</w:t>
            </w:r>
          </w:p>
        </w:tc>
        <w:tc>
          <w:tcPr>
            <w:tcW w:w="894" w:type="dxa"/>
            <w:noWrap/>
            <w:vAlign w:val="center"/>
            <w:hideMark/>
          </w:tcPr>
          <w:p w14:paraId="594B766F"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119.1abc</w:t>
            </w:r>
          </w:p>
        </w:tc>
        <w:tc>
          <w:tcPr>
            <w:tcW w:w="810" w:type="dxa"/>
            <w:noWrap/>
            <w:vAlign w:val="center"/>
            <w:hideMark/>
          </w:tcPr>
          <w:p w14:paraId="3F0B763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168.9abc</w:t>
            </w:r>
          </w:p>
        </w:tc>
        <w:tc>
          <w:tcPr>
            <w:tcW w:w="779" w:type="dxa"/>
            <w:noWrap/>
            <w:vAlign w:val="center"/>
            <w:hideMark/>
          </w:tcPr>
          <w:p w14:paraId="35C1DE9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43.2bc</w:t>
            </w:r>
          </w:p>
        </w:tc>
        <w:tc>
          <w:tcPr>
            <w:tcW w:w="736" w:type="dxa"/>
            <w:noWrap/>
            <w:vAlign w:val="center"/>
            <w:hideMark/>
          </w:tcPr>
          <w:p w14:paraId="69840CF5"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51.0ab</w:t>
            </w:r>
          </w:p>
        </w:tc>
        <w:tc>
          <w:tcPr>
            <w:tcW w:w="731" w:type="dxa"/>
            <w:noWrap/>
            <w:vAlign w:val="center"/>
            <w:hideMark/>
          </w:tcPr>
          <w:p w14:paraId="09F1FA42"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3.30abc</w:t>
            </w:r>
          </w:p>
        </w:tc>
        <w:tc>
          <w:tcPr>
            <w:tcW w:w="742" w:type="dxa"/>
            <w:noWrap/>
            <w:vAlign w:val="center"/>
            <w:hideMark/>
          </w:tcPr>
          <w:p w14:paraId="231A74F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16.77bc</w:t>
            </w:r>
          </w:p>
        </w:tc>
      </w:tr>
      <w:tr w:rsidR="00E10D00" w:rsidRPr="00ED7D1B" w14:paraId="2D6F0F71" w14:textId="77777777" w:rsidTr="00E10D00">
        <w:trPr>
          <w:trHeight w:val="253"/>
          <w:jc w:val="center"/>
        </w:trPr>
        <w:tc>
          <w:tcPr>
            <w:tcW w:w="441" w:type="dxa"/>
            <w:noWrap/>
            <w:vAlign w:val="center"/>
            <w:hideMark/>
          </w:tcPr>
          <w:p w14:paraId="2D53B01E"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5</w:t>
            </w:r>
          </w:p>
        </w:tc>
        <w:tc>
          <w:tcPr>
            <w:tcW w:w="2325" w:type="dxa"/>
            <w:noWrap/>
            <w:vAlign w:val="bottom"/>
            <w:hideMark/>
          </w:tcPr>
          <w:p w14:paraId="7E982A1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spray of Nano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(0.5%) at 30 DAS and flowering stage </w:t>
            </w:r>
          </w:p>
        </w:tc>
        <w:tc>
          <w:tcPr>
            <w:tcW w:w="729" w:type="dxa"/>
            <w:noWrap/>
            <w:vAlign w:val="center"/>
            <w:hideMark/>
          </w:tcPr>
          <w:p w14:paraId="2E93A13A"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27.7a</w:t>
            </w:r>
          </w:p>
        </w:tc>
        <w:tc>
          <w:tcPr>
            <w:tcW w:w="693" w:type="dxa"/>
            <w:noWrap/>
            <w:vAlign w:val="center"/>
            <w:hideMark/>
          </w:tcPr>
          <w:p w14:paraId="709D050F"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71.3a</w:t>
            </w:r>
          </w:p>
        </w:tc>
        <w:tc>
          <w:tcPr>
            <w:tcW w:w="894" w:type="dxa"/>
            <w:noWrap/>
            <w:vAlign w:val="center"/>
            <w:hideMark/>
          </w:tcPr>
          <w:p w14:paraId="52D80C3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125.8a</w:t>
            </w:r>
          </w:p>
        </w:tc>
        <w:tc>
          <w:tcPr>
            <w:tcW w:w="810" w:type="dxa"/>
            <w:noWrap/>
            <w:vAlign w:val="center"/>
            <w:hideMark/>
          </w:tcPr>
          <w:p w14:paraId="455A0FF8"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183.1a</w:t>
            </w:r>
          </w:p>
        </w:tc>
        <w:tc>
          <w:tcPr>
            <w:tcW w:w="779" w:type="dxa"/>
            <w:noWrap/>
            <w:vAlign w:val="center"/>
            <w:hideMark/>
          </w:tcPr>
          <w:p w14:paraId="2B23837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48.1a</w:t>
            </w:r>
          </w:p>
        </w:tc>
        <w:tc>
          <w:tcPr>
            <w:tcW w:w="736" w:type="dxa"/>
            <w:noWrap/>
            <w:vAlign w:val="center"/>
            <w:hideMark/>
          </w:tcPr>
          <w:p w14:paraId="0C768AE7"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52.6a</w:t>
            </w:r>
          </w:p>
        </w:tc>
        <w:tc>
          <w:tcPr>
            <w:tcW w:w="731" w:type="dxa"/>
            <w:noWrap/>
            <w:vAlign w:val="center"/>
            <w:hideMark/>
          </w:tcPr>
          <w:p w14:paraId="3ABB754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3.60ab</w:t>
            </w:r>
          </w:p>
        </w:tc>
        <w:tc>
          <w:tcPr>
            <w:tcW w:w="742" w:type="dxa"/>
            <w:noWrap/>
            <w:vAlign w:val="center"/>
            <w:hideMark/>
          </w:tcPr>
          <w:p w14:paraId="448E982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19.13a</w:t>
            </w:r>
          </w:p>
        </w:tc>
      </w:tr>
      <w:tr w:rsidR="00E10D00" w:rsidRPr="00ED7D1B" w14:paraId="3923B90A" w14:textId="77777777" w:rsidTr="001129AE">
        <w:trPr>
          <w:trHeight w:val="253"/>
          <w:jc w:val="center"/>
        </w:trPr>
        <w:tc>
          <w:tcPr>
            <w:tcW w:w="441" w:type="dxa"/>
            <w:noWrap/>
            <w:vAlign w:val="center"/>
            <w:hideMark/>
          </w:tcPr>
          <w:p w14:paraId="18B039A5"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6</w:t>
            </w:r>
          </w:p>
        </w:tc>
        <w:tc>
          <w:tcPr>
            <w:tcW w:w="2325" w:type="dxa"/>
            <w:noWrap/>
            <w:vAlign w:val="bottom"/>
            <w:hideMark/>
          </w:tcPr>
          <w:p w14:paraId="3BA02F61"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 Foliar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fertilizer (0.5%) at 30 DAS </w:t>
            </w:r>
          </w:p>
        </w:tc>
        <w:tc>
          <w:tcPr>
            <w:tcW w:w="729" w:type="dxa"/>
            <w:noWrap/>
            <w:vAlign w:val="center"/>
            <w:hideMark/>
          </w:tcPr>
          <w:p w14:paraId="0B467E2C"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25.0abc</w:t>
            </w:r>
          </w:p>
        </w:tc>
        <w:tc>
          <w:tcPr>
            <w:tcW w:w="693" w:type="dxa"/>
            <w:noWrap/>
            <w:vAlign w:val="center"/>
            <w:hideMark/>
          </w:tcPr>
          <w:p w14:paraId="2A6320F9"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63.3bc</w:t>
            </w:r>
          </w:p>
        </w:tc>
        <w:tc>
          <w:tcPr>
            <w:tcW w:w="894" w:type="dxa"/>
            <w:noWrap/>
            <w:vAlign w:val="center"/>
            <w:hideMark/>
          </w:tcPr>
          <w:p w14:paraId="37F4B2C5"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108.5bcd</w:t>
            </w:r>
          </w:p>
        </w:tc>
        <w:tc>
          <w:tcPr>
            <w:tcW w:w="810" w:type="dxa"/>
            <w:noWrap/>
            <w:vAlign w:val="center"/>
            <w:hideMark/>
          </w:tcPr>
          <w:p w14:paraId="417AFFE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158.2bc</w:t>
            </w:r>
          </w:p>
        </w:tc>
        <w:tc>
          <w:tcPr>
            <w:tcW w:w="779" w:type="dxa"/>
            <w:noWrap/>
            <w:vAlign w:val="center"/>
            <w:hideMark/>
          </w:tcPr>
          <w:p w14:paraId="26B79CE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42.4bc</w:t>
            </w:r>
          </w:p>
        </w:tc>
        <w:tc>
          <w:tcPr>
            <w:tcW w:w="736" w:type="dxa"/>
            <w:noWrap/>
            <w:vAlign w:val="center"/>
            <w:hideMark/>
          </w:tcPr>
          <w:p w14:paraId="6D0A2F6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47.1bcd</w:t>
            </w:r>
          </w:p>
        </w:tc>
        <w:tc>
          <w:tcPr>
            <w:tcW w:w="731" w:type="dxa"/>
            <w:noWrap/>
            <w:vAlign w:val="center"/>
            <w:hideMark/>
          </w:tcPr>
          <w:p w14:paraId="3AC9E0E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2.93bc</w:t>
            </w:r>
          </w:p>
        </w:tc>
        <w:tc>
          <w:tcPr>
            <w:tcW w:w="742" w:type="dxa"/>
            <w:noWrap/>
            <w:vAlign w:val="center"/>
            <w:hideMark/>
          </w:tcPr>
          <w:p w14:paraId="6DC4FCD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15.40c</w:t>
            </w:r>
          </w:p>
        </w:tc>
      </w:tr>
      <w:tr w:rsidR="00E10D00" w:rsidRPr="00ED7D1B" w14:paraId="430C03CF" w14:textId="77777777" w:rsidTr="001129AE">
        <w:trPr>
          <w:trHeight w:val="253"/>
          <w:jc w:val="center"/>
        </w:trPr>
        <w:tc>
          <w:tcPr>
            <w:tcW w:w="441" w:type="dxa"/>
            <w:tcBorders>
              <w:bottom w:val="single" w:sz="4" w:space="0" w:color="auto"/>
            </w:tcBorders>
            <w:noWrap/>
            <w:vAlign w:val="center"/>
            <w:hideMark/>
          </w:tcPr>
          <w:p w14:paraId="2A7E89AE" w14:textId="77777777" w:rsidR="00BC45BB" w:rsidRPr="001C4DE4" w:rsidRDefault="00BC45BB" w:rsidP="00E10D00">
            <w:pPr>
              <w:spacing w:after="0" w:line="240" w:lineRule="auto"/>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T</w:t>
            </w:r>
            <w:r w:rsidRPr="001C4DE4">
              <w:rPr>
                <w:rFonts w:ascii="Arial" w:eastAsia="Times New Roman" w:hAnsi="Arial" w:cs="Arial"/>
                <w:b/>
                <w:bCs/>
                <w:color w:val="000000"/>
                <w:kern w:val="0"/>
                <w:sz w:val="18"/>
                <w:szCs w:val="18"/>
                <w:vertAlign w:val="subscript"/>
                <w:lang w:eastAsia="en-IN" w:bidi="hi-IN"/>
                <w14:ligatures w14:val="none"/>
              </w:rPr>
              <w:t>7</w:t>
            </w:r>
          </w:p>
        </w:tc>
        <w:tc>
          <w:tcPr>
            <w:tcW w:w="2325" w:type="dxa"/>
            <w:tcBorders>
              <w:bottom w:val="single" w:sz="4" w:space="0" w:color="auto"/>
            </w:tcBorders>
            <w:noWrap/>
            <w:vAlign w:val="center"/>
            <w:hideMark/>
          </w:tcPr>
          <w:p w14:paraId="537491E8"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fertilizer (0.5%) at 30 DAS and flowering stage</w:t>
            </w:r>
          </w:p>
        </w:tc>
        <w:tc>
          <w:tcPr>
            <w:tcW w:w="729" w:type="dxa"/>
            <w:tcBorders>
              <w:bottom w:val="single" w:sz="4" w:space="0" w:color="auto"/>
            </w:tcBorders>
            <w:noWrap/>
            <w:vAlign w:val="center"/>
            <w:hideMark/>
          </w:tcPr>
          <w:p w14:paraId="3A0E45E0"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27.3ab</w:t>
            </w:r>
          </w:p>
        </w:tc>
        <w:tc>
          <w:tcPr>
            <w:tcW w:w="693" w:type="dxa"/>
            <w:tcBorders>
              <w:bottom w:val="single" w:sz="4" w:space="0" w:color="auto"/>
            </w:tcBorders>
            <w:noWrap/>
            <w:vAlign w:val="center"/>
            <w:hideMark/>
          </w:tcPr>
          <w:p w14:paraId="509B7EFC"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67.8ab</w:t>
            </w:r>
          </w:p>
        </w:tc>
        <w:tc>
          <w:tcPr>
            <w:tcW w:w="894" w:type="dxa"/>
            <w:tcBorders>
              <w:bottom w:val="single" w:sz="4" w:space="0" w:color="auto"/>
            </w:tcBorders>
            <w:noWrap/>
            <w:vAlign w:val="center"/>
            <w:hideMark/>
          </w:tcPr>
          <w:p w14:paraId="786376DD"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121.6ab</w:t>
            </w:r>
          </w:p>
        </w:tc>
        <w:tc>
          <w:tcPr>
            <w:tcW w:w="810" w:type="dxa"/>
            <w:tcBorders>
              <w:bottom w:val="single" w:sz="4" w:space="0" w:color="auto"/>
            </w:tcBorders>
            <w:noWrap/>
            <w:vAlign w:val="center"/>
            <w:hideMark/>
          </w:tcPr>
          <w:p w14:paraId="1AD3FD0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174.9ab</w:t>
            </w:r>
          </w:p>
        </w:tc>
        <w:tc>
          <w:tcPr>
            <w:tcW w:w="779" w:type="dxa"/>
            <w:tcBorders>
              <w:bottom w:val="single" w:sz="4" w:space="0" w:color="auto"/>
            </w:tcBorders>
            <w:noWrap/>
            <w:vAlign w:val="center"/>
            <w:hideMark/>
          </w:tcPr>
          <w:p w14:paraId="519E385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45.2ab</w:t>
            </w:r>
          </w:p>
        </w:tc>
        <w:tc>
          <w:tcPr>
            <w:tcW w:w="736" w:type="dxa"/>
            <w:tcBorders>
              <w:bottom w:val="single" w:sz="4" w:space="0" w:color="auto"/>
            </w:tcBorders>
            <w:noWrap/>
            <w:vAlign w:val="center"/>
            <w:hideMark/>
          </w:tcPr>
          <w:p w14:paraId="3DE3B8FF"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51.7ab</w:t>
            </w:r>
          </w:p>
        </w:tc>
        <w:tc>
          <w:tcPr>
            <w:tcW w:w="731" w:type="dxa"/>
            <w:tcBorders>
              <w:bottom w:val="single" w:sz="4" w:space="0" w:color="auto"/>
            </w:tcBorders>
            <w:noWrap/>
            <w:vAlign w:val="center"/>
            <w:hideMark/>
          </w:tcPr>
          <w:p w14:paraId="643CD73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3.40ab</w:t>
            </w:r>
          </w:p>
        </w:tc>
        <w:tc>
          <w:tcPr>
            <w:tcW w:w="742" w:type="dxa"/>
            <w:tcBorders>
              <w:bottom w:val="single" w:sz="4" w:space="0" w:color="auto"/>
            </w:tcBorders>
            <w:noWrap/>
            <w:vAlign w:val="center"/>
            <w:hideMark/>
          </w:tcPr>
          <w:p w14:paraId="0D1A3FB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18.07ab</w:t>
            </w:r>
          </w:p>
        </w:tc>
      </w:tr>
      <w:tr w:rsidR="00E10D00" w:rsidRPr="00ED7D1B" w14:paraId="0463035C" w14:textId="77777777" w:rsidTr="001129AE">
        <w:trPr>
          <w:trHeight w:val="197"/>
          <w:jc w:val="center"/>
        </w:trPr>
        <w:tc>
          <w:tcPr>
            <w:tcW w:w="2767" w:type="dxa"/>
            <w:gridSpan w:val="2"/>
            <w:tcBorders>
              <w:top w:val="single" w:sz="4" w:space="0" w:color="auto"/>
            </w:tcBorders>
            <w:noWrap/>
            <w:vAlign w:val="center"/>
            <w:hideMark/>
          </w:tcPr>
          <w:p w14:paraId="3F55B16E" w14:textId="127ADCA2" w:rsidR="00E10D00" w:rsidRPr="001C4DE4" w:rsidRDefault="00E10D00" w:rsidP="0070692B">
            <w:pPr>
              <w:spacing w:after="0" w:line="240" w:lineRule="auto"/>
              <w:rPr>
                <w:rFonts w:ascii="Arial" w:eastAsia="Times New Roman" w:hAnsi="Arial" w:cs="Arial"/>
                <w:b/>
                <w:bCs/>
                <w:color w:val="000000"/>
                <w:kern w:val="0"/>
                <w:sz w:val="18"/>
                <w:szCs w:val="18"/>
                <w:lang w:eastAsia="en-IN" w:bidi="hi-IN"/>
                <w14:ligatures w14:val="none"/>
              </w:rPr>
            </w:pPr>
            <w:proofErr w:type="spellStart"/>
            <w:r w:rsidRPr="001C4DE4">
              <w:rPr>
                <w:rFonts w:ascii="Arial" w:eastAsia="Times New Roman" w:hAnsi="Arial" w:cs="Arial"/>
                <w:b/>
                <w:bCs/>
                <w:color w:val="000000"/>
                <w:kern w:val="0"/>
                <w:sz w:val="18"/>
                <w:szCs w:val="18"/>
                <w:lang w:eastAsia="en-IN" w:bidi="hi-IN"/>
                <w14:ligatures w14:val="none"/>
              </w:rPr>
              <w:t>SEm</w:t>
            </w:r>
            <w:proofErr w:type="spellEnd"/>
            <w:r w:rsidRPr="001C4DE4">
              <w:rPr>
                <w:rFonts w:ascii="Arial" w:eastAsia="Times New Roman" w:hAnsi="Arial" w:cs="Arial"/>
                <w:b/>
                <w:bCs/>
                <w:color w:val="000000"/>
                <w:kern w:val="0"/>
                <w:sz w:val="18"/>
                <w:szCs w:val="18"/>
                <w:lang w:eastAsia="en-IN" w:bidi="hi-IN"/>
                <w14:ligatures w14:val="none"/>
              </w:rPr>
              <w:t>±</w:t>
            </w:r>
          </w:p>
        </w:tc>
        <w:tc>
          <w:tcPr>
            <w:tcW w:w="729" w:type="dxa"/>
            <w:noWrap/>
            <w:vAlign w:val="center"/>
            <w:hideMark/>
          </w:tcPr>
          <w:p w14:paraId="5584A978"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1.1</w:t>
            </w:r>
          </w:p>
        </w:tc>
        <w:tc>
          <w:tcPr>
            <w:tcW w:w="693" w:type="dxa"/>
            <w:noWrap/>
            <w:vAlign w:val="center"/>
            <w:hideMark/>
          </w:tcPr>
          <w:p w14:paraId="5D6638A2"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2</w:t>
            </w:r>
          </w:p>
        </w:tc>
        <w:tc>
          <w:tcPr>
            <w:tcW w:w="894" w:type="dxa"/>
            <w:noWrap/>
            <w:vAlign w:val="center"/>
            <w:hideMark/>
          </w:tcPr>
          <w:p w14:paraId="3597891A"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4.7</w:t>
            </w:r>
          </w:p>
        </w:tc>
        <w:tc>
          <w:tcPr>
            <w:tcW w:w="810" w:type="dxa"/>
            <w:noWrap/>
            <w:vAlign w:val="center"/>
            <w:hideMark/>
          </w:tcPr>
          <w:p w14:paraId="117373A7"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6.8</w:t>
            </w:r>
          </w:p>
        </w:tc>
        <w:tc>
          <w:tcPr>
            <w:tcW w:w="779" w:type="dxa"/>
            <w:noWrap/>
            <w:vAlign w:val="center"/>
            <w:hideMark/>
          </w:tcPr>
          <w:p w14:paraId="152892E8"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1.4</w:t>
            </w:r>
          </w:p>
        </w:tc>
        <w:tc>
          <w:tcPr>
            <w:tcW w:w="736" w:type="dxa"/>
            <w:noWrap/>
            <w:vAlign w:val="center"/>
            <w:hideMark/>
          </w:tcPr>
          <w:p w14:paraId="50987B76"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1.7</w:t>
            </w:r>
          </w:p>
        </w:tc>
        <w:tc>
          <w:tcPr>
            <w:tcW w:w="731" w:type="dxa"/>
            <w:noWrap/>
            <w:vAlign w:val="center"/>
            <w:hideMark/>
          </w:tcPr>
          <w:p w14:paraId="04C54C04"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0.25</w:t>
            </w:r>
          </w:p>
        </w:tc>
        <w:tc>
          <w:tcPr>
            <w:tcW w:w="742" w:type="dxa"/>
            <w:noWrap/>
            <w:vAlign w:val="center"/>
            <w:hideMark/>
          </w:tcPr>
          <w:p w14:paraId="2001E961"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0.59</w:t>
            </w:r>
          </w:p>
        </w:tc>
      </w:tr>
      <w:tr w:rsidR="00E10D00" w:rsidRPr="00ED7D1B" w14:paraId="06475721" w14:textId="77777777" w:rsidTr="001129AE">
        <w:trPr>
          <w:trHeight w:val="253"/>
          <w:jc w:val="center"/>
        </w:trPr>
        <w:tc>
          <w:tcPr>
            <w:tcW w:w="2767" w:type="dxa"/>
            <w:gridSpan w:val="2"/>
            <w:tcBorders>
              <w:bottom w:val="single" w:sz="4" w:space="0" w:color="auto"/>
            </w:tcBorders>
            <w:noWrap/>
            <w:vAlign w:val="center"/>
            <w:hideMark/>
          </w:tcPr>
          <w:p w14:paraId="2C249977" w14:textId="51A07E01" w:rsidR="00E10D00" w:rsidRPr="001C4DE4" w:rsidRDefault="00E10D00" w:rsidP="0070692B">
            <w:pPr>
              <w:spacing w:after="0" w:line="240" w:lineRule="auto"/>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CD (P≤0.05)</w:t>
            </w:r>
          </w:p>
        </w:tc>
        <w:tc>
          <w:tcPr>
            <w:tcW w:w="729" w:type="dxa"/>
            <w:tcBorders>
              <w:bottom w:val="single" w:sz="4" w:space="0" w:color="auto"/>
            </w:tcBorders>
            <w:noWrap/>
            <w:vAlign w:val="center"/>
            <w:hideMark/>
          </w:tcPr>
          <w:p w14:paraId="13204738"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3.5</w:t>
            </w:r>
          </w:p>
        </w:tc>
        <w:tc>
          <w:tcPr>
            <w:tcW w:w="693" w:type="dxa"/>
            <w:tcBorders>
              <w:bottom w:val="single" w:sz="4" w:space="0" w:color="auto"/>
            </w:tcBorders>
            <w:noWrap/>
            <w:vAlign w:val="center"/>
            <w:hideMark/>
          </w:tcPr>
          <w:p w14:paraId="5858F2C7"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6.1</w:t>
            </w:r>
          </w:p>
        </w:tc>
        <w:tc>
          <w:tcPr>
            <w:tcW w:w="894" w:type="dxa"/>
            <w:tcBorders>
              <w:bottom w:val="single" w:sz="4" w:space="0" w:color="auto"/>
            </w:tcBorders>
            <w:noWrap/>
            <w:vAlign w:val="center"/>
            <w:hideMark/>
          </w:tcPr>
          <w:p w14:paraId="6766A86A"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14.4</w:t>
            </w:r>
          </w:p>
        </w:tc>
        <w:tc>
          <w:tcPr>
            <w:tcW w:w="810" w:type="dxa"/>
            <w:tcBorders>
              <w:bottom w:val="single" w:sz="4" w:space="0" w:color="auto"/>
            </w:tcBorders>
            <w:noWrap/>
            <w:vAlign w:val="center"/>
            <w:hideMark/>
          </w:tcPr>
          <w:p w14:paraId="6857C877"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21</w:t>
            </w:r>
          </w:p>
        </w:tc>
        <w:tc>
          <w:tcPr>
            <w:tcW w:w="779" w:type="dxa"/>
            <w:tcBorders>
              <w:bottom w:val="single" w:sz="4" w:space="0" w:color="auto"/>
            </w:tcBorders>
            <w:noWrap/>
            <w:vAlign w:val="center"/>
            <w:hideMark/>
          </w:tcPr>
          <w:p w14:paraId="0AB274E5"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4.2</w:t>
            </w:r>
          </w:p>
        </w:tc>
        <w:tc>
          <w:tcPr>
            <w:tcW w:w="736" w:type="dxa"/>
            <w:tcBorders>
              <w:bottom w:val="single" w:sz="4" w:space="0" w:color="auto"/>
            </w:tcBorders>
            <w:noWrap/>
            <w:vAlign w:val="center"/>
            <w:hideMark/>
          </w:tcPr>
          <w:p w14:paraId="7B3B2BBC"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5.1</w:t>
            </w:r>
          </w:p>
        </w:tc>
        <w:tc>
          <w:tcPr>
            <w:tcW w:w="731" w:type="dxa"/>
            <w:tcBorders>
              <w:bottom w:val="single" w:sz="4" w:space="0" w:color="auto"/>
            </w:tcBorders>
            <w:noWrap/>
            <w:vAlign w:val="center"/>
            <w:hideMark/>
          </w:tcPr>
          <w:p w14:paraId="2809D47E"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0.77</w:t>
            </w:r>
          </w:p>
        </w:tc>
        <w:tc>
          <w:tcPr>
            <w:tcW w:w="742" w:type="dxa"/>
            <w:tcBorders>
              <w:bottom w:val="single" w:sz="4" w:space="0" w:color="auto"/>
            </w:tcBorders>
            <w:noWrap/>
            <w:vAlign w:val="center"/>
            <w:hideMark/>
          </w:tcPr>
          <w:p w14:paraId="1C29AFBB"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1.81</w:t>
            </w:r>
          </w:p>
        </w:tc>
      </w:tr>
    </w:tbl>
    <w:p w14:paraId="0EBD0D75" w14:textId="67B72416" w:rsidR="00BC45BB" w:rsidRDefault="001129AE" w:rsidP="001129AE">
      <w:pPr>
        <w:tabs>
          <w:tab w:val="left" w:pos="7570"/>
        </w:tabs>
        <w:spacing w:after="120" w:line="360" w:lineRule="auto"/>
        <w:jc w:val="both"/>
        <w:rPr>
          <w:rFonts w:ascii="Arial" w:eastAsia="Arial Unicode MS" w:hAnsi="Arial" w:cs="Arial"/>
          <w:color w:val="000000" w:themeColor="text1"/>
          <w:sz w:val="24"/>
          <w:szCs w:val="24"/>
        </w:rPr>
      </w:pPr>
      <w:r>
        <w:rPr>
          <w:rFonts w:ascii="Arial" w:eastAsia="Arial Unicode MS" w:hAnsi="Arial" w:cs="Arial"/>
          <w:color w:val="000000" w:themeColor="text1"/>
          <w:sz w:val="24"/>
          <w:szCs w:val="24"/>
        </w:rPr>
        <w:tab/>
      </w:r>
    </w:p>
    <w:p w14:paraId="519F7106" w14:textId="343236CF" w:rsidR="00BC45BB" w:rsidRPr="00A329CB" w:rsidRDefault="001129AE" w:rsidP="001C4DE4">
      <w:pPr>
        <w:spacing w:after="0" w:line="360" w:lineRule="auto"/>
        <w:jc w:val="both"/>
        <w:rPr>
          <w:rFonts w:ascii="Arial" w:eastAsia="Arial Unicode MS" w:hAnsi="Arial" w:cs="Arial"/>
          <w:color w:val="000000" w:themeColor="text1"/>
          <w:sz w:val="24"/>
          <w:szCs w:val="24"/>
        </w:rPr>
      </w:pPr>
      <w:r>
        <w:rPr>
          <w:noProof/>
          <w:lang w:val="en-US"/>
        </w:rPr>
        <w:drawing>
          <wp:inline distT="0" distB="0" distL="0" distR="0" wp14:anchorId="056D71BA" wp14:editId="5851BDE4">
            <wp:extent cx="5657215" cy="3359150"/>
            <wp:effectExtent l="0" t="0" r="635" b="12700"/>
            <wp:docPr id="40525481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5E118D-0A4E-6951-7B5D-A9959975B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4A954C" w14:textId="27436738" w:rsidR="00C354BC" w:rsidRPr="00C354BC" w:rsidRDefault="001129AE" w:rsidP="001C4DE4">
      <w:pPr>
        <w:spacing w:line="360" w:lineRule="auto"/>
        <w:jc w:val="both"/>
        <w:rPr>
          <w:rFonts w:ascii="Arial" w:eastAsia="Arial Unicode MS" w:hAnsi="Arial" w:cs="Arial"/>
          <w:color w:val="000000" w:themeColor="text1"/>
          <w:sz w:val="20"/>
          <w:szCs w:val="20"/>
        </w:rPr>
      </w:pPr>
      <w:r>
        <w:rPr>
          <w:rFonts w:ascii="Arial" w:hAnsi="Arial" w:cs="Arial"/>
          <w:b/>
          <w:bCs/>
          <w:sz w:val="20"/>
          <w:szCs w:val="20"/>
        </w:rPr>
        <w:lastRenderedPageBreak/>
        <w:t xml:space="preserve">Figure </w:t>
      </w:r>
      <w:r w:rsidR="002B2B42">
        <w:rPr>
          <w:rFonts w:ascii="Arial" w:hAnsi="Arial" w:cs="Arial"/>
          <w:b/>
          <w:bCs/>
          <w:sz w:val="20"/>
          <w:szCs w:val="20"/>
        </w:rPr>
        <w:t>1</w:t>
      </w:r>
      <w:r w:rsidR="002F6978">
        <w:rPr>
          <w:rFonts w:ascii="Arial" w:hAnsi="Arial" w:cs="Arial"/>
          <w:b/>
          <w:bCs/>
          <w:sz w:val="20"/>
          <w:szCs w:val="20"/>
        </w:rPr>
        <w:t>.</w:t>
      </w:r>
      <w:r>
        <w:rPr>
          <w:rFonts w:ascii="Arial" w:hAnsi="Arial" w:cs="Arial"/>
          <w:b/>
          <w:bCs/>
          <w:sz w:val="20"/>
          <w:szCs w:val="20"/>
        </w:rPr>
        <w:t xml:space="preserve"> </w:t>
      </w:r>
      <w:r w:rsidR="00C354BC" w:rsidRPr="00726616">
        <w:rPr>
          <w:rFonts w:ascii="Arial" w:hAnsi="Arial" w:cs="Arial"/>
          <w:b/>
          <w:bCs/>
          <w:sz w:val="20"/>
          <w:szCs w:val="20"/>
        </w:rPr>
        <w:t>Influenced by different sources of Sulphur on Growth parameter</w:t>
      </w:r>
    </w:p>
    <w:p w14:paraId="45F0E127" w14:textId="24DB926A" w:rsidR="00784905" w:rsidRDefault="001129AE" w:rsidP="001C4DE4">
      <w:pPr>
        <w:spacing w:line="360" w:lineRule="auto"/>
        <w:jc w:val="both"/>
        <w:rPr>
          <w:rFonts w:ascii="Arial" w:eastAsia="Arial Unicode MS" w:hAnsi="Arial" w:cs="Arial"/>
          <w:b/>
          <w:bCs/>
          <w:color w:val="000000" w:themeColor="text1"/>
          <w:sz w:val="24"/>
          <w:szCs w:val="24"/>
          <w:vertAlign w:val="superscript"/>
        </w:rPr>
      </w:pPr>
      <w:proofErr w:type="gramStart"/>
      <w:r>
        <w:rPr>
          <w:rFonts w:ascii="Arial" w:eastAsia="Arial Unicode MS" w:hAnsi="Arial" w:cs="Arial"/>
          <w:b/>
          <w:bCs/>
          <w:color w:val="000000" w:themeColor="text1"/>
          <w:sz w:val="24"/>
          <w:szCs w:val="24"/>
        </w:rPr>
        <w:t xml:space="preserve">3.4 </w:t>
      </w:r>
      <w:r w:rsidR="00386082">
        <w:rPr>
          <w:rFonts w:ascii="Arial" w:eastAsia="Arial Unicode MS" w:hAnsi="Arial" w:cs="Arial"/>
          <w:b/>
          <w:bCs/>
          <w:color w:val="000000" w:themeColor="text1"/>
          <w:sz w:val="24"/>
          <w:szCs w:val="24"/>
        </w:rPr>
        <w:t xml:space="preserve"> </w:t>
      </w:r>
      <w:r w:rsidR="00784905" w:rsidRPr="00814751">
        <w:rPr>
          <w:rFonts w:ascii="Arial" w:eastAsia="Arial Unicode MS" w:hAnsi="Arial" w:cs="Arial"/>
          <w:b/>
          <w:bCs/>
          <w:color w:val="000000" w:themeColor="text1"/>
          <w:sz w:val="24"/>
          <w:szCs w:val="24"/>
        </w:rPr>
        <w:t>Number</w:t>
      </w:r>
      <w:proofErr w:type="gramEnd"/>
      <w:r w:rsidR="00784905" w:rsidRPr="00814751">
        <w:rPr>
          <w:rFonts w:ascii="Arial" w:eastAsia="Arial Unicode MS" w:hAnsi="Arial" w:cs="Arial"/>
          <w:b/>
          <w:bCs/>
          <w:color w:val="000000" w:themeColor="text1"/>
          <w:sz w:val="24"/>
          <w:szCs w:val="24"/>
        </w:rPr>
        <w:t xml:space="preserve"> of branches</w:t>
      </w:r>
      <w:r w:rsidR="00386082">
        <w:rPr>
          <w:rFonts w:ascii="Arial" w:eastAsia="Arial Unicode MS" w:hAnsi="Arial" w:cs="Arial"/>
          <w:b/>
          <w:bCs/>
          <w:color w:val="000000" w:themeColor="text1"/>
          <w:sz w:val="24"/>
          <w:szCs w:val="24"/>
        </w:rPr>
        <w:t xml:space="preserve"> plant</w:t>
      </w:r>
      <w:r w:rsidR="00386082" w:rsidRPr="00386082">
        <w:rPr>
          <w:rFonts w:ascii="Arial" w:eastAsia="Arial Unicode MS" w:hAnsi="Arial" w:cs="Arial"/>
          <w:b/>
          <w:bCs/>
          <w:color w:val="000000" w:themeColor="text1"/>
          <w:sz w:val="24"/>
          <w:szCs w:val="24"/>
          <w:vertAlign w:val="superscript"/>
        </w:rPr>
        <w:t>-1</w:t>
      </w:r>
    </w:p>
    <w:p w14:paraId="6D701AFD" w14:textId="4C662E3F" w:rsidR="00B978F2" w:rsidRPr="00DE6803" w:rsidRDefault="00EF7DAF" w:rsidP="000D4F37">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At 60 DAS, the highest number of branches was observed under 20 kg sulphur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as basal application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(foliar spray of nano</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sulphur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flowering stage),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(foliar application of sulphur fertilizer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flowering stage) and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(foliar spray of nano</w:t>
      </w:r>
      <w:r w:rsidR="00DC40A5">
        <w:rPr>
          <w:rFonts w:ascii="Arial" w:eastAsia="Arial Unicode MS" w:hAnsi="Arial" w:cs="Arial"/>
          <w:color w:val="000000" w:themeColor="text1"/>
          <w:sz w:val="24"/>
          <w:szCs w:val="24"/>
        </w:rPr>
        <w:t xml:space="preserve"> S</w:t>
      </w:r>
      <w:r w:rsidRPr="00DE6803">
        <w:rPr>
          <w:rFonts w:ascii="Arial" w:eastAsia="Arial Unicode MS" w:hAnsi="Arial" w:cs="Arial"/>
          <w:color w:val="000000" w:themeColor="text1"/>
          <w:sz w:val="24"/>
          <w:szCs w:val="24"/>
        </w:rPr>
        <w:t xml:space="preserve">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but statistically superior over the rest of the treatments.</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 At 90 DAS, the maximum number of branches was recorded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remained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yet superior to other </w:t>
      </w:r>
      <w:proofErr w:type="spellStart"/>
      <w:r w:rsidRPr="00DE6803">
        <w:rPr>
          <w:rFonts w:ascii="Arial" w:eastAsia="Arial Unicode MS" w:hAnsi="Arial" w:cs="Arial"/>
          <w:color w:val="000000" w:themeColor="text1"/>
          <w:sz w:val="24"/>
          <w:szCs w:val="24"/>
        </w:rPr>
        <w:t>treatmen</w:t>
      </w:r>
      <w:proofErr w:type="spellEnd"/>
      <w:r w:rsidR="00DE6803">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The number of branches per plant was significantly enhanced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2.</w:t>
      </w:r>
      <w:r w:rsidRPr="00DE6803">
        <w:rPr>
          <w:rFonts w:ascii="Arial" w:eastAsia="Arial Unicode MS" w:hAnsi="Arial" w:cs="Arial"/>
          <w:color w:val="000000" w:themeColor="text1"/>
          <w:sz w:val="24"/>
          <w:szCs w:val="24"/>
        </w:rPr>
        <w:t xml:space="preserve">), which may be attributed to improved nutrient supply and sulphur availability, as sulphur plays a vital role in enzymatic activity and protein synthesis. </w:t>
      </w:r>
      <w:r w:rsidR="0099617E">
        <w:rPr>
          <w:rFonts w:ascii="Arial" w:eastAsia="Arial Unicode MS" w:hAnsi="Arial" w:cs="Arial"/>
          <w:color w:val="000000" w:themeColor="text1"/>
          <w:sz w:val="24"/>
          <w:szCs w:val="24"/>
        </w:rPr>
        <w:t>(</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01904167.2023.2294931","ISSN":"0190-4167","author":[{"dropping-particle":"","family":"Thirunavukkarasu","given":"M.","non-dropping-particle":"","parse-names":false,"suffix":""},{"dropping-particle":"","family":"Subramanian","given":"K S","non-dropping-particle":"","parse-names":false,"suffix":""},{"dropping-particle":"","family":"Yuvaraj","given":"M","non-dropping-particle":"","parse-names":false,"suffix":""}],"container-title":"Journal of Plant Nutrition","id":"ITEM-1","issue":"7","issued":{"date-parts":[["2024","4","20"]]},"page":"1079-1088","title":"Response studies of nano-sulphur on nutrient uptake, sulphur fractions, yield and quality parameters of peanut (Arachis hypogaea L.)","type":"article-journal","volume":"47"},"uris":["http://www.mendeley.com/documents/?uuid=2c0dd792-42f0-4b11-ab3a-a28d4b25b5fd"]}],"mendeley":{"formattedCitation":"(Thirunavukkarasu et al., 2024)","manualFormatting":"Thirunavukkarasu et al., 2024)","plainTextFormattedCitation":"(Thirunavukkarasu et al., 2024)","previouslyFormattedCitation":"(Thirunavukkarasu et al., 2024)"},"properties":{"noteIndex":0},"schema":"https://github.com/citation-style-language/schema/raw/master/csl-citation.json"}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DE6803" w:rsidRPr="00DE6803">
        <w:rPr>
          <w:rFonts w:ascii="Arial" w:eastAsia="Arial Unicode MS" w:hAnsi="Arial" w:cs="Arial"/>
          <w:noProof/>
          <w:color w:val="000000" w:themeColor="text1"/>
          <w:sz w:val="24"/>
          <w:szCs w:val="24"/>
        </w:rPr>
        <w:t>Thirunavukkarasu et al., 2024)</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also reported that nano-sulphur increased shoot sulphur uptake (40.5</w:t>
      </w:r>
      <w:r w:rsidR="002F6978">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mg/plant), </w:t>
      </w:r>
      <w:proofErr w:type="spellStart"/>
      <w:r w:rsidRPr="00DE6803">
        <w:rPr>
          <w:rFonts w:ascii="Arial" w:eastAsia="Arial Unicode MS" w:hAnsi="Arial" w:cs="Arial"/>
          <w:color w:val="000000" w:themeColor="text1"/>
          <w:sz w:val="24"/>
          <w:szCs w:val="24"/>
        </w:rPr>
        <w:t>there</w:t>
      </w:r>
      <w:r w:rsidR="002F6978">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by</w:t>
      </w:r>
      <w:proofErr w:type="spellEnd"/>
      <w:r w:rsidRPr="00DE6803">
        <w:rPr>
          <w:rFonts w:ascii="Arial" w:eastAsia="Arial Unicode MS" w:hAnsi="Arial" w:cs="Arial"/>
          <w:color w:val="000000" w:themeColor="text1"/>
          <w:sz w:val="24"/>
          <w:szCs w:val="24"/>
        </w:rPr>
        <w:t xml:space="preserve"> improving branching and canopy development, which supports the present findings.</w:t>
      </w:r>
    </w:p>
    <w:p w14:paraId="5902748F" w14:textId="3CD31F20" w:rsidR="00784905" w:rsidRPr="00814751" w:rsidRDefault="00784905" w:rsidP="00D17BD4">
      <w:pPr>
        <w:spacing w:after="0" w:line="360" w:lineRule="auto"/>
        <w:jc w:val="both"/>
        <w:rPr>
          <w:rFonts w:ascii="Arial" w:eastAsia="Arial Unicode MS" w:hAnsi="Arial" w:cs="Arial"/>
          <w:color w:val="000000" w:themeColor="text1"/>
          <w:sz w:val="24"/>
          <w:szCs w:val="24"/>
        </w:rPr>
      </w:pPr>
    </w:p>
    <w:p w14:paraId="3CFE5F6A" w14:textId="6DF900D4" w:rsidR="00C354BC" w:rsidRPr="006828EF" w:rsidRDefault="00C354BC" w:rsidP="006828EF">
      <w:pPr>
        <w:spacing w:after="120" w:line="360" w:lineRule="auto"/>
        <w:rPr>
          <w:rFonts w:ascii="Arial" w:eastAsia="Arial Unicode MS" w:hAnsi="Arial" w:cs="Arial"/>
          <w:color w:val="000000" w:themeColor="text1"/>
          <w:sz w:val="24"/>
          <w:szCs w:val="24"/>
        </w:rPr>
      </w:pPr>
      <w:r>
        <w:rPr>
          <w:noProof/>
          <w:lang w:val="en-US"/>
        </w:rPr>
        <w:drawing>
          <wp:inline distT="0" distB="0" distL="0" distR="0" wp14:anchorId="3F3FD8E9" wp14:editId="1D279708">
            <wp:extent cx="5600700" cy="3594100"/>
            <wp:effectExtent l="0" t="0" r="0" b="6350"/>
            <wp:docPr id="134306205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8981EF-A8B0-6307-7FB4-F19E53D41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Arial" w:hAnsi="Arial" w:cs="Arial"/>
          <w:b/>
          <w:bCs/>
          <w:sz w:val="20"/>
          <w:szCs w:val="20"/>
        </w:rPr>
        <w:t xml:space="preserve"> </w:t>
      </w:r>
      <w:r w:rsidR="002B2B42">
        <w:rPr>
          <w:rFonts w:ascii="Arial" w:hAnsi="Arial" w:cs="Arial"/>
          <w:b/>
          <w:bCs/>
          <w:sz w:val="20"/>
          <w:szCs w:val="20"/>
        </w:rPr>
        <w:t xml:space="preserve">Figure 2. </w:t>
      </w:r>
      <w:r w:rsidRPr="00726616">
        <w:rPr>
          <w:rFonts w:ascii="Arial" w:hAnsi="Arial" w:cs="Arial"/>
          <w:b/>
          <w:bCs/>
          <w:sz w:val="20"/>
          <w:szCs w:val="20"/>
        </w:rPr>
        <w:t>Influenced by different sources of Sulphur on Growth parameter</w:t>
      </w:r>
    </w:p>
    <w:p w14:paraId="30D50AE3" w14:textId="0963F51B" w:rsidR="00B441C9" w:rsidRDefault="001129AE" w:rsidP="000D4F37">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3.5 </w:t>
      </w:r>
      <w:r w:rsidR="00B441C9" w:rsidRPr="00814751">
        <w:rPr>
          <w:rFonts w:ascii="Arial" w:eastAsia="Arial Unicode MS" w:hAnsi="Arial" w:cs="Arial"/>
          <w:b/>
          <w:bCs/>
          <w:color w:val="000000" w:themeColor="text1"/>
          <w:sz w:val="24"/>
          <w:szCs w:val="24"/>
        </w:rPr>
        <w:t>Number of capsules</w:t>
      </w:r>
      <w:r w:rsidR="00386082">
        <w:rPr>
          <w:rFonts w:ascii="Arial" w:eastAsia="Arial Unicode MS" w:hAnsi="Arial" w:cs="Arial"/>
          <w:b/>
          <w:bCs/>
          <w:color w:val="000000" w:themeColor="text1"/>
          <w:sz w:val="24"/>
          <w:szCs w:val="24"/>
        </w:rPr>
        <w:t xml:space="preserve"> plant</w:t>
      </w:r>
      <w:r w:rsidR="00386082" w:rsidRPr="00386082">
        <w:rPr>
          <w:rFonts w:ascii="Arial" w:eastAsia="Arial Unicode MS" w:hAnsi="Arial" w:cs="Arial"/>
          <w:b/>
          <w:bCs/>
          <w:color w:val="000000" w:themeColor="text1"/>
          <w:sz w:val="24"/>
          <w:szCs w:val="24"/>
          <w:vertAlign w:val="superscript"/>
        </w:rPr>
        <w:t>-1</w:t>
      </w:r>
      <w:r w:rsidR="00B441C9" w:rsidRPr="00814751">
        <w:rPr>
          <w:rFonts w:ascii="Arial" w:eastAsia="Arial Unicode MS" w:hAnsi="Arial" w:cs="Arial"/>
          <w:b/>
          <w:bCs/>
          <w:color w:val="000000" w:themeColor="text1"/>
          <w:sz w:val="24"/>
          <w:szCs w:val="24"/>
        </w:rPr>
        <w:t xml:space="preserve">  </w:t>
      </w:r>
    </w:p>
    <w:p w14:paraId="66B1A05B" w14:textId="5F5E5337" w:rsidR="00EF7DAF" w:rsidRPr="00DE6803" w:rsidRDefault="00EF7DAF" w:rsidP="000D4F37">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lastRenderedPageBreak/>
        <w:t xml:space="preserve">It is evident from </w:t>
      </w:r>
      <w:r w:rsidR="002F6978">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Table </w:t>
      </w:r>
      <w:r w:rsidR="002F6978">
        <w:rPr>
          <w:rFonts w:ascii="Arial" w:eastAsia="Arial Unicode MS" w:hAnsi="Arial" w:cs="Arial"/>
          <w:color w:val="000000" w:themeColor="text1"/>
          <w:sz w:val="24"/>
          <w:szCs w:val="24"/>
        </w:rPr>
        <w:t>2.)</w:t>
      </w:r>
      <w:r w:rsidRPr="00DE6803">
        <w:rPr>
          <w:rFonts w:ascii="Arial" w:eastAsia="Arial Unicode MS" w:hAnsi="Arial" w:cs="Arial"/>
          <w:color w:val="000000" w:themeColor="text1"/>
          <w:sz w:val="24"/>
          <w:szCs w:val="24"/>
        </w:rPr>
        <w:t xml:space="preserve"> that the maximum number of seeds (8.9 capsule</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was recorded under foliar spray of nano</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significantly superior to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xml:space="preserve"> but remained at par with other treatments. Similarly, the maximum number of capsules per plant was also recorded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2</w:t>
      </w:r>
      <w:r w:rsidRPr="00DE6803">
        <w:rPr>
          <w:rFonts w:ascii="Arial" w:eastAsia="Arial Unicode MS" w:hAnsi="Arial" w:cs="Arial"/>
          <w:color w:val="000000" w:themeColor="text1"/>
          <w:sz w:val="24"/>
          <w:szCs w:val="24"/>
        </w:rPr>
        <w:t xml:space="preserve">). The increase in capsule formation may be attributed to enhanced photosynthetic activity, nutrient assimilation, vigorous root growth and better canopy development. </w:t>
      </w:r>
      <w:r w:rsidR="003217D9">
        <w:rPr>
          <w:rFonts w:ascii="Arial" w:eastAsia="Arial Unicode MS" w:hAnsi="Arial" w:cs="Arial"/>
          <w:color w:val="000000" w:themeColor="text1"/>
          <w:sz w:val="24"/>
          <w:szCs w:val="24"/>
        </w:rPr>
        <w:t>(</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{"citationItems":[{"id":"ITEM-1","itemData":{"author":[{"dropping-particle":"","family":"Krishi","given":"M Thirunavukkarasu","non-dropping-particle":"","parse-names":false,"suffix":""},{"dropping-particle":"","family":"Pandian","given":"Kannan","non-dropping-particle":"","parse-names":false,"suffix":""},{"dropping-particle":"","family":"Thirunavukkarasu","given":"Maruthi","non-dropping-particle":"","parse-names":false,"suffix":""},{"dropping-particle":"","family":"Subramanian","given":"K. S.","non-dropping-particle":"","parse-names":false,"suffix":""}],"container-title":"International Journal of Chemical Studies","id":"ITEM-1","issue":"3","issued":{"date-parts":[["2018"]]},"page":"2067-2072","title":"Response of nano-sulphur to the groundnut.","type":"article-journal","volume":"6"},"uris":["http://www.mendeley.com/documents/?uuid=84dc78b1-7dbf-4a82-bea1-d11825dde1c2"]}],"mendeley":{"formattedCitation":"(Krishi et al., 2018)","manualFormatting":"Krishi et al., 2018)","plainTextFormattedCitation":"(Krishi et al., 2018)","previouslyFormattedCitation":"(Krishi et al., 2018)"},"properties":{"noteIndex":0},"schema":"https://github.com/citation-style-language/schema/raw/master/csl-citation.json"}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DE6803" w:rsidRPr="00DE6803">
        <w:rPr>
          <w:rFonts w:ascii="Arial" w:eastAsia="Arial Unicode MS" w:hAnsi="Arial" w:cs="Arial"/>
          <w:noProof/>
          <w:color w:val="000000" w:themeColor="text1"/>
          <w:sz w:val="24"/>
          <w:szCs w:val="24"/>
        </w:rPr>
        <w:t>Krishi et al., 2018)</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also reported that nano-sulphur application @ 30 kg S</w:t>
      </w:r>
      <w:r w:rsidR="00DC40A5">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 xml:space="preserve">¹ improved pod number in groundnut compared to conventional sulphur, while </w:t>
      </w:r>
      <w:r w:rsidR="003217D9">
        <w:rPr>
          <w:rFonts w:ascii="Arial" w:eastAsia="Arial Unicode MS" w:hAnsi="Arial" w:cs="Arial"/>
          <w:color w:val="000000" w:themeColor="text1"/>
          <w:sz w:val="24"/>
          <w:szCs w:val="24"/>
        </w:rPr>
        <w:t>(</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{"citationItems":[{"id":"ITEM-1","itemData":{"DOI":"10.9734/ijpss/2023/v35i92916","ISSN":"2320-7035","abstract":"The field experiment entitled “response of sulphur and foliar application of nano urea on growth and yield of sunflower” was conducted during Summer, 2022 at Crop Research Farm, Department of Agronomy, Naini Agriculture Institute, Sam Higginbottom University of Agriculture, Technology and Sciences, Prayagraj, Uttar Pradesh. The result showed that maximum diameter of capitulum (14.85 cm), number of seeds/capitulum (453.67), test weight (44.58 g), seed yield (1.70 t/ha), oil content (37.73 %) and B:C ratio (2.54) were obtained by the application of Sulphur at the rate 40 kg/ha along with Nano urea (3ml/l) in treatment 8 whereas higher plant height (118.83 cm), plant dry weight (70.08 g) and stover yield (3.36 t/ha) were obtained by the application of Sulphur at the rate 40 kg/ha along with Nano urea 4ml/l in treatment 9.","author":[{"dropping-particle":"","family":"Bhakher","given":"Renuka","non-dropping-particle":"","parse-names":false,"suffix":""},{"dropping-particle":"","family":"Debbarma","given":"Victor","non-dropping-particle":"","parse-names":false,"suffix":""},{"dropping-particle":"","family":"Ninama","given":"Jigyasa","non-dropping-particle":"","parse-names":false,"suffix":""}],"container-title":"International Journal of Plant &amp; Soil Science","id":"ITEM-1","issue":"9","issued":{"date-parts":[["2023","4","18"]]},"page":"153-159","title":"Response of sulphur and foliar application of nano urea on growth and yield of sunflower (Helianthus annus L.)","type":"article-journal","volume":"35"},"uris":["http://www.mendeley.com/documents/?uuid=6be584c5-2456-4dc9-acff-b9c495c1a826"]}],"mendeley":{"formattedCitation":"(Bhakher et al., 2023)","manualFormatting":"Bhakher et al., 2023)","plainTextFormattedCitation":"(Bhakher et al., 2023)","previouslyFormattedCitation":"(Bhakher et al., 2023)"},"properties":{"noteIndex":0},"schema":"https://github.com/citation-style-language/schema/raw/master/csl-citation.json"}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906A40" w:rsidRPr="00906A40">
        <w:rPr>
          <w:rFonts w:ascii="Arial" w:eastAsia="Arial Unicode MS" w:hAnsi="Arial" w:cs="Arial"/>
          <w:noProof/>
          <w:color w:val="000000" w:themeColor="text1"/>
          <w:sz w:val="24"/>
          <w:szCs w:val="24"/>
        </w:rPr>
        <w:t>Bhakher et al., 2023)</w:t>
      </w:r>
      <w:r w:rsidR="00906A40">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observed higher dry weight and straw yield in sunflower with sulphur and nano urea, which contributed to greater reproductive sink development. These findings confirm that dual foliar application of nano-sulphur at critical stages (T</w:t>
      </w:r>
      <w:r w:rsidRPr="00906A40">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effectively promoted reproductive branching and capsule initiation.</w:t>
      </w:r>
    </w:p>
    <w:p w14:paraId="1D60F12B" w14:textId="2B10ADC1" w:rsidR="00EF7DAF" w:rsidRPr="00EF7DAF" w:rsidRDefault="001129AE" w:rsidP="000D4F37">
      <w:pPr>
        <w:spacing w:after="120" w:line="360" w:lineRule="auto"/>
        <w:jc w:val="both"/>
        <w:rPr>
          <w:rFonts w:ascii="Arial" w:eastAsia="Arial Unicode MS" w:hAnsi="Arial" w:cs="Arial"/>
          <w:b/>
          <w:bCs/>
          <w:color w:val="000000" w:themeColor="text1"/>
          <w:sz w:val="24"/>
          <w:szCs w:val="24"/>
          <w:vertAlign w:val="superscript"/>
        </w:rPr>
      </w:pPr>
      <w:r>
        <w:rPr>
          <w:rFonts w:ascii="Arial" w:eastAsia="Arial Unicode MS" w:hAnsi="Arial" w:cs="Arial"/>
          <w:b/>
          <w:bCs/>
          <w:color w:val="000000" w:themeColor="text1"/>
          <w:sz w:val="24"/>
          <w:szCs w:val="24"/>
        </w:rPr>
        <w:t xml:space="preserve">3.6 </w:t>
      </w:r>
      <w:r w:rsidR="00B441C9" w:rsidRPr="00814751">
        <w:rPr>
          <w:rFonts w:ascii="Arial" w:eastAsia="Arial Unicode MS" w:hAnsi="Arial" w:cs="Arial"/>
          <w:b/>
          <w:bCs/>
          <w:color w:val="000000" w:themeColor="text1"/>
          <w:sz w:val="24"/>
          <w:szCs w:val="24"/>
        </w:rPr>
        <w:t>Number of seed</w:t>
      </w:r>
      <w:r w:rsidR="00386082">
        <w:rPr>
          <w:rFonts w:ascii="Arial" w:eastAsia="Arial Unicode MS" w:hAnsi="Arial" w:cs="Arial"/>
          <w:b/>
          <w:bCs/>
          <w:color w:val="000000" w:themeColor="text1"/>
          <w:sz w:val="24"/>
          <w:szCs w:val="24"/>
        </w:rPr>
        <w:t xml:space="preserve"> capsule</w:t>
      </w:r>
      <w:r w:rsidR="00386082" w:rsidRPr="00386082">
        <w:rPr>
          <w:rFonts w:ascii="Arial" w:eastAsia="Arial Unicode MS" w:hAnsi="Arial" w:cs="Arial"/>
          <w:b/>
          <w:bCs/>
          <w:color w:val="000000" w:themeColor="text1"/>
          <w:sz w:val="24"/>
          <w:szCs w:val="24"/>
          <w:vertAlign w:val="superscript"/>
        </w:rPr>
        <w:t>-1</w:t>
      </w:r>
    </w:p>
    <w:p w14:paraId="5B1FD9D8" w14:textId="5D7EAEF1" w:rsidR="00EF7DAF" w:rsidRPr="00906A40" w:rsidRDefault="00704967" w:rsidP="000D4F37">
      <w:pPr>
        <w:spacing w:after="120" w:line="360" w:lineRule="auto"/>
        <w:jc w:val="both"/>
        <w:rPr>
          <w:rFonts w:ascii="Arial" w:eastAsia="Arial Unicode MS" w:hAnsi="Arial" w:cs="Arial"/>
          <w:color w:val="000000" w:themeColor="text1"/>
          <w:sz w:val="24"/>
          <w:szCs w:val="24"/>
        </w:rPr>
      </w:pPr>
      <w:r w:rsidRPr="00906A40">
        <w:rPr>
          <w:rFonts w:ascii="Arial" w:eastAsia="Arial Unicode MS" w:hAnsi="Arial" w:cs="Arial"/>
          <w:color w:val="000000" w:themeColor="text1"/>
          <w:sz w:val="24"/>
          <w:szCs w:val="24"/>
        </w:rPr>
        <w:t xml:space="preserve">It is evident from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xml:space="preserve"> that the maximum number of seeds per capsule (8.9) was recorded under foliar spray of nano-sulphur (0.5%) at 30 DAS and flowering stage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which was significantly superior to T</w:t>
      </w:r>
      <w:r w:rsidRPr="00906A40">
        <w:rPr>
          <w:rFonts w:ascii="Arial" w:eastAsia="Arial Unicode MS" w:hAnsi="Arial" w:cs="Arial"/>
          <w:color w:val="000000" w:themeColor="text1"/>
          <w:sz w:val="24"/>
          <w:szCs w:val="24"/>
          <w:vertAlign w:val="subscript"/>
        </w:rPr>
        <w:t>7</w:t>
      </w:r>
      <w:r w:rsidRPr="00906A40">
        <w:rPr>
          <w:rFonts w:ascii="Arial" w:eastAsia="Arial Unicode MS" w:hAnsi="Arial" w:cs="Arial"/>
          <w:color w:val="000000" w:themeColor="text1"/>
          <w:sz w:val="24"/>
          <w:szCs w:val="24"/>
        </w:rPr>
        <w:t>, T</w:t>
      </w:r>
      <w:r w:rsidRPr="00906A40">
        <w:rPr>
          <w:rFonts w:ascii="Arial" w:eastAsia="Arial Unicode MS" w:hAnsi="Arial" w:cs="Arial"/>
          <w:color w:val="000000" w:themeColor="text1"/>
          <w:sz w:val="24"/>
          <w:szCs w:val="24"/>
          <w:vertAlign w:val="subscript"/>
        </w:rPr>
        <w:t>4</w:t>
      </w:r>
      <w:r w:rsidRPr="00906A40">
        <w:rPr>
          <w:rFonts w:ascii="Arial" w:eastAsia="Arial Unicode MS" w:hAnsi="Arial" w:cs="Arial"/>
          <w:color w:val="000000" w:themeColor="text1"/>
          <w:sz w:val="24"/>
          <w:szCs w:val="24"/>
        </w:rPr>
        <w:t xml:space="preserve"> and T</w:t>
      </w:r>
      <w:r w:rsidRPr="00906A40">
        <w:rPr>
          <w:rFonts w:ascii="Arial" w:eastAsia="Arial Unicode MS" w:hAnsi="Arial" w:cs="Arial"/>
          <w:color w:val="000000" w:themeColor="text1"/>
          <w:sz w:val="24"/>
          <w:szCs w:val="24"/>
          <w:vertAlign w:val="subscript"/>
        </w:rPr>
        <w:t>2</w:t>
      </w:r>
      <w:r w:rsidRPr="00906A40">
        <w:rPr>
          <w:rFonts w:ascii="Arial" w:eastAsia="Arial Unicode MS" w:hAnsi="Arial" w:cs="Arial"/>
          <w:color w:val="000000" w:themeColor="text1"/>
          <w:sz w:val="24"/>
          <w:szCs w:val="24"/>
        </w:rPr>
        <w:t xml:space="preserve"> but at par with other treatments, with the highest value also obtained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under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This can be attributed to efficient translocation of assimilates from source to sink due to higher sulphur use efficiency and improved metabolic activity under nano</w:t>
      </w:r>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 xml:space="preserve">sulphur spray. </w:t>
      </w:r>
      <w:r w:rsidR="003217D9">
        <w:rPr>
          <w:rFonts w:ascii="Arial" w:eastAsia="Arial Unicode MS" w:hAnsi="Arial" w:cs="Arial"/>
          <w:color w:val="000000" w:themeColor="text1"/>
          <w:sz w:val="24"/>
          <w:szCs w:val="24"/>
        </w:rPr>
        <w:t>(</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{"citationItems":[{"id":"ITEM-1","itemData":{"DOI":"10.1080/00103624.2022.2072867","ISSN":"0010-3624","author":[{"dropping-particle":"","family":"Subramanian","given":"K. S.","non-dropping-particle":"","parse-names":false,"suffix":""},{"dropping-particle":"","family":"Rajeswari","given":"R.","non-dropping-particle":"","parse-names":false,"suffix":""},{"dropping-particle":"","family":"Yuvaraj","given":"M.","non-dropping-particle":"","parse-names":false,"suffix":""},{"dropping-particle":"","family":"Pradeep","given":"D.","non-dropping-particle":"","parse-names":false,"suffix":""},{"dropping-particle":"","family":"Guna","given":"M.","non-dropping-particle":"","parse-names":false,"suffix":""},{"dropping-particle":"","family":"Yoganathan","given":"G.","non-dropping-particle":"","parse-names":false,"suffix":""}],"container-title":"Communications in Soil Science and Plant Analysis","id":"ITEM-1","issue":"20","issued":{"date-parts":[["2022","11","13"]]},"page":"2700-2709","title":"Synthesis and characterization of nano-sulphur and its impact on growth, yield, and quality of sunflower (Helianthus annuus L.)","type":"article-journal","volume":"53"},"uris":["http://www.mendeley.com/documents/?uuid=17afa2e0-74aa-4a55-9f63-fe08ff27481f"]}],"mendeley":{"formattedCitation":"(Subramanian et al., 2022)","manualFormatting":"Subramanian et al., 2022)","plainTextFormattedCitation":"(Subramanian et al., 2022)","previouslyFormattedCitation":"(Subramanian et al., 2022)"},"properties":{"noteIndex":0},"schema":"https://github.com/citation-style-language/schema/raw/master/csl-citation.json"}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906A40" w:rsidRPr="00906A40">
        <w:rPr>
          <w:rFonts w:ascii="Arial" w:eastAsia="Arial Unicode MS" w:hAnsi="Arial" w:cs="Arial"/>
          <w:noProof/>
          <w:color w:val="000000" w:themeColor="text1"/>
          <w:sz w:val="24"/>
          <w:szCs w:val="24"/>
        </w:rPr>
        <w:t>Subramanian et al., 2022)</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reported 15% higher seed yield in sunflower with nano-sulphur compared to gypsum, owing to enhanced dry matter production and assimilate partitioning. </w:t>
      </w:r>
      <w:r w:rsidR="002F6978">
        <w:rPr>
          <w:rFonts w:ascii="Arial" w:eastAsia="Arial Unicode MS" w:hAnsi="Arial" w:cs="Arial"/>
          <w:color w:val="000000" w:themeColor="text1"/>
          <w:sz w:val="24"/>
          <w:szCs w:val="24"/>
        </w:rPr>
        <w:t>b</w:t>
      </w:r>
      <w:r w:rsidRPr="00906A40">
        <w:rPr>
          <w:rFonts w:ascii="Arial" w:eastAsia="Arial Unicode MS" w:hAnsi="Arial" w:cs="Arial"/>
          <w:color w:val="000000" w:themeColor="text1"/>
          <w:sz w:val="24"/>
          <w:szCs w:val="24"/>
        </w:rPr>
        <w:t>etter root uptake and vegetative growth observed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provided a strong base for improved seed filling and capsule development, confirming the efficiency of nano</w:t>
      </w:r>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in enhancing reproductive performance in oilseed crops.</w:t>
      </w:r>
    </w:p>
    <w:p w14:paraId="3C2EFC45" w14:textId="2AC93605" w:rsidR="00B441C9" w:rsidRDefault="001129AE" w:rsidP="000D4F37">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3.7 </w:t>
      </w:r>
      <w:r w:rsidR="00B441C9" w:rsidRPr="00814751">
        <w:rPr>
          <w:rFonts w:ascii="Arial" w:eastAsia="Arial Unicode MS" w:hAnsi="Arial" w:cs="Arial"/>
          <w:b/>
          <w:bCs/>
          <w:color w:val="000000" w:themeColor="text1"/>
          <w:sz w:val="24"/>
          <w:szCs w:val="24"/>
        </w:rPr>
        <w:t>Test weight</w:t>
      </w:r>
    </w:p>
    <w:p w14:paraId="23521945" w14:textId="56572E30" w:rsidR="00EF7DAF" w:rsidRPr="00906A40" w:rsidRDefault="00704967" w:rsidP="000D4F37">
      <w:pPr>
        <w:spacing w:after="120" w:line="360" w:lineRule="auto"/>
        <w:jc w:val="both"/>
        <w:rPr>
          <w:rFonts w:ascii="Arial" w:eastAsia="Arial Unicode MS" w:hAnsi="Arial" w:cs="Arial"/>
          <w:color w:val="000000" w:themeColor="text1"/>
          <w:sz w:val="24"/>
          <w:szCs w:val="24"/>
        </w:rPr>
      </w:pPr>
      <w:r w:rsidRPr="00906A40">
        <w:rPr>
          <w:rFonts w:ascii="Arial" w:eastAsia="Arial Unicode MS" w:hAnsi="Arial" w:cs="Arial"/>
          <w:color w:val="000000" w:themeColor="text1"/>
          <w:sz w:val="24"/>
          <w:szCs w:val="24"/>
        </w:rPr>
        <w:t xml:space="preserve">A close examination of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xml:space="preserve"> revealed that foliar spray of nano</w:t>
      </w:r>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(0.5%) at 30 DAS and flowering stage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recorded the highest seed index (8.1 g), which was statistically identical to T</w:t>
      </w:r>
      <w:r w:rsidRPr="00906A40">
        <w:rPr>
          <w:rFonts w:ascii="Arial" w:eastAsia="Arial Unicode MS" w:hAnsi="Arial" w:cs="Arial"/>
          <w:color w:val="000000" w:themeColor="text1"/>
          <w:sz w:val="24"/>
          <w:szCs w:val="24"/>
          <w:vertAlign w:val="subscript"/>
        </w:rPr>
        <w:t>7</w:t>
      </w:r>
      <w:r w:rsidRPr="00906A40">
        <w:rPr>
          <w:rFonts w:ascii="Arial" w:eastAsia="Arial Unicode MS" w:hAnsi="Arial" w:cs="Arial"/>
          <w:color w:val="000000" w:themeColor="text1"/>
          <w:sz w:val="24"/>
          <w:szCs w:val="24"/>
        </w:rPr>
        <w:t>, T</w:t>
      </w:r>
      <w:r w:rsidRPr="00906A40">
        <w:rPr>
          <w:rFonts w:ascii="Arial" w:eastAsia="Arial Unicode MS" w:hAnsi="Arial" w:cs="Arial"/>
          <w:color w:val="000000" w:themeColor="text1"/>
          <w:sz w:val="24"/>
          <w:szCs w:val="24"/>
          <w:vertAlign w:val="subscript"/>
        </w:rPr>
        <w:t>4</w:t>
      </w:r>
      <w:r w:rsidRPr="00906A40">
        <w:rPr>
          <w:rFonts w:ascii="Arial" w:eastAsia="Arial Unicode MS" w:hAnsi="Arial" w:cs="Arial"/>
          <w:color w:val="000000" w:themeColor="text1"/>
          <w:sz w:val="24"/>
          <w:szCs w:val="24"/>
        </w:rPr>
        <w:t xml:space="preserve"> and T</w:t>
      </w:r>
      <w:r w:rsidRPr="00906A40">
        <w:rPr>
          <w:rFonts w:ascii="Arial" w:eastAsia="Arial Unicode MS" w:hAnsi="Arial" w:cs="Arial"/>
          <w:color w:val="000000" w:themeColor="text1"/>
          <w:sz w:val="24"/>
          <w:szCs w:val="24"/>
          <w:vertAlign w:val="subscript"/>
        </w:rPr>
        <w:t>2</w:t>
      </w:r>
      <w:r w:rsidRPr="00906A40">
        <w:rPr>
          <w:rFonts w:ascii="Arial" w:eastAsia="Arial Unicode MS" w:hAnsi="Arial" w:cs="Arial"/>
          <w:color w:val="000000" w:themeColor="text1"/>
          <w:sz w:val="24"/>
          <w:szCs w:val="24"/>
        </w:rPr>
        <w:t>. The maximum test weight (1000-grain weight) was also observed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Higher test weight indicates efficient nutrient translocation,</w:t>
      </w:r>
      <w:r w:rsidR="00906A40">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 xml:space="preserve">balanced source–sink relationship and better seed filling. </w:t>
      </w:r>
      <w:r w:rsidR="003217D9">
        <w:rPr>
          <w:rFonts w:ascii="Arial" w:eastAsia="Arial Unicode MS" w:hAnsi="Arial" w:cs="Arial"/>
          <w:color w:val="000000" w:themeColor="text1"/>
          <w:sz w:val="24"/>
          <w:szCs w:val="24"/>
        </w:rPr>
        <w:lastRenderedPageBreak/>
        <w:t>(</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{"citationItems":[{"id":"ITEM-1","itemData":{"author":[{"dropping-particle":"","family":"Krishi","given":"M Thirunavukkarasu","non-dropping-particle":"","parse-names":false,"suffix":""},{"dropping-particle":"","family":"Pandian","given":"Kannan","non-dropping-particle":"","parse-names":false,"suffix":""},{"dropping-particle":"","family":"Thirunavukkarasu","given":"Maruthi","non-dropping-particle":"","parse-names":false,"suffix":""},{"dropping-particle":"","family":"Subramanian","given":"K. S.","non-dropping-particle":"","parse-names":false,"suffix":""}],"container-title":"International Journal of Chemical Studies","id":"ITEM-1","issue":"3","issued":{"date-parts":[["2018"]]},"page":"2067-2072","title":"Response of nano-sulphur to the groundnut.","type":"article-journal","volume":"6"},"uris":["http://www.mendeley.com/documents/?uuid=84dc78b1-7dbf-4a82-bea1-d11825dde1c2"]}],"mendeley":{"formattedCitation":"(Krishi et al., 2018)","manualFormatting":"Krishi et al., 2018)","plainTextFormattedCitation":"(Krishi et al., 2018)","previouslyFormattedCitation":"(Krishi et al., 2018)"},"properties":{"noteIndex":0},"schema":"https://github.com/citation-style-language/schema/raw/master/csl-citation.json"}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906A40" w:rsidRPr="00906A40">
        <w:rPr>
          <w:rFonts w:ascii="Arial" w:eastAsia="Arial Unicode MS" w:hAnsi="Arial" w:cs="Arial"/>
          <w:noProof/>
          <w:color w:val="000000" w:themeColor="text1"/>
          <w:sz w:val="24"/>
          <w:szCs w:val="24"/>
        </w:rPr>
        <w:t>Krishi et al., 2018)</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reported that nano</w:t>
      </w:r>
      <w:r w:rsidR="002B2B42">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 30 kg S</w:t>
      </w:r>
      <w:r w:rsidR="002B2B42">
        <w:rPr>
          <w:rFonts w:ascii="Arial" w:eastAsia="Arial Unicode MS" w:hAnsi="Arial" w:cs="Arial"/>
          <w:color w:val="000000" w:themeColor="text1"/>
          <w:sz w:val="24"/>
          <w:szCs w:val="24"/>
        </w:rPr>
        <w:t>ulphur</w:t>
      </w:r>
      <w:r w:rsidRPr="00906A40">
        <w:rPr>
          <w:rFonts w:ascii="Arial" w:eastAsia="Arial Unicode MS" w:hAnsi="Arial" w:cs="Arial"/>
          <w:color w:val="000000" w:themeColor="text1"/>
          <w:sz w:val="24"/>
          <w:szCs w:val="24"/>
        </w:rPr>
        <w:t xml:space="preserve"> ha</w:t>
      </w:r>
      <w:r w:rsidRPr="00906A40">
        <w:rPr>
          <w:rFonts w:ascii="Cambria Math" w:eastAsia="Arial Unicode MS" w:hAnsi="Cambria Math" w:cs="Cambria Math"/>
          <w:color w:val="000000" w:themeColor="text1"/>
          <w:sz w:val="24"/>
          <w:szCs w:val="24"/>
        </w:rPr>
        <w:t>⁻</w:t>
      </w:r>
      <w:r w:rsidRPr="00906A40">
        <w:rPr>
          <w:rFonts w:ascii="Arial" w:eastAsia="Arial Unicode MS" w:hAnsi="Arial" w:cs="Arial"/>
          <w:color w:val="000000" w:themeColor="text1"/>
          <w:sz w:val="24"/>
          <w:szCs w:val="24"/>
        </w:rPr>
        <w:t xml:space="preserve">¹ increased hundred kernel weight in groundnut compared to conventional sulphur, while </w:t>
      </w:r>
      <w:r w:rsidR="003217D9">
        <w:rPr>
          <w:rFonts w:ascii="Arial" w:eastAsia="Arial Unicode MS" w:hAnsi="Arial" w:cs="Arial"/>
          <w:color w:val="000000" w:themeColor="text1"/>
          <w:sz w:val="24"/>
          <w:szCs w:val="24"/>
        </w:rPr>
        <w:t>(</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{"citationItems":[{"id":"ITEM-1","itemData":{"DOI":"10.1080/00103624.2022.2072867","ISSN":"0010-3624","author":[{"dropping-particle":"","family":"Subramanian","given":"K. S.","non-dropping-particle":"","parse-names":false,"suffix":""},{"dropping-particle":"","family":"Rajeswari","given":"R.","non-dropping-particle":"","parse-names":false,"suffix":""},{"dropping-particle":"","family":"Yuvaraj","given":"M.","non-dropping-particle":"","parse-names":false,"suffix":""},{"dropping-particle":"","family":"Pradeep","given":"D.","non-dropping-particle":"","parse-names":false,"suffix":""},{"dropping-particle":"","family":"Guna","given":"M.","non-dropping-particle":"","parse-names":false,"suffix":""},{"dropping-particle":"","family":"Yoganathan","given":"G.","non-dropping-particle":"","parse-names":false,"suffix":""}],"container-title":"Communications in Soil Science and Plant Analysis","id":"ITEM-1","issue":"20","issued":{"date-parts":[["2022","11","13"]]},"page":"2700-2709","title":"Synthesis and characterization of nano-sulphur and its impact on growth, yield, and quality of sunflower (Helianthus annuus L.)","type":"article-journal","volume":"53"},"uris":["http://www.mendeley.com/documents/?uuid=17afa2e0-74aa-4a55-9f63-fe08ff27481f"]}],"mendeley":{"formattedCitation":"(Subramanian et al., 2022)","manualFormatting":"Subramanian et al., 2022)","plainTextFormattedCitation":"(Subramanian et al., 2022)","previouslyFormattedCitation":"(Subramanian et al., 2022)"},"properties":{"noteIndex":0},"schema":"https://github.com/citation-style-language/schema/raw/master/csl-citation.json"}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906A40" w:rsidRPr="00906A40">
        <w:rPr>
          <w:rFonts w:ascii="Arial" w:eastAsia="Arial Unicode MS" w:hAnsi="Arial" w:cs="Arial"/>
          <w:noProof/>
          <w:color w:val="000000" w:themeColor="text1"/>
          <w:sz w:val="24"/>
          <w:szCs w:val="24"/>
        </w:rPr>
        <w:t>Subramanian et al., 2022)</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confirmed that nano</w:t>
      </w:r>
      <w:r w:rsidR="002B2B42">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improved oil content and seed quality in sunflower. The improvement in test weight under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correlates with higher dry matter accumulation in shoot and root, as sulphur plays a vital role in protein and oil biosynthesis, ultimately resulting in heavier grains.</w:t>
      </w:r>
    </w:p>
    <w:p w14:paraId="752ABBFC" w14:textId="53016901" w:rsidR="0004345F" w:rsidRPr="0004345F" w:rsidRDefault="001129AE" w:rsidP="001129AE">
      <w:pPr>
        <w:spacing w:before="240" w:line="360" w:lineRule="auto"/>
        <w:ind w:left="720" w:hanging="720"/>
        <w:jc w:val="both"/>
        <w:rPr>
          <w:rFonts w:ascii="Arial" w:hAnsi="Arial" w:cs="Arial"/>
          <w:b/>
          <w:bCs/>
          <w:sz w:val="20"/>
          <w:szCs w:val="20"/>
        </w:rPr>
      </w:pPr>
      <w:r>
        <w:rPr>
          <w:rFonts w:ascii="Arial" w:hAnsi="Arial" w:cs="Arial"/>
          <w:b/>
          <w:bCs/>
          <w:sz w:val="20"/>
          <w:szCs w:val="20"/>
        </w:rPr>
        <w:t xml:space="preserve">Table 2. </w:t>
      </w:r>
      <w:r w:rsidR="0004345F" w:rsidRPr="00726616">
        <w:rPr>
          <w:rFonts w:ascii="Arial" w:hAnsi="Arial" w:cs="Arial"/>
          <w:b/>
          <w:bCs/>
          <w:sz w:val="20"/>
          <w:szCs w:val="20"/>
        </w:rPr>
        <w:t>Influenced by different sources of Sulphur on</w:t>
      </w:r>
      <w:r w:rsidR="0004345F">
        <w:rPr>
          <w:rFonts w:ascii="Arial" w:hAnsi="Arial" w:cs="Arial"/>
          <w:b/>
          <w:bCs/>
          <w:sz w:val="20"/>
          <w:szCs w:val="20"/>
        </w:rPr>
        <w:t xml:space="preserve"> yield attributes</w:t>
      </w:r>
    </w:p>
    <w:tbl>
      <w:tblPr>
        <w:tblW w:w="8905" w:type="dxa"/>
        <w:jc w:val="center"/>
        <w:tblLook w:val="04A0" w:firstRow="1" w:lastRow="0" w:firstColumn="1" w:lastColumn="0" w:noHBand="0" w:noVBand="1"/>
      </w:tblPr>
      <w:tblGrid>
        <w:gridCol w:w="580"/>
        <w:gridCol w:w="4000"/>
        <w:gridCol w:w="1450"/>
        <w:gridCol w:w="1345"/>
        <w:gridCol w:w="1530"/>
      </w:tblGrid>
      <w:tr w:rsidR="0004345F" w:rsidRPr="001129AE" w14:paraId="265CC197" w14:textId="77777777" w:rsidTr="003343FA">
        <w:trPr>
          <w:trHeight w:val="310"/>
          <w:jc w:val="center"/>
        </w:trPr>
        <w:tc>
          <w:tcPr>
            <w:tcW w:w="4580" w:type="dxa"/>
            <w:gridSpan w:val="2"/>
            <w:vMerge w:val="restart"/>
            <w:tcBorders>
              <w:top w:val="single" w:sz="4" w:space="0" w:color="auto"/>
            </w:tcBorders>
            <w:noWrap/>
            <w:vAlign w:val="center"/>
            <w:hideMark/>
          </w:tcPr>
          <w:p w14:paraId="7190506B"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proofErr w:type="spellStart"/>
            <w:r w:rsidRPr="001129AE">
              <w:rPr>
                <w:rFonts w:ascii="Arial" w:eastAsia="Times New Roman" w:hAnsi="Arial" w:cs="Arial"/>
                <w:b/>
                <w:bCs/>
                <w:color w:val="000000"/>
                <w:kern w:val="0"/>
                <w:lang w:eastAsia="en-IN" w:bidi="hi-IN"/>
                <w14:ligatures w14:val="none"/>
              </w:rPr>
              <w:t>Trearment</w:t>
            </w:r>
            <w:proofErr w:type="spellEnd"/>
          </w:p>
        </w:tc>
        <w:tc>
          <w:tcPr>
            <w:tcW w:w="4325" w:type="dxa"/>
            <w:gridSpan w:val="3"/>
            <w:tcBorders>
              <w:top w:val="single" w:sz="4" w:space="0" w:color="auto"/>
              <w:bottom w:val="single" w:sz="4" w:space="0" w:color="auto"/>
            </w:tcBorders>
            <w:noWrap/>
            <w:vAlign w:val="center"/>
            <w:hideMark/>
          </w:tcPr>
          <w:p w14:paraId="486A055E"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Yield attributes</w:t>
            </w:r>
          </w:p>
        </w:tc>
      </w:tr>
      <w:tr w:rsidR="0004345F" w:rsidRPr="001129AE" w14:paraId="2B1C827B" w14:textId="77777777" w:rsidTr="003343FA">
        <w:trPr>
          <w:trHeight w:val="450"/>
          <w:jc w:val="center"/>
        </w:trPr>
        <w:tc>
          <w:tcPr>
            <w:tcW w:w="4580" w:type="dxa"/>
            <w:gridSpan w:val="2"/>
            <w:vMerge/>
            <w:vAlign w:val="center"/>
            <w:hideMark/>
          </w:tcPr>
          <w:p w14:paraId="4F7B7A8C"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450" w:type="dxa"/>
            <w:vMerge w:val="restart"/>
            <w:tcBorders>
              <w:top w:val="single" w:sz="4" w:space="0" w:color="auto"/>
            </w:tcBorders>
            <w:noWrap/>
            <w:vAlign w:val="center"/>
            <w:hideMark/>
          </w:tcPr>
          <w:p w14:paraId="4F192BA5"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Number of capsule plant</w:t>
            </w:r>
            <w:r w:rsidRPr="001129AE">
              <w:rPr>
                <w:rFonts w:ascii="Arial" w:eastAsia="Times New Roman" w:hAnsi="Arial" w:cs="Arial"/>
                <w:b/>
                <w:bCs/>
                <w:color w:val="000000"/>
                <w:kern w:val="0"/>
                <w:vertAlign w:val="superscript"/>
                <w:lang w:eastAsia="en-IN" w:bidi="hi-IN"/>
                <w14:ligatures w14:val="none"/>
              </w:rPr>
              <w:t>-1</w:t>
            </w:r>
          </w:p>
        </w:tc>
        <w:tc>
          <w:tcPr>
            <w:tcW w:w="1345" w:type="dxa"/>
            <w:vMerge w:val="restart"/>
            <w:tcBorders>
              <w:top w:val="single" w:sz="4" w:space="0" w:color="auto"/>
            </w:tcBorders>
            <w:noWrap/>
            <w:vAlign w:val="center"/>
            <w:hideMark/>
          </w:tcPr>
          <w:p w14:paraId="13AC2A2B"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Number of seeds capsule</w:t>
            </w:r>
            <w:r w:rsidRPr="001129AE">
              <w:rPr>
                <w:rFonts w:ascii="Arial" w:eastAsia="Times New Roman" w:hAnsi="Arial" w:cs="Arial"/>
                <w:b/>
                <w:bCs/>
                <w:color w:val="000000"/>
                <w:kern w:val="0"/>
                <w:vertAlign w:val="superscript"/>
                <w:lang w:eastAsia="en-IN" w:bidi="hi-IN"/>
                <w14:ligatures w14:val="none"/>
              </w:rPr>
              <w:t>-1</w:t>
            </w:r>
          </w:p>
        </w:tc>
        <w:tc>
          <w:tcPr>
            <w:tcW w:w="1530" w:type="dxa"/>
            <w:vMerge w:val="restart"/>
            <w:tcBorders>
              <w:top w:val="single" w:sz="4" w:space="0" w:color="auto"/>
            </w:tcBorders>
            <w:noWrap/>
            <w:vAlign w:val="center"/>
            <w:hideMark/>
          </w:tcPr>
          <w:p w14:paraId="4EDA6333"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1000 Grain weight (g)</w:t>
            </w:r>
          </w:p>
        </w:tc>
      </w:tr>
      <w:tr w:rsidR="0004345F" w:rsidRPr="001129AE" w14:paraId="4EB44186" w14:textId="77777777" w:rsidTr="003343FA">
        <w:trPr>
          <w:trHeight w:val="450"/>
          <w:jc w:val="center"/>
        </w:trPr>
        <w:tc>
          <w:tcPr>
            <w:tcW w:w="4580" w:type="dxa"/>
            <w:gridSpan w:val="2"/>
            <w:vMerge/>
            <w:tcBorders>
              <w:bottom w:val="single" w:sz="4" w:space="0" w:color="auto"/>
            </w:tcBorders>
            <w:vAlign w:val="center"/>
            <w:hideMark/>
          </w:tcPr>
          <w:p w14:paraId="7FC6722F"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450" w:type="dxa"/>
            <w:vMerge/>
            <w:tcBorders>
              <w:bottom w:val="single" w:sz="4" w:space="0" w:color="auto"/>
            </w:tcBorders>
            <w:vAlign w:val="center"/>
            <w:hideMark/>
          </w:tcPr>
          <w:p w14:paraId="7B177C8B"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345" w:type="dxa"/>
            <w:vMerge/>
            <w:tcBorders>
              <w:bottom w:val="single" w:sz="4" w:space="0" w:color="auto"/>
            </w:tcBorders>
            <w:vAlign w:val="center"/>
            <w:hideMark/>
          </w:tcPr>
          <w:p w14:paraId="4F11C9EB"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530" w:type="dxa"/>
            <w:vMerge/>
            <w:tcBorders>
              <w:bottom w:val="single" w:sz="4" w:space="0" w:color="auto"/>
            </w:tcBorders>
            <w:vAlign w:val="center"/>
            <w:hideMark/>
          </w:tcPr>
          <w:p w14:paraId="787C2C16"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r>
      <w:tr w:rsidR="0004345F" w:rsidRPr="001129AE" w14:paraId="7D3F0DAC" w14:textId="77777777" w:rsidTr="003343FA">
        <w:trPr>
          <w:trHeight w:val="330"/>
          <w:jc w:val="center"/>
        </w:trPr>
        <w:tc>
          <w:tcPr>
            <w:tcW w:w="580" w:type="dxa"/>
            <w:tcBorders>
              <w:top w:val="single" w:sz="4" w:space="0" w:color="auto"/>
            </w:tcBorders>
            <w:noWrap/>
            <w:vAlign w:val="center"/>
            <w:hideMark/>
          </w:tcPr>
          <w:p w14:paraId="7442A37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1</w:t>
            </w:r>
          </w:p>
        </w:tc>
        <w:tc>
          <w:tcPr>
            <w:tcW w:w="4000" w:type="dxa"/>
            <w:tcBorders>
              <w:top w:val="single" w:sz="4" w:space="0" w:color="auto"/>
            </w:tcBorders>
            <w:noWrap/>
            <w:vAlign w:val="center"/>
            <w:hideMark/>
          </w:tcPr>
          <w:p w14:paraId="3B87159B"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 Control (without Sulphur)   </w:t>
            </w:r>
          </w:p>
        </w:tc>
        <w:tc>
          <w:tcPr>
            <w:tcW w:w="1450" w:type="dxa"/>
            <w:tcBorders>
              <w:top w:val="single" w:sz="4" w:space="0" w:color="auto"/>
            </w:tcBorders>
            <w:noWrap/>
            <w:vAlign w:val="center"/>
            <w:hideMark/>
          </w:tcPr>
          <w:p w14:paraId="4854A67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30.2c</w:t>
            </w:r>
          </w:p>
        </w:tc>
        <w:tc>
          <w:tcPr>
            <w:tcW w:w="1345" w:type="dxa"/>
            <w:tcBorders>
              <w:top w:val="single" w:sz="4" w:space="0" w:color="auto"/>
            </w:tcBorders>
            <w:noWrap/>
            <w:vAlign w:val="center"/>
            <w:hideMark/>
          </w:tcPr>
          <w:p w14:paraId="7282DDD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7.4c</w:t>
            </w:r>
          </w:p>
        </w:tc>
        <w:tc>
          <w:tcPr>
            <w:tcW w:w="1530" w:type="dxa"/>
            <w:tcBorders>
              <w:top w:val="single" w:sz="4" w:space="0" w:color="auto"/>
            </w:tcBorders>
            <w:noWrap/>
            <w:vAlign w:val="center"/>
            <w:hideMark/>
          </w:tcPr>
          <w:p w14:paraId="2184C32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6.7d</w:t>
            </w:r>
          </w:p>
        </w:tc>
      </w:tr>
      <w:tr w:rsidR="0004345F" w:rsidRPr="001129AE" w14:paraId="7043DB68" w14:textId="77777777" w:rsidTr="003343FA">
        <w:trPr>
          <w:trHeight w:val="330"/>
          <w:jc w:val="center"/>
        </w:trPr>
        <w:tc>
          <w:tcPr>
            <w:tcW w:w="580" w:type="dxa"/>
            <w:noWrap/>
            <w:vAlign w:val="center"/>
            <w:hideMark/>
          </w:tcPr>
          <w:p w14:paraId="76FC784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2</w:t>
            </w:r>
          </w:p>
        </w:tc>
        <w:tc>
          <w:tcPr>
            <w:tcW w:w="4000" w:type="dxa"/>
            <w:noWrap/>
            <w:vAlign w:val="center"/>
            <w:hideMark/>
          </w:tcPr>
          <w:p w14:paraId="4E9EC169"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20 kg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ha</w:t>
            </w:r>
            <w:r w:rsidRPr="001129AE">
              <w:rPr>
                <w:rFonts w:ascii="Cambria Math" w:eastAsia="Times New Roman" w:hAnsi="Cambria Math" w:cs="Cambria Math"/>
                <w:color w:val="000000"/>
                <w:kern w:val="0"/>
                <w:lang w:eastAsia="en-IN" w:bidi="hi-IN"/>
                <w14:ligatures w14:val="none"/>
              </w:rPr>
              <w:t>⁻</w:t>
            </w:r>
            <w:r w:rsidRPr="001129AE">
              <w:rPr>
                <w:rFonts w:ascii="Arial" w:eastAsia="Times New Roman" w:hAnsi="Arial" w:cs="Arial"/>
                <w:color w:val="000000"/>
                <w:kern w:val="0"/>
                <w:lang w:eastAsia="en-IN" w:bidi="hi-IN"/>
                <w14:ligatures w14:val="none"/>
              </w:rPr>
              <w:t xml:space="preserve">¹ as basal application  </w:t>
            </w:r>
          </w:p>
        </w:tc>
        <w:tc>
          <w:tcPr>
            <w:tcW w:w="1450" w:type="dxa"/>
            <w:noWrap/>
            <w:vAlign w:val="center"/>
            <w:hideMark/>
          </w:tcPr>
          <w:p w14:paraId="3B6ECAF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33.8abc</w:t>
            </w:r>
          </w:p>
        </w:tc>
        <w:tc>
          <w:tcPr>
            <w:tcW w:w="1345" w:type="dxa"/>
            <w:noWrap/>
            <w:vAlign w:val="center"/>
            <w:hideMark/>
          </w:tcPr>
          <w:p w14:paraId="246D15D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8.4ab</w:t>
            </w:r>
          </w:p>
        </w:tc>
        <w:tc>
          <w:tcPr>
            <w:tcW w:w="1530" w:type="dxa"/>
            <w:noWrap/>
            <w:vAlign w:val="center"/>
            <w:hideMark/>
          </w:tcPr>
          <w:p w14:paraId="07EB7DC0"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7.5abc</w:t>
            </w:r>
          </w:p>
        </w:tc>
      </w:tr>
      <w:tr w:rsidR="0004345F" w:rsidRPr="001129AE" w14:paraId="53F21980" w14:textId="77777777" w:rsidTr="003343FA">
        <w:trPr>
          <w:trHeight w:val="330"/>
          <w:jc w:val="center"/>
        </w:trPr>
        <w:tc>
          <w:tcPr>
            <w:tcW w:w="580" w:type="dxa"/>
            <w:noWrap/>
            <w:vAlign w:val="center"/>
            <w:hideMark/>
          </w:tcPr>
          <w:p w14:paraId="7645088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3</w:t>
            </w:r>
          </w:p>
        </w:tc>
        <w:tc>
          <w:tcPr>
            <w:tcW w:w="4000" w:type="dxa"/>
            <w:noWrap/>
            <w:vAlign w:val="center"/>
            <w:hideMark/>
          </w:tcPr>
          <w:p w14:paraId="51645A70"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Soil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solubilizing bacteria (7.5 l ha</w:t>
            </w:r>
            <w:r w:rsidRPr="001129AE">
              <w:rPr>
                <w:rFonts w:ascii="Cambria Math" w:eastAsia="Times New Roman" w:hAnsi="Cambria Math" w:cs="Cambria Math"/>
                <w:color w:val="000000"/>
                <w:kern w:val="0"/>
                <w:lang w:eastAsia="en-IN" w:bidi="hi-IN"/>
                <w14:ligatures w14:val="none"/>
              </w:rPr>
              <w:t>⁻</w:t>
            </w:r>
            <w:r w:rsidRPr="001129AE">
              <w:rPr>
                <w:rFonts w:ascii="Arial" w:eastAsia="Times New Roman" w:hAnsi="Arial" w:cs="Arial"/>
                <w:color w:val="000000"/>
                <w:kern w:val="0"/>
                <w:lang w:eastAsia="en-IN" w:bidi="hi-IN"/>
                <w14:ligatures w14:val="none"/>
              </w:rPr>
              <w:t>¹)</w:t>
            </w:r>
          </w:p>
        </w:tc>
        <w:tc>
          <w:tcPr>
            <w:tcW w:w="1450" w:type="dxa"/>
            <w:noWrap/>
            <w:vAlign w:val="center"/>
            <w:hideMark/>
          </w:tcPr>
          <w:p w14:paraId="11EE543B"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31.5bc</w:t>
            </w:r>
          </w:p>
        </w:tc>
        <w:tc>
          <w:tcPr>
            <w:tcW w:w="1345" w:type="dxa"/>
            <w:noWrap/>
            <w:vAlign w:val="center"/>
            <w:hideMark/>
          </w:tcPr>
          <w:p w14:paraId="7F22113B"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7.8bc</w:t>
            </w:r>
          </w:p>
        </w:tc>
        <w:tc>
          <w:tcPr>
            <w:tcW w:w="1530" w:type="dxa"/>
            <w:noWrap/>
            <w:vAlign w:val="center"/>
            <w:hideMark/>
          </w:tcPr>
          <w:p w14:paraId="58FBEE4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7.0cd</w:t>
            </w:r>
          </w:p>
        </w:tc>
      </w:tr>
      <w:tr w:rsidR="0004345F" w:rsidRPr="001129AE" w14:paraId="736050D8" w14:textId="77777777" w:rsidTr="003343FA">
        <w:trPr>
          <w:trHeight w:val="330"/>
          <w:jc w:val="center"/>
        </w:trPr>
        <w:tc>
          <w:tcPr>
            <w:tcW w:w="580" w:type="dxa"/>
            <w:noWrap/>
            <w:vAlign w:val="center"/>
            <w:hideMark/>
          </w:tcPr>
          <w:p w14:paraId="09C92450"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4</w:t>
            </w:r>
          </w:p>
        </w:tc>
        <w:tc>
          <w:tcPr>
            <w:tcW w:w="4000" w:type="dxa"/>
            <w:noWrap/>
            <w:vAlign w:val="center"/>
            <w:hideMark/>
          </w:tcPr>
          <w:p w14:paraId="0482B841"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spray of Nano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(0.5%) at 30 DAS  </w:t>
            </w:r>
          </w:p>
        </w:tc>
        <w:tc>
          <w:tcPr>
            <w:tcW w:w="1450" w:type="dxa"/>
            <w:noWrap/>
            <w:vAlign w:val="center"/>
            <w:hideMark/>
          </w:tcPr>
          <w:p w14:paraId="25E3490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35.7ab</w:t>
            </w:r>
          </w:p>
        </w:tc>
        <w:tc>
          <w:tcPr>
            <w:tcW w:w="1345" w:type="dxa"/>
            <w:noWrap/>
            <w:vAlign w:val="center"/>
            <w:hideMark/>
          </w:tcPr>
          <w:p w14:paraId="1B74E92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8.5ab</w:t>
            </w:r>
          </w:p>
        </w:tc>
        <w:tc>
          <w:tcPr>
            <w:tcW w:w="1530" w:type="dxa"/>
            <w:noWrap/>
            <w:vAlign w:val="center"/>
            <w:hideMark/>
          </w:tcPr>
          <w:p w14:paraId="6F21810A"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7.6abc</w:t>
            </w:r>
          </w:p>
        </w:tc>
      </w:tr>
      <w:tr w:rsidR="0004345F" w:rsidRPr="001129AE" w14:paraId="60E6FAB4" w14:textId="77777777" w:rsidTr="003343FA">
        <w:trPr>
          <w:trHeight w:val="330"/>
          <w:jc w:val="center"/>
        </w:trPr>
        <w:tc>
          <w:tcPr>
            <w:tcW w:w="580" w:type="dxa"/>
            <w:noWrap/>
            <w:vAlign w:val="center"/>
            <w:hideMark/>
          </w:tcPr>
          <w:p w14:paraId="510A642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5</w:t>
            </w:r>
          </w:p>
        </w:tc>
        <w:tc>
          <w:tcPr>
            <w:tcW w:w="4000" w:type="dxa"/>
            <w:noWrap/>
            <w:vAlign w:val="center"/>
            <w:hideMark/>
          </w:tcPr>
          <w:p w14:paraId="16B22057"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spray of Nano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(0.5%) at 30 DAS and flowering stage </w:t>
            </w:r>
          </w:p>
        </w:tc>
        <w:tc>
          <w:tcPr>
            <w:tcW w:w="1450" w:type="dxa"/>
            <w:noWrap/>
            <w:vAlign w:val="center"/>
            <w:hideMark/>
          </w:tcPr>
          <w:p w14:paraId="4A8F651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37.7a</w:t>
            </w:r>
          </w:p>
        </w:tc>
        <w:tc>
          <w:tcPr>
            <w:tcW w:w="1345" w:type="dxa"/>
            <w:noWrap/>
            <w:vAlign w:val="center"/>
            <w:hideMark/>
          </w:tcPr>
          <w:p w14:paraId="7A26527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8.9a</w:t>
            </w:r>
          </w:p>
        </w:tc>
        <w:tc>
          <w:tcPr>
            <w:tcW w:w="1530" w:type="dxa"/>
            <w:noWrap/>
            <w:vAlign w:val="center"/>
            <w:hideMark/>
          </w:tcPr>
          <w:p w14:paraId="2B3665AA"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8.1a</w:t>
            </w:r>
          </w:p>
        </w:tc>
      </w:tr>
      <w:tr w:rsidR="0004345F" w:rsidRPr="001129AE" w14:paraId="2EEB96BF" w14:textId="77777777" w:rsidTr="003343FA">
        <w:trPr>
          <w:trHeight w:val="330"/>
          <w:jc w:val="center"/>
        </w:trPr>
        <w:tc>
          <w:tcPr>
            <w:tcW w:w="580" w:type="dxa"/>
            <w:noWrap/>
            <w:vAlign w:val="center"/>
            <w:hideMark/>
          </w:tcPr>
          <w:p w14:paraId="182CC45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6</w:t>
            </w:r>
          </w:p>
        </w:tc>
        <w:tc>
          <w:tcPr>
            <w:tcW w:w="4000" w:type="dxa"/>
            <w:noWrap/>
            <w:vAlign w:val="center"/>
            <w:hideMark/>
          </w:tcPr>
          <w:p w14:paraId="08748470"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 Foliar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fertilizer (0.5%) at 30 DAS </w:t>
            </w:r>
          </w:p>
        </w:tc>
        <w:tc>
          <w:tcPr>
            <w:tcW w:w="1450" w:type="dxa"/>
            <w:noWrap/>
            <w:vAlign w:val="center"/>
            <w:hideMark/>
          </w:tcPr>
          <w:p w14:paraId="79097FD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32.2bc</w:t>
            </w:r>
          </w:p>
        </w:tc>
        <w:tc>
          <w:tcPr>
            <w:tcW w:w="1345" w:type="dxa"/>
            <w:noWrap/>
            <w:vAlign w:val="center"/>
            <w:hideMark/>
          </w:tcPr>
          <w:p w14:paraId="7C7991E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8.0bc</w:t>
            </w:r>
          </w:p>
        </w:tc>
        <w:tc>
          <w:tcPr>
            <w:tcW w:w="1530" w:type="dxa"/>
            <w:noWrap/>
            <w:vAlign w:val="center"/>
            <w:hideMark/>
          </w:tcPr>
          <w:p w14:paraId="5EDF1313"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7.2bcd</w:t>
            </w:r>
          </w:p>
        </w:tc>
      </w:tr>
      <w:tr w:rsidR="0004345F" w:rsidRPr="001129AE" w14:paraId="3A3A457E" w14:textId="77777777" w:rsidTr="003343FA">
        <w:trPr>
          <w:trHeight w:val="330"/>
          <w:jc w:val="center"/>
        </w:trPr>
        <w:tc>
          <w:tcPr>
            <w:tcW w:w="580" w:type="dxa"/>
            <w:tcBorders>
              <w:bottom w:val="single" w:sz="4" w:space="0" w:color="auto"/>
            </w:tcBorders>
            <w:noWrap/>
            <w:vAlign w:val="center"/>
            <w:hideMark/>
          </w:tcPr>
          <w:p w14:paraId="1F02E4DF"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7</w:t>
            </w:r>
          </w:p>
        </w:tc>
        <w:tc>
          <w:tcPr>
            <w:tcW w:w="4000" w:type="dxa"/>
            <w:tcBorders>
              <w:bottom w:val="single" w:sz="4" w:space="0" w:color="auto"/>
            </w:tcBorders>
            <w:noWrap/>
            <w:vAlign w:val="center"/>
            <w:hideMark/>
          </w:tcPr>
          <w:p w14:paraId="4D12FD6D"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fertilizer (0.5%) at 30 DAS and flowering stage</w:t>
            </w:r>
          </w:p>
        </w:tc>
        <w:tc>
          <w:tcPr>
            <w:tcW w:w="1450" w:type="dxa"/>
            <w:tcBorders>
              <w:bottom w:val="single" w:sz="4" w:space="0" w:color="auto"/>
            </w:tcBorders>
            <w:noWrap/>
            <w:vAlign w:val="center"/>
            <w:hideMark/>
          </w:tcPr>
          <w:p w14:paraId="6C912433"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34.3abc</w:t>
            </w:r>
          </w:p>
        </w:tc>
        <w:tc>
          <w:tcPr>
            <w:tcW w:w="1345" w:type="dxa"/>
            <w:tcBorders>
              <w:bottom w:val="single" w:sz="4" w:space="0" w:color="auto"/>
            </w:tcBorders>
            <w:noWrap/>
            <w:vAlign w:val="center"/>
            <w:hideMark/>
          </w:tcPr>
          <w:p w14:paraId="17269E0F"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8.7ab</w:t>
            </w:r>
          </w:p>
        </w:tc>
        <w:tc>
          <w:tcPr>
            <w:tcW w:w="1530" w:type="dxa"/>
            <w:tcBorders>
              <w:bottom w:val="single" w:sz="4" w:space="0" w:color="auto"/>
            </w:tcBorders>
            <w:noWrap/>
            <w:vAlign w:val="center"/>
            <w:hideMark/>
          </w:tcPr>
          <w:p w14:paraId="3F8A5DB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7.8ab</w:t>
            </w:r>
          </w:p>
        </w:tc>
      </w:tr>
      <w:tr w:rsidR="0004345F" w:rsidRPr="001129AE" w14:paraId="1CE75147" w14:textId="77777777" w:rsidTr="003343FA">
        <w:trPr>
          <w:trHeight w:val="310"/>
          <w:jc w:val="center"/>
        </w:trPr>
        <w:tc>
          <w:tcPr>
            <w:tcW w:w="4580" w:type="dxa"/>
            <w:gridSpan w:val="2"/>
            <w:tcBorders>
              <w:top w:val="single" w:sz="4" w:space="0" w:color="auto"/>
            </w:tcBorders>
            <w:noWrap/>
            <w:vAlign w:val="center"/>
            <w:hideMark/>
          </w:tcPr>
          <w:p w14:paraId="6888D0F5"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proofErr w:type="spellStart"/>
            <w:r w:rsidRPr="001129AE">
              <w:rPr>
                <w:rFonts w:ascii="Arial" w:eastAsia="Times New Roman" w:hAnsi="Arial" w:cs="Arial"/>
                <w:color w:val="000000"/>
                <w:kern w:val="0"/>
                <w:lang w:eastAsia="en-IN" w:bidi="hi-IN"/>
                <w14:ligatures w14:val="none"/>
              </w:rPr>
              <w:t>SEm</w:t>
            </w:r>
            <w:proofErr w:type="spellEnd"/>
            <w:r w:rsidRPr="001129AE">
              <w:rPr>
                <w:rFonts w:ascii="Arial" w:eastAsia="Times New Roman" w:hAnsi="Arial" w:cs="Arial"/>
                <w:color w:val="000000"/>
                <w:kern w:val="0"/>
                <w:lang w:eastAsia="en-IN" w:bidi="hi-IN"/>
                <w14:ligatures w14:val="none"/>
              </w:rPr>
              <w:t>±</w:t>
            </w:r>
          </w:p>
        </w:tc>
        <w:tc>
          <w:tcPr>
            <w:tcW w:w="1450" w:type="dxa"/>
            <w:tcBorders>
              <w:top w:val="single" w:sz="4" w:space="0" w:color="auto"/>
            </w:tcBorders>
            <w:noWrap/>
            <w:vAlign w:val="center"/>
            <w:hideMark/>
          </w:tcPr>
          <w:p w14:paraId="63C52D3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1.5</w:t>
            </w:r>
          </w:p>
        </w:tc>
        <w:tc>
          <w:tcPr>
            <w:tcW w:w="1345" w:type="dxa"/>
            <w:tcBorders>
              <w:top w:val="single" w:sz="4" w:space="0" w:color="auto"/>
            </w:tcBorders>
            <w:noWrap/>
            <w:vAlign w:val="center"/>
            <w:hideMark/>
          </w:tcPr>
          <w:p w14:paraId="1E641AC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0.3</w:t>
            </w:r>
          </w:p>
        </w:tc>
        <w:tc>
          <w:tcPr>
            <w:tcW w:w="1530" w:type="dxa"/>
            <w:tcBorders>
              <w:top w:val="single" w:sz="4" w:space="0" w:color="auto"/>
            </w:tcBorders>
            <w:noWrap/>
            <w:vAlign w:val="center"/>
            <w:hideMark/>
          </w:tcPr>
          <w:p w14:paraId="01650E6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0.2</w:t>
            </w:r>
          </w:p>
        </w:tc>
      </w:tr>
      <w:tr w:rsidR="0004345F" w:rsidRPr="001129AE" w14:paraId="275E7EDF" w14:textId="77777777" w:rsidTr="003343FA">
        <w:trPr>
          <w:trHeight w:val="310"/>
          <w:jc w:val="center"/>
        </w:trPr>
        <w:tc>
          <w:tcPr>
            <w:tcW w:w="4580" w:type="dxa"/>
            <w:gridSpan w:val="2"/>
            <w:tcBorders>
              <w:bottom w:val="single" w:sz="4" w:space="0" w:color="auto"/>
            </w:tcBorders>
            <w:noWrap/>
            <w:vAlign w:val="center"/>
            <w:hideMark/>
          </w:tcPr>
          <w:p w14:paraId="7125D6ED"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CD (P≤0.05)</w:t>
            </w:r>
          </w:p>
        </w:tc>
        <w:tc>
          <w:tcPr>
            <w:tcW w:w="1450" w:type="dxa"/>
            <w:tcBorders>
              <w:bottom w:val="single" w:sz="4" w:space="0" w:color="auto"/>
            </w:tcBorders>
            <w:noWrap/>
            <w:vAlign w:val="center"/>
            <w:hideMark/>
          </w:tcPr>
          <w:p w14:paraId="53B3280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4.5</w:t>
            </w:r>
          </w:p>
        </w:tc>
        <w:tc>
          <w:tcPr>
            <w:tcW w:w="1345" w:type="dxa"/>
            <w:tcBorders>
              <w:bottom w:val="single" w:sz="4" w:space="0" w:color="auto"/>
            </w:tcBorders>
            <w:noWrap/>
            <w:vAlign w:val="center"/>
            <w:hideMark/>
          </w:tcPr>
          <w:p w14:paraId="1B13D317"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0.9</w:t>
            </w:r>
          </w:p>
        </w:tc>
        <w:tc>
          <w:tcPr>
            <w:tcW w:w="1530" w:type="dxa"/>
            <w:tcBorders>
              <w:bottom w:val="single" w:sz="4" w:space="0" w:color="auto"/>
            </w:tcBorders>
            <w:noWrap/>
            <w:vAlign w:val="center"/>
            <w:hideMark/>
          </w:tcPr>
          <w:p w14:paraId="6295C975"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0.8</w:t>
            </w:r>
          </w:p>
        </w:tc>
      </w:tr>
    </w:tbl>
    <w:p w14:paraId="06458AA4" w14:textId="77777777" w:rsidR="0004345F" w:rsidRDefault="0004345F" w:rsidP="006828EF">
      <w:pPr>
        <w:spacing w:after="120" w:line="360" w:lineRule="auto"/>
        <w:jc w:val="both"/>
        <w:rPr>
          <w:rFonts w:ascii="Arial" w:eastAsia="Arial Unicode MS" w:hAnsi="Arial" w:cs="Arial"/>
          <w:color w:val="000000" w:themeColor="text1"/>
          <w:sz w:val="24"/>
          <w:szCs w:val="24"/>
        </w:rPr>
      </w:pPr>
    </w:p>
    <w:p w14:paraId="43CCF249" w14:textId="628770FB" w:rsidR="00D908D1" w:rsidRDefault="0004345F" w:rsidP="001C4DE4">
      <w:pPr>
        <w:spacing w:after="0" w:line="360" w:lineRule="auto"/>
        <w:jc w:val="both"/>
        <w:rPr>
          <w:rFonts w:ascii="Arial" w:eastAsia="Arial Unicode MS" w:hAnsi="Arial" w:cs="Arial"/>
          <w:color w:val="000000" w:themeColor="text1"/>
          <w:sz w:val="24"/>
          <w:szCs w:val="24"/>
        </w:rPr>
      </w:pPr>
      <w:r>
        <w:rPr>
          <w:noProof/>
          <w:lang w:val="en-US"/>
        </w:rPr>
        <w:lastRenderedPageBreak/>
        <w:drawing>
          <wp:inline distT="0" distB="0" distL="0" distR="0" wp14:anchorId="010631F7" wp14:editId="2B9DD21F">
            <wp:extent cx="5640705" cy="3409950"/>
            <wp:effectExtent l="0" t="0" r="17145" b="0"/>
            <wp:docPr id="105383526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A31316-F95D-79A1-1673-CB2D781689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B4562F1" w14:textId="4B6E5A3B" w:rsidR="00C00A37" w:rsidRPr="00386082" w:rsidRDefault="001129AE" w:rsidP="001C4DE4">
      <w:pPr>
        <w:spacing w:line="360" w:lineRule="auto"/>
        <w:jc w:val="both"/>
        <w:rPr>
          <w:rFonts w:ascii="Arial" w:hAnsi="Arial" w:cs="Arial"/>
          <w:b/>
          <w:bCs/>
          <w:sz w:val="20"/>
          <w:szCs w:val="20"/>
        </w:rPr>
      </w:pPr>
      <w:r>
        <w:rPr>
          <w:rFonts w:ascii="Arial" w:hAnsi="Arial" w:cs="Arial"/>
          <w:b/>
          <w:bCs/>
          <w:sz w:val="20"/>
          <w:szCs w:val="20"/>
        </w:rPr>
        <w:t xml:space="preserve">Figure </w:t>
      </w:r>
      <w:r w:rsidR="002B2B42">
        <w:rPr>
          <w:rFonts w:ascii="Arial" w:hAnsi="Arial" w:cs="Arial"/>
          <w:b/>
          <w:bCs/>
          <w:sz w:val="20"/>
          <w:szCs w:val="20"/>
        </w:rPr>
        <w:t>3</w:t>
      </w:r>
      <w:r w:rsidR="00906A40">
        <w:rPr>
          <w:rFonts w:ascii="Arial" w:hAnsi="Arial" w:cs="Arial"/>
          <w:b/>
          <w:bCs/>
          <w:sz w:val="20"/>
          <w:szCs w:val="20"/>
        </w:rPr>
        <w:t xml:space="preserve">. </w:t>
      </w:r>
      <w:r>
        <w:rPr>
          <w:rFonts w:ascii="Arial" w:hAnsi="Arial" w:cs="Arial"/>
          <w:b/>
          <w:bCs/>
          <w:sz w:val="20"/>
          <w:szCs w:val="20"/>
        </w:rPr>
        <w:t xml:space="preserve"> </w:t>
      </w:r>
      <w:r w:rsidR="0004345F" w:rsidRPr="00726616">
        <w:rPr>
          <w:rFonts w:ascii="Arial" w:hAnsi="Arial" w:cs="Arial"/>
          <w:b/>
          <w:bCs/>
          <w:sz w:val="20"/>
          <w:szCs w:val="20"/>
        </w:rPr>
        <w:t>Influenced by different sources of Sulphur on</w:t>
      </w:r>
      <w:r w:rsidR="0004345F">
        <w:rPr>
          <w:rFonts w:ascii="Arial" w:hAnsi="Arial" w:cs="Arial"/>
          <w:b/>
          <w:bCs/>
          <w:sz w:val="20"/>
          <w:szCs w:val="20"/>
        </w:rPr>
        <w:t xml:space="preserve"> yield attribu</w:t>
      </w:r>
      <w:r w:rsidR="00386082">
        <w:rPr>
          <w:rFonts w:ascii="Arial" w:hAnsi="Arial" w:cs="Arial"/>
          <w:b/>
          <w:bCs/>
          <w:sz w:val="20"/>
          <w:szCs w:val="20"/>
        </w:rPr>
        <w:t>tes</w:t>
      </w:r>
    </w:p>
    <w:p w14:paraId="08B3AA69" w14:textId="2EB2DC39" w:rsidR="004E4435" w:rsidRDefault="004E4435" w:rsidP="001C4DE4">
      <w:pPr>
        <w:spacing w:line="360" w:lineRule="auto"/>
        <w:jc w:val="center"/>
        <w:rPr>
          <w:rFonts w:ascii="Arial" w:hAnsi="Arial" w:cs="Arial"/>
          <w:b/>
          <w:bCs/>
          <w:sz w:val="24"/>
          <w:szCs w:val="24"/>
        </w:rPr>
      </w:pPr>
      <w:commentRangeStart w:id="8"/>
      <w:r>
        <w:rPr>
          <w:rFonts w:ascii="Arial" w:hAnsi="Arial" w:cs="Arial"/>
          <w:b/>
          <w:bCs/>
          <w:sz w:val="24"/>
          <w:szCs w:val="24"/>
        </w:rPr>
        <w:t>Conclusion</w:t>
      </w:r>
      <w:commentRangeEnd w:id="8"/>
      <w:r w:rsidR="00077208">
        <w:rPr>
          <w:rStyle w:val="CommentReference"/>
        </w:rPr>
        <w:commentReference w:id="8"/>
      </w:r>
    </w:p>
    <w:p w14:paraId="04CBCDB6" w14:textId="042A198A" w:rsidR="006334EF" w:rsidRDefault="006334EF" w:rsidP="000D4F37">
      <w:pPr>
        <w:spacing w:after="120" w:line="360" w:lineRule="auto"/>
        <w:jc w:val="both"/>
        <w:rPr>
          <w:rFonts w:ascii="Arial" w:hAnsi="Arial" w:cs="Arial"/>
          <w:sz w:val="24"/>
          <w:szCs w:val="24"/>
        </w:rPr>
      </w:pPr>
      <w:r w:rsidRPr="006334EF">
        <w:rPr>
          <w:rFonts w:ascii="Arial" w:hAnsi="Arial" w:cs="Arial"/>
          <w:sz w:val="24"/>
          <w:szCs w:val="24"/>
        </w:rPr>
        <w:t>The study established that foliar spray of nano</w:t>
      </w:r>
      <w:r w:rsidR="002B2B42">
        <w:rPr>
          <w:rFonts w:ascii="Arial" w:hAnsi="Arial" w:cs="Arial"/>
          <w:sz w:val="24"/>
          <w:szCs w:val="24"/>
        </w:rPr>
        <w:t xml:space="preserve"> </w:t>
      </w:r>
      <w:r w:rsidRPr="006334EF">
        <w:rPr>
          <w:rFonts w:ascii="Arial" w:hAnsi="Arial" w:cs="Arial"/>
          <w:sz w:val="24"/>
          <w:szCs w:val="24"/>
        </w:rPr>
        <w:t>sulphur (0.5%) at 30 DAS and flowering stage (T</w:t>
      </w:r>
      <w:r w:rsidRPr="006334EF">
        <w:rPr>
          <w:rFonts w:ascii="Arial" w:hAnsi="Arial" w:cs="Arial"/>
          <w:sz w:val="24"/>
          <w:szCs w:val="24"/>
          <w:vertAlign w:val="subscript"/>
        </w:rPr>
        <w:t>5</w:t>
      </w:r>
      <w:r w:rsidRPr="006334EF">
        <w:rPr>
          <w:rFonts w:ascii="Arial" w:hAnsi="Arial" w:cs="Arial"/>
          <w:sz w:val="24"/>
          <w:szCs w:val="24"/>
        </w:rPr>
        <w:t xml:space="preserve">) was the most effective sulphur management practice for linseed under alluvial soil conditions of </w:t>
      </w:r>
      <w:proofErr w:type="spellStart"/>
      <w:r w:rsidRPr="006334EF">
        <w:rPr>
          <w:rFonts w:ascii="Arial" w:hAnsi="Arial" w:cs="Arial"/>
          <w:sz w:val="24"/>
          <w:szCs w:val="24"/>
        </w:rPr>
        <w:t>Dhampur</w:t>
      </w:r>
      <w:proofErr w:type="spellEnd"/>
      <w:r w:rsidRPr="006334EF">
        <w:rPr>
          <w:rFonts w:ascii="Arial" w:hAnsi="Arial" w:cs="Arial"/>
          <w:sz w:val="24"/>
          <w:szCs w:val="24"/>
        </w:rPr>
        <w:t xml:space="preserve">. At 60 and 90 DAS, this treatment consistently recorded superior growth in plant height, number of leaves, leaf area, and </w:t>
      </w:r>
      <w:r>
        <w:rPr>
          <w:rFonts w:ascii="Arial" w:hAnsi="Arial" w:cs="Arial"/>
          <w:sz w:val="24"/>
          <w:szCs w:val="24"/>
        </w:rPr>
        <w:t xml:space="preserve">number of branches </w:t>
      </w:r>
      <w:r w:rsidRPr="006334EF">
        <w:rPr>
          <w:rFonts w:ascii="Arial" w:hAnsi="Arial" w:cs="Arial"/>
          <w:sz w:val="24"/>
          <w:szCs w:val="24"/>
        </w:rPr>
        <w:t xml:space="preserve">which translated into the highest number of capsules per plant, seeds per capsule, test weight. </w:t>
      </w:r>
      <w:r>
        <w:rPr>
          <w:rFonts w:ascii="Arial" w:hAnsi="Arial" w:cs="Arial"/>
          <w:sz w:val="24"/>
          <w:szCs w:val="24"/>
        </w:rPr>
        <w:t>F</w:t>
      </w:r>
      <w:r w:rsidRPr="006334EF">
        <w:rPr>
          <w:rFonts w:ascii="Arial" w:hAnsi="Arial" w:cs="Arial"/>
          <w:sz w:val="24"/>
          <w:szCs w:val="24"/>
        </w:rPr>
        <w:t>oliar spray of nano</w:t>
      </w:r>
      <w:r w:rsidR="002B2B42">
        <w:rPr>
          <w:rFonts w:ascii="Arial" w:hAnsi="Arial" w:cs="Arial"/>
          <w:sz w:val="24"/>
          <w:szCs w:val="24"/>
        </w:rPr>
        <w:t xml:space="preserve"> </w:t>
      </w:r>
      <w:r w:rsidRPr="006334EF">
        <w:rPr>
          <w:rFonts w:ascii="Arial" w:hAnsi="Arial" w:cs="Arial"/>
          <w:sz w:val="24"/>
          <w:szCs w:val="24"/>
        </w:rPr>
        <w:t>sulphur (0.5%)  at 30 DAS</w:t>
      </w:r>
      <w:r w:rsidR="002B2B42">
        <w:rPr>
          <w:rFonts w:ascii="Arial" w:hAnsi="Arial" w:cs="Arial"/>
          <w:sz w:val="24"/>
          <w:szCs w:val="24"/>
        </w:rPr>
        <w:t xml:space="preserve"> and flowering stage</w:t>
      </w:r>
      <w:r w:rsidRPr="006334EF">
        <w:rPr>
          <w:rFonts w:ascii="Arial" w:hAnsi="Arial" w:cs="Arial"/>
          <w:sz w:val="24"/>
          <w:szCs w:val="24"/>
        </w:rPr>
        <w:t xml:space="preserve"> </w:t>
      </w:r>
      <w:r>
        <w:rPr>
          <w:rFonts w:ascii="Arial" w:hAnsi="Arial" w:cs="Arial"/>
          <w:sz w:val="24"/>
          <w:szCs w:val="24"/>
        </w:rPr>
        <w:t>(</w:t>
      </w:r>
      <w:r w:rsidRPr="006334EF">
        <w:rPr>
          <w:rFonts w:ascii="Arial" w:hAnsi="Arial" w:cs="Arial"/>
          <w:sz w:val="24"/>
          <w:szCs w:val="24"/>
        </w:rPr>
        <w:t>T</w:t>
      </w:r>
      <w:r w:rsidRPr="006334EF">
        <w:rPr>
          <w:rFonts w:ascii="Arial" w:hAnsi="Arial" w:cs="Arial"/>
          <w:sz w:val="24"/>
          <w:szCs w:val="24"/>
          <w:vertAlign w:val="subscript"/>
        </w:rPr>
        <w:t>5</w:t>
      </w:r>
      <w:r>
        <w:rPr>
          <w:rFonts w:ascii="Arial" w:hAnsi="Arial" w:cs="Arial"/>
          <w:sz w:val="24"/>
          <w:szCs w:val="24"/>
        </w:rPr>
        <w:t xml:space="preserve">) </w:t>
      </w:r>
      <w:r w:rsidRPr="006334EF">
        <w:rPr>
          <w:rFonts w:ascii="Arial" w:hAnsi="Arial" w:cs="Arial"/>
          <w:sz w:val="24"/>
          <w:szCs w:val="24"/>
        </w:rPr>
        <w:t xml:space="preserve"> also recorded the maximum its efficiency in enhancing both source and sink capacity</w:t>
      </w:r>
      <w:r>
        <w:rPr>
          <w:rFonts w:ascii="Arial" w:hAnsi="Arial" w:cs="Arial"/>
          <w:sz w:val="24"/>
          <w:szCs w:val="24"/>
        </w:rPr>
        <w:t xml:space="preserve"> </w:t>
      </w:r>
      <w:r w:rsidRPr="006334EF">
        <w:rPr>
          <w:rFonts w:ascii="Arial" w:hAnsi="Arial" w:cs="Arial"/>
          <w:sz w:val="24"/>
          <w:szCs w:val="24"/>
        </w:rPr>
        <w:t>making it the most productive and profitable</w:t>
      </w:r>
      <w:r>
        <w:rPr>
          <w:rFonts w:ascii="Arial" w:hAnsi="Arial" w:cs="Arial"/>
          <w:sz w:val="24"/>
          <w:szCs w:val="24"/>
        </w:rPr>
        <w:t>.</w:t>
      </w:r>
    </w:p>
    <w:p w14:paraId="4151970C" w14:textId="77777777" w:rsidR="00545B63" w:rsidRDefault="00545B63" w:rsidP="000D4F37">
      <w:pPr>
        <w:spacing w:after="120" w:line="360" w:lineRule="auto"/>
        <w:jc w:val="both"/>
        <w:rPr>
          <w:rFonts w:ascii="Arial" w:hAnsi="Arial" w:cs="Arial"/>
          <w:sz w:val="24"/>
          <w:szCs w:val="24"/>
        </w:rPr>
      </w:pPr>
    </w:p>
    <w:p w14:paraId="47C99367" w14:textId="77777777" w:rsidR="00545B63" w:rsidRDefault="00545B63" w:rsidP="000D4F37">
      <w:pPr>
        <w:spacing w:after="120" w:line="360" w:lineRule="auto"/>
        <w:jc w:val="both"/>
        <w:rPr>
          <w:rFonts w:ascii="Arial" w:hAnsi="Arial" w:cs="Arial"/>
          <w:sz w:val="24"/>
          <w:szCs w:val="24"/>
        </w:rPr>
      </w:pPr>
    </w:p>
    <w:p w14:paraId="6DF76180" w14:textId="77777777" w:rsidR="00545B63" w:rsidRPr="00545B63" w:rsidRDefault="00545B63" w:rsidP="00545B63">
      <w:pPr>
        <w:spacing w:after="120" w:line="360" w:lineRule="auto"/>
        <w:jc w:val="both"/>
        <w:rPr>
          <w:rFonts w:ascii="Arial" w:hAnsi="Arial" w:cs="Arial"/>
          <w:sz w:val="24"/>
          <w:szCs w:val="24"/>
        </w:rPr>
      </w:pPr>
      <w:r w:rsidRPr="00545B63">
        <w:rPr>
          <w:rFonts w:ascii="Arial" w:hAnsi="Arial" w:cs="Arial"/>
          <w:sz w:val="24"/>
          <w:szCs w:val="24"/>
        </w:rPr>
        <w:t>COMPETING INTERESTS DISCLAIMER:</w:t>
      </w:r>
    </w:p>
    <w:p w14:paraId="017D76FB" w14:textId="466450F4" w:rsidR="00545B63" w:rsidRPr="006334EF" w:rsidRDefault="00545B63" w:rsidP="00545B63">
      <w:pPr>
        <w:spacing w:after="120" w:line="360" w:lineRule="auto"/>
        <w:jc w:val="both"/>
        <w:rPr>
          <w:rFonts w:ascii="Arial" w:hAnsi="Arial" w:cs="Arial"/>
          <w:sz w:val="24"/>
          <w:szCs w:val="24"/>
        </w:rPr>
      </w:pPr>
      <w:r w:rsidRPr="00545B63">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1D300199" w14:textId="2D397893" w:rsidR="00742EA4" w:rsidRPr="00E565FF" w:rsidRDefault="00545B63" w:rsidP="004E4435">
      <w:pPr>
        <w:spacing w:after="120" w:line="360" w:lineRule="auto"/>
        <w:jc w:val="center"/>
        <w:rPr>
          <w:rFonts w:ascii="Arial" w:hAnsi="Arial" w:cs="Arial"/>
          <w:b/>
          <w:bCs/>
          <w:sz w:val="24"/>
          <w:szCs w:val="24"/>
        </w:rPr>
      </w:pPr>
      <w:commentRangeStart w:id="9"/>
      <w:r>
        <w:rPr>
          <w:rFonts w:ascii="Arial" w:hAnsi="Arial" w:cs="Arial"/>
          <w:b/>
          <w:bCs/>
          <w:sz w:val="24"/>
          <w:szCs w:val="24"/>
        </w:rPr>
        <w:t>REFERENCE</w:t>
      </w:r>
      <w:commentRangeEnd w:id="9"/>
      <w:r w:rsidR="0007717A">
        <w:rPr>
          <w:rStyle w:val="CommentReference"/>
        </w:rPr>
        <w:commentReference w:id="9"/>
      </w:r>
    </w:p>
    <w:p w14:paraId="2DD07D06" w14:textId="4B831A8B" w:rsidR="00151613" w:rsidRPr="00151613" w:rsidRDefault="00C670F1"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E565FF">
        <w:rPr>
          <w:rFonts w:ascii="Arial" w:eastAsia="Arial Unicode MS" w:hAnsi="Arial" w:cs="Arial"/>
          <w:color w:val="000000" w:themeColor="text1"/>
          <w:sz w:val="24"/>
          <w:szCs w:val="24"/>
        </w:rPr>
        <w:lastRenderedPageBreak/>
        <w:fldChar w:fldCharType="begin" w:fldLock="1"/>
      </w:r>
      <w:r w:rsidRPr="00E565FF">
        <w:rPr>
          <w:rFonts w:ascii="Arial" w:eastAsia="Arial Unicode MS" w:hAnsi="Arial" w:cs="Arial"/>
          <w:color w:val="000000" w:themeColor="text1"/>
          <w:sz w:val="24"/>
          <w:szCs w:val="24"/>
        </w:rPr>
        <w:instrText xml:space="preserve">ADDIN Mendeley Bibliography CSL_BIBLIOGRAPHY </w:instrText>
      </w:r>
      <w:r w:rsidRPr="00E565FF">
        <w:rPr>
          <w:rFonts w:ascii="Arial" w:eastAsia="Arial Unicode MS" w:hAnsi="Arial" w:cs="Arial"/>
          <w:color w:val="000000" w:themeColor="text1"/>
          <w:sz w:val="24"/>
          <w:szCs w:val="24"/>
        </w:rPr>
        <w:fldChar w:fldCharType="separate"/>
      </w:r>
      <w:r w:rsidR="00151613" w:rsidRPr="00151613">
        <w:rPr>
          <w:rFonts w:ascii="Arial" w:hAnsi="Arial" w:cs="Arial"/>
          <w:noProof/>
          <w:kern w:val="0"/>
          <w:sz w:val="24"/>
          <w:szCs w:val="24"/>
        </w:rPr>
        <w:t xml:space="preserve">Aakash, Singh, M. K., Saikia, N., Bhayal, L., &amp; Bhayal, D. (2023). Effect of integrated nutrient management on growth, yield attributes and yield of green pea in humid subtropical climate of Indo-gangetic Plains. </w:t>
      </w:r>
      <w:r w:rsidR="00151613" w:rsidRPr="00151613">
        <w:rPr>
          <w:rFonts w:ascii="Arial" w:hAnsi="Arial" w:cs="Arial"/>
          <w:i/>
          <w:iCs/>
          <w:noProof/>
          <w:kern w:val="0"/>
          <w:sz w:val="24"/>
          <w:szCs w:val="24"/>
        </w:rPr>
        <w:t>Indian Society of Agricultural Science</w:t>
      </w:r>
      <w:r w:rsidR="00151613" w:rsidRPr="00151613">
        <w:rPr>
          <w:rFonts w:ascii="Arial" w:hAnsi="Arial" w:cs="Arial"/>
          <w:noProof/>
          <w:kern w:val="0"/>
          <w:sz w:val="24"/>
          <w:szCs w:val="24"/>
        </w:rPr>
        <w:t xml:space="preserve">, </w:t>
      </w:r>
      <w:r w:rsidR="00151613" w:rsidRPr="00151613">
        <w:rPr>
          <w:rFonts w:ascii="Arial" w:hAnsi="Arial" w:cs="Arial"/>
          <w:i/>
          <w:iCs/>
          <w:noProof/>
          <w:kern w:val="0"/>
          <w:sz w:val="24"/>
          <w:szCs w:val="24"/>
        </w:rPr>
        <w:t>44</w:t>
      </w:r>
      <w:r w:rsidR="00151613" w:rsidRPr="00151613">
        <w:rPr>
          <w:rFonts w:ascii="Arial" w:hAnsi="Arial" w:cs="Arial"/>
          <w:noProof/>
          <w:kern w:val="0"/>
          <w:sz w:val="24"/>
          <w:szCs w:val="24"/>
        </w:rPr>
        <w:t>(2), 190–196.</w:t>
      </w:r>
    </w:p>
    <w:p w14:paraId="325907D4"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AICRP-Linseed. (2024). </w:t>
      </w:r>
      <w:r w:rsidRPr="00151613">
        <w:rPr>
          <w:rFonts w:ascii="Arial" w:hAnsi="Arial" w:cs="Arial"/>
          <w:i/>
          <w:iCs/>
          <w:noProof/>
          <w:kern w:val="0"/>
          <w:sz w:val="24"/>
          <w:szCs w:val="24"/>
        </w:rPr>
        <w:t>Project coordinator’s message. All India Coordinated Research Project on Linseed.</w:t>
      </w:r>
      <w:r w:rsidRPr="00151613">
        <w:rPr>
          <w:rFonts w:ascii="Arial" w:hAnsi="Arial" w:cs="Arial"/>
          <w:noProof/>
          <w:kern w:val="0"/>
          <w:sz w:val="24"/>
          <w:szCs w:val="24"/>
        </w:rPr>
        <w:t xml:space="preserve"> https://aicrp.icar.gov.in/linseed</w:t>
      </w:r>
    </w:p>
    <w:p w14:paraId="1C8E0FC8"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Bhakher, R., Debbarma, V., &amp; Ninama, J. (2023). Response of sulphur and foliar application of nano urea on growth and yield of sunflower (Helianthus annus L.). </w:t>
      </w:r>
      <w:r w:rsidRPr="00151613">
        <w:rPr>
          <w:rFonts w:ascii="Arial" w:hAnsi="Arial" w:cs="Arial"/>
          <w:i/>
          <w:iCs/>
          <w:noProof/>
          <w:kern w:val="0"/>
          <w:sz w:val="24"/>
          <w:szCs w:val="24"/>
        </w:rPr>
        <w:t>International Journal of Plant &amp; Soil Science</w:t>
      </w:r>
      <w:r w:rsidRPr="00151613">
        <w:rPr>
          <w:rFonts w:ascii="Arial" w:hAnsi="Arial" w:cs="Arial"/>
          <w:noProof/>
          <w:kern w:val="0"/>
          <w:sz w:val="24"/>
          <w:szCs w:val="24"/>
        </w:rPr>
        <w:t xml:space="preserve">, </w:t>
      </w:r>
      <w:r w:rsidRPr="00151613">
        <w:rPr>
          <w:rFonts w:ascii="Arial" w:hAnsi="Arial" w:cs="Arial"/>
          <w:i/>
          <w:iCs/>
          <w:noProof/>
          <w:kern w:val="0"/>
          <w:sz w:val="24"/>
          <w:szCs w:val="24"/>
        </w:rPr>
        <w:t>35</w:t>
      </w:r>
      <w:r w:rsidRPr="00151613">
        <w:rPr>
          <w:rFonts w:ascii="Arial" w:hAnsi="Arial" w:cs="Arial"/>
          <w:noProof/>
          <w:kern w:val="0"/>
          <w:sz w:val="24"/>
          <w:szCs w:val="24"/>
        </w:rPr>
        <w:t>(9), 153–159. https://doi.org/10.9734/ijpss/2023/v35i92916</w:t>
      </w:r>
    </w:p>
    <w:p w14:paraId="1100353D"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Bhayal, L., Aakash, Jain, M. P., Bhayal, D., &amp; Meena, K. (2022). Impact of Foliar Spray of NPK and Zn on Soybean for Growth, Yield, Quality, Energetics and Carbon Footprint under Dryland Condition at Indore. </w:t>
      </w:r>
      <w:r w:rsidRPr="00151613">
        <w:rPr>
          <w:rFonts w:ascii="Arial" w:hAnsi="Arial" w:cs="Arial"/>
          <w:i/>
          <w:iCs/>
          <w:noProof/>
          <w:kern w:val="0"/>
          <w:sz w:val="24"/>
          <w:szCs w:val="24"/>
        </w:rPr>
        <w:t>LEGUME RESEARCH - AN INTERNATIONAL JOURNAL</w:t>
      </w:r>
      <w:r w:rsidRPr="00151613">
        <w:rPr>
          <w:rFonts w:ascii="Arial" w:hAnsi="Arial" w:cs="Arial"/>
          <w:noProof/>
          <w:kern w:val="0"/>
          <w:sz w:val="24"/>
          <w:szCs w:val="24"/>
        </w:rPr>
        <w:t xml:space="preserve">, </w:t>
      </w:r>
      <w:r w:rsidRPr="00151613">
        <w:rPr>
          <w:rFonts w:ascii="Arial" w:hAnsi="Arial" w:cs="Arial"/>
          <w:i/>
          <w:iCs/>
          <w:noProof/>
          <w:kern w:val="0"/>
          <w:sz w:val="24"/>
          <w:szCs w:val="24"/>
        </w:rPr>
        <w:t>45</w:t>
      </w:r>
      <w:r w:rsidRPr="00151613">
        <w:rPr>
          <w:rFonts w:ascii="Arial" w:hAnsi="Arial" w:cs="Arial"/>
          <w:noProof/>
          <w:kern w:val="0"/>
          <w:sz w:val="24"/>
          <w:szCs w:val="24"/>
        </w:rPr>
        <w:t>(2), 174–181. https://doi.org/10.18805/LR-4748</w:t>
      </w:r>
    </w:p>
    <w:p w14:paraId="500726DF"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Burkitbayev, M., Bachilova, N., Kurmanbayeva, M., Tolenova, K., Yerezhepova, N., Zhumagul, M., Mamurova, A., Turysbek, B., &amp; Demeu, G. (2021). Effect of sulphur-containing agrochemicals on growth, yield, and protein content of soybeans (Glycine max (L.) Merr). </w:t>
      </w:r>
      <w:r w:rsidRPr="00151613">
        <w:rPr>
          <w:rFonts w:ascii="Arial" w:hAnsi="Arial" w:cs="Arial"/>
          <w:i/>
          <w:iCs/>
          <w:noProof/>
          <w:kern w:val="0"/>
          <w:sz w:val="24"/>
          <w:szCs w:val="24"/>
        </w:rPr>
        <w:t>Saudi Journal of Biological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28</w:t>
      </w:r>
      <w:r w:rsidRPr="00151613">
        <w:rPr>
          <w:rFonts w:ascii="Arial" w:hAnsi="Arial" w:cs="Arial"/>
          <w:noProof/>
          <w:kern w:val="0"/>
          <w:sz w:val="24"/>
          <w:szCs w:val="24"/>
        </w:rPr>
        <w:t>(1), 891–900. https://doi.org/10.1016/j.sjbs.2020.11.033</w:t>
      </w:r>
    </w:p>
    <w:p w14:paraId="3D6B1E51"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Chahal, H. S., Singh, A., &amp; Gurdeep, S. M. (2020). Role of sulphur nutrition in oilseed crop production. </w:t>
      </w:r>
      <w:r w:rsidRPr="00151613">
        <w:rPr>
          <w:rFonts w:ascii="Arial" w:hAnsi="Arial" w:cs="Arial"/>
          <w:i/>
          <w:iCs/>
          <w:noProof/>
          <w:kern w:val="0"/>
          <w:sz w:val="24"/>
          <w:szCs w:val="24"/>
        </w:rPr>
        <w:t>Journal of Oilseed Brassica,</w:t>
      </w:r>
      <w:r w:rsidRPr="00151613">
        <w:rPr>
          <w:rFonts w:ascii="Arial" w:hAnsi="Arial" w:cs="Arial"/>
          <w:noProof/>
          <w:kern w:val="0"/>
          <w:sz w:val="24"/>
          <w:szCs w:val="24"/>
        </w:rPr>
        <w:t xml:space="preserve"> </w:t>
      </w:r>
      <w:r w:rsidRPr="00151613">
        <w:rPr>
          <w:rFonts w:ascii="Arial" w:hAnsi="Arial" w:cs="Arial"/>
          <w:i/>
          <w:iCs/>
          <w:noProof/>
          <w:kern w:val="0"/>
          <w:sz w:val="24"/>
          <w:szCs w:val="24"/>
        </w:rPr>
        <w:t>11</w:t>
      </w:r>
      <w:r w:rsidRPr="00151613">
        <w:rPr>
          <w:rFonts w:ascii="Arial" w:hAnsi="Arial" w:cs="Arial"/>
          <w:noProof/>
          <w:kern w:val="0"/>
          <w:sz w:val="24"/>
          <w:szCs w:val="24"/>
        </w:rPr>
        <w:t>(2), 95–102.</w:t>
      </w:r>
    </w:p>
    <w:p w14:paraId="5176D314"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FAO-STAT. (2007). </w:t>
      </w:r>
      <w:r w:rsidRPr="00151613">
        <w:rPr>
          <w:rFonts w:ascii="Arial" w:hAnsi="Arial" w:cs="Arial"/>
          <w:i/>
          <w:iCs/>
          <w:noProof/>
          <w:kern w:val="0"/>
          <w:sz w:val="24"/>
          <w:szCs w:val="24"/>
        </w:rPr>
        <w:t>Food and Agriculture Organisation Statistical Databases</w:t>
      </w:r>
      <w:r w:rsidRPr="00151613">
        <w:rPr>
          <w:rFonts w:ascii="Arial" w:hAnsi="Arial" w:cs="Arial"/>
          <w:noProof/>
          <w:kern w:val="0"/>
          <w:sz w:val="24"/>
          <w:szCs w:val="24"/>
        </w:rPr>
        <w:t>.</w:t>
      </w:r>
    </w:p>
    <w:p w14:paraId="568C954F"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Gouri, P., Kumar, P., Mehera, B., &amp; Kumar, A. (2024). Effect of sulphur and nano urea on growth and yield of Indian mustard. </w:t>
      </w:r>
      <w:r w:rsidRPr="00151613">
        <w:rPr>
          <w:rFonts w:ascii="Arial" w:hAnsi="Arial" w:cs="Arial"/>
          <w:i/>
          <w:iCs/>
          <w:noProof/>
          <w:kern w:val="0"/>
          <w:sz w:val="24"/>
          <w:szCs w:val="24"/>
        </w:rPr>
        <w:t>International Journal of Research in Agronomy</w:t>
      </w:r>
      <w:r w:rsidRPr="00151613">
        <w:rPr>
          <w:rFonts w:ascii="Arial" w:hAnsi="Arial" w:cs="Arial"/>
          <w:noProof/>
          <w:kern w:val="0"/>
          <w:sz w:val="24"/>
          <w:szCs w:val="24"/>
        </w:rPr>
        <w:t xml:space="preserve">, </w:t>
      </w:r>
      <w:r w:rsidRPr="00151613">
        <w:rPr>
          <w:rFonts w:ascii="Arial" w:hAnsi="Arial" w:cs="Arial"/>
          <w:i/>
          <w:iCs/>
          <w:noProof/>
          <w:kern w:val="0"/>
          <w:sz w:val="24"/>
          <w:szCs w:val="24"/>
        </w:rPr>
        <w:t>7</w:t>
      </w:r>
      <w:r w:rsidRPr="00151613">
        <w:rPr>
          <w:rFonts w:ascii="Arial" w:hAnsi="Arial" w:cs="Arial"/>
          <w:noProof/>
          <w:kern w:val="0"/>
          <w:sz w:val="24"/>
          <w:szCs w:val="24"/>
        </w:rPr>
        <w:t>(8), 489–492. https://doi.org/10.33545/2618060X.2024.v7.i8g.1300</w:t>
      </w:r>
    </w:p>
    <w:p w14:paraId="6A48D8E1"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Goyal, A., Sharma, V., Upadhyay, N., Gill, S., &amp; Sihag, M. (2014). Flax and flaxseed oil: an ancient medicine &amp; modern functional food. </w:t>
      </w:r>
      <w:r w:rsidRPr="00151613">
        <w:rPr>
          <w:rFonts w:ascii="Arial" w:hAnsi="Arial" w:cs="Arial"/>
          <w:i/>
          <w:iCs/>
          <w:noProof/>
          <w:kern w:val="0"/>
          <w:sz w:val="24"/>
          <w:szCs w:val="24"/>
        </w:rPr>
        <w:t>Journal of Food Science and Technology</w:t>
      </w:r>
      <w:r w:rsidRPr="00151613">
        <w:rPr>
          <w:rFonts w:ascii="Arial" w:hAnsi="Arial" w:cs="Arial"/>
          <w:noProof/>
          <w:kern w:val="0"/>
          <w:sz w:val="24"/>
          <w:szCs w:val="24"/>
        </w:rPr>
        <w:t xml:space="preserve">, </w:t>
      </w:r>
      <w:r w:rsidRPr="00151613">
        <w:rPr>
          <w:rFonts w:ascii="Arial" w:hAnsi="Arial" w:cs="Arial"/>
          <w:i/>
          <w:iCs/>
          <w:noProof/>
          <w:kern w:val="0"/>
          <w:sz w:val="24"/>
          <w:szCs w:val="24"/>
        </w:rPr>
        <w:t>51</w:t>
      </w:r>
      <w:r w:rsidRPr="00151613">
        <w:rPr>
          <w:rFonts w:ascii="Arial" w:hAnsi="Arial" w:cs="Arial"/>
          <w:noProof/>
          <w:kern w:val="0"/>
          <w:sz w:val="24"/>
          <w:szCs w:val="24"/>
        </w:rPr>
        <w:t>(9), 1633–1653. https://doi.org/10.1007/s13197-013-1247-9</w:t>
      </w:r>
    </w:p>
    <w:p w14:paraId="07B52022"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Khan, I., Saeed, K., &amp; Khan, I. (2019). Nanoparticles: Properties, applications and </w:t>
      </w:r>
      <w:r w:rsidRPr="00151613">
        <w:rPr>
          <w:rFonts w:ascii="Arial" w:hAnsi="Arial" w:cs="Arial"/>
          <w:noProof/>
          <w:kern w:val="0"/>
          <w:sz w:val="24"/>
          <w:szCs w:val="24"/>
        </w:rPr>
        <w:lastRenderedPageBreak/>
        <w:t xml:space="preserve">toxicities. </w:t>
      </w:r>
      <w:r w:rsidRPr="00151613">
        <w:rPr>
          <w:rFonts w:ascii="Arial" w:hAnsi="Arial" w:cs="Arial"/>
          <w:i/>
          <w:iCs/>
          <w:noProof/>
          <w:kern w:val="0"/>
          <w:sz w:val="24"/>
          <w:szCs w:val="24"/>
        </w:rPr>
        <w:t>Arabian Journal of Chemistry</w:t>
      </w:r>
      <w:r w:rsidRPr="00151613">
        <w:rPr>
          <w:rFonts w:ascii="Arial" w:hAnsi="Arial" w:cs="Arial"/>
          <w:noProof/>
          <w:kern w:val="0"/>
          <w:sz w:val="24"/>
          <w:szCs w:val="24"/>
        </w:rPr>
        <w:t xml:space="preserve">, </w:t>
      </w:r>
      <w:r w:rsidRPr="00151613">
        <w:rPr>
          <w:rFonts w:ascii="Arial" w:hAnsi="Arial" w:cs="Arial"/>
          <w:i/>
          <w:iCs/>
          <w:noProof/>
          <w:kern w:val="0"/>
          <w:sz w:val="24"/>
          <w:szCs w:val="24"/>
        </w:rPr>
        <w:t>12</w:t>
      </w:r>
      <w:r w:rsidRPr="00151613">
        <w:rPr>
          <w:rFonts w:ascii="Arial" w:hAnsi="Arial" w:cs="Arial"/>
          <w:noProof/>
          <w:kern w:val="0"/>
          <w:sz w:val="24"/>
          <w:szCs w:val="24"/>
        </w:rPr>
        <w:t>(7), 908–931. https://doi.org/10.1016/j.arabjc.2017.05.011</w:t>
      </w:r>
    </w:p>
    <w:p w14:paraId="4A9E7D83"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Krishi, M. T., Pandian, K., Thirunavukkarasu, M., &amp; Subramanian, K. S. (2018). Response of nano-sulphur to the groundnut. </w:t>
      </w:r>
      <w:r w:rsidRPr="00151613">
        <w:rPr>
          <w:rFonts w:ascii="Arial" w:hAnsi="Arial" w:cs="Arial"/>
          <w:i/>
          <w:iCs/>
          <w:noProof/>
          <w:kern w:val="0"/>
          <w:sz w:val="24"/>
          <w:szCs w:val="24"/>
        </w:rPr>
        <w:t>International Journal of Chemical Studies</w:t>
      </w:r>
      <w:r w:rsidRPr="00151613">
        <w:rPr>
          <w:rFonts w:ascii="Arial" w:hAnsi="Arial" w:cs="Arial"/>
          <w:noProof/>
          <w:kern w:val="0"/>
          <w:sz w:val="24"/>
          <w:szCs w:val="24"/>
        </w:rPr>
        <w:t xml:space="preserve">, </w:t>
      </w:r>
      <w:r w:rsidRPr="00151613">
        <w:rPr>
          <w:rFonts w:ascii="Arial" w:hAnsi="Arial" w:cs="Arial"/>
          <w:i/>
          <w:iCs/>
          <w:noProof/>
          <w:kern w:val="0"/>
          <w:sz w:val="24"/>
          <w:szCs w:val="24"/>
        </w:rPr>
        <w:t>6</w:t>
      </w:r>
      <w:r w:rsidRPr="00151613">
        <w:rPr>
          <w:rFonts w:ascii="Arial" w:hAnsi="Arial" w:cs="Arial"/>
          <w:noProof/>
          <w:kern w:val="0"/>
          <w:sz w:val="24"/>
          <w:szCs w:val="24"/>
        </w:rPr>
        <w:t>(3), 2067–2072.</w:t>
      </w:r>
    </w:p>
    <w:p w14:paraId="3D41D72B"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Kumar, V., Singh, M. K., Lakshmi, D. U., Aakash, Saikia, N., &amp; Kumari, A. (2022). Response of N P S doses and urea foliar spray on lentil under guava (Psidium guajava) + lentil (Lens culinaris) based agri-horti system. </w:t>
      </w:r>
      <w:r w:rsidRPr="00151613">
        <w:rPr>
          <w:rFonts w:ascii="Arial" w:hAnsi="Arial" w:cs="Arial"/>
          <w:i/>
          <w:iCs/>
          <w:noProof/>
          <w:kern w:val="0"/>
          <w:sz w:val="24"/>
          <w:szCs w:val="24"/>
        </w:rPr>
        <w:t>The Indian Journal of Agricultural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92</w:t>
      </w:r>
      <w:r w:rsidRPr="00151613">
        <w:rPr>
          <w:rFonts w:ascii="Arial" w:hAnsi="Arial" w:cs="Arial"/>
          <w:noProof/>
          <w:kern w:val="0"/>
          <w:sz w:val="24"/>
          <w:szCs w:val="24"/>
        </w:rPr>
        <w:t>(11), 1410–1412. https://doi.org/10.56093/ijas.v92i11.127891</w:t>
      </w:r>
    </w:p>
    <w:p w14:paraId="21E85887"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Narayan, O. P., Kumar, P., Yadav, B., Dua, M., &amp; Johri, A. K. (2023). Sulphur nutrition and its role in plant growth and development. </w:t>
      </w:r>
      <w:r w:rsidRPr="00151613">
        <w:rPr>
          <w:rFonts w:ascii="Arial" w:hAnsi="Arial" w:cs="Arial"/>
          <w:i/>
          <w:iCs/>
          <w:noProof/>
          <w:kern w:val="0"/>
          <w:sz w:val="24"/>
          <w:szCs w:val="24"/>
        </w:rPr>
        <w:t>Plant Signaling &amp; Behavior</w:t>
      </w:r>
      <w:r w:rsidRPr="00151613">
        <w:rPr>
          <w:rFonts w:ascii="Arial" w:hAnsi="Arial" w:cs="Arial"/>
          <w:noProof/>
          <w:kern w:val="0"/>
          <w:sz w:val="24"/>
          <w:szCs w:val="24"/>
        </w:rPr>
        <w:t xml:space="preserve">, </w:t>
      </w:r>
      <w:r w:rsidRPr="00151613">
        <w:rPr>
          <w:rFonts w:ascii="Arial" w:hAnsi="Arial" w:cs="Arial"/>
          <w:i/>
          <w:iCs/>
          <w:noProof/>
          <w:kern w:val="0"/>
          <w:sz w:val="24"/>
          <w:szCs w:val="24"/>
        </w:rPr>
        <w:t>18</w:t>
      </w:r>
      <w:r w:rsidRPr="00151613">
        <w:rPr>
          <w:rFonts w:ascii="Arial" w:hAnsi="Arial" w:cs="Arial"/>
          <w:noProof/>
          <w:kern w:val="0"/>
          <w:sz w:val="24"/>
          <w:szCs w:val="24"/>
        </w:rPr>
        <w:t>(1). https://doi.org/10.1080/15592324.2022.2030082</w:t>
      </w:r>
    </w:p>
    <w:p w14:paraId="6998E697"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Nôžková, J. (2016, September 12). </w:t>
      </w:r>
      <w:r w:rsidRPr="00151613">
        <w:rPr>
          <w:rFonts w:ascii="Arial" w:hAnsi="Arial" w:cs="Arial"/>
          <w:i/>
          <w:iCs/>
          <w:noProof/>
          <w:kern w:val="0"/>
          <w:sz w:val="24"/>
          <w:szCs w:val="24"/>
        </w:rPr>
        <w:t>Descriptor list for flax (Linum usitatissimum L.)</w:t>
      </w:r>
      <w:r w:rsidRPr="00151613">
        <w:rPr>
          <w:rFonts w:ascii="Arial" w:hAnsi="Arial" w:cs="Arial"/>
          <w:noProof/>
          <w:kern w:val="0"/>
          <w:sz w:val="24"/>
          <w:szCs w:val="24"/>
        </w:rPr>
        <w:t>. https://doi.org/10.15414/2016.9788055214849</w:t>
      </w:r>
    </w:p>
    <w:p w14:paraId="29D32DDC"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Richharia, R. H. (1962). The Indian central oil seeds committee, Hyderabad,. </w:t>
      </w:r>
      <w:r w:rsidRPr="00151613">
        <w:rPr>
          <w:rFonts w:ascii="Arial" w:hAnsi="Arial" w:cs="Arial"/>
          <w:i/>
          <w:iCs/>
          <w:noProof/>
          <w:kern w:val="0"/>
          <w:sz w:val="24"/>
          <w:szCs w:val="24"/>
        </w:rPr>
        <w:t>Studies on the Origin of Cultivated Plants. Bot. Pl. Breed.</w:t>
      </w:r>
      <w:r w:rsidRPr="00151613">
        <w:rPr>
          <w:rFonts w:ascii="Arial" w:hAnsi="Arial" w:cs="Arial"/>
          <w:noProof/>
          <w:kern w:val="0"/>
          <w:sz w:val="24"/>
          <w:szCs w:val="24"/>
        </w:rPr>
        <w:t xml:space="preserve">, </w:t>
      </w:r>
      <w:r w:rsidRPr="00151613">
        <w:rPr>
          <w:rFonts w:ascii="Arial" w:hAnsi="Arial" w:cs="Arial"/>
          <w:i/>
          <w:iCs/>
          <w:noProof/>
          <w:kern w:val="0"/>
          <w:sz w:val="24"/>
          <w:szCs w:val="24"/>
        </w:rPr>
        <w:t>16</w:t>
      </w:r>
      <w:r w:rsidRPr="00151613">
        <w:rPr>
          <w:rFonts w:ascii="Arial" w:hAnsi="Arial" w:cs="Arial"/>
          <w:noProof/>
          <w:kern w:val="0"/>
          <w:sz w:val="24"/>
          <w:szCs w:val="24"/>
        </w:rPr>
        <w:t>, 139–145.</w:t>
      </w:r>
    </w:p>
    <w:p w14:paraId="25932631"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Shah, S. H., Islam, S., &amp; Mohammad, F. (2022). Sulphur as a dynamic mineral element for plants: a review. </w:t>
      </w:r>
      <w:r w:rsidRPr="00151613">
        <w:rPr>
          <w:rFonts w:ascii="Arial" w:hAnsi="Arial" w:cs="Arial"/>
          <w:i/>
          <w:iCs/>
          <w:noProof/>
          <w:kern w:val="0"/>
          <w:sz w:val="24"/>
          <w:szCs w:val="24"/>
        </w:rPr>
        <w:t>Journal of Soil Science and Plant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22</w:t>
      </w:r>
      <w:r w:rsidRPr="00151613">
        <w:rPr>
          <w:rFonts w:ascii="Arial" w:hAnsi="Arial" w:cs="Arial"/>
          <w:noProof/>
          <w:kern w:val="0"/>
          <w:sz w:val="24"/>
          <w:szCs w:val="24"/>
        </w:rPr>
        <w:t>(2), 2118–2143. https://doi.org/10.1007/s42729-022-00798-9</w:t>
      </w:r>
    </w:p>
    <w:p w14:paraId="192CF467"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Sharma, A., Aakash, Singh, D., Singh, V., Bhayal, D., &amp; Rajput, B. (2023). Effect of Applying Boron, Zinc, and Manganese Foliarly on the Yield Attributes and Yield of the Potato (Solanum tuberosum) Cultivar Kufri Chipsona-1 in the Gwalior Climate. </w:t>
      </w:r>
      <w:r w:rsidRPr="00151613">
        <w:rPr>
          <w:rFonts w:ascii="Arial" w:hAnsi="Arial" w:cs="Arial"/>
          <w:i/>
          <w:iCs/>
          <w:noProof/>
          <w:kern w:val="0"/>
          <w:sz w:val="24"/>
          <w:szCs w:val="24"/>
        </w:rPr>
        <w:t>Journal of Experimental Agriculture International</w:t>
      </w:r>
      <w:r w:rsidRPr="00151613">
        <w:rPr>
          <w:rFonts w:ascii="Arial" w:hAnsi="Arial" w:cs="Arial"/>
          <w:noProof/>
          <w:kern w:val="0"/>
          <w:sz w:val="24"/>
          <w:szCs w:val="24"/>
        </w:rPr>
        <w:t xml:space="preserve">, </w:t>
      </w:r>
      <w:r w:rsidRPr="00151613">
        <w:rPr>
          <w:rFonts w:ascii="Arial" w:hAnsi="Arial" w:cs="Arial"/>
          <w:i/>
          <w:iCs/>
          <w:noProof/>
          <w:kern w:val="0"/>
          <w:sz w:val="24"/>
          <w:szCs w:val="24"/>
        </w:rPr>
        <w:t>45</w:t>
      </w:r>
      <w:r w:rsidRPr="00151613">
        <w:rPr>
          <w:rFonts w:ascii="Arial" w:hAnsi="Arial" w:cs="Arial"/>
          <w:noProof/>
          <w:kern w:val="0"/>
          <w:sz w:val="24"/>
          <w:szCs w:val="24"/>
        </w:rPr>
        <w:t>(11), 263–270. https://doi.org/10.9734/jeai/2023/v45i112257</w:t>
      </w:r>
    </w:p>
    <w:p w14:paraId="6CA8DBA5"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Sharma, R. K., Cox, M. S., Oglesby, C., &amp; Dhillon, J. S. (2024). Revisiting the role of sulphur in crop production: A narrative review. </w:t>
      </w:r>
      <w:r w:rsidRPr="00151613">
        <w:rPr>
          <w:rFonts w:ascii="Arial" w:hAnsi="Arial" w:cs="Arial"/>
          <w:i/>
          <w:iCs/>
          <w:noProof/>
          <w:kern w:val="0"/>
          <w:sz w:val="24"/>
          <w:szCs w:val="24"/>
        </w:rPr>
        <w:t>Journal of Agriculture and Food Research</w:t>
      </w:r>
      <w:r w:rsidRPr="00151613">
        <w:rPr>
          <w:rFonts w:ascii="Arial" w:hAnsi="Arial" w:cs="Arial"/>
          <w:noProof/>
          <w:kern w:val="0"/>
          <w:sz w:val="24"/>
          <w:szCs w:val="24"/>
        </w:rPr>
        <w:t xml:space="preserve">, </w:t>
      </w:r>
      <w:r w:rsidRPr="00151613">
        <w:rPr>
          <w:rFonts w:ascii="Arial" w:hAnsi="Arial" w:cs="Arial"/>
          <w:i/>
          <w:iCs/>
          <w:noProof/>
          <w:kern w:val="0"/>
          <w:sz w:val="24"/>
          <w:szCs w:val="24"/>
        </w:rPr>
        <w:t>15</w:t>
      </w:r>
      <w:r w:rsidRPr="00151613">
        <w:rPr>
          <w:rFonts w:ascii="Arial" w:hAnsi="Arial" w:cs="Arial"/>
          <w:noProof/>
          <w:kern w:val="0"/>
          <w:sz w:val="24"/>
          <w:szCs w:val="24"/>
        </w:rPr>
        <w:t>, 101013. https://doi.org/10.1016/j.jafr.2024.101013</w:t>
      </w:r>
    </w:p>
    <w:p w14:paraId="24FF4D0B"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Singh, H., Choudhary, R. L., Jat, R. S., &amp; Rathore, S. S. (2023). Re-visiting of nitrogen and sulphur requirements in Indian mustard (Brassica juncea) under irrigated conditions. </w:t>
      </w:r>
      <w:r w:rsidRPr="00151613">
        <w:rPr>
          <w:rFonts w:ascii="Arial" w:hAnsi="Arial" w:cs="Arial"/>
          <w:i/>
          <w:iCs/>
          <w:noProof/>
          <w:kern w:val="0"/>
          <w:sz w:val="24"/>
          <w:szCs w:val="24"/>
        </w:rPr>
        <w:t>Indian Journal of Agricultural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93</w:t>
      </w:r>
      <w:r w:rsidRPr="00151613">
        <w:rPr>
          <w:rFonts w:ascii="Arial" w:hAnsi="Arial" w:cs="Arial"/>
          <w:noProof/>
          <w:kern w:val="0"/>
          <w:sz w:val="24"/>
          <w:szCs w:val="24"/>
        </w:rPr>
        <w:t>(1), 51–56.</w:t>
      </w:r>
    </w:p>
    <w:p w14:paraId="713B5B76"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lastRenderedPageBreak/>
        <w:t xml:space="preserve">Singh, K. K., Mridula, D., Rehal, J., &amp; Barnwal, P. (2011). Flaxseed: a potential source of food, feed and fiber. </w:t>
      </w:r>
      <w:r w:rsidRPr="00151613">
        <w:rPr>
          <w:rFonts w:ascii="Arial" w:hAnsi="Arial" w:cs="Arial"/>
          <w:i/>
          <w:iCs/>
          <w:noProof/>
          <w:kern w:val="0"/>
          <w:sz w:val="24"/>
          <w:szCs w:val="24"/>
        </w:rPr>
        <w:t>Critical Reviews in Food Science and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51</w:t>
      </w:r>
      <w:r w:rsidRPr="00151613">
        <w:rPr>
          <w:rFonts w:ascii="Arial" w:hAnsi="Arial" w:cs="Arial"/>
          <w:noProof/>
          <w:kern w:val="0"/>
          <w:sz w:val="24"/>
          <w:szCs w:val="24"/>
        </w:rPr>
        <w:t>(3), 210–222. https://doi.org/10.1080/10408390903537241</w:t>
      </w:r>
    </w:p>
    <w:p w14:paraId="0D30AE1D"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Subramanian, K. S., Rajeswari, R., Yuvaraj, M., Pradeep, D., Guna, M., &amp; Yoganathan, G. (2022). Synthesis and characterization of nano-sulphur and its impact on growth, yield, and quality of sunflower (Helianthus annuus L.). </w:t>
      </w:r>
      <w:r w:rsidRPr="00151613">
        <w:rPr>
          <w:rFonts w:ascii="Arial" w:hAnsi="Arial" w:cs="Arial"/>
          <w:i/>
          <w:iCs/>
          <w:noProof/>
          <w:kern w:val="0"/>
          <w:sz w:val="24"/>
          <w:szCs w:val="24"/>
        </w:rPr>
        <w:t>Communications in Soil Science and Plant Analysis</w:t>
      </w:r>
      <w:r w:rsidRPr="00151613">
        <w:rPr>
          <w:rFonts w:ascii="Arial" w:hAnsi="Arial" w:cs="Arial"/>
          <w:noProof/>
          <w:kern w:val="0"/>
          <w:sz w:val="24"/>
          <w:szCs w:val="24"/>
        </w:rPr>
        <w:t xml:space="preserve">, </w:t>
      </w:r>
      <w:r w:rsidRPr="00151613">
        <w:rPr>
          <w:rFonts w:ascii="Arial" w:hAnsi="Arial" w:cs="Arial"/>
          <w:i/>
          <w:iCs/>
          <w:noProof/>
          <w:kern w:val="0"/>
          <w:sz w:val="24"/>
          <w:szCs w:val="24"/>
        </w:rPr>
        <w:t>53</w:t>
      </w:r>
      <w:r w:rsidRPr="00151613">
        <w:rPr>
          <w:rFonts w:ascii="Arial" w:hAnsi="Arial" w:cs="Arial"/>
          <w:noProof/>
          <w:kern w:val="0"/>
          <w:sz w:val="24"/>
          <w:szCs w:val="24"/>
        </w:rPr>
        <w:t>(20), 2700–2709. https://doi.org/10.1080/00103624.2022.2072867</w:t>
      </w:r>
    </w:p>
    <w:p w14:paraId="1F9445E9"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sz w:val="24"/>
        </w:rPr>
      </w:pPr>
      <w:r w:rsidRPr="00151613">
        <w:rPr>
          <w:rFonts w:ascii="Arial" w:hAnsi="Arial" w:cs="Arial"/>
          <w:noProof/>
          <w:kern w:val="0"/>
          <w:sz w:val="24"/>
          <w:szCs w:val="24"/>
        </w:rPr>
        <w:t xml:space="preserve">Thirunavukkarasu, M., Subramanian, K. S., &amp; Yuvaraj, M. (2024). Response studies of nano-sulphur on nutrient uptake, sulphur fractions, yield and quality parameters of peanut (Arachis hypogaea L.). </w:t>
      </w:r>
      <w:r w:rsidRPr="00151613">
        <w:rPr>
          <w:rFonts w:ascii="Arial" w:hAnsi="Arial" w:cs="Arial"/>
          <w:i/>
          <w:iCs/>
          <w:noProof/>
          <w:kern w:val="0"/>
          <w:sz w:val="24"/>
          <w:szCs w:val="24"/>
        </w:rPr>
        <w:t>Journal of Plant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47</w:t>
      </w:r>
      <w:r w:rsidRPr="00151613">
        <w:rPr>
          <w:rFonts w:ascii="Arial" w:hAnsi="Arial" w:cs="Arial"/>
          <w:noProof/>
          <w:kern w:val="0"/>
          <w:sz w:val="24"/>
          <w:szCs w:val="24"/>
        </w:rPr>
        <w:t>(7), 1079–1088. https://doi.org/10.1080/01904167.2023.2294931</w:t>
      </w:r>
    </w:p>
    <w:p w14:paraId="12E01DB1" w14:textId="0BC61AF8" w:rsidR="00DC5490" w:rsidRPr="00E565FF" w:rsidRDefault="00C670F1" w:rsidP="001C4DE4">
      <w:pPr>
        <w:spacing w:after="120" w:line="360" w:lineRule="auto"/>
        <w:ind w:firstLine="720"/>
        <w:jc w:val="both"/>
        <w:rPr>
          <w:rFonts w:ascii="Arial" w:eastAsia="Arial Unicode MS" w:hAnsi="Arial" w:cs="Arial"/>
          <w:color w:val="000000" w:themeColor="text1"/>
          <w:sz w:val="24"/>
          <w:szCs w:val="24"/>
        </w:rPr>
      </w:pPr>
      <w:r w:rsidRPr="00E565FF">
        <w:rPr>
          <w:rFonts w:ascii="Arial" w:eastAsia="Arial Unicode MS" w:hAnsi="Arial" w:cs="Arial"/>
          <w:color w:val="000000" w:themeColor="text1"/>
          <w:sz w:val="24"/>
          <w:szCs w:val="24"/>
        </w:rPr>
        <w:fldChar w:fldCharType="end"/>
      </w:r>
    </w:p>
    <w:p w14:paraId="295978DA" w14:textId="77777777" w:rsidR="00726616" w:rsidRDefault="00726616" w:rsidP="00726616">
      <w:pPr>
        <w:spacing w:after="120" w:line="360" w:lineRule="auto"/>
        <w:jc w:val="both"/>
        <w:rPr>
          <w:rFonts w:ascii="Arial" w:hAnsi="Arial" w:cs="Arial"/>
          <w:b/>
          <w:bCs/>
          <w:sz w:val="20"/>
          <w:szCs w:val="20"/>
        </w:rPr>
      </w:pPr>
    </w:p>
    <w:p w14:paraId="46A8D0E9" w14:textId="77777777" w:rsidR="00726616" w:rsidRDefault="00726616" w:rsidP="00726616">
      <w:pPr>
        <w:spacing w:after="120" w:line="360" w:lineRule="auto"/>
        <w:jc w:val="both"/>
        <w:rPr>
          <w:rFonts w:ascii="Arial" w:hAnsi="Arial" w:cs="Arial"/>
          <w:b/>
          <w:bCs/>
          <w:sz w:val="20"/>
          <w:szCs w:val="20"/>
        </w:rPr>
      </w:pPr>
    </w:p>
    <w:p w14:paraId="1BDC747E" w14:textId="77777777" w:rsidR="00726616" w:rsidRDefault="00726616" w:rsidP="00726616">
      <w:pPr>
        <w:spacing w:after="120" w:line="360" w:lineRule="auto"/>
        <w:jc w:val="both"/>
        <w:rPr>
          <w:rFonts w:ascii="Arial" w:eastAsia="Arial Unicode MS" w:hAnsi="Arial" w:cs="Arial"/>
          <w:color w:val="000000" w:themeColor="text1"/>
          <w:sz w:val="24"/>
          <w:szCs w:val="24"/>
        </w:rPr>
      </w:pPr>
    </w:p>
    <w:p w14:paraId="5D8BB333" w14:textId="77777777" w:rsidR="00726616" w:rsidRDefault="00726616" w:rsidP="00570762">
      <w:pPr>
        <w:spacing w:after="120" w:line="360" w:lineRule="auto"/>
        <w:ind w:firstLine="720"/>
        <w:jc w:val="both"/>
        <w:rPr>
          <w:rFonts w:ascii="Arial" w:eastAsia="Arial Unicode MS" w:hAnsi="Arial" w:cs="Arial"/>
          <w:color w:val="000000" w:themeColor="text1"/>
          <w:sz w:val="24"/>
          <w:szCs w:val="24"/>
        </w:rPr>
      </w:pPr>
    </w:p>
    <w:p w14:paraId="29D9F034" w14:textId="757F928F" w:rsidR="00FE3CB0" w:rsidRPr="00FE3CB0" w:rsidRDefault="00FE3CB0" w:rsidP="004E4435">
      <w:pPr>
        <w:spacing w:after="120" w:line="360" w:lineRule="auto"/>
        <w:jc w:val="both"/>
        <w:rPr>
          <w:rFonts w:ascii="Arial" w:eastAsia="Arial Unicode MS" w:hAnsi="Arial" w:cs="Arial"/>
          <w:color w:val="000000" w:themeColor="text1"/>
          <w:sz w:val="24"/>
          <w:szCs w:val="24"/>
        </w:rPr>
      </w:pPr>
      <w:bookmarkStart w:id="10" w:name="_GoBack"/>
      <w:bookmarkEnd w:id="10"/>
    </w:p>
    <w:sectPr w:rsidR="00FE3CB0" w:rsidRPr="00FE3CB0" w:rsidSect="00C00A37">
      <w:headerReference w:type="even" r:id="rId32"/>
      <w:headerReference w:type="default" r:id="rId33"/>
      <w:footerReference w:type="even" r:id="rId34"/>
      <w:footerReference w:type="default" r:id="rId35"/>
      <w:headerReference w:type="first" r:id="rId36"/>
      <w:footerReference w:type="first" r:id="rId37"/>
      <w:pgSz w:w="11906" w:h="16838"/>
      <w:pgMar w:top="1440" w:right="1376" w:bottom="1440" w:left="1620"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9-24T00:46:00Z" w:initials="d">
    <w:p w14:paraId="6620848F" w14:textId="77777777" w:rsidR="00CC02FD" w:rsidRDefault="00CC02FD" w:rsidP="00CC02FD">
      <w:pPr>
        <w:pStyle w:val="CommentText"/>
      </w:pPr>
      <w:r>
        <w:rPr>
          <w:rStyle w:val="CommentReference"/>
        </w:rPr>
        <w:annotationRef/>
      </w:r>
      <w:r>
        <w:t>The abstract is clear enough, but it is too long and full of details. It should be condensed to focus on the objectives, brief methods, main results, and conclusions.</w:t>
      </w:r>
    </w:p>
    <w:p w14:paraId="088A580A" w14:textId="77777777" w:rsidR="00CC02FD" w:rsidRDefault="00CC02FD" w:rsidP="00CC02FD">
      <w:pPr>
        <w:pStyle w:val="CommentText"/>
      </w:pPr>
    </w:p>
    <w:p w14:paraId="55A94082" w14:textId="3E60354D" w:rsidR="00CC02FD" w:rsidRDefault="00CC02FD" w:rsidP="00CC02FD">
      <w:pPr>
        <w:pStyle w:val="CommentText"/>
      </w:pPr>
      <w:r>
        <w:t>Add quantitative data on the results (e.g., percentage increase or crop yield figures) to make it more informative.</w:t>
      </w:r>
    </w:p>
  </w:comment>
  <w:comment w:id="1" w:author="dell" w:date="2025-09-24T00:56:00Z" w:initials="d">
    <w:p w14:paraId="0BE99142" w14:textId="7ED012FC" w:rsidR="00CC02FD" w:rsidRDefault="00CC02FD">
      <w:pPr>
        <w:pStyle w:val="CommentText"/>
      </w:pPr>
      <w:r>
        <w:rPr>
          <w:rStyle w:val="CommentReference"/>
        </w:rPr>
        <w:annotationRef/>
      </w:r>
      <w:r w:rsidRPr="00CC02FD">
        <w:t xml:space="preserve">The background is too broad (ranging from the history of linseed, nutritional content, FAO data, etc.). It is recommended to narrow the focus so that it directly addresses the research problem: the importance of sulphur sources for linseed in </w:t>
      </w:r>
      <w:proofErr w:type="spellStart"/>
      <w:r w:rsidRPr="00CC02FD">
        <w:t>Dhampur</w:t>
      </w:r>
      <w:proofErr w:type="spellEnd"/>
      <w:r w:rsidRPr="00CC02FD">
        <w:t>.</w:t>
      </w:r>
    </w:p>
  </w:comment>
  <w:comment w:id="2" w:author="dell" w:date="2025-09-24T00:57:00Z" w:initials="d">
    <w:p w14:paraId="575A604C" w14:textId="77777777" w:rsidR="00077208" w:rsidRPr="00077208" w:rsidRDefault="00077208" w:rsidP="00077208">
      <w:pPr>
        <w:rPr>
          <w:sz w:val="20"/>
          <w:szCs w:val="20"/>
        </w:rPr>
      </w:pPr>
      <w:r>
        <w:rPr>
          <w:rStyle w:val="CommentReference"/>
        </w:rPr>
        <w:annotationRef/>
      </w:r>
      <w:r w:rsidRPr="00077208">
        <w:rPr>
          <w:sz w:val="20"/>
          <w:szCs w:val="20"/>
        </w:rPr>
        <w:t>Some data (FAOSTAT 2007) is too old and may need to be updated or explained in terms of its relevance.</w:t>
      </w:r>
    </w:p>
    <w:p w14:paraId="7FFE023A" w14:textId="4EA85BB0" w:rsidR="00077208" w:rsidRDefault="00077208">
      <w:pPr>
        <w:pStyle w:val="CommentText"/>
      </w:pPr>
    </w:p>
  </w:comment>
  <w:comment w:id="3" w:author="dell" w:date="2025-09-24T00:58:00Z" w:initials="d">
    <w:p w14:paraId="412D27A4" w14:textId="4564427F" w:rsidR="00077208" w:rsidRDefault="00077208">
      <w:pPr>
        <w:pStyle w:val="CommentText"/>
      </w:pPr>
      <w:r>
        <w:rPr>
          <w:rStyle w:val="CommentReference"/>
        </w:rPr>
        <w:annotationRef/>
      </w:r>
      <w:r w:rsidRPr="00077208">
        <w:t>The method description is very detailed (location, weather, variety, pesticides, irrigation). It should be organised more systematically into sub-sections: location, experimental design, treatment, maintenance, parameters observed, and data analysis.</w:t>
      </w:r>
    </w:p>
  </w:comment>
  <w:comment w:id="4" w:author="dell" w:date="2025-09-24T01:00:00Z" w:initials="d">
    <w:p w14:paraId="3257E8A4" w14:textId="2439326C" w:rsidR="00077208" w:rsidRDefault="00077208">
      <w:pPr>
        <w:pStyle w:val="CommentText"/>
      </w:pPr>
      <w:r>
        <w:rPr>
          <w:rStyle w:val="CommentReference"/>
        </w:rPr>
        <w:annotationRef/>
      </w:r>
      <w:r w:rsidRPr="00077208">
        <w:t>The author has mentioned the use of the CD test (P ≤ 0.05) in data analysis, but the underlying statistical analysis method (e.g., ANOVA or other tests) has not been explicitly explained. Please clarify the statistical analysis procedure used, including the model applied and assumptions considered, so that readers can gain a more complete understanding of the validity of the research results.</w:t>
      </w:r>
    </w:p>
  </w:comment>
  <w:comment w:id="5" w:author="dell" w:date="2025-09-24T01:06:00Z" w:initials="d">
    <w:p w14:paraId="3314E387" w14:textId="45D98BD8" w:rsidR="0007717A" w:rsidRDefault="0007717A">
      <w:pPr>
        <w:pStyle w:val="CommentText"/>
      </w:pPr>
      <w:r>
        <w:rPr>
          <w:rStyle w:val="CommentReference"/>
        </w:rPr>
        <w:annotationRef/>
      </w:r>
      <w:r w:rsidRPr="0007717A">
        <w:t>Images/photos (experimental layouts, graphics) need better resolution and more informative captions.</w:t>
      </w:r>
    </w:p>
  </w:comment>
  <w:comment w:id="6" w:author="dell" w:date="2025-09-24T01:02:00Z" w:initials="d">
    <w:p w14:paraId="41501E2B" w14:textId="5C9446B2" w:rsidR="00077208" w:rsidRDefault="00077208">
      <w:pPr>
        <w:pStyle w:val="CommentText"/>
      </w:pPr>
      <w:r>
        <w:rPr>
          <w:rStyle w:val="CommentReference"/>
        </w:rPr>
        <w:annotationRef/>
      </w:r>
      <w:r w:rsidRPr="00077208">
        <w:t xml:space="preserve">The results are quite detailed, with clear tables and figures, but the discussion often merely repeats the data from the tables. It is recommended that the discussion be strengthened with critical analysis: why is </w:t>
      </w:r>
      <w:proofErr w:type="spellStart"/>
      <w:r w:rsidRPr="00077208">
        <w:t>nano</w:t>
      </w:r>
      <w:proofErr w:type="spellEnd"/>
      <w:r w:rsidRPr="00077208">
        <w:t>-sulphur treatment superior? How does this relate to plant physiology theory?</w:t>
      </w:r>
    </w:p>
  </w:comment>
  <w:comment w:id="7" w:author="dell" w:date="2025-09-24T01:04:00Z" w:initials="d">
    <w:p w14:paraId="0115C7CB" w14:textId="32B9A62C" w:rsidR="00077208" w:rsidRDefault="00077208">
      <w:pPr>
        <w:pStyle w:val="CommentText"/>
      </w:pPr>
      <w:r>
        <w:rPr>
          <w:rStyle w:val="CommentReference"/>
        </w:rPr>
        <w:annotationRef/>
      </w:r>
      <w:r w:rsidRPr="00077208">
        <w:t>Comparisons with other studies already exist, but could be expanded (e.g. compare with studies other than mustard and groundnut to strengthen relevance to linseed).</w:t>
      </w:r>
    </w:p>
  </w:comment>
  <w:comment w:id="8" w:author="dell" w:date="2025-09-24T01:05:00Z" w:initials="d">
    <w:p w14:paraId="1728B569" w14:textId="5FDB0B38" w:rsidR="00077208" w:rsidRDefault="00077208">
      <w:pPr>
        <w:pStyle w:val="CommentText"/>
      </w:pPr>
      <w:r>
        <w:rPr>
          <w:rStyle w:val="CommentReference"/>
        </w:rPr>
        <w:annotationRef/>
      </w:r>
      <w:r w:rsidRPr="00077208">
        <w:t xml:space="preserve">The conclusion is good, but still too descriptive. It could be reinforced with a practical recommendation, for example, "Foliar spray </w:t>
      </w:r>
      <w:proofErr w:type="spellStart"/>
      <w:r w:rsidRPr="00077208">
        <w:t>nano</w:t>
      </w:r>
      <w:proofErr w:type="spellEnd"/>
      <w:r w:rsidRPr="00077208">
        <w:t xml:space="preserve">-sulphur (0.5%) at 30 DAS and flowering stage increases linseed yield by X% compared to the control, so it is recommended for farmers in the </w:t>
      </w:r>
      <w:proofErr w:type="spellStart"/>
      <w:r w:rsidRPr="00077208">
        <w:t>Dhampur</w:t>
      </w:r>
      <w:proofErr w:type="spellEnd"/>
      <w:r w:rsidRPr="00077208">
        <w:t xml:space="preserve"> </w:t>
      </w:r>
      <w:proofErr w:type="spellStart"/>
      <w:r w:rsidRPr="00077208">
        <w:t>agroclimate</w:t>
      </w:r>
      <w:proofErr w:type="spellEnd"/>
      <w:r w:rsidRPr="00077208">
        <w:t>."</w:t>
      </w:r>
    </w:p>
  </w:comment>
  <w:comment w:id="9" w:author="dell" w:date="2025-09-24T01:07:00Z" w:initials="d">
    <w:p w14:paraId="45D6B4C3" w14:textId="3CDECA53" w:rsidR="0007717A" w:rsidRDefault="0007717A">
      <w:pPr>
        <w:pStyle w:val="CommentText"/>
      </w:pPr>
      <w:r>
        <w:rPr>
          <w:rStyle w:val="CommentReference"/>
        </w:rPr>
        <w:annotationRef/>
      </w:r>
      <w:r w:rsidRPr="0007717A">
        <w:t>There are sufficient and up-to-date references (2022–2024), but there are inconsistencies in format (some are full links, some are DOIs, some are incomplete). It is recommended that they be standardised according to journal style (APA, Harvard, or as required).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914AA" w14:textId="77777777" w:rsidR="00C93529" w:rsidRDefault="00C93529" w:rsidP="009C09A2">
      <w:pPr>
        <w:spacing w:after="0" w:line="240" w:lineRule="auto"/>
      </w:pPr>
      <w:r>
        <w:separator/>
      </w:r>
    </w:p>
  </w:endnote>
  <w:endnote w:type="continuationSeparator" w:id="0">
    <w:p w14:paraId="63039F6D" w14:textId="77777777" w:rsidR="00C93529" w:rsidRDefault="00C93529" w:rsidP="009C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0E9E" w14:textId="77777777" w:rsidR="00907425" w:rsidRDefault="00907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66944"/>
      <w:docPartObj>
        <w:docPartGallery w:val="Page Numbers (Bottom of Page)"/>
        <w:docPartUnique/>
      </w:docPartObj>
    </w:sdtPr>
    <w:sdtEndPr>
      <w:rPr>
        <w:noProof/>
      </w:rPr>
    </w:sdtEndPr>
    <w:sdtContent>
      <w:p w14:paraId="6443564A" w14:textId="1BAEABAC" w:rsidR="00C00A37" w:rsidRDefault="00C00A37">
        <w:pPr>
          <w:pStyle w:val="Footer"/>
          <w:jc w:val="center"/>
        </w:pPr>
        <w:r>
          <w:fldChar w:fldCharType="begin"/>
        </w:r>
        <w:r>
          <w:instrText xml:space="preserve"> PAGE   \* MERGEFORMAT </w:instrText>
        </w:r>
        <w:r>
          <w:fldChar w:fldCharType="separate"/>
        </w:r>
        <w:r w:rsidR="0007717A">
          <w:rPr>
            <w:noProof/>
          </w:rPr>
          <w:t>14</w:t>
        </w:r>
        <w:r>
          <w:rPr>
            <w:noProof/>
          </w:rPr>
          <w:fldChar w:fldCharType="end"/>
        </w:r>
      </w:p>
    </w:sdtContent>
  </w:sdt>
  <w:p w14:paraId="037F9DEB" w14:textId="77777777" w:rsidR="00C00A37" w:rsidRDefault="00C00A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6DB29" w14:textId="77777777" w:rsidR="00907425" w:rsidRDefault="00907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7EE4F" w14:textId="77777777" w:rsidR="00C93529" w:rsidRDefault="00C93529" w:rsidP="009C09A2">
      <w:pPr>
        <w:spacing w:after="0" w:line="240" w:lineRule="auto"/>
      </w:pPr>
      <w:r>
        <w:separator/>
      </w:r>
    </w:p>
  </w:footnote>
  <w:footnote w:type="continuationSeparator" w:id="0">
    <w:p w14:paraId="326EF297" w14:textId="77777777" w:rsidR="00C93529" w:rsidRDefault="00C93529" w:rsidP="009C0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EBDB" w14:textId="66A77C06" w:rsidR="00907425" w:rsidRDefault="00C93529">
    <w:pPr>
      <w:pStyle w:val="Header"/>
    </w:pPr>
    <w:r>
      <w:rPr>
        <w:noProof/>
      </w:rPr>
      <w:pict w14:anchorId="36188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8" o:spid="_x0000_s2050" type="#_x0000_t136" style="position:absolute;margin-left:0;margin-top:0;width:528.95pt;height:9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88F1" w14:textId="0B163A5D" w:rsidR="00907425" w:rsidRDefault="00C93529">
    <w:pPr>
      <w:pStyle w:val="Header"/>
    </w:pPr>
    <w:r>
      <w:rPr>
        <w:noProof/>
      </w:rPr>
      <w:pict w14:anchorId="7913E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9" o:spid="_x0000_s2051" type="#_x0000_t136" style="position:absolute;margin-left:0;margin-top:0;width:528.95pt;height:9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C7A1E" w14:textId="3A9BF6D1" w:rsidR="00907425" w:rsidRDefault="00C93529">
    <w:pPr>
      <w:pStyle w:val="Header"/>
    </w:pPr>
    <w:r>
      <w:rPr>
        <w:noProof/>
      </w:rPr>
      <w:pict w14:anchorId="11746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7" o:spid="_x0000_s2049" type="#_x0000_t136" style="position:absolute;margin-left:0;margin-top:0;width:528.95pt;height:9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E6F7C"/>
    <w:multiLevelType w:val="hybridMultilevel"/>
    <w:tmpl w:val="5E52031C"/>
    <w:lvl w:ilvl="0" w:tplc="9C5874F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E2C4EA0"/>
    <w:multiLevelType w:val="multilevel"/>
    <w:tmpl w:val="F70C18CE"/>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B0B366F"/>
    <w:multiLevelType w:val="hybridMultilevel"/>
    <w:tmpl w:val="3D402AB4"/>
    <w:lvl w:ilvl="0" w:tplc="401AB94C">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052183A"/>
    <w:multiLevelType w:val="hybridMultilevel"/>
    <w:tmpl w:val="9BCA24CA"/>
    <w:lvl w:ilvl="0" w:tplc="A8FAED6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6F05503"/>
    <w:multiLevelType w:val="hybridMultilevel"/>
    <w:tmpl w:val="2C287498"/>
    <w:lvl w:ilvl="0" w:tplc="7F32155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93"/>
    <w:rsid w:val="0004345F"/>
    <w:rsid w:val="00077102"/>
    <w:rsid w:val="0007717A"/>
    <w:rsid w:val="00077208"/>
    <w:rsid w:val="00084493"/>
    <w:rsid w:val="00086A4E"/>
    <w:rsid w:val="000A18E3"/>
    <w:rsid w:val="000A36E4"/>
    <w:rsid w:val="000C19D2"/>
    <w:rsid w:val="000C62F7"/>
    <w:rsid w:val="000D4F37"/>
    <w:rsid w:val="000F7E4C"/>
    <w:rsid w:val="0011207A"/>
    <w:rsid w:val="001129AE"/>
    <w:rsid w:val="00147564"/>
    <w:rsid w:val="00151613"/>
    <w:rsid w:val="00166DF9"/>
    <w:rsid w:val="001764B5"/>
    <w:rsid w:val="001820F8"/>
    <w:rsid w:val="001945C8"/>
    <w:rsid w:val="001A567C"/>
    <w:rsid w:val="001C4DE4"/>
    <w:rsid w:val="001C6A73"/>
    <w:rsid w:val="001E23A4"/>
    <w:rsid w:val="0020103A"/>
    <w:rsid w:val="002331C9"/>
    <w:rsid w:val="00241E1A"/>
    <w:rsid w:val="0027452D"/>
    <w:rsid w:val="002B2B42"/>
    <w:rsid w:val="002F3B0E"/>
    <w:rsid w:val="002F6978"/>
    <w:rsid w:val="003217D9"/>
    <w:rsid w:val="00334377"/>
    <w:rsid w:val="003343FA"/>
    <w:rsid w:val="00344D84"/>
    <w:rsid w:val="00351A31"/>
    <w:rsid w:val="00365FF9"/>
    <w:rsid w:val="00386082"/>
    <w:rsid w:val="003A101D"/>
    <w:rsid w:val="003C2A55"/>
    <w:rsid w:val="003D400C"/>
    <w:rsid w:val="003E606B"/>
    <w:rsid w:val="00422F25"/>
    <w:rsid w:val="00425632"/>
    <w:rsid w:val="004350AC"/>
    <w:rsid w:val="00442F7D"/>
    <w:rsid w:val="00450E0F"/>
    <w:rsid w:val="0047689F"/>
    <w:rsid w:val="004A4FAE"/>
    <w:rsid w:val="004C497C"/>
    <w:rsid w:val="004D7867"/>
    <w:rsid w:val="004E4435"/>
    <w:rsid w:val="00545B63"/>
    <w:rsid w:val="00570762"/>
    <w:rsid w:val="005B0B41"/>
    <w:rsid w:val="005B5E5B"/>
    <w:rsid w:val="00602EEF"/>
    <w:rsid w:val="00615079"/>
    <w:rsid w:val="006334EF"/>
    <w:rsid w:val="00646E2B"/>
    <w:rsid w:val="00663F64"/>
    <w:rsid w:val="006828EF"/>
    <w:rsid w:val="00685075"/>
    <w:rsid w:val="00687190"/>
    <w:rsid w:val="00691C1B"/>
    <w:rsid w:val="006B1C1A"/>
    <w:rsid w:val="007002BA"/>
    <w:rsid w:val="00704967"/>
    <w:rsid w:val="00726616"/>
    <w:rsid w:val="00742EA4"/>
    <w:rsid w:val="007657FA"/>
    <w:rsid w:val="00784905"/>
    <w:rsid w:val="00795072"/>
    <w:rsid w:val="007C49BD"/>
    <w:rsid w:val="007E6BFE"/>
    <w:rsid w:val="00814751"/>
    <w:rsid w:val="008265AA"/>
    <w:rsid w:val="00856E85"/>
    <w:rsid w:val="008B6293"/>
    <w:rsid w:val="008C4579"/>
    <w:rsid w:val="008D16B7"/>
    <w:rsid w:val="00906A40"/>
    <w:rsid w:val="00907425"/>
    <w:rsid w:val="00924A01"/>
    <w:rsid w:val="009878B5"/>
    <w:rsid w:val="0099617E"/>
    <w:rsid w:val="009A5A23"/>
    <w:rsid w:val="009B4017"/>
    <w:rsid w:val="009B5C8B"/>
    <w:rsid w:val="009B7762"/>
    <w:rsid w:val="009C09A2"/>
    <w:rsid w:val="00A329CB"/>
    <w:rsid w:val="00A47583"/>
    <w:rsid w:val="00A6578A"/>
    <w:rsid w:val="00A734FB"/>
    <w:rsid w:val="00A76608"/>
    <w:rsid w:val="00A776D0"/>
    <w:rsid w:val="00AC1D29"/>
    <w:rsid w:val="00B17267"/>
    <w:rsid w:val="00B2293E"/>
    <w:rsid w:val="00B441C9"/>
    <w:rsid w:val="00B511B7"/>
    <w:rsid w:val="00B80980"/>
    <w:rsid w:val="00B978F2"/>
    <w:rsid w:val="00BC45BB"/>
    <w:rsid w:val="00C00A37"/>
    <w:rsid w:val="00C10326"/>
    <w:rsid w:val="00C354BC"/>
    <w:rsid w:val="00C65049"/>
    <w:rsid w:val="00C670F1"/>
    <w:rsid w:val="00C93529"/>
    <w:rsid w:val="00CC02FD"/>
    <w:rsid w:val="00CC1E6D"/>
    <w:rsid w:val="00CE6306"/>
    <w:rsid w:val="00D015BF"/>
    <w:rsid w:val="00D11F48"/>
    <w:rsid w:val="00D17BD4"/>
    <w:rsid w:val="00D23C79"/>
    <w:rsid w:val="00D67CB6"/>
    <w:rsid w:val="00D908D1"/>
    <w:rsid w:val="00DC40A5"/>
    <w:rsid w:val="00DC5490"/>
    <w:rsid w:val="00DE6803"/>
    <w:rsid w:val="00E06CB5"/>
    <w:rsid w:val="00E07A9A"/>
    <w:rsid w:val="00E10D00"/>
    <w:rsid w:val="00E413E3"/>
    <w:rsid w:val="00E565FF"/>
    <w:rsid w:val="00E72B14"/>
    <w:rsid w:val="00EC50E7"/>
    <w:rsid w:val="00ED1D54"/>
    <w:rsid w:val="00ED7D1B"/>
    <w:rsid w:val="00EF0A29"/>
    <w:rsid w:val="00EF7DAF"/>
    <w:rsid w:val="00F10369"/>
    <w:rsid w:val="00F165A8"/>
    <w:rsid w:val="00F44E2A"/>
    <w:rsid w:val="00F97656"/>
    <w:rsid w:val="00FB4899"/>
    <w:rsid w:val="00FE3C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8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293"/>
    <w:rPr>
      <w:rFonts w:eastAsiaTheme="majorEastAsia" w:cstheme="majorBidi"/>
      <w:color w:val="272727" w:themeColor="text1" w:themeTint="D8"/>
    </w:rPr>
  </w:style>
  <w:style w:type="paragraph" w:styleId="Title">
    <w:name w:val="Title"/>
    <w:basedOn w:val="Normal"/>
    <w:next w:val="Normal"/>
    <w:link w:val="TitleChar"/>
    <w:uiPriority w:val="10"/>
    <w:qFormat/>
    <w:rsid w:val="008B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293"/>
    <w:pPr>
      <w:spacing w:before="160"/>
      <w:jc w:val="center"/>
    </w:pPr>
    <w:rPr>
      <w:i/>
      <w:iCs/>
      <w:color w:val="404040" w:themeColor="text1" w:themeTint="BF"/>
    </w:rPr>
  </w:style>
  <w:style w:type="character" w:customStyle="1" w:styleId="QuoteChar">
    <w:name w:val="Quote Char"/>
    <w:basedOn w:val="DefaultParagraphFont"/>
    <w:link w:val="Quote"/>
    <w:uiPriority w:val="29"/>
    <w:rsid w:val="008B6293"/>
    <w:rPr>
      <w:i/>
      <w:iCs/>
      <w:color w:val="404040" w:themeColor="text1" w:themeTint="BF"/>
    </w:rPr>
  </w:style>
  <w:style w:type="paragraph" w:styleId="ListParagraph">
    <w:name w:val="List Paragraph"/>
    <w:basedOn w:val="Normal"/>
    <w:uiPriority w:val="34"/>
    <w:qFormat/>
    <w:rsid w:val="008B6293"/>
    <w:pPr>
      <w:ind w:left="720"/>
      <w:contextualSpacing/>
    </w:pPr>
  </w:style>
  <w:style w:type="character" w:styleId="IntenseEmphasis">
    <w:name w:val="Intense Emphasis"/>
    <w:basedOn w:val="DefaultParagraphFont"/>
    <w:uiPriority w:val="21"/>
    <w:qFormat/>
    <w:rsid w:val="008B6293"/>
    <w:rPr>
      <w:i/>
      <w:iCs/>
      <w:color w:val="2F5496" w:themeColor="accent1" w:themeShade="BF"/>
    </w:rPr>
  </w:style>
  <w:style w:type="paragraph" w:styleId="IntenseQuote">
    <w:name w:val="Intense Quote"/>
    <w:basedOn w:val="Normal"/>
    <w:next w:val="Normal"/>
    <w:link w:val="IntenseQuoteChar"/>
    <w:uiPriority w:val="30"/>
    <w:qFormat/>
    <w:rsid w:val="008B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293"/>
    <w:rPr>
      <w:i/>
      <w:iCs/>
      <w:color w:val="2F5496" w:themeColor="accent1" w:themeShade="BF"/>
    </w:rPr>
  </w:style>
  <w:style w:type="character" w:styleId="IntenseReference">
    <w:name w:val="Intense Reference"/>
    <w:basedOn w:val="DefaultParagraphFont"/>
    <w:uiPriority w:val="32"/>
    <w:qFormat/>
    <w:rsid w:val="008B6293"/>
    <w:rPr>
      <w:b/>
      <w:bCs/>
      <w:smallCaps/>
      <w:color w:val="2F5496" w:themeColor="accent1" w:themeShade="BF"/>
      <w:spacing w:val="5"/>
    </w:rPr>
  </w:style>
  <w:style w:type="paragraph" w:styleId="NoSpacing">
    <w:name w:val="No Spacing"/>
    <w:link w:val="NoSpacingChar"/>
    <w:uiPriority w:val="1"/>
    <w:qFormat/>
    <w:rsid w:val="009B7762"/>
    <w:pPr>
      <w:spacing w:after="0" w:line="240" w:lineRule="auto"/>
    </w:pPr>
    <w:rPr>
      <w:rFonts w:ascii="Calibri" w:eastAsia="Times New Roman" w:hAnsi="Calibri" w:cs="Mangal"/>
      <w:kern w:val="0"/>
      <w:szCs w:val="20"/>
      <w:lang w:val="en-US" w:bidi="hi-IN"/>
      <w14:ligatures w14:val="none"/>
    </w:rPr>
  </w:style>
  <w:style w:type="character" w:styleId="Hyperlink">
    <w:name w:val="Hyperlink"/>
    <w:basedOn w:val="DefaultParagraphFont"/>
    <w:uiPriority w:val="99"/>
    <w:unhideWhenUsed/>
    <w:rsid w:val="009B7762"/>
    <w:rPr>
      <w:color w:val="0563C1" w:themeColor="hyperlink"/>
      <w:u w:val="single"/>
    </w:rPr>
  </w:style>
  <w:style w:type="character" w:customStyle="1" w:styleId="NoSpacingChar">
    <w:name w:val="No Spacing Char"/>
    <w:basedOn w:val="DefaultParagraphFont"/>
    <w:link w:val="NoSpacing"/>
    <w:uiPriority w:val="1"/>
    <w:rsid w:val="009B7762"/>
    <w:rPr>
      <w:rFonts w:ascii="Calibri" w:eastAsia="Times New Roman" w:hAnsi="Calibri" w:cs="Mangal"/>
      <w:kern w:val="0"/>
      <w:szCs w:val="20"/>
      <w:lang w:val="en-US" w:bidi="hi-IN"/>
      <w14:ligatures w14:val="none"/>
    </w:rPr>
  </w:style>
  <w:style w:type="table" w:styleId="TableGrid">
    <w:name w:val="Table Grid"/>
    <w:basedOn w:val="TableNormal"/>
    <w:uiPriority w:val="39"/>
    <w:rsid w:val="008C4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0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A2"/>
  </w:style>
  <w:style w:type="paragraph" w:styleId="Footer">
    <w:name w:val="footer"/>
    <w:basedOn w:val="Normal"/>
    <w:link w:val="FooterChar"/>
    <w:uiPriority w:val="99"/>
    <w:unhideWhenUsed/>
    <w:rsid w:val="009C0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A2"/>
  </w:style>
  <w:style w:type="character" w:customStyle="1" w:styleId="UnresolvedMention">
    <w:name w:val="Unresolved Mention"/>
    <w:basedOn w:val="DefaultParagraphFont"/>
    <w:uiPriority w:val="99"/>
    <w:semiHidden/>
    <w:unhideWhenUsed/>
    <w:rsid w:val="00E413E3"/>
    <w:rPr>
      <w:color w:val="605E5C"/>
      <w:shd w:val="clear" w:color="auto" w:fill="E1DFDD"/>
    </w:rPr>
  </w:style>
  <w:style w:type="character" w:styleId="CommentReference">
    <w:name w:val="annotation reference"/>
    <w:basedOn w:val="DefaultParagraphFont"/>
    <w:uiPriority w:val="99"/>
    <w:semiHidden/>
    <w:unhideWhenUsed/>
    <w:rsid w:val="00CC02FD"/>
    <w:rPr>
      <w:sz w:val="16"/>
      <w:szCs w:val="16"/>
    </w:rPr>
  </w:style>
  <w:style w:type="paragraph" w:styleId="CommentText">
    <w:name w:val="annotation text"/>
    <w:basedOn w:val="Normal"/>
    <w:link w:val="CommentTextChar"/>
    <w:uiPriority w:val="99"/>
    <w:semiHidden/>
    <w:unhideWhenUsed/>
    <w:rsid w:val="00CC02FD"/>
    <w:pPr>
      <w:spacing w:line="240" w:lineRule="auto"/>
    </w:pPr>
    <w:rPr>
      <w:sz w:val="20"/>
      <w:szCs w:val="20"/>
    </w:rPr>
  </w:style>
  <w:style w:type="character" w:customStyle="1" w:styleId="CommentTextChar">
    <w:name w:val="Comment Text Char"/>
    <w:basedOn w:val="DefaultParagraphFont"/>
    <w:link w:val="CommentText"/>
    <w:uiPriority w:val="99"/>
    <w:semiHidden/>
    <w:rsid w:val="00CC02FD"/>
    <w:rPr>
      <w:sz w:val="20"/>
      <w:szCs w:val="20"/>
    </w:rPr>
  </w:style>
  <w:style w:type="paragraph" w:styleId="CommentSubject">
    <w:name w:val="annotation subject"/>
    <w:basedOn w:val="CommentText"/>
    <w:next w:val="CommentText"/>
    <w:link w:val="CommentSubjectChar"/>
    <w:uiPriority w:val="99"/>
    <w:semiHidden/>
    <w:unhideWhenUsed/>
    <w:rsid w:val="00CC02FD"/>
    <w:rPr>
      <w:b/>
      <w:bCs/>
    </w:rPr>
  </w:style>
  <w:style w:type="character" w:customStyle="1" w:styleId="CommentSubjectChar">
    <w:name w:val="Comment Subject Char"/>
    <w:basedOn w:val="CommentTextChar"/>
    <w:link w:val="CommentSubject"/>
    <w:uiPriority w:val="99"/>
    <w:semiHidden/>
    <w:rsid w:val="00CC02FD"/>
    <w:rPr>
      <w:b/>
      <w:bCs/>
      <w:sz w:val="20"/>
      <w:szCs w:val="20"/>
    </w:rPr>
  </w:style>
  <w:style w:type="paragraph" w:styleId="BalloonText">
    <w:name w:val="Balloon Text"/>
    <w:basedOn w:val="Normal"/>
    <w:link w:val="BalloonTextChar"/>
    <w:uiPriority w:val="99"/>
    <w:semiHidden/>
    <w:unhideWhenUsed/>
    <w:rsid w:val="00CC0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2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293"/>
    <w:rPr>
      <w:rFonts w:eastAsiaTheme="majorEastAsia" w:cstheme="majorBidi"/>
      <w:color w:val="272727" w:themeColor="text1" w:themeTint="D8"/>
    </w:rPr>
  </w:style>
  <w:style w:type="paragraph" w:styleId="Title">
    <w:name w:val="Title"/>
    <w:basedOn w:val="Normal"/>
    <w:next w:val="Normal"/>
    <w:link w:val="TitleChar"/>
    <w:uiPriority w:val="10"/>
    <w:qFormat/>
    <w:rsid w:val="008B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293"/>
    <w:pPr>
      <w:spacing w:before="160"/>
      <w:jc w:val="center"/>
    </w:pPr>
    <w:rPr>
      <w:i/>
      <w:iCs/>
      <w:color w:val="404040" w:themeColor="text1" w:themeTint="BF"/>
    </w:rPr>
  </w:style>
  <w:style w:type="character" w:customStyle="1" w:styleId="QuoteChar">
    <w:name w:val="Quote Char"/>
    <w:basedOn w:val="DefaultParagraphFont"/>
    <w:link w:val="Quote"/>
    <w:uiPriority w:val="29"/>
    <w:rsid w:val="008B6293"/>
    <w:rPr>
      <w:i/>
      <w:iCs/>
      <w:color w:val="404040" w:themeColor="text1" w:themeTint="BF"/>
    </w:rPr>
  </w:style>
  <w:style w:type="paragraph" w:styleId="ListParagraph">
    <w:name w:val="List Paragraph"/>
    <w:basedOn w:val="Normal"/>
    <w:uiPriority w:val="34"/>
    <w:qFormat/>
    <w:rsid w:val="008B6293"/>
    <w:pPr>
      <w:ind w:left="720"/>
      <w:contextualSpacing/>
    </w:pPr>
  </w:style>
  <w:style w:type="character" w:styleId="IntenseEmphasis">
    <w:name w:val="Intense Emphasis"/>
    <w:basedOn w:val="DefaultParagraphFont"/>
    <w:uiPriority w:val="21"/>
    <w:qFormat/>
    <w:rsid w:val="008B6293"/>
    <w:rPr>
      <w:i/>
      <w:iCs/>
      <w:color w:val="2F5496" w:themeColor="accent1" w:themeShade="BF"/>
    </w:rPr>
  </w:style>
  <w:style w:type="paragraph" w:styleId="IntenseQuote">
    <w:name w:val="Intense Quote"/>
    <w:basedOn w:val="Normal"/>
    <w:next w:val="Normal"/>
    <w:link w:val="IntenseQuoteChar"/>
    <w:uiPriority w:val="30"/>
    <w:qFormat/>
    <w:rsid w:val="008B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293"/>
    <w:rPr>
      <w:i/>
      <w:iCs/>
      <w:color w:val="2F5496" w:themeColor="accent1" w:themeShade="BF"/>
    </w:rPr>
  </w:style>
  <w:style w:type="character" w:styleId="IntenseReference">
    <w:name w:val="Intense Reference"/>
    <w:basedOn w:val="DefaultParagraphFont"/>
    <w:uiPriority w:val="32"/>
    <w:qFormat/>
    <w:rsid w:val="008B6293"/>
    <w:rPr>
      <w:b/>
      <w:bCs/>
      <w:smallCaps/>
      <w:color w:val="2F5496" w:themeColor="accent1" w:themeShade="BF"/>
      <w:spacing w:val="5"/>
    </w:rPr>
  </w:style>
  <w:style w:type="paragraph" w:styleId="NoSpacing">
    <w:name w:val="No Spacing"/>
    <w:link w:val="NoSpacingChar"/>
    <w:uiPriority w:val="1"/>
    <w:qFormat/>
    <w:rsid w:val="009B7762"/>
    <w:pPr>
      <w:spacing w:after="0" w:line="240" w:lineRule="auto"/>
    </w:pPr>
    <w:rPr>
      <w:rFonts w:ascii="Calibri" w:eastAsia="Times New Roman" w:hAnsi="Calibri" w:cs="Mangal"/>
      <w:kern w:val="0"/>
      <w:szCs w:val="20"/>
      <w:lang w:val="en-US" w:bidi="hi-IN"/>
      <w14:ligatures w14:val="none"/>
    </w:rPr>
  </w:style>
  <w:style w:type="character" w:styleId="Hyperlink">
    <w:name w:val="Hyperlink"/>
    <w:basedOn w:val="DefaultParagraphFont"/>
    <w:uiPriority w:val="99"/>
    <w:unhideWhenUsed/>
    <w:rsid w:val="009B7762"/>
    <w:rPr>
      <w:color w:val="0563C1" w:themeColor="hyperlink"/>
      <w:u w:val="single"/>
    </w:rPr>
  </w:style>
  <w:style w:type="character" w:customStyle="1" w:styleId="NoSpacingChar">
    <w:name w:val="No Spacing Char"/>
    <w:basedOn w:val="DefaultParagraphFont"/>
    <w:link w:val="NoSpacing"/>
    <w:uiPriority w:val="1"/>
    <w:rsid w:val="009B7762"/>
    <w:rPr>
      <w:rFonts w:ascii="Calibri" w:eastAsia="Times New Roman" w:hAnsi="Calibri" w:cs="Mangal"/>
      <w:kern w:val="0"/>
      <w:szCs w:val="20"/>
      <w:lang w:val="en-US" w:bidi="hi-IN"/>
      <w14:ligatures w14:val="none"/>
    </w:rPr>
  </w:style>
  <w:style w:type="table" w:styleId="TableGrid">
    <w:name w:val="Table Grid"/>
    <w:basedOn w:val="TableNormal"/>
    <w:uiPriority w:val="39"/>
    <w:rsid w:val="008C4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0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A2"/>
  </w:style>
  <w:style w:type="paragraph" w:styleId="Footer">
    <w:name w:val="footer"/>
    <w:basedOn w:val="Normal"/>
    <w:link w:val="FooterChar"/>
    <w:uiPriority w:val="99"/>
    <w:unhideWhenUsed/>
    <w:rsid w:val="009C0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A2"/>
  </w:style>
  <w:style w:type="character" w:customStyle="1" w:styleId="UnresolvedMention">
    <w:name w:val="Unresolved Mention"/>
    <w:basedOn w:val="DefaultParagraphFont"/>
    <w:uiPriority w:val="99"/>
    <w:semiHidden/>
    <w:unhideWhenUsed/>
    <w:rsid w:val="00E413E3"/>
    <w:rPr>
      <w:color w:val="605E5C"/>
      <w:shd w:val="clear" w:color="auto" w:fill="E1DFDD"/>
    </w:rPr>
  </w:style>
  <w:style w:type="character" w:styleId="CommentReference">
    <w:name w:val="annotation reference"/>
    <w:basedOn w:val="DefaultParagraphFont"/>
    <w:uiPriority w:val="99"/>
    <w:semiHidden/>
    <w:unhideWhenUsed/>
    <w:rsid w:val="00CC02FD"/>
    <w:rPr>
      <w:sz w:val="16"/>
      <w:szCs w:val="16"/>
    </w:rPr>
  </w:style>
  <w:style w:type="paragraph" w:styleId="CommentText">
    <w:name w:val="annotation text"/>
    <w:basedOn w:val="Normal"/>
    <w:link w:val="CommentTextChar"/>
    <w:uiPriority w:val="99"/>
    <w:semiHidden/>
    <w:unhideWhenUsed/>
    <w:rsid w:val="00CC02FD"/>
    <w:pPr>
      <w:spacing w:line="240" w:lineRule="auto"/>
    </w:pPr>
    <w:rPr>
      <w:sz w:val="20"/>
      <w:szCs w:val="20"/>
    </w:rPr>
  </w:style>
  <w:style w:type="character" w:customStyle="1" w:styleId="CommentTextChar">
    <w:name w:val="Comment Text Char"/>
    <w:basedOn w:val="DefaultParagraphFont"/>
    <w:link w:val="CommentText"/>
    <w:uiPriority w:val="99"/>
    <w:semiHidden/>
    <w:rsid w:val="00CC02FD"/>
    <w:rPr>
      <w:sz w:val="20"/>
      <w:szCs w:val="20"/>
    </w:rPr>
  </w:style>
  <w:style w:type="paragraph" w:styleId="CommentSubject">
    <w:name w:val="annotation subject"/>
    <w:basedOn w:val="CommentText"/>
    <w:next w:val="CommentText"/>
    <w:link w:val="CommentSubjectChar"/>
    <w:uiPriority w:val="99"/>
    <w:semiHidden/>
    <w:unhideWhenUsed/>
    <w:rsid w:val="00CC02FD"/>
    <w:rPr>
      <w:b/>
      <w:bCs/>
    </w:rPr>
  </w:style>
  <w:style w:type="character" w:customStyle="1" w:styleId="CommentSubjectChar">
    <w:name w:val="Comment Subject Char"/>
    <w:basedOn w:val="CommentTextChar"/>
    <w:link w:val="CommentSubject"/>
    <w:uiPriority w:val="99"/>
    <w:semiHidden/>
    <w:rsid w:val="00CC02FD"/>
    <w:rPr>
      <w:b/>
      <w:bCs/>
      <w:sz w:val="20"/>
      <w:szCs w:val="20"/>
    </w:rPr>
  </w:style>
  <w:style w:type="paragraph" w:styleId="BalloonText">
    <w:name w:val="Balloon Text"/>
    <w:basedOn w:val="Normal"/>
    <w:link w:val="BalloonTextChar"/>
    <w:uiPriority w:val="99"/>
    <w:semiHidden/>
    <w:unhideWhenUsed/>
    <w:rsid w:val="00CC0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2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Kilocalorie" TargetMode="External"/><Relationship Id="rId18" Type="http://schemas.openxmlformats.org/officeDocument/2006/relationships/hyperlink" Target="https://en.wikipedia.org/wiki/Magnesium" TargetMode="External"/><Relationship Id="rId26" Type="http://schemas.openxmlformats.org/officeDocument/2006/relationships/hyperlink" Target="https://en.wikipedia.org/wiki/Saturated_fat" TargetMode="External"/><Relationship Id="rId39" Type="http://schemas.openxmlformats.org/officeDocument/2006/relationships/theme" Target="theme/theme1.xml"/><Relationship Id="rId21" Type="http://schemas.openxmlformats.org/officeDocument/2006/relationships/hyperlink" Target="https://en.wikipedia.org/wiki/Alpha-Linolenic_acid"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n.wikipedia.org/wiki/Fat" TargetMode="External"/><Relationship Id="rId17" Type="http://schemas.openxmlformats.org/officeDocument/2006/relationships/hyperlink" Target="https://en.wikipedia.org/wiki/Thiamine" TargetMode="External"/><Relationship Id="rId25" Type="http://schemas.openxmlformats.org/officeDocument/2006/relationships/hyperlink" Target="https://en.wikipedia.org/wiki/Linoleic_acid"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Dietary_minerals" TargetMode="External"/><Relationship Id="rId20" Type="http://schemas.openxmlformats.org/officeDocument/2006/relationships/hyperlink" Target="https://en.wikipedia.org/wiki/Fat"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arbohydrate" TargetMode="External"/><Relationship Id="rId24" Type="http://schemas.openxmlformats.org/officeDocument/2006/relationships/hyperlink" Target="https://en.wikipedia.org/wiki/Omega-6_fatty_acid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n.wikipedia.org/wiki/Dietary_fiber" TargetMode="External"/><Relationship Id="rId23" Type="http://schemas.openxmlformats.org/officeDocument/2006/relationships/hyperlink" Target="https://en.wikipedia.org/wiki/Oleic_acid" TargetMode="External"/><Relationship Id="rId28" Type="http://schemas.openxmlformats.org/officeDocument/2006/relationships/image" Target="media/image1.jpg"/><Relationship Id="rId36" Type="http://schemas.openxmlformats.org/officeDocument/2006/relationships/header" Target="header3.xml"/><Relationship Id="rId10" Type="http://schemas.openxmlformats.org/officeDocument/2006/relationships/hyperlink" Target="https://en.wikipedia.org/wiki/Protein_(nutrient)" TargetMode="External"/><Relationship Id="rId19" Type="http://schemas.openxmlformats.org/officeDocument/2006/relationships/hyperlink" Target="https://en.wikipedia.org/wiki/Phosphorus" TargetMode="External"/><Relationship Id="rId31"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en.wikipedia.org/wiki/Daily_Value" TargetMode="External"/><Relationship Id="rId22" Type="http://schemas.openxmlformats.org/officeDocument/2006/relationships/hyperlink" Target="https://en.wikipedia.org/wiki/Omega-9_fatty_acids" TargetMode="External"/><Relationship Id="rId27" Type="http://schemas.openxmlformats.org/officeDocument/2006/relationships/hyperlink" Target="https://en.wikipedia.org/wiki/Palmitic_acid" TargetMode="External"/><Relationship Id="rId30" Type="http://schemas.openxmlformats.org/officeDocument/2006/relationships/chart" Target="charts/chart2.xm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Thesie%20word\RBD_Rohit_7%20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hesie%20word\RBD_Rohit_7%20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hesie%20word\RBD_Rohit_7%20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Growth parameters</a:t>
            </a:r>
          </a:p>
        </c:rich>
      </c:tx>
      <c:overlay val="0"/>
      <c:spPr>
        <a:noFill/>
        <a:ln>
          <a:noFill/>
        </a:ln>
        <a:effectLst/>
      </c:spPr>
    </c:title>
    <c:autoTitleDeleted val="0"/>
    <c:plotArea>
      <c:layout/>
      <c:barChart>
        <c:barDir val="col"/>
        <c:grouping val="clustered"/>
        <c:varyColors val="0"/>
        <c:ser>
          <c:idx val="0"/>
          <c:order val="0"/>
          <c:tx>
            <c:strRef>
              <c:f>Graphs!$GK$36:$GK$37</c:f>
              <c:strCache>
                <c:ptCount val="2"/>
                <c:pt idx="0">
                  <c:v>Plant height (cm)</c:v>
                </c:pt>
                <c:pt idx="1">
                  <c:v>60 DAS</c:v>
                </c:pt>
              </c:strCache>
            </c:strRef>
          </c:tx>
          <c:spPr>
            <a:solidFill>
              <a:srgbClr val="00B0F0"/>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Graphs!$GK$38:$GK$44</c:f>
              <c:numCache>
                <c:formatCode>General</c:formatCode>
                <c:ptCount val="7"/>
                <c:pt idx="0">
                  <c:v>22.2</c:v>
                </c:pt>
                <c:pt idx="1">
                  <c:v>25.4</c:v>
                </c:pt>
                <c:pt idx="2">
                  <c:v>24.2</c:v>
                </c:pt>
                <c:pt idx="3">
                  <c:v>27.1</c:v>
                </c:pt>
                <c:pt idx="4">
                  <c:v>27.7</c:v>
                </c:pt>
                <c:pt idx="5">
                  <c:v>25</c:v>
                </c:pt>
                <c:pt idx="6">
                  <c:v>27.3</c:v>
                </c:pt>
              </c:numCache>
            </c:numRef>
          </c:val>
          <c:extLst xmlns:c16r2="http://schemas.microsoft.com/office/drawing/2015/06/chart">
            <c:ext xmlns:c16="http://schemas.microsoft.com/office/drawing/2014/chart" uri="{C3380CC4-5D6E-409C-BE32-E72D297353CC}">
              <c16:uniqueId val="{00000000-23D2-4F7C-AE44-D70CDD4E1523}"/>
            </c:ext>
          </c:extLst>
        </c:ser>
        <c:ser>
          <c:idx val="1"/>
          <c:order val="1"/>
          <c:tx>
            <c:strRef>
              <c:f>Graphs!$GL$36:$GL$37</c:f>
              <c:strCache>
                <c:ptCount val="2"/>
                <c:pt idx="0">
                  <c:v>Plant height (cm)</c:v>
                </c:pt>
                <c:pt idx="1">
                  <c:v>90 DAS</c:v>
                </c:pt>
              </c:strCache>
            </c:strRef>
          </c:tx>
          <c:spPr>
            <a:solidFill>
              <a:schemeClr val="accent2"/>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Graphs!$GL$38:$GL$44</c:f>
              <c:numCache>
                <c:formatCode>General</c:formatCode>
                <c:ptCount val="7"/>
                <c:pt idx="0">
                  <c:v>60.6</c:v>
                </c:pt>
                <c:pt idx="1">
                  <c:v>64.400000000000006</c:v>
                </c:pt>
                <c:pt idx="2">
                  <c:v>63</c:v>
                </c:pt>
                <c:pt idx="3">
                  <c:v>64.7</c:v>
                </c:pt>
                <c:pt idx="4">
                  <c:v>71.3</c:v>
                </c:pt>
                <c:pt idx="5">
                  <c:v>63.3</c:v>
                </c:pt>
                <c:pt idx="6">
                  <c:v>67.8</c:v>
                </c:pt>
              </c:numCache>
            </c:numRef>
          </c:val>
          <c:extLst xmlns:c16r2="http://schemas.microsoft.com/office/drawing/2015/06/chart">
            <c:ext xmlns:c16="http://schemas.microsoft.com/office/drawing/2014/chart" uri="{C3380CC4-5D6E-409C-BE32-E72D297353CC}">
              <c16:uniqueId val="{00000001-23D2-4F7C-AE44-D70CDD4E1523}"/>
            </c:ext>
          </c:extLst>
        </c:ser>
        <c:ser>
          <c:idx val="2"/>
          <c:order val="2"/>
          <c:tx>
            <c:strRef>
              <c:f>Graphs!$GM$36:$GM$37</c:f>
              <c:strCache>
                <c:ptCount val="2"/>
                <c:pt idx="0">
                  <c:v>Number of leaves plant⁻¹</c:v>
                </c:pt>
                <c:pt idx="1">
                  <c:v>60 DAS</c:v>
                </c:pt>
              </c:strCache>
            </c:strRef>
          </c:tx>
          <c:spPr>
            <a:solidFill>
              <a:srgbClr val="EE000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Graphs!$GM$38:$GM$44</c:f>
              <c:numCache>
                <c:formatCode>General</c:formatCode>
                <c:ptCount val="7"/>
                <c:pt idx="0">
                  <c:v>100.8</c:v>
                </c:pt>
                <c:pt idx="1">
                  <c:v>112.3</c:v>
                </c:pt>
                <c:pt idx="2">
                  <c:v>106.1</c:v>
                </c:pt>
                <c:pt idx="3">
                  <c:v>119.1</c:v>
                </c:pt>
                <c:pt idx="4">
                  <c:v>125.8</c:v>
                </c:pt>
                <c:pt idx="5">
                  <c:v>108.5</c:v>
                </c:pt>
                <c:pt idx="6">
                  <c:v>121.6</c:v>
                </c:pt>
              </c:numCache>
            </c:numRef>
          </c:val>
          <c:extLst xmlns:c16r2="http://schemas.microsoft.com/office/drawing/2015/06/chart">
            <c:ext xmlns:c16="http://schemas.microsoft.com/office/drawing/2014/chart" uri="{C3380CC4-5D6E-409C-BE32-E72D297353CC}">
              <c16:uniqueId val="{00000002-23D2-4F7C-AE44-D70CDD4E1523}"/>
            </c:ext>
          </c:extLst>
        </c:ser>
        <c:ser>
          <c:idx val="3"/>
          <c:order val="3"/>
          <c:tx>
            <c:strRef>
              <c:f>Graphs!$GN$36:$GN$37</c:f>
              <c:strCache>
                <c:ptCount val="2"/>
                <c:pt idx="0">
                  <c:v>Number of leaves plant⁻¹</c:v>
                </c:pt>
                <c:pt idx="1">
                  <c:v>90 DAS</c:v>
                </c:pt>
              </c:strCache>
            </c:strRef>
          </c:tx>
          <c:spPr>
            <a:solidFill>
              <a:schemeClr val="accent4"/>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Graphs!$GN$38:$GN$44</c:f>
              <c:numCache>
                <c:formatCode>General</c:formatCode>
                <c:ptCount val="7"/>
                <c:pt idx="0">
                  <c:v>149.1</c:v>
                </c:pt>
                <c:pt idx="1">
                  <c:v>165.9</c:v>
                </c:pt>
                <c:pt idx="2">
                  <c:v>153.80000000000001</c:v>
                </c:pt>
                <c:pt idx="3">
                  <c:v>168.9</c:v>
                </c:pt>
                <c:pt idx="4">
                  <c:v>183.1</c:v>
                </c:pt>
                <c:pt idx="5">
                  <c:v>158.19999999999999</c:v>
                </c:pt>
                <c:pt idx="6">
                  <c:v>174.9</c:v>
                </c:pt>
              </c:numCache>
            </c:numRef>
          </c:val>
          <c:extLst xmlns:c16r2="http://schemas.microsoft.com/office/drawing/2015/06/chart">
            <c:ext xmlns:c16="http://schemas.microsoft.com/office/drawing/2014/chart" uri="{C3380CC4-5D6E-409C-BE32-E72D297353CC}">
              <c16:uniqueId val="{00000003-23D2-4F7C-AE44-D70CDD4E1523}"/>
            </c:ext>
          </c:extLst>
        </c:ser>
        <c:ser>
          <c:idx val="4"/>
          <c:order val="4"/>
          <c:tx>
            <c:strRef>
              <c:f>Graphs!$GO$36:$GO$37</c:f>
              <c:strCache>
                <c:ptCount val="2"/>
                <c:pt idx="0">
                  <c:v>Leaf area (cm⁻¹ )</c:v>
                </c:pt>
                <c:pt idx="1">
                  <c:v>60 DAS</c:v>
                </c:pt>
              </c:strCache>
            </c:strRef>
          </c:tx>
          <c:spPr>
            <a:solidFill>
              <a:srgbClr val="7030A0"/>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Graphs!$GO$38:$GO$44</c:f>
              <c:numCache>
                <c:formatCode>General</c:formatCode>
                <c:ptCount val="7"/>
                <c:pt idx="0">
                  <c:v>39.700000000000003</c:v>
                </c:pt>
                <c:pt idx="1">
                  <c:v>43.2</c:v>
                </c:pt>
                <c:pt idx="2">
                  <c:v>40.6</c:v>
                </c:pt>
                <c:pt idx="3">
                  <c:v>43.2</c:v>
                </c:pt>
                <c:pt idx="4">
                  <c:v>48.1</c:v>
                </c:pt>
                <c:pt idx="5">
                  <c:v>42.4</c:v>
                </c:pt>
                <c:pt idx="6">
                  <c:v>45.2</c:v>
                </c:pt>
              </c:numCache>
            </c:numRef>
          </c:val>
          <c:extLst xmlns:c16r2="http://schemas.microsoft.com/office/drawing/2015/06/chart">
            <c:ext xmlns:c16="http://schemas.microsoft.com/office/drawing/2014/chart" uri="{C3380CC4-5D6E-409C-BE32-E72D297353CC}">
              <c16:uniqueId val="{00000004-23D2-4F7C-AE44-D70CDD4E1523}"/>
            </c:ext>
          </c:extLst>
        </c:ser>
        <c:ser>
          <c:idx val="5"/>
          <c:order val="5"/>
          <c:tx>
            <c:strRef>
              <c:f>Graphs!$GP$36:$GP$37</c:f>
              <c:strCache>
                <c:ptCount val="2"/>
                <c:pt idx="0">
                  <c:v>Leaf area (cm⁻¹ )</c:v>
                </c:pt>
                <c:pt idx="1">
                  <c:v>90 DAS</c:v>
                </c:pt>
              </c:strCache>
            </c:strRef>
          </c:tx>
          <c:spPr>
            <a:solidFill>
              <a:schemeClr val="accent6"/>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Graphs!$GP$38:$GP$44</c:f>
              <c:numCache>
                <c:formatCode>General</c:formatCode>
                <c:ptCount val="7"/>
                <c:pt idx="0">
                  <c:v>44.4</c:v>
                </c:pt>
                <c:pt idx="1">
                  <c:v>50.1</c:v>
                </c:pt>
                <c:pt idx="2">
                  <c:v>45.6</c:v>
                </c:pt>
                <c:pt idx="3">
                  <c:v>51</c:v>
                </c:pt>
                <c:pt idx="4">
                  <c:v>52.6</c:v>
                </c:pt>
                <c:pt idx="5">
                  <c:v>0</c:v>
                </c:pt>
                <c:pt idx="6">
                  <c:v>51.7</c:v>
                </c:pt>
              </c:numCache>
            </c:numRef>
          </c:val>
          <c:extLst xmlns:c16r2="http://schemas.microsoft.com/office/drawing/2015/06/chart">
            <c:ext xmlns:c16="http://schemas.microsoft.com/office/drawing/2014/chart" uri="{C3380CC4-5D6E-409C-BE32-E72D297353CC}">
              <c16:uniqueId val="{00000005-23D2-4F7C-AE44-D70CDD4E1523}"/>
            </c:ext>
          </c:extLst>
        </c:ser>
        <c:dLbls>
          <c:showLegendKey val="0"/>
          <c:showVal val="0"/>
          <c:showCatName val="0"/>
          <c:showSerName val="0"/>
          <c:showPercent val="0"/>
          <c:showBubbleSize val="0"/>
        </c:dLbls>
        <c:gapWidth val="219"/>
        <c:overlap val="-27"/>
        <c:axId val="160698368"/>
        <c:axId val="153787712"/>
      </c:barChart>
      <c:catAx>
        <c:axId val="16069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3787712"/>
        <c:crosses val="autoZero"/>
        <c:auto val="1"/>
        <c:lblAlgn val="ctr"/>
        <c:lblOffset val="100"/>
        <c:noMultiLvlLbl val="0"/>
      </c:catAx>
      <c:valAx>
        <c:axId val="153787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069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b="1">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Number of branches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Graphs!$GK$79:$GK$80</c:f>
              <c:strCache>
                <c:ptCount val="2"/>
                <c:pt idx="0">
                  <c:v>Number of  branches (plant⁻¹) </c:v>
                </c:pt>
                <c:pt idx="1">
                  <c:v>60 DAS</c:v>
                </c:pt>
              </c:strCache>
            </c:strRef>
          </c:tx>
          <c:spPr>
            <a:solidFill>
              <a:schemeClr val="accent1"/>
            </a:solidFill>
            <a:ln>
              <a:noFill/>
            </a:ln>
            <a:effectLst/>
            <a:sp3d/>
          </c:spPr>
          <c:invertIfNegative val="0"/>
          <c:cat>
            <c:strRef>
              <c:f>Graphs!$GJ$81:$GJ$87</c:f>
              <c:strCache>
                <c:ptCount val="7"/>
                <c:pt idx="0">
                  <c:v>T₁</c:v>
                </c:pt>
                <c:pt idx="1">
                  <c:v>T₂</c:v>
                </c:pt>
                <c:pt idx="2">
                  <c:v>T₃</c:v>
                </c:pt>
                <c:pt idx="3">
                  <c:v>T₄ </c:v>
                </c:pt>
                <c:pt idx="4">
                  <c:v>T₅ </c:v>
                </c:pt>
                <c:pt idx="5">
                  <c:v>T₆ </c:v>
                </c:pt>
                <c:pt idx="6">
                  <c:v>T₇</c:v>
                </c:pt>
              </c:strCache>
            </c:strRef>
          </c:cat>
          <c:val>
            <c:numRef>
              <c:f>Graphs!$GK$81:$GK$87</c:f>
              <c:numCache>
                <c:formatCode>General</c:formatCode>
                <c:ptCount val="7"/>
                <c:pt idx="0">
                  <c:v>2.57</c:v>
                </c:pt>
                <c:pt idx="1">
                  <c:v>3.76</c:v>
                </c:pt>
                <c:pt idx="2">
                  <c:v>2.83</c:v>
                </c:pt>
                <c:pt idx="3">
                  <c:v>3.3</c:v>
                </c:pt>
                <c:pt idx="4">
                  <c:v>3.6</c:v>
                </c:pt>
                <c:pt idx="5">
                  <c:v>2.93</c:v>
                </c:pt>
                <c:pt idx="6">
                  <c:v>3.4</c:v>
                </c:pt>
              </c:numCache>
            </c:numRef>
          </c:val>
          <c:extLst xmlns:c16r2="http://schemas.microsoft.com/office/drawing/2015/06/chart">
            <c:ext xmlns:c16="http://schemas.microsoft.com/office/drawing/2014/chart" uri="{C3380CC4-5D6E-409C-BE32-E72D297353CC}">
              <c16:uniqueId val="{00000000-0238-4BC3-B10C-E3DF5F8B5B26}"/>
            </c:ext>
          </c:extLst>
        </c:ser>
        <c:ser>
          <c:idx val="1"/>
          <c:order val="1"/>
          <c:tx>
            <c:strRef>
              <c:f>Graphs!$GL$79:$GL$80</c:f>
              <c:strCache>
                <c:ptCount val="2"/>
                <c:pt idx="0">
                  <c:v>Number of  branches (plant⁻¹) </c:v>
                </c:pt>
                <c:pt idx="1">
                  <c:v>90 DAS</c:v>
                </c:pt>
              </c:strCache>
            </c:strRef>
          </c:tx>
          <c:spPr>
            <a:solidFill>
              <a:schemeClr val="accent2"/>
            </a:solidFill>
            <a:ln>
              <a:noFill/>
            </a:ln>
            <a:effectLst/>
            <a:sp3d/>
          </c:spPr>
          <c:invertIfNegative val="0"/>
          <c:cat>
            <c:strRef>
              <c:f>Graphs!$GJ$81:$GJ$87</c:f>
              <c:strCache>
                <c:ptCount val="7"/>
                <c:pt idx="0">
                  <c:v>T₁</c:v>
                </c:pt>
                <c:pt idx="1">
                  <c:v>T₂</c:v>
                </c:pt>
                <c:pt idx="2">
                  <c:v>T₃</c:v>
                </c:pt>
                <c:pt idx="3">
                  <c:v>T₄ </c:v>
                </c:pt>
                <c:pt idx="4">
                  <c:v>T₅ </c:v>
                </c:pt>
                <c:pt idx="5">
                  <c:v>T₆ </c:v>
                </c:pt>
                <c:pt idx="6">
                  <c:v>T₇</c:v>
                </c:pt>
              </c:strCache>
            </c:strRef>
          </c:cat>
          <c:val>
            <c:numRef>
              <c:f>Graphs!$GL$81:$GL$87</c:f>
              <c:numCache>
                <c:formatCode>General</c:formatCode>
                <c:ptCount val="7"/>
                <c:pt idx="0">
                  <c:v>15.4</c:v>
                </c:pt>
                <c:pt idx="1">
                  <c:v>16.03</c:v>
                </c:pt>
                <c:pt idx="2">
                  <c:v>15.13</c:v>
                </c:pt>
                <c:pt idx="3">
                  <c:v>16.77</c:v>
                </c:pt>
                <c:pt idx="4">
                  <c:v>19.13</c:v>
                </c:pt>
                <c:pt idx="5">
                  <c:v>15.4</c:v>
                </c:pt>
                <c:pt idx="6">
                  <c:v>18.07</c:v>
                </c:pt>
              </c:numCache>
            </c:numRef>
          </c:val>
          <c:extLst xmlns:c16r2="http://schemas.microsoft.com/office/drawing/2015/06/chart">
            <c:ext xmlns:c16="http://schemas.microsoft.com/office/drawing/2014/chart" uri="{C3380CC4-5D6E-409C-BE32-E72D297353CC}">
              <c16:uniqueId val="{00000001-0238-4BC3-B10C-E3DF5F8B5B26}"/>
            </c:ext>
          </c:extLst>
        </c:ser>
        <c:dLbls>
          <c:showLegendKey val="0"/>
          <c:showVal val="0"/>
          <c:showCatName val="0"/>
          <c:showSerName val="0"/>
          <c:showPercent val="0"/>
          <c:showBubbleSize val="0"/>
        </c:dLbls>
        <c:gapWidth val="150"/>
        <c:shape val="box"/>
        <c:axId val="160698880"/>
        <c:axId val="156378240"/>
        <c:axId val="0"/>
      </c:bar3DChart>
      <c:catAx>
        <c:axId val="160698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6378240"/>
        <c:crosses val="autoZero"/>
        <c:auto val="1"/>
        <c:lblAlgn val="ctr"/>
        <c:lblOffset val="100"/>
        <c:noMultiLvlLbl val="0"/>
      </c:catAx>
      <c:valAx>
        <c:axId val="156378240"/>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069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b="1">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Yield attributes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solidFill>
            <a:schemeClr val="accent3">
              <a:lumMod val="20000"/>
              <a:lumOff val="80000"/>
            </a:schemeClr>
          </a:solidFill>
        </a:ln>
        <a:effectLst/>
        <a:sp3d>
          <a:contourClr>
            <a:schemeClr val="accent3">
              <a:lumMod val="20000"/>
              <a:lumOff val="80000"/>
            </a:schemeClr>
          </a:contourClr>
        </a:sp3d>
      </c:spPr>
    </c:sideWall>
    <c:backWall>
      <c:thickness val="0"/>
      <c:spPr>
        <a:noFill/>
        <a:ln>
          <a:solidFill>
            <a:schemeClr val="accent3">
              <a:lumMod val="20000"/>
              <a:lumOff val="80000"/>
            </a:schemeClr>
          </a:solidFill>
        </a:ln>
        <a:effectLst/>
        <a:sp3d>
          <a:contourClr>
            <a:schemeClr val="accent3">
              <a:lumMod val="20000"/>
              <a:lumOff val="80000"/>
            </a:schemeClr>
          </a:contourClr>
        </a:sp3d>
      </c:spPr>
    </c:backWall>
    <c:plotArea>
      <c:layout/>
      <c:bar3DChart>
        <c:barDir val="col"/>
        <c:grouping val="clustered"/>
        <c:varyColors val="0"/>
        <c:ser>
          <c:idx val="0"/>
          <c:order val="0"/>
          <c:tx>
            <c:strRef>
              <c:f>Graphs!$GX$36:$GX$38</c:f>
              <c:strCache>
                <c:ptCount val="3"/>
                <c:pt idx="0">
                  <c:v>Number of branches (plant⁻¹)</c:v>
                </c:pt>
              </c:strCache>
            </c:strRef>
          </c:tx>
          <c:spPr>
            <a:solidFill>
              <a:srgbClr val="C00000"/>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Graphs!$GX$39:$GX$45</c:f>
              <c:numCache>
                <c:formatCode>General</c:formatCode>
                <c:ptCount val="7"/>
                <c:pt idx="0">
                  <c:v>30.2</c:v>
                </c:pt>
                <c:pt idx="1">
                  <c:v>33.799999999999997</c:v>
                </c:pt>
                <c:pt idx="2">
                  <c:v>31.5</c:v>
                </c:pt>
                <c:pt idx="3">
                  <c:v>35.700000000000003</c:v>
                </c:pt>
                <c:pt idx="4">
                  <c:v>37.700000000000003</c:v>
                </c:pt>
                <c:pt idx="5">
                  <c:v>32.200000000000003</c:v>
                </c:pt>
                <c:pt idx="6">
                  <c:v>34.299999999999997</c:v>
                </c:pt>
              </c:numCache>
            </c:numRef>
          </c:val>
          <c:extLst xmlns:c16r2="http://schemas.microsoft.com/office/drawing/2015/06/chart">
            <c:ext xmlns:c16="http://schemas.microsoft.com/office/drawing/2014/chart" uri="{C3380CC4-5D6E-409C-BE32-E72D297353CC}">
              <c16:uniqueId val="{00000000-B869-4B0E-AE10-A26770A58B72}"/>
            </c:ext>
          </c:extLst>
        </c:ser>
        <c:ser>
          <c:idx val="1"/>
          <c:order val="1"/>
          <c:tx>
            <c:strRef>
              <c:f>Graphs!$GY$36:$GY$38</c:f>
              <c:strCache>
                <c:ptCount val="3"/>
                <c:pt idx="0">
                  <c:v>Number of seeds capsule⁻¹ </c:v>
                </c:pt>
              </c:strCache>
            </c:strRef>
          </c:tx>
          <c:spPr>
            <a:solidFill>
              <a:schemeClr val="accent2"/>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Graphs!$GY$39:$GY$45</c:f>
              <c:numCache>
                <c:formatCode>General</c:formatCode>
                <c:ptCount val="7"/>
                <c:pt idx="0">
                  <c:v>7.4</c:v>
                </c:pt>
                <c:pt idx="1">
                  <c:v>8.4</c:v>
                </c:pt>
                <c:pt idx="2">
                  <c:v>7.8</c:v>
                </c:pt>
                <c:pt idx="3">
                  <c:v>8.5</c:v>
                </c:pt>
                <c:pt idx="4">
                  <c:v>8.9</c:v>
                </c:pt>
                <c:pt idx="5">
                  <c:v>8</c:v>
                </c:pt>
                <c:pt idx="6">
                  <c:v>8.6999999999999993</c:v>
                </c:pt>
              </c:numCache>
            </c:numRef>
          </c:val>
          <c:extLst xmlns:c16r2="http://schemas.microsoft.com/office/drawing/2015/06/chart">
            <c:ext xmlns:c16="http://schemas.microsoft.com/office/drawing/2014/chart" uri="{C3380CC4-5D6E-409C-BE32-E72D297353CC}">
              <c16:uniqueId val="{00000001-B869-4B0E-AE10-A26770A58B72}"/>
            </c:ext>
          </c:extLst>
        </c:ser>
        <c:ser>
          <c:idx val="2"/>
          <c:order val="2"/>
          <c:tx>
            <c:strRef>
              <c:f>Graphs!$GZ$36:$GZ$38</c:f>
              <c:strCache>
                <c:ptCount val="3"/>
                <c:pt idx="0">
                  <c:v>1000 Grain weight (g)</c:v>
                </c:pt>
              </c:strCache>
            </c:strRef>
          </c:tx>
          <c:spPr>
            <a:solidFill>
              <a:srgbClr val="00B050"/>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Graphs!$GZ$39:$GZ$45</c:f>
              <c:numCache>
                <c:formatCode>General</c:formatCode>
                <c:ptCount val="7"/>
                <c:pt idx="0">
                  <c:v>6.7</c:v>
                </c:pt>
                <c:pt idx="1">
                  <c:v>7.5</c:v>
                </c:pt>
                <c:pt idx="2">
                  <c:v>7</c:v>
                </c:pt>
                <c:pt idx="3">
                  <c:v>7.6</c:v>
                </c:pt>
                <c:pt idx="4">
                  <c:v>8.1</c:v>
                </c:pt>
                <c:pt idx="5">
                  <c:v>7.2</c:v>
                </c:pt>
                <c:pt idx="6">
                  <c:v>7.8</c:v>
                </c:pt>
              </c:numCache>
            </c:numRef>
          </c:val>
          <c:extLst xmlns:c16r2="http://schemas.microsoft.com/office/drawing/2015/06/chart">
            <c:ext xmlns:c16="http://schemas.microsoft.com/office/drawing/2014/chart" uri="{C3380CC4-5D6E-409C-BE32-E72D297353CC}">
              <c16:uniqueId val="{00000002-B869-4B0E-AE10-A26770A58B72}"/>
            </c:ext>
          </c:extLst>
        </c:ser>
        <c:dLbls>
          <c:showLegendKey val="0"/>
          <c:showVal val="0"/>
          <c:showCatName val="0"/>
          <c:showSerName val="0"/>
          <c:showPercent val="0"/>
          <c:showBubbleSize val="0"/>
        </c:dLbls>
        <c:gapWidth val="150"/>
        <c:shape val="box"/>
        <c:axId val="160699392"/>
        <c:axId val="156379968"/>
        <c:axId val="0"/>
      </c:bar3DChart>
      <c:catAx>
        <c:axId val="160699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6379968"/>
        <c:crosses val="autoZero"/>
        <c:auto val="1"/>
        <c:lblAlgn val="ctr"/>
        <c:lblOffset val="100"/>
        <c:noMultiLvlLbl val="0"/>
      </c:catAx>
      <c:valAx>
        <c:axId val="156379968"/>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069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b="1">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FEED4-8D65-48FA-85F6-8CB7306A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14</Pages>
  <Words>9873</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rohitgouatm@gmail.com</dc:creator>
  <cp:keywords/>
  <dc:description/>
  <cp:lastModifiedBy>dell</cp:lastModifiedBy>
  <cp:revision>31</cp:revision>
  <dcterms:created xsi:type="dcterms:W3CDTF">2025-09-18T08:05:00Z</dcterms:created>
  <dcterms:modified xsi:type="dcterms:W3CDTF">2025-09-24T08:07:00Z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21d3c2fa-6e11-39f2-a8b4-4ffc1e739b04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