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1132" w14:textId="77777777" w:rsidR="00AF06C8" w:rsidRDefault="001F0481">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Dramatic biochemical changes in </w:t>
      </w:r>
      <w:r>
        <w:rPr>
          <w:rFonts w:ascii="Times New Roman" w:hAnsi="Times New Roman" w:cs="Times New Roman"/>
          <w:b/>
          <w:sz w:val="24"/>
          <w:szCs w:val="24"/>
        </w:rPr>
        <w:t>brinjal cultivars</w:t>
      </w:r>
      <w:r>
        <w:rPr>
          <w:rFonts w:ascii="Times New Roman" w:eastAsia="Times New Roman" w:hAnsi="Times New Roman" w:cs="Times New Roman"/>
          <w:b/>
          <w:color w:val="000000"/>
          <w:sz w:val="24"/>
          <w:szCs w:val="24"/>
        </w:rPr>
        <w:t xml:space="preserve"> due to infection with </w:t>
      </w:r>
      <w:r>
        <w:rPr>
          <w:rFonts w:ascii="Times New Roman" w:hAnsi="Times New Roman" w:cs="Times New Roman"/>
          <w:b/>
          <w:bCs/>
          <w:i/>
          <w:color w:val="000000"/>
          <w:sz w:val="24"/>
          <w:szCs w:val="24"/>
        </w:rPr>
        <w:t>Alternaria</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Keissler) </w:t>
      </w:r>
      <w:r>
        <w:rPr>
          <w:rFonts w:ascii="Times New Roman" w:eastAsia="Times New Roman" w:hAnsi="Times New Roman" w:cs="Times New Roman"/>
          <w:b/>
          <w:color w:val="000000"/>
          <w:sz w:val="24"/>
          <w:szCs w:val="24"/>
        </w:rPr>
        <w:t>causing early blight disease</w:t>
      </w:r>
    </w:p>
    <w:p w14:paraId="2253681A" w14:textId="77777777" w:rsidR="001F3127" w:rsidRDefault="001F3127">
      <w:pPr>
        <w:spacing w:after="0" w:line="360" w:lineRule="auto"/>
        <w:rPr>
          <w:rFonts w:ascii="Times New Roman" w:hAnsi="Times New Roman" w:cs="Times New Roman"/>
          <w:b/>
          <w:bCs/>
          <w:color w:val="000000"/>
          <w:sz w:val="24"/>
          <w:szCs w:val="24"/>
        </w:rPr>
      </w:pPr>
    </w:p>
    <w:p w14:paraId="342020C9" w14:textId="67A43A09" w:rsidR="00AF06C8" w:rsidRPr="00942E78" w:rsidRDefault="001F0481">
      <w:pPr>
        <w:spacing w:after="0" w:line="360" w:lineRule="auto"/>
        <w:rPr>
          <w:rFonts w:ascii="Times New Roman" w:hAnsi="Times New Roman" w:cs="Times New Roman"/>
          <w:b/>
          <w:bCs/>
          <w:color w:val="000000"/>
          <w:sz w:val="24"/>
          <w:szCs w:val="24"/>
          <w:highlight w:val="yellow"/>
        </w:rPr>
      </w:pPr>
      <w:r w:rsidRPr="00942E78">
        <w:rPr>
          <w:rFonts w:ascii="Times New Roman" w:hAnsi="Times New Roman" w:cs="Times New Roman"/>
          <w:b/>
          <w:bCs/>
          <w:color w:val="000000"/>
          <w:sz w:val="24"/>
          <w:szCs w:val="24"/>
          <w:highlight w:val="yellow"/>
        </w:rPr>
        <w:t xml:space="preserve">Abstract </w:t>
      </w:r>
    </w:p>
    <w:p w14:paraId="4F968C1F" w14:textId="77777777" w:rsidR="00AF06C8" w:rsidRPr="00942E78" w:rsidRDefault="00AF06C8">
      <w:pPr>
        <w:autoSpaceDE w:val="0"/>
        <w:autoSpaceDN w:val="0"/>
        <w:adjustRightInd w:val="0"/>
        <w:spacing w:after="0" w:line="240" w:lineRule="auto"/>
        <w:rPr>
          <w:rFonts w:ascii="Times New Roman" w:hAnsi="Times New Roman" w:cs="Times New Roman"/>
          <w:color w:val="000000"/>
          <w:sz w:val="2"/>
          <w:szCs w:val="24"/>
          <w:highlight w:val="yellow"/>
        </w:rPr>
      </w:pPr>
    </w:p>
    <w:p w14:paraId="5D8A5794" w14:textId="61FD3502" w:rsidR="00AF06C8" w:rsidRDefault="001F0481">
      <w:pPr>
        <w:spacing w:after="0" w:line="360" w:lineRule="auto"/>
        <w:ind w:firstLine="540"/>
        <w:jc w:val="both"/>
        <w:rPr>
          <w:rFonts w:ascii="Times New Roman" w:hAnsi="Times New Roman" w:cs="Times New Roman"/>
          <w:sz w:val="24"/>
          <w:szCs w:val="24"/>
        </w:rPr>
      </w:pPr>
      <w:r w:rsidRPr="00942E78">
        <w:rPr>
          <w:rFonts w:ascii="Times New Roman" w:hAnsi="Times New Roman" w:cs="Times New Roman"/>
          <w:color w:val="000000"/>
          <w:sz w:val="36"/>
          <w:szCs w:val="24"/>
          <w:highlight w:val="yellow"/>
        </w:rPr>
        <w:t xml:space="preserve"> </w:t>
      </w:r>
      <w:r w:rsidRPr="00942E78">
        <w:rPr>
          <w:rFonts w:ascii="Times New Roman" w:hAnsi="Times New Roman" w:cs="Times New Roman"/>
          <w:color w:val="000000"/>
          <w:sz w:val="24"/>
          <w:szCs w:val="18"/>
          <w:highlight w:val="yellow"/>
        </w:rPr>
        <w:t xml:space="preserve">The aim was to find out best media to support the maximum mycelial growth of </w:t>
      </w:r>
      <w:proofErr w:type="spellStart"/>
      <w:r w:rsidRPr="00942E78">
        <w:rPr>
          <w:rFonts w:ascii="Times New Roman" w:hAnsi="Times New Roman" w:cs="Times New Roman"/>
          <w:i/>
          <w:iCs/>
          <w:color w:val="000000"/>
          <w:sz w:val="24"/>
          <w:szCs w:val="18"/>
          <w:highlight w:val="yellow"/>
        </w:rPr>
        <w:t>Sclerotinia</w:t>
      </w:r>
      <w:proofErr w:type="spellEnd"/>
      <w:r w:rsidRPr="00942E78">
        <w:rPr>
          <w:rFonts w:ascii="Times New Roman" w:hAnsi="Times New Roman" w:cs="Times New Roman"/>
          <w:i/>
          <w:iCs/>
          <w:color w:val="000000"/>
          <w:sz w:val="24"/>
          <w:szCs w:val="18"/>
          <w:highlight w:val="yellow"/>
        </w:rPr>
        <w:t xml:space="preserve"> </w:t>
      </w:r>
      <w:proofErr w:type="spellStart"/>
      <w:r w:rsidRPr="00942E78">
        <w:rPr>
          <w:rFonts w:ascii="Times New Roman" w:hAnsi="Times New Roman" w:cs="Times New Roman"/>
          <w:i/>
          <w:iCs/>
          <w:color w:val="000000"/>
          <w:sz w:val="24"/>
          <w:szCs w:val="18"/>
          <w:highlight w:val="yellow"/>
        </w:rPr>
        <w:t>sclerotiorum</w:t>
      </w:r>
      <w:proofErr w:type="spellEnd"/>
      <w:r w:rsidRPr="00942E78">
        <w:rPr>
          <w:rFonts w:ascii="Times New Roman" w:hAnsi="Times New Roman" w:cs="Times New Roman"/>
          <w:i/>
          <w:iCs/>
          <w:color w:val="000000"/>
          <w:sz w:val="24"/>
          <w:szCs w:val="18"/>
          <w:highlight w:val="yellow"/>
        </w:rPr>
        <w:t xml:space="preserve">, </w:t>
      </w:r>
      <w:r w:rsidRPr="00942E78">
        <w:rPr>
          <w:rFonts w:ascii="Times New Roman" w:hAnsi="Times New Roman" w:cs="Times New Roman"/>
          <w:color w:val="000000"/>
          <w:sz w:val="24"/>
          <w:szCs w:val="18"/>
          <w:highlight w:val="yellow"/>
        </w:rPr>
        <w:t xml:space="preserve">with keeping this view in </w:t>
      </w:r>
      <w:proofErr w:type="spellStart"/>
      <w:r w:rsidRPr="00942E78">
        <w:rPr>
          <w:rFonts w:ascii="Times New Roman" w:hAnsi="Times New Roman" w:cs="Times New Roman"/>
          <w:color w:val="000000"/>
          <w:sz w:val="24"/>
          <w:szCs w:val="18"/>
          <w:highlight w:val="yellow"/>
        </w:rPr>
        <w:t>mind</w:t>
      </w:r>
      <w:commentRangeStart w:id="0"/>
      <w:r w:rsidRPr="00942E78">
        <w:rPr>
          <w:rFonts w:ascii="Times New Roman" w:hAnsi="Times New Roman" w:cs="Times New Roman"/>
          <w:color w:val="000000"/>
          <w:sz w:val="24"/>
          <w:szCs w:val="18"/>
          <w:highlight w:val="yellow"/>
          <w:rPrChange w:id="1" w:author="Marcio Pinto" w:date="2025-10-13T10:22:00Z">
            <w:rPr>
              <w:rFonts w:ascii="Times New Roman" w:hAnsi="Times New Roman" w:cs="Times New Roman"/>
              <w:color w:val="000000"/>
              <w:sz w:val="24"/>
              <w:szCs w:val="18"/>
            </w:rPr>
          </w:rPrChange>
        </w:rPr>
        <w:t>present</w:t>
      </w:r>
      <w:proofErr w:type="spellEnd"/>
      <w:r w:rsidRPr="00942E78">
        <w:rPr>
          <w:rFonts w:ascii="Times New Roman" w:hAnsi="Times New Roman" w:cs="Times New Roman"/>
          <w:color w:val="000000"/>
          <w:sz w:val="24"/>
          <w:szCs w:val="18"/>
          <w:highlight w:val="yellow"/>
          <w:rPrChange w:id="2" w:author="Marcio Pinto" w:date="2025-10-13T10:22:00Z">
            <w:rPr>
              <w:rFonts w:ascii="Times New Roman" w:hAnsi="Times New Roman" w:cs="Times New Roman"/>
              <w:color w:val="000000"/>
              <w:sz w:val="24"/>
              <w:szCs w:val="18"/>
            </w:rPr>
          </w:rPrChange>
        </w:rPr>
        <w:t xml:space="preserve"> experiment was conducted at Department of Plant Pathology, College of Agriculture, RVSKVV, and Gwalior Madhya Pradesh</w:t>
      </w:r>
      <w:r w:rsidRPr="00942E78">
        <w:rPr>
          <w:rFonts w:ascii="Times New Roman" w:hAnsi="Times New Roman" w:cs="Times New Roman"/>
          <w:color w:val="000000"/>
          <w:sz w:val="18"/>
          <w:szCs w:val="18"/>
          <w:highlight w:val="yellow"/>
          <w:rPrChange w:id="3" w:author="Marcio Pinto" w:date="2025-10-13T10:22:00Z">
            <w:rPr>
              <w:rFonts w:ascii="Times New Roman" w:hAnsi="Times New Roman" w:cs="Times New Roman"/>
              <w:color w:val="000000"/>
              <w:sz w:val="18"/>
              <w:szCs w:val="18"/>
            </w:rPr>
          </w:rPrChange>
        </w:rPr>
        <w:t xml:space="preserve">. </w:t>
      </w:r>
      <w:r w:rsidRPr="00942E78">
        <w:rPr>
          <w:rFonts w:ascii="Times New Roman" w:hAnsi="Times New Roman" w:cs="Times New Roman"/>
          <w:sz w:val="24"/>
          <w:szCs w:val="24"/>
          <w:highlight w:val="yellow"/>
          <w:rPrChange w:id="4" w:author="Marcio Pinto" w:date="2025-10-13T10:22:00Z">
            <w:rPr>
              <w:rFonts w:ascii="Times New Roman" w:hAnsi="Times New Roman" w:cs="Times New Roman"/>
              <w:sz w:val="24"/>
              <w:szCs w:val="24"/>
            </w:rPr>
          </w:rPrChange>
        </w:rPr>
        <w:t>Brinjal (</w:t>
      </w:r>
      <w:r w:rsidRPr="00942E78">
        <w:rPr>
          <w:rFonts w:ascii="Times New Roman" w:hAnsi="Times New Roman" w:cs="Times New Roman"/>
          <w:i/>
          <w:iCs/>
          <w:sz w:val="24"/>
          <w:szCs w:val="24"/>
          <w:highlight w:val="yellow"/>
          <w:rPrChange w:id="5" w:author="Marcio Pinto" w:date="2025-10-13T10:22:00Z">
            <w:rPr>
              <w:rFonts w:ascii="Times New Roman" w:hAnsi="Times New Roman" w:cs="Times New Roman"/>
              <w:i/>
              <w:iCs/>
              <w:sz w:val="24"/>
              <w:szCs w:val="24"/>
            </w:rPr>
          </w:rPrChange>
        </w:rPr>
        <w:t xml:space="preserve">Solanum melongena </w:t>
      </w:r>
      <w:r w:rsidRPr="00942E78">
        <w:rPr>
          <w:rFonts w:ascii="Times New Roman" w:hAnsi="Times New Roman" w:cs="Times New Roman"/>
          <w:sz w:val="24"/>
          <w:szCs w:val="24"/>
          <w:highlight w:val="yellow"/>
          <w:rPrChange w:id="6" w:author="Marcio Pinto" w:date="2025-10-13T10:22:00Z">
            <w:rPr>
              <w:rFonts w:ascii="Times New Roman" w:hAnsi="Times New Roman" w:cs="Times New Roman"/>
              <w:sz w:val="24"/>
              <w:szCs w:val="24"/>
            </w:rPr>
          </w:rPrChange>
        </w:rPr>
        <w:t xml:space="preserve">L.) also known as eggplant or </w:t>
      </w:r>
      <w:proofErr w:type="spellStart"/>
      <w:r w:rsidRPr="00942E78">
        <w:rPr>
          <w:rFonts w:ascii="Times New Roman" w:eastAsia="CIDFont+F4" w:hAnsi="Times New Roman" w:cs="Times New Roman"/>
          <w:sz w:val="24"/>
          <w:szCs w:val="24"/>
          <w:highlight w:val="yellow"/>
          <w:rPrChange w:id="7" w:author="Marcio Pinto" w:date="2025-10-13T10:22:00Z">
            <w:rPr>
              <w:rFonts w:ascii="Times New Roman" w:eastAsia="CIDFont+F4" w:hAnsi="Times New Roman" w:cs="Times New Roman"/>
              <w:sz w:val="24"/>
              <w:szCs w:val="24"/>
            </w:rPr>
          </w:rPrChange>
        </w:rPr>
        <w:t>aubergines</w:t>
      </w:r>
      <w:proofErr w:type="spellEnd"/>
      <w:r w:rsidRPr="00942E78">
        <w:rPr>
          <w:rFonts w:ascii="Times New Roman" w:hAnsi="Times New Roman" w:cs="Times New Roman"/>
          <w:sz w:val="24"/>
          <w:szCs w:val="24"/>
          <w:highlight w:val="yellow"/>
          <w:rPrChange w:id="8" w:author="Marcio Pinto" w:date="2025-10-13T10:22:00Z">
            <w:rPr>
              <w:rFonts w:ascii="Times New Roman" w:hAnsi="Times New Roman" w:cs="Times New Roman"/>
              <w:sz w:val="24"/>
              <w:szCs w:val="24"/>
            </w:rPr>
          </w:rPrChange>
        </w:rPr>
        <w:t xml:space="preserve"> or garden egg member of Solanaceae family is a popular vegetable crop grown almost all over the world. Brinjal is grown in China, India, Bangladesh, Pakistan and Philippines. Brinjal described as “king of vegetables” due to its wide usage in Indian foods. </w:t>
      </w:r>
      <w:commentRangeEnd w:id="0"/>
      <w:r w:rsidR="00942E78" w:rsidRPr="00942E78">
        <w:rPr>
          <w:rStyle w:val="CommentReference"/>
          <w:highlight w:val="yellow"/>
          <w:rPrChange w:id="9" w:author="Marcio Pinto" w:date="2025-10-13T10:22:00Z">
            <w:rPr>
              <w:rStyle w:val="CommentReference"/>
            </w:rPr>
          </w:rPrChange>
        </w:rPr>
        <w:commentReference w:id="0"/>
      </w:r>
      <w:r>
        <w:rPr>
          <w:rFonts w:ascii="Times New Roman" w:eastAsia="Times New Roman" w:hAnsi="Times New Roman" w:cs="Times New Roman"/>
          <w:bCs/>
          <w:sz w:val="24"/>
          <w:szCs w:val="24"/>
        </w:rPr>
        <w:t xml:space="preserve">In this investigation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healthy plants total amino acid, reducing sugar and non-reducing sugar were minimum in Ultra resistant genotype compared to susceptible genotype BR-112. However, maximum phenol (8.33 mg/g) was recorded in resistant genotype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while minimum phenol content was recoded (4.72 mg/g), BR-112 genotype.</w:t>
      </w:r>
    </w:p>
    <w:p w14:paraId="1F4EAC33" w14:textId="77777777" w:rsidR="00AF06C8" w:rsidRDefault="00AF06C8">
      <w:pPr>
        <w:spacing w:after="0" w:line="360" w:lineRule="auto"/>
        <w:ind w:firstLine="720"/>
        <w:jc w:val="both"/>
        <w:rPr>
          <w:rFonts w:ascii="Times New Roman" w:hAnsi="Times New Roman" w:cs="Times New Roman"/>
          <w:sz w:val="2"/>
        </w:rPr>
      </w:pPr>
    </w:p>
    <w:p w14:paraId="2830D56E" w14:textId="77777777" w:rsidR="00AF06C8" w:rsidRDefault="001F0481">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commentRangeStart w:id="10"/>
      <w:r w:rsidRPr="00942E78">
        <w:rPr>
          <w:rFonts w:ascii="Times New Roman" w:hAnsi="Times New Roman" w:cs="Times New Roman"/>
          <w:sz w:val="24"/>
          <w:szCs w:val="24"/>
        </w:rPr>
        <w:t>Brinjal</w:t>
      </w:r>
      <w:commentRangeEnd w:id="10"/>
      <w:r w:rsidR="00942E78">
        <w:rPr>
          <w:rStyle w:val="CommentReference"/>
        </w:rPr>
        <w:commentReference w:id="10"/>
      </w:r>
      <w:r>
        <w:rPr>
          <w:rFonts w:ascii="Times New Roman" w:hAnsi="Times New Roman" w:cs="Times New Roman"/>
          <w:sz w:val="24"/>
          <w:szCs w:val="24"/>
        </w:rPr>
        <w:t xml:space="preserve">,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biochemical estimation </w:t>
      </w:r>
    </w:p>
    <w:p w14:paraId="74789993" w14:textId="77777777" w:rsidR="00AF06C8" w:rsidRDefault="001F048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51A89A95" w14:textId="77777777" w:rsidR="00AF06C8" w:rsidRDefault="001F0481">
      <w:pPr>
        <w:autoSpaceDE w:val="0"/>
        <w:autoSpaceDN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Brinjal (</w:t>
      </w:r>
      <w:r>
        <w:rPr>
          <w:rFonts w:ascii="Times New Roman" w:hAnsi="Times New Roman" w:cs="Times New Roman"/>
          <w:i/>
          <w:iCs/>
          <w:sz w:val="24"/>
          <w:szCs w:val="24"/>
        </w:rPr>
        <w:t xml:space="preserve">Solanum melongena </w:t>
      </w:r>
      <w:r>
        <w:rPr>
          <w:rFonts w:ascii="Times New Roman" w:hAnsi="Times New Roman" w:cs="Times New Roman"/>
          <w:sz w:val="24"/>
          <w:szCs w:val="24"/>
        </w:rPr>
        <w:t xml:space="preserve">L.) also known as eggplant or </w:t>
      </w:r>
      <w:proofErr w:type="spellStart"/>
      <w:r>
        <w:rPr>
          <w:rFonts w:ascii="Times New Roman" w:eastAsia="CIDFont+F4" w:hAnsi="Times New Roman" w:cs="Times New Roman"/>
          <w:sz w:val="24"/>
          <w:szCs w:val="24"/>
        </w:rPr>
        <w:t>aubergines</w:t>
      </w:r>
      <w:proofErr w:type="spellEnd"/>
      <w:r>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described as “king of vegetables” due to its wide usage in Indian foods (Choudhary and Gaur, 2009; Singh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eastAsia="Arial" w:hAnsi="Times New Roman" w:cs="Times New Roman"/>
          <w:sz w:val="24"/>
          <w:szCs w:val="24"/>
        </w:rPr>
        <w:t xml:space="preserve">India is considered to be the </w:t>
      </w:r>
      <w:proofErr w:type="spellStart"/>
      <w:r>
        <w:rPr>
          <w:rFonts w:ascii="Times New Roman" w:eastAsia="Arial" w:hAnsi="Times New Roman" w:cs="Times New Roman"/>
          <w:sz w:val="24"/>
          <w:szCs w:val="24"/>
        </w:rPr>
        <w:t>centre</w:t>
      </w:r>
      <w:proofErr w:type="spellEnd"/>
      <w:r>
        <w:rPr>
          <w:rFonts w:ascii="Times New Roman" w:eastAsia="Arial" w:hAnsi="Times New Roman" w:cs="Times New Roman"/>
          <w:sz w:val="24"/>
          <w:szCs w:val="24"/>
        </w:rPr>
        <w:t xml:space="preserve"> of origin of cultivated brinjal from where it spread to the other parts of the world (Choudhary and Kalda, 1968).</w:t>
      </w:r>
      <w:r>
        <w:rPr>
          <w:rFonts w:ascii="Times New Roman" w:hAnsi="Times New Roman" w:cs="Times New Roman"/>
          <w:sz w:val="24"/>
          <w:szCs w:val="24"/>
        </w:rPr>
        <w:t xml:space="preserve"> Major brinjal growing states in India are Orissa, Bihar, Punjab, West Bengal, Karnataka, Maharashtra, Andra Pradesh and Uttar Pradesh </w:t>
      </w:r>
      <w:r>
        <w:rPr>
          <w:rFonts w:ascii="Times New Roman" w:eastAsia="CIDFont+F4" w:hAnsi="Times New Roman" w:cs="Times New Roman"/>
          <w:sz w:val="24"/>
          <w:szCs w:val="24"/>
        </w:rPr>
        <w:t xml:space="preserve">with a yield of 34.91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the global area of eggplant</w:t>
      </w:r>
      <w:r>
        <w:rPr>
          <w:rFonts w:ascii="Times New Roman" w:hAnsi="Times New Roman" w:cs="Times New Roman"/>
          <w:sz w:val="24"/>
          <w:szCs w:val="24"/>
        </w:rPr>
        <w:t xml:space="preserve"> </w:t>
      </w:r>
      <w:r>
        <w:rPr>
          <w:rFonts w:ascii="Times New Roman" w:eastAsia="CIDFont+F4" w:hAnsi="Times New Roman" w:cs="Times New Roman"/>
          <w:sz w:val="24"/>
          <w:szCs w:val="24"/>
        </w:rPr>
        <w:t>is roughly 2.67 million hectares, and production is close to 93.21 million</w:t>
      </w:r>
      <w:r>
        <w:rPr>
          <w:rFonts w:ascii="Times New Roman" w:hAnsi="Times New Roman" w:cs="Times New Roman"/>
          <w:sz w:val="24"/>
          <w:szCs w:val="24"/>
        </w:rPr>
        <w:t xml:space="preserve">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(Anon, 2024). Brinjal is grown on 0.73 million hectares in India, where</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it produces 12.78 million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and yields 17.36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(Anon,</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2024). </w:t>
      </w:r>
      <w:r w:rsidRPr="00942E78">
        <w:rPr>
          <w:rFonts w:ascii="Times New Roman" w:hAnsi="Times New Roman" w:cs="Times New Roman"/>
          <w:sz w:val="24"/>
          <w:szCs w:val="23"/>
          <w:highlight w:val="yellow"/>
          <w:rPrChange w:id="11" w:author="Marcio Pinto" w:date="2025-10-13T10:30:00Z">
            <w:rPr>
              <w:rFonts w:ascii="Times New Roman" w:hAnsi="Times New Roman" w:cs="Times New Roman"/>
              <w:sz w:val="24"/>
              <w:szCs w:val="23"/>
            </w:rPr>
          </w:rPrChange>
        </w:rPr>
        <w:t xml:space="preserve">In biochemical estimation </w:t>
      </w:r>
      <w:r w:rsidRPr="00942E78">
        <w:rPr>
          <w:rFonts w:ascii="Times New Roman" w:hAnsi="Times New Roman" w:cs="Times New Roman"/>
          <w:sz w:val="24"/>
          <w:szCs w:val="24"/>
          <w:highlight w:val="yellow"/>
          <w:rPrChange w:id="12" w:author="Marcio Pinto" w:date="2025-10-13T10:30:00Z">
            <w:rPr>
              <w:rFonts w:ascii="Times New Roman" w:hAnsi="Times New Roman" w:cs="Times New Roman"/>
              <w:sz w:val="24"/>
              <w:szCs w:val="24"/>
            </w:rPr>
          </w:rPrChange>
        </w:rPr>
        <w:t>various metabolites</w:t>
      </w:r>
      <w:r w:rsidRPr="00942E78">
        <w:rPr>
          <w:rFonts w:ascii="Arial" w:hAnsi="Arial" w:cs="Arial"/>
          <w:sz w:val="24"/>
          <w:szCs w:val="24"/>
          <w:highlight w:val="yellow"/>
          <w:rPrChange w:id="13" w:author="Marcio Pinto" w:date="2025-10-13T10:30:00Z">
            <w:rPr>
              <w:rFonts w:ascii="Arial" w:hAnsi="Arial" w:cs="Arial"/>
              <w:sz w:val="24"/>
              <w:szCs w:val="24"/>
            </w:rPr>
          </w:rPrChange>
        </w:rPr>
        <w:t xml:space="preserve"> </w:t>
      </w:r>
      <w:r w:rsidRPr="00942E78">
        <w:rPr>
          <w:rFonts w:ascii="Times New Roman" w:hAnsi="Times New Roman" w:cs="Times New Roman"/>
          <w:sz w:val="24"/>
          <w:szCs w:val="24"/>
          <w:highlight w:val="yellow"/>
          <w:rPrChange w:id="14" w:author="Marcio Pinto" w:date="2025-10-13T10:30:00Z">
            <w:rPr>
              <w:rFonts w:ascii="Times New Roman" w:hAnsi="Times New Roman" w:cs="Times New Roman"/>
              <w:sz w:val="24"/>
              <w:szCs w:val="24"/>
            </w:rPr>
          </w:rPrChange>
        </w:rPr>
        <w:t>of host tissues suffer</w:t>
      </w:r>
      <w:r w:rsidRPr="00942E78">
        <w:rPr>
          <w:rFonts w:ascii="Times New Roman" w:eastAsia="CIDFont+F4" w:hAnsi="Times New Roman" w:cs="Times New Roman"/>
          <w:sz w:val="24"/>
          <w:szCs w:val="24"/>
          <w:highlight w:val="yellow"/>
          <w:rPrChange w:id="15" w:author="Marcio Pinto" w:date="2025-10-13T10:30:00Z">
            <w:rPr>
              <w:rFonts w:ascii="Times New Roman" w:eastAsia="CIDFont+F4" w:hAnsi="Times New Roman" w:cs="Times New Roman"/>
              <w:sz w:val="24"/>
              <w:szCs w:val="24"/>
            </w:rPr>
          </w:rPrChange>
        </w:rPr>
        <w:t xml:space="preserve"> </w:t>
      </w:r>
      <w:r w:rsidRPr="00942E78">
        <w:rPr>
          <w:rFonts w:ascii="Times New Roman" w:hAnsi="Times New Roman" w:cs="Times New Roman"/>
          <w:sz w:val="24"/>
          <w:szCs w:val="24"/>
          <w:highlight w:val="yellow"/>
          <w:rPrChange w:id="16" w:author="Marcio Pinto" w:date="2025-10-13T10:30:00Z">
            <w:rPr>
              <w:rFonts w:ascii="Times New Roman" w:hAnsi="Times New Roman" w:cs="Times New Roman"/>
              <w:sz w:val="24"/>
              <w:szCs w:val="24"/>
            </w:rPr>
          </w:rPrChange>
        </w:rPr>
        <w:t>modifications in their composition due to infection by a pathogen. Alteration in the levels</w:t>
      </w:r>
      <w:r w:rsidRPr="00942E78">
        <w:rPr>
          <w:rFonts w:ascii="Times New Roman" w:eastAsia="CIDFont+F4" w:hAnsi="Times New Roman" w:cs="Times New Roman"/>
          <w:sz w:val="24"/>
          <w:szCs w:val="24"/>
          <w:highlight w:val="yellow"/>
          <w:rPrChange w:id="17" w:author="Marcio Pinto" w:date="2025-10-13T10:30:00Z">
            <w:rPr>
              <w:rFonts w:ascii="Times New Roman" w:eastAsia="CIDFont+F4" w:hAnsi="Times New Roman" w:cs="Times New Roman"/>
              <w:sz w:val="24"/>
              <w:szCs w:val="24"/>
            </w:rPr>
          </w:rPrChange>
        </w:rPr>
        <w:t xml:space="preserve"> </w:t>
      </w:r>
      <w:r w:rsidRPr="00942E78">
        <w:rPr>
          <w:rFonts w:ascii="Times New Roman" w:hAnsi="Times New Roman" w:cs="Times New Roman"/>
          <w:sz w:val="24"/>
          <w:szCs w:val="24"/>
          <w:highlight w:val="yellow"/>
          <w:rPrChange w:id="18" w:author="Marcio Pinto" w:date="2025-10-13T10:30:00Z">
            <w:rPr>
              <w:rFonts w:ascii="Times New Roman" w:hAnsi="Times New Roman" w:cs="Times New Roman"/>
              <w:sz w:val="24"/>
              <w:szCs w:val="24"/>
            </w:rPr>
          </w:rPrChange>
        </w:rPr>
        <w:t xml:space="preserve">of sugars and phenols in many plants due to </w:t>
      </w:r>
      <w:r w:rsidRPr="00942E78">
        <w:rPr>
          <w:rFonts w:ascii="Times New Roman" w:hAnsi="Times New Roman" w:cs="Times New Roman"/>
          <w:i/>
          <w:iCs/>
          <w:sz w:val="24"/>
          <w:szCs w:val="24"/>
          <w:highlight w:val="yellow"/>
          <w:rPrChange w:id="19" w:author="Marcio Pinto" w:date="2025-10-13T10:30:00Z">
            <w:rPr>
              <w:rFonts w:ascii="Times New Roman" w:hAnsi="Times New Roman" w:cs="Times New Roman"/>
              <w:i/>
              <w:iCs/>
              <w:sz w:val="24"/>
              <w:szCs w:val="24"/>
            </w:rPr>
          </w:rPrChange>
        </w:rPr>
        <w:t xml:space="preserve">Alternaria </w:t>
      </w:r>
      <w:r w:rsidRPr="00942E78">
        <w:rPr>
          <w:rFonts w:ascii="Times New Roman" w:hAnsi="Times New Roman" w:cs="Times New Roman"/>
          <w:sz w:val="24"/>
          <w:szCs w:val="24"/>
          <w:highlight w:val="yellow"/>
          <w:rPrChange w:id="20" w:author="Marcio Pinto" w:date="2025-10-13T10:30:00Z">
            <w:rPr>
              <w:rFonts w:ascii="Times New Roman" w:hAnsi="Times New Roman" w:cs="Times New Roman"/>
              <w:sz w:val="24"/>
              <w:szCs w:val="24"/>
            </w:rPr>
          </w:rPrChange>
        </w:rPr>
        <w:t xml:space="preserve">infection have been investigated by many </w:t>
      </w:r>
      <w:r w:rsidRPr="00942E78">
        <w:rPr>
          <w:rFonts w:ascii="Times New Roman" w:hAnsi="Times New Roman" w:cs="Times New Roman"/>
          <w:sz w:val="24"/>
          <w:szCs w:val="24"/>
          <w:highlight w:val="yellow"/>
          <w:rPrChange w:id="21" w:author="Marcio Pinto" w:date="2025-10-13T10:30:00Z">
            <w:rPr>
              <w:rFonts w:ascii="Times New Roman" w:hAnsi="Times New Roman" w:cs="Times New Roman"/>
              <w:sz w:val="24"/>
              <w:szCs w:val="24"/>
            </w:rPr>
          </w:rPrChange>
        </w:rPr>
        <w:lastRenderedPageBreak/>
        <w:t xml:space="preserve">workers (Chandramohan </w:t>
      </w:r>
      <w:r w:rsidRPr="00942E78">
        <w:rPr>
          <w:rFonts w:ascii="Times New Roman" w:hAnsi="Times New Roman" w:cs="Times New Roman"/>
          <w:i/>
          <w:iCs/>
          <w:sz w:val="24"/>
          <w:szCs w:val="24"/>
          <w:highlight w:val="yellow"/>
          <w:rPrChange w:id="22" w:author="Marcio Pinto" w:date="2025-10-13T10:30:00Z">
            <w:rPr>
              <w:rFonts w:ascii="Times New Roman" w:hAnsi="Times New Roman" w:cs="Times New Roman"/>
              <w:i/>
              <w:iCs/>
              <w:sz w:val="24"/>
              <w:szCs w:val="24"/>
            </w:rPr>
          </w:rPrChange>
        </w:rPr>
        <w:t>et al</w:t>
      </w:r>
      <w:r w:rsidRPr="00942E78">
        <w:rPr>
          <w:rFonts w:ascii="Times New Roman" w:hAnsi="Times New Roman" w:cs="Times New Roman"/>
          <w:sz w:val="24"/>
          <w:szCs w:val="24"/>
          <w:highlight w:val="yellow"/>
          <w:rPrChange w:id="23" w:author="Marcio Pinto" w:date="2025-10-13T10:30:00Z">
            <w:rPr>
              <w:rFonts w:ascii="Times New Roman" w:hAnsi="Times New Roman" w:cs="Times New Roman"/>
              <w:sz w:val="24"/>
              <w:szCs w:val="24"/>
            </w:rPr>
          </w:rPrChange>
        </w:rPr>
        <w:t xml:space="preserve">., </w:t>
      </w:r>
      <w:proofErr w:type="gramStart"/>
      <w:r w:rsidRPr="00942E78">
        <w:rPr>
          <w:rFonts w:ascii="Times New Roman" w:hAnsi="Times New Roman" w:cs="Times New Roman"/>
          <w:sz w:val="24"/>
          <w:szCs w:val="24"/>
          <w:highlight w:val="yellow"/>
          <w:rPrChange w:id="24" w:author="Marcio Pinto" w:date="2025-10-13T10:30:00Z">
            <w:rPr>
              <w:rFonts w:ascii="Times New Roman" w:hAnsi="Times New Roman" w:cs="Times New Roman"/>
              <w:sz w:val="24"/>
              <w:szCs w:val="24"/>
            </w:rPr>
          </w:rPrChange>
        </w:rPr>
        <w:t>1967;  Gupta</w:t>
      </w:r>
      <w:proofErr w:type="gramEnd"/>
      <w:r w:rsidRPr="00942E78">
        <w:rPr>
          <w:rFonts w:ascii="Times New Roman" w:hAnsi="Times New Roman" w:cs="Times New Roman"/>
          <w:sz w:val="24"/>
          <w:szCs w:val="24"/>
          <w:highlight w:val="yellow"/>
          <w:rPrChange w:id="25" w:author="Marcio Pinto" w:date="2025-10-13T10:30:00Z">
            <w:rPr>
              <w:rFonts w:ascii="Times New Roman" w:hAnsi="Times New Roman" w:cs="Times New Roman"/>
              <w:sz w:val="24"/>
              <w:szCs w:val="24"/>
            </w:rPr>
          </w:rPrChange>
        </w:rPr>
        <w:t xml:space="preserve"> </w:t>
      </w:r>
      <w:r w:rsidRPr="00942E78">
        <w:rPr>
          <w:rFonts w:ascii="Times New Roman" w:hAnsi="Times New Roman" w:cs="Times New Roman"/>
          <w:i/>
          <w:iCs/>
          <w:sz w:val="24"/>
          <w:szCs w:val="24"/>
          <w:highlight w:val="yellow"/>
          <w:rPrChange w:id="26" w:author="Marcio Pinto" w:date="2025-10-13T10:30:00Z">
            <w:rPr>
              <w:rFonts w:ascii="Times New Roman" w:hAnsi="Times New Roman" w:cs="Times New Roman"/>
              <w:i/>
              <w:iCs/>
              <w:sz w:val="24"/>
              <w:szCs w:val="24"/>
            </w:rPr>
          </w:rPrChange>
        </w:rPr>
        <w:t>et al.</w:t>
      </w:r>
      <w:r w:rsidRPr="00942E78">
        <w:rPr>
          <w:rFonts w:ascii="Times New Roman" w:hAnsi="Times New Roman" w:cs="Times New Roman"/>
          <w:sz w:val="24"/>
          <w:szCs w:val="24"/>
          <w:highlight w:val="yellow"/>
          <w:rPrChange w:id="27" w:author="Marcio Pinto" w:date="2025-10-13T10:30:00Z">
            <w:rPr>
              <w:rFonts w:ascii="Times New Roman" w:hAnsi="Times New Roman" w:cs="Times New Roman"/>
              <w:sz w:val="24"/>
              <w:szCs w:val="24"/>
            </w:rPr>
          </w:rPrChange>
        </w:rPr>
        <w:t xml:space="preserve">, 1987; Saharan </w:t>
      </w:r>
      <w:r w:rsidRPr="00942E78">
        <w:rPr>
          <w:rFonts w:ascii="Times New Roman" w:hAnsi="Times New Roman" w:cs="Times New Roman"/>
          <w:i/>
          <w:iCs/>
          <w:sz w:val="24"/>
          <w:szCs w:val="24"/>
          <w:highlight w:val="yellow"/>
          <w:rPrChange w:id="28" w:author="Marcio Pinto" w:date="2025-10-13T10:30:00Z">
            <w:rPr>
              <w:rFonts w:ascii="Times New Roman" w:hAnsi="Times New Roman" w:cs="Times New Roman"/>
              <w:i/>
              <w:iCs/>
              <w:sz w:val="24"/>
              <w:szCs w:val="24"/>
            </w:rPr>
          </w:rPrChange>
        </w:rPr>
        <w:t>et al.</w:t>
      </w:r>
      <w:r w:rsidRPr="00942E78">
        <w:rPr>
          <w:rFonts w:ascii="Times New Roman" w:hAnsi="Times New Roman" w:cs="Times New Roman"/>
          <w:sz w:val="24"/>
          <w:szCs w:val="24"/>
          <w:highlight w:val="yellow"/>
          <w:rPrChange w:id="29" w:author="Marcio Pinto" w:date="2025-10-13T10:30:00Z">
            <w:rPr>
              <w:rFonts w:ascii="Times New Roman" w:hAnsi="Times New Roman" w:cs="Times New Roman"/>
              <w:sz w:val="24"/>
              <w:szCs w:val="24"/>
            </w:rPr>
          </w:rPrChange>
        </w:rPr>
        <w:t xml:space="preserve">, 2000; Joshi </w:t>
      </w:r>
      <w:r w:rsidRPr="00942E78">
        <w:rPr>
          <w:rFonts w:ascii="Times New Roman" w:hAnsi="Times New Roman" w:cs="Times New Roman"/>
          <w:i/>
          <w:iCs/>
          <w:sz w:val="24"/>
          <w:szCs w:val="24"/>
          <w:highlight w:val="yellow"/>
          <w:rPrChange w:id="30" w:author="Marcio Pinto" w:date="2025-10-13T10:30:00Z">
            <w:rPr>
              <w:rFonts w:ascii="Times New Roman" w:hAnsi="Times New Roman" w:cs="Times New Roman"/>
              <w:i/>
              <w:iCs/>
              <w:sz w:val="24"/>
              <w:szCs w:val="24"/>
            </w:rPr>
          </w:rPrChange>
        </w:rPr>
        <w:t>et al.</w:t>
      </w:r>
      <w:r w:rsidRPr="00942E78">
        <w:rPr>
          <w:rFonts w:ascii="Times New Roman" w:hAnsi="Times New Roman" w:cs="Times New Roman"/>
          <w:sz w:val="24"/>
          <w:szCs w:val="24"/>
          <w:highlight w:val="yellow"/>
          <w:rPrChange w:id="31" w:author="Marcio Pinto" w:date="2025-10-13T10:30:00Z">
            <w:rPr>
              <w:rFonts w:ascii="Times New Roman" w:hAnsi="Times New Roman" w:cs="Times New Roman"/>
              <w:sz w:val="24"/>
              <w:szCs w:val="24"/>
            </w:rPr>
          </w:rPrChange>
        </w:rPr>
        <w:t xml:space="preserve">, 2004; Saharan and Saharan, 2004 and Kushwaha and Narain, </w:t>
      </w:r>
      <w:commentRangeStart w:id="32"/>
      <w:r w:rsidRPr="00942E78">
        <w:rPr>
          <w:rFonts w:ascii="Times New Roman" w:hAnsi="Times New Roman" w:cs="Times New Roman"/>
          <w:sz w:val="24"/>
          <w:szCs w:val="24"/>
          <w:highlight w:val="yellow"/>
          <w:rPrChange w:id="33" w:author="Marcio Pinto" w:date="2025-10-13T10:30:00Z">
            <w:rPr>
              <w:rFonts w:ascii="Times New Roman" w:hAnsi="Times New Roman" w:cs="Times New Roman"/>
              <w:sz w:val="24"/>
              <w:szCs w:val="24"/>
            </w:rPr>
          </w:rPrChange>
        </w:rPr>
        <w:t>2005</w:t>
      </w:r>
      <w:commentRangeEnd w:id="32"/>
      <w:r w:rsidR="00516507">
        <w:rPr>
          <w:rStyle w:val="CommentReference"/>
        </w:rPr>
        <w:commentReference w:id="32"/>
      </w:r>
      <w:r w:rsidRPr="00942E78">
        <w:rPr>
          <w:rFonts w:ascii="Times New Roman" w:hAnsi="Times New Roman" w:cs="Times New Roman"/>
          <w:sz w:val="24"/>
          <w:szCs w:val="24"/>
          <w:highlight w:val="yellow"/>
          <w:rPrChange w:id="35" w:author="Marcio Pinto" w:date="2025-10-13T10:30:00Z">
            <w:rPr>
              <w:rFonts w:ascii="Times New Roman" w:hAnsi="Times New Roman" w:cs="Times New Roman"/>
              <w:sz w:val="24"/>
              <w:szCs w:val="24"/>
            </w:rPr>
          </w:rPrChange>
        </w:rPr>
        <w:t>).</w:t>
      </w:r>
      <w:r>
        <w:rPr>
          <w:rFonts w:ascii="Times New Roman" w:hAnsi="Times New Roman" w:cs="Times New Roman"/>
          <w:sz w:val="24"/>
          <w:szCs w:val="24"/>
        </w:rPr>
        <w:t xml:space="preserve"> </w:t>
      </w:r>
    </w:p>
    <w:p w14:paraId="4C3F1B79" w14:textId="77777777" w:rsidR="00AF06C8" w:rsidRDefault="00AF06C8">
      <w:pPr>
        <w:autoSpaceDE w:val="0"/>
        <w:autoSpaceDN w:val="0"/>
        <w:adjustRightInd w:val="0"/>
        <w:spacing w:after="0" w:line="360" w:lineRule="auto"/>
        <w:ind w:firstLine="630"/>
        <w:jc w:val="both"/>
        <w:rPr>
          <w:rFonts w:ascii="Arial" w:eastAsia="CIDFont+F4" w:hAnsi="Arial" w:cs="Arial"/>
          <w:sz w:val="6"/>
          <w:szCs w:val="23"/>
        </w:rPr>
      </w:pPr>
    </w:p>
    <w:p w14:paraId="2C0DC687" w14:textId="77777777" w:rsidR="00AF06C8" w:rsidRDefault="001F0481">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785ED28" w14:textId="77777777" w:rsidR="00AF06C8" w:rsidRDefault="001F0481">
      <w:pPr>
        <w:pStyle w:val="ListParagraph"/>
        <w:tabs>
          <w:tab w:val="left" w:pos="90"/>
        </w:tabs>
        <w:spacing w:line="360" w:lineRule="auto"/>
        <w:ind w:left="0" w:firstLine="450"/>
        <w:jc w:val="both"/>
        <w:rPr>
          <w:rFonts w:ascii="Times New Roman" w:hAnsi="Times New Roman"/>
          <w:sz w:val="24"/>
          <w:szCs w:val="24"/>
        </w:rPr>
      </w:pPr>
      <w:r>
        <w:rPr>
          <w:rFonts w:ascii="Times New Roman" w:hAnsi="Times New Roman"/>
          <w:sz w:val="24"/>
          <w:szCs w:val="24"/>
        </w:rPr>
        <w:t xml:space="preserve">The experiment was carried out at Department of Plant Pathology, </w:t>
      </w:r>
      <w:r>
        <w:rPr>
          <w:rFonts w:ascii="Times New Roman" w:hAnsi="Times New Roman"/>
          <w:bCs/>
          <w:sz w:val="24"/>
          <w:szCs w:val="24"/>
        </w:rPr>
        <w:t>RVSKVV, Gwalior (M.P.)</w:t>
      </w:r>
      <w:r>
        <w:rPr>
          <w:rFonts w:ascii="Times New Roman" w:hAnsi="Times New Roman"/>
          <w:sz w:val="24"/>
          <w:szCs w:val="24"/>
        </w:rPr>
        <w:t xml:space="preserve">. To find out total soluble sugars, reducing sugar, non-reducing sugar and amino acid content in brinjal cultivars. </w:t>
      </w:r>
      <w:proofErr w:type="gramStart"/>
      <w:r>
        <w:rPr>
          <w:rFonts w:ascii="Times New Roman" w:hAnsi="Times New Roman"/>
          <w:sz w:val="24"/>
          <w:szCs w:val="24"/>
        </w:rPr>
        <w:t>Thirty five</w:t>
      </w:r>
      <w:proofErr w:type="gramEnd"/>
      <w:r>
        <w:rPr>
          <w:rFonts w:ascii="Times New Roman" w:hAnsi="Times New Roman"/>
          <w:sz w:val="24"/>
          <w:szCs w:val="24"/>
        </w:rPr>
        <w:t xml:space="preserve"> cultivars were characterized with respect to their resistance against </w:t>
      </w:r>
      <w:r>
        <w:rPr>
          <w:rFonts w:ascii="Times New Roman" w:eastAsia="Arial" w:hAnsi="Times New Roman"/>
          <w:sz w:val="24"/>
          <w:szCs w:val="24"/>
        </w:rPr>
        <w:t>Alternaria leaf spot</w:t>
      </w:r>
      <w:r>
        <w:rPr>
          <w:rFonts w:ascii="Times New Roman" w:eastAsia="CIDFont+F4" w:hAnsi="Times New Roman"/>
          <w:sz w:val="24"/>
          <w:szCs w:val="24"/>
        </w:rPr>
        <w:t xml:space="preserve"> by screening</w:t>
      </w:r>
      <w:r>
        <w:rPr>
          <w:rFonts w:ascii="Times New Roman" w:hAnsi="Times New Roman"/>
          <w:sz w:val="24"/>
          <w:szCs w:val="24"/>
        </w:rPr>
        <w:t xml:space="preserve"> of genotypes. The five representative germplasm belonging to different categories of resistant reaction </w:t>
      </w:r>
      <w:r>
        <w:rPr>
          <w:rFonts w:ascii="Times New Roman" w:hAnsi="Times New Roman"/>
          <w:i/>
          <w:iCs/>
          <w:sz w:val="24"/>
          <w:szCs w:val="24"/>
        </w:rPr>
        <w:t xml:space="preserve">viz., </w:t>
      </w:r>
      <w:r>
        <w:rPr>
          <w:rFonts w:ascii="Times New Roman" w:hAnsi="Times New Roman"/>
          <w:sz w:val="24"/>
          <w:szCs w:val="24"/>
        </w:rPr>
        <w:t xml:space="preserve">resistant, moderately resistant and moderately susceptible, susceptible, highly susceptible genotypes were used. </w:t>
      </w:r>
    </w:p>
    <w:p w14:paraId="57E7CF47" w14:textId="77777777" w:rsidR="00AF06C8" w:rsidRDefault="001F0481">
      <w:pPr>
        <w:tabs>
          <w:tab w:val="left" w:pos="810"/>
          <w:tab w:val="left" w:pos="1260"/>
        </w:tabs>
        <w:autoSpaceDE w:val="0"/>
        <w:autoSpaceDN w:val="0"/>
        <w:adjustRightInd w:val="0"/>
        <w:spacing w:after="0" w:line="360" w:lineRule="auto"/>
        <w:rPr>
          <w:rFonts w:ascii="Times New Roman" w:hAnsi="Times New Roman"/>
          <w:color w:val="000000"/>
          <w:sz w:val="24"/>
          <w:szCs w:val="24"/>
        </w:rPr>
      </w:pPr>
      <w:r>
        <w:rPr>
          <w:rFonts w:ascii="Times New Roman" w:hAnsi="Times New Roman"/>
          <w:b/>
          <w:bCs/>
          <w:iCs/>
          <w:color w:val="000000"/>
          <w:sz w:val="24"/>
          <w:szCs w:val="24"/>
        </w:rPr>
        <w:t xml:space="preserve">Estimation of total soluble sugars </w:t>
      </w:r>
    </w:p>
    <w:p w14:paraId="7307B606" w14:textId="77777777" w:rsidR="00AF06C8" w:rsidRDefault="001F0481">
      <w:pPr>
        <w:pStyle w:val="ListParagraph"/>
        <w:tabs>
          <w:tab w:val="left" w:pos="180"/>
        </w:tabs>
        <w:spacing w:line="360" w:lineRule="auto"/>
        <w:ind w:left="0" w:right="120" w:firstLine="630"/>
        <w:jc w:val="both"/>
        <w:rPr>
          <w:rFonts w:ascii="Times New Roman" w:hAnsi="Times New Roman"/>
          <w:color w:val="000000"/>
          <w:sz w:val="24"/>
          <w:szCs w:val="24"/>
          <w:lang w:val="en-US" w:eastAsia="en-US"/>
        </w:rPr>
      </w:pPr>
      <w:commentRangeStart w:id="36"/>
      <w:r>
        <w:rPr>
          <w:rFonts w:ascii="Times New Roman" w:hAnsi="Times New Roman"/>
          <w:color w:val="000000"/>
          <w:sz w:val="24"/>
          <w:szCs w:val="24"/>
          <w:lang w:val="en-US" w:eastAsia="en-US"/>
        </w:rPr>
        <w:t xml:space="preserve">Dubois </w:t>
      </w:r>
      <w:r>
        <w:rPr>
          <w:rFonts w:ascii="Times New Roman" w:hAnsi="Times New Roman"/>
          <w:i/>
          <w:iCs/>
          <w:color w:val="000000"/>
          <w:sz w:val="24"/>
          <w:szCs w:val="24"/>
          <w:lang w:val="en-US" w:eastAsia="en-US"/>
        </w:rPr>
        <w:t>et al</w:t>
      </w:r>
      <w:r>
        <w:rPr>
          <w:rFonts w:ascii="Times New Roman" w:hAnsi="Times New Roman"/>
          <w:iCs/>
          <w:color w:val="000000"/>
          <w:sz w:val="24"/>
          <w:szCs w:val="24"/>
          <w:lang w:val="en-US" w:eastAsia="en-US"/>
        </w:rPr>
        <w:t>. (1956)</w:t>
      </w:r>
      <w:r>
        <w:rPr>
          <w:rFonts w:ascii="Times New Roman" w:hAnsi="Times New Roman"/>
          <w:color w:val="000000"/>
          <w:sz w:val="24"/>
          <w:szCs w:val="24"/>
          <w:lang w:val="en-US" w:eastAsia="en-US"/>
        </w:rPr>
        <w:t xml:space="preserve"> </w:t>
      </w:r>
      <w:commentRangeEnd w:id="36"/>
      <w:r w:rsidR="00941A72">
        <w:rPr>
          <w:rStyle w:val="CommentReference"/>
          <w:rFonts w:cs="Mangal"/>
          <w:lang w:val="en-US" w:eastAsia="en-US"/>
        </w:rPr>
        <w:commentReference w:id="36"/>
      </w:r>
      <w:r>
        <w:rPr>
          <w:rFonts w:ascii="Times New Roman" w:hAnsi="Times New Roman"/>
          <w:color w:val="000000"/>
          <w:sz w:val="24"/>
          <w:szCs w:val="24"/>
          <w:lang w:val="en-US" w:eastAsia="en-US"/>
        </w:rPr>
        <w:t xml:space="preserve">estimated the total soluble sugar using the method with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four ml of cold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was added to 1 ml of ethanolic extract. This mixture was shaken vigorously and boiled for 10 min in a boiling water bath. After cooling in running tap water, the absorbance was deduced at 620 nm in spectrophotometer.</w:t>
      </w:r>
    </w:p>
    <w:p w14:paraId="09DEFF3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reducing sugar </w:t>
      </w:r>
    </w:p>
    <w:p w14:paraId="4AF19E59"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32548D1B"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70B6174D" w14:textId="77777777" w:rsidR="00AF06C8" w:rsidRDefault="001F0481">
      <w:pPr>
        <w:pStyle w:val="ListParagraph"/>
        <w:tabs>
          <w:tab w:val="left" w:pos="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 Nelson estimated reducing sugar using the method. To one ml of ethanolic extract, 1 ml of fresh copper reagent prepared by mixing copper </w:t>
      </w:r>
      <w:proofErr w:type="spellStart"/>
      <w:r>
        <w:rPr>
          <w:rFonts w:ascii="Times New Roman" w:hAnsi="Times New Roman"/>
          <w:color w:val="000000"/>
          <w:sz w:val="24"/>
          <w:szCs w:val="24"/>
          <w:lang w:val="en-US" w:eastAsia="en-US"/>
        </w:rPr>
        <w:t>tartarate</w:t>
      </w:r>
      <w:proofErr w:type="spellEnd"/>
      <w:r>
        <w:rPr>
          <w:rFonts w:ascii="Times New Roman" w:hAnsi="Times New Roman"/>
          <w:color w:val="000000"/>
          <w:sz w:val="24"/>
          <w:szCs w:val="24"/>
          <w:lang w:val="en-US" w:eastAsia="en-US"/>
        </w:rPr>
        <w:t xml:space="preserve"> and copper sulphate solution (25:1 </w:t>
      </w:r>
      <w:proofErr w:type="spellStart"/>
      <w:r>
        <w:rPr>
          <w:rFonts w:ascii="Times New Roman" w:hAnsi="Times New Roman"/>
          <w:color w:val="000000"/>
          <w:sz w:val="24"/>
          <w:szCs w:val="24"/>
          <w:lang w:val="en-US" w:eastAsia="en-US"/>
        </w:rPr>
        <w:t>vlv</w:t>
      </w:r>
      <w:proofErr w:type="spellEnd"/>
      <w:r>
        <w:rPr>
          <w:rFonts w:ascii="Times New Roman" w:hAnsi="Times New Roman"/>
          <w:color w:val="000000"/>
          <w:sz w:val="24"/>
          <w:szCs w:val="24"/>
          <w:lang w:val="en-US" w:eastAsia="en-US"/>
        </w:rPr>
        <w:t xml:space="preserve">) was added to the above mixture. The mixture was heated for 20 min in a boiling water-bath and cooled. One ml of </w:t>
      </w:r>
      <w:proofErr w:type="spellStart"/>
      <w:r>
        <w:rPr>
          <w:rFonts w:ascii="Times New Roman" w:hAnsi="Times New Roman"/>
          <w:color w:val="000000"/>
          <w:sz w:val="24"/>
          <w:szCs w:val="24"/>
          <w:lang w:val="en-US" w:eastAsia="en-US"/>
        </w:rPr>
        <w:t>arsenomolybdate</w:t>
      </w:r>
      <w:proofErr w:type="spellEnd"/>
      <w:r>
        <w:rPr>
          <w:rFonts w:ascii="Times New Roman" w:hAnsi="Times New Roman"/>
          <w:color w:val="000000"/>
          <w:sz w:val="24"/>
          <w:szCs w:val="24"/>
          <w:lang w:val="en-US" w:eastAsia="en-US"/>
        </w:rPr>
        <w:t xml:space="preserve"> reagent was added to above mixture and the contents incubated for 15 min. The solution was diluted to twenty-five ml with distilled water and the </w:t>
      </w:r>
      <w:proofErr w:type="spellStart"/>
      <w:r>
        <w:rPr>
          <w:rFonts w:ascii="Times New Roman" w:hAnsi="Times New Roman"/>
          <w:color w:val="000000"/>
          <w:sz w:val="24"/>
          <w:szCs w:val="24"/>
          <w:lang w:val="en-US" w:eastAsia="en-US"/>
        </w:rPr>
        <w:t>colour</w:t>
      </w:r>
      <w:proofErr w:type="spellEnd"/>
      <w:r>
        <w:rPr>
          <w:rFonts w:ascii="Times New Roman" w:hAnsi="Times New Roman"/>
          <w:color w:val="000000"/>
          <w:sz w:val="24"/>
          <w:szCs w:val="24"/>
          <w:lang w:val="en-US" w:eastAsia="en-US"/>
        </w:rPr>
        <w:t xml:space="preserve"> intensity was </w:t>
      </w:r>
      <w:proofErr w:type="spellStart"/>
      <w:r>
        <w:rPr>
          <w:rFonts w:ascii="Times New Roman" w:hAnsi="Times New Roman"/>
          <w:color w:val="000000"/>
          <w:sz w:val="24"/>
          <w:szCs w:val="24"/>
          <w:lang w:val="en-US" w:eastAsia="en-US"/>
        </w:rPr>
        <w:t>readed</w:t>
      </w:r>
      <w:proofErr w:type="spellEnd"/>
      <w:r>
        <w:rPr>
          <w:rFonts w:ascii="Times New Roman" w:hAnsi="Times New Roman"/>
          <w:color w:val="000000"/>
          <w:sz w:val="24"/>
          <w:szCs w:val="24"/>
          <w:lang w:val="en-US" w:eastAsia="en-US"/>
        </w:rPr>
        <w:t xml:space="preserve"> at 500 nm in spectrophotometer.</w:t>
      </w:r>
    </w:p>
    <w:p w14:paraId="14A8E4A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Amino acid </w:t>
      </w:r>
    </w:p>
    <w:p w14:paraId="2E58A1ED" w14:textId="77777777" w:rsidR="00AF06C8" w:rsidRDefault="00AF06C8">
      <w:pPr>
        <w:pStyle w:val="ListParagraph"/>
        <w:autoSpaceDE w:val="0"/>
        <w:autoSpaceDN w:val="0"/>
        <w:adjustRightInd w:val="0"/>
        <w:ind w:left="810"/>
        <w:rPr>
          <w:rFonts w:ascii="Times New Roman" w:hAnsi="Times New Roman"/>
          <w:color w:val="000000"/>
          <w:sz w:val="6"/>
          <w:szCs w:val="24"/>
        </w:rPr>
      </w:pPr>
    </w:p>
    <w:p w14:paraId="1948D0F9" w14:textId="77777777" w:rsidR="00AF06C8" w:rsidRDefault="00AF06C8">
      <w:pPr>
        <w:pStyle w:val="ListParagraph"/>
        <w:autoSpaceDE w:val="0"/>
        <w:autoSpaceDN w:val="0"/>
        <w:adjustRightInd w:val="0"/>
        <w:ind w:left="810"/>
        <w:rPr>
          <w:rFonts w:ascii="Times New Roman" w:hAnsi="Times New Roman"/>
          <w:color w:val="000000"/>
          <w:sz w:val="2"/>
          <w:szCs w:val="24"/>
        </w:rPr>
      </w:pPr>
    </w:p>
    <w:p w14:paraId="1985AC10" w14:textId="77777777" w:rsidR="00AF06C8" w:rsidRDefault="001F0481">
      <w:pPr>
        <w:pStyle w:val="ListParagraph"/>
        <w:tabs>
          <w:tab w:val="left" w:pos="0"/>
        </w:tabs>
        <w:spacing w:line="360" w:lineRule="auto"/>
        <w:ind w:left="0" w:right="120" w:firstLine="72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The ninhydrin-positive amino acids were determined by the method with amino acid L-Glycine as standard. Two hundred milligram of leaves was crushed in 10 ml of 80% ethanol and boiled for 10 minutes. Supernatant (0.1 ml) was added to 0.9 ml distilled water and 1 ml ninhydrin reagent and boiled for 20 minutes. After cooling, 5 ml diluting solvent 1:1 (n-propanol: Water) was added to it. Absorbance was measured at 570 nm.</w:t>
      </w:r>
    </w:p>
    <w:p w14:paraId="38269FDB" w14:textId="77777777" w:rsidR="00AF06C8" w:rsidRDefault="001F0481">
      <w:pPr>
        <w:spacing w:before="240" w:after="0" w:line="360" w:lineRule="auto"/>
        <w:jc w:val="both"/>
        <w:rPr>
          <w:rFonts w:ascii="Times New Roman" w:hAnsi="Times New Roman"/>
          <w:b/>
          <w:sz w:val="24"/>
          <w:szCs w:val="24"/>
        </w:rPr>
      </w:pPr>
      <w:r>
        <w:rPr>
          <w:rFonts w:ascii="Times New Roman" w:hAnsi="Times New Roman"/>
          <w:b/>
          <w:sz w:val="24"/>
          <w:szCs w:val="24"/>
        </w:rPr>
        <w:t>Estimation of phenol:</w:t>
      </w:r>
    </w:p>
    <w:p w14:paraId="3CCF5752" w14:textId="77777777" w:rsidR="00AF06C8" w:rsidRDefault="001F0481">
      <w:pPr>
        <w:spacing w:after="0" w:line="360" w:lineRule="auto"/>
        <w:ind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Take 100mg fresh random leaf sample (each row) from field crush 100mg leaf sample in 5ml (80% ethanol) in mortar pestle until the leaf completely disappear and makes fine liquid solution. Pour the solution (Leaf +ethanol) in the 15ml falcon tube and centrifuge at 1000rpm for 10 minutes. Then transfer the supernatant in fresh 15ml falcon tube and add more 5ml (80% ethanol) into the old tube which has leaf extract and again centrifuge at 1000rpm for 10 minutes. Transfer the supernatant in the falcon. Total 10ml (5ml + 5ml), dry 10ml supernatant in glass bottle in Owen at 65</w:t>
      </w:r>
      <w:r>
        <w:rPr>
          <w:rFonts w:ascii="Cambria Math" w:hAnsi="Cambria Math" w:cs="Cambria Math"/>
          <w:color w:val="000000"/>
          <w:sz w:val="24"/>
          <w:szCs w:val="24"/>
        </w:rPr>
        <w:t>⁰</w:t>
      </w:r>
      <w:r>
        <w:rPr>
          <w:rFonts w:ascii="Times New Roman" w:hAnsi="Times New Roman" w:cs="Times New Roman"/>
          <w:color w:val="000000"/>
          <w:sz w:val="24"/>
          <w:szCs w:val="24"/>
        </w:rPr>
        <w:t xml:space="preserve">C until it gets dried. After drying add 1ml distil water and leave it until it gets dissolved.  Now take 50 micro </w:t>
      </w:r>
      <w:proofErr w:type="spellStart"/>
      <w:r>
        <w:rPr>
          <w:rFonts w:ascii="Times New Roman" w:hAnsi="Times New Roman" w:cs="Times New Roman"/>
          <w:color w:val="000000"/>
          <w:sz w:val="24"/>
          <w:szCs w:val="24"/>
        </w:rPr>
        <w:t>litres</w:t>
      </w:r>
      <w:proofErr w:type="spellEnd"/>
      <w:r>
        <w:rPr>
          <w:rFonts w:ascii="Times New Roman" w:hAnsi="Times New Roman" w:cs="Times New Roman"/>
          <w:color w:val="000000"/>
          <w:sz w:val="24"/>
          <w:szCs w:val="24"/>
        </w:rPr>
        <w:t xml:space="preserve"> from glass bottle with the help of pipette in an </w:t>
      </w:r>
      <w:proofErr w:type="spellStart"/>
      <w:r>
        <w:rPr>
          <w:rFonts w:ascii="Times New Roman" w:hAnsi="Times New Roman" w:cs="Times New Roman"/>
          <w:color w:val="000000"/>
          <w:sz w:val="24"/>
          <w:szCs w:val="24"/>
        </w:rPr>
        <w:t>eppendrof</w:t>
      </w:r>
      <w:proofErr w:type="spellEnd"/>
      <w:r>
        <w:rPr>
          <w:rFonts w:ascii="Times New Roman" w:hAnsi="Times New Roman" w:cs="Times New Roman"/>
          <w:color w:val="000000"/>
          <w:sz w:val="24"/>
          <w:szCs w:val="24"/>
        </w:rPr>
        <w:t xml:space="preserve"> tube then add 50 microliters FC Reagent. Add 200 microliters of 20% sodium carbonate and make up the volume </w:t>
      </w:r>
      <w:proofErr w:type="spellStart"/>
      <w:r>
        <w:rPr>
          <w:rFonts w:ascii="Times New Roman" w:hAnsi="Times New Roman" w:cs="Times New Roman"/>
          <w:color w:val="000000"/>
          <w:sz w:val="24"/>
          <w:szCs w:val="24"/>
        </w:rPr>
        <w:t>upto</w:t>
      </w:r>
      <w:proofErr w:type="spellEnd"/>
      <w:r>
        <w:rPr>
          <w:rFonts w:ascii="Times New Roman" w:hAnsi="Times New Roman" w:cs="Times New Roman"/>
          <w:color w:val="000000"/>
          <w:sz w:val="24"/>
          <w:szCs w:val="24"/>
        </w:rPr>
        <w:t xml:space="preserve"> 1ml with distil water. Boil it for 1 min and then keep it at room temperature for 2 hours. At last take absorption at 650nm in a spectrophotometer.</w:t>
      </w:r>
    </w:p>
    <w:p w14:paraId="7955B88E" w14:textId="77777777" w:rsidR="00AF06C8" w:rsidRDefault="00AF06C8">
      <w:pPr>
        <w:spacing w:after="0" w:line="360" w:lineRule="auto"/>
        <w:jc w:val="both"/>
        <w:rPr>
          <w:rFonts w:ascii="Times New Roman" w:hAnsi="Times New Roman" w:cs="Times New Roman"/>
          <w:b/>
          <w:color w:val="000000"/>
          <w:sz w:val="8"/>
          <w:szCs w:val="24"/>
        </w:rPr>
      </w:pPr>
    </w:p>
    <w:p w14:paraId="689622A2" w14:textId="77777777" w:rsidR="00AF06C8" w:rsidRDefault="001F0481">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w:t>
      </w:r>
    </w:p>
    <w:p w14:paraId="62BB9537" w14:textId="77777777" w:rsidR="00AF06C8" w:rsidRDefault="001F0481">
      <w:pPr>
        <w:spacing w:after="0" w:line="360" w:lineRule="auto"/>
        <w:ind w:firstLine="810"/>
        <w:jc w:val="both"/>
        <w:rPr>
          <w:rFonts w:ascii="Times New Roman" w:hAnsi="Times New Roman" w:cs="Times New Roman"/>
          <w:color w:val="000000"/>
          <w:sz w:val="28"/>
          <w:szCs w:val="24"/>
        </w:rPr>
      </w:pPr>
      <w:r>
        <w:rPr>
          <w:rFonts w:ascii="Times New Roman" w:hAnsi="Times New Roman" w:cs="Times New Roman"/>
          <w:sz w:val="24"/>
        </w:rPr>
        <w:t xml:space="preserve">  Infection by pathogens brings about a lot of changes in biochemical processes in the host plant. </w:t>
      </w:r>
      <w:r>
        <w:rPr>
          <w:rFonts w:ascii="Times New Roman" w:eastAsia="Times New Roman" w:hAnsi="Times New Roman" w:cs="Times New Roman"/>
          <w:bCs/>
          <w:sz w:val="24"/>
        </w:rPr>
        <w:t xml:space="preserve">Five different biochemical parameters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total amino acid, total sugar, reducing sugar, non-reducing sugar and phenol were evaluated and the biochemical response of five different categories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w:t>
      </w:r>
      <w:r>
        <w:rPr>
          <w:rFonts w:ascii="Times New Roman" w:hAnsi="Times New Roman" w:cs="Times New Roman"/>
          <w:sz w:val="24"/>
          <w:lang w:val="en-IN"/>
        </w:rPr>
        <w:t xml:space="preserve">Resistant, moderately resistant, moderately susceptible, susceptible and highly susceptible) </w:t>
      </w:r>
      <w:r>
        <w:rPr>
          <w:rFonts w:ascii="Times New Roman" w:eastAsia="Times New Roman" w:hAnsi="Times New Roman" w:cs="Times New Roman"/>
          <w:bCs/>
          <w:sz w:val="24"/>
        </w:rPr>
        <w:t xml:space="preserve">of genotypes were estimated and there grouping was done based </w:t>
      </w:r>
      <w:commentRangeStart w:id="37"/>
      <w:r>
        <w:rPr>
          <w:rFonts w:ascii="Times New Roman" w:eastAsia="Times New Roman" w:hAnsi="Times New Roman" w:cs="Times New Roman"/>
          <w:bCs/>
          <w:sz w:val="24"/>
        </w:rPr>
        <w:t>on level of expression.</w:t>
      </w:r>
      <w:commentRangeEnd w:id="37"/>
      <w:r w:rsidR="00941A72">
        <w:rPr>
          <w:rStyle w:val="CommentReference"/>
        </w:rPr>
        <w:commentReference w:id="37"/>
      </w:r>
    </w:p>
    <w:p w14:paraId="51583C31" w14:textId="77777777" w:rsidR="00AF06C8" w:rsidRDefault="00AF06C8">
      <w:pPr>
        <w:pStyle w:val="Default"/>
        <w:tabs>
          <w:tab w:val="left" w:pos="9360"/>
          <w:tab w:val="left" w:pos="9990"/>
        </w:tabs>
        <w:spacing w:line="360" w:lineRule="auto"/>
        <w:ind w:right="90" w:firstLine="450"/>
        <w:jc w:val="both"/>
        <w:rPr>
          <w:rFonts w:ascii="Arial" w:eastAsia="Times New Roman" w:hAnsi="Arial" w:cs="Arial"/>
          <w:bCs/>
          <w:sz w:val="6"/>
          <w:szCs w:val="22"/>
        </w:rPr>
      </w:pPr>
    </w:p>
    <w:p w14:paraId="4109FC24"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Biochemical changes in host plants</w:t>
      </w:r>
    </w:p>
    <w:p w14:paraId="371AD0D6"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Effect of total amino acid</w:t>
      </w:r>
    </w:p>
    <w:p w14:paraId="1ACA80D4" w14:textId="77777777" w:rsidR="00AF06C8" w:rsidRDefault="001F0481">
      <w:pPr>
        <w:pStyle w:val="Default"/>
        <w:tabs>
          <w:tab w:val="left" w:pos="9360"/>
          <w:tab w:val="left" w:pos="9990"/>
        </w:tabs>
        <w:spacing w:line="360" w:lineRule="auto"/>
        <w:ind w:right="90" w:firstLine="630"/>
        <w:jc w:val="both"/>
        <w:rPr>
          <w:rFonts w:ascii="Arial" w:eastAsia="Times New Roman" w:hAnsi="Arial" w:cs="Arial"/>
          <w:bCs/>
          <w:szCs w:val="22"/>
        </w:rPr>
      </w:pPr>
      <w:r>
        <w:rPr>
          <w:szCs w:val="22"/>
        </w:rPr>
        <w:t xml:space="preserve">Results on total amino acid content recorded at </w:t>
      </w:r>
      <w:proofErr w:type="gramStart"/>
      <w:r>
        <w:rPr>
          <w:szCs w:val="22"/>
        </w:rPr>
        <w:t>45 and 60 days</w:t>
      </w:r>
      <w:proofErr w:type="gramEnd"/>
      <w:r>
        <w:rPr>
          <w:szCs w:val="22"/>
        </w:rPr>
        <w:t xml:space="preserve"> stages under natural condition and data presented in table-01 and fig-01. It was evident that significant difference existed among the resistant and susceptible genotypes at both stages. The experiment data </w:t>
      </w:r>
      <w:r>
        <w:rPr>
          <w:rFonts w:eastAsia="Times New Roman"/>
          <w:bCs/>
          <w:szCs w:val="22"/>
        </w:rPr>
        <w:t xml:space="preserve">indicates that all the diseased samples have significantly reduced amino acid content as compared to healthy one. </w:t>
      </w:r>
      <w:r>
        <w:rPr>
          <w:szCs w:val="22"/>
        </w:rPr>
        <w:t>In regard to the content of total amino acid among the brinjal  genotypes, a</w:t>
      </w:r>
      <w:r>
        <w:rPr>
          <w:rFonts w:eastAsia="Times New Roman"/>
          <w:bCs/>
          <w:szCs w:val="22"/>
        </w:rPr>
        <w:t xml:space="preserve">t 45 days after sowing minimum amino acid content was recorded in healthy and diseased leaves of resistant genotypes </w:t>
      </w:r>
      <w:r>
        <w:rPr>
          <w:rFonts w:eastAsia="Times New Roman"/>
          <w:bCs/>
          <w:i/>
          <w:szCs w:val="22"/>
        </w:rPr>
        <w:t>viz.,</w:t>
      </w:r>
      <w:r>
        <w:rPr>
          <w:rFonts w:eastAsia="Times New Roman"/>
          <w:bCs/>
          <w:szCs w:val="22"/>
        </w:rPr>
        <w:t xml:space="preserve"> </w:t>
      </w:r>
      <w:proofErr w:type="spellStart"/>
      <w:r>
        <w:rPr>
          <w:rFonts w:eastAsia="Times New Roman"/>
          <w:bCs/>
          <w:szCs w:val="22"/>
        </w:rPr>
        <w:t>Uttra</w:t>
      </w:r>
      <w:proofErr w:type="spellEnd"/>
      <w:r>
        <w:rPr>
          <w:rFonts w:eastAsia="Times New Roman"/>
          <w:bCs/>
          <w:szCs w:val="22"/>
        </w:rPr>
        <w:t xml:space="preserve"> (2.35 and 1.77 mg/g) followed by moderate resistant genotype Pant Rituraj (2.90 and 2.31 mg/g), while in the susceptible category the minimum amino acid contents were recorded in Pusa Upkar (moderate susceptible) (3.60 and 2.96 mg/g), and </w:t>
      </w:r>
      <w:proofErr w:type="spellStart"/>
      <w:r>
        <w:rPr>
          <w:rFonts w:eastAsia="Times New Roman"/>
          <w:bCs/>
          <w:szCs w:val="22"/>
        </w:rPr>
        <w:t>Pusa</w:t>
      </w:r>
      <w:proofErr w:type="spellEnd"/>
      <w:r>
        <w:rPr>
          <w:rFonts w:eastAsia="Times New Roman"/>
          <w:bCs/>
          <w:szCs w:val="22"/>
        </w:rPr>
        <w:t xml:space="preserve"> </w:t>
      </w:r>
      <w:proofErr w:type="spellStart"/>
      <w:r>
        <w:rPr>
          <w:rFonts w:eastAsia="Times New Roman"/>
          <w:bCs/>
          <w:szCs w:val="22"/>
        </w:rPr>
        <w:t>Shymala</w:t>
      </w:r>
      <w:proofErr w:type="spellEnd"/>
      <w:r>
        <w:rPr>
          <w:rFonts w:eastAsia="Times New Roman"/>
          <w:bCs/>
          <w:szCs w:val="22"/>
        </w:rPr>
        <w:t xml:space="preserve"> (susceptible) (4.61 and 3.12 mg/g), while maximum amino acid was recorded in highly susceptible genotype BR-112 (4.97 and 3.62 gm/g).  At 60 days after </w:t>
      </w:r>
      <w:r>
        <w:rPr>
          <w:rFonts w:eastAsia="Times New Roman"/>
          <w:bCs/>
          <w:szCs w:val="22"/>
        </w:rPr>
        <w:lastRenderedPageBreak/>
        <w:t>sowing the same trends was observed maximum total amino acid was recoded in BR-112 (highly susceptible) genotype (10.12 and 9.07 mg/g) followed by Pusa Shymala</w:t>
      </w:r>
      <w:r>
        <w:rPr>
          <w:rFonts w:ascii="Arial" w:eastAsia="Times New Roman" w:hAnsi="Arial" w:cs="Arial"/>
          <w:bCs/>
          <w:szCs w:val="22"/>
        </w:rPr>
        <w:t xml:space="preserve"> (susceptible) </w:t>
      </w:r>
      <w:r>
        <w:rPr>
          <w:rFonts w:eastAsia="Times New Roman"/>
          <w:bCs/>
          <w:szCs w:val="22"/>
        </w:rPr>
        <w:t xml:space="preserve">(79.82 and 7.48 mg/g), Pusa Upkar (moderate susceptible) (7.43 and 5.12 mg/g), Pant Rituraj (moderate resistant) (4.64 and 5.80 mg/g), while minimum total amino acid was recorded in resistant genotype </w:t>
      </w:r>
      <w:proofErr w:type="spellStart"/>
      <w:r>
        <w:rPr>
          <w:rFonts w:eastAsia="Times New Roman"/>
          <w:bCs/>
          <w:szCs w:val="22"/>
        </w:rPr>
        <w:t>Ulttra</w:t>
      </w:r>
      <w:proofErr w:type="spellEnd"/>
      <w:r>
        <w:rPr>
          <w:rFonts w:eastAsia="Times New Roman"/>
          <w:bCs/>
          <w:szCs w:val="22"/>
        </w:rPr>
        <w:t xml:space="preserve"> (4.14 and 5.38 mg/g).</w:t>
      </w:r>
      <w:r>
        <w:rPr>
          <w:rFonts w:ascii="Arial" w:eastAsia="Times New Roman" w:hAnsi="Arial" w:cs="Arial"/>
          <w:bCs/>
          <w:szCs w:val="22"/>
        </w:rPr>
        <w:t xml:space="preserve"> </w:t>
      </w:r>
    </w:p>
    <w:p w14:paraId="65BD0BBF" w14:textId="77777777" w:rsidR="00AF06C8" w:rsidRDefault="00AF06C8">
      <w:pPr>
        <w:pStyle w:val="Default"/>
        <w:tabs>
          <w:tab w:val="left" w:pos="9360"/>
          <w:tab w:val="left" w:pos="9990"/>
        </w:tabs>
        <w:spacing w:line="360" w:lineRule="auto"/>
        <w:ind w:right="90"/>
        <w:jc w:val="both"/>
        <w:rPr>
          <w:rFonts w:eastAsia="Times New Roman"/>
          <w:bCs/>
          <w:sz w:val="2"/>
        </w:rPr>
      </w:pPr>
    </w:p>
    <w:p w14:paraId="20788A36" w14:textId="77777777" w:rsidR="00AF06C8" w:rsidRDefault="001F0481">
      <w:pPr>
        <w:pStyle w:val="ListParagraph"/>
        <w:tabs>
          <w:tab w:val="left" w:pos="270"/>
        </w:tabs>
        <w:spacing w:after="0" w:line="360" w:lineRule="auto"/>
        <w:ind w:left="450" w:hanging="540"/>
        <w:jc w:val="both"/>
        <w:rPr>
          <w:rFonts w:ascii="Times New Roman" w:hAnsi="Times New Roman"/>
          <w:b/>
          <w:sz w:val="24"/>
          <w:szCs w:val="24"/>
        </w:rPr>
      </w:pPr>
      <w:r>
        <w:rPr>
          <w:rFonts w:ascii="Times New Roman" w:hAnsi="Times New Roman"/>
          <w:b/>
          <w:sz w:val="24"/>
          <w:szCs w:val="24"/>
        </w:rPr>
        <w:t>Table-01.  Total amino acid content (mg/g) in Brinjal leaves among different genotypes.</w:t>
      </w:r>
    </w:p>
    <w:tbl>
      <w:tblPr>
        <w:tblStyle w:val="TableGrid"/>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170"/>
        <w:gridCol w:w="1530"/>
        <w:gridCol w:w="1440"/>
        <w:gridCol w:w="1890"/>
      </w:tblGrid>
      <w:tr w:rsidR="00AF06C8" w14:paraId="36789452" w14:textId="77777777">
        <w:trPr>
          <w:trHeight w:val="195"/>
        </w:trPr>
        <w:tc>
          <w:tcPr>
            <w:tcW w:w="1800" w:type="dxa"/>
            <w:vMerge w:val="restart"/>
          </w:tcPr>
          <w:p w14:paraId="4B5AFBB4" w14:textId="77777777" w:rsidR="00AF06C8" w:rsidRDefault="001F0481">
            <w:pPr>
              <w:pStyle w:val="ListParagraph"/>
              <w:tabs>
                <w:tab w:val="left" w:pos="270"/>
              </w:tabs>
              <w:ind w:left="0"/>
              <w:jc w:val="center"/>
              <w:rPr>
                <w:rFonts w:ascii="Times New Roman" w:hAnsi="Times New Roman"/>
                <w:b/>
                <w:sz w:val="24"/>
                <w:szCs w:val="24"/>
              </w:rPr>
            </w:pPr>
            <w:commentRangeStart w:id="38"/>
            <w:r>
              <w:rPr>
                <w:rFonts w:ascii="Times New Roman" w:hAnsi="Times New Roman"/>
                <w:b/>
                <w:sz w:val="24"/>
                <w:szCs w:val="24"/>
              </w:rPr>
              <w:t>Genotypes</w:t>
            </w:r>
          </w:p>
        </w:tc>
        <w:tc>
          <w:tcPr>
            <w:tcW w:w="1440" w:type="dxa"/>
            <w:vMerge w:val="restart"/>
          </w:tcPr>
          <w:p w14:paraId="7C770A2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 xml:space="preserve">Reaction </w:t>
            </w:r>
          </w:p>
        </w:tc>
        <w:tc>
          <w:tcPr>
            <w:tcW w:w="2700" w:type="dxa"/>
            <w:gridSpan w:val="2"/>
          </w:tcPr>
          <w:p w14:paraId="7DCE1565"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45 days after sowing</w:t>
            </w:r>
          </w:p>
        </w:tc>
        <w:tc>
          <w:tcPr>
            <w:tcW w:w="3330" w:type="dxa"/>
            <w:gridSpan w:val="2"/>
          </w:tcPr>
          <w:p w14:paraId="6617B49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60 days after sowing</w:t>
            </w:r>
          </w:p>
        </w:tc>
      </w:tr>
      <w:tr w:rsidR="00AF06C8" w14:paraId="75020276" w14:textId="77777777">
        <w:trPr>
          <w:trHeight w:val="180"/>
        </w:trPr>
        <w:tc>
          <w:tcPr>
            <w:tcW w:w="1800" w:type="dxa"/>
            <w:vMerge/>
          </w:tcPr>
          <w:p w14:paraId="4ADEEADA" w14:textId="77777777" w:rsidR="00AF06C8" w:rsidRDefault="00AF06C8">
            <w:pPr>
              <w:pStyle w:val="ListParagraph"/>
              <w:tabs>
                <w:tab w:val="left" w:pos="270"/>
              </w:tabs>
              <w:ind w:left="0"/>
              <w:jc w:val="center"/>
              <w:rPr>
                <w:rFonts w:ascii="Times New Roman" w:hAnsi="Times New Roman"/>
                <w:b/>
                <w:sz w:val="24"/>
                <w:szCs w:val="24"/>
              </w:rPr>
            </w:pPr>
          </w:p>
        </w:tc>
        <w:tc>
          <w:tcPr>
            <w:tcW w:w="1440" w:type="dxa"/>
            <w:vMerge/>
          </w:tcPr>
          <w:p w14:paraId="64E47799" w14:textId="77777777" w:rsidR="00AF06C8" w:rsidRDefault="00AF06C8">
            <w:pPr>
              <w:pStyle w:val="ListParagraph"/>
              <w:tabs>
                <w:tab w:val="left" w:pos="270"/>
              </w:tabs>
              <w:ind w:left="0"/>
              <w:jc w:val="center"/>
              <w:rPr>
                <w:rFonts w:ascii="Times New Roman" w:hAnsi="Times New Roman"/>
                <w:b/>
                <w:sz w:val="24"/>
                <w:szCs w:val="24"/>
              </w:rPr>
            </w:pPr>
          </w:p>
        </w:tc>
        <w:tc>
          <w:tcPr>
            <w:tcW w:w="6030" w:type="dxa"/>
            <w:gridSpan w:val="4"/>
          </w:tcPr>
          <w:p w14:paraId="2BCD1096"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bCs/>
                <w:sz w:val="24"/>
                <w:szCs w:val="24"/>
              </w:rPr>
              <w:t>Total amino acid (mg/g)</w:t>
            </w:r>
          </w:p>
        </w:tc>
      </w:tr>
      <w:tr w:rsidR="00AF06C8" w14:paraId="6CF297F2" w14:textId="77777777">
        <w:trPr>
          <w:trHeight w:val="278"/>
        </w:trPr>
        <w:tc>
          <w:tcPr>
            <w:tcW w:w="1800" w:type="dxa"/>
            <w:vMerge/>
          </w:tcPr>
          <w:p w14:paraId="69255D01" w14:textId="77777777" w:rsidR="00AF06C8" w:rsidRDefault="00AF06C8">
            <w:pPr>
              <w:pStyle w:val="Default"/>
              <w:jc w:val="center"/>
              <w:rPr>
                <w:bCs/>
              </w:rPr>
            </w:pPr>
          </w:p>
        </w:tc>
        <w:tc>
          <w:tcPr>
            <w:tcW w:w="1440" w:type="dxa"/>
            <w:vMerge/>
          </w:tcPr>
          <w:p w14:paraId="596DDE2E" w14:textId="77777777" w:rsidR="00AF06C8" w:rsidRDefault="00AF06C8">
            <w:pPr>
              <w:pStyle w:val="Default"/>
              <w:jc w:val="center"/>
              <w:rPr>
                <w:bCs/>
              </w:rPr>
            </w:pPr>
          </w:p>
        </w:tc>
        <w:tc>
          <w:tcPr>
            <w:tcW w:w="1170" w:type="dxa"/>
          </w:tcPr>
          <w:p w14:paraId="66F17D59" w14:textId="77777777" w:rsidR="00AF06C8" w:rsidRDefault="001F0481">
            <w:pPr>
              <w:pStyle w:val="Default"/>
              <w:jc w:val="center"/>
              <w:rPr>
                <w:b/>
                <w:bCs/>
                <w:sz w:val="22"/>
              </w:rPr>
            </w:pPr>
            <w:r>
              <w:rPr>
                <w:b/>
                <w:bCs/>
                <w:sz w:val="22"/>
              </w:rPr>
              <w:t>Healthy</w:t>
            </w:r>
          </w:p>
        </w:tc>
        <w:tc>
          <w:tcPr>
            <w:tcW w:w="1530" w:type="dxa"/>
          </w:tcPr>
          <w:p w14:paraId="5962BC16" w14:textId="77777777" w:rsidR="00AF06C8" w:rsidRDefault="001F0481">
            <w:pPr>
              <w:pStyle w:val="Default"/>
              <w:jc w:val="center"/>
              <w:rPr>
                <w:b/>
                <w:bCs/>
                <w:sz w:val="22"/>
              </w:rPr>
            </w:pPr>
            <w:r>
              <w:rPr>
                <w:b/>
                <w:bCs/>
                <w:sz w:val="22"/>
              </w:rPr>
              <w:t xml:space="preserve">Diseased </w:t>
            </w:r>
          </w:p>
        </w:tc>
        <w:tc>
          <w:tcPr>
            <w:tcW w:w="1440" w:type="dxa"/>
          </w:tcPr>
          <w:p w14:paraId="3BD68264" w14:textId="77777777" w:rsidR="00AF06C8" w:rsidRDefault="001F0481">
            <w:pPr>
              <w:pStyle w:val="Default"/>
              <w:jc w:val="center"/>
              <w:rPr>
                <w:b/>
                <w:bCs/>
                <w:sz w:val="22"/>
              </w:rPr>
            </w:pPr>
            <w:r>
              <w:rPr>
                <w:b/>
                <w:bCs/>
                <w:sz w:val="22"/>
              </w:rPr>
              <w:t>Healthy</w:t>
            </w:r>
          </w:p>
        </w:tc>
        <w:tc>
          <w:tcPr>
            <w:tcW w:w="1890" w:type="dxa"/>
          </w:tcPr>
          <w:p w14:paraId="2F550D79" w14:textId="77777777" w:rsidR="00AF06C8" w:rsidRDefault="001F0481">
            <w:pPr>
              <w:pStyle w:val="Default"/>
              <w:jc w:val="center"/>
              <w:rPr>
                <w:b/>
                <w:bCs/>
                <w:sz w:val="22"/>
              </w:rPr>
            </w:pPr>
            <w:r>
              <w:rPr>
                <w:b/>
                <w:bCs/>
                <w:sz w:val="22"/>
              </w:rPr>
              <w:t xml:space="preserve">Diseased </w:t>
            </w:r>
          </w:p>
        </w:tc>
      </w:tr>
      <w:tr w:rsidR="00AF06C8" w14:paraId="277729A7" w14:textId="77777777">
        <w:tc>
          <w:tcPr>
            <w:tcW w:w="1800" w:type="dxa"/>
          </w:tcPr>
          <w:p w14:paraId="31BC1993"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Uttra</w:t>
            </w:r>
            <w:proofErr w:type="spellEnd"/>
          </w:p>
        </w:tc>
        <w:tc>
          <w:tcPr>
            <w:tcW w:w="1440" w:type="dxa"/>
          </w:tcPr>
          <w:p w14:paraId="182DDD38"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R</w:t>
            </w:r>
          </w:p>
        </w:tc>
        <w:tc>
          <w:tcPr>
            <w:tcW w:w="1170" w:type="dxa"/>
          </w:tcPr>
          <w:p w14:paraId="328C6564"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2.35</w:t>
            </w:r>
          </w:p>
        </w:tc>
        <w:tc>
          <w:tcPr>
            <w:tcW w:w="1530" w:type="dxa"/>
          </w:tcPr>
          <w:p w14:paraId="4F1A8212"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1.77</w:t>
            </w:r>
          </w:p>
        </w:tc>
        <w:tc>
          <w:tcPr>
            <w:tcW w:w="1440" w:type="dxa"/>
          </w:tcPr>
          <w:p w14:paraId="46FCD716"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6.62</w:t>
            </w:r>
          </w:p>
        </w:tc>
        <w:tc>
          <w:tcPr>
            <w:tcW w:w="1890" w:type="dxa"/>
          </w:tcPr>
          <w:p w14:paraId="6CD44C1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4.14</w:t>
            </w:r>
          </w:p>
        </w:tc>
      </w:tr>
      <w:tr w:rsidR="00AF06C8" w14:paraId="11B6E80F" w14:textId="77777777">
        <w:tc>
          <w:tcPr>
            <w:tcW w:w="1800" w:type="dxa"/>
          </w:tcPr>
          <w:p w14:paraId="2185C0B7"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hAnsi="Times New Roman"/>
                <w:szCs w:val="24"/>
              </w:rPr>
              <w:t xml:space="preserve">Pant </w:t>
            </w:r>
            <w:proofErr w:type="spellStart"/>
            <w:r>
              <w:rPr>
                <w:rFonts w:ascii="Times New Roman" w:hAnsi="Times New Roman"/>
                <w:szCs w:val="24"/>
              </w:rPr>
              <w:t>rituraj</w:t>
            </w:r>
            <w:proofErr w:type="spellEnd"/>
          </w:p>
        </w:tc>
        <w:tc>
          <w:tcPr>
            <w:tcW w:w="1440" w:type="dxa"/>
          </w:tcPr>
          <w:p w14:paraId="233EE62D"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MR</w:t>
            </w:r>
          </w:p>
        </w:tc>
        <w:tc>
          <w:tcPr>
            <w:tcW w:w="1170" w:type="dxa"/>
          </w:tcPr>
          <w:p w14:paraId="3F1120F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2.90</w:t>
            </w:r>
          </w:p>
        </w:tc>
        <w:tc>
          <w:tcPr>
            <w:tcW w:w="1530" w:type="dxa"/>
          </w:tcPr>
          <w:p w14:paraId="0F299A2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2.31</w:t>
            </w:r>
          </w:p>
        </w:tc>
        <w:tc>
          <w:tcPr>
            <w:tcW w:w="1440" w:type="dxa"/>
          </w:tcPr>
          <w:p w14:paraId="4A0C0437"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6.95</w:t>
            </w:r>
          </w:p>
        </w:tc>
        <w:tc>
          <w:tcPr>
            <w:tcW w:w="1890" w:type="dxa"/>
          </w:tcPr>
          <w:p w14:paraId="4A0A8C5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4.64</w:t>
            </w:r>
          </w:p>
        </w:tc>
      </w:tr>
      <w:tr w:rsidR="00AF06C8" w14:paraId="19322C15" w14:textId="77777777">
        <w:tc>
          <w:tcPr>
            <w:tcW w:w="1800" w:type="dxa"/>
          </w:tcPr>
          <w:p w14:paraId="30F143FE"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upkar</w:t>
            </w:r>
            <w:proofErr w:type="spellEnd"/>
          </w:p>
        </w:tc>
        <w:tc>
          <w:tcPr>
            <w:tcW w:w="1440" w:type="dxa"/>
          </w:tcPr>
          <w:p w14:paraId="32CA381F"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 S</w:t>
            </w:r>
          </w:p>
        </w:tc>
        <w:tc>
          <w:tcPr>
            <w:tcW w:w="1170" w:type="dxa"/>
          </w:tcPr>
          <w:p w14:paraId="12D7D6B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3.60</w:t>
            </w:r>
          </w:p>
        </w:tc>
        <w:tc>
          <w:tcPr>
            <w:tcW w:w="1530" w:type="dxa"/>
          </w:tcPr>
          <w:p w14:paraId="7D5572C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2.96</w:t>
            </w:r>
          </w:p>
        </w:tc>
        <w:tc>
          <w:tcPr>
            <w:tcW w:w="1440" w:type="dxa"/>
          </w:tcPr>
          <w:p w14:paraId="522090D5"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7.43</w:t>
            </w:r>
          </w:p>
        </w:tc>
        <w:tc>
          <w:tcPr>
            <w:tcW w:w="1890" w:type="dxa"/>
          </w:tcPr>
          <w:p w14:paraId="46612E1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5.12</w:t>
            </w:r>
          </w:p>
        </w:tc>
      </w:tr>
      <w:tr w:rsidR="00AF06C8" w14:paraId="5F3EB1B9" w14:textId="77777777">
        <w:tc>
          <w:tcPr>
            <w:tcW w:w="1800" w:type="dxa"/>
          </w:tcPr>
          <w:p w14:paraId="34D1E18B"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shymala</w:t>
            </w:r>
            <w:proofErr w:type="spellEnd"/>
          </w:p>
        </w:tc>
        <w:tc>
          <w:tcPr>
            <w:tcW w:w="1440" w:type="dxa"/>
          </w:tcPr>
          <w:p w14:paraId="72C66902"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S</w:t>
            </w:r>
          </w:p>
        </w:tc>
        <w:tc>
          <w:tcPr>
            <w:tcW w:w="1170" w:type="dxa"/>
          </w:tcPr>
          <w:p w14:paraId="40B777E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4.61</w:t>
            </w:r>
          </w:p>
        </w:tc>
        <w:tc>
          <w:tcPr>
            <w:tcW w:w="1530" w:type="dxa"/>
          </w:tcPr>
          <w:p w14:paraId="59807ED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3.12</w:t>
            </w:r>
          </w:p>
        </w:tc>
        <w:tc>
          <w:tcPr>
            <w:tcW w:w="1440" w:type="dxa"/>
          </w:tcPr>
          <w:p w14:paraId="318FADDE"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9.82</w:t>
            </w:r>
          </w:p>
        </w:tc>
        <w:tc>
          <w:tcPr>
            <w:tcW w:w="1890" w:type="dxa"/>
          </w:tcPr>
          <w:p w14:paraId="700DDF5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7.48</w:t>
            </w:r>
          </w:p>
        </w:tc>
      </w:tr>
      <w:tr w:rsidR="00AF06C8" w14:paraId="2CC50563" w14:textId="77777777">
        <w:tc>
          <w:tcPr>
            <w:tcW w:w="1800" w:type="dxa"/>
          </w:tcPr>
          <w:p w14:paraId="0334F63B"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eastAsia="CIDFont+F4" w:hAnsi="Times New Roman"/>
                <w:szCs w:val="24"/>
              </w:rPr>
              <w:t>BR-112</w:t>
            </w:r>
          </w:p>
        </w:tc>
        <w:tc>
          <w:tcPr>
            <w:tcW w:w="1440" w:type="dxa"/>
          </w:tcPr>
          <w:p w14:paraId="21D6D7C1"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H S</w:t>
            </w:r>
          </w:p>
        </w:tc>
        <w:tc>
          <w:tcPr>
            <w:tcW w:w="1170" w:type="dxa"/>
          </w:tcPr>
          <w:p w14:paraId="4A1FC1EF"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4.97</w:t>
            </w:r>
          </w:p>
        </w:tc>
        <w:tc>
          <w:tcPr>
            <w:tcW w:w="1530" w:type="dxa"/>
          </w:tcPr>
          <w:p w14:paraId="3F5FCED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3.62</w:t>
            </w:r>
          </w:p>
        </w:tc>
        <w:tc>
          <w:tcPr>
            <w:tcW w:w="1440" w:type="dxa"/>
          </w:tcPr>
          <w:p w14:paraId="598F8A0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10.12</w:t>
            </w:r>
          </w:p>
        </w:tc>
        <w:tc>
          <w:tcPr>
            <w:tcW w:w="1890" w:type="dxa"/>
          </w:tcPr>
          <w:p w14:paraId="72AE88D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8.02</w:t>
            </w:r>
            <w:commentRangeEnd w:id="38"/>
            <w:r w:rsidR="00941A72">
              <w:rPr>
                <w:rStyle w:val="CommentReference"/>
                <w:rFonts w:cs="Mangal"/>
                <w:lang w:val="en-US" w:eastAsia="en-US"/>
              </w:rPr>
              <w:commentReference w:id="38"/>
            </w:r>
          </w:p>
        </w:tc>
      </w:tr>
    </w:tbl>
    <w:p w14:paraId="1D6C79EA" w14:textId="77777777" w:rsidR="00AF06C8" w:rsidRDefault="00AF06C8">
      <w:pPr>
        <w:pStyle w:val="Default"/>
        <w:tabs>
          <w:tab w:val="left" w:pos="9360"/>
          <w:tab w:val="left" w:pos="9990"/>
        </w:tabs>
        <w:spacing w:line="360" w:lineRule="auto"/>
        <w:ind w:right="180"/>
        <w:jc w:val="both"/>
        <w:rPr>
          <w:rFonts w:eastAsia="Times New Roman"/>
          <w:b/>
          <w:bCs/>
          <w:sz w:val="8"/>
          <w:szCs w:val="22"/>
        </w:rPr>
      </w:pPr>
    </w:p>
    <w:p w14:paraId="658DBC67" w14:textId="77777777" w:rsidR="00AF06C8" w:rsidRDefault="001F0481">
      <w:pPr>
        <w:pStyle w:val="Default"/>
        <w:tabs>
          <w:tab w:val="left" w:pos="9360"/>
          <w:tab w:val="left" w:pos="9990"/>
        </w:tabs>
        <w:spacing w:line="360" w:lineRule="auto"/>
        <w:ind w:right="90"/>
        <w:jc w:val="both"/>
        <w:rPr>
          <w:rFonts w:eastAsia="Times New Roman"/>
          <w:b/>
          <w:bCs/>
        </w:rPr>
      </w:pPr>
      <w:r>
        <w:rPr>
          <w:rFonts w:eastAsia="Times New Roman"/>
          <w:b/>
          <w:bCs/>
        </w:rPr>
        <w:t>Effect of total phenol</w:t>
      </w:r>
    </w:p>
    <w:p w14:paraId="0981B6AE" w14:textId="77777777" w:rsidR="00AF06C8" w:rsidRDefault="001F0481">
      <w:pPr>
        <w:pStyle w:val="BodyText"/>
        <w:spacing w:before="77" w:line="360" w:lineRule="auto"/>
        <w:ind w:firstLine="630"/>
        <w:jc w:val="both"/>
        <w:rPr>
          <w:rFonts w:ascii="Times New Roman" w:hAnsi="Times New Roman" w:cs="Times New Roman"/>
          <w:sz w:val="24"/>
          <w:szCs w:val="24"/>
        </w:rPr>
      </w:pPr>
      <w:r>
        <w:rPr>
          <w:rFonts w:ascii="Arial" w:hAnsi="Arial" w:cs="Arial"/>
          <w:sz w:val="24"/>
          <w:szCs w:val="24"/>
        </w:rPr>
        <w:t xml:space="preserve"> </w:t>
      </w:r>
      <w:r>
        <w:rPr>
          <w:rFonts w:ascii="Times New Roman" w:hAnsi="Times New Roman" w:cs="Times New Roman"/>
          <w:sz w:val="24"/>
          <w:szCs w:val="24"/>
        </w:rPr>
        <w:t xml:space="preserve">There was a significant increase in phenol content of brinjal plants due to </w:t>
      </w:r>
      <w:r>
        <w:rPr>
          <w:rFonts w:ascii="Times New Roman" w:hAnsi="Times New Roman" w:cs="Times New Roman"/>
          <w:i/>
          <w:sz w:val="24"/>
          <w:szCs w:val="24"/>
        </w:rPr>
        <w:t xml:space="preserve">Alternaria </w:t>
      </w:r>
      <w:proofErr w:type="spellStart"/>
      <w:r>
        <w:rPr>
          <w:rFonts w:ascii="Times New Roman" w:hAnsi="Times New Roman" w:cs="Times New Roman"/>
          <w:i/>
          <w:sz w:val="24"/>
          <w:szCs w:val="24"/>
        </w:rPr>
        <w:t>alternata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infection</w:t>
      </w:r>
      <w:r>
        <w:rPr>
          <w:rFonts w:ascii="Times New Roman" w:hAnsi="Times New Roman" w:cs="Times New Roman"/>
          <w:i/>
          <w:sz w:val="24"/>
          <w:szCs w:val="24"/>
        </w:rPr>
        <w:t xml:space="preserve"> </w:t>
      </w:r>
      <w:r>
        <w:rPr>
          <w:rFonts w:ascii="Times New Roman" w:hAnsi="Times New Roman" w:cs="Times New Roman"/>
          <w:sz w:val="24"/>
          <w:szCs w:val="24"/>
        </w:rPr>
        <w:t xml:space="preserve">as compared to healthy plants. Data presented in table-02 clearly indicates that maximum phenol content (4.82 mg/g) was found in healthy samples of resistant genotypes </w:t>
      </w:r>
      <w:r>
        <w:rPr>
          <w:rFonts w:ascii="Times New Roman" w:hAnsi="Times New Roman" w:cs="Times New Roman"/>
          <w:i/>
          <w:spacing w:val="-3"/>
          <w:sz w:val="24"/>
          <w:szCs w:val="24"/>
        </w:rPr>
        <w:t>viz.</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and minimum phenol content was </w:t>
      </w:r>
      <w:r>
        <w:rPr>
          <w:rFonts w:ascii="Times New Roman" w:hAnsi="Times New Roman" w:cs="Times New Roman"/>
          <w:spacing w:val="-4"/>
          <w:sz w:val="24"/>
          <w:szCs w:val="24"/>
        </w:rPr>
        <w:t xml:space="preserve">recorded </w:t>
      </w:r>
      <w:r>
        <w:rPr>
          <w:rFonts w:ascii="Times New Roman" w:hAnsi="Times New Roman" w:cs="Times New Roman"/>
          <w:sz w:val="24"/>
          <w:szCs w:val="24"/>
        </w:rPr>
        <w:t xml:space="preserve">in highly susceptible </w:t>
      </w:r>
      <w:r>
        <w:rPr>
          <w:rFonts w:ascii="Times New Roman" w:hAnsi="Times New Roman" w:cs="Times New Roman"/>
          <w:spacing w:val="-4"/>
          <w:sz w:val="24"/>
          <w:szCs w:val="24"/>
        </w:rPr>
        <w:t xml:space="preserve">genotype </w:t>
      </w:r>
      <w:r>
        <w:rPr>
          <w:rFonts w:ascii="Times New Roman" w:hAnsi="Times New Roman" w:cs="Times New Roman"/>
          <w:sz w:val="24"/>
          <w:szCs w:val="24"/>
        </w:rPr>
        <w:t xml:space="preserve">BR-112 (2.10 mg/g). At 45 days after sowing the phenol content in healthy leaves of Pant Rituraj (3.65 mg/g), Pusa Upkar (2.91 mg/g)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(2.48 mg/g) was lower as compared to diseased leaves. (4.92, 4.14 and 3.46 mg/g) respectively. In diseased leaves of genotypes </w:t>
      </w:r>
      <w:r>
        <w:rPr>
          <w:rFonts w:ascii="Times New Roman" w:hAnsi="Times New Roman" w:cs="Times New Roman"/>
          <w:i/>
          <w:sz w:val="24"/>
          <w:szCs w:val="24"/>
        </w:rPr>
        <w:t xml:space="preserve">viz., </w:t>
      </w:r>
      <w:r>
        <w:rPr>
          <w:rFonts w:ascii="Times New Roman" w:hAnsi="Times New Roman" w:cs="Times New Roman"/>
          <w:sz w:val="24"/>
          <w:szCs w:val="24"/>
        </w:rPr>
        <w:t xml:space="preserve">Pant Rituraj, Pusa </w:t>
      </w:r>
      <w:proofErr w:type="spellStart"/>
      <w:r>
        <w:rPr>
          <w:rFonts w:ascii="Times New Roman" w:hAnsi="Times New Roman" w:cs="Times New Roman"/>
          <w:sz w:val="24"/>
          <w:szCs w:val="24"/>
        </w:rPr>
        <w:t>Upkar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total phenol content (4.92 mg/g), (4.14 mg/g) and (3.46 mg/g) respectively at 45 days after sowing, whereas in diseased leaves phenolic content is gradually increases, In the leaves of highly susceptible genotype BR-112 genotype recorded minimum phenol content (2.77 mg/g), while maximum phenol was recorded in genotype ultra (5.25 mg/100g). Similarly at 60 days after sowing the phenolic content were increased gradually with respect of </w:t>
      </w:r>
      <w:proofErr w:type="spellStart"/>
      <w:r>
        <w:rPr>
          <w:rFonts w:ascii="Times New Roman" w:hAnsi="Times New Roman" w:cs="Times New Roman"/>
          <w:sz w:val="24"/>
          <w:szCs w:val="24"/>
        </w:rPr>
        <w:t>alternaria</w:t>
      </w:r>
      <w:proofErr w:type="spellEnd"/>
      <w:r>
        <w:rPr>
          <w:rFonts w:ascii="Times New Roman" w:hAnsi="Times New Roman" w:cs="Times New Roman"/>
          <w:sz w:val="24"/>
          <w:szCs w:val="24"/>
        </w:rPr>
        <w:t xml:space="preserve"> infection. In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genotype maximum phenolic content was recorded in healthy and diseased leaves (7.20 and 8.83 gm/g), followed by Pant Rituraj (5.15 and 6.89 mg/g), Pusa Upkar (4.42 and 6.10 gm/g)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(3.87 and 5.05 mg/g), while minimum phenolic content was recorded in genotype BR-112 (3.15 and 4.72 mg/100g). </w:t>
      </w:r>
    </w:p>
    <w:p w14:paraId="5049DCF8"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 Table-02. Total phenol content (mg/g) in Brinjal leaves among different genotypes.</w:t>
      </w:r>
    </w:p>
    <w:tbl>
      <w:tblPr>
        <w:tblStyle w:val="TableGrid"/>
        <w:tblW w:w="9270" w:type="dxa"/>
        <w:tblInd w:w="108" w:type="dxa"/>
        <w:tblLayout w:type="fixed"/>
        <w:tblLook w:val="04A0" w:firstRow="1" w:lastRow="0" w:firstColumn="1" w:lastColumn="0" w:noHBand="0" w:noVBand="1"/>
      </w:tblPr>
      <w:tblGrid>
        <w:gridCol w:w="1980"/>
        <w:gridCol w:w="1260"/>
        <w:gridCol w:w="1260"/>
        <w:gridCol w:w="1530"/>
        <w:gridCol w:w="1530"/>
        <w:gridCol w:w="1710"/>
      </w:tblGrid>
      <w:tr w:rsidR="00AF06C8" w14:paraId="74310093" w14:textId="77777777">
        <w:trPr>
          <w:trHeight w:val="195"/>
        </w:trPr>
        <w:tc>
          <w:tcPr>
            <w:tcW w:w="1980" w:type="dxa"/>
            <w:vMerge w:val="restart"/>
          </w:tcPr>
          <w:p w14:paraId="3CAEF2EE"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EAA705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790" w:type="dxa"/>
            <w:gridSpan w:val="2"/>
            <w:tcBorders>
              <w:right w:val="single" w:sz="4" w:space="0" w:color="auto"/>
            </w:tcBorders>
          </w:tcPr>
          <w:p w14:paraId="0BA3EE28"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240" w:type="dxa"/>
            <w:gridSpan w:val="2"/>
            <w:tcBorders>
              <w:right w:val="single" w:sz="4" w:space="0" w:color="auto"/>
            </w:tcBorders>
          </w:tcPr>
          <w:p w14:paraId="2AF42B6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874F7CC" w14:textId="77777777">
        <w:trPr>
          <w:trHeight w:val="180"/>
        </w:trPr>
        <w:tc>
          <w:tcPr>
            <w:tcW w:w="1980" w:type="dxa"/>
            <w:vMerge/>
          </w:tcPr>
          <w:p w14:paraId="16F00D87"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1243ACEB" w14:textId="77777777" w:rsidR="00AF06C8" w:rsidRDefault="00AF06C8">
            <w:pPr>
              <w:pStyle w:val="ListParagraph"/>
              <w:tabs>
                <w:tab w:val="left" w:pos="270"/>
              </w:tabs>
              <w:ind w:left="0"/>
              <w:jc w:val="center"/>
              <w:rPr>
                <w:rFonts w:ascii="Times New Roman" w:hAnsi="Times New Roman"/>
                <w:b/>
              </w:rPr>
            </w:pPr>
          </w:p>
        </w:tc>
        <w:tc>
          <w:tcPr>
            <w:tcW w:w="2790" w:type="dxa"/>
            <w:gridSpan w:val="2"/>
            <w:tcBorders>
              <w:right w:val="single" w:sz="4" w:space="0" w:color="auto"/>
            </w:tcBorders>
          </w:tcPr>
          <w:p w14:paraId="494D61AD"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c>
          <w:tcPr>
            <w:tcW w:w="3240" w:type="dxa"/>
            <w:gridSpan w:val="2"/>
            <w:tcBorders>
              <w:right w:val="single" w:sz="4" w:space="0" w:color="auto"/>
            </w:tcBorders>
          </w:tcPr>
          <w:p w14:paraId="38A90D6E"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r>
      <w:tr w:rsidR="00AF06C8" w14:paraId="261B9809" w14:textId="77777777">
        <w:trPr>
          <w:trHeight w:val="278"/>
        </w:trPr>
        <w:tc>
          <w:tcPr>
            <w:tcW w:w="1980" w:type="dxa"/>
            <w:vMerge/>
          </w:tcPr>
          <w:p w14:paraId="4A5327D9" w14:textId="77777777" w:rsidR="00AF06C8" w:rsidRDefault="00AF06C8">
            <w:pPr>
              <w:pStyle w:val="Default"/>
              <w:jc w:val="center"/>
              <w:rPr>
                <w:bCs/>
                <w:sz w:val="22"/>
                <w:szCs w:val="22"/>
              </w:rPr>
            </w:pPr>
          </w:p>
        </w:tc>
        <w:tc>
          <w:tcPr>
            <w:tcW w:w="1260" w:type="dxa"/>
            <w:vMerge/>
          </w:tcPr>
          <w:p w14:paraId="732C8865" w14:textId="77777777" w:rsidR="00AF06C8" w:rsidRDefault="00AF06C8">
            <w:pPr>
              <w:pStyle w:val="Default"/>
              <w:jc w:val="center"/>
              <w:rPr>
                <w:bCs/>
                <w:sz w:val="22"/>
                <w:szCs w:val="22"/>
              </w:rPr>
            </w:pPr>
          </w:p>
        </w:tc>
        <w:tc>
          <w:tcPr>
            <w:tcW w:w="1260" w:type="dxa"/>
          </w:tcPr>
          <w:p w14:paraId="0E797F5C" w14:textId="77777777" w:rsidR="00AF06C8" w:rsidRDefault="001F0481">
            <w:pPr>
              <w:pStyle w:val="Default"/>
              <w:jc w:val="center"/>
              <w:rPr>
                <w:b/>
                <w:bCs/>
                <w:sz w:val="22"/>
                <w:szCs w:val="22"/>
              </w:rPr>
            </w:pPr>
            <w:r>
              <w:rPr>
                <w:b/>
                <w:bCs/>
                <w:sz w:val="22"/>
                <w:szCs w:val="22"/>
              </w:rPr>
              <w:t>Healthy</w:t>
            </w:r>
          </w:p>
        </w:tc>
        <w:tc>
          <w:tcPr>
            <w:tcW w:w="1530" w:type="dxa"/>
            <w:tcBorders>
              <w:right w:val="single" w:sz="4" w:space="0" w:color="auto"/>
            </w:tcBorders>
          </w:tcPr>
          <w:p w14:paraId="661798DA" w14:textId="77777777" w:rsidR="00AF06C8" w:rsidRDefault="001F0481">
            <w:pPr>
              <w:pStyle w:val="Default"/>
              <w:jc w:val="center"/>
              <w:rPr>
                <w:b/>
                <w:bCs/>
                <w:sz w:val="22"/>
                <w:szCs w:val="22"/>
              </w:rPr>
            </w:pPr>
            <w:r>
              <w:rPr>
                <w:b/>
                <w:bCs/>
                <w:sz w:val="22"/>
                <w:szCs w:val="22"/>
              </w:rPr>
              <w:t xml:space="preserve">Diseased </w:t>
            </w:r>
          </w:p>
        </w:tc>
        <w:tc>
          <w:tcPr>
            <w:tcW w:w="1530" w:type="dxa"/>
          </w:tcPr>
          <w:p w14:paraId="324FD862" w14:textId="77777777" w:rsidR="00AF06C8" w:rsidRDefault="001F0481">
            <w:pPr>
              <w:pStyle w:val="Default"/>
              <w:jc w:val="center"/>
              <w:rPr>
                <w:b/>
                <w:bCs/>
                <w:sz w:val="22"/>
                <w:szCs w:val="22"/>
              </w:rPr>
            </w:pPr>
            <w:r>
              <w:rPr>
                <w:b/>
                <w:bCs/>
                <w:sz w:val="22"/>
                <w:szCs w:val="22"/>
              </w:rPr>
              <w:t>Healthy</w:t>
            </w:r>
          </w:p>
        </w:tc>
        <w:tc>
          <w:tcPr>
            <w:tcW w:w="1710" w:type="dxa"/>
            <w:tcBorders>
              <w:right w:val="single" w:sz="4" w:space="0" w:color="auto"/>
            </w:tcBorders>
          </w:tcPr>
          <w:p w14:paraId="3C2D04BD" w14:textId="77777777" w:rsidR="00AF06C8" w:rsidRDefault="001F0481">
            <w:pPr>
              <w:pStyle w:val="Default"/>
              <w:jc w:val="center"/>
              <w:rPr>
                <w:b/>
                <w:bCs/>
                <w:sz w:val="22"/>
                <w:szCs w:val="22"/>
              </w:rPr>
            </w:pPr>
            <w:r>
              <w:rPr>
                <w:b/>
                <w:bCs/>
                <w:sz w:val="22"/>
                <w:szCs w:val="22"/>
              </w:rPr>
              <w:t xml:space="preserve">Diseased </w:t>
            </w:r>
          </w:p>
        </w:tc>
      </w:tr>
      <w:tr w:rsidR="00AF06C8" w14:paraId="7B5D5760" w14:textId="77777777">
        <w:tc>
          <w:tcPr>
            <w:tcW w:w="1980" w:type="dxa"/>
          </w:tcPr>
          <w:p w14:paraId="0BA44ECA"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396F53BB"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260" w:type="dxa"/>
          </w:tcPr>
          <w:p w14:paraId="7EEBF72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4.82</w:t>
            </w:r>
          </w:p>
        </w:tc>
        <w:tc>
          <w:tcPr>
            <w:tcW w:w="1530" w:type="dxa"/>
            <w:tcBorders>
              <w:right w:val="single" w:sz="4" w:space="0" w:color="auto"/>
            </w:tcBorders>
          </w:tcPr>
          <w:p w14:paraId="3D76C68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5.25</w:t>
            </w:r>
          </w:p>
        </w:tc>
        <w:tc>
          <w:tcPr>
            <w:tcW w:w="1530" w:type="dxa"/>
          </w:tcPr>
          <w:p w14:paraId="10AA033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7.20</w:t>
            </w:r>
          </w:p>
        </w:tc>
        <w:tc>
          <w:tcPr>
            <w:tcW w:w="1710" w:type="dxa"/>
            <w:tcBorders>
              <w:right w:val="single" w:sz="4" w:space="0" w:color="auto"/>
            </w:tcBorders>
          </w:tcPr>
          <w:p w14:paraId="654AA3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8.33</w:t>
            </w:r>
          </w:p>
        </w:tc>
      </w:tr>
      <w:tr w:rsidR="00AF06C8" w14:paraId="0909A6EE" w14:textId="77777777">
        <w:tc>
          <w:tcPr>
            <w:tcW w:w="1980" w:type="dxa"/>
          </w:tcPr>
          <w:p w14:paraId="46EDE62D"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2FA4203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260" w:type="dxa"/>
          </w:tcPr>
          <w:p w14:paraId="4673DB7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3.65</w:t>
            </w:r>
          </w:p>
        </w:tc>
        <w:tc>
          <w:tcPr>
            <w:tcW w:w="1530" w:type="dxa"/>
            <w:tcBorders>
              <w:right w:val="single" w:sz="4" w:space="0" w:color="auto"/>
            </w:tcBorders>
          </w:tcPr>
          <w:p w14:paraId="65B6E14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4.92</w:t>
            </w:r>
          </w:p>
        </w:tc>
        <w:tc>
          <w:tcPr>
            <w:tcW w:w="1530" w:type="dxa"/>
          </w:tcPr>
          <w:p w14:paraId="33EE6A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5.15</w:t>
            </w:r>
          </w:p>
        </w:tc>
        <w:tc>
          <w:tcPr>
            <w:tcW w:w="1710" w:type="dxa"/>
            <w:tcBorders>
              <w:right w:val="single" w:sz="4" w:space="0" w:color="auto"/>
            </w:tcBorders>
          </w:tcPr>
          <w:p w14:paraId="5C717E5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6.89</w:t>
            </w:r>
          </w:p>
        </w:tc>
      </w:tr>
      <w:tr w:rsidR="00AF06C8" w14:paraId="2B16689E" w14:textId="77777777">
        <w:tc>
          <w:tcPr>
            <w:tcW w:w="1980" w:type="dxa"/>
          </w:tcPr>
          <w:p w14:paraId="5255B693" w14:textId="77777777" w:rsidR="00AF06C8" w:rsidRDefault="001F0481">
            <w:pPr>
              <w:pStyle w:val="ListParagraph"/>
              <w:tabs>
                <w:tab w:val="left" w:pos="270"/>
              </w:tabs>
              <w:ind w:left="0" w:right="120"/>
              <w:jc w:val="center"/>
              <w:rPr>
                <w:rFonts w:ascii="Times New Roman" w:hAnsi="Times New Roman"/>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D4A157F"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260" w:type="dxa"/>
          </w:tcPr>
          <w:p w14:paraId="5E2778C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2.91</w:t>
            </w:r>
          </w:p>
        </w:tc>
        <w:tc>
          <w:tcPr>
            <w:tcW w:w="1530" w:type="dxa"/>
            <w:tcBorders>
              <w:right w:val="single" w:sz="4" w:space="0" w:color="auto"/>
            </w:tcBorders>
          </w:tcPr>
          <w:p w14:paraId="2B51941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4.14</w:t>
            </w:r>
          </w:p>
        </w:tc>
        <w:tc>
          <w:tcPr>
            <w:tcW w:w="1530" w:type="dxa"/>
          </w:tcPr>
          <w:p w14:paraId="73AAB4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4.42</w:t>
            </w:r>
          </w:p>
        </w:tc>
        <w:tc>
          <w:tcPr>
            <w:tcW w:w="1710" w:type="dxa"/>
            <w:tcBorders>
              <w:right w:val="single" w:sz="4" w:space="0" w:color="auto"/>
            </w:tcBorders>
          </w:tcPr>
          <w:p w14:paraId="76C97EE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6.10</w:t>
            </w:r>
          </w:p>
        </w:tc>
      </w:tr>
      <w:tr w:rsidR="00AF06C8" w14:paraId="64ED3C7D" w14:textId="77777777">
        <w:tc>
          <w:tcPr>
            <w:tcW w:w="1980" w:type="dxa"/>
          </w:tcPr>
          <w:p w14:paraId="15B84340"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8F8BD8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260" w:type="dxa"/>
          </w:tcPr>
          <w:p w14:paraId="598B9E4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2.48</w:t>
            </w:r>
          </w:p>
        </w:tc>
        <w:tc>
          <w:tcPr>
            <w:tcW w:w="1530" w:type="dxa"/>
            <w:tcBorders>
              <w:right w:val="single" w:sz="4" w:space="0" w:color="auto"/>
            </w:tcBorders>
          </w:tcPr>
          <w:p w14:paraId="5C434F5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3.46</w:t>
            </w:r>
          </w:p>
        </w:tc>
        <w:tc>
          <w:tcPr>
            <w:tcW w:w="1530" w:type="dxa"/>
          </w:tcPr>
          <w:p w14:paraId="1D47EF7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3.87</w:t>
            </w:r>
          </w:p>
        </w:tc>
        <w:tc>
          <w:tcPr>
            <w:tcW w:w="1710" w:type="dxa"/>
            <w:tcBorders>
              <w:right w:val="single" w:sz="4" w:space="0" w:color="auto"/>
            </w:tcBorders>
          </w:tcPr>
          <w:p w14:paraId="6BBA4B7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5.05</w:t>
            </w:r>
          </w:p>
        </w:tc>
      </w:tr>
      <w:tr w:rsidR="00AF06C8" w14:paraId="0CE21F49" w14:textId="77777777">
        <w:tc>
          <w:tcPr>
            <w:tcW w:w="1980" w:type="dxa"/>
          </w:tcPr>
          <w:p w14:paraId="7C366CC9"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4EF85201"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260" w:type="dxa"/>
          </w:tcPr>
          <w:p w14:paraId="276EDB4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530" w:type="dxa"/>
            <w:tcBorders>
              <w:right w:val="single" w:sz="4" w:space="0" w:color="auto"/>
            </w:tcBorders>
          </w:tcPr>
          <w:p w14:paraId="62DF611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2.77</w:t>
            </w:r>
          </w:p>
        </w:tc>
        <w:tc>
          <w:tcPr>
            <w:tcW w:w="1530" w:type="dxa"/>
          </w:tcPr>
          <w:p w14:paraId="2E9C02C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3.15</w:t>
            </w:r>
          </w:p>
        </w:tc>
        <w:tc>
          <w:tcPr>
            <w:tcW w:w="1710" w:type="dxa"/>
            <w:tcBorders>
              <w:right w:val="single" w:sz="4" w:space="0" w:color="auto"/>
            </w:tcBorders>
          </w:tcPr>
          <w:p w14:paraId="32233CD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4.72</w:t>
            </w:r>
          </w:p>
        </w:tc>
      </w:tr>
    </w:tbl>
    <w:p w14:paraId="59D6EDD0" w14:textId="77777777" w:rsidR="00AF06C8" w:rsidRDefault="00AF06C8">
      <w:pPr>
        <w:tabs>
          <w:tab w:val="left" w:pos="270"/>
        </w:tabs>
        <w:spacing w:after="0" w:line="360" w:lineRule="auto"/>
        <w:jc w:val="both"/>
        <w:rPr>
          <w:rFonts w:ascii="Arial" w:hAnsi="Arial" w:cs="Arial"/>
          <w:sz w:val="6"/>
        </w:rPr>
      </w:pPr>
    </w:p>
    <w:p w14:paraId="256E2A8B" w14:textId="77777777" w:rsidR="00AF06C8" w:rsidRDefault="00AF06C8">
      <w:pPr>
        <w:pStyle w:val="ListParagraph"/>
        <w:tabs>
          <w:tab w:val="left" w:pos="270"/>
        </w:tabs>
        <w:spacing w:after="0" w:line="360" w:lineRule="auto"/>
        <w:ind w:left="450" w:hanging="540"/>
        <w:jc w:val="center"/>
        <w:rPr>
          <w:rFonts w:ascii="Arial" w:hAnsi="Arial" w:cs="Arial"/>
          <w:b/>
          <w:i/>
          <w:sz w:val="2"/>
        </w:rPr>
      </w:pPr>
    </w:p>
    <w:p w14:paraId="0E62D224"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total sugar</w:t>
      </w:r>
    </w:p>
    <w:p w14:paraId="00247909" w14:textId="77777777" w:rsidR="00AF06C8" w:rsidRDefault="001F0481">
      <w:pPr>
        <w:tabs>
          <w:tab w:val="left" w:pos="270"/>
        </w:tabs>
        <w:spacing w:after="0" w:line="360" w:lineRule="auto"/>
        <w:ind w:firstLine="630"/>
        <w:jc w:val="both"/>
        <w:rPr>
          <w:rFonts w:ascii="Times New Roman" w:hAnsi="Times New Roman" w:cs="Times New Roman"/>
          <w:sz w:val="24"/>
        </w:rPr>
      </w:pPr>
      <w:r>
        <w:rPr>
          <w:rFonts w:ascii="Times New Roman" w:hAnsi="Times New Roman" w:cs="Times New Roman"/>
          <w:sz w:val="24"/>
        </w:rPr>
        <w:t xml:space="preserve">Significantly decrease in sugar content of brinjal plants during the Alternaria infection as compared to healthy plants leaves. During the investigation sugar level is gradually decrease in leaves of diseased plant at 45 days after sowing. In leaves of healthy plant of highly susceptible genotypes maximum total sugar content was noticed (12.16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recorded (7.65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in resistant genotype.  In diseased plant the maximum total sugar was recorded in BR-112 genotype (10.23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is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 (6.22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whereas rest of the genotypes were recorded with moderately decreased level of total sugar as compared to susceptible genotypes. At 60 days after sowing similar trends was noticed sugar level is low as compared to healthy plant. The minimum total sugar content in healthy and diseased was recorded minimum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genotypes (5.10 and 4.78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followed by Pant Rituraj (6.76 and 5.20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(8.42 to 7.35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(8.96 and 7.85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maximum total sugar content was recorded in BR-112 (10.35 and 9.24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
    <w:p w14:paraId="12440C77"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Table-03. T</w:t>
      </w:r>
      <w:r>
        <w:rPr>
          <w:rFonts w:ascii="Times New Roman" w:eastAsia="Times New Roman" w:hAnsi="Times New Roman"/>
          <w:b/>
          <w:bCs/>
          <w:sz w:val="24"/>
        </w:rPr>
        <w:t xml:space="preserve">otal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among different genotypes.</w:t>
      </w:r>
    </w:p>
    <w:tbl>
      <w:tblPr>
        <w:tblStyle w:val="TableGrid"/>
        <w:tblW w:w="0" w:type="auto"/>
        <w:tblInd w:w="18" w:type="dxa"/>
        <w:tblLayout w:type="fixed"/>
        <w:tblLook w:val="04A0" w:firstRow="1" w:lastRow="0" w:firstColumn="1" w:lastColumn="0" w:noHBand="0" w:noVBand="1"/>
      </w:tblPr>
      <w:tblGrid>
        <w:gridCol w:w="1980"/>
        <w:gridCol w:w="1260"/>
        <w:gridCol w:w="1440"/>
        <w:gridCol w:w="1620"/>
        <w:gridCol w:w="1260"/>
        <w:gridCol w:w="1890"/>
      </w:tblGrid>
      <w:tr w:rsidR="00AF06C8" w14:paraId="4B85E3CD" w14:textId="77777777">
        <w:trPr>
          <w:trHeight w:val="195"/>
        </w:trPr>
        <w:tc>
          <w:tcPr>
            <w:tcW w:w="1980" w:type="dxa"/>
            <w:vMerge w:val="restart"/>
          </w:tcPr>
          <w:p w14:paraId="579EDB9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045A239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3060" w:type="dxa"/>
            <w:gridSpan w:val="2"/>
            <w:tcBorders>
              <w:right w:val="single" w:sz="4" w:space="0" w:color="auto"/>
            </w:tcBorders>
          </w:tcPr>
          <w:p w14:paraId="1113788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150" w:type="dxa"/>
            <w:gridSpan w:val="2"/>
            <w:tcBorders>
              <w:right w:val="single" w:sz="4" w:space="0" w:color="auto"/>
            </w:tcBorders>
          </w:tcPr>
          <w:p w14:paraId="33046AE7"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52A2F1E4" w14:textId="77777777">
        <w:trPr>
          <w:trHeight w:val="180"/>
        </w:trPr>
        <w:tc>
          <w:tcPr>
            <w:tcW w:w="1980" w:type="dxa"/>
            <w:vMerge/>
          </w:tcPr>
          <w:p w14:paraId="6A811F0A"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7690AE3A" w14:textId="77777777" w:rsidR="00AF06C8" w:rsidRDefault="00AF06C8">
            <w:pPr>
              <w:pStyle w:val="ListParagraph"/>
              <w:tabs>
                <w:tab w:val="left" w:pos="270"/>
              </w:tabs>
              <w:ind w:left="0"/>
              <w:jc w:val="center"/>
              <w:rPr>
                <w:rFonts w:ascii="Times New Roman" w:hAnsi="Times New Roman"/>
                <w:b/>
              </w:rPr>
            </w:pPr>
          </w:p>
        </w:tc>
        <w:tc>
          <w:tcPr>
            <w:tcW w:w="3060" w:type="dxa"/>
            <w:gridSpan w:val="2"/>
            <w:tcBorders>
              <w:right w:val="single" w:sz="4" w:space="0" w:color="auto"/>
            </w:tcBorders>
          </w:tcPr>
          <w:p w14:paraId="2778E0FB"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c>
          <w:tcPr>
            <w:tcW w:w="3150" w:type="dxa"/>
            <w:gridSpan w:val="2"/>
            <w:tcBorders>
              <w:right w:val="single" w:sz="4" w:space="0" w:color="auto"/>
            </w:tcBorders>
          </w:tcPr>
          <w:p w14:paraId="635BC50A"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r>
      <w:tr w:rsidR="00AF06C8" w14:paraId="7DCB59CF" w14:textId="77777777">
        <w:trPr>
          <w:trHeight w:val="278"/>
        </w:trPr>
        <w:tc>
          <w:tcPr>
            <w:tcW w:w="1980" w:type="dxa"/>
            <w:vMerge/>
          </w:tcPr>
          <w:p w14:paraId="502688D3" w14:textId="77777777" w:rsidR="00AF06C8" w:rsidRDefault="00AF06C8">
            <w:pPr>
              <w:pStyle w:val="Default"/>
              <w:spacing w:after="200"/>
              <w:jc w:val="center"/>
              <w:rPr>
                <w:bCs/>
                <w:sz w:val="22"/>
                <w:szCs w:val="22"/>
              </w:rPr>
            </w:pPr>
          </w:p>
        </w:tc>
        <w:tc>
          <w:tcPr>
            <w:tcW w:w="1260" w:type="dxa"/>
            <w:vMerge/>
          </w:tcPr>
          <w:p w14:paraId="715BEE0D" w14:textId="77777777" w:rsidR="00AF06C8" w:rsidRDefault="00AF06C8">
            <w:pPr>
              <w:pStyle w:val="Default"/>
              <w:spacing w:after="200"/>
              <w:jc w:val="center"/>
              <w:rPr>
                <w:bCs/>
                <w:sz w:val="22"/>
                <w:szCs w:val="22"/>
              </w:rPr>
            </w:pPr>
          </w:p>
        </w:tc>
        <w:tc>
          <w:tcPr>
            <w:tcW w:w="1440" w:type="dxa"/>
          </w:tcPr>
          <w:p w14:paraId="6EC85C09" w14:textId="77777777" w:rsidR="00AF06C8" w:rsidRDefault="001F0481">
            <w:pPr>
              <w:pStyle w:val="Default"/>
              <w:jc w:val="center"/>
              <w:rPr>
                <w:bCs/>
                <w:sz w:val="22"/>
                <w:szCs w:val="22"/>
              </w:rPr>
            </w:pPr>
            <w:r>
              <w:rPr>
                <w:bCs/>
                <w:sz w:val="22"/>
                <w:szCs w:val="22"/>
              </w:rPr>
              <w:t>Healthy</w:t>
            </w:r>
          </w:p>
        </w:tc>
        <w:tc>
          <w:tcPr>
            <w:tcW w:w="1620" w:type="dxa"/>
            <w:tcBorders>
              <w:right w:val="single" w:sz="4" w:space="0" w:color="auto"/>
            </w:tcBorders>
          </w:tcPr>
          <w:p w14:paraId="177FB417" w14:textId="77777777" w:rsidR="00AF06C8" w:rsidRDefault="001F0481">
            <w:pPr>
              <w:pStyle w:val="Default"/>
              <w:jc w:val="center"/>
              <w:rPr>
                <w:bCs/>
                <w:sz w:val="22"/>
                <w:szCs w:val="22"/>
              </w:rPr>
            </w:pPr>
            <w:r>
              <w:rPr>
                <w:bCs/>
                <w:sz w:val="22"/>
                <w:szCs w:val="22"/>
              </w:rPr>
              <w:t xml:space="preserve">Diseased </w:t>
            </w:r>
          </w:p>
        </w:tc>
        <w:tc>
          <w:tcPr>
            <w:tcW w:w="1260" w:type="dxa"/>
          </w:tcPr>
          <w:p w14:paraId="192CA2B6" w14:textId="77777777" w:rsidR="00AF06C8" w:rsidRDefault="001F0481">
            <w:pPr>
              <w:pStyle w:val="Default"/>
              <w:jc w:val="center"/>
              <w:rPr>
                <w:bCs/>
                <w:sz w:val="22"/>
                <w:szCs w:val="22"/>
              </w:rPr>
            </w:pPr>
            <w:r>
              <w:rPr>
                <w:bCs/>
                <w:sz w:val="22"/>
                <w:szCs w:val="22"/>
              </w:rPr>
              <w:t>Healthy</w:t>
            </w:r>
          </w:p>
        </w:tc>
        <w:tc>
          <w:tcPr>
            <w:tcW w:w="1890" w:type="dxa"/>
            <w:tcBorders>
              <w:right w:val="single" w:sz="4" w:space="0" w:color="auto"/>
            </w:tcBorders>
          </w:tcPr>
          <w:p w14:paraId="606AD71D" w14:textId="77777777" w:rsidR="00AF06C8" w:rsidRDefault="001F0481">
            <w:pPr>
              <w:pStyle w:val="Default"/>
              <w:jc w:val="center"/>
              <w:rPr>
                <w:bCs/>
                <w:sz w:val="22"/>
                <w:szCs w:val="22"/>
              </w:rPr>
            </w:pPr>
            <w:r>
              <w:rPr>
                <w:bCs/>
                <w:sz w:val="22"/>
                <w:szCs w:val="22"/>
              </w:rPr>
              <w:t xml:space="preserve">Diseased </w:t>
            </w:r>
          </w:p>
        </w:tc>
      </w:tr>
      <w:tr w:rsidR="00AF06C8" w14:paraId="2B491EE3" w14:textId="77777777">
        <w:tc>
          <w:tcPr>
            <w:tcW w:w="1980" w:type="dxa"/>
          </w:tcPr>
          <w:p w14:paraId="7D415813"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4EDCD7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0934C03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7.65</w:t>
            </w:r>
          </w:p>
        </w:tc>
        <w:tc>
          <w:tcPr>
            <w:tcW w:w="1620" w:type="dxa"/>
            <w:tcBorders>
              <w:right w:val="single" w:sz="4" w:space="0" w:color="auto"/>
            </w:tcBorders>
          </w:tcPr>
          <w:p w14:paraId="47BEA13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6.22</w:t>
            </w:r>
          </w:p>
        </w:tc>
        <w:tc>
          <w:tcPr>
            <w:tcW w:w="1260" w:type="dxa"/>
          </w:tcPr>
          <w:p w14:paraId="773AE33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5.10</w:t>
            </w:r>
          </w:p>
        </w:tc>
        <w:tc>
          <w:tcPr>
            <w:tcW w:w="1890" w:type="dxa"/>
            <w:tcBorders>
              <w:right w:val="single" w:sz="4" w:space="0" w:color="auto"/>
            </w:tcBorders>
          </w:tcPr>
          <w:p w14:paraId="292C807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4.78</w:t>
            </w:r>
          </w:p>
        </w:tc>
      </w:tr>
      <w:tr w:rsidR="00AF06C8" w14:paraId="1243703D" w14:textId="77777777">
        <w:tc>
          <w:tcPr>
            <w:tcW w:w="1980" w:type="dxa"/>
          </w:tcPr>
          <w:p w14:paraId="2F32B326"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70F73A0"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36D38B2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8.95</w:t>
            </w:r>
          </w:p>
        </w:tc>
        <w:tc>
          <w:tcPr>
            <w:tcW w:w="1620" w:type="dxa"/>
            <w:tcBorders>
              <w:right w:val="single" w:sz="4" w:space="0" w:color="auto"/>
            </w:tcBorders>
          </w:tcPr>
          <w:p w14:paraId="6C8E42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8.35</w:t>
            </w:r>
          </w:p>
        </w:tc>
        <w:tc>
          <w:tcPr>
            <w:tcW w:w="1260" w:type="dxa"/>
          </w:tcPr>
          <w:p w14:paraId="28A14CE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6.76</w:t>
            </w:r>
          </w:p>
        </w:tc>
        <w:tc>
          <w:tcPr>
            <w:tcW w:w="1890" w:type="dxa"/>
            <w:tcBorders>
              <w:right w:val="single" w:sz="4" w:space="0" w:color="auto"/>
            </w:tcBorders>
          </w:tcPr>
          <w:p w14:paraId="4F0F1FC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5.20</w:t>
            </w:r>
          </w:p>
        </w:tc>
      </w:tr>
      <w:tr w:rsidR="00AF06C8" w14:paraId="36BA23B4" w14:textId="77777777">
        <w:tc>
          <w:tcPr>
            <w:tcW w:w="1980" w:type="dxa"/>
          </w:tcPr>
          <w:p w14:paraId="40357E32"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5F371A2E"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5FF444A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9.80</w:t>
            </w:r>
          </w:p>
        </w:tc>
        <w:tc>
          <w:tcPr>
            <w:tcW w:w="1620" w:type="dxa"/>
            <w:tcBorders>
              <w:right w:val="single" w:sz="4" w:space="0" w:color="auto"/>
            </w:tcBorders>
          </w:tcPr>
          <w:p w14:paraId="38F9C03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8.44</w:t>
            </w:r>
          </w:p>
        </w:tc>
        <w:tc>
          <w:tcPr>
            <w:tcW w:w="1260" w:type="dxa"/>
          </w:tcPr>
          <w:p w14:paraId="60509F4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8.42</w:t>
            </w:r>
          </w:p>
        </w:tc>
        <w:tc>
          <w:tcPr>
            <w:tcW w:w="1890" w:type="dxa"/>
            <w:tcBorders>
              <w:right w:val="single" w:sz="4" w:space="0" w:color="auto"/>
            </w:tcBorders>
          </w:tcPr>
          <w:p w14:paraId="0FFB4CB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7.35</w:t>
            </w:r>
          </w:p>
        </w:tc>
      </w:tr>
      <w:tr w:rsidR="00AF06C8" w14:paraId="62559FD5" w14:textId="77777777">
        <w:tc>
          <w:tcPr>
            <w:tcW w:w="1980" w:type="dxa"/>
          </w:tcPr>
          <w:p w14:paraId="1DF87E78"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61187F6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03DCB35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10.50</w:t>
            </w:r>
          </w:p>
        </w:tc>
        <w:tc>
          <w:tcPr>
            <w:tcW w:w="1620" w:type="dxa"/>
            <w:tcBorders>
              <w:right w:val="single" w:sz="4" w:space="0" w:color="auto"/>
            </w:tcBorders>
          </w:tcPr>
          <w:p w14:paraId="44D9D6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c>
          <w:tcPr>
            <w:tcW w:w="1260" w:type="dxa"/>
          </w:tcPr>
          <w:p w14:paraId="7416D0E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8.96</w:t>
            </w:r>
          </w:p>
        </w:tc>
        <w:tc>
          <w:tcPr>
            <w:tcW w:w="1890" w:type="dxa"/>
            <w:tcBorders>
              <w:right w:val="single" w:sz="4" w:space="0" w:color="auto"/>
            </w:tcBorders>
          </w:tcPr>
          <w:p w14:paraId="2A5A39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7.85</w:t>
            </w:r>
          </w:p>
        </w:tc>
      </w:tr>
      <w:tr w:rsidR="00AF06C8" w14:paraId="41EA9DE7" w14:textId="77777777">
        <w:tc>
          <w:tcPr>
            <w:tcW w:w="1980" w:type="dxa"/>
          </w:tcPr>
          <w:p w14:paraId="09E18C31"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2CCBF72A"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27D5C50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12.16</w:t>
            </w:r>
          </w:p>
        </w:tc>
        <w:tc>
          <w:tcPr>
            <w:tcW w:w="1620" w:type="dxa"/>
            <w:tcBorders>
              <w:right w:val="single" w:sz="4" w:space="0" w:color="auto"/>
            </w:tcBorders>
          </w:tcPr>
          <w:p w14:paraId="4EF53F7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10.23</w:t>
            </w:r>
          </w:p>
        </w:tc>
        <w:tc>
          <w:tcPr>
            <w:tcW w:w="1260" w:type="dxa"/>
          </w:tcPr>
          <w:p w14:paraId="318FA2F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10.35</w:t>
            </w:r>
          </w:p>
        </w:tc>
        <w:tc>
          <w:tcPr>
            <w:tcW w:w="1890" w:type="dxa"/>
            <w:tcBorders>
              <w:right w:val="single" w:sz="4" w:space="0" w:color="auto"/>
            </w:tcBorders>
          </w:tcPr>
          <w:p w14:paraId="6E6C0AE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r>
    </w:tbl>
    <w:p w14:paraId="60B86F12" w14:textId="77777777" w:rsidR="00AF06C8" w:rsidRDefault="00AF06C8">
      <w:pPr>
        <w:tabs>
          <w:tab w:val="left" w:pos="270"/>
        </w:tabs>
        <w:spacing w:after="0" w:line="360" w:lineRule="auto"/>
        <w:jc w:val="both"/>
        <w:rPr>
          <w:rFonts w:ascii="Arial" w:hAnsi="Arial" w:cs="Arial"/>
          <w:b/>
          <w:sz w:val="2"/>
        </w:rPr>
      </w:pPr>
    </w:p>
    <w:p w14:paraId="1E8A02AC" w14:textId="77777777" w:rsidR="00AF06C8" w:rsidRDefault="00AF06C8">
      <w:pPr>
        <w:tabs>
          <w:tab w:val="left" w:pos="270"/>
        </w:tabs>
        <w:spacing w:after="0" w:line="360" w:lineRule="auto"/>
        <w:jc w:val="both"/>
        <w:rPr>
          <w:rFonts w:ascii="Arial" w:hAnsi="Arial" w:cs="Arial"/>
          <w:b/>
          <w:sz w:val="6"/>
        </w:rPr>
      </w:pPr>
    </w:p>
    <w:p w14:paraId="2F954100"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reducing sugar</w:t>
      </w:r>
    </w:p>
    <w:p w14:paraId="0BEB5F8A" w14:textId="77777777" w:rsidR="00AF06C8" w:rsidRDefault="001F0481">
      <w:pPr>
        <w:pStyle w:val="ListParagraph"/>
        <w:tabs>
          <w:tab w:val="left" w:pos="270"/>
        </w:tabs>
        <w:spacing w:after="0" w:line="360" w:lineRule="auto"/>
        <w:ind w:left="-90" w:firstLine="810"/>
        <w:jc w:val="both"/>
        <w:rPr>
          <w:rFonts w:ascii="Times New Roman" w:eastAsia="Times New Roman" w:hAnsi="Times New Roman"/>
          <w:bCs/>
          <w:sz w:val="24"/>
        </w:rPr>
      </w:pPr>
      <w:r>
        <w:rPr>
          <w:rFonts w:ascii="Times New Roman" w:eastAsia="Times New Roman" w:hAnsi="Times New Roman"/>
          <w:bCs/>
          <w:sz w:val="24"/>
        </w:rPr>
        <w:t xml:space="preserve">In the estimation of reducing sugar gradually found decrease in healthy to diseased plant leaves. At 45 days after sowing in healthy plant leaves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recorded minimum reducing sugar, while maximum reducing sugar was recorded in genotype BR-112 (8.87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In diseased leaves minimum reducing sugar was recorded in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(2.89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was is in BR-112 (7.49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At 60 days after sowing the reducing sugar in healthy and diseased leaves maximum was recorded in BR-112 </w:t>
      </w:r>
      <w:r>
        <w:rPr>
          <w:rFonts w:ascii="Times New Roman" w:eastAsia="Times New Roman" w:hAnsi="Times New Roman"/>
          <w:bCs/>
          <w:sz w:val="24"/>
        </w:rPr>
        <w:lastRenderedPageBreak/>
        <w:t>(6.92 and 6.15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(6.34 and 4.90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(4.95 and 4.10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and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(3.82 and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(2.90 and 2.15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
    <w:p w14:paraId="5FBCEFFF"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Table-04. </w:t>
      </w:r>
      <w:r>
        <w:rPr>
          <w:rFonts w:ascii="Times New Roman" w:eastAsia="Times New Roman" w:hAnsi="Times New Roman"/>
          <w:b/>
          <w:bCs/>
          <w:sz w:val="24"/>
        </w:rPr>
        <w:t xml:space="preserve">Reducing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of different genotypes.</w:t>
      </w:r>
    </w:p>
    <w:tbl>
      <w:tblPr>
        <w:tblStyle w:val="TableGrid"/>
        <w:tblW w:w="9450" w:type="dxa"/>
        <w:tblInd w:w="18" w:type="dxa"/>
        <w:tblLayout w:type="fixed"/>
        <w:tblLook w:val="04A0" w:firstRow="1" w:lastRow="0" w:firstColumn="1" w:lastColumn="0" w:noHBand="0" w:noVBand="1"/>
      </w:tblPr>
      <w:tblGrid>
        <w:gridCol w:w="1620"/>
        <w:gridCol w:w="1260"/>
        <w:gridCol w:w="1800"/>
        <w:gridCol w:w="1620"/>
        <w:gridCol w:w="1620"/>
        <w:gridCol w:w="1530"/>
      </w:tblGrid>
      <w:tr w:rsidR="00AF06C8" w14:paraId="20244D19" w14:textId="77777777">
        <w:trPr>
          <w:trHeight w:val="195"/>
        </w:trPr>
        <w:tc>
          <w:tcPr>
            <w:tcW w:w="1620" w:type="dxa"/>
            <w:vMerge w:val="restart"/>
          </w:tcPr>
          <w:p w14:paraId="6E4FF2AF"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Genotypes</w:t>
            </w:r>
          </w:p>
        </w:tc>
        <w:tc>
          <w:tcPr>
            <w:tcW w:w="1260" w:type="dxa"/>
            <w:vMerge w:val="restart"/>
          </w:tcPr>
          <w:p w14:paraId="0C1E16BE"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 xml:space="preserve">Reaction </w:t>
            </w:r>
          </w:p>
        </w:tc>
        <w:tc>
          <w:tcPr>
            <w:tcW w:w="3420" w:type="dxa"/>
            <w:gridSpan w:val="2"/>
            <w:tcBorders>
              <w:right w:val="single" w:sz="4" w:space="0" w:color="auto"/>
            </w:tcBorders>
          </w:tcPr>
          <w:p w14:paraId="795B318A"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45 days after sowing</w:t>
            </w:r>
          </w:p>
        </w:tc>
        <w:tc>
          <w:tcPr>
            <w:tcW w:w="3150" w:type="dxa"/>
            <w:gridSpan w:val="2"/>
            <w:tcBorders>
              <w:right w:val="single" w:sz="4" w:space="0" w:color="auto"/>
            </w:tcBorders>
          </w:tcPr>
          <w:p w14:paraId="3A887604"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60 days after sowing</w:t>
            </w:r>
          </w:p>
        </w:tc>
      </w:tr>
      <w:tr w:rsidR="00AF06C8" w14:paraId="4049A8AE" w14:textId="77777777">
        <w:trPr>
          <w:trHeight w:val="180"/>
        </w:trPr>
        <w:tc>
          <w:tcPr>
            <w:tcW w:w="1620" w:type="dxa"/>
            <w:vMerge/>
          </w:tcPr>
          <w:p w14:paraId="2BAE8329" w14:textId="77777777" w:rsidR="00AF06C8" w:rsidRDefault="00AF06C8">
            <w:pPr>
              <w:pStyle w:val="ListParagraph"/>
              <w:tabs>
                <w:tab w:val="left" w:pos="270"/>
              </w:tabs>
              <w:ind w:left="0"/>
              <w:jc w:val="center"/>
              <w:rPr>
                <w:rFonts w:ascii="Times New Roman" w:hAnsi="Times New Roman"/>
                <w:b/>
                <w:sz w:val="24"/>
              </w:rPr>
            </w:pPr>
          </w:p>
        </w:tc>
        <w:tc>
          <w:tcPr>
            <w:tcW w:w="1260" w:type="dxa"/>
            <w:vMerge/>
          </w:tcPr>
          <w:p w14:paraId="60EA95E2" w14:textId="77777777" w:rsidR="00AF06C8" w:rsidRDefault="00AF06C8">
            <w:pPr>
              <w:pStyle w:val="ListParagraph"/>
              <w:tabs>
                <w:tab w:val="left" w:pos="270"/>
              </w:tabs>
              <w:ind w:left="0"/>
              <w:jc w:val="center"/>
              <w:rPr>
                <w:rFonts w:ascii="Times New Roman" w:hAnsi="Times New Roman"/>
                <w:b/>
                <w:sz w:val="24"/>
              </w:rPr>
            </w:pPr>
          </w:p>
        </w:tc>
        <w:tc>
          <w:tcPr>
            <w:tcW w:w="3420" w:type="dxa"/>
            <w:gridSpan w:val="2"/>
            <w:tcBorders>
              <w:right w:val="single" w:sz="4" w:space="0" w:color="auto"/>
            </w:tcBorders>
          </w:tcPr>
          <w:p w14:paraId="2284DEB6" w14:textId="77777777" w:rsidR="00AF06C8" w:rsidRDefault="001F0481">
            <w:pPr>
              <w:pStyle w:val="ListParagraph"/>
              <w:tabs>
                <w:tab w:val="left" w:pos="270"/>
              </w:tabs>
              <w:ind w:left="0"/>
              <w:jc w:val="center"/>
              <w:rPr>
                <w:rFonts w:ascii="Times New Roman" w:hAnsi="Times New Roman"/>
                <w:b/>
                <w:sz w:val="24"/>
              </w:rPr>
            </w:pPr>
            <w:proofErr w:type="gramStart"/>
            <w:r>
              <w:rPr>
                <w:rFonts w:ascii="Times New Roman" w:hAnsi="Times New Roman"/>
                <w:b/>
                <w:bCs/>
                <w:sz w:val="24"/>
              </w:rPr>
              <w:t>Reducing  sugar</w:t>
            </w:r>
            <w:proofErr w:type="gramEnd"/>
            <w:r>
              <w:rPr>
                <w:rFonts w:ascii="Times New Roman" w:hAnsi="Times New Roman"/>
                <w:b/>
                <w:bCs/>
                <w:sz w:val="24"/>
              </w:rPr>
              <w:t xml:space="preserve"> (mg/g fresh </w:t>
            </w:r>
            <w:proofErr w:type="spellStart"/>
            <w:r>
              <w:rPr>
                <w:rFonts w:ascii="Times New Roman" w:hAnsi="Times New Roman"/>
                <w:b/>
                <w:bCs/>
                <w:sz w:val="24"/>
              </w:rPr>
              <w:t>wt</w:t>
            </w:r>
            <w:proofErr w:type="spellEnd"/>
            <w:r>
              <w:rPr>
                <w:rFonts w:ascii="Times New Roman" w:hAnsi="Times New Roman"/>
                <w:b/>
                <w:bCs/>
                <w:sz w:val="24"/>
              </w:rPr>
              <w:t>)</w:t>
            </w:r>
          </w:p>
        </w:tc>
        <w:tc>
          <w:tcPr>
            <w:tcW w:w="3150" w:type="dxa"/>
            <w:gridSpan w:val="2"/>
            <w:tcBorders>
              <w:right w:val="single" w:sz="4" w:space="0" w:color="auto"/>
            </w:tcBorders>
          </w:tcPr>
          <w:p w14:paraId="5E60BD43"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r>
      <w:tr w:rsidR="00AF06C8" w14:paraId="664F2B29" w14:textId="77777777">
        <w:trPr>
          <w:trHeight w:val="278"/>
        </w:trPr>
        <w:tc>
          <w:tcPr>
            <w:tcW w:w="1620" w:type="dxa"/>
            <w:vMerge/>
          </w:tcPr>
          <w:p w14:paraId="64D8DFEB" w14:textId="77777777" w:rsidR="00AF06C8" w:rsidRDefault="00AF06C8">
            <w:pPr>
              <w:pStyle w:val="Default"/>
              <w:jc w:val="center"/>
              <w:rPr>
                <w:bCs/>
                <w:szCs w:val="22"/>
              </w:rPr>
            </w:pPr>
          </w:p>
        </w:tc>
        <w:tc>
          <w:tcPr>
            <w:tcW w:w="1260" w:type="dxa"/>
            <w:vMerge/>
          </w:tcPr>
          <w:p w14:paraId="6F1329DD" w14:textId="77777777" w:rsidR="00AF06C8" w:rsidRDefault="00AF06C8">
            <w:pPr>
              <w:pStyle w:val="Default"/>
              <w:jc w:val="center"/>
              <w:rPr>
                <w:bCs/>
                <w:szCs w:val="22"/>
              </w:rPr>
            </w:pPr>
          </w:p>
        </w:tc>
        <w:tc>
          <w:tcPr>
            <w:tcW w:w="1800" w:type="dxa"/>
          </w:tcPr>
          <w:p w14:paraId="4D39E7EA" w14:textId="77777777" w:rsidR="00AF06C8" w:rsidRDefault="001F0481">
            <w:pPr>
              <w:pStyle w:val="Default"/>
              <w:jc w:val="center"/>
              <w:rPr>
                <w:bCs/>
                <w:szCs w:val="22"/>
              </w:rPr>
            </w:pPr>
            <w:r>
              <w:rPr>
                <w:bCs/>
                <w:szCs w:val="22"/>
              </w:rPr>
              <w:t>Healthy</w:t>
            </w:r>
          </w:p>
        </w:tc>
        <w:tc>
          <w:tcPr>
            <w:tcW w:w="1620" w:type="dxa"/>
            <w:tcBorders>
              <w:right w:val="single" w:sz="4" w:space="0" w:color="auto"/>
            </w:tcBorders>
          </w:tcPr>
          <w:p w14:paraId="4182D3C0" w14:textId="77777777" w:rsidR="00AF06C8" w:rsidRDefault="001F0481">
            <w:pPr>
              <w:pStyle w:val="Default"/>
              <w:jc w:val="center"/>
              <w:rPr>
                <w:bCs/>
                <w:szCs w:val="22"/>
              </w:rPr>
            </w:pPr>
            <w:r>
              <w:rPr>
                <w:bCs/>
                <w:szCs w:val="22"/>
              </w:rPr>
              <w:t xml:space="preserve">Diseased </w:t>
            </w:r>
          </w:p>
        </w:tc>
        <w:tc>
          <w:tcPr>
            <w:tcW w:w="1620" w:type="dxa"/>
          </w:tcPr>
          <w:p w14:paraId="53023B20" w14:textId="77777777" w:rsidR="00AF06C8" w:rsidRDefault="001F0481">
            <w:pPr>
              <w:pStyle w:val="Default"/>
              <w:jc w:val="center"/>
              <w:rPr>
                <w:bCs/>
                <w:szCs w:val="22"/>
              </w:rPr>
            </w:pPr>
            <w:r>
              <w:rPr>
                <w:bCs/>
                <w:szCs w:val="22"/>
              </w:rPr>
              <w:t>Healthy</w:t>
            </w:r>
          </w:p>
        </w:tc>
        <w:tc>
          <w:tcPr>
            <w:tcW w:w="1530" w:type="dxa"/>
            <w:tcBorders>
              <w:right w:val="single" w:sz="4" w:space="0" w:color="auto"/>
            </w:tcBorders>
          </w:tcPr>
          <w:p w14:paraId="17A31451" w14:textId="77777777" w:rsidR="00AF06C8" w:rsidRDefault="001F0481">
            <w:pPr>
              <w:pStyle w:val="Default"/>
              <w:jc w:val="center"/>
              <w:rPr>
                <w:bCs/>
                <w:szCs w:val="22"/>
              </w:rPr>
            </w:pPr>
            <w:r>
              <w:rPr>
                <w:bCs/>
                <w:szCs w:val="22"/>
              </w:rPr>
              <w:t xml:space="preserve">Diseased </w:t>
            </w:r>
          </w:p>
        </w:tc>
      </w:tr>
      <w:tr w:rsidR="00AF06C8" w14:paraId="3A843FD2" w14:textId="77777777">
        <w:tc>
          <w:tcPr>
            <w:tcW w:w="1620" w:type="dxa"/>
          </w:tcPr>
          <w:p w14:paraId="0637A588"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Uttra</w:t>
            </w:r>
            <w:proofErr w:type="spellEnd"/>
          </w:p>
        </w:tc>
        <w:tc>
          <w:tcPr>
            <w:tcW w:w="1260" w:type="dxa"/>
          </w:tcPr>
          <w:p w14:paraId="1FD5F985"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R</w:t>
            </w:r>
          </w:p>
        </w:tc>
        <w:tc>
          <w:tcPr>
            <w:tcW w:w="1800" w:type="dxa"/>
          </w:tcPr>
          <w:p w14:paraId="6ED2361C"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c>
          <w:tcPr>
            <w:tcW w:w="1620" w:type="dxa"/>
            <w:tcBorders>
              <w:right w:val="single" w:sz="4" w:space="0" w:color="auto"/>
            </w:tcBorders>
          </w:tcPr>
          <w:p w14:paraId="1172C55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2.89</w:t>
            </w:r>
          </w:p>
        </w:tc>
        <w:tc>
          <w:tcPr>
            <w:tcW w:w="1620" w:type="dxa"/>
          </w:tcPr>
          <w:p w14:paraId="7B0A378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2.90</w:t>
            </w:r>
          </w:p>
        </w:tc>
        <w:tc>
          <w:tcPr>
            <w:tcW w:w="1530" w:type="dxa"/>
            <w:tcBorders>
              <w:right w:val="single" w:sz="4" w:space="0" w:color="auto"/>
            </w:tcBorders>
          </w:tcPr>
          <w:p w14:paraId="52023A5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2.15</w:t>
            </w:r>
          </w:p>
        </w:tc>
      </w:tr>
      <w:tr w:rsidR="00AF06C8" w14:paraId="73C9F785" w14:textId="77777777">
        <w:tc>
          <w:tcPr>
            <w:tcW w:w="1620" w:type="dxa"/>
          </w:tcPr>
          <w:p w14:paraId="7E912191" w14:textId="77777777" w:rsidR="00AF06C8" w:rsidRDefault="001F0481">
            <w:pPr>
              <w:pStyle w:val="ListParagraph"/>
              <w:tabs>
                <w:tab w:val="left" w:pos="270"/>
              </w:tabs>
              <w:ind w:left="0" w:right="120"/>
              <w:rPr>
                <w:rFonts w:ascii="Times New Roman" w:hAnsi="Times New Roman"/>
                <w:b/>
                <w:sz w:val="24"/>
              </w:rPr>
            </w:pPr>
            <w:r>
              <w:rPr>
                <w:rFonts w:ascii="Times New Roman" w:hAnsi="Times New Roman"/>
                <w:sz w:val="24"/>
              </w:rPr>
              <w:t xml:space="preserve">Pant </w:t>
            </w:r>
            <w:proofErr w:type="spellStart"/>
            <w:r>
              <w:rPr>
                <w:rFonts w:ascii="Times New Roman" w:hAnsi="Times New Roman"/>
                <w:sz w:val="24"/>
              </w:rPr>
              <w:t>rituraj</w:t>
            </w:r>
            <w:proofErr w:type="spellEnd"/>
          </w:p>
        </w:tc>
        <w:tc>
          <w:tcPr>
            <w:tcW w:w="1260" w:type="dxa"/>
          </w:tcPr>
          <w:p w14:paraId="20C1C66B"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R</w:t>
            </w:r>
          </w:p>
        </w:tc>
        <w:tc>
          <w:tcPr>
            <w:tcW w:w="1800" w:type="dxa"/>
          </w:tcPr>
          <w:p w14:paraId="44E5AB6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4.57</w:t>
            </w:r>
          </w:p>
        </w:tc>
        <w:tc>
          <w:tcPr>
            <w:tcW w:w="1620" w:type="dxa"/>
            <w:tcBorders>
              <w:right w:val="single" w:sz="4" w:space="0" w:color="auto"/>
            </w:tcBorders>
          </w:tcPr>
          <w:p w14:paraId="39ED283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3.96</w:t>
            </w:r>
          </w:p>
        </w:tc>
        <w:tc>
          <w:tcPr>
            <w:tcW w:w="1620" w:type="dxa"/>
          </w:tcPr>
          <w:p w14:paraId="5A2BCC39"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3.82</w:t>
            </w:r>
          </w:p>
        </w:tc>
        <w:tc>
          <w:tcPr>
            <w:tcW w:w="1530" w:type="dxa"/>
            <w:tcBorders>
              <w:right w:val="single" w:sz="4" w:space="0" w:color="auto"/>
            </w:tcBorders>
          </w:tcPr>
          <w:p w14:paraId="5D467A2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r>
      <w:tr w:rsidR="00AF06C8" w14:paraId="21AB6FA8" w14:textId="77777777">
        <w:tc>
          <w:tcPr>
            <w:tcW w:w="1620" w:type="dxa"/>
          </w:tcPr>
          <w:p w14:paraId="2629AE17"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upkar</w:t>
            </w:r>
            <w:proofErr w:type="spellEnd"/>
          </w:p>
        </w:tc>
        <w:tc>
          <w:tcPr>
            <w:tcW w:w="1260" w:type="dxa"/>
          </w:tcPr>
          <w:p w14:paraId="28087D1A"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S</w:t>
            </w:r>
          </w:p>
        </w:tc>
        <w:tc>
          <w:tcPr>
            <w:tcW w:w="1800" w:type="dxa"/>
          </w:tcPr>
          <w:p w14:paraId="68B412A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5.51</w:t>
            </w:r>
          </w:p>
        </w:tc>
        <w:tc>
          <w:tcPr>
            <w:tcW w:w="1620" w:type="dxa"/>
            <w:tcBorders>
              <w:right w:val="single" w:sz="4" w:space="0" w:color="auto"/>
            </w:tcBorders>
          </w:tcPr>
          <w:p w14:paraId="5F3B8F9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4.75</w:t>
            </w:r>
          </w:p>
        </w:tc>
        <w:tc>
          <w:tcPr>
            <w:tcW w:w="1620" w:type="dxa"/>
          </w:tcPr>
          <w:p w14:paraId="0AFF88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4.95</w:t>
            </w:r>
          </w:p>
        </w:tc>
        <w:tc>
          <w:tcPr>
            <w:tcW w:w="1530" w:type="dxa"/>
            <w:tcBorders>
              <w:right w:val="single" w:sz="4" w:space="0" w:color="auto"/>
            </w:tcBorders>
          </w:tcPr>
          <w:p w14:paraId="082F826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4.10</w:t>
            </w:r>
          </w:p>
        </w:tc>
      </w:tr>
      <w:tr w:rsidR="00AF06C8" w14:paraId="03EAC47E" w14:textId="77777777">
        <w:tc>
          <w:tcPr>
            <w:tcW w:w="1620" w:type="dxa"/>
          </w:tcPr>
          <w:p w14:paraId="48E754A0" w14:textId="77777777" w:rsidR="00AF06C8" w:rsidRDefault="001F0481">
            <w:pPr>
              <w:pStyle w:val="ListParagraph"/>
              <w:tabs>
                <w:tab w:val="left" w:pos="270"/>
              </w:tabs>
              <w:ind w:left="0" w:right="-108"/>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shymala</w:t>
            </w:r>
            <w:proofErr w:type="spellEnd"/>
          </w:p>
        </w:tc>
        <w:tc>
          <w:tcPr>
            <w:tcW w:w="1260" w:type="dxa"/>
          </w:tcPr>
          <w:p w14:paraId="6DA65ABC"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S</w:t>
            </w:r>
          </w:p>
        </w:tc>
        <w:tc>
          <w:tcPr>
            <w:tcW w:w="1800" w:type="dxa"/>
          </w:tcPr>
          <w:p w14:paraId="21F3CB9F"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6.58</w:t>
            </w:r>
          </w:p>
        </w:tc>
        <w:tc>
          <w:tcPr>
            <w:tcW w:w="1620" w:type="dxa"/>
            <w:tcBorders>
              <w:right w:val="single" w:sz="4" w:space="0" w:color="auto"/>
            </w:tcBorders>
          </w:tcPr>
          <w:p w14:paraId="20D746D7"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5.22</w:t>
            </w:r>
          </w:p>
        </w:tc>
        <w:tc>
          <w:tcPr>
            <w:tcW w:w="1620" w:type="dxa"/>
          </w:tcPr>
          <w:p w14:paraId="7DC562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6.34</w:t>
            </w:r>
          </w:p>
        </w:tc>
        <w:tc>
          <w:tcPr>
            <w:tcW w:w="1530" w:type="dxa"/>
            <w:tcBorders>
              <w:right w:val="single" w:sz="4" w:space="0" w:color="auto"/>
            </w:tcBorders>
          </w:tcPr>
          <w:p w14:paraId="186C0AE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4.90</w:t>
            </w:r>
          </w:p>
        </w:tc>
      </w:tr>
      <w:tr w:rsidR="00AF06C8" w14:paraId="007D75D5" w14:textId="77777777">
        <w:tc>
          <w:tcPr>
            <w:tcW w:w="1620" w:type="dxa"/>
          </w:tcPr>
          <w:p w14:paraId="6080CC52" w14:textId="77777777" w:rsidR="00AF06C8" w:rsidRDefault="001F0481">
            <w:pPr>
              <w:pStyle w:val="ListParagraph"/>
              <w:tabs>
                <w:tab w:val="left" w:pos="270"/>
              </w:tabs>
              <w:ind w:left="0" w:right="120"/>
              <w:rPr>
                <w:rFonts w:ascii="Times New Roman" w:hAnsi="Times New Roman"/>
                <w:b/>
                <w:sz w:val="24"/>
              </w:rPr>
            </w:pPr>
            <w:r>
              <w:rPr>
                <w:rFonts w:ascii="Times New Roman" w:eastAsia="CIDFont+F4" w:hAnsi="Times New Roman"/>
                <w:sz w:val="24"/>
              </w:rPr>
              <w:t>BR-112</w:t>
            </w:r>
          </w:p>
        </w:tc>
        <w:tc>
          <w:tcPr>
            <w:tcW w:w="1260" w:type="dxa"/>
          </w:tcPr>
          <w:p w14:paraId="482B489F"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H S</w:t>
            </w:r>
          </w:p>
        </w:tc>
        <w:tc>
          <w:tcPr>
            <w:tcW w:w="1800" w:type="dxa"/>
          </w:tcPr>
          <w:p w14:paraId="3F8DC5A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8.87</w:t>
            </w:r>
          </w:p>
        </w:tc>
        <w:tc>
          <w:tcPr>
            <w:tcW w:w="1620" w:type="dxa"/>
            <w:tcBorders>
              <w:right w:val="single" w:sz="4" w:space="0" w:color="auto"/>
            </w:tcBorders>
          </w:tcPr>
          <w:p w14:paraId="3CE4022A"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7.49</w:t>
            </w:r>
          </w:p>
        </w:tc>
        <w:tc>
          <w:tcPr>
            <w:tcW w:w="1620" w:type="dxa"/>
          </w:tcPr>
          <w:p w14:paraId="1233DA1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6.92</w:t>
            </w:r>
          </w:p>
        </w:tc>
        <w:tc>
          <w:tcPr>
            <w:tcW w:w="1530" w:type="dxa"/>
            <w:tcBorders>
              <w:right w:val="single" w:sz="4" w:space="0" w:color="auto"/>
            </w:tcBorders>
          </w:tcPr>
          <w:p w14:paraId="6A41FC6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6.15</w:t>
            </w:r>
          </w:p>
        </w:tc>
      </w:tr>
    </w:tbl>
    <w:p w14:paraId="681E2180" w14:textId="77777777" w:rsidR="00AF06C8" w:rsidRDefault="00AF06C8">
      <w:pPr>
        <w:pStyle w:val="ListParagraph"/>
        <w:tabs>
          <w:tab w:val="left" w:pos="270"/>
        </w:tabs>
        <w:spacing w:after="0" w:line="360" w:lineRule="auto"/>
        <w:ind w:left="450" w:hanging="540"/>
        <w:jc w:val="both"/>
        <w:rPr>
          <w:rFonts w:ascii="Arial" w:hAnsi="Arial" w:cs="Arial"/>
          <w:b/>
          <w:sz w:val="6"/>
          <w:highlight w:val="yellow"/>
        </w:rPr>
      </w:pPr>
    </w:p>
    <w:p w14:paraId="66F82362"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587263E1"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376EA38D"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2A8538E2" w14:textId="77777777" w:rsidR="00AF06C8" w:rsidRDefault="001F0481">
      <w:pPr>
        <w:pStyle w:val="ListParagraph"/>
        <w:tabs>
          <w:tab w:val="left" w:pos="270"/>
        </w:tabs>
        <w:spacing w:after="0" w:line="360" w:lineRule="auto"/>
        <w:ind w:left="450" w:hanging="540"/>
        <w:jc w:val="both"/>
        <w:rPr>
          <w:rFonts w:ascii="Times New Roman" w:eastAsia="Times New Roman" w:hAnsi="Times New Roman"/>
          <w:b/>
          <w:bCs/>
          <w:sz w:val="24"/>
        </w:rPr>
      </w:pPr>
      <w:r>
        <w:rPr>
          <w:rFonts w:ascii="Times New Roman" w:eastAsia="Times New Roman" w:hAnsi="Times New Roman"/>
          <w:b/>
          <w:bCs/>
          <w:sz w:val="24"/>
        </w:rPr>
        <w:t>Effect of Non-reducing sugar</w:t>
      </w:r>
    </w:p>
    <w:p w14:paraId="53E3F5B7" w14:textId="77777777" w:rsidR="00AF06C8" w:rsidRDefault="001F0481">
      <w:pPr>
        <w:pStyle w:val="ListParagraph"/>
        <w:tabs>
          <w:tab w:val="left" w:pos="270"/>
        </w:tabs>
        <w:spacing w:after="0" w:line="360" w:lineRule="auto"/>
        <w:ind w:left="-90" w:firstLine="630"/>
        <w:jc w:val="both"/>
        <w:rPr>
          <w:rFonts w:ascii="Times New Roman" w:eastAsia="Times New Roman" w:hAnsi="Times New Roman"/>
          <w:bCs/>
          <w:sz w:val="24"/>
        </w:rPr>
      </w:pPr>
      <w:proofErr w:type="gramStart"/>
      <w:r>
        <w:rPr>
          <w:rFonts w:ascii="Times New Roman" w:eastAsia="Times New Roman" w:hAnsi="Times New Roman"/>
          <w:bCs/>
          <w:sz w:val="24"/>
        </w:rPr>
        <w:t>Forty five</w:t>
      </w:r>
      <w:proofErr w:type="gramEnd"/>
      <w:r>
        <w:rPr>
          <w:rFonts w:ascii="Times New Roman" w:eastAsia="Times New Roman" w:hAnsi="Times New Roman"/>
          <w:bCs/>
          <w:sz w:val="24"/>
        </w:rPr>
        <w:t xml:space="preserve"> days after sowing minimum non-reducing sugar in healthy and diseased leaves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(2.95 and 1.65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followed by Pant Rituraj (4.01 and 2.67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(4.50 and 3.45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Shymala</w:t>
      </w:r>
      <w:proofErr w:type="spellEnd"/>
      <w:r>
        <w:rPr>
          <w:rFonts w:ascii="Times New Roman" w:eastAsia="Times New Roman" w:hAnsi="Times New Roman"/>
          <w:bCs/>
          <w:sz w:val="24"/>
        </w:rPr>
        <w:t xml:space="preserve"> (6.24 and 4.64</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non-reducing sugar was recorded in genotype BR-112 (7.05 and 6.90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At 60 days after sowing maximum non-reducing sugar in healthy and disease leaves was recorded in genotypes BR-112 (5.40 and 4.35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(4.65 and 3.25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(3.95 and 2.26</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(3.35 and 1.78</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non-reducing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(2.10 and 1.12 mg/g fresh </w:t>
      </w:r>
      <w:proofErr w:type="spellStart"/>
      <w:r>
        <w:rPr>
          <w:rFonts w:ascii="Times New Roman" w:eastAsia="Times New Roman" w:hAnsi="Times New Roman"/>
          <w:bCs/>
          <w:sz w:val="24"/>
        </w:rPr>
        <w:t>wt</w:t>
      </w:r>
      <w:proofErr w:type="spellEnd"/>
      <w:r>
        <w:rPr>
          <w:rFonts w:ascii="Times New Roman" w:eastAsia="Times New Roman" w:hAnsi="Times New Roman"/>
          <w:bCs/>
          <w:sz w:val="24"/>
        </w:rPr>
        <w:t xml:space="preserve">). </w:t>
      </w:r>
    </w:p>
    <w:p w14:paraId="6B564F7C" w14:textId="77777777" w:rsidR="00AF06C8" w:rsidRDefault="001F0481">
      <w:pPr>
        <w:pStyle w:val="ListParagraph"/>
        <w:tabs>
          <w:tab w:val="left" w:pos="-90"/>
        </w:tabs>
        <w:spacing w:line="360" w:lineRule="auto"/>
        <w:ind w:left="0"/>
        <w:jc w:val="both"/>
        <w:rPr>
          <w:rFonts w:ascii="Times New Roman" w:hAnsi="Times New Roman"/>
          <w:b/>
          <w:bCs/>
        </w:rPr>
      </w:pPr>
      <w:r>
        <w:rPr>
          <w:rFonts w:ascii="Times New Roman" w:hAnsi="Times New Roman"/>
          <w:b/>
          <w:sz w:val="24"/>
        </w:rPr>
        <w:t xml:space="preserve">Table-05. </w:t>
      </w:r>
      <w:r>
        <w:rPr>
          <w:rFonts w:ascii="Times New Roman" w:hAnsi="Times New Roman"/>
          <w:b/>
          <w:bCs/>
          <w:sz w:val="24"/>
        </w:rPr>
        <w:t>Non-reducing sugar content</w:t>
      </w:r>
      <w:r>
        <w:rPr>
          <w:rFonts w:ascii="Times New Roman" w:hAnsi="Times New Roman"/>
          <w:b/>
          <w:bCs/>
        </w:rPr>
        <w:t xml:space="preserve"> </w:t>
      </w:r>
      <w:r>
        <w:rPr>
          <w:rFonts w:ascii="Times New Roman" w:hAnsi="Times New Roman"/>
          <w:b/>
          <w:sz w:val="24"/>
        </w:rPr>
        <w:t>in Brinjal leaves of different genotypes.</w:t>
      </w:r>
    </w:p>
    <w:tbl>
      <w:tblPr>
        <w:tblStyle w:val="TableGrid"/>
        <w:tblW w:w="0" w:type="auto"/>
        <w:tblInd w:w="108" w:type="dxa"/>
        <w:tblLook w:val="04A0" w:firstRow="1" w:lastRow="0" w:firstColumn="1" w:lastColumn="0" w:noHBand="0" w:noVBand="1"/>
      </w:tblPr>
      <w:tblGrid>
        <w:gridCol w:w="1800"/>
        <w:gridCol w:w="1260"/>
        <w:gridCol w:w="1440"/>
        <w:gridCol w:w="1530"/>
        <w:gridCol w:w="1350"/>
        <w:gridCol w:w="1980"/>
      </w:tblGrid>
      <w:tr w:rsidR="00AF06C8" w14:paraId="3B2F00ED" w14:textId="77777777">
        <w:trPr>
          <w:trHeight w:val="195"/>
        </w:trPr>
        <w:tc>
          <w:tcPr>
            <w:tcW w:w="1800" w:type="dxa"/>
            <w:vMerge w:val="restart"/>
          </w:tcPr>
          <w:p w14:paraId="6934385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3632C6B"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970" w:type="dxa"/>
            <w:gridSpan w:val="2"/>
            <w:tcBorders>
              <w:right w:val="single" w:sz="4" w:space="0" w:color="auto"/>
            </w:tcBorders>
          </w:tcPr>
          <w:p w14:paraId="5EABB62C"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330" w:type="dxa"/>
            <w:gridSpan w:val="2"/>
            <w:tcBorders>
              <w:right w:val="single" w:sz="4" w:space="0" w:color="auto"/>
            </w:tcBorders>
          </w:tcPr>
          <w:p w14:paraId="7C78A3C0"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D190658" w14:textId="77777777">
        <w:trPr>
          <w:trHeight w:val="180"/>
        </w:trPr>
        <w:tc>
          <w:tcPr>
            <w:tcW w:w="1800" w:type="dxa"/>
            <w:vMerge/>
          </w:tcPr>
          <w:p w14:paraId="15434776"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511938A8" w14:textId="77777777" w:rsidR="00AF06C8" w:rsidRDefault="00AF06C8">
            <w:pPr>
              <w:pStyle w:val="ListParagraph"/>
              <w:tabs>
                <w:tab w:val="left" w:pos="270"/>
              </w:tabs>
              <w:ind w:left="0"/>
              <w:jc w:val="center"/>
              <w:rPr>
                <w:rFonts w:ascii="Times New Roman" w:hAnsi="Times New Roman"/>
                <w:b/>
              </w:rPr>
            </w:pPr>
          </w:p>
        </w:tc>
        <w:tc>
          <w:tcPr>
            <w:tcW w:w="2970" w:type="dxa"/>
            <w:gridSpan w:val="2"/>
            <w:tcBorders>
              <w:right w:val="single" w:sz="4" w:space="0" w:color="auto"/>
            </w:tcBorders>
          </w:tcPr>
          <w:p w14:paraId="4F9F671D"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Non-</w:t>
            </w:r>
            <w:proofErr w:type="gramStart"/>
            <w:r>
              <w:rPr>
                <w:rFonts w:ascii="Times New Roman" w:hAnsi="Times New Roman"/>
                <w:b/>
                <w:bCs/>
                <w:sz w:val="20"/>
              </w:rPr>
              <w:t>reducing  sugar</w:t>
            </w:r>
            <w:proofErr w:type="gramEnd"/>
            <w:r>
              <w:rPr>
                <w:rFonts w:ascii="Times New Roman" w:hAnsi="Times New Roman"/>
                <w:b/>
                <w:bCs/>
                <w:sz w:val="20"/>
              </w:rPr>
              <w:t xml:space="preserve"> </w:t>
            </w:r>
          </w:p>
          <w:p w14:paraId="31439475"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rPr>
              <w:t>)</w:t>
            </w:r>
          </w:p>
        </w:tc>
        <w:tc>
          <w:tcPr>
            <w:tcW w:w="3330" w:type="dxa"/>
            <w:gridSpan w:val="2"/>
            <w:tcBorders>
              <w:right w:val="single" w:sz="4" w:space="0" w:color="auto"/>
            </w:tcBorders>
          </w:tcPr>
          <w:p w14:paraId="08A32CF1"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Non-</w:t>
            </w:r>
            <w:proofErr w:type="gramStart"/>
            <w:r>
              <w:rPr>
                <w:rFonts w:ascii="Times New Roman" w:hAnsi="Times New Roman"/>
                <w:b/>
                <w:bCs/>
                <w:sz w:val="20"/>
              </w:rPr>
              <w:t>reducing  sugar</w:t>
            </w:r>
            <w:proofErr w:type="gramEnd"/>
            <w:r>
              <w:rPr>
                <w:rFonts w:ascii="Times New Roman" w:hAnsi="Times New Roman"/>
                <w:b/>
                <w:bCs/>
                <w:sz w:val="20"/>
              </w:rPr>
              <w:t xml:space="preserve"> </w:t>
            </w:r>
          </w:p>
          <w:p w14:paraId="76FFC442"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bCs/>
                <w:sz w:val="20"/>
              </w:rPr>
              <w:t>)</w:t>
            </w:r>
          </w:p>
        </w:tc>
      </w:tr>
      <w:tr w:rsidR="00AF06C8" w14:paraId="12FA3783" w14:textId="77777777">
        <w:trPr>
          <w:trHeight w:val="278"/>
        </w:trPr>
        <w:tc>
          <w:tcPr>
            <w:tcW w:w="1800" w:type="dxa"/>
            <w:vMerge/>
          </w:tcPr>
          <w:p w14:paraId="54154D3D" w14:textId="77777777" w:rsidR="00AF06C8" w:rsidRDefault="00AF06C8">
            <w:pPr>
              <w:pStyle w:val="Default"/>
              <w:spacing w:after="200"/>
              <w:jc w:val="center"/>
              <w:rPr>
                <w:bCs/>
                <w:sz w:val="22"/>
                <w:szCs w:val="22"/>
              </w:rPr>
            </w:pPr>
          </w:p>
        </w:tc>
        <w:tc>
          <w:tcPr>
            <w:tcW w:w="1260" w:type="dxa"/>
            <w:vMerge/>
          </w:tcPr>
          <w:p w14:paraId="5040ECE2" w14:textId="77777777" w:rsidR="00AF06C8" w:rsidRDefault="00AF06C8">
            <w:pPr>
              <w:pStyle w:val="Default"/>
              <w:spacing w:after="200"/>
              <w:jc w:val="center"/>
              <w:rPr>
                <w:bCs/>
                <w:sz w:val="22"/>
                <w:szCs w:val="22"/>
              </w:rPr>
            </w:pPr>
          </w:p>
        </w:tc>
        <w:tc>
          <w:tcPr>
            <w:tcW w:w="1440" w:type="dxa"/>
          </w:tcPr>
          <w:p w14:paraId="65CC7E21" w14:textId="77777777" w:rsidR="00AF06C8" w:rsidRDefault="001F0481">
            <w:pPr>
              <w:pStyle w:val="Default"/>
              <w:spacing w:after="200"/>
              <w:jc w:val="center"/>
              <w:rPr>
                <w:bCs/>
                <w:sz w:val="22"/>
                <w:szCs w:val="22"/>
              </w:rPr>
            </w:pPr>
            <w:r>
              <w:rPr>
                <w:bCs/>
                <w:sz w:val="22"/>
                <w:szCs w:val="22"/>
              </w:rPr>
              <w:t>Healthy</w:t>
            </w:r>
          </w:p>
        </w:tc>
        <w:tc>
          <w:tcPr>
            <w:tcW w:w="1530" w:type="dxa"/>
            <w:tcBorders>
              <w:right w:val="single" w:sz="4" w:space="0" w:color="auto"/>
            </w:tcBorders>
          </w:tcPr>
          <w:p w14:paraId="710FA4A2" w14:textId="77777777" w:rsidR="00AF06C8" w:rsidRDefault="001F0481">
            <w:pPr>
              <w:pStyle w:val="Default"/>
              <w:spacing w:after="200"/>
              <w:jc w:val="center"/>
              <w:rPr>
                <w:bCs/>
                <w:sz w:val="22"/>
                <w:szCs w:val="22"/>
              </w:rPr>
            </w:pPr>
            <w:r>
              <w:rPr>
                <w:bCs/>
                <w:sz w:val="22"/>
                <w:szCs w:val="22"/>
              </w:rPr>
              <w:t xml:space="preserve">Diseased </w:t>
            </w:r>
          </w:p>
        </w:tc>
        <w:tc>
          <w:tcPr>
            <w:tcW w:w="1350" w:type="dxa"/>
          </w:tcPr>
          <w:p w14:paraId="002BC33B" w14:textId="77777777" w:rsidR="00AF06C8" w:rsidRDefault="001F0481">
            <w:pPr>
              <w:pStyle w:val="Default"/>
              <w:spacing w:after="200"/>
              <w:jc w:val="center"/>
              <w:rPr>
                <w:bCs/>
                <w:sz w:val="22"/>
                <w:szCs w:val="22"/>
              </w:rPr>
            </w:pPr>
            <w:r>
              <w:rPr>
                <w:bCs/>
                <w:sz w:val="22"/>
                <w:szCs w:val="22"/>
              </w:rPr>
              <w:t>Healthy</w:t>
            </w:r>
          </w:p>
        </w:tc>
        <w:tc>
          <w:tcPr>
            <w:tcW w:w="1980" w:type="dxa"/>
            <w:tcBorders>
              <w:right w:val="single" w:sz="4" w:space="0" w:color="auto"/>
            </w:tcBorders>
          </w:tcPr>
          <w:p w14:paraId="29ED62F6" w14:textId="77777777" w:rsidR="00AF06C8" w:rsidRDefault="001F0481">
            <w:pPr>
              <w:pStyle w:val="Default"/>
              <w:spacing w:after="200"/>
              <w:jc w:val="center"/>
              <w:rPr>
                <w:bCs/>
                <w:sz w:val="22"/>
                <w:szCs w:val="22"/>
              </w:rPr>
            </w:pPr>
            <w:r>
              <w:rPr>
                <w:bCs/>
                <w:sz w:val="22"/>
                <w:szCs w:val="22"/>
              </w:rPr>
              <w:t xml:space="preserve">Diseased </w:t>
            </w:r>
          </w:p>
        </w:tc>
      </w:tr>
      <w:tr w:rsidR="00AF06C8" w14:paraId="6E2A58E0" w14:textId="77777777">
        <w:tc>
          <w:tcPr>
            <w:tcW w:w="1800" w:type="dxa"/>
          </w:tcPr>
          <w:p w14:paraId="24304AAC"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6BAD772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78C12F1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2.95</w:t>
            </w:r>
          </w:p>
        </w:tc>
        <w:tc>
          <w:tcPr>
            <w:tcW w:w="1530" w:type="dxa"/>
            <w:tcBorders>
              <w:right w:val="single" w:sz="4" w:space="0" w:color="auto"/>
            </w:tcBorders>
          </w:tcPr>
          <w:p w14:paraId="2638856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1.65</w:t>
            </w:r>
          </w:p>
        </w:tc>
        <w:tc>
          <w:tcPr>
            <w:tcW w:w="1350" w:type="dxa"/>
          </w:tcPr>
          <w:p w14:paraId="6162D0F4"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980" w:type="dxa"/>
            <w:tcBorders>
              <w:right w:val="single" w:sz="4" w:space="0" w:color="auto"/>
            </w:tcBorders>
          </w:tcPr>
          <w:p w14:paraId="26F7093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1.12</w:t>
            </w:r>
          </w:p>
        </w:tc>
      </w:tr>
      <w:tr w:rsidR="00AF06C8" w14:paraId="0B08D9A9" w14:textId="77777777">
        <w:tc>
          <w:tcPr>
            <w:tcW w:w="1800" w:type="dxa"/>
          </w:tcPr>
          <w:p w14:paraId="69A082E8"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DCAF0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7D69C58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4.01</w:t>
            </w:r>
          </w:p>
        </w:tc>
        <w:tc>
          <w:tcPr>
            <w:tcW w:w="1530" w:type="dxa"/>
            <w:tcBorders>
              <w:right w:val="single" w:sz="4" w:space="0" w:color="auto"/>
            </w:tcBorders>
          </w:tcPr>
          <w:p w14:paraId="5DCC7D3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2.67</w:t>
            </w:r>
          </w:p>
        </w:tc>
        <w:tc>
          <w:tcPr>
            <w:tcW w:w="1350" w:type="dxa"/>
          </w:tcPr>
          <w:p w14:paraId="08ECED2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3.35</w:t>
            </w:r>
          </w:p>
        </w:tc>
        <w:tc>
          <w:tcPr>
            <w:tcW w:w="1980" w:type="dxa"/>
            <w:tcBorders>
              <w:right w:val="single" w:sz="4" w:space="0" w:color="auto"/>
            </w:tcBorders>
          </w:tcPr>
          <w:p w14:paraId="04534EF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1.78</w:t>
            </w:r>
          </w:p>
        </w:tc>
      </w:tr>
      <w:tr w:rsidR="00AF06C8" w14:paraId="70C1BA06" w14:textId="77777777">
        <w:tc>
          <w:tcPr>
            <w:tcW w:w="1800" w:type="dxa"/>
          </w:tcPr>
          <w:p w14:paraId="6D92D4E6"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4FE77B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21435A3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4.50</w:t>
            </w:r>
          </w:p>
        </w:tc>
        <w:tc>
          <w:tcPr>
            <w:tcW w:w="1530" w:type="dxa"/>
            <w:tcBorders>
              <w:right w:val="single" w:sz="4" w:space="0" w:color="auto"/>
            </w:tcBorders>
          </w:tcPr>
          <w:p w14:paraId="2FE87BF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3.45</w:t>
            </w:r>
          </w:p>
        </w:tc>
        <w:tc>
          <w:tcPr>
            <w:tcW w:w="1350" w:type="dxa"/>
          </w:tcPr>
          <w:p w14:paraId="04E8B55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3.95</w:t>
            </w:r>
          </w:p>
        </w:tc>
        <w:tc>
          <w:tcPr>
            <w:tcW w:w="1980" w:type="dxa"/>
            <w:tcBorders>
              <w:right w:val="single" w:sz="4" w:space="0" w:color="auto"/>
            </w:tcBorders>
          </w:tcPr>
          <w:p w14:paraId="6E81485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2.26</w:t>
            </w:r>
          </w:p>
        </w:tc>
      </w:tr>
      <w:tr w:rsidR="00AF06C8" w14:paraId="177AED65" w14:textId="77777777">
        <w:tc>
          <w:tcPr>
            <w:tcW w:w="1800" w:type="dxa"/>
          </w:tcPr>
          <w:p w14:paraId="530A78D5"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3CA589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14B4C70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6.24</w:t>
            </w:r>
          </w:p>
        </w:tc>
        <w:tc>
          <w:tcPr>
            <w:tcW w:w="1530" w:type="dxa"/>
            <w:tcBorders>
              <w:right w:val="single" w:sz="4" w:space="0" w:color="auto"/>
            </w:tcBorders>
          </w:tcPr>
          <w:p w14:paraId="7644709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4.64</w:t>
            </w:r>
          </w:p>
        </w:tc>
        <w:tc>
          <w:tcPr>
            <w:tcW w:w="1350" w:type="dxa"/>
          </w:tcPr>
          <w:p w14:paraId="3AA1611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4.65</w:t>
            </w:r>
          </w:p>
        </w:tc>
        <w:tc>
          <w:tcPr>
            <w:tcW w:w="1980" w:type="dxa"/>
            <w:tcBorders>
              <w:right w:val="single" w:sz="4" w:space="0" w:color="auto"/>
            </w:tcBorders>
          </w:tcPr>
          <w:p w14:paraId="5C17C8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3.25</w:t>
            </w:r>
          </w:p>
        </w:tc>
      </w:tr>
      <w:tr w:rsidR="00AF06C8" w14:paraId="67AECECF" w14:textId="77777777">
        <w:tc>
          <w:tcPr>
            <w:tcW w:w="1800" w:type="dxa"/>
          </w:tcPr>
          <w:p w14:paraId="61F1ECEB"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191ADA2D"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3630AB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7.05</w:t>
            </w:r>
          </w:p>
        </w:tc>
        <w:tc>
          <w:tcPr>
            <w:tcW w:w="1530" w:type="dxa"/>
            <w:tcBorders>
              <w:right w:val="single" w:sz="4" w:space="0" w:color="auto"/>
            </w:tcBorders>
          </w:tcPr>
          <w:p w14:paraId="0440195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6.90</w:t>
            </w:r>
          </w:p>
        </w:tc>
        <w:tc>
          <w:tcPr>
            <w:tcW w:w="1350" w:type="dxa"/>
          </w:tcPr>
          <w:p w14:paraId="2A19A0B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5.40</w:t>
            </w:r>
          </w:p>
        </w:tc>
        <w:tc>
          <w:tcPr>
            <w:tcW w:w="1980" w:type="dxa"/>
            <w:tcBorders>
              <w:right w:val="single" w:sz="4" w:space="0" w:color="auto"/>
            </w:tcBorders>
          </w:tcPr>
          <w:p w14:paraId="34381C9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4.35</w:t>
            </w:r>
          </w:p>
        </w:tc>
      </w:tr>
    </w:tbl>
    <w:p w14:paraId="3840CD3E" w14:textId="77777777" w:rsidR="00AF06C8" w:rsidRDefault="00AF06C8">
      <w:pPr>
        <w:pStyle w:val="ListParagraph"/>
        <w:tabs>
          <w:tab w:val="left" w:pos="270"/>
        </w:tabs>
        <w:spacing w:after="0" w:line="360" w:lineRule="auto"/>
        <w:ind w:left="450" w:hanging="540"/>
        <w:jc w:val="both"/>
        <w:rPr>
          <w:rFonts w:ascii="Arial" w:hAnsi="Arial" w:cs="Arial"/>
          <w:b/>
          <w:sz w:val="8"/>
        </w:rPr>
      </w:pPr>
    </w:p>
    <w:p w14:paraId="290E8889"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2D98AE69" w14:textId="77777777" w:rsidR="00AF06C8" w:rsidRDefault="00AF06C8">
      <w:pPr>
        <w:tabs>
          <w:tab w:val="left" w:pos="270"/>
        </w:tabs>
        <w:spacing w:after="0" w:line="360" w:lineRule="auto"/>
        <w:jc w:val="both"/>
        <w:rPr>
          <w:rFonts w:ascii="Arial" w:hAnsi="Arial" w:cs="Arial"/>
          <w:b/>
          <w:sz w:val="2"/>
        </w:rPr>
      </w:pPr>
    </w:p>
    <w:p w14:paraId="5567C64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92EDE0D" w14:textId="77777777" w:rsidR="00AF06C8" w:rsidRDefault="00AF06C8">
      <w:pPr>
        <w:pStyle w:val="ListParagraph"/>
        <w:tabs>
          <w:tab w:val="left" w:pos="270"/>
        </w:tabs>
        <w:spacing w:after="0" w:line="360" w:lineRule="auto"/>
        <w:ind w:left="900" w:hanging="990"/>
        <w:jc w:val="both"/>
        <w:rPr>
          <w:rFonts w:ascii="Arial" w:hAnsi="Arial" w:cs="Arial"/>
          <w:sz w:val="2"/>
        </w:rPr>
      </w:pPr>
    </w:p>
    <w:p w14:paraId="6609520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E9D481D" w14:textId="77777777" w:rsidR="00AF06C8" w:rsidRDefault="001F0481">
      <w:pPr>
        <w:spacing w:after="0" w:line="240" w:lineRule="auto"/>
        <w:rPr>
          <w:rFonts w:ascii="Times New Roman" w:hAnsi="Times New Roman" w:cs="Times New Roman"/>
          <w:b/>
          <w:bCs/>
          <w:color w:val="000000"/>
          <w:sz w:val="24"/>
          <w:szCs w:val="23"/>
        </w:rPr>
      </w:pPr>
      <w:r>
        <w:rPr>
          <w:rFonts w:ascii="Times New Roman" w:hAnsi="Times New Roman" w:cs="Times New Roman"/>
          <w:b/>
          <w:bCs/>
          <w:color w:val="000000"/>
          <w:sz w:val="24"/>
          <w:szCs w:val="23"/>
        </w:rPr>
        <w:t xml:space="preserve">Biochemical parameters-based cluster analysis </w:t>
      </w:r>
    </w:p>
    <w:p w14:paraId="42E44B63"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healthy leaves </w:t>
      </w:r>
    </w:p>
    <w:p w14:paraId="4B2D0069" w14:textId="77777777" w:rsidR="00AF06C8" w:rsidRDefault="00AF06C8">
      <w:pPr>
        <w:spacing w:after="0"/>
        <w:rPr>
          <w:rFonts w:ascii="Arial" w:hAnsi="Arial" w:cs="Arial"/>
          <w:b/>
          <w:sz w:val="2"/>
        </w:rPr>
      </w:pPr>
    </w:p>
    <w:p w14:paraId="1875A81E" w14:textId="65D31CF8"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healthy leaves samples of five brinjal genotype/varieties was done to observed at 45 days after sowing for correlation and similarity </w:t>
      </w:r>
      <w:r>
        <w:rPr>
          <w:rFonts w:ascii="Times New Roman" w:hAnsi="Times New Roman" w:cs="Times New Roman"/>
          <w:sz w:val="24"/>
        </w:rPr>
        <w:lastRenderedPageBreak/>
        <w:t>between these genotypes based on total amino acid, total sugar, reducing sugar, non-reducing sugar and phenol (Plate-</w:t>
      </w:r>
      <w:r w:rsidR="00DD32A8">
        <w:rPr>
          <w:rFonts w:ascii="Times New Roman" w:hAnsi="Times New Roman" w:cs="Times New Roman"/>
          <w:sz w:val="24"/>
        </w:rPr>
        <w:t>1</w:t>
      </w:r>
      <w:r>
        <w:rPr>
          <w:rFonts w:ascii="Times New Roman" w:hAnsi="Times New Roman" w:cs="Times New Roman"/>
          <w:sz w:val="24"/>
        </w:rPr>
        <w:t xml:space="preserve">).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these genotypes more or less similar in biochemical properties analyzed in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three genotypes. Among them Ultra, Pant Rituraj and Pant Upkar have lowest total sugar, reducing sugar, non-reducing sugar, amino acid and highest total phenolic content respectively.  Principal component analysis (PCA) was done by considering biochemical variables simultaneously. The pattern of variations illustrated by the PCA described by correlation coefficients determined for pair-wise association of the traits. Brinjal genotypes were situated at the unique position on the plot. The PCA correlation depicted those genotypes possessed higher and lower magnitudes of biochemical parameters occupying unique position towards the graph. In these five variable total phenols is at the highest variability. (Plate-1).</w:t>
      </w:r>
    </w:p>
    <w:p w14:paraId="74BF56EB" w14:textId="77777777" w:rsidR="00AF06C8" w:rsidRDefault="001F0481">
      <w:pPr>
        <w:spacing w:line="360" w:lineRule="auto"/>
        <w:ind w:firstLine="90"/>
        <w:jc w:val="center"/>
        <w:rPr>
          <w:rFonts w:ascii="Arial" w:hAnsi="Arial" w:cs="Arial"/>
          <w:b/>
          <w:sz w:val="20"/>
        </w:rPr>
      </w:pPr>
      <w:commentRangeStart w:id="39"/>
      <w:r>
        <w:rPr>
          <w:rFonts w:ascii="Times New Roman" w:hAnsi="Times New Roman"/>
          <w:noProof/>
          <w:sz w:val="24"/>
          <w:szCs w:val="24"/>
        </w:rPr>
        <w:drawing>
          <wp:inline distT="0" distB="0" distL="0" distR="0" wp14:anchorId="6834CA64" wp14:editId="4C455C22">
            <wp:extent cx="4086225" cy="2438400"/>
            <wp:effectExtent l="0" t="0" r="9525" b="0"/>
            <wp:docPr id="1026" name="Picture 1972390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2390613"/>
                    <pic:cNvPicPr/>
                  </pic:nvPicPr>
                  <pic:blipFill>
                    <a:blip r:embed="rId11" cstate="print"/>
                    <a:srcRect/>
                    <a:stretch/>
                  </pic:blipFill>
                  <pic:spPr>
                    <a:xfrm>
                      <a:off x="0" y="0"/>
                      <a:ext cx="4086225" cy="2438400"/>
                    </a:xfrm>
                    <a:prstGeom prst="rect">
                      <a:avLst/>
                    </a:prstGeom>
                  </pic:spPr>
                </pic:pic>
              </a:graphicData>
            </a:graphic>
          </wp:inline>
        </w:drawing>
      </w:r>
      <w:commentRangeEnd w:id="39"/>
      <w:r w:rsidR="00AF0DF4">
        <w:rPr>
          <w:rStyle w:val="CommentReference"/>
        </w:rPr>
        <w:commentReference w:id="39"/>
      </w:r>
      <w:r>
        <w:rPr>
          <w:rFonts w:ascii="Arial" w:hAnsi="Arial" w:cs="Arial"/>
          <w:b/>
          <w:sz w:val="20"/>
        </w:rPr>
        <w:t xml:space="preserve"> </w:t>
      </w:r>
    </w:p>
    <w:p w14:paraId="6B767545" w14:textId="77777777" w:rsidR="00AF06C8" w:rsidRDefault="001F0481">
      <w:pPr>
        <w:spacing w:line="360" w:lineRule="auto"/>
        <w:ind w:firstLine="90"/>
        <w:jc w:val="center"/>
        <w:rPr>
          <w:rFonts w:ascii="Times New Roman" w:hAnsi="Times New Roman" w:cs="Times New Roman"/>
          <w:b/>
          <w:sz w:val="20"/>
        </w:rPr>
      </w:pPr>
      <w:r>
        <w:rPr>
          <w:rFonts w:ascii="Times New Roman" w:hAnsi="Times New Roman" w:cs="Times New Roman"/>
          <w:b/>
          <w:sz w:val="20"/>
        </w:rPr>
        <w:t xml:space="preserve">Plate-1. Principal component analysis of biochemical parameters of healthy leaves at 45 DAS </w:t>
      </w:r>
    </w:p>
    <w:p w14:paraId="3A7DDAAB"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diseased leaves  </w:t>
      </w:r>
    </w:p>
    <w:p w14:paraId="093A9CAE" w14:textId="77777777" w:rsidR="00AF06C8" w:rsidRDefault="00AF06C8">
      <w:pPr>
        <w:spacing w:line="360" w:lineRule="auto"/>
        <w:ind w:firstLine="900"/>
        <w:jc w:val="both"/>
        <w:rPr>
          <w:rFonts w:ascii="Times New Roman" w:hAnsi="Times New Roman" w:cs="Times New Roman"/>
          <w:sz w:val="2"/>
        </w:rPr>
      </w:pPr>
    </w:p>
    <w:p w14:paraId="2899686C" w14:textId="6F0B4E6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disease samples of five brinjal genotypes/varieties at 45 DAS was done to observed the correlation and similarity between the diseased leaves of Brinjal genotypes based on total amino acid, total sugar, reducing sugar, non-reducing sugar and phenol (Plate-1).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BR-112 which having highly susceptible reaction.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four genotypes Pusa Shymala, Pant Rituraj, Pant Upkar and Ultra, among them </w:t>
      </w:r>
      <w:r>
        <w:rPr>
          <w:rFonts w:ascii="Times New Roman" w:hAnsi="Times New Roman" w:cs="Times New Roman"/>
          <w:sz w:val="24"/>
        </w:rPr>
        <w:lastRenderedPageBreak/>
        <w:t xml:space="preserve">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w:t>
      </w:r>
    </w:p>
    <w:p w14:paraId="2047CD54"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 xml:space="preserve">The principal component analysis (PCA) of different variables simultaneously describe that the genotypes was situated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depicted that the genotypes having higher and lower magnitudes of biochemical parameters occupying unique position towards the graph. The total phenol recorded the highest variability among them. (Plate-2).</w:t>
      </w:r>
    </w:p>
    <w:p w14:paraId="7D9CDE09" w14:textId="77777777" w:rsidR="00AF06C8" w:rsidRDefault="001F0481">
      <w:pPr>
        <w:spacing w:line="360" w:lineRule="auto"/>
        <w:ind w:firstLine="540"/>
        <w:jc w:val="center"/>
        <w:rPr>
          <w:rFonts w:ascii="Arial" w:hAnsi="Arial" w:cs="Arial"/>
          <w:b/>
        </w:rPr>
      </w:pPr>
      <w:r>
        <w:rPr>
          <w:rFonts w:ascii="Times New Roman" w:hAnsi="Times New Roman" w:cs="Times New Roman"/>
          <w:noProof/>
          <w:sz w:val="24"/>
          <w:szCs w:val="24"/>
        </w:rPr>
        <w:drawing>
          <wp:inline distT="0" distB="0" distL="0" distR="0" wp14:anchorId="1BEC5D38" wp14:editId="55C0F127">
            <wp:extent cx="3314700" cy="2057400"/>
            <wp:effectExtent l="0" t="0" r="0" b="0"/>
            <wp:docPr id="1027" name="Picture 163510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35104721"/>
                    <pic:cNvPicPr/>
                  </pic:nvPicPr>
                  <pic:blipFill>
                    <a:blip r:embed="rId12" cstate="print"/>
                    <a:srcRect/>
                    <a:stretch/>
                  </pic:blipFill>
                  <pic:spPr>
                    <a:xfrm>
                      <a:off x="0" y="0"/>
                      <a:ext cx="3314700" cy="2057400"/>
                    </a:xfrm>
                    <a:prstGeom prst="rect">
                      <a:avLst/>
                    </a:prstGeom>
                  </pic:spPr>
                </pic:pic>
              </a:graphicData>
            </a:graphic>
          </wp:inline>
        </w:drawing>
      </w:r>
    </w:p>
    <w:p w14:paraId="05FF0D43" w14:textId="77777777" w:rsidR="00AF06C8" w:rsidRDefault="001F0481">
      <w:pPr>
        <w:spacing w:line="360" w:lineRule="auto"/>
        <w:ind w:firstLine="180"/>
        <w:jc w:val="center"/>
        <w:rPr>
          <w:rFonts w:ascii="Times New Roman" w:hAnsi="Times New Roman" w:cs="Times New Roman"/>
          <w:b/>
          <w:sz w:val="20"/>
        </w:rPr>
      </w:pPr>
      <w:r>
        <w:rPr>
          <w:rFonts w:ascii="Times New Roman" w:hAnsi="Times New Roman" w:cs="Times New Roman"/>
          <w:b/>
          <w:sz w:val="20"/>
        </w:rPr>
        <w:t xml:space="preserve">Plate-2. Principal components analysis of biochemical parameters at diseased leaves of 45 </w:t>
      </w:r>
    </w:p>
    <w:p w14:paraId="24AC7EE9" w14:textId="77777777" w:rsidR="00AF06C8" w:rsidRDefault="001F0481">
      <w:pPr>
        <w:spacing w:after="0"/>
        <w:rPr>
          <w:rFonts w:ascii="Times New Roman" w:hAnsi="Times New Roman" w:cs="Times New Roman"/>
          <w:b/>
        </w:rPr>
      </w:pPr>
      <w:r>
        <w:rPr>
          <w:rFonts w:ascii="Times New Roman" w:hAnsi="Times New Roman" w:cs="Times New Roman"/>
          <w:b/>
        </w:rPr>
        <w:t xml:space="preserve">At 60 days healthy leaves </w:t>
      </w:r>
    </w:p>
    <w:p w14:paraId="088D73A2" w14:textId="77777777" w:rsidR="00AF06C8" w:rsidRDefault="00AF06C8">
      <w:pPr>
        <w:spacing w:after="0"/>
        <w:rPr>
          <w:rFonts w:ascii="Times New Roman" w:hAnsi="Times New Roman" w:cs="Times New Roman"/>
          <w:b/>
          <w:sz w:val="4"/>
        </w:rPr>
      </w:pPr>
    </w:p>
    <w:p w14:paraId="3599D02A" w14:textId="77777777" w:rsidR="00AF06C8" w:rsidRDefault="00AF06C8">
      <w:pPr>
        <w:spacing w:after="0"/>
        <w:rPr>
          <w:rFonts w:ascii="Times New Roman" w:hAnsi="Times New Roman" w:cs="Times New Roman"/>
          <w:b/>
          <w:sz w:val="2"/>
        </w:rPr>
      </w:pPr>
    </w:p>
    <w:p w14:paraId="68D3AB94" w14:textId="1FCCA0D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five </w:t>
      </w:r>
      <w:proofErr w:type="spellStart"/>
      <w:r>
        <w:rPr>
          <w:rFonts w:ascii="Times New Roman" w:hAnsi="Times New Roman" w:cs="Times New Roman"/>
          <w:sz w:val="24"/>
        </w:rPr>
        <w:t>binjal</w:t>
      </w:r>
      <w:proofErr w:type="spellEnd"/>
      <w:r>
        <w:rPr>
          <w:rFonts w:ascii="Times New Roman" w:hAnsi="Times New Roman" w:cs="Times New Roman"/>
          <w:sz w:val="24"/>
        </w:rPr>
        <w:t xml:space="preserve"> genotype/varieties was done to observed the correlation and similarity between these genotypes based on total amino acid, total sugar, reducing sugar, non-reducing sugar and phenol (Plate-3). Total two clusters were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among these genotypes these are more or less similar in biochemical properties analyzed during the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is making group of three genotypes. Among them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and Pant Upkar have lowest total sugar, reducing sugar, non-reducing sugar, amino acid and highest total phenolic content respectively. Principal component analysis (PCA) was done by taking all the biochemical variables simultaneously. The sequence of variations illustrated by the PCA described by correlation coefficients determined for pair-wise association of the traits. Brinjal genotypes were situated at the distinctive position of the plot. The PCA correlation represent those genotypes </w:t>
      </w:r>
      <w:r>
        <w:rPr>
          <w:rFonts w:ascii="Times New Roman" w:hAnsi="Times New Roman" w:cs="Times New Roman"/>
          <w:sz w:val="24"/>
        </w:rPr>
        <w:lastRenderedPageBreak/>
        <w:t xml:space="preserve">possessed higher and lower magnitudes of biochemical parameters occupying especial position towards the graph. In </w:t>
      </w:r>
      <w:proofErr w:type="gramStart"/>
      <w:r>
        <w:rPr>
          <w:rFonts w:ascii="Times New Roman" w:hAnsi="Times New Roman" w:cs="Times New Roman"/>
          <w:sz w:val="24"/>
        </w:rPr>
        <w:t>these five variable total phenol</w:t>
      </w:r>
      <w:proofErr w:type="gramEnd"/>
      <w:r>
        <w:rPr>
          <w:rFonts w:ascii="Times New Roman" w:hAnsi="Times New Roman" w:cs="Times New Roman"/>
          <w:sz w:val="24"/>
        </w:rPr>
        <w:t xml:space="preserve"> at the highest variability. (Plate-3).</w:t>
      </w:r>
    </w:p>
    <w:p w14:paraId="1B6A422E" w14:textId="77777777" w:rsidR="00AF06C8" w:rsidRDefault="001F0481">
      <w:pPr>
        <w:spacing w:line="360" w:lineRule="auto"/>
        <w:ind w:firstLine="180"/>
        <w:jc w:val="center"/>
        <w:rPr>
          <w:rFonts w:ascii="Arial" w:hAnsi="Arial" w:cs="Arial"/>
          <w:b/>
        </w:rPr>
      </w:pPr>
      <w:r>
        <w:rPr>
          <w:rFonts w:ascii="Times New Roman" w:hAnsi="Times New Roman"/>
          <w:b/>
          <w:noProof/>
          <w:sz w:val="24"/>
          <w:szCs w:val="24"/>
        </w:rPr>
        <w:drawing>
          <wp:inline distT="0" distB="0" distL="0" distR="0" wp14:anchorId="65F04DC4" wp14:editId="4EE447EC">
            <wp:extent cx="3162300" cy="2009775"/>
            <wp:effectExtent l="0" t="0" r="0" b="9525"/>
            <wp:docPr id="1028" name="Picture 1084277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84277552"/>
                    <pic:cNvPicPr/>
                  </pic:nvPicPr>
                  <pic:blipFill>
                    <a:blip r:embed="rId13" cstate="print"/>
                    <a:srcRect/>
                    <a:stretch/>
                  </pic:blipFill>
                  <pic:spPr>
                    <a:xfrm>
                      <a:off x="0" y="0"/>
                      <a:ext cx="3162300" cy="2009775"/>
                    </a:xfrm>
                    <a:prstGeom prst="rect">
                      <a:avLst/>
                    </a:prstGeom>
                  </pic:spPr>
                </pic:pic>
              </a:graphicData>
            </a:graphic>
          </wp:inline>
        </w:drawing>
      </w:r>
    </w:p>
    <w:p w14:paraId="5679AA63" w14:textId="77777777" w:rsidR="00AF06C8" w:rsidRDefault="001F0481">
      <w:pPr>
        <w:spacing w:line="360" w:lineRule="auto"/>
        <w:ind w:firstLine="180"/>
        <w:jc w:val="center"/>
        <w:rPr>
          <w:rFonts w:ascii="Times New Roman" w:hAnsi="Times New Roman" w:cs="Times New Roman"/>
          <w:b/>
        </w:rPr>
      </w:pPr>
      <w:bookmarkStart w:id="40" w:name="_Hlk144489090"/>
      <w:r>
        <w:rPr>
          <w:rFonts w:ascii="Times New Roman" w:hAnsi="Times New Roman" w:cs="Times New Roman"/>
          <w:b/>
        </w:rPr>
        <w:t>Plate-3. Principal component analysis of biochemical parameters at healthy leaves of 60 DAS</w:t>
      </w:r>
    </w:p>
    <w:bookmarkEnd w:id="40"/>
    <w:p w14:paraId="148A8357" w14:textId="77777777" w:rsidR="00AF06C8" w:rsidRDefault="001F0481">
      <w:pPr>
        <w:spacing w:after="0" w:line="240" w:lineRule="auto"/>
        <w:rPr>
          <w:rFonts w:ascii="Times New Roman" w:hAnsi="Times New Roman" w:cs="Times New Roman"/>
          <w:b/>
          <w:sz w:val="24"/>
        </w:rPr>
      </w:pPr>
      <w:r>
        <w:rPr>
          <w:rFonts w:ascii="Times New Roman" w:hAnsi="Times New Roman" w:cs="Times New Roman"/>
          <w:b/>
          <w:sz w:val="24"/>
        </w:rPr>
        <w:t xml:space="preserve">At 60 days diseased leaves </w:t>
      </w:r>
    </w:p>
    <w:p w14:paraId="20DD5F3F" w14:textId="77777777" w:rsidR="00AF06C8" w:rsidRDefault="00AF06C8">
      <w:pPr>
        <w:spacing w:line="360" w:lineRule="auto"/>
        <w:ind w:firstLine="900"/>
        <w:jc w:val="both"/>
        <w:rPr>
          <w:rFonts w:ascii="Times New Roman" w:hAnsi="Times New Roman" w:cs="Times New Roman"/>
          <w:sz w:val="2"/>
        </w:rPr>
      </w:pPr>
    </w:p>
    <w:p w14:paraId="679BC807" w14:textId="332B45AA"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Cluster analysis and grouping of diseased samples of five brinjal genotype/varieties at 60 DAS was done to observed the correlation and similarity between the diseased leaves of Brinjal genotypes based on total amino acid, total sugar, reducing sugar, non-reducing sugar and phenol (Plate-</w:t>
      </w:r>
      <w:r w:rsidR="00DD32A8">
        <w:rPr>
          <w:rFonts w:ascii="Times New Roman" w:hAnsi="Times New Roman" w:cs="Times New Roman"/>
          <w:sz w:val="24"/>
        </w:rPr>
        <w:t>4</w:t>
      </w:r>
      <w:r>
        <w:rPr>
          <w:rFonts w:ascii="Times New Roman" w:hAnsi="Times New Roman" w:cs="Times New Roman"/>
          <w:sz w:val="24"/>
        </w:rPr>
        <w:t xml:space="preserve">). Total two clusters were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representing the genotype BR-112 which having highly susceptible reaction. Cluster second are making group of four genotypes Pusa Shymala, Pant Rituraj, Pant Upkar and Ultra, </w:t>
      </w:r>
      <w:proofErr w:type="gramStart"/>
      <w:r>
        <w:rPr>
          <w:rFonts w:ascii="Times New Roman" w:hAnsi="Times New Roman" w:cs="Times New Roman"/>
          <w:sz w:val="24"/>
        </w:rPr>
        <w:t>Among</w:t>
      </w:r>
      <w:proofErr w:type="gramEnd"/>
      <w:r>
        <w:rPr>
          <w:rFonts w:ascii="Times New Roman" w:hAnsi="Times New Roman" w:cs="Times New Roman"/>
          <w:sz w:val="24"/>
        </w:rPr>
        <w:t xml:space="preserve">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as a group as when it is compared with the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genotypes i.e., BR-112 highly susceptible genotype.  The principal component analysis (PCA) of different variables at one and the same time describe that the genotypes was positioned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represent that the genotypes having higher and lower magnitudes of biochemical parameters inhabited unique position towards the graph. The total phenol recorded the highest variability. (Plate-4).</w:t>
      </w:r>
    </w:p>
    <w:p w14:paraId="5E55B412" w14:textId="77777777" w:rsidR="00AF06C8" w:rsidRDefault="001F0481">
      <w:pPr>
        <w:spacing w:line="360" w:lineRule="auto"/>
        <w:ind w:firstLine="180"/>
        <w:jc w:val="center"/>
        <w:rPr>
          <w:rFonts w:ascii="Arial" w:hAnsi="Arial" w:cs="Arial"/>
          <w:b/>
        </w:rPr>
      </w:pPr>
      <w:r>
        <w:rPr>
          <w:rFonts w:ascii="Times New Roman" w:hAnsi="Times New Roman" w:cs="Times New Roman"/>
          <w:b/>
          <w:noProof/>
          <w:sz w:val="24"/>
          <w:szCs w:val="24"/>
        </w:rPr>
        <w:lastRenderedPageBreak/>
        <w:drawing>
          <wp:inline distT="0" distB="0" distL="0" distR="0" wp14:anchorId="26A7FBE8" wp14:editId="1577BE96">
            <wp:extent cx="3448050" cy="2019299"/>
            <wp:effectExtent l="0" t="0" r="0" b="0"/>
            <wp:docPr id="1029" name="Picture 1630389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30389837"/>
                    <pic:cNvPicPr/>
                  </pic:nvPicPr>
                  <pic:blipFill>
                    <a:blip r:embed="rId13" cstate="print"/>
                    <a:srcRect/>
                    <a:stretch/>
                  </pic:blipFill>
                  <pic:spPr>
                    <a:xfrm>
                      <a:off x="0" y="0"/>
                      <a:ext cx="3448050" cy="2019299"/>
                    </a:xfrm>
                    <a:prstGeom prst="rect">
                      <a:avLst/>
                    </a:prstGeom>
                  </pic:spPr>
                </pic:pic>
              </a:graphicData>
            </a:graphic>
          </wp:inline>
        </w:drawing>
      </w:r>
    </w:p>
    <w:p w14:paraId="18E9F63A"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b/>
          <w:sz w:val="20"/>
        </w:rPr>
        <w:t>Plate-4.  Principal components analysis of biochemical parameters at diseased leaves of 60 DAS</w:t>
      </w:r>
    </w:p>
    <w:p w14:paraId="6297C0D2" w14:textId="77777777" w:rsidR="00AF06C8" w:rsidRDefault="001F0481">
      <w:pPr>
        <w:spacing w:after="0" w:line="360" w:lineRule="auto"/>
        <w:jc w:val="both"/>
        <w:rPr>
          <w:rFonts w:ascii="Times New Roman" w:hAnsi="Times New Roman" w:cs="Times New Roman"/>
          <w:b/>
          <w:sz w:val="24"/>
        </w:rPr>
      </w:pPr>
      <w:r>
        <w:rPr>
          <w:rFonts w:ascii="Times New Roman" w:hAnsi="Times New Roman" w:cs="Times New Roman"/>
          <w:b/>
          <w:sz w:val="24"/>
        </w:rPr>
        <w:t xml:space="preserve">Discussion </w:t>
      </w:r>
    </w:p>
    <w:p w14:paraId="72CD2981" w14:textId="77777777" w:rsidR="00AF06C8" w:rsidRDefault="001F0481">
      <w:pPr>
        <w:spacing w:line="360" w:lineRule="auto"/>
        <w:ind w:firstLine="450"/>
        <w:jc w:val="both"/>
        <w:rPr>
          <w:rFonts w:ascii="Times New Roman" w:hAnsi="Times New Roman" w:cs="Times New Roman"/>
          <w:sz w:val="24"/>
        </w:rPr>
      </w:pPr>
      <w:r>
        <w:rPr>
          <w:rFonts w:ascii="Arial" w:hAnsi="Arial" w:cs="Arial"/>
          <w:sz w:val="24"/>
        </w:rPr>
        <w:t xml:space="preserve"> </w:t>
      </w:r>
      <w:r>
        <w:rPr>
          <w:rFonts w:ascii="Times New Roman" w:hAnsi="Times New Roman" w:cs="Times New Roman"/>
          <w:sz w:val="24"/>
        </w:rPr>
        <w:t xml:space="preserve">Estimated values of total sugar, reducing sugar and their mean data showed that highly susceptible genotypes BR-112 recorded maximum sugar, while minimum was recorded in resistant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(4.94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genotypes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(5.98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(7.89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(8.41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respectively. The reduction in sugar contents in different diseased tissues with increasing plant age was also reported. The present results are in conformity with those recorded by Chahal, 1986; Gupta </w:t>
      </w:r>
      <w:r>
        <w:rPr>
          <w:rFonts w:ascii="Times New Roman" w:hAnsi="Times New Roman" w:cs="Times New Roman"/>
          <w:i/>
          <w:iCs/>
          <w:sz w:val="24"/>
        </w:rPr>
        <w:t>et al.</w:t>
      </w:r>
      <w:r>
        <w:rPr>
          <w:rFonts w:ascii="Times New Roman" w:hAnsi="Times New Roman" w:cs="Times New Roman"/>
          <w:sz w:val="24"/>
        </w:rPr>
        <w:t xml:space="preserve"> 1987 and </w:t>
      </w:r>
      <w:proofErr w:type="spellStart"/>
      <w:r>
        <w:rPr>
          <w:rFonts w:ascii="Times New Roman" w:hAnsi="Times New Roman" w:cs="Times New Roman"/>
          <w:sz w:val="24"/>
        </w:rPr>
        <w:t>Sugha</w:t>
      </w:r>
      <w:proofErr w:type="spellEnd"/>
      <w:r>
        <w:rPr>
          <w:rFonts w:ascii="Times New Roman" w:hAnsi="Times New Roman" w:cs="Times New Roman"/>
          <w:sz w:val="24"/>
        </w:rPr>
        <w:t xml:space="preserve"> </w:t>
      </w:r>
      <w:r>
        <w:rPr>
          <w:rFonts w:ascii="Times New Roman" w:hAnsi="Times New Roman" w:cs="Times New Roman"/>
          <w:i/>
          <w:iCs/>
          <w:sz w:val="24"/>
        </w:rPr>
        <w:t>et al.</w:t>
      </w:r>
      <w:r>
        <w:rPr>
          <w:rFonts w:ascii="Times New Roman" w:hAnsi="Times New Roman" w:cs="Times New Roman"/>
          <w:sz w:val="24"/>
        </w:rPr>
        <w:t xml:space="preserve"> 1992. Saharan and Saharan (2004) also recorded decrease in sugar contents with increasing plant age in both susceptible and highly susceptible varieties of </w:t>
      </w:r>
      <w:proofErr w:type="spellStart"/>
      <w:r>
        <w:rPr>
          <w:rFonts w:ascii="Times New Roman" w:hAnsi="Times New Roman" w:cs="Times New Roman"/>
          <w:sz w:val="24"/>
        </w:rPr>
        <w:t>clusterbean</w:t>
      </w:r>
      <w:proofErr w:type="spellEnd"/>
      <w:r>
        <w:rPr>
          <w:rFonts w:ascii="Times New Roman" w:hAnsi="Times New Roman" w:cs="Times New Roman"/>
          <w:sz w:val="24"/>
        </w:rPr>
        <w:t xml:space="preserve"> infected with </w:t>
      </w:r>
      <w:r>
        <w:rPr>
          <w:rFonts w:ascii="Times New Roman" w:hAnsi="Times New Roman" w:cs="Times New Roman"/>
          <w:i/>
          <w:iCs/>
          <w:sz w:val="24"/>
        </w:rPr>
        <w:t xml:space="preserve">Alternaria </w:t>
      </w:r>
      <w:proofErr w:type="spellStart"/>
      <w:r>
        <w:rPr>
          <w:rFonts w:ascii="Times New Roman" w:hAnsi="Times New Roman" w:cs="Times New Roman"/>
          <w:i/>
          <w:iCs/>
          <w:sz w:val="24"/>
        </w:rPr>
        <w:t>cucumerina</w:t>
      </w:r>
      <w:proofErr w:type="spellEnd"/>
      <w:r>
        <w:rPr>
          <w:rFonts w:ascii="Times New Roman" w:hAnsi="Times New Roman" w:cs="Times New Roman"/>
          <w:i/>
          <w:iCs/>
          <w:sz w:val="24"/>
        </w:rPr>
        <w:t xml:space="preserve"> </w:t>
      </w:r>
      <w:r>
        <w:rPr>
          <w:rFonts w:ascii="Times New Roman" w:hAnsi="Times New Roman" w:cs="Times New Roman"/>
          <w:sz w:val="24"/>
        </w:rPr>
        <w:t xml:space="preserve">var. </w:t>
      </w:r>
      <w:proofErr w:type="spellStart"/>
      <w:r>
        <w:rPr>
          <w:rFonts w:ascii="Times New Roman" w:hAnsi="Times New Roman" w:cs="Times New Roman"/>
          <w:i/>
          <w:iCs/>
          <w:sz w:val="24"/>
        </w:rPr>
        <w:t>cyamopsidis</w:t>
      </w:r>
      <w:proofErr w:type="spellEnd"/>
      <w:r>
        <w:rPr>
          <w:rFonts w:ascii="Times New Roman" w:hAnsi="Times New Roman" w:cs="Times New Roman"/>
          <w:sz w:val="24"/>
        </w:rPr>
        <w:t xml:space="preserve">. </w:t>
      </w:r>
      <w:proofErr w:type="spellStart"/>
      <w:r>
        <w:rPr>
          <w:rFonts w:ascii="Times New Roman" w:hAnsi="Times New Roman" w:cs="Times New Roman"/>
          <w:sz w:val="24"/>
        </w:rPr>
        <w:t>Mathpal</w:t>
      </w:r>
      <w:proofErr w:type="spellEnd"/>
      <w:r>
        <w:rPr>
          <w:rFonts w:ascii="Times New Roman" w:hAnsi="Times New Roman" w:cs="Times New Roman"/>
          <w:sz w:val="24"/>
        </w:rPr>
        <w:t xml:space="preserve"> </w:t>
      </w:r>
      <w:r>
        <w:rPr>
          <w:rFonts w:ascii="Times New Roman" w:hAnsi="Times New Roman" w:cs="Times New Roman"/>
          <w:i/>
          <w:iCs/>
          <w:sz w:val="24"/>
        </w:rPr>
        <w:t xml:space="preserve">et al. </w:t>
      </w:r>
      <w:r>
        <w:rPr>
          <w:rFonts w:ascii="Times New Roman" w:hAnsi="Times New Roman" w:cs="Times New Roman"/>
          <w:sz w:val="24"/>
        </w:rPr>
        <w:t xml:space="preserve">(2011) reported highest total sugar and reducing sugar contents in </w:t>
      </w:r>
      <w:r>
        <w:rPr>
          <w:rFonts w:ascii="Times New Roman" w:hAnsi="Times New Roman" w:cs="Times New Roman"/>
          <w:i/>
          <w:iCs/>
          <w:sz w:val="24"/>
        </w:rPr>
        <w:t xml:space="preserve">B. alba </w:t>
      </w:r>
      <w:r>
        <w:rPr>
          <w:rFonts w:ascii="Times New Roman" w:hAnsi="Times New Roman" w:cs="Times New Roman"/>
          <w:sz w:val="24"/>
        </w:rPr>
        <w:t xml:space="preserve">(tolerant) and least in </w:t>
      </w:r>
      <w:r>
        <w:rPr>
          <w:rFonts w:ascii="Times New Roman" w:hAnsi="Times New Roman" w:cs="Times New Roman"/>
          <w:i/>
          <w:iCs/>
          <w:sz w:val="24"/>
        </w:rPr>
        <w:t xml:space="preserve">B. juncea </w:t>
      </w:r>
      <w:r>
        <w:rPr>
          <w:rFonts w:ascii="Times New Roman" w:hAnsi="Times New Roman" w:cs="Times New Roman"/>
          <w:sz w:val="24"/>
        </w:rPr>
        <w:t xml:space="preserve">(susceptible) infected with </w:t>
      </w:r>
      <w:r>
        <w:rPr>
          <w:rFonts w:ascii="Times New Roman" w:hAnsi="Times New Roman" w:cs="Times New Roman"/>
          <w:i/>
          <w:iCs/>
          <w:sz w:val="24"/>
        </w:rPr>
        <w:t>A. brassicae</w:t>
      </w:r>
      <w:r>
        <w:rPr>
          <w:rFonts w:ascii="Times New Roman" w:hAnsi="Times New Roman" w:cs="Times New Roman"/>
          <w:sz w:val="24"/>
        </w:rPr>
        <w:t xml:space="preserve">. With increase in infection and plant age, total sugars and reducing sugars were found to be decreased in both the healthy and infected genotypes.  </w:t>
      </w:r>
      <w:r>
        <w:rPr>
          <w:rFonts w:ascii="Times New Roman" w:hAnsi="Times New Roman" w:cs="Times New Roman"/>
        </w:rPr>
        <w:t xml:space="preserve">Amino acid and </w:t>
      </w:r>
      <w:r>
        <w:rPr>
          <w:rFonts w:ascii="Times New Roman" w:eastAsia="Times New Roman" w:hAnsi="Times New Roman" w:cs="Times New Roman"/>
          <w:bCs/>
        </w:rPr>
        <w:t xml:space="preserve">the total amino acid was recorded minimum in </w:t>
      </w:r>
      <w:proofErr w:type="spellStart"/>
      <w:r>
        <w:rPr>
          <w:rFonts w:ascii="Times New Roman" w:eastAsia="Times New Roman" w:hAnsi="Times New Roman" w:cs="Times New Roman"/>
          <w:bCs/>
        </w:rPr>
        <w:t>Uttra</w:t>
      </w:r>
      <w:proofErr w:type="spellEnd"/>
      <w:r>
        <w:rPr>
          <w:rFonts w:ascii="Times New Roman" w:eastAsia="Times New Roman" w:hAnsi="Times New Roman" w:cs="Times New Roman"/>
          <w:bCs/>
        </w:rPr>
        <w:t xml:space="preserve"> (5.38 mg/g) resistant genotype followed by </w:t>
      </w:r>
      <w:r>
        <w:rPr>
          <w:rFonts w:ascii="Times New Roman" w:hAnsi="Times New Roman" w:cs="Times New Roman"/>
        </w:rPr>
        <w:t xml:space="preserve">Pant </w:t>
      </w:r>
      <w:proofErr w:type="spellStart"/>
      <w:r>
        <w:rPr>
          <w:rFonts w:ascii="Times New Roman" w:hAnsi="Times New Roman" w:cs="Times New Roman"/>
        </w:rPr>
        <w:t>rituraj</w:t>
      </w:r>
      <w:proofErr w:type="spellEnd"/>
      <w:r>
        <w:rPr>
          <w:rFonts w:ascii="Times New Roman" w:hAnsi="Times New Roman" w:cs="Times New Roman"/>
        </w:rPr>
        <w:t xml:space="preserve"> (5.80 mg/g)</w:t>
      </w:r>
      <w:r>
        <w:rPr>
          <w:rFonts w:ascii="Times New Roman" w:eastAsia="Times New Roman" w:hAnsi="Times New Roman" w:cs="Times New Roman"/>
          <w:bCs/>
        </w:rPr>
        <w:t xml:space="preserve"> which was significantly much lesser as compare to susceptible genotype BR-112 (9.07 mg/g). </w:t>
      </w:r>
      <w:r>
        <w:rPr>
          <w:rFonts w:ascii="Times New Roman" w:hAnsi="Times New Roman" w:cs="Times New Roman"/>
        </w:rPr>
        <w:t xml:space="preserve">The present results are in conformity with those recorded by several workers a decrease of total soluble proteins due to pathogen infection has been reported (Taiwo and </w:t>
      </w:r>
      <w:proofErr w:type="spellStart"/>
      <w:r>
        <w:rPr>
          <w:rFonts w:ascii="Times New Roman" w:hAnsi="Times New Roman" w:cs="Times New Roman"/>
        </w:rPr>
        <w:t>Akinjogunla</w:t>
      </w:r>
      <w:proofErr w:type="spellEnd"/>
      <w:r>
        <w:rPr>
          <w:rFonts w:ascii="Times New Roman" w:hAnsi="Times New Roman" w:cs="Times New Roman"/>
        </w:rPr>
        <w:t xml:space="preserve">, 2006). </w:t>
      </w:r>
      <w:commentRangeStart w:id="41"/>
      <w:r>
        <w:rPr>
          <w:rFonts w:ascii="Times New Roman" w:hAnsi="Times New Roman" w:cs="Times New Roman"/>
        </w:rPr>
        <w:t xml:space="preserve">It was found that </w:t>
      </w:r>
      <w:r>
        <w:rPr>
          <w:rFonts w:ascii="Times New Roman" w:hAnsi="Times New Roman" w:cs="Times New Roman"/>
          <w:i/>
          <w:iCs/>
        </w:rPr>
        <w:t>A</w:t>
      </w:r>
      <w:r>
        <w:rPr>
          <w:rFonts w:ascii="Times New Roman" w:hAnsi="Times New Roman" w:cs="Times New Roman"/>
        </w:rPr>
        <w:t xml:space="preserve">. </w:t>
      </w:r>
      <w:proofErr w:type="spellStart"/>
      <w:r>
        <w:rPr>
          <w:rFonts w:ascii="Times New Roman" w:hAnsi="Times New Roman" w:cs="Times New Roman"/>
          <w:i/>
          <w:iCs/>
        </w:rPr>
        <w:t>solani</w:t>
      </w:r>
      <w:proofErr w:type="spellEnd"/>
      <w:r>
        <w:rPr>
          <w:rFonts w:ascii="Times New Roman" w:hAnsi="Times New Roman" w:cs="Times New Roman"/>
          <w:i/>
          <w:iCs/>
        </w:rPr>
        <w:t xml:space="preserve"> </w:t>
      </w:r>
      <w:r>
        <w:rPr>
          <w:rFonts w:ascii="Times New Roman" w:hAnsi="Times New Roman" w:cs="Times New Roman"/>
        </w:rPr>
        <w:t xml:space="preserve">caused significant reductions in total soluble protein levels in infected leaves of tomato plants as compared to uninfected controls </w:t>
      </w:r>
      <w:commentRangeEnd w:id="41"/>
      <w:r w:rsidR="006F0721">
        <w:rPr>
          <w:rStyle w:val="CommentReference"/>
        </w:rPr>
        <w:commentReference w:id="41"/>
      </w:r>
      <w:r>
        <w:rPr>
          <w:rFonts w:ascii="Times New Roman" w:hAnsi="Times New Roman" w:cs="Times New Roman"/>
        </w:rPr>
        <w:t xml:space="preserve">(Mohamed </w:t>
      </w:r>
      <w:r>
        <w:rPr>
          <w:rFonts w:ascii="Times New Roman" w:hAnsi="Times New Roman" w:cs="Times New Roman"/>
          <w:i/>
          <w:iCs/>
        </w:rPr>
        <w:t>et al</w:t>
      </w:r>
      <w:r>
        <w:rPr>
          <w:rFonts w:ascii="Times New Roman" w:hAnsi="Times New Roman" w:cs="Times New Roman"/>
        </w:rPr>
        <w:t xml:space="preserve">., 2017). The significant decrease in protein content as a result of the disease is likely due to some interactions related to a highly sensitive response and increased soluble protein. This was case at the second stage of growth (40 days after inoculation with </w:t>
      </w:r>
      <w:r>
        <w:rPr>
          <w:rFonts w:ascii="Times New Roman" w:hAnsi="Times New Roman" w:cs="Times New Roman"/>
          <w:i/>
          <w:iCs/>
        </w:rPr>
        <w:t xml:space="preserve">A. </w:t>
      </w:r>
      <w:proofErr w:type="spellStart"/>
      <w:r>
        <w:rPr>
          <w:rFonts w:ascii="Times New Roman" w:hAnsi="Times New Roman" w:cs="Times New Roman"/>
          <w:i/>
          <w:iCs/>
        </w:rPr>
        <w:t>solani</w:t>
      </w:r>
      <w:proofErr w:type="spellEnd"/>
      <w:r>
        <w:rPr>
          <w:rFonts w:ascii="Times New Roman" w:hAnsi="Times New Roman" w:cs="Times New Roman"/>
        </w:rPr>
        <w:t xml:space="preserve">). Several studies have been devoted to illustrating the numerous metabolic changes associated with a highly sensitive response, such as the local defensive reaction of a </w:t>
      </w:r>
      <w:r>
        <w:rPr>
          <w:rFonts w:ascii="Times New Roman" w:hAnsi="Times New Roman" w:cs="Times New Roman"/>
        </w:rPr>
        <w:lastRenderedPageBreak/>
        <w:t xml:space="preserve">pathogen resistant plant. In a highly sensitive response, many enzymes are activated, known as proteins (PR). The continuous accumulations of newly induced proteins may help in the localization of fungal infection; the reverse is not true. (Walter </w:t>
      </w:r>
      <w:r>
        <w:rPr>
          <w:rFonts w:ascii="Times New Roman" w:hAnsi="Times New Roman" w:cs="Times New Roman"/>
          <w:i/>
          <w:iCs/>
        </w:rPr>
        <w:t>et al.</w:t>
      </w:r>
      <w:r>
        <w:rPr>
          <w:rFonts w:ascii="Times New Roman" w:hAnsi="Times New Roman" w:cs="Times New Roman"/>
        </w:rPr>
        <w:t>, 2007).</w:t>
      </w:r>
      <w:r>
        <w:t xml:space="preserve"> </w:t>
      </w:r>
      <w:r>
        <w:rPr>
          <w:rFonts w:ascii="Times New Roman" w:hAnsi="Times New Roman" w:cs="Times New Roman"/>
        </w:rPr>
        <w:t xml:space="preserve">A significant increase in phenol content of brinjal plants due to </w:t>
      </w:r>
      <w:r>
        <w:rPr>
          <w:rFonts w:ascii="Times New Roman" w:hAnsi="Times New Roman" w:cs="Times New Roman"/>
          <w:i/>
        </w:rPr>
        <w:t xml:space="preserve">Alternaria </w:t>
      </w:r>
      <w:proofErr w:type="spellStart"/>
      <w:r>
        <w:rPr>
          <w:rFonts w:ascii="Times New Roman" w:hAnsi="Times New Roman" w:cs="Times New Roman"/>
          <w:i/>
        </w:rPr>
        <w:t>alternata</w:t>
      </w:r>
      <w:proofErr w:type="spellEnd"/>
      <w:r>
        <w:rPr>
          <w:rFonts w:ascii="Times New Roman" w:hAnsi="Times New Roman" w:cs="Times New Roman"/>
          <w:i/>
        </w:rPr>
        <w:t xml:space="preserve"> </w:t>
      </w:r>
      <w:r>
        <w:rPr>
          <w:rFonts w:ascii="Times New Roman" w:hAnsi="Times New Roman" w:cs="Times New Roman"/>
        </w:rPr>
        <w:t>infection</w:t>
      </w:r>
      <w:r>
        <w:rPr>
          <w:rFonts w:ascii="Times New Roman" w:hAnsi="Times New Roman" w:cs="Times New Roman"/>
          <w:i/>
        </w:rPr>
        <w:t xml:space="preserve"> </w:t>
      </w:r>
      <w:r>
        <w:rPr>
          <w:rFonts w:ascii="Times New Roman" w:hAnsi="Times New Roman" w:cs="Times New Roman"/>
        </w:rPr>
        <w:t xml:space="preserve">as compared to healthy plants. Maximum phenol content (4.82 mg/100g) was found in healthy samples of resistant genotypes </w:t>
      </w:r>
      <w:r>
        <w:rPr>
          <w:rFonts w:ascii="Times New Roman" w:hAnsi="Times New Roman" w:cs="Times New Roman"/>
          <w:i/>
          <w:spacing w:val="-3"/>
        </w:rPr>
        <w:t>viz.</w:t>
      </w:r>
      <w:r>
        <w:rPr>
          <w:rFonts w:ascii="Times New Roman" w:hAnsi="Times New Roman" w:cs="Times New Roman"/>
          <w:spacing w:val="-3"/>
        </w:rPr>
        <w:t xml:space="preserve">, </w:t>
      </w:r>
      <w:proofErr w:type="spellStart"/>
      <w:r>
        <w:rPr>
          <w:rFonts w:ascii="Times New Roman" w:hAnsi="Times New Roman" w:cs="Times New Roman"/>
        </w:rPr>
        <w:t>Uttra</w:t>
      </w:r>
      <w:proofErr w:type="spellEnd"/>
      <w:r>
        <w:rPr>
          <w:rFonts w:ascii="Times New Roman" w:hAnsi="Times New Roman" w:cs="Times New Roman"/>
        </w:rPr>
        <w:t xml:space="preserve"> and minimum is </w:t>
      </w:r>
      <w:r>
        <w:rPr>
          <w:rFonts w:ascii="Times New Roman" w:hAnsi="Times New Roman" w:cs="Times New Roman"/>
          <w:spacing w:val="-4"/>
        </w:rPr>
        <w:t xml:space="preserve">recorded </w:t>
      </w:r>
      <w:r>
        <w:rPr>
          <w:rFonts w:ascii="Times New Roman" w:hAnsi="Times New Roman" w:cs="Times New Roman"/>
        </w:rPr>
        <w:t xml:space="preserve">in highly susceptible </w:t>
      </w:r>
      <w:r>
        <w:rPr>
          <w:rFonts w:ascii="Times New Roman" w:hAnsi="Times New Roman" w:cs="Times New Roman"/>
          <w:spacing w:val="-4"/>
        </w:rPr>
        <w:t xml:space="preserve">genotype </w:t>
      </w:r>
      <w:r>
        <w:rPr>
          <w:rFonts w:ascii="Times New Roman" w:hAnsi="Times New Roman" w:cs="Times New Roman"/>
        </w:rPr>
        <w:t xml:space="preserve">BR-112 (2.10 mg/100g). Sixty days mean indicates maximum phenol (7.77 mg/100g) was recorded in </w:t>
      </w:r>
      <w:proofErr w:type="spellStart"/>
      <w:r>
        <w:rPr>
          <w:rFonts w:ascii="Times New Roman" w:hAnsi="Times New Roman" w:cs="Times New Roman"/>
        </w:rPr>
        <w:t>Uttra</w:t>
      </w:r>
      <w:proofErr w:type="spellEnd"/>
      <w:r>
        <w:rPr>
          <w:rFonts w:ascii="Times New Roman" w:hAnsi="Times New Roman" w:cs="Times New Roman"/>
        </w:rPr>
        <w:t xml:space="preserve"> genotypes, followed by Pant </w:t>
      </w:r>
      <w:proofErr w:type="spellStart"/>
      <w:r>
        <w:rPr>
          <w:rFonts w:ascii="Times New Roman" w:hAnsi="Times New Roman" w:cs="Times New Roman"/>
        </w:rPr>
        <w:t>rituraj</w:t>
      </w:r>
      <w:proofErr w:type="spellEnd"/>
      <w:r>
        <w:rPr>
          <w:rFonts w:ascii="Times New Roman" w:hAnsi="Times New Roman" w:cs="Times New Roman"/>
        </w:rPr>
        <w:t xml:space="preserve"> (6.02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upkar</w:t>
      </w:r>
      <w:proofErr w:type="spellEnd"/>
      <w:r>
        <w:rPr>
          <w:rFonts w:ascii="Times New Roman" w:hAnsi="Times New Roman" w:cs="Times New Roman"/>
        </w:rPr>
        <w:t xml:space="preserve"> (5.26 mg/100g) and (4.46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shymala</w:t>
      </w:r>
      <w:proofErr w:type="spellEnd"/>
      <w:r>
        <w:rPr>
          <w:rFonts w:ascii="Times New Roman" w:hAnsi="Times New Roman" w:cs="Times New Roman"/>
        </w:rPr>
        <w:t xml:space="preserve">, while minimum phenol content was recoded (3.94mg/100g) BR-112 genotype. Similar findings were also recorded by Singh, 2004 also observed reduction in total phenols in </w:t>
      </w:r>
      <w:r>
        <w:rPr>
          <w:rFonts w:ascii="Times New Roman" w:hAnsi="Times New Roman" w:cs="Times New Roman"/>
          <w:i/>
          <w:iCs/>
        </w:rPr>
        <w:t xml:space="preserve">Brassica </w:t>
      </w:r>
      <w:r>
        <w:rPr>
          <w:rFonts w:ascii="Times New Roman" w:hAnsi="Times New Roman" w:cs="Times New Roman"/>
        </w:rPr>
        <w:t xml:space="preserve">spp. due to </w:t>
      </w:r>
      <w:r>
        <w:rPr>
          <w:rFonts w:ascii="Times New Roman" w:hAnsi="Times New Roman" w:cs="Times New Roman"/>
          <w:i/>
          <w:iCs/>
        </w:rPr>
        <w:t xml:space="preserve">Peronospora parasitica </w:t>
      </w:r>
      <w:r>
        <w:rPr>
          <w:rFonts w:ascii="Times New Roman" w:hAnsi="Times New Roman" w:cs="Times New Roman"/>
        </w:rPr>
        <w:t xml:space="preserve">infection. Jayapal and Mahadevan 1968; Kushwaha and Narain 2005 and Bhardwaj </w:t>
      </w:r>
      <w:r>
        <w:rPr>
          <w:rFonts w:ascii="Times New Roman" w:hAnsi="Times New Roman" w:cs="Times New Roman"/>
          <w:i/>
          <w:iCs/>
        </w:rPr>
        <w:t>et al.</w:t>
      </w:r>
      <w:r>
        <w:rPr>
          <w:rFonts w:ascii="Times New Roman" w:hAnsi="Times New Roman" w:cs="Times New Roman"/>
        </w:rPr>
        <w:t xml:space="preserve"> 1985. The phenol was higher in resistant genotype (EC-399301 and PHR-1) as compared to susceptible genotype (Varuna and Kranti). The </w:t>
      </w:r>
      <w:proofErr w:type="gramStart"/>
      <w:r>
        <w:rPr>
          <w:rFonts w:ascii="Times New Roman" w:hAnsi="Times New Roman" w:cs="Times New Roman"/>
        </w:rPr>
        <w:t>disease free</w:t>
      </w:r>
      <w:proofErr w:type="gramEnd"/>
      <w:r>
        <w:rPr>
          <w:rFonts w:ascii="Times New Roman" w:hAnsi="Times New Roman" w:cs="Times New Roman"/>
        </w:rPr>
        <w:t xml:space="preserve"> plants have higher total phenol as compared to diseased plants. The phenol content was observed to increase with age in all the plants. Present finding of higher content of phenol in resistant genotypes are in line with those of Dhawan </w:t>
      </w:r>
      <w:r>
        <w:rPr>
          <w:rFonts w:ascii="Times New Roman" w:hAnsi="Times New Roman" w:cs="Times New Roman"/>
          <w:i/>
        </w:rPr>
        <w:t>et al.</w:t>
      </w:r>
      <w:r>
        <w:rPr>
          <w:rFonts w:ascii="Times New Roman" w:hAnsi="Times New Roman" w:cs="Times New Roman"/>
        </w:rPr>
        <w:t xml:space="preserve"> (1981), Singh, (2000), Yadav </w:t>
      </w:r>
      <w:r>
        <w:rPr>
          <w:rFonts w:ascii="Times New Roman" w:hAnsi="Times New Roman" w:cs="Times New Roman"/>
          <w:i/>
        </w:rPr>
        <w:t xml:space="preserve">et.al. </w:t>
      </w:r>
      <w:r>
        <w:rPr>
          <w:rFonts w:ascii="Times New Roman" w:hAnsi="Times New Roman" w:cs="Times New Roman"/>
        </w:rPr>
        <w:t xml:space="preserve">(1996), Bibi </w:t>
      </w:r>
      <w:r>
        <w:rPr>
          <w:rFonts w:ascii="Times New Roman" w:hAnsi="Times New Roman" w:cs="Times New Roman"/>
          <w:i/>
        </w:rPr>
        <w:t>et.al.</w:t>
      </w:r>
      <w:r>
        <w:rPr>
          <w:rFonts w:ascii="Times New Roman" w:hAnsi="Times New Roman" w:cs="Times New Roman"/>
        </w:rPr>
        <w:t xml:space="preserve"> (1993). Atwal </w:t>
      </w:r>
      <w:r>
        <w:rPr>
          <w:rFonts w:ascii="Times New Roman" w:hAnsi="Times New Roman" w:cs="Times New Roman"/>
          <w:i/>
        </w:rPr>
        <w:t>et. al</w:t>
      </w:r>
      <w:r>
        <w:rPr>
          <w:rFonts w:ascii="Times New Roman" w:hAnsi="Times New Roman" w:cs="Times New Roman"/>
        </w:rPr>
        <w:t>. (2004) has reported increased in phenol content with increase in infection and with plant age.</w:t>
      </w:r>
    </w:p>
    <w:p w14:paraId="43BE2550" w14:textId="77777777" w:rsidR="00AF06C8" w:rsidRDefault="001F0481">
      <w:pPr>
        <w:rPr>
          <w:rFonts w:ascii="Times New Roman" w:hAnsi="Times New Roman" w:cs="Times New Roman"/>
          <w:b/>
          <w:sz w:val="24"/>
        </w:rPr>
      </w:pPr>
      <w:r>
        <w:rPr>
          <w:rFonts w:ascii="Times New Roman" w:hAnsi="Times New Roman" w:cs="Times New Roman"/>
          <w:b/>
          <w:sz w:val="24"/>
        </w:rPr>
        <w:t>Conclusion:</w:t>
      </w:r>
    </w:p>
    <w:p w14:paraId="70AA33D1" w14:textId="77777777" w:rsidR="00AF06C8" w:rsidRDefault="001F0481">
      <w:pPr>
        <w:spacing w:after="0" w:line="360" w:lineRule="auto"/>
        <w:ind w:firstLine="720"/>
        <w:jc w:val="both"/>
        <w:rPr>
          <w:rFonts w:ascii="Times New Roman" w:hAnsi="Times New Roman"/>
          <w:sz w:val="24"/>
          <w:szCs w:val="24"/>
        </w:rPr>
      </w:pPr>
      <w:commentRangeStart w:id="42"/>
      <w:r>
        <w:rPr>
          <w:rFonts w:ascii="Times New Roman" w:hAnsi="Times New Roman" w:cs="Times New Roman"/>
          <w:sz w:val="24"/>
          <w:szCs w:val="20"/>
        </w:rPr>
        <w:t xml:space="preserve">This research presented that the restricted investigation of amino acid, phenols, reducing and non-reducing sugar for infection of Alternaria. </w:t>
      </w:r>
      <w:r>
        <w:rPr>
          <w:rFonts w:ascii="Times New Roman" w:hAnsi="Times New Roman"/>
          <w:sz w:val="24"/>
          <w:szCs w:val="24"/>
        </w:rPr>
        <w:t xml:space="preserve">Maximum phenol (8.33 mg/g) was recorded in resistant genotype </w:t>
      </w:r>
      <w:proofErr w:type="spellStart"/>
      <w:r>
        <w:rPr>
          <w:rFonts w:ascii="Times New Roman" w:hAnsi="Times New Roman"/>
          <w:sz w:val="24"/>
          <w:szCs w:val="24"/>
        </w:rPr>
        <w:t>Uttra</w:t>
      </w:r>
      <w:proofErr w:type="spellEnd"/>
      <w:r>
        <w:rPr>
          <w:rFonts w:ascii="Times New Roman" w:hAnsi="Times New Roman"/>
          <w:sz w:val="24"/>
          <w:szCs w:val="24"/>
        </w:rPr>
        <w:t>, while minimum phenol content was recoded (4.72 mg/g), BR-112 genotype.</w:t>
      </w:r>
      <w:commentRangeEnd w:id="42"/>
      <w:r w:rsidR="006F0721">
        <w:rPr>
          <w:rStyle w:val="CommentReference"/>
        </w:rPr>
        <w:commentReference w:id="42"/>
      </w:r>
    </w:p>
    <w:p w14:paraId="4C92DD40" w14:textId="77777777" w:rsidR="00AF06C8" w:rsidRDefault="001F0481">
      <w:pPr>
        <w:pStyle w:val="Default"/>
        <w:rPr>
          <w:b/>
          <w:bCs/>
          <w:szCs w:val="20"/>
        </w:rPr>
      </w:pPr>
      <w:r>
        <w:rPr>
          <w:b/>
          <w:bCs/>
          <w:szCs w:val="20"/>
        </w:rPr>
        <w:t>Recommendation:</w:t>
      </w:r>
    </w:p>
    <w:p w14:paraId="393EB1B3" w14:textId="77777777" w:rsidR="00AF06C8" w:rsidRDefault="001F0481">
      <w:pPr>
        <w:pStyle w:val="Default"/>
        <w:rPr>
          <w:sz w:val="16"/>
          <w:szCs w:val="20"/>
        </w:rPr>
      </w:pPr>
      <w:r>
        <w:rPr>
          <w:b/>
          <w:bCs/>
          <w:szCs w:val="20"/>
        </w:rPr>
        <w:t xml:space="preserve"> </w:t>
      </w:r>
    </w:p>
    <w:p w14:paraId="3533E483" w14:textId="77777777" w:rsidR="00AF06C8" w:rsidRDefault="001F04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Molecular evaluation of the </w:t>
      </w:r>
      <w:r>
        <w:rPr>
          <w:rFonts w:ascii="Times New Roman" w:hAnsi="Times New Roman" w:cs="Times New Roman"/>
          <w:i/>
          <w:iCs/>
          <w:sz w:val="24"/>
          <w:szCs w:val="24"/>
          <w:lang w:eastAsia="en-IN" w:bidi="hi-IN"/>
        </w:rPr>
        <w:t>Alternaria</w:t>
      </w:r>
      <w:r>
        <w:rPr>
          <w:rFonts w:ascii="Times New Roman" w:hAnsi="Times New Roman" w:cs="Times New Roman"/>
          <w:iCs/>
          <w:sz w:val="24"/>
          <w:szCs w:val="24"/>
          <w:lang w:eastAsia="en-IN" w:bidi="hi-IN"/>
        </w:rPr>
        <w:t xml:space="preserve"> </w:t>
      </w:r>
      <w:proofErr w:type="spellStart"/>
      <w:r>
        <w:rPr>
          <w:rFonts w:ascii="Times New Roman" w:hAnsi="Times New Roman" w:cs="Times New Roman"/>
          <w:i/>
          <w:iCs/>
          <w:sz w:val="24"/>
          <w:szCs w:val="24"/>
          <w:lang w:eastAsia="en-IN" w:bidi="hi-IN"/>
        </w:rPr>
        <w:t>alternata</w:t>
      </w:r>
      <w:proofErr w:type="spellEnd"/>
      <w:r>
        <w:rPr>
          <w:rFonts w:ascii="Times New Roman" w:hAnsi="Times New Roman" w:cs="Times New Roman"/>
          <w:iCs/>
          <w:sz w:val="24"/>
          <w:szCs w:val="24"/>
          <w:lang w:eastAsia="en-IN" w:bidi="hi-IN"/>
        </w:rPr>
        <w:t xml:space="preserve"> </w:t>
      </w:r>
      <w:r>
        <w:rPr>
          <w:rFonts w:ascii="Times New Roman" w:hAnsi="Times New Roman" w:cs="Times New Roman"/>
          <w:sz w:val="24"/>
          <w:szCs w:val="24"/>
        </w:rPr>
        <w:t xml:space="preserve">will help to identify the variation within the causal agent of the disease. It also enhances the selection and recognition of suitable resistant brinjal genotypes. Resistant source may be useful in the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identification of high yielding and disease resistance genotypes.</w:t>
      </w:r>
    </w:p>
    <w:p w14:paraId="0992A6CD" w14:textId="77777777" w:rsidR="001F3127" w:rsidRDefault="001F3127">
      <w:pPr>
        <w:rPr>
          <w:rFonts w:ascii="Times New Roman" w:hAnsi="Times New Roman" w:cs="Times New Roman"/>
          <w:b/>
        </w:rPr>
      </w:pPr>
    </w:p>
    <w:p w14:paraId="296B4326" w14:textId="74CD7872" w:rsidR="00AF06C8" w:rsidRDefault="00DD32A8">
      <w:pPr>
        <w:rPr>
          <w:rFonts w:ascii="Times New Roman" w:hAnsi="Times New Roman" w:cs="Times New Roman"/>
          <w:b/>
        </w:rPr>
      </w:pPr>
      <w:proofErr w:type="gramStart"/>
      <w:r>
        <w:rPr>
          <w:rFonts w:ascii="Times New Roman" w:hAnsi="Times New Roman" w:cs="Times New Roman"/>
          <w:b/>
        </w:rPr>
        <w:t>References :</w:t>
      </w:r>
      <w:commentRangeStart w:id="43"/>
      <w:proofErr w:type="gramEnd"/>
    </w:p>
    <w:p w14:paraId="12FBDADB" w14:textId="77777777" w:rsidR="00AF06C8" w:rsidRDefault="001F0481">
      <w:pPr>
        <w:pStyle w:val="Default"/>
        <w:spacing w:after="240" w:line="360" w:lineRule="auto"/>
        <w:ind w:left="450" w:hanging="450"/>
        <w:jc w:val="both"/>
        <w:rPr>
          <w:sz w:val="22"/>
          <w:szCs w:val="22"/>
        </w:rPr>
      </w:pPr>
      <w:r>
        <w:rPr>
          <w:sz w:val="22"/>
          <w:szCs w:val="22"/>
        </w:rPr>
        <w:t xml:space="preserve">Atwal, A.; Ramandeep, K.; Munshi, S.K. and Mann, A.P.S. (2004). Biochemical changes in relation to Alternaria leaf blight in Indian mustard. </w:t>
      </w:r>
      <w:r>
        <w:rPr>
          <w:i/>
          <w:sz w:val="22"/>
          <w:szCs w:val="22"/>
        </w:rPr>
        <w:t>Pl. Dis. Res</w:t>
      </w:r>
      <w:r>
        <w:rPr>
          <w:sz w:val="22"/>
          <w:szCs w:val="22"/>
        </w:rPr>
        <w:t xml:space="preserve">. </w:t>
      </w:r>
      <w:r>
        <w:rPr>
          <w:b/>
          <w:sz w:val="22"/>
          <w:szCs w:val="22"/>
        </w:rPr>
        <w:t>19</w:t>
      </w:r>
      <w:r>
        <w:rPr>
          <w:sz w:val="22"/>
          <w:szCs w:val="22"/>
        </w:rPr>
        <w:t>: 57-59.</w:t>
      </w:r>
      <w:commentRangeEnd w:id="43"/>
      <w:r w:rsidR="00C841B0">
        <w:rPr>
          <w:rStyle w:val="CommentReference"/>
          <w:rFonts w:ascii="Calibri" w:hAnsi="Calibri" w:cs="Mangal"/>
          <w:color w:val="auto"/>
        </w:rPr>
        <w:commentReference w:id="43"/>
      </w:r>
    </w:p>
    <w:p w14:paraId="6307B310"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Bibi, N. Sattar, A. and Chaudhary, M.A. (1993). Variation of phenolic compounds in rapeseed varieties grown at Peshawar. </w:t>
      </w:r>
      <w:r>
        <w:rPr>
          <w:rFonts w:ascii="Times New Roman" w:hAnsi="Times New Roman" w:cs="Times New Roman"/>
          <w:i/>
        </w:rPr>
        <w:t>Pakistan J. Sci. Ind. Res</w:t>
      </w:r>
      <w:r>
        <w:rPr>
          <w:rFonts w:ascii="Times New Roman" w:hAnsi="Times New Roman" w:cs="Times New Roman"/>
        </w:rPr>
        <w:t xml:space="preserve">. </w:t>
      </w:r>
      <w:r>
        <w:rPr>
          <w:rFonts w:ascii="Times New Roman" w:hAnsi="Times New Roman" w:cs="Times New Roman"/>
          <w:b/>
        </w:rPr>
        <w:t>36</w:t>
      </w:r>
      <w:r>
        <w:rPr>
          <w:rFonts w:ascii="Times New Roman" w:hAnsi="Times New Roman" w:cs="Times New Roman"/>
        </w:rPr>
        <w:t>(5): 195-198.</w:t>
      </w:r>
    </w:p>
    <w:p w14:paraId="396D4CC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Bhardwaj, S.S., Sharma, S.L. and Thakur, P.D. </w:t>
      </w:r>
      <w:r>
        <w:rPr>
          <w:rFonts w:ascii="Times New Roman" w:hAnsi="Times New Roman" w:cs="Times New Roman"/>
        </w:rPr>
        <w:t xml:space="preserve">(1985). Changes in phenolic and sugar content in bell pepper infected with </w:t>
      </w:r>
      <w:r>
        <w:rPr>
          <w:rFonts w:ascii="Times New Roman" w:hAnsi="Times New Roman" w:cs="Times New Roman"/>
          <w:i/>
          <w:iCs/>
        </w:rPr>
        <w:t xml:space="preserve">Phytophthora </w:t>
      </w:r>
      <w:proofErr w:type="spellStart"/>
      <w:r>
        <w:rPr>
          <w:rFonts w:ascii="Times New Roman" w:hAnsi="Times New Roman" w:cs="Times New Roman"/>
          <w:i/>
          <w:iCs/>
        </w:rPr>
        <w:t>nicotianae</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nicotianae</w:t>
      </w:r>
      <w:proofErr w:type="spellEnd"/>
      <w:r>
        <w:rPr>
          <w:rFonts w:ascii="Times New Roman" w:hAnsi="Times New Roman" w:cs="Times New Roman"/>
        </w:rPr>
        <w:t xml:space="preserve">.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i/>
          <w:iCs/>
        </w:rPr>
        <w:t xml:space="preserve">., </w:t>
      </w:r>
      <w:r>
        <w:rPr>
          <w:rFonts w:ascii="Times New Roman" w:hAnsi="Times New Roman" w:cs="Times New Roman"/>
          <w:bCs/>
        </w:rPr>
        <w:t>38</w:t>
      </w:r>
      <w:r>
        <w:rPr>
          <w:rFonts w:ascii="Times New Roman" w:hAnsi="Times New Roman" w:cs="Times New Roman"/>
        </w:rPr>
        <w:t>:759.</w:t>
      </w:r>
    </w:p>
    <w:p w14:paraId="3127FBBC"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Choudhary, B. and Gaur, K. (2009). The development and regulations of </w:t>
      </w:r>
      <w:proofErr w:type="spellStart"/>
      <w:r>
        <w:rPr>
          <w:rFonts w:ascii="Times New Roman" w:hAnsi="Times New Roman" w:cs="Times New Roman"/>
          <w:i/>
        </w:rPr>
        <w:t>Bt</w:t>
      </w:r>
      <w:proofErr w:type="spellEnd"/>
      <w:r>
        <w:rPr>
          <w:rFonts w:ascii="Times New Roman" w:hAnsi="Times New Roman" w:cs="Times New Roman"/>
        </w:rPr>
        <w:t xml:space="preserve"> brinjal in India. ISAAA Brief, 38.pp. 12.</w:t>
      </w:r>
    </w:p>
    <w:p w14:paraId="65F13C07" w14:textId="77777777" w:rsidR="00AF06C8" w:rsidRDefault="001F0481">
      <w:pPr>
        <w:pStyle w:val="Default"/>
        <w:spacing w:after="240" w:line="360" w:lineRule="auto"/>
        <w:ind w:left="630" w:hanging="630"/>
        <w:jc w:val="both"/>
        <w:rPr>
          <w:sz w:val="22"/>
        </w:rPr>
      </w:pPr>
      <w:r>
        <w:rPr>
          <w:bCs/>
          <w:sz w:val="22"/>
        </w:rPr>
        <w:t xml:space="preserve">Chahal, A.S. </w:t>
      </w:r>
      <w:r>
        <w:rPr>
          <w:sz w:val="22"/>
        </w:rPr>
        <w:t xml:space="preserve">(1986). Relationship of </w:t>
      </w:r>
      <w:r>
        <w:rPr>
          <w:i/>
          <w:iCs/>
          <w:sz w:val="22"/>
        </w:rPr>
        <w:t xml:space="preserve">Alternaria </w:t>
      </w:r>
      <w:r>
        <w:rPr>
          <w:sz w:val="22"/>
        </w:rPr>
        <w:t xml:space="preserve">blight with the age of brown sarson. </w:t>
      </w:r>
      <w:r>
        <w:rPr>
          <w:i/>
          <w:iCs/>
          <w:sz w:val="22"/>
        </w:rPr>
        <w:t>Indian J. Mycol. Pl. Pathol</w:t>
      </w:r>
      <w:r>
        <w:rPr>
          <w:sz w:val="22"/>
        </w:rPr>
        <w:t>.,</w:t>
      </w:r>
      <w:r>
        <w:rPr>
          <w:bCs/>
          <w:sz w:val="22"/>
        </w:rPr>
        <w:t>16</w:t>
      </w:r>
      <w:r>
        <w:rPr>
          <w:sz w:val="22"/>
        </w:rPr>
        <w:t>(2):166-167.</w:t>
      </w:r>
    </w:p>
    <w:p w14:paraId="7298C57C" w14:textId="77777777" w:rsidR="00AF06C8" w:rsidRDefault="001F0481">
      <w:pPr>
        <w:pStyle w:val="Default"/>
        <w:spacing w:after="240" w:line="360" w:lineRule="auto"/>
        <w:ind w:left="630" w:hanging="630"/>
        <w:jc w:val="both"/>
        <w:rPr>
          <w:sz w:val="22"/>
          <w:szCs w:val="22"/>
        </w:rPr>
      </w:pPr>
      <w:r>
        <w:rPr>
          <w:sz w:val="22"/>
          <w:szCs w:val="22"/>
        </w:rPr>
        <w:t xml:space="preserve">Chaudhury, B. and Kalda, T. S. (1968). Brinjal: a vegetable of the masses. </w:t>
      </w:r>
      <w:r>
        <w:rPr>
          <w:i/>
          <w:iCs/>
          <w:sz w:val="22"/>
          <w:szCs w:val="22"/>
        </w:rPr>
        <w:t xml:space="preserve">Indian Horti., </w:t>
      </w:r>
      <w:r>
        <w:rPr>
          <w:iCs/>
          <w:sz w:val="22"/>
          <w:szCs w:val="22"/>
        </w:rPr>
        <w:t>12: 21</w:t>
      </w:r>
      <w:r>
        <w:rPr>
          <w:sz w:val="22"/>
          <w:szCs w:val="22"/>
        </w:rPr>
        <w:t>-</w:t>
      </w:r>
      <w:r>
        <w:rPr>
          <w:iCs/>
          <w:sz w:val="22"/>
          <w:szCs w:val="22"/>
        </w:rPr>
        <w:t>22</w:t>
      </w:r>
      <w:r>
        <w:rPr>
          <w:i/>
          <w:iCs/>
          <w:sz w:val="22"/>
          <w:szCs w:val="22"/>
        </w:rPr>
        <w:t>.</w:t>
      </w:r>
    </w:p>
    <w:p w14:paraId="69DD2A4B" w14:textId="77777777" w:rsidR="00AF06C8" w:rsidRDefault="001F0481">
      <w:pPr>
        <w:pStyle w:val="Default"/>
        <w:spacing w:after="240" w:line="360" w:lineRule="auto"/>
        <w:ind w:left="630" w:hanging="630"/>
        <w:jc w:val="both"/>
        <w:rPr>
          <w:sz w:val="22"/>
          <w:szCs w:val="22"/>
        </w:rPr>
      </w:pPr>
      <w:r>
        <w:rPr>
          <w:bCs/>
          <w:sz w:val="22"/>
          <w:szCs w:val="22"/>
        </w:rPr>
        <w:t xml:space="preserve">Chandramohan, D.; Mahadevan, A. and Rangaswami, G. </w:t>
      </w:r>
      <w:r>
        <w:rPr>
          <w:sz w:val="22"/>
          <w:szCs w:val="22"/>
        </w:rPr>
        <w:t xml:space="preserve">(1967). Studies on some biochemical properties of leaf tissues of </w:t>
      </w:r>
      <w:r>
        <w:rPr>
          <w:i/>
          <w:sz w:val="22"/>
          <w:szCs w:val="22"/>
        </w:rPr>
        <w:t>Amaranthus tricolor</w:t>
      </w:r>
      <w:r>
        <w:rPr>
          <w:sz w:val="22"/>
          <w:szCs w:val="22"/>
        </w:rPr>
        <w:t xml:space="preserve"> as related to resistance to infection by Alternaria sp. </w:t>
      </w:r>
      <w:r>
        <w:rPr>
          <w:i/>
          <w:iCs/>
          <w:sz w:val="22"/>
          <w:szCs w:val="22"/>
        </w:rPr>
        <w:t xml:space="preserve">Indian J. </w:t>
      </w:r>
      <w:proofErr w:type="spellStart"/>
      <w:r>
        <w:rPr>
          <w:i/>
          <w:iCs/>
          <w:sz w:val="22"/>
          <w:szCs w:val="22"/>
        </w:rPr>
        <w:t>Phytopathol</w:t>
      </w:r>
      <w:proofErr w:type="spellEnd"/>
      <w:r>
        <w:rPr>
          <w:i/>
          <w:iCs/>
          <w:sz w:val="22"/>
          <w:szCs w:val="22"/>
        </w:rPr>
        <w:t>.</w:t>
      </w:r>
      <w:r>
        <w:rPr>
          <w:sz w:val="22"/>
          <w:szCs w:val="22"/>
        </w:rPr>
        <w:t xml:space="preserve">, </w:t>
      </w:r>
      <w:r>
        <w:rPr>
          <w:b/>
          <w:bCs/>
          <w:sz w:val="22"/>
          <w:szCs w:val="22"/>
        </w:rPr>
        <w:t>20</w:t>
      </w:r>
      <w:r>
        <w:rPr>
          <w:sz w:val="22"/>
          <w:szCs w:val="22"/>
        </w:rPr>
        <w:t>:109-113.</w:t>
      </w:r>
    </w:p>
    <w:p w14:paraId="64AC700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Dhawan, K.; </w:t>
      </w:r>
      <w:proofErr w:type="spellStart"/>
      <w:proofErr w:type="gramStart"/>
      <w:r>
        <w:rPr>
          <w:rFonts w:ascii="Times New Roman" w:hAnsi="Times New Roman" w:cs="Times New Roman"/>
        </w:rPr>
        <w:t>Yadava,T.P</w:t>
      </w:r>
      <w:proofErr w:type="spellEnd"/>
      <w:r>
        <w:rPr>
          <w:rFonts w:ascii="Times New Roman" w:hAnsi="Times New Roman" w:cs="Times New Roman"/>
        </w:rPr>
        <w:t>.</w:t>
      </w:r>
      <w:proofErr w:type="gramEnd"/>
      <w:r>
        <w:rPr>
          <w:rFonts w:ascii="Times New Roman" w:hAnsi="Times New Roman" w:cs="Times New Roman"/>
        </w:rPr>
        <w:t xml:space="preserve">; Kaushik, C.D.  </w:t>
      </w:r>
      <w:proofErr w:type="gramStart"/>
      <w:r>
        <w:rPr>
          <w:rFonts w:ascii="Times New Roman" w:hAnsi="Times New Roman" w:cs="Times New Roman"/>
        </w:rPr>
        <w:t>and  Thakral</w:t>
      </w:r>
      <w:proofErr w:type="gramEnd"/>
      <w:r>
        <w:rPr>
          <w:rFonts w:ascii="Times New Roman" w:hAnsi="Times New Roman" w:cs="Times New Roman"/>
        </w:rPr>
        <w:t xml:space="preserve">. S.K. (1981). Changes in phenolic compounds and sugars in relation to white rust of Indian mustard. </w:t>
      </w:r>
      <w:r>
        <w:rPr>
          <w:rFonts w:ascii="Times New Roman" w:hAnsi="Times New Roman" w:cs="Times New Roman"/>
          <w:i/>
        </w:rPr>
        <w:t>Crop Improv</w:t>
      </w:r>
      <w:r>
        <w:rPr>
          <w:rFonts w:ascii="Times New Roman" w:hAnsi="Times New Roman" w:cs="Times New Roman"/>
        </w:rPr>
        <w:t>.,8: 142-144.</w:t>
      </w:r>
    </w:p>
    <w:p w14:paraId="46520B17"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Dubois, M.; Gilles, K. A.; Hamilton, </w:t>
      </w:r>
      <w:proofErr w:type="gramStart"/>
      <w:r>
        <w:rPr>
          <w:rFonts w:ascii="Times New Roman" w:hAnsi="Times New Roman" w:cs="Times New Roman"/>
        </w:rPr>
        <w:t>J .</w:t>
      </w:r>
      <w:proofErr w:type="gramEnd"/>
      <w:r>
        <w:rPr>
          <w:rFonts w:ascii="Times New Roman" w:hAnsi="Times New Roman" w:cs="Times New Roman"/>
        </w:rPr>
        <w:t xml:space="preserve">K.; Pt </w:t>
      </w:r>
      <w:proofErr w:type="spellStart"/>
      <w:r>
        <w:rPr>
          <w:rFonts w:ascii="Times New Roman" w:hAnsi="Times New Roman" w:cs="Times New Roman"/>
        </w:rPr>
        <w:t>Rebers</w:t>
      </w:r>
      <w:proofErr w:type="spellEnd"/>
      <w:r>
        <w:rPr>
          <w:rFonts w:ascii="Times New Roman" w:hAnsi="Times New Roman" w:cs="Times New Roman"/>
        </w:rPr>
        <w:t xml:space="preserve"> and Smith, F. (1956). Colorimetric method for determination of sugars and related substances. </w:t>
      </w:r>
      <w:r>
        <w:rPr>
          <w:rFonts w:ascii="Times New Roman" w:hAnsi="Times New Roman" w:cs="Times New Roman"/>
          <w:i/>
        </w:rPr>
        <w:t>Anal. Chem</w:t>
      </w:r>
      <w:r>
        <w:rPr>
          <w:rFonts w:ascii="Times New Roman" w:hAnsi="Times New Roman" w:cs="Times New Roman"/>
        </w:rPr>
        <w:t>. 28:350-356.</w:t>
      </w:r>
    </w:p>
    <w:p w14:paraId="54804FB0"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Gupta, S.K.; Gupta, P.P.; Kaushik, C.D. and Saharan, G.S. </w:t>
      </w:r>
      <w:r>
        <w:rPr>
          <w:rFonts w:ascii="Times New Roman" w:hAnsi="Times New Roman" w:cs="Times New Roman"/>
        </w:rPr>
        <w:t>(1987). Biochemical changes in leaf surface extract and total chlorophyll content of sesame in relation to Alternaria leaf spot disease (</w:t>
      </w:r>
      <w:r>
        <w:rPr>
          <w:rFonts w:ascii="Times New Roman" w:hAnsi="Times New Roman" w:cs="Times New Roman"/>
          <w:i/>
          <w:iCs/>
        </w:rPr>
        <w:t xml:space="preserve">Alternaria </w:t>
      </w:r>
      <w:proofErr w:type="spellStart"/>
      <w:r>
        <w:rPr>
          <w:rFonts w:ascii="Times New Roman" w:hAnsi="Times New Roman" w:cs="Times New Roman"/>
          <w:i/>
          <w:iCs/>
        </w:rPr>
        <w:t>sesami</w:t>
      </w:r>
      <w:proofErr w:type="spellEnd"/>
      <w:r>
        <w:rPr>
          <w:rFonts w:ascii="Times New Roman" w:hAnsi="Times New Roman" w:cs="Times New Roman"/>
        </w:rPr>
        <w:t xml:space="preserve">). </w:t>
      </w:r>
      <w:r>
        <w:rPr>
          <w:rFonts w:ascii="Times New Roman" w:hAnsi="Times New Roman" w:cs="Times New Roman"/>
          <w:i/>
          <w:iCs/>
        </w:rPr>
        <w:t xml:space="preserve">Indian 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17</w:t>
      </w:r>
      <w:r>
        <w:rPr>
          <w:rFonts w:ascii="Times New Roman" w:hAnsi="Times New Roman" w:cs="Times New Roman"/>
        </w:rPr>
        <w:t>(2):165-168.</w:t>
      </w:r>
    </w:p>
    <w:p w14:paraId="597E071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Joshi, U.N.; Gupta, P.P.; Gupta, V. and Kumar, S. </w:t>
      </w:r>
      <w:r>
        <w:rPr>
          <w:rFonts w:ascii="Times New Roman" w:hAnsi="Times New Roman" w:cs="Times New Roman"/>
        </w:rPr>
        <w:t xml:space="preserve">(2004). Biochemical factors in cluster bean that impart </w:t>
      </w:r>
      <w:r>
        <w:rPr>
          <w:rFonts w:ascii="Times New Roman" w:hAnsi="Times New Roman" w:cs="Times New Roman"/>
          <w:i/>
          <w:iCs/>
        </w:rPr>
        <w:t xml:space="preserve">Alternaria </w:t>
      </w:r>
      <w:r>
        <w:rPr>
          <w:rFonts w:ascii="Times New Roman" w:hAnsi="Times New Roman" w:cs="Times New Roman"/>
        </w:rPr>
        <w:t xml:space="preserve">blight resistance. </w:t>
      </w:r>
      <w:proofErr w:type="spellStart"/>
      <w:r>
        <w:rPr>
          <w:rFonts w:ascii="Times New Roman" w:hAnsi="Times New Roman" w:cs="Times New Roman"/>
          <w:i/>
          <w:iCs/>
        </w:rPr>
        <w:t>J.Mycol</w:t>
      </w:r>
      <w:proofErr w:type="spellEnd"/>
      <w:r>
        <w:rPr>
          <w:rFonts w:ascii="Times New Roman" w:hAnsi="Times New Roman" w:cs="Times New Roman"/>
          <w:i/>
          <w:iCs/>
        </w:rPr>
        <w:t xml:space="preserve">.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 xml:space="preserve"> (2</w:t>
      </w:r>
      <w:proofErr w:type="gramStart"/>
      <w:r>
        <w:rPr>
          <w:rFonts w:ascii="Times New Roman" w:hAnsi="Times New Roman" w:cs="Times New Roman"/>
        </w:rPr>
        <w:t>) :</w:t>
      </w:r>
      <w:proofErr w:type="gramEnd"/>
      <w:r>
        <w:rPr>
          <w:rFonts w:ascii="Times New Roman" w:hAnsi="Times New Roman" w:cs="Times New Roman"/>
        </w:rPr>
        <w:t xml:space="preserve"> 581-583</w:t>
      </w:r>
    </w:p>
    <w:p w14:paraId="52E25292"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Jayapal, R. and Mahadevan, A. </w:t>
      </w:r>
      <w:r>
        <w:rPr>
          <w:rFonts w:ascii="Times New Roman" w:hAnsi="Times New Roman" w:cs="Times New Roman"/>
        </w:rPr>
        <w:t xml:space="preserve">(1968). Biochemical changes in banana leaves in response to leaf spot pathogens.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rPr>
        <w:t xml:space="preserve">., </w:t>
      </w:r>
      <w:r>
        <w:rPr>
          <w:rFonts w:ascii="Times New Roman" w:hAnsi="Times New Roman" w:cs="Times New Roman"/>
          <w:bCs/>
        </w:rPr>
        <w:t>21</w:t>
      </w:r>
      <w:r>
        <w:rPr>
          <w:rFonts w:ascii="Times New Roman" w:hAnsi="Times New Roman" w:cs="Times New Roman"/>
        </w:rPr>
        <w:t>:43-47.</w:t>
      </w:r>
    </w:p>
    <w:p w14:paraId="4F868FBE" w14:textId="77777777" w:rsidR="00AF06C8" w:rsidRDefault="001F0481">
      <w:pPr>
        <w:autoSpaceDE w:val="0"/>
        <w:autoSpaceDN w:val="0"/>
        <w:adjustRightInd w:val="0"/>
        <w:spacing w:line="360" w:lineRule="auto"/>
        <w:ind w:left="540" w:hanging="540"/>
        <w:jc w:val="both"/>
        <w:rPr>
          <w:rFonts w:ascii="Times New Roman" w:hAnsi="Times New Roman" w:cs="Times New Roman"/>
          <w:color w:val="000000"/>
        </w:rPr>
      </w:pPr>
      <w:r>
        <w:rPr>
          <w:rFonts w:ascii="Times New Roman" w:hAnsi="Times New Roman" w:cs="Times New Roman"/>
          <w:bCs/>
        </w:rPr>
        <w:t xml:space="preserve">Kushwaha, K.P.S. and Narain, U. </w:t>
      </w:r>
      <w:r>
        <w:rPr>
          <w:rFonts w:ascii="Times New Roman" w:hAnsi="Times New Roman" w:cs="Times New Roman"/>
        </w:rPr>
        <w:t xml:space="preserve">(2005). Biochemical changes in </w:t>
      </w:r>
      <w:proofErr w:type="spellStart"/>
      <w:r>
        <w:rPr>
          <w:rFonts w:ascii="Times New Roman" w:hAnsi="Times New Roman" w:cs="Times New Roman"/>
        </w:rPr>
        <w:t>pigeonpea</w:t>
      </w:r>
      <w:proofErr w:type="spellEnd"/>
      <w:r>
        <w:rPr>
          <w:rFonts w:ascii="Times New Roman" w:hAnsi="Times New Roman" w:cs="Times New Roman"/>
        </w:rPr>
        <w:t xml:space="preserve"> leaves infected with </w:t>
      </w:r>
      <w:r>
        <w:rPr>
          <w:rFonts w:ascii="Times New Roman" w:hAnsi="Times New Roman" w:cs="Times New Roman"/>
          <w:i/>
          <w:iCs/>
        </w:rPr>
        <w:t xml:space="preserve">Alternaria </w:t>
      </w:r>
      <w:proofErr w:type="spellStart"/>
      <w:r>
        <w:rPr>
          <w:rFonts w:ascii="Times New Roman" w:hAnsi="Times New Roman" w:cs="Times New Roman"/>
          <w:i/>
          <w:iCs/>
        </w:rPr>
        <w:t>tenuissima</w:t>
      </w:r>
      <w:proofErr w:type="spellEnd"/>
      <w:r>
        <w:rPr>
          <w:rFonts w:ascii="Times New Roman" w:hAnsi="Times New Roman" w:cs="Times New Roman"/>
        </w:rPr>
        <w:t xml:space="preserve">. </w:t>
      </w:r>
      <w:r>
        <w:rPr>
          <w:rFonts w:ascii="Times New Roman" w:hAnsi="Times New Roman" w:cs="Times New Roman"/>
          <w:i/>
          <w:iCs/>
        </w:rPr>
        <w:t>Ann. Pl. Protec. Sci</w:t>
      </w:r>
      <w:r>
        <w:rPr>
          <w:rFonts w:ascii="Times New Roman" w:hAnsi="Times New Roman" w:cs="Times New Roman"/>
        </w:rPr>
        <w:t xml:space="preserve">., </w:t>
      </w:r>
      <w:r>
        <w:rPr>
          <w:rFonts w:ascii="Times New Roman" w:hAnsi="Times New Roman" w:cs="Times New Roman"/>
          <w:bCs/>
        </w:rPr>
        <w:t>13</w:t>
      </w:r>
      <w:r>
        <w:rPr>
          <w:rFonts w:ascii="Times New Roman" w:hAnsi="Times New Roman" w:cs="Times New Roman"/>
        </w:rPr>
        <w:t>(2):415-417.</w:t>
      </w:r>
    </w:p>
    <w:p w14:paraId="78454AA8"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color w:val="000000"/>
        </w:rPr>
        <w:lastRenderedPageBreak/>
        <w:t xml:space="preserve">Mohamed Attia, S.; Abd El-Monem, M.A.; Sharaf, P.P. </w:t>
      </w:r>
      <w:proofErr w:type="gramStart"/>
      <w:r>
        <w:rPr>
          <w:rFonts w:ascii="Times New Roman" w:hAnsi="Times New Roman" w:cs="Times New Roman"/>
          <w:color w:val="000000"/>
        </w:rPr>
        <w:t>and  Ahmed</w:t>
      </w:r>
      <w:proofErr w:type="gramEnd"/>
      <w:r>
        <w:rPr>
          <w:rFonts w:ascii="Times New Roman" w:hAnsi="Times New Roman" w:cs="Times New Roman"/>
          <w:color w:val="000000"/>
        </w:rPr>
        <w:t xml:space="preserve"> Zayed, S. (2017). Protective Action of Some Bio-Pesticides against Early Blight Disease Caused </w:t>
      </w:r>
      <w:proofErr w:type="gramStart"/>
      <w:r>
        <w:rPr>
          <w:rFonts w:ascii="Times New Roman" w:hAnsi="Times New Roman" w:cs="Times New Roman"/>
          <w:color w:val="000000"/>
        </w:rPr>
        <w:t>By</w:t>
      </w:r>
      <w:proofErr w:type="gramEnd"/>
      <w:r>
        <w:rPr>
          <w:rFonts w:ascii="Times New Roman" w:hAnsi="Times New Roman" w:cs="Times New Roman"/>
          <w:color w:val="000000"/>
        </w:rPr>
        <w:t xml:space="preserve"> </w:t>
      </w:r>
      <w:r>
        <w:rPr>
          <w:rFonts w:ascii="Times New Roman" w:hAnsi="Times New Roman" w:cs="Times New Roman"/>
          <w:i/>
          <w:iCs/>
          <w:color w:val="000000"/>
        </w:rPr>
        <w:t>Alternaria Solani</w:t>
      </w:r>
      <w:r>
        <w:rPr>
          <w:rFonts w:ascii="Times New Roman" w:hAnsi="Times New Roman" w:cs="Times New Roman"/>
          <w:color w:val="000000"/>
        </w:rPr>
        <w:t xml:space="preserve">. In Tomato Plant. </w:t>
      </w:r>
      <w:r>
        <w:rPr>
          <w:rFonts w:ascii="Times New Roman" w:hAnsi="Times New Roman" w:cs="Times New Roman"/>
          <w:i/>
          <w:color w:val="000000"/>
        </w:rPr>
        <w:t>Intern. J. Innovative Sci., Eng.  Tech</w:t>
      </w:r>
      <w:r>
        <w:rPr>
          <w:rFonts w:ascii="Times New Roman" w:hAnsi="Times New Roman" w:cs="Times New Roman"/>
          <w:color w:val="000000"/>
        </w:rPr>
        <w:t xml:space="preserve">. 2017; 4 (11):67-94. </w:t>
      </w:r>
    </w:p>
    <w:p w14:paraId="154DF8AF" w14:textId="77777777" w:rsidR="00AF06C8" w:rsidRDefault="001F0481">
      <w:pPr>
        <w:tabs>
          <w:tab w:val="left" w:pos="10170"/>
        </w:tabs>
        <w:spacing w:before="240" w:line="360" w:lineRule="auto"/>
        <w:ind w:left="540" w:right="30" w:hanging="540"/>
        <w:jc w:val="both"/>
        <w:rPr>
          <w:rFonts w:ascii="Times New Roman" w:hAnsi="Times New Roman" w:cs="Times New Roman"/>
        </w:rPr>
      </w:pPr>
      <w:proofErr w:type="spellStart"/>
      <w:r>
        <w:rPr>
          <w:rFonts w:ascii="Times New Roman" w:hAnsi="Times New Roman" w:cs="Times New Roman"/>
        </w:rPr>
        <w:t>Mathpal</w:t>
      </w:r>
      <w:proofErr w:type="spellEnd"/>
      <w:r>
        <w:rPr>
          <w:rFonts w:ascii="Times New Roman" w:hAnsi="Times New Roman" w:cs="Times New Roman"/>
        </w:rPr>
        <w:t xml:space="preserve">, P. Punetha, H. Tewari, A.K. and Agrawal, S. (2011) Biochemical defense mechanism in rapeseed- mustard genotypes against Alternaria blight disease. </w:t>
      </w:r>
      <w:r>
        <w:rPr>
          <w:rFonts w:ascii="Times New Roman" w:hAnsi="Times New Roman" w:cs="Times New Roman"/>
          <w:i/>
        </w:rPr>
        <w:t>J. Oilseed Brassica</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(2): 87-94.</w:t>
      </w:r>
    </w:p>
    <w:p w14:paraId="6B4A098B"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color w:val="000000"/>
        </w:rPr>
        <w:t>Singh, B.K.; Singh, S.; Singh, B.K. and Yadav, S.M. (2014</w:t>
      </w:r>
      <w:proofErr w:type="gramStart"/>
      <w:r>
        <w:rPr>
          <w:rFonts w:ascii="Times New Roman" w:hAnsi="Times New Roman" w:cs="Times New Roman"/>
          <w:color w:val="000000"/>
        </w:rPr>
        <w:t>).Some</w:t>
      </w:r>
      <w:proofErr w:type="gramEnd"/>
      <w:r>
        <w:rPr>
          <w:rFonts w:ascii="Times New Roman" w:hAnsi="Times New Roman" w:cs="Times New Roman"/>
          <w:color w:val="000000"/>
        </w:rPr>
        <w:t xml:space="preserve"> important plant pathogenic disease of brinjal and their management.</w:t>
      </w:r>
      <w:r>
        <w:rPr>
          <w:rFonts w:ascii="Times New Roman" w:hAnsi="Times New Roman" w:cs="Times New Roman"/>
          <w:i/>
          <w:iCs/>
          <w:color w:val="000000"/>
        </w:rPr>
        <w:t xml:space="preserve">Pl. </w:t>
      </w:r>
      <w:proofErr w:type="spellStart"/>
      <w:r>
        <w:rPr>
          <w:rFonts w:ascii="Times New Roman" w:hAnsi="Times New Roman" w:cs="Times New Roman"/>
          <w:i/>
          <w:iCs/>
          <w:color w:val="000000"/>
        </w:rPr>
        <w:t>Pathol</w:t>
      </w:r>
      <w:proofErr w:type="spellEnd"/>
      <w:r>
        <w:rPr>
          <w:rFonts w:ascii="Times New Roman" w:hAnsi="Times New Roman" w:cs="Times New Roman"/>
          <w:i/>
          <w:iCs/>
          <w:color w:val="000000"/>
        </w:rPr>
        <w:t>. J.,</w:t>
      </w:r>
      <w:r>
        <w:rPr>
          <w:rFonts w:ascii="Times New Roman" w:hAnsi="Times New Roman" w:cs="Times New Roman"/>
          <w:b/>
          <w:bCs/>
          <w:color w:val="000000"/>
        </w:rPr>
        <w:t>13</w:t>
      </w:r>
      <w:r>
        <w:rPr>
          <w:rFonts w:ascii="Times New Roman" w:hAnsi="Times New Roman" w:cs="Times New Roman"/>
          <w:color w:val="000000"/>
        </w:rPr>
        <w:t xml:space="preserve">(3):208-213. </w:t>
      </w:r>
    </w:p>
    <w:p w14:paraId="125D0DA3" w14:textId="77777777" w:rsidR="00AF06C8" w:rsidRDefault="001F0481">
      <w:pPr>
        <w:tabs>
          <w:tab w:val="left" w:pos="10170"/>
        </w:tabs>
        <w:spacing w:before="240" w:line="360" w:lineRule="auto"/>
        <w:ind w:left="540" w:right="30" w:hanging="540"/>
        <w:jc w:val="both"/>
        <w:rPr>
          <w:rFonts w:ascii="Times New Roman" w:hAnsi="Times New Roman" w:cs="Times New Roman"/>
        </w:rPr>
      </w:pPr>
      <w:r>
        <w:rPr>
          <w:rFonts w:ascii="Times New Roman" w:hAnsi="Times New Roman" w:cs="Times New Roman"/>
          <w:bCs/>
        </w:rPr>
        <w:t>Saharan, M.S. and Saharan, G.S.</w:t>
      </w:r>
      <w:r>
        <w:rPr>
          <w:rFonts w:ascii="Times New Roman" w:hAnsi="Times New Roman" w:cs="Times New Roman"/>
          <w:b/>
          <w:bCs/>
        </w:rPr>
        <w:t xml:space="preserve"> </w:t>
      </w:r>
      <w:r>
        <w:rPr>
          <w:rFonts w:ascii="Times New Roman" w:hAnsi="Times New Roman" w:cs="Times New Roman"/>
        </w:rPr>
        <w:t>(2004</w:t>
      </w:r>
      <w:proofErr w:type="gramStart"/>
      <w:r>
        <w:rPr>
          <w:rFonts w:ascii="Times New Roman" w:hAnsi="Times New Roman" w:cs="Times New Roman"/>
        </w:rPr>
        <w:t>).Changes</w:t>
      </w:r>
      <w:proofErr w:type="gramEnd"/>
      <w:r>
        <w:rPr>
          <w:rFonts w:ascii="Times New Roman" w:hAnsi="Times New Roman" w:cs="Times New Roman"/>
        </w:rPr>
        <w:t xml:space="preserve"> in chlorophyll and non-structural carbohydrates in cluster bean leaves infected with </w:t>
      </w:r>
      <w:r>
        <w:rPr>
          <w:rFonts w:ascii="Times New Roman" w:hAnsi="Times New Roman" w:cs="Times New Roman"/>
          <w:i/>
          <w:iCs/>
        </w:rPr>
        <w:t xml:space="preserve">Alternaria </w:t>
      </w:r>
      <w:proofErr w:type="spellStart"/>
      <w:r>
        <w:rPr>
          <w:rFonts w:ascii="Times New Roman" w:hAnsi="Times New Roman" w:cs="Times New Roman"/>
          <w:i/>
          <w:iCs/>
        </w:rPr>
        <w:t>cucumerina</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cyamopsidis</w:t>
      </w:r>
      <w:proofErr w:type="spellEnd"/>
      <w:r>
        <w:rPr>
          <w:rFonts w:ascii="Times New Roman" w:hAnsi="Times New Roman" w:cs="Times New Roman"/>
        </w:rPr>
        <w:t xml:space="preserve">. </w:t>
      </w:r>
      <w:r>
        <w:rPr>
          <w:rFonts w:ascii="Times New Roman" w:hAnsi="Times New Roman" w:cs="Times New Roman"/>
          <w:i/>
          <w:iCs/>
        </w:rPr>
        <w:t xml:space="preserve">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(2):500-504.</w:t>
      </w:r>
    </w:p>
    <w:p w14:paraId="16E0EEA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t xml:space="preserve">Singh, H.V. (2000). Biochemical basis of resistance in </w:t>
      </w:r>
      <w:r>
        <w:rPr>
          <w:rFonts w:ascii="Times New Roman" w:hAnsi="Times New Roman" w:cs="Times New Roman"/>
          <w:i/>
        </w:rPr>
        <w:t xml:space="preserve">Brassica </w:t>
      </w:r>
      <w:r>
        <w:rPr>
          <w:rFonts w:ascii="Times New Roman" w:hAnsi="Times New Roman" w:cs="Times New Roman"/>
        </w:rPr>
        <w:t xml:space="preserve">species against downy mildew and white rust of mustard. </w:t>
      </w:r>
      <w:r>
        <w:rPr>
          <w:rFonts w:ascii="Times New Roman" w:hAnsi="Times New Roman" w:cs="Times New Roman"/>
          <w:i/>
        </w:rPr>
        <w:t>Pl. Dis. Res</w:t>
      </w:r>
      <w:r>
        <w:rPr>
          <w:rFonts w:ascii="Times New Roman" w:hAnsi="Times New Roman" w:cs="Times New Roman"/>
        </w:rPr>
        <w:t xml:space="preserve">. </w:t>
      </w:r>
      <w:r>
        <w:rPr>
          <w:rFonts w:ascii="Times New Roman" w:hAnsi="Times New Roman" w:cs="Times New Roman"/>
          <w:b/>
        </w:rPr>
        <w:t>15</w:t>
      </w:r>
      <w:r>
        <w:rPr>
          <w:rFonts w:ascii="Times New Roman" w:hAnsi="Times New Roman" w:cs="Times New Roman"/>
        </w:rPr>
        <w:t>(1): 75.77.</w:t>
      </w:r>
    </w:p>
    <w:p w14:paraId="4E3108C3" w14:textId="77777777" w:rsidR="00AF06C8" w:rsidRDefault="001F0481">
      <w:pPr>
        <w:autoSpaceDE w:val="0"/>
        <w:autoSpaceDN w:val="0"/>
        <w:adjustRightInd w:val="0"/>
        <w:spacing w:line="360" w:lineRule="auto"/>
        <w:ind w:left="450" w:hanging="450"/>
        <w:jc w:val="both"/>
        <w:rPr>
          <w:rFonts w:ascii="Times New Roman" w:hAnsi="Times New Roman" w:cs="Times New Roman"/>
        </w:rPr>
      </w:pPr>
      <w:r>
        <w:rPr>
          <w:rFonts w:ascii="Times New Roman" w:hAnsi="Times New Roman" w:cs="Times New Roman"/>
          <w:bCs/>
        </w:rPr>
        <w:t xml:space="preserve">Saharan, G.S., Joshi, U.N. and Saharan, M.S. </w:t>
      </w:r>
      <w:r>
        <w:rPr>
          <w:rFonts w:ascii="Times New Roman" w:hAnsi="Times New Roman" w:cs="Times New Roman"/>
        </w:rPr>
        <w:t xml:space="preserve">(2000). Phenolic compounds and oxidative enzymes in healthy and </w:t>
      </w:r>
      <w:r>
        <w:rPr>
          <w:rFonts w:ascii="Times New Roman" w:hAnsi="Times New Roman" w:cs="Times New Roman"/>
          <w:i/>
          <w:iCs/>
        </w:rPr>
        <w:t xml:space="preserve">Alternaria </w:t>
      </w:r>
      <w:r>
        <w:rPr>
          <w:rFonts w:ascii="Times New Roman" w:hAnsi="Times New Roman" w:cs="Times New Roman"/>
        </w:rPr>
        <w:t xml:space="preserve">blight infected leaves of </w:t>
      </w:r>
      <w:proofErr w:type="spellStart"/>
      <w:r>
        <w:rPr>
          <w:rFonts w:ascii="Times New Roman" w:hAnsi="Times New Roman" w:cs="Times New Roman"/>
        </w:rPr>
        <w:t>clusterbean</w:t>
      </w:r>
      <w:proofErr w:type="spellEnd"/>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Phytopathologica</w:t>
      </w:r>
      <w:proofErr w:type="spellEnd"/>
      <w:r>
        <w:rPr>
          <w:rFonts w:ascii="Times New Roman" w:hAnsi="Times New Roman" w:cs="Times New Roman"/>
          <w:i/>
          <w:iCs/>
        </w:rPr>
        <w:t xml:space="preserve"> et </w:t>
      </w:r>
      <w:proofErr w:type="spellStart"/>
      <w:r>
        <w:rPr>
          <w:rFonts w:ascii="Times New Roman" w:hAnsi="Times New Roman" w:cs="Times New Roman"/>
          <w:i/>
          <w:iCs/>
        </w:rPr>
        <w:t>entomologica</w:t>
      </w:r>
      <w:proofErr w:type="spellEnd"/>
      <w:r>
        <w:rPr>
          <w:rFonts w:ascii="Times New Roman" w:hAnsi="Times New Roman" w:cs="Times New Roman"/>
          <w:i/>
          <w:iCs/>
        </w:rPr>
        <w:t xml:space="preserve"> </w:t>
      </w:r>
      <w:proofErr w:type="spellStart"/>
      <w:r>
        <w:rPr>
          <w:rFonts w:ascii="Times New Roman" w:hAnsi="Times New Roman" w:cs="Times New Roman"/>
          <w:i/>
          <w:iCs/>
        </w:rPr>
        <w:t>Hungarica</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(4):299-306.</w:t>
      </w:r>
    </w:p>
    <w:p w14:paraId="4A29F73B" w14:textId="77777777" w:rsidR="00AF06C8" w:rsidRDefault="001F0481">
      <w:pPr>
        <w:autoSpaceDE w:val="0"/>
        <w:autoSpaceDN w:val="0"/>
        <w:adjustRightInd w:val="0"/>
        <w:spacing w:before="120" w:after="120" w:line="360" w:lineRule="auto"/>
        <w:ind w:left="450" w:hanging="450"/>
        <w:jc w:val="both"/>
        <w:rPr>
          <w:rFonts w:ascii="Times New Roman" w:hAnsi="Times New Roman" w:cs="Times New Roman"/>
        </w:rPr>
      </w:pPr>
      <w:proofErr w:type="spellStart"/>
      <w:r>
        <w:rPr>
          <w:rFonts w:ascii="Times New Roman" w:hAnsi="Times New Roman" w:cs="Times New Roman"/>
          <w:bCs/>
        </w:rPr>
        <w:t>Sugha</w:t>
      </w:r>
      <w:proofErr w:type="spellEnd"/>
      <w:r>
        <w:rPr>
          <w:rFonts w:ascii="Times New Roman" w:hAnsi="Times New Roman" w:cs="Times New Roman"/>
          <w:bCs/>
        </w:rPr>
        <w:t xml:space="preserve">, S.K., </w:t>
      </w:r>
      <w:proofErr w:type="spellStart"/>
      <w:r>
        <w:rPr>
          <w:rFonts w:ascii="Times New Roman" w:hAnsi="Times New Roman" w:cs="Times New Roman"/>
          <w:bCs/>
        </w:rPr>
        <w:t>Develash</w:t>
      </w:r>
      <w:proofErr w:type="spellEnd"/>
      <w:r>
        <w:rPr>
          <w:rFonts w:ascii="Times New Roman" w:hAnsi="Times New Roman" w:cs="Times New Roman"/>
          <w:bCs/>
        </w:rPr>
        <w:t xml:space="preserve">, R.K. and Singh, B.M. </w:t>
      </w:r>
      <w:r>
        <w:rPr>
          <w:rFonts w:ascii="Times New Roman" w:hAnsi="Times New Roman" w:cs="Times New Roman"/>
        </w:rPr>
        <w:t xml:space="preserve">(1992). Biochemical alterations induced by </w:t>
      </w:r>
      <w:r>
        <w:rPr>
          <w:rFonts w:ascii="Times New Roman" w:hAnsi="Times New Roman" w:cs="Times New Roman"/>
          <w:i/>
          <w:iCs/>
        </w:rPr>
        <w:t xml:space="preserve">Peronospora destructor </w:t>
      </w:r>
      <w:r>
        <w:rPr>
          <w:rFonts w:ascii="Times New Roman" w:hAnsi="Times New Roman" w:cs="Times New Roman"/>
        </w:rPr>
        <w:t xml:space="preserve">in onion leaves. </w:t>
      </w:r>
      <w:r>
        <w:rPr>
          <w:rFonts w:ascii="Times New Roman" w:hAnsi="Times New Roman" w:cs="Times New Roman"/>
          <w:i/>
          <w:iCs/>
        </w:rPr>
        <w:t xml:space="preserve">Indian J.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bCs/>
        </w:rPr>
        <w:t>45</w:t>
      </w:r>
      <w:r>
        <w:rPr>
          <w:rFonts w:ascii="Times New Roman" w:hAnsi="Times New Roman" w:cs="Times New Roman"/>
        </w:rPr>
        <w:t>:464-466.</w:t>
      </w:r>
    </w:p>
    <w:p w14:paraId="46FE7CD5" w14:textId="77777777" w:rsidR="00AF06C8" w:rsidRDefault="001F0481">
      <w:pPr>
        <w:pStyle w:val="Style7"/>
        <w:tabs>
          <w:tab w:val="left" w:pos="450"/>
          <w:tab w:val="left" w:pos="2268"/>
        </w:tabs>
        <w:spacing w:before="120" w:after="120" w:line="360" w:lineRule="auto"/>
        <w:ind w:left="630" w:hanging="630"/>
        <w:jc w:val="both"/>
        <w:outlineLvl w:val="0"/>
        <w:rPr>
          <w:rFonts w:ascii="Times New Roman" w:hAnsi="Times New Roman" w:cs="Times New Roman"/>
          <w:sz w:val="22"/>
          <w:szCs w:val="22"/>
        </w:rPr>
      </w:pPr>
      <w:r>
        <w:rPr>
          <w:rFonts w:ascii="Times New Roman" w:eastAsia="Calibri" w:hAnsi="Times New Roman" w:cs="Times New Roman"/>
          <w:color w:val="000000"/>
          <w:sz w:val="22"/>
          <w:szCs w:val="22"/>
        </w:rPr>
        <w:t xml:space="preserve">Taiwo, M.A. and Akinjogunla, O.J. (2006). Cowpea viruses: Quantitative and Qualitative effects of single and mixed viral infections. </w:t>
      </w:r>
      <w:proofErr w:type="spellStart"/>
      <w:r>
        <w:rPr>
          <w:rFonts w:ascii="Times New Roman" w:eastAsia="Calibri" w:hAnsi="Times New Roman" w:cs="Times New Roman"/>
          <w:i/>
          <w:color w:val="000000"/>
          <w:sz w:val="22"/>
          <w:szCs w:val="22"/>
        </w:rPr>
        <w:t>African.J</w:t>
      </w:r>
      <w:proofErr w:type="spellEnd"/>
      <w:r>
        <w:rPr>
          <w:rFonts w:ascii="Times New Roman" w:eastAsia="Calibri" w:hAnsi="Times New Roman" w:cs="Times New Roman"/>
          <w:i/>
          <w:color w:val="000000"/>
          <w:sz w:val="22"/>
          <w:szCs w:val="22"/>
        </w:rPr>
        <w:t xml:space="preserve"> Biotech</w:t>
      </w:r>
      <w:r>
        <w:rPr>
          <w:rFonts w:ascii="Times New Roman" w:eastAsia="Calibri" w:hAnsi="Times New Roman" w:cs="Times New Roman"/>
          <w:color w:val="000000"/>
          <w:sz w:val="22"/>
          <w:szCs w:val="22"/>
        </w:rPr>
        <w:t xml:space="preserve">. 2006; 5:1749-1756. </w:t>
      </w:r>
    </w:p>
    <w:p w14:paraId="2C07CE86" w14:textId="77777777" w:rsidR="00AF06C8" w:rsidRDefault="001F0481">
      <w:pPr>
        <w:pStyle w:val="Default"/>
        <w:spacing w:after="240" w:line="360" w:lineRule="auto"/>
        <w:ind w:left="630" w:hanging="630"/>
        <w:jc w:val="both"/>
        <w:rPr>
          <w:sz w:val="22"/>
        </w:rPr>
      </w:pPr>
      <w:r>
        <w:rPr>
          <w:sz w:val="22"/>
        </w:rPr>
        <w:t xml:space="preserve">Walter. D.; Newton, A. and Lyon, G.D. (2007). Induced Resistance for Plant </w:t>
      </w:r>
      <w:proofErr w:type="spellStart"/>
      <w:r>
        <w:rPr>
          <w:sz w:val="22"/>
        </w:rPr>
        <w:t>Defence</w:t>
      </w:r>
      <w:proofErr w:type="spellEnd"/>
      <w:r>
        <w:rPr>
          <w:sz w:val="22"/>
        </w:rPr>
        <w:t xml:space="preserve">: A Sustainable Approach to Crop Protection. 1st. ed., Blackwell Publishing Ltd, Oxford, UK, 2007, 272 </w:t>
      </w:r>
    </w:p>
    <w:p w14:paraId="428AA7AC" w14:textId="77777777" w:rsidR="00AF06C8" w:rsidRDefault="001F0481">
      <w:pPr>
        <w:pStyle w:val="Default"/>
        <w:spacing w:after="240" w:line="360" w:lineRule="auto"/>
        <w:ind w:left="630" w:hanging="630"/>
        <w:jc w:val="both"/>
        <w:rPr>
          <w:sz w:val="22"/>
          <w:szCs w:val="22"/>
        </w:rPr>
      </w:pPr>
      <w:r>
        <w:rPr>
          <w:sz w:val="22"/>
          <w:szCs w:val="22"/>
        </w:rPr>
        <w:t>Yadav O.P. Yadav, T.P. Kumar, P. and Gupta, S.K. (1996). Inheritance of phenol and protein in relation to white rust (</w:t>
      </w:r>
      <w:proofErr w:type="spellStart"/>
      <w:r>
        <w:rPr>
          <w:i/>
          <w:sz w:val="22"/>
          <w:szCs w:val="22"/>
        </w:rPr>
        <w:t>Albugo</w:t>
      </w:r>
      <w:proofErr w:type="spellEnd"/>
      <w:r>
        <w:rPr>
          <w:i/>
          <w:sz w:val="22"/>
          <w:szCs w:val="22"/>
        </w:rPr>
        <w:t xml:space="preserve"> candida</w:t>
      </w:r>
      <w:r>
        <w:rPr>
          <w:sz w:val="22"/>
          <w:szCs w:val="22"/>
        </w:rPr>
        <w:t xml:space="preserve">) resistance in Indian mustard. </w:t>
      </w:r>
      <w:r>
        <w:rPr>
          <w:i/>
          <w:sz w:val="22"/>
          <w:szCs w:val="22"/>
        </w:rPr>
        <w:t>Indian J. Gen</w:t>
      </w:r>
      <w:r>
        <w:rPr>
          <w:sz w:val="22"/>
          <w:szCs w:val="22"/>
        </w:rPr>
        <w:t xml:space="preserve">. </w:t>
      </w:r>
      <w:r>
        <w:rPr>
          <w:b/>
          <w:sz w:val="22"/>
          <w:szCs w:val="22"/>
        </w:rPr>
        <w:t>56</w:t>
      </w:r>
      <w:r>
        <w:rPr>
          <w:sz w:val="22"/>
          <w:szCs w:val="22"/>
        </w:rPr>
        <w:t>(3): 256-261.</w:t>
      </w:r>
    </w:p>
    <w:p w14:paraId="5C4F45C7" w14:textId="77777777" w:rsidR="00AF06C8" w:rsidRDefault="00AF06C8">
      <w:pPr>
        <w:rPr>
          <w:rFonts w:ascii="Times New Roman" w:hAnsi="Times New Roman" w:cs="Times New Roman"/>
          <w:b/>
        </w:rPr>
      </w:pPr>
    </w:p>
    <w:sectPr w:rsidR="00AF06C8">
      <w:headerReference w:type="even" r:id="rId14"/>
      <w:headerReference w:type="default" r:id="rId15"/>
      <w:footerReference w:type="even" r:id="rId16"/>
      <w:footerReference w:type="default" r:id="rId17"/>
      <w:headerReference w:type="first" r:id="rId18"/>
      <w:footerReference w:type="first" r:id="rId19"/>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cio Pinto" w:date="2025-10-13T10:20:00Z" w:initials="MP">
    <w:p w14:paraId="66AA99E3" w14:textId="77777777" w:rsidR="00942E78" w:rsidRDefault="00942E78" w:rsidP="00942E78">
      <w:pPr>
        <w:pStyle w:val="CommentText"/>
      </w:pPr>
      <w:r>
        <w:rPr>
          <w:rStyle w:val="CommentReference"/>
        </w:rPr>
        <w:annotationRef/>
      </w:r>
      <w:r>
        <w:t>All information descript here, alread be informed in introducion in a duplicante text. In the abstract only essencial and fundamental informations.</w:t>
      </w:r>
    </w:p>
  </w:comment>
  <w:comment w:id="10" w:author="Marcio Pinto" w:date="2025-10-13T10:30:00Z" w:initials="MP">
    <w:p w14:paraId="3A2BE485" w14:textId="77777777" w:rsidR="00942E78" w:rsidRDefault="00942E78" w:rsidP="00942E78">
      <w:pPr>
        <w:pStyle w:val="CommentText"/>
      </w:pPr>
      <w:r>
        <w:rPr>
          <w:rStyle w:val="CommentReference"/>
        </w:rPr>
        <w:annotationRef/>
      </w:r>
      <w:r>
        <w:t>It is better use the therm eggplant as keyword.</w:t>
      </w:r>
    </w:p>
  </w:comment>
  <w:comment w:id="32" w:author="Marcio Pinto" w:date="2025-10-13T10:38:00Z" w:initials="MP">
    <w:p w14:paraId="159BB59F" w14:textId="1FA37EDB" w:rsidR="00516507" w:rsidRDefault="00516507" w:rsidP="00516507">
      <w:pPr>
        <w:pStyle w:val="CommentText"/>
      </w:pPr>
      <w:r>
        <w:rPr>
          <w:rStyle w:val="CommentReference"/>
        </w:rPr>
        <w:annotationRef/>
      </w:r>
      <w:r>
        <w:t xml:space="preserve">No bibliographic research was made about subject: "Metabolic Alteration caused by Pathogens". </w:t>
      </w:r>
      <w:r>
        <w:t xml:space="preserve">It is very </w:t>
      </w:r>
      <w:r>
        <w:t>serious</w:t>
      </w:r>
      <w:bookmarkStart w:id="34" w:name="_GoBack"/>
      <w:bookmarkEnd w:id="34"/>
      <w:r>
        <w:t>.</w:t>
      </w:r>
    </w:p>
  </w:comment>
  <w:comment w:id="36" w:author="Marcio Pinto" w:date="2025-10-13T10:43:00Z" w:initials="MP">
    <w:p w14:paraId="31D0E92C" w14:textId="77777777" w:rsidR="00941A72" w:rsidRDefault="00941A72" w:rsidP="00941A72">
      <w:pPr>
        <w:pStyle w:val="CommentText"/>
      </w:pPr>
      <w:r>
        <w:rPr>
          <w:rStyle w:val="CommentReference"/>
        </w:rPr>
        <w:annotationRef/>
      </w:r>
      <w:r>
        <w:t>Why was used so old protocol</w:t>
      </w:r>
    </w:p>
  </w:comment>
  <w:comment w:id="37" w:author="Marcio Pinto" w:date="2025-10-13T10:44:00Z" w:initials="MP">
    <w:p w14:paraId="2026ACE8" w14:textId="77777777" w:rsidR="00941A72" w:rsidRDefault="00941A72" w:rsidP="00941A72">
      <w:pPr>
        <w:pStyle w:val="CommentText"/>
      </w:pPr>
      <w:r>
        <w:rPr>
          <w:rStyle w:val="CommentReference"/>
        </w:rPr>
        <w:annotationRef/>
      </w:r>
      <w:r>
        <w:t>Expression of proteins?</w:t>
      </w:r>
    </w:p>
  </w:comment>
  <w:comment w:id="38" w:author="Marcio Pinto" w:date="2025-10-13T10:49:00Z" w:initials="MP">
    <w:p w14:paraId="38675FAD" w14:textId="77777777" w:rsidR="00AF0DF4" w:rsidRDefault="00941A72" w:rsidP="00AF0DF4">
      <w:pPr>
        <w:pStyle w:val="CommentText"/>
      </w:pPr>
      <w:r>
        <w:rPr>
          <w:rStyle w:val="CommentReference"/>
        </w:rPr>
        <w:annotationRef/>
      </w:r>
      <w:r w:rsidR="00AF0DF4">
        <w:t>These kind of data needs of statistical analysis. Nothing may be affirmed without it. The same  may be considered for all data shown  and compared in this manuscript</w:t>
      </w:r>
    </w:p>
  </w:comment>
  <w:comment w:id="39" w:author="Marcio Pinto" w:date="2025-10-13T11:07:00Z" w:initials="MP">
    <w:p w14:paraId="296B4AFD" w14:textId="77777777" w:rsidR="00AF0DF4" w:rsidRDefault="00AF0DF4" w:rsidP="00AF0DF4">
      <w:pPr>
        <w:pStyle w:val="CommentText"/>
      </w:pPr>
      <w:r>
        <w:rPr>
          <w:rStyle w:val="CommentReference"/>
        </w:rPr>
        <w:annotationRef/>
      </w:r>
      <w:r>
        <w:t>Very difficult to see the data informed. The control and test must be informed and compared in the same figure.</w:t>
      </w:r>
    </w:p>
  </w:comment>
  <w:comment w:id="41" w:author="Marcio Pinto" w:date="2025-10-13T11:25:00Z" w:initials="MP">
    <w:p w14:paraId="22DFE98D" w14:textId="77777777" w:rsidR="006F0721" w:rsidRDefault="006F0721" w:rsidP="006F0721">
      <w:pPr>
        <w:pStyle w:val="CommentText"/>
      </w:pPr>
      <w:r>
        <w:rPr>
          <w:rStyle w:val="CommentReference"/>
        </w:rPr>
        <w:annotationRef/>
      </w:r>
      <w:r>
        <w:t xml:space="preserve">Was soluble protein measured in this manuscript? It should not be listed.  </w:t>
      </w:r>
    </w:p>
  </w:comment>
  <w:comment w:id="42" w:author="Marcio Pinto" w:date="2025-10-13T11:29:00Z" w:initials="MP">
    <w:p w14:paraId="53ED5AA1" w14:textId="77777777" w:rsidR="006F0721" w:rsidRDefault="006F0721" w:rsidP="006F0721">
      <w:pPr>
        <w:pStyle w:val="CommentText"/>
      </w:pPr>
      <w:r>
        <w:rPr>
          <w:rStyle w:val="CommentReference"/>
        </w:rPr>
        <w:annotationRef/>
      </w:r>
      <w:r>
        <w:t>It is not a conclusion.  The result informs more dada that may be explored in conclusion.</w:t>
      </w:r>
    </w:p>
  </w:comment>
  <w:comment w:id="43" w:author="Marcio Pinto" w:date="2025-10-13T11:34:00Z" w:initials="MP">
    <w:p w14:paraId="6A525B00" w14:textId="77777777" w:rsidR="00E7549F" w:rsidRDefault="00C841B0" w:rsidP="00E7549F">
      <w:pPr>
        <w:pStyle w:val="CommentText"/>
      </w:pPr>
      <w:r>
        <w:rPr>
          <w:rStyle w:val="CommentReference"/>
        </w:rPr>
        <w:annotationRef/>
      </w:r>
      <w:r w:rsidR="00E7549F">
        <w:t>Now a comma is placed, now a semicolon is placed separating the names of the periodic authors. The references are very old. References of at most 5 year old must be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A99E3" w15:done="0"/>
  <w15:commentEx w15:paraId="3A2BE485" w15:done="0"/>
  <w15:commentEx w15:paraId="159BB59F" w15:done="0"/>
  <w15:commentEx w15:paraId="31D0E92C" w15:done="0"/>
  <w15:commentEx w15:paraId="2026ACE8" w15:done="0"/>
  <w15:commentEx w15:paraId="38675FAD" w15:done="0"/>
  <w15:commentEx w15:paraId="296B4AFD" w15:done="0"/>
  <w15:commentEx w15:paraId="22DFE98D" w15:done="0"/>
  <w15:commentEx w15:paraId="53ED5AA1" w15:done="0"/>
  <w15:commentEx w15:paraId="6A525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F8082C" w16cex:dateUtc="2025-10-13T13:20:00Z"/>
  <w16cex:commentExtensible w16cex:durableId="2758C19B" w16cex:dateUtc="2025-10-13T13:30:00Z"/>
  <w16cex:commentExtensible w16cex:durableId="6FDEE5E0" w16cex:dateUtc="2025-10-13T13:38:00Z"/>
  <w16cex:commentExtensible w16cex:durableId="1D73B5AA" w16cex:dateUtc="2025-10-13T13:43:00Z"/>
  <w16cex:commentExtensible w16cex:durableId="28CE24A0" w16cex:dateUtc="2025-10-13T13:44:00Z"/>
  <w16cex:commentExtensible w16cex:durableId="4FAC8152" w16cex:dateUtc="2025-10-13T13:49:00Z"/>
  <w16cex:commentExtensible w16cex:durableId="5233CC76" w16cex:dateUtc="2025-10-13T14:07:00Z"/>
  <w16cex:commentExtensible w16cex:durableId="233A8B92" w16cex:dateUtc="2025-10-13T14:25:00Z"/>
  <w16cex:commentExtensible w16cex:durableId="1B5B0F38" w16cex:dateUtc="2025-10-13T14:29:00Z"/>
  <w16cex:commentExtensible w16cex:durableId="7D106868" w16cex:dateUtc="2025-10-13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A99E3" w16cid:durableId="4EF8082C"/>
  <w16cid:commentId w16cid:paraId="3A2BE485" w16cid:durableId="2758C19B"/>
  <w16cid:commentId w16cid:paraId="159BB59F" w16cid:durableId="6FDEE5E0"/>
  <w16cid:commentId w16cid:paraId="31D0E92C" w16cid:durableId="1D73B5AA"/>
  <w16cid:commentId w16cid:paraId="2026ACE8" w16cid:durableId="28CE24A0"/>
  <w16cid:commentId w16cid:paraId="38675FAD" w16cid:durableId="4FAC8152"/>
  <w16cid:commentId w16cid:paraId="296B4AFD" w16cid:durableId="5233CC76"/>
  <w16cid:commentId w16cid:paraId="22DFE98D" w16cid:durableId="233A8B92"/>
  <w16cid:commentId w16cid:paraId="53ED5AA1" w16cid:durableId="1B5B0F38"/>
  <w16cid:commentId w16cid:paraId="6A525B00" w16cid:durableId="7D106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04E8B" w14:textId="77777777" w:rsidR="00C91D74" w:rsidRDefault="00C91D74" w:rsidP="001F3127">
      <w:pPr>
        <w:spacing w:after="0" w:line="240" w:lineRule="auto"/>
      </w:pPr>
      <w:r>
        <w:separator/>
      </w:r>
    </w:p>
  </w:endnote>
  <w:endnote w:type="continuationSeparator" w:id="0">
    <w:p w14:paraId="08DF779B" w14:textId="77777777" w:rsidR="00C91D74" w:rsidRDefault="00C91D74" w:rsidP="001F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4F25" w14:textId="77777777" w:rsidR="001F3127" w:rsidRDefault="001F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A9D" w14:textId="77777777" w:rsidR="001F3127" w:rsidRDefault="001F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466B" w14:textId="77777777" w:rsidR="001F3127" w:rsidRDefault="001F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E2C70" w14:textId="77777777" w:rsidR="00C91D74" w:rsidRDefault="00C91D74" w:rsidP="001F3127">
      <w:pPr>
        <w:spacing w:after="0" w:line="240" w:lineRule="auto"/>
      </w:pPr>
      <w:r>
        <w:separator/>
      </w:r>
    </w:p>
  </w:footnote>
  <w:footnote w:type="continuationSeparator" w:id="0">
    <w:p w14:paraId="656A58AE" w14:textId="77777777" w:rsidR="00C91D74" w:rsidRDefault="00C91D74" w:rsidP="001F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7D31" w14:textId="6F153158" w:rsidR="001F3127" w:rsidRDefault="00C91D74">
    <w:pPr>
      <w:pStyle w:val="Header"/>
    </w:pPr>
    <w:r>
      <w:rPr>
        <w:noProof/>
      </w:rPr>
      <w:pict w14:anchorId="1C86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E554" w14:textId="7B5B558B" w:rsidR="001F3127" w:rsidRDefault="00C91D74">
    <w:pPr>
      <w:pStyle w:val="Header"/>
    </w:pPr>
    <w:r>
      <w:rPr>
        <w:noProof/>
      </w:rPr>
      <w:pict w14:anchorId="6E4C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0C8C" w14:textId="636D4726" w:rsidR="001F3127" w:rsidRDefault="00C91D74">
    <w:pPr>
      <w:pStyle w:val="Header"/>
    </w:pPr>
    <w:r>
      <w:rPr>
        <w:noProof/>
      </w:rPr>
      <w:pict w14:anchorId="6B7AD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28823C"/>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F4C90"/>
    <w:multiLevelType w:val="multilevel"/>
    <w:tmpl w:val="F6BC16B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o Pinto">
    <w15:presenceInfo w15:providerId="Windows Live" w15:userId="e0df7fe5fd3e4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6C8"/>
    <w:rsid w:val="001F0481"/>
    <w:rsid w:val="001F3127"/>
    <w:rsid w:val="00235EB8"/>
    <w:rsid w:val="00242A84"/>
    <w:rsid w:val="00253163"/>
    <w:rsid w:val="00516507"/>
    <w:rsid w:val="005221B6"/>
    <w:rsid w:val="00591B2A"/>
    <w:rsid w:val="006F0721"/>
    <w:rsid w:val="007D6A04"/>
    <w:rsid w:val="00941A72"/>
    <w:rsid w:val="00942E78"/>
    <w:rsid w:val="00A518AC"/>
    <w:rsid w:val="00AF06C8"/>
    <w:rsid w:val="00AF0DF4"/>
    <w:rsid w:val="00B971C5"/>
    <w:rsid w:val="00C841B0"/>
    <w:rsid w:val="00C91D74"/>
    <w:rsid w:val="00D24FE9"/>
    <w:rsid w:val="00DD32A8"/>
    <w:rsid w:val="00E65118"/>
    <w:rsid w:val="00E754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7086B"/>
  <w15:docId w15:val="{CB78F167-9875-49CD-97B4-EF6C8857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spacing w:after="120"/>
    </w:pPr>
    <w:rPr>
      <w:rFonts w:eastAsia="SimSun"/>
    </w:rPr>
  </w:style>
  <w:style w:type="character" w:customStyle="1" w:styleId="BodyTextChar">
    <w:name w:val="Body Text Char"/>
    <w:basedOn w:val="DefaultParagraphFont"/>
    <w:link w:val="BodyText"/>
    <w:uiPriority w:val="1"/>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DD32A8"/>
    <w:rPr>
      <w:color w:val="605E5C"/>
      <w:shd w:val="clear" w:color="auto" w:fill="E1DFDD"/>
    </w:rPr>
  </w:style>
  <w:style w:type="paragraph" w:styleId="Header">
    <w:name w:val="header"/>
    <w:basedOn w:val="Normal"/>
    <w:link w:val="HeaderChar"/>
    <w:uiPriority w:val="99"/>
    <w:unhideWhenUsed/>
    <w:rsid w:val="001F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27"/>
  </w:style>
  <w:style w:type="paragraph" w:styleId="Footer">
    <w:name w:val="footer"/>
    <w:basedOn w:val="Normal"/>
    <w:link w:val="FooterChar"/>
    <w:uiPriority w:val="99"/>
    <w:unhideWhenUsed/>
    <w:rsid w:val="001F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27"/>
  </w:style>
  <w:style w:type="paragraph" w:styleId="Revision">
    <w:name w:val="Revision"/>
    <w:hidden/>
    <w:uiPriority w:val="99"/>
    <w:semiHidden/>
    <w:rsid w:val="00D24FE9"/>
    <w:pPr>
      <w:spacing w:after="0" w:line="240" w:lineRule="auto"/>
    </w:pPr>
  </w:style>
  <w:style w:type="character" w:styleId="CommentReference">
    <w:name w:val="annotation reference"/>
    <w:basedOn w:val="DefaultParagraphFont"/>
    <w:uiPriority w:val="99"/>
    <w:semiHidden/>
    <w:unhideWhenUsed/>
    <w:rsid w:val="00942E78"/>
    <w:rPr>
      <w:sz w:val="16"/>
      <w:szCs w:val="16"/>
    </w:rPr>
  </w:style>
  <w:style w:type="paragraph" w:styleId="CommentText">
    <w:name w:val="annotation text"/>
    <w:basedOn w:val="Normal"/>
    <w:link w:val="CommentTextChar"/>
    <w:uiPriority w:val="99"/>
    <w:unhideWhenUsed/>
    <w:rsid w:val="00942E78"/>
    <w:pPr>
      <w:spacing w:line="240" w:lineRule="auto"/>
    </w:pPr>
    <w:rPr>
      <w:sz w:val="20"/>
      <w:szCs w:val="20"/>
    </w:rPr>
  </w:style>
  <w:style w:type="character" w:customStyle="1" w:styleId="CommentTextChar">
    <w:name w:val="Comment Text Char"/>
    <w:basedOn w:val="DefaultParagraphFont"/>
    <w:link w:val="CommentText"/>
    <w:uiPriority w:val="99"/>
    <w:rsid w:val="00942E78"/>
    <w:rPr>
      <w:sz w:val="20"/>
      <w:szCs w:val="20"/>
    </w:rPr>
  </w:style>
  <w:style w:type="paragraph" w:styleId="CommentSubject">
    <w:name w:val="annotation subject"/>
    <w:basedOn w:val="CommentText"/>
    <w:next w:val="CommentText"/>
    <w:link w:val="CommentSubjectChar"/>
    <w:uiPriority w:val="99"/>
    <w:semiHidden/>
    <w:unhideWhenUsed/>
    <w:rsid w:val="00942E78"/>
    <w:rPr>
      <w:b/>
      <w:bCs/>
    </w:rPr>
  </w:style>
  <w:style w:type="character" w:customStyle="1" w:styleId="CommentSubjectChar">
    <w:name w:val="Comment Subject Char"/>
    <w:basedOn w:val="CommentTextChar"/>
    <w:link w:val="CommentSubject"/>
    <w:uiPriority w:val="99"/>
    <w:semiHidden/>
    <w:rsid w:val="00942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6E9C-D471-4B2D-B2DD-75C36981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13</Pages>
  <Words>4184</Words>
  <Characters>23855</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1067</cp:lastModifiedBy>
  <cp:revision>17</cp:revision>
  <cp:lastPrinted>2025-05-24T12:10:00Z</cp:lastPrinted>
  <dcterms:created xsi:type="dcterms:W3CDTF">2025-10-07T08:51:00Z</dcterms:created>
  <dcterms:modified xsi:type="dcterms:W3CDTF">2025-10-14T05:15:00Z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0291ca5946f74663abe2a093279cef9b</vt:lpwstr>
  </property>
</Properties>
</file>