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8B6E" w14:textId="77777777" w:rsidR="009A4F11" w:rsidRDefault="009A4F11" w:rsidP="009A4F11">
      <w:pPr>
        <w:jc w:val="center"/>
        <w:rPr>
          <w:rFonts w:ascii="Times New Roman" w:hAnsi="Times New Roman" w:cs="Times New Roman"/>
          <w:b/>
          <w:bCs/>
          <w:sz w:val="24"/>
          <w:szCs w:val="24"/>
        </w:rPr>
      </w:pPr>
      <w:r w:rsidRPr="009A4F11">
        <w:rPr>
          <w:rFonts w:ascii="Times New Roman" w:hAnsi="Times New Roman" w:cs="Times New Roman"/>
          <w:b/>
          <w:bCs/>
          <w:sz w:val="24"/>
          <w:szCs w:val="24"/>
        </w:rPr>
        <w:t>Mean Germination Time as a Functional Seed Vigour Test in Sorghum (</w:t>
      </w:r>
      <w:r w:rsidRPr="009A4F11">
        <w:rPr>
          <w:rFonts w:ascii="Times New Roman" w:hAnsi="Times New Roman" w:cs="Times New Roman"/>
          <w:b/>
          <w:bCs/>
          <w:i/>
          <w:iCs/>
          <w:sz w:val="24"/>
          <w:szCs w:val="24"/>
        </w:rPr>
        <w:t xml:space="preserve">Sorghum </w:t>
      </w:r>
      <w:proofErr w:type="spellStart"/>
      <w:r w:rsidRPr="009A4F11">
        <w:rPr>
          <w:rFonts w:ascii="Times New Roman" w:hAnsi="Times New Roman" w:cs="Times New Roman"/>
          <w:b/>
          <w:bCs/>
          <w:i/>
          <w:iCs/>
          <w:sz w:val="24"/>
          <w:szCs w:val="24"/>
        </w:rPr>
        <w:t>bicolor</w:t>
      </w:r>
      <w:proofErr w:type="spellEnd"/>
      <w:r w:rsidRPr="009A4F11">
        <w:rPr>
          <w:rFonts w:ascii="Times New Roman" w:hAnsi="Times New Roman" w:cs="Times New Roman"/>
          <w:b/>
          <w:bCs/>
          <w:sz w:val="24"/>
          <w:szCs w:val="24"/>
        </w:rPr>
        <w:t xml:space="preserve"> L.)</w:t>
      </w:r>
    </w:p>
    <w:p w14:paraId="169E4444" w14:textId="77777777" w:rsidR="00E205EF" w:rsidRDefault="00E205EF" w:rsidP="009A4F11">
      <w:pPr>
        <w:spacing w:line="360" w:lineRule="auto"/>
        <w:jc w:val="both"/>
        <w:rPr>
          <w:rFonts w:ascii="Times New Roman" w:hAnsi="Times New Roman" w:cs="Times New Roman"/>
          <w:b/>
          <w:bCs/>
          <w:sz w:val="24"/>
          <w:szCs w:val="24"/>
        </w:rPr>
      </w:pPr>
    </w:p>
    <w:p w14:paraId="2992C2D9" w14:textId="2950AA34" w:rsidR="001E69A8" w:rsidRDefault="009A4F11" w:rsidP="009A4F11">
      <w:pPr>
        <w:spacing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Abstract: </w:t>
      </w:r>
      <w:r w:rsidRPr="00DA7FB7">
        <w:rPr>
          <w:rFonts w:ascii="Times New Roman" w:eastAsia="Times New Roman" w:hAnsi="Times New Roman" w:cs="Times New Roman"/>
          <w:sz w:val="24"/>
          <w:szCs w:val="24"/>
        </w:rPr>
        <w:t>Sorghum (</w:t>
      </w:r>
      <w:r w:rsidRPr="00DA7FB7">
        <w:rPr>
          <w:rFonts w:ascii="Times New Roman" w:eastAsia="Times New Roman" w:hAnsi="Times New Roman" w:cs="Times New Roman"/>
          <w:i/>
          <w:iCs/>
          <w:sz w:val="24"/>
          <w:szCs w:val="24"/>
        </w:rPr>
        <w:t xml:space="preserve">Sorghum </w:t>
      </w:r>
      <w:proofErr w:type="spellStart"/>
      <w:r w:rsidRPr="00DA7FB7">
        <w:rPr>
          <w:rFonts w:ascii="Times New Roman" w:eastAsia="Times New Roman" w:hAnsi="Times New Roman" w:cs="Times New Roman"/>
          <w:i/>
          <w:iCs/>
          <w:sz w:val="24"/>
          <w:szCs w:val="24"/>
        </w:rPr>
        <w:t>bicolor</w:t>
      </w:r>
      <w:proofErr w:type="spellEnd"/>
      <w:r w:rsidRPr="00DA7FB7">
        <w:rPr>
          <w:rFonts w:ascii="Times New Roman" w:eastAsia="Times New Roman" w:hAnsi="Times New Roman" w:cs="Times New Roman"/>
          <w:sz w:val="24"/>
          <w:szCs w:val="24"/>
        </w:rPr>
        <w:t xml:space="preserve"> L. Moench) is a vital cereal crop cultivated extensively in arid and semi-arid regions due to its adaptability to harsh environmental conditions. </w:t>
      </w:r>
      <w:r w:rsidR="001E69A8" w:rsidRPr="001E69A8">
        <w:rPr>
          <w:rFonts w:ascii="Times New Roman" w:eastAsia="Times New Roman" w:hAnsi="Times New Roman" w:cs="Times New Roman"/>
          <w:sz w:val="24"/>
          <w:szCs w:val="24"/>
        </w:rPr>
        <w:t xml:space="preserve">Seed vigour is a crucial determinant of crop establishment, particularly in sorghum where standardized vigour testing protocols are yet to be established. The present study evaluated the relationship between mean germination time (MGT) and field emergence (FE) at 10 and 20 days after sowing (DAS) across </w:t>
      </w:r>
      <w:r w:rsidR="009A6F41">
        <w:rPr>
          <w:rFonts w:ascii="Times New Roman" w:eastAsia="Times New Roman" w:hAnsi="Times New Roman" w:cs="Times New Roman"/>
          <w:sz w:val="24"/>
          <w:szCs w:val="24"/>
        </w:rPr>
        <w:t xml:space="preserve">15 different </w:t>
      </w:r>
      <w:r w:rsidR="001E69A8" w:rsidRPr="001E69A8">
        <w:rPr>
          <w:rFonts w:ascii="Times New Roman" w:eastAsia="Times New Roman" w:hAnsi="Times New Roman" w:cs="Times New Roman"/>
          <w:sz w:val="24"/>
          <w:szCs w:val="24"/>
        </w:rPr>
        <w:t xml:space="preserve">sorghum </w:t>
      </w:r>
      <w:r w:rsidR="00101690">
        <w:rPr>
          <w:rFonts w:ascii="Times New Roman" w:eastAsia="Times New Roman" w:hAnsi="Times New Roman" w:cs="Times New Roman"/>
          <w:sz w:val="24"/>
          <w:szCs w:val="24"/>
        </w:rPr>
        <w:t>seed lots</w:t>
      </w:r>
      <w:r w:rsidR="009A6F41">
        <w:rPr>
          <w:rFonts w:ascii="Times New Roman" w:eastAsia="Times New Roman" w:hAnsi="Times New Roman" w:cs="Times New Roman"/>
          <w:sz w:val="24"/>
          <w:szCs w:val="24"/>
        </w:rPr>
        <w:t xml:space="preserve"> which were stored for 12 months under ambient conditions, </w:t>
      </w:r>
      <w:r w:rsidR="001E69A8" w:rsidRPr="001E69A8">
        <w:rPr>
          <w:rFonts w:ascii="Times New Roman" w:eastAsia="Times New Roman" w:hAnsi="Times New Roman" w:cs="Times New Roman"/>
          <w:sz w:val="24"/>
          <w:szCs w:val="24"/>
        </w:rPr>
        <w:t>to assess the suitability of MGT as a seed vigour test. Correlation analysis revealed a strong and highly significant negative association between MGT and FE, indicating that seed lots with shorter germination times exhibited superior field emergence. Regression analysis further validated these findings, with extremely high coefficients of determination (R² = 0.99) for both FE 10 DAS and FE 20 DAS against MGT, demonstrating that variations in field emergence could be largely explained by differences in MGT. The low standard error of the regression models highlighted the robustness and reliability of these relationships. These results are consistent with earlier studies in cereals and legumes, which confirmed that rapid and uniform germination is closely linked with better seedling establishment and field performance. The findings suggest that MGT is not only a simple and cost-effective laboratory parameter but also a powerful predictor of field emergence in sorghum. Incorporating MGT into seed vigour testing protocols would enable seed producers, researchers, and quality analysts to make more accurate predictions of seed lot performance, thereby supporting improved crop establishment and seed quality assurance.</w:t>
      </w:r>
    </w:p>
    <w:p w14:paraId="7F24BED8" w14:textId="740D8AA1" w:rsidR="009A4F11" w:rsidRDefault="009A4F11" w:rsidP="009A4F11">
      <w:pPr>
        <w:spacing w:line="360" w:lineRule="auto"/>
        <w:jc w:val="both"/>
        <w:rPr>
          <w:rFonts w:ascii="Times New Roman" w:hAnsi="Times New Roman" w:cs="Times New Roman"/>
          <w:sz w:val="24"/>
          <w:szCs w:val="24"/>
        </w:rPr>
      </w:pPr>
      <w:r w:rsidRPr="008776D0">
        <w:rPr>
          <w:rFonts w:ascii="Times New Roman" w:hAnsi="Times New Roman" w:cs="Times New Roman"/>
          <w:b/>
          <w:bCs/>
          <w:sz w:val="24"/>
          <w:szCs w:val="24"/>
        </w:rPr>
        <w:t>Keywords:</w:t>
      </w:r>
      <w:r>
        <w:rPr>
          <w:rFonts w:ascii="Times New Roman" w:hAnsi="Times New Roman" w:cs="Times New Roman"/>
          <w:sz w:val="24"/>
          <w:szCs w:val="24"/>
        </w:rPr>
        <w:t xml:space="preserve"> </w:t>
      </w:r>
      <w:r w:rsidR="001E69A8">
        <w:rPr>
          <w:rFonts w:ascii="Times New Roman" w:hAnsi="Times New Roman" w:cs="Times New Roman"/>
          <w:sz w:val="24"/>
          <w:szCs w:val="24"/>
        </w:rPr>
        <w:t>Mean germination time</w:t>
      </w:r>
      <w:r>
        <w:rPr>
          <w:rFonts w:ascii="Times New Roman" w:hAnsi="Times New Roman" w:cs="Times New Roman"/>
          <w:sz w:val="24"/>
          <w:szCs w:val="24"/>
        </w:rPr>
        <w:t xml:space="preserve">, sorghum vigour, </w:t>
      </w:r>
      <w:r w:rsidR="00606D76">
        <w:rPr>
          <w:rFonts w:ascii="Times New Roman" w:hAnsi="Times New Roman" w:cs="Times New Roman"/>
          <w:sz w:val="24"/>
          <w:szCs w:val="24"/>
        </w:rPr>
        <w:t>field emergence</w:t>
      </w:r>
      <w:r>
        <w:rPr>
          <w:rFonts w:ascii="Times New Roman" w:hAnsi="Times New Roman" w:cs="Times New Roman"/>
          <w:sz w:val="24"/>
          <w:szCs w:val="24"/>
        </w:rPr>
        <w:t>, PCA</w:t>
      </w:r>
    </w:p>
    <w:p w14:paraId="25893E02" w14:textId="18C4126F" w:rsidR="004C4918" w:rsidRPr="009A6F41" w:rsidRDefault="009A6F41" w:rsidP="009A4F11">
      <w:pPr>
        <w:spacing w:line="360" w:lineRule="auto"/>
        <w:jc w:val="both"/>
        <w:rPr>
          <w:rFonts w:ascii="Times New Roman" w:hAnsi="Times New Roman" w:cs="Times New Roman"/>
          <w:b/>
          <w:bCs/>
          <w:sz w:val="24"/>
          <w:szCs w:val="24"/>
        </w:rPr>
      </w:pPr>
      <w:r w:rsidRPr="009A6F41">
        <w:rPr>
          <w:rFonts w:ascii="Times New Roman" w:hAnsi="Times New Roman" w:cs="Times New Roman"/>
          <w:b/>
          <w:bCs/>
          <w:sz w:val="24"/>
          <w:szCs w:val="24"/>
        </w:rPr>
        <w:t>Introduction</w:t>
      </w:r>
    </w:p>
    <w:p w14:paraId="51F5CE27" w14:textId="45E8FE94" w:rsidR="008D5E47" w:rsidRPr="008D5E47" w:rsidRDefault="009A6F41" w:rsidP="008D5E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D5E47" w:rsidRPr="008D5E47">
        <w:rPr>
          <w:rFonts w:ascii="Times New Roman" w:hAnsi="Times New Roman" w:cs="Times New Roman"/>
          <w:sz w:val="24"/>
          <w:szCs w:val="24"/>
        </w:rPr>
        <w:t>Sorghum (</w:t>
      </w:r>
      <w:commentRangeStart w:id="0"/>
      <w:r w:rsidR="008D5E47" w:rsidRPr="008D5E47">
        <w:rPr>
          <w:rFonts w:ascii="Times New Roman" w:hAnsi="Times New Roman" w:cs="Times New Roman"/>
          <w:sz w:val="24"/>
          <w:szCs w:val="24"/>
        </w:rPr>
        <w:t xml:space="preserve">Sorghum </w:t>
      </w:r>
      <w:proofErr w:type="spellStart"/>
      <w:r w:rsidR="008D5E47" w:rsidRPr="008D5E47">
        <w:rPr>
          <w:rFonts w:ascii="Times New Roman" w:hAnsi="Times New Roman" w:cs="Times New Roman"/>
          <w:sz w:val="24"/>
          <w:szCs w:val="24"/>
        </w:rPr>
        <w:t>bicolor</w:t>
      </w:r>
      <w:proofErr w:type="spellEnd"/>
      <w:r w:rsidR="008D5E47" w:rsidRPr="008D5E47">
        <w:rPr>
          <w:rFonts w:ascii="Times New Roman" w:hAnsi="Times New Roman" w:cs="Times New Roman"/>
          <w:sz w:val="24"/>
          <w:szCs w:val="24"/>
        </w:rPr>
        <w:t xml:space="preserve"> </w:t>
      </w:r>
      <w:commentRangeEnd w:id="0"/>
      <w:r w:rsidR="00EF2923">
        <w:rPr>
          <w:rStyle w:val="CommentReference"/>
        </w:rPr>
        <w:commentReference w:id="0"/>
      </w:r>
      <w:r w:rsidR="008D5E47" w:rsidRPr="008D5E47">
        <w:rPr>
          <w:rFonts w:ascii="Times New Roman" w:hAnsi="Times New Roman" w:cs="Times New Roman"/>
          <w:sz w:val="24"/>
          <w:szCs w:val="24"/>
        </w:rPr>
        <w:t xml:space="preserve">L. Moench) is a climate-resilient cereal belonging to the </w:t>
      </w:r>
      <w:proofErr w:type="spellStart"/>
      <w:r w:rsidR="008D5E47" w:rsidRPr="008D5E47">
        <w:rPr>
          <w:rFonts w:ascii="Times New Roman" w:hAnsi="Times New Roman" w:cs="Times New Roman"/>
          <w:sz w:val="24"/>
          <w:szCs w:val="24"/>
        </w:rPr>
        <w:t>Poaceae</w:t>
      </w:r>
      <w:proofErr w:type="spellEnd"/>
      <w:r w:rsidR="008D5E47" w:rsidRPr="008D5E47">
        <w:rPr>
          <w:rFonts w:ascii="Times New Roman" w:hAnsi="Times New Roman" w:cs="Times New Roman"/>
          <w:sz w:val="24"/>
          <w:szCs w:val="24"/>
        </w:rPr>
        <w:t xml:space="preserve"> family and ranks among the world’s five principal cereal crops, alongside wheat, rice, maize, and barley. Referred to as the “King of Millets,” sorghum is nutritionally rich, containing carbohydrates (73.10–79.12%) and protein (7.98–11.77%) (</w:t>
      </w:r>
      <w:proofErr w:type="spellStart"/>
      <w:r w:rsidR="008D5E47" w:rsidRPr="008D5E47">
        <w:rPr>
          <w:rFonts w:ascii="Times New Roman" w:hAnsi="Times New Roman" w:cs="Times New Roman"/>
          <w:sz w:val="24"/>
          <w:szCs w:val="24"/>
        </w:rPr>
        <w:t>Widowati</w:t>
      </w:r>
      <w:proofErr w:type="spellEnd"/>
      <w:r w:rsidR="008D5E47" w:rsidRPr="008D5E47">
        <w:rPr>
          <w:rFonts w:ascii="Times New Roman" w:hAnsi="Times New Roman" w:cs="Times New Roman"/>
          <w:sz w:val="24"/>
          <w:szCs w:val="24"/>
        </w:rPr>
        <w:t xml:space="preserve"> and Luna, 2022). It provides essential vitamins—B1 (0.09 mg), B2 (0.14 mg), and B3 (2.8 mg)—and key minerals including iron (4.4 mg), sodium (7 mg), potassium (249 mg), calcium (28 mg), and phosphorus (287 mg). Its starch is inherently gluten-free, rendering it a suitable alternative to </w:t>
      </w:r>
      <w:r w:rsidR="008D5E47" w:rsidRPr="008D5E47">
        <w:rPr>
          <w:rFonts w:ascii="Times New Roman" w:hAnsi="Times New Roman" w:cs="Times New Roman"/>
          <w:sz w:val="24"/>
          <w:szCs w:val="24"/>
        </w:rPr>
        <w:lastRenderedPageBreak/>
        <w:t xml:space="preserve">wheat for individuals with celiac disease or gluten intolerance. In India, sorghum is cultivated on approximately 3.97 million hectares with an annual production of 4.4 million tonnes and an average productivity of 1.0 t/ha. Karnataka accounts for 22% of the national area (1.09 </w:t>
      </w:r>
      <w:proofErr w:type="spellStart"/>
      <w:r w:rsidR="008D5E47" w:rsidRPr="008D5E47">
        <w:rPr>
          <w:rFonts w:ascii="Times New Roman" w:hAnsi="Times New Roman" w:cs="Times New Roman"/>
          <w:sz w:val="24"/>
          <w:szCs w:val="24"/>
        </w:rPr>
        <w:t>mha</w:t>
      </w:r>
      <w:proofErr w:type="spellEnd"/>
      <w:r w:rsidR="008D5E47" w:rsidRPr="008D5E47">
        <w:rPr>
          <w:rFonts w:ascii="Times New Roman" w:hAnsi="Times New Roman" w:cs="Times New Roman"/>
          <w:sz w:val="24"/>
          <w:szCs w:val="24"/>
        </w:rPr>
        <w:t xml:space="preserve">) and 22.9% of production (1.13 </w:t>
      </w:r>
      <w:proofErr w:type="spellStart"/>
      <w:r w:rsidR="008D5E47" w:rsidRPr="008D5E47">
        <w:rPr>
          <w:rFonts w:ascii="Times New Roman" w:hAnsi="Times New Roman" w:cs="Times New Roman"/>
          <w:sz w:val="24"/>
          <w:szCs w:val="24"/>
        </w:rPr>
        <w:t>mT</w:t>
      </w:r>
      <w:proofErr w:type="spellEnd"/>
      <w:r w:rsidR="008D5E47" w:rsidRPr="008D5E47">
        <w:rPr>
          <w:rFonts w:ascii="Times New Roman" w:hAnsi="Times New Roman" w:cs="Times New Roman"/>
          <w:sz w:val="24"/>
          <w:szCs w:val="24"/>
        </w:rPr>
        <w:t>), achieving a productivity of 1040 kg/ha</w:t>
      </w:r>
      <w:r w:rsidR="0003262A">
        <w:rPr>
          <w:rFonts w:ascii="Times New Roman" w:hAnsi="Times New Roman" w:cs="Times New Roman"/>
          <w:sz w:val="24"/>
          <w:szCs w:val="24"/>
        </w:rPr>
        <w:t xml:space="preserve">. </w:t>
      </w:r>
      <w:r w:rsidR="008D5E47" w:rsidRPr="008D5E47">
        <w:rPr>
          <w:rFonts w:ascii="Times New Roman" w:hAnsi="Times New Roman" w:cs="Times New Roman"/>
          <w:sz w:val="24"/>
          <w:szCs w:val="24"/>
        </w:rPr>
        <w:t>Owing to its superior tolerance to drought and high temperatures, sorghum is well adapted to arid and semi-arid agro-ecologies, earning the epithet “Camel of the Desert.”</w:t>
      </w:r>
    </w:p>
    <w:p w14:paraId="6D96E50E" w14:textId="0739CC95" w:rsidR="004C4918" w:rsidRDefault="008D5E47" w:rsidP="008D5E47">
      <w:pPr>
        <w:spacing w:line="360" w:lineRule="auto"/>
        <w:jc w:val="both"/>
        <w:rPr>
          <w:rFonts w:ascii="Times New Roman" w:hAnsi="Times New Roman" w:cs="Times New Roman"/>
          <w:sz w:val="24"/>
          <w:szCs w:val="24"/>
        </w:rPr>
      </w:pPr>
      <w:r w:rsidRPr="008D5E47">
        <w:rPr>
          <w:rFonts w:ascii="Times New Roman" w:hAnsi="Times New Roman" w:cs="Times New Roman"/>
          <w:sz w:val="24"/>
          <w:szCs w:val="24"/>
        </w:rPr>
        <w:t xml:space="preserve">A seed, the mature fertilized ovule of angiosperms, comprises an embryo, storage tissues (endosperm or cotyledons) and a protective seed coat. It represents the fundamental unit of propagation and reproduction in higher plants and constitutes a critical input in agriculture, directly influencing crop establishment, productivity, and uniformity. Seed quality is largely determined by viability and vigour, traits governed by genetic constitution as well as environmental factors. Several laboratory tests are available to assess seed quality; however, no single method is universally applicable across all crop species (Powell and Matthews, 2005). The standard germination test remains the most widely used assay, but it primarily reflects the potential of seeds to produce normal seedlings under optimal conditions. This test does not reliably predict seedling performance under sub-optimal field environments, nor does it effectively detect early physiological deterioration (McDonald, 1980). Furthermore, it lacks sensitivity in differentiating </w:t>
      </w:r>
      <w:r w:rsidR="00101690">
        <w:rPr>
          <w:rFonts w:ascii="Times New Roman" w:hAnsi="Times New Roman" w:cs="Times New Roman"/>
          <w:sz w:val="24"/>
          <w:szCs w:val="24"/>
        </w:rPr>
        <w:t>vigour</w:t>
      </w:r>
      <w:r w:rsidRPr="008D5E47">
        <w:rPr>
          <w:rFonts w:ascii="Times New Roman" w:hAnsi="Times New Roman" w:cs="Times New Roman"/>
          <w:sz w:val="24"/>
          <w:szCs w:val="24"/>
        </w:rPr>
        <w:t xml:space="preserve">ous from weak seedlings within highly viable seed lots, thereby limiting its utility in assessing true physiological vigour. </w:t>
      </w:r>
    </w:p>
    <w:p w14:paraId="4FF18349" w14:textId="6775615B" w:rsidR="008D5E47" w:rsidRPr="008776D0" w:rsidRDefault="008D5E47" w:rsidP="008D5E47">
      <w:pPr>
        <w:spacing w:line="360" w:lineRule="auto"/>
        <w:jc w:val="both"/>
        <w:rPr>
          <w:rFonts w:ascii="Times New Roman" w:hAnsi="Times New Roman" w:cs="Times New Roman"/>
          <w:sz w:val="24"/>
          <w:szCs w:val="24"/>
        </w:rPr>
      </w:pPr>
      <w:commentRangeStart w:id="1"/>
      <w:r w:rsidRPr="008D5E47">
        <w:rPr>
          <w:rFonts w:ascii="Times New Roman" w:hAnsi="Times New Roman" w:cs="Times New Roman"/>
          <w:sz w:val="24"/>
          <w:szCs w:val="24"/>
        </w:rPr>
        <w:t>Seed vigour is a critical determinant of crop establishment, uniform stand development, and ultimately, productivity. Unlike germination percentage, which reflects only the potential of seeds to germinate under optimal conditions, vigour tests provide insights into the physiological quality and field performance of seed lots under a wide range of environmental conditions. Among various indices, Mean Germination Time (MGT) has emerged as a valuable parameter, as it integrates both the speed and uniformity of germination</w:t>
      </w:r>
      <w:r w:rsidR="00101690">
        <w:rPr>
          <w:rFonts w:ascii="Times New Roman" w:hAnsi="Times New Roman" w:cs="Times New Roman"/>
          <w:sz w:val="24"/>
          <w:szCs w:val="24"/>
        </w:rPr>
        <w:t xml:space="preserve"> (</w:t>
      </w:r>
      <w:proofErr w:type="spellStart"/>
      <w:r w:rsidR="00101690">
        <w:rPr>
          <w:rFonts w:ascii="Times New Roman" w:hAnsi="Times New Roman" w:cs="Times New Roman"/>
          <w:sz w:val="24"/>
          <w:szCs w:val="24"/>
        </w:rPr>
        <w:t>Lv</w:t>
      </w:r>
      <w:proofErr w:type="spellEnd"/>
      <w:r w:rsidR="00101690">
        <w:rPr>
          <w:rFonts w:ascii="Times New Roman" w:hAnsi="Times New Roman" w:cs="Times New Roman"/>
          <w:sz w:val="24"/>
          <w:szCs w:val="24"/>
        </w:rPr>
        <w:t xml:space="preserve"> </w:t>
      </w:r>
      <w:r w:rsidR="00101690" w:rsidRPr="00101690">
        <w:rPr>
          <w:rFonts w:ascii="Times New Roman" w:hAnsi="Times New Roman" w:cs="Times New Roman"/>
          <w:i/>
          <w:iCs/>
          <w:sz w:val="24"/>
          <w:szCs w:val="24"/>
        </w:rPr>
        <w:t>et al</w:t>
      </w:r>
      <w:r w:rsidR="00101690">
        <w:rPr>
          <w:rFonts w:ascii="Times New Roman" w:hAnsi="Times New Roman" w:cs="Times New Roman"/>
          <w:sz w:val="24"/>
          <w:szCs w:val="24"/>
        </w:rPr>
        <w:t>., 2016)</w:t>
      </w:r>
      <w:r w:rsidRPr="008D5E47">
        <w:rPr>
          <w:rFonts w:ascii="Times New Roman" w:hAnsi="Times New Roman" w:cs="Times New Roman"/>
          <w:sz w:val="24"/>
          <w:szCs w:val="24"/>
        </w:rPr>
        <w:t>. Seeds with lower MGT values germinate faster and more uniformly, which is particularly advantageous under sub-optimal field conditions where early establishment is crucial for competitiveness and resilience.</w:t>
      </w:r>
      <w:r w:rsidR="005F7BB2">
        <w:rPr>
          <w:rFonts w:ascii="Times New Roman" w:hAnsi="Times New Roman" w:cs="Times New Roman"/>
          <w:sz w:val="24"/>
          <w:szCs w:val="24"/>
        </w:rPr>
        <w:t xml:space="preserve"> </w:t>
      </w:r>
      <w:r w:rsidR="005F7BB2" w:rsidRPr="005F7BB2">
        <w:rPr>
          <w:rFonts w:ascii="Times New Roman" w:hAnsi="Times New Roman" w:cs="Times New Roman"/>
          <w:sz w:val="24"/>
          <w:szCs w:val="24"/>
        </w:rPr>
        <w:t>In this context, evaluating MGT as a functional vigour test offers potential to complement existing parameters and provide a robust measure of seed lot quality. By reflecting the physiological efficiency of germination and seedling establishment, MGT can serve as a practical tool for seed quality assessment, storage evaluatio</w:t>
      </w:r>
      <w:r w:rsidR="005A7B11">
        <w:rPr>
          <w:rFonts w:ascii="Times New Roman" w:hAnsi="Times New Roman" w:cs="Times New Roman"/>
          <w:sz w:val="24"/>
          <w:szCs w:val="24"/>
        </w:rPr>
        <w:t>n</w:t>
      </w:r>
      <w:r w:rsidR="005F7BB2" w:rsidRPr="005F7BB2">
        <w:rPr>
          <w:rFonts w:ascii="Times New Roman" w:hAnsi="Times New Roman" w:cs="Times New Roman"/>
          <w:sz w:val="24"/>
          <w:szCs w:val="24"/>
        </w:rPr>
        <w:t xml:space="preserve"> and seed enhancement studies in sorghum. Establishing its utility will contribute to both scientific understanding and practical applications in seed technology and crop improvement.</w:t>
      </w:r>
      <w:commentRangeEnd w:id="1"/>
      <w:r w:rsidR="001F0B5C">
        <w:rPr>
          <w:rStyle w:val="CommentReference"/>
        </w:rPr>
        <w:commentReference w:id="1"/>
      </w:r>
    </w:p>
    <w:p w14:paraId="5CB59E36" w14:textId="2E1FB983" w:rsidR="00032FB7" w:rsidRDefault="00032FB7" w:rsidP="00032FB7">
      <w:pPr>
        <w:spacing w:line="360" w:lineRule="auto"/>
        <w:jc w:val="both"/>
        <w:rPr>
          <w:rFonts w:ascii="Times New Roman" w:hAnsi="Times New Roman" w:cs="Times New Roman"/>
          <w:b/>
          <w:bCs/>
          <w:sz w:val="24"/>
          <w:szCs w:val="24"/>
        </w:rPr>
      </w:pPr>
      <w:r w:rsidRPr="006E0F7F">
        <w:rPr>
          <w:rFonts w:ascii="Times New Roman" w:hAnsi="Times New Roman" w:cs="Times New Roman"/>
          <w:b/>
          <w:bCs/>
          <w:sz w:val="24"/>
          <w:szCs w:val="24"/>
        </w:rPr>
        <w:lastRenderedPageBreak/>
        <w:t>Materials and methods:</w:t>
      </w:r>
      <w:r>
        <w:rPr>
          <w:rFonts w:ascii="Times New Roman" w:hAnsi="Times New Roman" w:cs="Times New Roman"/>
          <w:b/>
          <w:bCs/>
          <w:sz w:val="24"/>
          <w:szCs w:val="24"/>
        </w:rPr>
        <w:t xml:space="preserve"> </w:t>
      </w:r>
      <w:r w:rsidRPr="00616E9C">
        <w:rPr>
          <w:rFonts w:ascii="Times New Roman" w:hAnsi="Times New Roman" w:cs="Times New Roman"/>
          <w:sz w:val="24"/>
          <w:szCs w:val="24"/>
        </w:rPr>
        <w:t>The research involved a series of laboratory and field experiments carried out at National Institute of Seed Science and Technology, Regional Station, GKVK, Bengaluru, AICRP</w:t>
      </w:r>
      <w:r w:rsidRPr="00616E9C">
        <w:rPr>
          <w:rFonts w:ascii="Times New Roman" w:hAnsi="Times New Roman" w:cs="Times New Roman"/>
          <w:spacing w:val="-3"/>
          <w:sz w:val="24"/>
          <w:szCs w:val="24"/>
        </w:rPr>
        <w:t xml:space="preserve"> </w:t>
      </w:r>
      <w:r w:rsidRPr="00616E9C">
        <w:rPr>
          <w:rFonts w:ascii="Times New Roman" w:hAnsi="Times New Roman" w:cs="Times New Roman"/>
          <w:sz w:val="24"/>
          <w:szCs w:val="24"/>
        </w:rPr>
        <w:t>on</w:t>
      </w:r>
      <w:r w:rsidRPr="00616E9C">
        <w:rPr>
          <w:rFonts w:ascii="Times New Roman" w:hAnsi="Times New Roman" w:cs="Times New Roman"/>
          <w:spacing w:val="-2"/>
          <w:sz w:val="24"/>
          <w:szCs w:val="24"/>
        </w:rPr>
        <w:t xml:space="preserve"> </w:t>
      </w:r>
      <w:r w:rsidRPr="00616E9C">
        <w:rPr>
          <w:rFonts w:ascii="Times New Roman" w:hAnsi="Times New Roman" w:cs="Times New Roman"/>
          <w:sz w:val="24"/>
          <w:szCs w:val="24"/>
        </w:rPr>
        <w:t>seed</w:t>
      </w:r>
      <w:r w:rsidRPr="00616E9C">
        <w:rPr>
          <w:rFonts w:ascii="Times New Roman" w:hAnsi="Times New Roman" w:cs="Times New Roman"/>
          <w:spacing w:val="-3"/>
          <w:sz w:val="24"/>
          <w:szCs w:val="24"/>
        </w:rPr>
        <w:t xml:space="preserve"> </w:t>
      </w:r>
      <w:r w:rsidRPr="00616E9C">
        <w:rPr>
          <w:rFonts w:ascii="Times New Roman" w:hAnsi="Times New Roman" w:cs="Times New Roman"/>
          <w:sz w:val="24"/>
          <w:szCs w:val="24"/>
        </w:rPr>
        <w:t>(crops), UAS,</w:t>
      </w:r>
      <w:r w:rsidRPr="00616E9C">
        <w:rPr>
          <w:rFonts w:ascii="Times New Roman" w:hAnsi="Times New Roman" w:cs="Times New Roman"/>
          <w:spacing w:val="-2"/>
          <w:sz w:val="24"/>
          <w:szCs w:val="24"/>
        </w:rPr>
        <w:t xml:space="preserve"> </w:t>
      </w:r>
      <w:r w:rsidRPr="00616E9C">
        <w:rPr>
          <w:rFonts w:ascii="Times New Roman" w:hAnsi="Times New Roman" w:cs="Times New Roman"/>
          <w:sz w:val="24"/>
          <w:szCs w:val="24"/>
        </w:rPr>
        <w:t>GKVK,</w:t>
      </w:r>
      <w:r w:rsidRPr="00616E9C">
        <w:rPr>
          <w:rFonts w:ascii="Times New Roman" w:hAnsi="Times New Roman" w:cs="Times New Roman"/>
          <w:spacing w:val="-2"/>
          <w:sz w:val="24"/>
          <w:szCs w:val="24"/>
        </w:rPr>
        <w:t xml:space="preserve"> Bangalore and Department of Seed Science and Technology, GKVK, Bengaluru.</w:t>
      </w:r>
    </w:p>
    <w:p w14:paraId="3E8366D1" w14:textId="468B1A2C" w:rsidR="00032FB7" w:rsidRPr="00616E9C" w:rsidRDefault="00032FB7" w:rsidP="00032FB7">
      <w:pPr>
        <w:tabs>
          <w:tab w:val="left" w:pos="852"/>
        </w:tabs>
        <w:spacing w:before="138" w:line="360" w:lineRule="auto"/>
        <w:jc w:val="both"/>
        <w:rPr>
          <w:rFonts w:ascii="Times New Roman" w:hAnsi="Times New Roman" w:cs="Times New Roman"/>
          <w:bCs/>
          <w:sz w:val="24"/>
          <w:szCs w:val="24"/>
        </w:rPr>
      </w:pPr>
      <w:r w:rsidRPr="006E0F7F">
        <w:rPr>
          <w:rFonts w:ascii="Times New Roman" w:hAnsi="Times New Roman" w:cs="Times New Roman"/>
          <w:b/>
          <w:sz w:val="24"/>
          <w:szCs w:val="24"/>
        </w:rPr>
        <w:t>Seed</w:t>
      </w:r>
      <w:r w:rsidR="00643C20">
        <w:rPr>
          <w:rFonts w:ascii="Times New Roman" w:hAnsi="Times New Roman" w:cs="Times New Roman"/>
          <w:b/>
          <w:sz w:val="24"/>
          <w:szCs w:val="24"/>
        </w:rPr>
        <w:t xml:space="preserve"> storage</w:t>
      </w:r>
      <w:r w:rsidRPr="006E0F7F">
        <w:rPr>
          <w:rFonts w:ascii="Times New Roman" w:hAnsi="Times New Roman" w:cs="Times New Roman"/>
          <w:b/>
          <w:sz w:val="24"/>
          <w:szCs w:val="24"/>
        </w:rPr>
        <w:t>:</w:t>
      </w:r>
      <w:r>
        <w:rPr>
          <w:rFonts w:ascii="Times New Roman" w:hAnsi="Times New Roman" w:cs="Times New Roman"/>
          <w:bCs/>
          <w:sz w:val="24"/>
          <w:szCs w:val="24"/>
        </w:rPr>
        <w:t xml:space="preserve"> Fifteen</w:t>
      </w:r>
      <w:r w:rsidRPr="00616E9C">
        <w:rPr>
          <w:rFonts w:ascii="Times New Roman" w:hAnsi="Times New Roman" w:cs="Times New Roman"/>
          <w:bCs/>
          <w:sz w:val="24"/>
          <w:szCs w:val="24"/>
        </w:rPr>
        <w:t xml:space="preserve"> sorghum seed lots of acceptable germination percentage were procured from Indian Institute of Millet Research, Hyderabad</w:t>
      </w:r>
      <w:r>
        <w:rPr>
          <w:rFonts w:ascii="Times New Roman" w:hAnsi="Times New Roman" w:cs="Times New Roman"/>
          <w:bCs/>
          <w:sz w:val="24"/>
          <w:szCs w:val="24"/>
        </w:rPr>
        <w:t xml:space="preserve"> were stored for about 12 months in cloth bags </w:t>
      </w:r>
      <w:r w:rsidR="00E25B39">
        <w:rPr>
          <w:rFonts w:ascii="Times New Roman" w:hAnsi="Times New Roman" w:cs="Times New Roman"/>
          <w:bCs/>
          <w:sz w:val="24"/>
          <w:szCs w:val="24"/>
        </w:rPr>
        <w:t xml:space="preserve">under ambient storage conditions. Mean germination time (MGT) and field </w:t>
      </w:r>
      <w:r w:rsidR="00643C20">
        <w:rPr>
          <w:rFonts w:ascii="Times New Roman" w:hAnsi="Times New Roman" w:cs="Times New Roman"/>
          <w:bCs/>
          <w:sz w:val="24"/>
          <w:szCs w:val="24"/>
        </w:rPr>
        <w:t>emergence percentage</w:t>
      </w:r>
      <w:r w:rsidR="00E25B39">
        <w:rPr>
          <w:rFonts w:ascii="Times New Roman" w:hAnsi="Times New Roman" w:cs="Times New Roman"/>
          <w:bCs/>
          <w:sz w:val="24"/>
          <w:szCs w:val="24"/>
        </w:rPr>
        <w:t xml:space="preserve"> (FE %) were recorded for every three months.</w:t>
      </w:r>
    </w:p>
    <w:p w14:paraId="520C3AAA" w14:textId="77777777" w:rsidR="00032FB7" w:rsidRPr="00616E9C" w:rsidRDefault="00032FB7" w:rsidP="00032FB7">
      <w:pPr>
        <w:pStyle w:val="TableParagraph"/>
        <w:spacing w:before="1" w:line="360" w:lineRule="auto"/>
        <w:ind w:left="95"/>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Pr="00616E9C">
        <w:rPr>
          <w:rFonts w:ascii="Times New Roman" w:hAnsi="Times New Roman" w:cs="Times New Roman"/>
          <w:b/>
          <w:sz w:val="24"/>
          <w:szCs w:val="24"/>
        </w:rPr>
        <w:t>Seed lot details</w:t>
      </w:r>
    </w:p>
    <w:tbl>
      <w:tblPr>
        <w:tblStyle w:val="TableGrid"/>
        <w:tblW w:w="0" w:type="auto"/>
        <w:tblInd w:w="95" w:type="dxa"/>
        <w:tblLayout w:type="fixed"/>
        <w:tblLook w:val="04A0" w:firstRow="1" w:lastRow="0" w:firstColumn="1" w:lastColumn="0" w:noHBand="0" w:noVBand="1"/>
      </w:tblPr>
      <w:tblGrid>
        <w:gridCol w:w="4629"/>
        <w:gridCol w:w="4630"/>
      </w:tblGrid>
      <w:tr w:rsidR="00032FB7" w:rsidRPr="00616E9C" w14:paraId="71AB3EDC" w14:textId="77777777" w:rsidTr="00FB2423">
        <w:trPr>
          <w:trHeight w:val="372"/>
        </w:trPr>
        <w:tc>
          <w:tcPr>
            <w:tcW w:w="4629" w:type="dxa"/>
          </w:tcPr>
          <w:p w14:paraId="3A336453"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15 R01(RABI 2023)</w:t>
            </w:r>
          </w:p>
        </w:tc>
        <w:tc>
          <w:tcPr>
            <w:tcW w:w="4630" w:type="dxa"/>
          </w:tcPr>
          <w:p w14:paraId="609C9273"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9. CSV 15 R 12 (R 2023)</w:t>
            </w:r>
          </w:p>
        </w:tc>
      </w:tr>
      <w:tr w:rsidR="00032FB7" w:rsidRPr="00616E9C" w14:paraId="15C3CE1D" w14:textId="77777777" w:rsidTr="00FB2423">
        <w:trPr>
          <w:trHeight w:val="386"/>
        </w:trPr>
        <w:tc>
          <w:tcPr>
            <w:tcW w:w="4629" w:type="dxa"/>
          </w:tcPr>
          <w:p w14:paraId="51976C2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48(R 2024)</w:t>
            </w:r>
          </w:p>
        </w:tc>
        <w:tc>
          <w:tcPr>
            <w:tcW w:w="4630" w:type="dxa"/>
          </w:tcPr>
          <w:p w14:paraId="391C8269"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10. CSH 43 MF (R 2024)</w:t>
            </w:r>
          </w:p>
        </w:tc>
      </w:tr>
      <w:tr w:rsidR="00032FB7" w:rsidRPr="00616E9C" w14:paraId="27BD5674" w14:textId="77777777" w:rsidTr="00FB2423">
        <w:trPr>
          <w:trHeight w:val="372"/>
        </w:trPr>
        <w:tc>
          <w:tcPr>
            <w:tcW w:w="4629" w:type="dxa"/>
          </w:tcPr>
          <w:p w14:paraId="13C6EB7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CSH 24 MF (R 2024)</w:t>
            </w:r>
          </w:p>
        </w:tc>
        <w:tc>
          <w:tcPr>
            <w:tcW w:w="4630" w:type="dxa"/>
          </w:tcPr>
          <w:p w14:paraId="51438E77"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11. CSV 32 F (R 2023)</w:t>
            </w:r>
          </w:p>
        </w:tc>
      </w:tr>
      <w:tr w:rsidR="00032FB7" w:rsidRPr="00616E9C" w14:paraId="3DD453FE" w14:textId="77777777" w:rsidTr="00FB2423">
        <w:trPr>
          <w:trHeight w:val="372"/>
        </w:trPr>
        <w:tc>
          <w:tcPr>
            <w:tcW w:w="4629" w:type="dxa"/>
          </w:tcPr>
          <w:p w14:paraId="25AA7736"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29 R (R 2024)</w:t>
            </w:r>
          </w:p>
        </w:tc>
        <w:tc>
          <w:tcPr>
            <w:tcW w:w="4630" w:type="dxa"/>
          </w:tcPr>
          <w:p w14:paraId="17AC08A5"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12. 467 A (R 2024)</w:t>
            </w:r>
          </w:p>
        </w:tc>
      </w:tr>
      <w:tr w:rsidR="00032FB7" w:rsidRPr="00616E9C" w14:paraId="1A958AD7" w14:textId="77777777" w:rsidTr="00FB2423">
        <w:trPr>
          <w:trHeight w:val="386"/>
        </w:trPr>
        <w:tc>
          <w:tcPr>
            <w:tcW w:w="4629" w:type="dxa"/>
          </w:tcPr>
          <w:p w14:paraId="15A71E01"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38 F (R 2023)</w:t>
            </w:r>
          </w:p>
        </w:tc>
        <w:tc>
          <w:tcPr>
            <w:tcW w:w="4630" w:type="dxa"/>
          </w:tcPr>
          <w:p w14:paraId="4736C0F6"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13. CSV 38 F (R 2024)</w:t>
            </w:r>
          </w:p>
        </w:tc>
      </w:tr>
      <w:tr w:rsidR="00032FB7" w:rsidRPr="00616E9C" w14:paraId="3D030CD6" w14:textId="77777777" w:rsidTr="00FB2423">
        <w:trPr>
          <w:trHeight w:val="372"/>
        </w:trPr>
        <w:tc>
          <w:tcPr>
            <w:tcW w:w="4629" w:type="dxa"/>
          </w:tcPr>
          <w:p w14:paraId="75FC1C0A"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41 (R 2024)</w:t>
            </w:r>
          </w:p>
        </w:tc>
        <w:tc>
          <w:tcPr>
            <w:tcW w:w="4630" w:type="dxa"/>
          </w:tcPr>
          <w:p w14:paraId="63CCA5D7"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14. PGPS 2 (R 2024)</w:t>
            </w:r>
          </w:p>
        </w:tc>
      </w:tr>
      <w:tr w:rsidR="00032FB7" w:rsidRPr="00616E9C" w14:paraId="5A58B517" w14:textId="77777777" w:rsidTr="00FB2423">
        <w:trPr>
          <w:trHeight w:val="372"/>
        </w:trPr>
        <w:tc>
          <w:tcPr>
            <w:tcW w:w="4629" w:type="dxa"/>
          </w:tcPr>
          <w:p w14:paraId="39103E8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32 F (R 2024)</w:t>
            </w:r>
          </w:p>
        </w:tc>
        <w:tc>
          <w:tcPr>
            <w:tcW w:w="4630" w:type="dxa"/>
          </w:tcPr>
          <w:p w14:paraId="3F3B2073"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15. COFS 29 (KHARIF 2024)</w:t>
            </w:r>
          </w:p>
        </w:tc>
      </w:tr>
      <w:tr w:rsidR="00032FB7" w:rsidRPr="00616E9C" w14:paraId="69F00644" w14:textId="77777777" w:rsidTr="00FB2423">
        <w:trPr>
          <w:trHeight w:val="372"/>
        </w:trPr>
        <w:tc>
          <w:tcPr>
            <w:tcW w:w="4629" w:type="dxa"/>
          </w:tcPr>
          <w:p w14:paraId="182820FA"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21 F (R 2024)</w:t>
            </w:r>
          </w:p>
        </w:tc>
        <w:tc>
          <w:tcPr>
            <w:tcW w:w="4630" w:type="dxa"/>
          </w:tcPr>
          <w:p w14:paraId="5685E6B1"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p>
        </w:tc>
      </w:tr>
    </w:tbl>
    <w:p w14:paraId="765A76DE" w14:textId="77777777" w:rsidR="00E25B39" w:rsidRDefault="00E25B39" w:rsidP="00032FB7">
      <w:pPr>
        <w:spacing w:line="360" w:lineRule="auto"/>
        <w:jc w:val="both"/>
        <w:rPr>
          <w:rFonts w:ascii="Times New Roman" w:hAnsi="Times New Roman" w:cs="Times New Roman"/>
          <w:b/>
          <w:bCs/>
          <w:sz w:val="24"/>
          <w:szCs w:val="24"/>
        </w:rPr>
      </w:pPr>
    </w:p>
    <w:p w14:paraId="2C7952E8" w14:textId="55494149" w:rsidR="00032FB7" w:rsidRPr="00616E9C" w:rsidRDefault="00032FB7" w:rsidP="00032FB7">
      <w:pPr>
        <w:spacing w:line="360" w:lineRule="auto"/>
        <w:jc w:val="both"/>
        <w:rPr>
          <w:rFonts w:ascii="Times New Roman" w:hAnsi="Times New Roman" w:cs="Times New Roman"/>
          <w:b/>
          <w:bCs/>
          <w:sz w:val="24"/>
          <w:szCs w:val="24"/>
        </w:rPr>
      </w:pPr>
      <w:r w:rsidRPr="00616E9C">
        <w:rPr>
          <w:rFonts w:ascii="Times New Roman" w:hAnsi="Times New Roman" w:cs="Times New Roman"/>
          <w:b/>
          <w:bCs/>
          <w:sz w:val="24"/>
          <w:szCs w:val="24"/>
        </w:rPr>
        <w:t>Mean</w:t>
      </w:r>
      <w:r w:rsidRPr="00616E9C">
        <w:rPr>
          <w:rFonts w:ascii="Times New Roman" w:hAnsi="Times New Roman" w:cs="Times New Roman"/>
          <w:b/>
          <w:bCs/>
          <w:spacing w:val="-3"/>
          <w:sz w:val="24"/>
          <w:szCs w:val="24"/>
        </w:rPr>
        <w:t xml:space="preserve"> </w:t>
      </w:r>
      <w:r w:rsidRPr="00616E9C">
        <w:rPr>
          <w:rFonts w:ascii="Times New Roman" w:hAnsi="Times New Roman" w:cs="Times New Roman"/>
          <w:b/>
          <w:bCs/>
          <w:sz w:val="24"/>
          <w:szCs w:val="24"/>
        </w:rPr>
        <w:t>germination</w:t>
      </w:r>
      <w:r w:rsidRPr="00616E9C">
        <w:rPr>
          <w:rFonts w:ascii="Times New Roman" w:hAnsi="Times New Roman" w:cs="Times New Roman"/>
          <w:b/>
          <w:bCs/>
          <w:spacing w:val="-3"/>
          <w:sz w:val="24"/>
          <w:szCs w:val="24"/>
        </w:rPr>
        <w:t xml:space="preserve"> </w:t>
      </w:r>
      <w:r w:rsidRPr="00616E9C">
        <w:rPr>
          <w:rFonts w:ascii="Times New Roman" w:hAnsi="Times New Roman" w:cs="Times New Roman"/>
          <w:b/>
          <w:bCs/>
          <w:sz w:val="24"/>
          <w:szCs w:val="24"/>
        </w:rPr>
        <w:t xml:space="preserve">time </w:t>
      </w:r>
    </w:p>
    <w:p w14:paraId="456E64E6" w14:textId="77777777" w:rsidR="00032FB7" w:rsidRPr="00616E9C" w:rsidRDefault="00032FB7" w:rsidP="00032FB7">
      <w:pPr>
        <w:spacing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The seeds were placed on top of paper media and four replications of 100 seeds from each seed lot taken randomly. Counts of germination were made every 2 h for 2 days after 18 hours of placing of seeds on top of paper at 25°C (it has been fixed based on the initial experiment observation). Counts were made of when a 2mm radicle had been produced. </w:t>
      </w:r>
    </w:p>
    <w:p w14:paraId="3721A47F" w14:textId="77777777" w:rsidR="00032FB7" w:rsidRPr="00616E9C" w:rsidRDefault="00032FB7" w:rsidP="00032FB7">
      <w:pPr>
        <w:spacing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Mean germination time (MGT) = Σ (</w:t>
      </w:r>
      <w:proofErr w:type="spellStart"/>
      <w:r w:rsidRPr="00616E9C">
        <w:rPr>
          <w:rFonts w:ascii="Times New Roman" w:hAnsi="Times New Roman" w:cs="Times New Roman"/>
          <w:sz w:val="24"/>
          <w:szCs w:val="24"/>
        </w:rPr>
        <w:t>nt</w:t>
      </w:r>
      <w:proofErr w:type="spellEnd"/>
      <w:r w:rsidRPr="00616E9C">
        <w:rPr>
          <w:rFonts w:ascii="Times New Roman" w:hAnsi="Times New Roman" w:cs="Times New Roman"/>
          <w:sz w:val="24"/>
          <w:szCs w:val="24"/>
        </w:rPr>
        <w:t>) / Σ n</w:t>
      </w:r>
    </w:p>
    <w:p w14:paraId="20B066EB" w14:textId="77777777" w:rsidR="00032FB7" w:rsidRPr="00616E9C" w:rsidRDefault="00032FB7" w:rsidP="00032FB7">
      <w:pPr>
        <w:spacing w:after="0"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where n = number of seeds newly germinated at time t</w:t>
      </w:r>
    </w:p>
    <w:p w14:paraId="437E8853" w14:textId="77777777" w:rsidR="00643C20" w:rsidRDefault="00032FB7" w:rsidP="00643C20">
      <w:pPr>
        <w:spacing w:after="0"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t = days from when set to germinate</w:t>
      </w:r>
      <w:bookmarkStart w:id="2" w:name="_Hlk201227033"/>
    </w:p>
    <w:p w14:paraId="4C1B2E46" w14:textId="6797BEC5" w:rsidR="00643C20" w:rsidRPr="00643C20" w:rsidRDefault="00643C20" w:rsidP="00643C20">
      <w:pPr>
        <w:spacing w:after="0" w:line="360" w:lineRule="auto"/>
        <w:jc w:val="both"/>
        <w:rPr>
          <w:rFonts w:ascii="Times New Roman" w:hAnsi="Times New Roman" w:cs="Times New Roman"/>
          <w:sz w:val="24"/>
          <w:szCs w:val="24"/>
        </w:rPr>
      </w:pPr>
      <w:r w:rsidRPr="00643C20">
        <w:rPr>
          <w:rFonts w:ascii="Times New Roman" w:hAnsi="Times New Roman" w:cs="Times New Roman"/>
          <w:b/>
          <w:bCs/>
          <w:sz w:val="24"/>
          <w:szCs w:val="24"/>
        </w:rPr>
        <w:t>Field emergence test</w:t>
      </w:r>
    </w:p>
    <w:p w14:paraId="49CB0361" w14:textId="144AA8E5" w:rsidR="00643C20" w:rsidRDefault="00643C20" w:rsidP="00643C20">
      <w:pPr>
        <w:pStyle w:val="ListParagraph"/>
        <w:spacing w:line="360" w:lineRule="auto"/>
        <w:ind w:left="0" w:firstLine="0"/>
        <w:jc w:val="both"/>
        <w:rPr>
          <w:sz w:val="24"/>
          <w:szCs w:val="24"/>
        </w:rPr>
      </w:pPr>
      <w:r w:rsidRPr="00643C20">
        <w:rPr>
          <w:spacing w:val="-1"/>
          <w:sz w:val="24"/>
          <w:szCs w:val="24"/>
        </w:rPr>
        <w:t xml:space="preserve"> </w:t>
      </w:r>
      <w:r w:rsidRPr="00643C20">
        <w:rPr>
          <w:sz w:val="24"/>
          <w:szCs w:val="24"/>
        </w:rPr>
        <w:t>400</w:t>
      </w:r>
      <w:r w:rsidRPr="00643C20">
        <w:rPr>
          <w:spacing w:val="-1"/>
          <w:sz w:val="24"/>
          <w:szCs w:val="24"/>
        </w:rPr>
        <w:t xml:space="preserve"> </w:t>
      </w:r>
      <w:r w:rsidRPr="00643C20">
        <w:rPr>
          <w:sz w:val="24"/>
          <w:szCs w:val="24"/>
        </w:rPr>
        <w:t>seeds</w:t>
      </w:r>
      <w:r w:rsidRPr="00643C20">
        <w:rPr>
          <w:spacing w:val="-1"/>
          <w:sz w:val="24"/>
          <w:szCs w:val="24"/>
        </w:rPr>
        <w:t xml:space="preserve"> </w:t>
      </w:r>
      <w:r w:rsidRPr="00643C20">
        <w:rPr>
          <w:sz w:val="24"/>
          <w:szCs w:val="24"/>
        </w:rPr>
        <w:t>in 4</w:t>
      </w:r>
      <w:r w:rsidRPr="00643C20">
        <w:rPr>
          <w:spacing w:val="-1"/>
          <w:sz w:val="24"/>
          <w:szCs w:val="24"/>
        </w:rPr>
        <w:t xml:space="preserve"> </w:t>
      </w:r>
      <w:r w:rsidRPr="00643C20">
        <w:rPr>
          <w:sz w:val="24"/>
          <w:szCs w:val="24"/>
        </w:rPr>
        <w:t>replications from each seed lot had been sown in field and the RCBD design had been employed for the test in field.</w:t>
      </w:r>
      <w:r w:rsidRPr="00643C20">
        <w:rPr>
          <w:spacing w:val="-1"/>
          <w:sz w:val="24"/>
          <w:szCs w:val="24"/>
        </w:rPr>
        <w:t xml:space="preserve"> </w:t>
      </w:r>
      <w:r w:rsidRPr="00643C20">
        <w:rPr>
          <w:sz w:val="24"/>
          <w:szCs w:val="24"/>
        </w:rPr>
        <w:t>Field emergence % had been</w:t>
      </w:r>
      <w:r w:rsidRPr="00643C20">
        <w:rPr>
          <w:spacing w:val="-2"/>
          <w:sz w:val="24"/>
          <w:szCs w:val="24"/>
        </w:rPr>
        <w:t xml:space="preserve"> </w:t>
      </w:r>
      <w:r w:rsidRPr="00643C20">
        <w:rPr>
          <w:sz w:val="24"/>
          <w:szCs w:val="24"/>
        </w:rPr>
        <w:t>recorded after 10 and 20 DAS.</w:t>
      </w:r>
    </w:p>
    <w:p w14:paraId="123A4F7C" w14:textId="1A379C06" w:rsidR="00643C20" w:rsidRPr="00643C20" w:rsidRDefault="00643C20" w:rsidP="00643C20">
      <w:pPr>
        <w:autoSpaceDE w:val="0"/>
        <w:autoSpaceDN w:val="0"/>
        <w:adjustRightInd w:val="0"/>
        <w:spacing w:after="0" w:line="240" w:lineRule="auto"/>
        <w:jc w:val="center"/>
        <w:rPr>
          <w:rFonts w:ascii="Times New Roman" w:hAnsi="Times New Roman" w:cs="Times New Roman"/>
          <w:sz w:val="24"/>
          <w:szCs w:val="24"/>
        </w:rPr>
      </w:pPr>
      <w:r w:rsidRPr="00643C20">
        <w:rPr>
          <w:rFonts w:ascii="Times New Roman" w:hAnsi="Times New Roman" w:cs="Times New Roman"/>
          <w:sz w:val="24"/>
          <w:szCs w:val="24"/>
        </w:rPr>
        <w:lastRenderedPageBreak/>
        <w:t xml:space="preserve">Field emergence percentage </w:t>
      </w:r>
      <w:r w:rsidRPr="00643C20">
        <w:rPr>
          <w:rFonts w:ascii="Times New Roman" w:hAnsi="Times New Roman" w:cs="Times New Roman"/>
          <w:sz w:val="28"/>
          <w:szCs w:val="28"/>
        </w:rPr>
        <w:t>=</w:t>
      </w:r>
      <m:oMath>
        <m:r>
          <w:rPr>
            <w:rFonts w:ascii="Cambria Math" w:hAnsi="Cambria Math" w:cs="Times New Roman"/>
            <w:sz w:val="28"/>
            <w:szCs w:val="28"/>
          </w:rPr>
          <m:t xml:space="preserve">    </m:t>
        </m:r>
        <m:f>
          <m:fPr>
            <m:ctrlPr>
              <w:rPr>
                <w:rFonts w:ascii="Cambria Math" w:eastAsia="Times New Roman" w:hAnsi="Cambria Math" w:cs="Times New Roman"/>
                <w:i/>
                <w:sz w:val="28"/>
                <w:szCs w:val="28"/>
                <w:lang w:val="en-US"/>
              </w:rPr>
            </m:ctrlPr>
          </m:fPr>
          <m:num>
            <m:r>
              <m:rPr>
                <m:sty m:val="p"/>
              </m:rPr>
              <w:rPr>
                <w:rFonts w:ascii="Cambria Math" w:hAnsi="Cambria Math" w:cs="Times New Roman"/>
                <w:sz w:val="28"/>
                <w:szCs w:val="28"/>
              </w:rPr>
              <m:t xml:space="preserve">No. of seedlings emerged </m:t>
            </m:r>
          </m:num>
          <m:den>
            <m:r>
              <m:rPr>
                <m:sty m:val="p"/>
              </m:rPr>
              <w:rPr>
                <w:rFonts w:ascii="Cambria Math" w:hAnsi="Cambria Math" w:cs="Times New Roman"/>
                <w:sz w:val="28"/>
                <w:szCs w:val="28"/>
              </w:rPr>
              <m:t>Total no. of seeds sown</m:t>
            </m:r>
          </m:den>
        </m:f>
      </m:oMath>
      <w:r w:rsidRPr="00643C20">
        <w:rPr>
          <w:rFonts w:ascii="Times New Roman" w:eastAsiaTheme="minorEastAsia" w:hAnsi="Times New Roman" w:cs="Times New Roman"/>
          <w:sz w:val="28"/>
          <w:szCs w:val="28"/>
          <w:lang w:val="en-US"/>
        </w:rPr>
        <w:t xml:space="preserve"> </w:t>
      </w:r>
      <w:r w:rsidRPr="00643C20">
        <w:rPr>
          <w:rFonts w:ascii="Times New Roman" w:eastAsiaTheme="minorEastAsia" w:hAnsi="Times New Roman" w:cs="Times New Roman"/>
          <w:sz w:val="24"/>
          <w:szCs w:val="24"/>
          <w:lang w:val="en-US"/>
        </w:rPr>
        <w:t>× 100</w:t>
      </w:r>
      <w:r w:rsidRPr="00643C20">
        <w:rPr>
          <w:rFonts w:ascii="Cambria Math" w:eastAsia="Times New Roman" w:hAnsi="Cambria Math" w:cs="Times New Roman"/>
          <w:i/>
          <w:sz w:val="24"/>
          <w:szCs w:val="24"/>
          <w:lang w:val="en-US"/>
        </w:rPr>
        <w:br/>
      </w:r>
      <w:r>
        <w:rPr>
          <w:rFonts w:ascii="Times New Roman" w:hAnsi="Times New Roman" w:cs="Times New Roman"/>
          <w:sz w:val="24"/>
          <w:szCs w:val="24"/>
        </w:rPr>
        <w:br/>
      </w:r>
    </w:p>
    <w:bookmarkEnd w:id="2"/>
    <w:p w14:paraId="301719BC" w14:textId="42CB51FD" w:rsidR="00812719" w:rsidRDefault="00812719" w:rsidP="006B739A">
      <w:pPr>
        <w:pStyle w:val="BodyText"/>
        <w:spacing w:after="240" w:line="360" w:lineRule="auto"/>
        <w:ind w:right="286"/>
        <w:jc w:val="both"/>
        <w:rPr>
          <w:rFonts w:ascii="Times New Roman" w:hAnsi="Times New Roman" w:cs="Times New Roman"/>
        </w:rPr>
      </w:pPr>
      <w:r w:rsidRPr="007027D8">
        <w:rPr>
          <w:rFonts w:ascii="Times New Roman" w:hAnsi="Times New Roman" w:cs="Times New Roman"/>
          <w:b/>
          <w:bCs/>
        </w:rPr>
        <w:t xml:space="preserve">Statistical analysis: </w:t>
      </w:r>
      <w:r w:rsidRPr="007027D8">
        <w:rPr>
          <w:rFonts w:ascii="Times New Roman" w:hAnsi="Times New Roman" w:cs="Times New Roman"/>
        </w:rPr>
        <w:t xml:space="preserve">The data collected from the experiment were </w:t>
      </w:r>
      <w:proofErr w:type="spellStart"/>
      <w:r w:rsidRPr="007027D8">
        <w:rPr>
          <w:rFonts w:ascii="Times New Roman" w:hAnsi="Times New Roman" w:cs="Times New Roman"/>
        </w:rPr>
        <w:t>analysed</w:t>
      </w:r>
      <w:proofErr w:type="spellEnd"/>
      <w:r w:rsidRPr="007027D8">
        <w:rPr>
          <w:rFonts w:ascii="Times New Roman" w:hAnsi="Times New Roman" w:cs="Times New Roman"/>
        </w:rPr>
        <w:t xml:space="preserve"> statistically by following the procedure suggested as by Panse and </w:t>
      </w:r>
      <w:proofErr w:type="spellStart"/>
      <w:r w:rsidRPr="007027D8">
        <w:rPr>
          <w:rFonts w:ascii="Times New Roman" w:hAnsi="Times New Roman" w:cs="Times New Roman"/>
        </w:rPr>
        <w:t>Sukhatme</w:t>
      </w:r>
      <w:proofErr w:type="spellEnd"/>
      <w:r w:rsidRPr="007027D8">
        <w:rPr>
          <w:rFonts w:ascii="Times New Roman" w:hAnsi="Times New Roman" w:cs="Times New Roman"/>
        </w:rPr>
        <w:t xml:space="preserve"> (1967). Whenever ‘F’ test was found significant, the critical difference (CD) values were calculated and the mean were compared at </w:t>
      </w:r>
      <w:r>
        <w:rPr>
          <w:rFonts w:ascii="Times New Roman" w:hAnsi="Times New Roman" w:cs="Times New Roman"/>
        </w:rPr>
        <w:t>five</w:t>
      </w:r>
      <w:r w:rsidRPr="007027D8">
        <w:rPr>
          <w:rFonts w:ascii="Times New Roman" w:hAnsi="Times New Roman" w:cs="Times New Roman"/>
        </w:rPr>
        <w:t xml:space="preserve"> per cent</w:t>
      </w:r>
      <w:r>
        <w:rPr>
          <w:rFonts w:ascii="Times New Roman" w:hAnsi="Times New Roman" w:cs="Times New Roman"/>
        </w:rPr>
        <w:t xml:space="preserve">. </w:t>
      </w:r>
      <w:r w:rsidRPr="00616E9C">
        <w:rPr>
          <w:rFonts w:ascii="Times New Roman" w:hAnsi="Times New Roman" w:cs="Times New Roman"/>
        </w:rPr>
        <w:t>Correlation</w:t>
      </w:r>
      <w:r w:rsidRPr="00616E9C">
        <w:rPr>
          <w:rFonts w:ascii="Times New Roman" w:hAnsi="Times New Roman" w:cs="Times New Roman"/>
          <w:spacing w:val="-3"/>
        </w:rPr>
        <w:t xml:space="preserve"> </w:t>
      </w:r>
      <w:r w:rsidRPr="00616E9C">
        <w:rPr>
          <w:rFonts w:ascii="Times New Roman" w:hAnsi="Times New Roman" w:cs="Times New Roman"/>
        </w:rPr>
        <w:t>was studied</w:t>
      </w:r>
      <w:r>
        <w:rPr>
          <w:rFonts w:ascii="Times New Roman" w:hAnsi="Times New Roman" w:cs="Times New Roman"/>
        </w:rPr>
        <w:t xml:space="preserve"> between MGT and FE</w:t>
      </w:r>
      <w:r w:rsidRPr="00616E9C">
        <w:rPr>
          <w:rFonts w:ascii="Times New Roman" w:hAnsi="Times New Roman" w:cs="Times New Roman"/>
          <w:spacing w:val="-2"/>
        </w:rPr>
        <w:t xml:space="preserve"> using </w:t>
      </w:r>
      <w:r w:rsidRPr="00616E9C">
        <w:rPr>
          <w:rFonts w:ascii="Times New Roman" w:hAnsi="Times New Roman" w:cs="Times New Roman"/>
        </w:rPr>
        <w:t>Pairwise</w:t>
      </w:r>
      <w:r w:rsidRPr="00616E9C">
        <w:rPr>
          <w:rFonts w:ascii="Times New Roman" w:hAnsi="Times New Roman" w:cs="Times New Roman"/>
          <w:spacing w:val="-3"/>
        </w:rPr>
        <w:t xml:space="preserve"> </w:t>
      </w:r>
      <w:r w:rsidRPr="00616E9C">
        <w:rPr>
          <w:rFonts w:ascii="Times New Roman" w:hAnsi="Times New Roman" w:cs="Times New Roman"/>
        </w:rPr>
        <w:t>Pearson’s</w:t>
      </w:r>
      <w:r w:rsidRPr="00616E9C">
        <w:rPr>
          <w:rFonts w:ascii="Times New Roman" w:hAnsi="Times New Roman" w:cs="Times New Roman"/>
          <w:spacing w:val="-1"/>
        </w:rPr>
        <w:t xml:space="preserve"> </w:t>
      </w:r>
      <w:r w:rsidRPr="00616E9C">
        <w:rPr>
          <w:rFonts w:ascii="Times New Roman" w:hAnsi="Times New Roman" w:cs="Times New Roman"/>
        </w:rPr>
        <w:t>correlation</w:t>
      </w:r>
      <w:r w:rsidRPr="00616E9C">
        <w:rPr>
          <w:rFonts w:ascii="Times New Roman" w:hAnsi="Times New Roman" w:cs="Times New Roman"/>
          <w:spacing w:val="-1"/>
        </w:rPr>
        <w:t xml:space="preserve"> </w:t>
      </w:r>
      <w:r w:rsidRPr="00616E9C">
        <w:rPr>
          <w:rFonts w:ascii="Times New Roman" w:hAnsi="Times New Roman" w:cs="Times New Roman"/>
        </w:rPr>
        <w:t>coefficient,</w:t>
      </w:r>
      <w:r w:rsidRPr="00616E9C">
        <w:rPr>
          <w:rFonts w:ascii="Times New Roman" w:hAnsi="Times New Roman" w:cs="Times New Roman"/>
          <w:spacing w:val="-3"/>
        </w:rPr>
        <w:t xml:space="preserve"> </w:t>
      </w:r>
      <w:r w:rsidRPr="00616E9C">
        <w:rPr>
          <w:rFonts w:ascii="Times New Roman" w:hAnsi="Times New Roman" w:cs="Times New Roman"/>
        </w:rPr>
        <w:t>P</w:t>
      </w:r>
      <w:r>
        <w:rPr>
          <w:rFonts w:ascii="Times New Roman" w:hAnsi="Times New Roman" w:cs="Times New Roman"/>
        </w:rPr>
        <w:t xml:space="preserve">rinciple component </w:t>
      </w:r>
      <w:r w:rsidRPr="00616E9C">
        <w:rPr>
          <w:rFonts w:ascii="Times New Roman" w:hAnsi="Times New Roman" w:cs="Times New Roman"/>
        </w:rPr>
        <w:t>analysis</w:t>
      </w:r>
      <w:r w:rsidRPr="00616E9C">
        <w:rPr>
          <w:rFonts w:ascii="Times New Roman" w:hAnsi="Times New Roman" w:cs="Times New Roman"/>
          <w:spacing w:val="-3"/>
        </w:rPr>
        <w:t xml:space="preserve"> </w:t>
      </w:r>
      <w:r w:rsidRPr="00616E9C">
        <w:rPr>
          <w:rFonts w:ascii="Times New Roman" w:hAnsi="Times New Roman" w:cs="Times New Roman"/>
        </w:rPr>
        <w:t>using</w:t>
      </w:r>
      <w:r w:rsidRPr="00616E9C">
        <w:rPr>
          <w:rFonts w:ascii="Times New Roman" w:hAnsi="Times New Roman" w:cs="Times New Roman"/>
          <w:spacing w:val="-3"/>
        </w:rPr>
        <w:t xml:space="preserve"> </w:t>
      </w:r>
      <w:r w:rsidRPr="00616E9C">
        <w:rPr>
          <w:rFonts w:ascii="Times New Roman" w:hAnsi="Times New Roman" w:cs="Times New Roman"/>
        </w:rPr>
        <w:t>statistical</w:t>
      </w:r>
      <w:r w:rsidRPr="00616E9C">
        <w:rPr>
          <w:rFonts w:ascii="Times New Roman" w:hAnsi="Times New Roman" w:cs="Times New Roman"/>
          <w:spacing w:val="-3"/>
        </w:rPr>
        <w:t xml:space="preserve"> </w:t>
      </w:r>
      <w:proofErr w:type="spellStart"/>
      <w:r w:rsidRPr="00616E9C">
        <w:rPr>
          <w:rFonts w:ascii="Times New Roman" w:hAnsi="Times New Roman" w:cs="Times New Roman"/>
        </w:rPr>
        <w:t>softwares</w:t>
      </w:r>
      <w:proofErr w:type="spellEnd"/>
      <w:r w:rsidRPr="00616E9C">
        <w:rPr>
          <w:rFonts w:ascii="Times New Roman" w:hAnsi="Times New Roman" w:cs="Times New Roman"/>
        </w:rPr>
        <w:t>.</w:t>
      </w:r>
    </w:p>
    <w:p w14:paraId="7FE09ED0" w14:textId="11032971" w:rsidR="006B739A" w:rsidRDefault="006B739A" w:rsidP="006B739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14:paraId="0FADF1A9" w14:textId="77777777" w:rsidR="00BC5680" w:rsidRDefault="00BC5680" w:rsidP="00BC5680">
      <w:pPr>
        <w:spacing w:after="240" w:line="360" w:lineRule="auto"/>
        <w:jc w:val="both"/>
        <w:rPr>
          <w:rFonts w:ascii="Times New Roman" w:hAnsi="Times New Roman" w:cs="Times New Roman"/>
          <w:sz w:val="24"/>
          <w:szCs w:val="24"/>
        </w:rPr>
      </w:pPr>
      <w:r w:rsidRPr="00BC5680">
        <w:rPr>
          <w:rFonts w:ascii="Times New Roman" w:hAnsi="Times New Roman" w:cs="Times New Roman"/>
          <w:sz w:val="24"/>
          <w:szCs w:val="24"/>
        </w:rPr>
        <w:t xml:space="preserve">Mean germination time (MGT) and field emergence (FE) of the </w:t>
      </w:r>
      <w:proofErr w:type="gramStart"/>
      <w:r w:rsidRPr="00BC5680">
        <w:rPr>
          <w:rFonts w:ascii="Times New Roman" w:hAnsi="Times New Roman" w:cs="Times New Roman"/>
          <w:sz w:val="24"/>
          <w:szCs w:val="24"/>
        </w:rPr>
        <w:t>15 sorghum</w:t>
      </w:r>
      <w:proofErr w:type="gramEnd"/>
      <w:r w:rsidRPr="00BC5680">
        <w:rPr>
          <w:rFonts w:ascii="Times New Roman" w:hAnsi="Times New Roman" w:cs="Times New Roman"/>
          <w:sz w:val="24"/>
          <w:szCs w:val="24"/>
        </w:rPr>
        <w:t xml:space="preserve"> seed lots were significantly influenced by genotype as well as the duration of storage, as revealed by the</w:t>
      </w:r>
      <w:r>
        <w:rPr>
          <w:rFonts w:ascii="Times New Roman" w:hAnsi="Times New Roman" w:cs="Times New Roman"/>
          <w:sz w:val="24"/>
          <w:szCs w:val="24"/>
        </w:rPr>
        <w:t xml:space="preserve"> Table 2</w:t>
      </w:r>
      <w:r w:rsidRPr="00BC5680">
        <w:rPr>
          <w:rFonts w:ascii="Times New Roman" w:hAnsi="Times New Roman" w:cs="Times New Roman"/>
          <w:sz w:val="24"/>
          <w:szCs w:val="24"/>
        </w:rPr>
        <w:t>. At the beginning (0 month), MGT ranged from 18.90 h in CSV 41 to 33.89 h in COFS 29, with an overall mean of 22.38 h. A steady increase in MGT was observed with storage, reaching 25.22 h (CSV 48) to 47.48 h (467A) at 12 months, with the mean rising to 38.12 h. The significant rise in MGT with storage indicates progressive loss of vigour, wherein metabolic slowdown and membrane damage delayed germination. Among the genotypes, CSV 41, CSV 48, CSV 21F, and CSV 38F consistently recorded significantly lower MGT values across storage intervals, indicating faster germination and better physiological efficiency. In contrast, COFS 29, CSV 29R, and 467A showed consistently higher MGT values, reflecting their susceptibility to ageing and poor seed vigour.</w:t>
      </w:r>
    </w:p>
    <w:p w14:paraId="1F9C34EC" w14:textId="02FBCB8A" w:rsidR="00CC1A2E" w:rsidRDefault="00BC5680" w:rsidP="006B739A">
      <w:pPr>
        <w:spacing w:after="24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BC5680">
        <w:rPr>
          <w:rFonts w:ascii="Times New Roman" w:hAnsi="Times New Roman" w:cs="Times New Roman"/>
          <w:sz w:val="24"/>
          <w:szCs w:val="24"/>
        </w:rPr>
        <w:t xml:space="preserve">Field emergence percentage at 10 DAS also showed marked and significant genotypic differences across storage periods. At </w:t>
      </w:r>
      <w:proofErr w:type="gramStart"/>
      <w:r w:rsidRPr="00BC5680">
        <w:rPr>
          <w:rFonts w:ascii="Times New Roman" w:hAnsi="Times New Roman" w:cs="Times New Roman"/>
          <w:sz w:val="24"/>
          <w:szCs w:val="24"/>
        </w:rPr>
        <w:t>0 month</w:t>
      </w:r>
      <w:proofErr w:type="gramEnd"/>
      <w:r w:rsidRPr="00BC5680">
        <w:rPr>
          <w:rFonts w:ascii="Times New Roman" w:hAnsi="Times New Roman" w:cs="Times New Roman"/>
          <w:sz w:val="24"/>
          <w:szCs w:val="24"/>
        </w:rPr>
        <w:t>, FE (10 DAS) varied from 23.25% in 467A to 54.25% in CSV 48, with a mean of 35.38%. With storage, there was a sharp decline, and by 12 months, values dropped to 8.50% in CSV 29R while CSV 48 maintained the highest at 41.75%, the mean reducing to 19.72%. A similar trend was evident in FE at 20 DAS, where initial values ranged between 30.75% (CSV 38F) and 64.25% (CSV 48), but at 12 months, the range</w:t>
      </w:r>
    </w:p>
    <w:p w14:paraId="16798195" w14:textId="77777777" w:rsidR="00CC1A2E" w:rsidRDefault="00CC1A2E" w:rsidP="006B739A">
      <w:pPr>
        <w:spacing w:after="240" w:line="360" w:lineRule="auto"/>
        <w:jc w:val="both"/>
        <w:rPr>
          <w:rFonts w:ascii="Times New Roman" w:hAnsi="Times New Roman" w:cs="Times New Roman"/>
          <w:b/>
          <w:bCs/>
          <w:sz w:val="24"/>
          <w:szCs w:val="24"/>
        </w:rPr>
        <w:sectPr w:rsidR="00CC1A2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487"/>
        <w:tblW w:w="16535" w:type="dxa"/>
        <w:tblLook w:val="04A0" w:firstRow="1" w:lastRow="0" w:firstColumn="1" w:lastColumn="0" w:noHBand="0" w:noVBand="1"/>
      </w:tblPr>
      <w:tblGrid>
        <w:gridCol w:w="456"/>
        <w:gridCol w:w="2091"/>
        <w:gridCol w:w="830"/>
        <w:gridCol w:w="1061"/>
        <w:gridCol w:w="1026"/>
        <w:gridCol w:w="866"/>
        <w:gridCol w:w="926"/>
        <w:gridCol w:w="926"/>
        <w:gridCol w:w="866"/>
        <w:gridCol w:w="926"/>
        <w:gridCol w:w="926"/>
        <w:gridCol w:w="866"/>
        <w:gridCol w:w="926"/>
        <w:gridCol w:w="926"/>
        <w:gridCol w:w="866"/>
        <w:gridCol w:w="1097"/>
        <w:gridCol w:w="1096"/>
      </w:tblGrid>
      <w:tr w:rsidR="00762F09" w:rsidRPr="006A755B" w14:paraId="38537E24" w14:textId="77777777" w:rsidTr="006A755B">
        <w:trPr>
          <w:trHeight w:val="333"/>
        </w:trPr>
        <w:tc>
          <w:tcPr>
            <w:tcW w:w="456" w:type="dxa"/>
            <w:noWrap/>
            <w:hideMark/>
          </w:tcPr>
          <w:p w14:paraId="44A5407E" w14:textId="77777777" w:rsidR="00CC1A2E" w:rsidRPr="00CC1A2E" w:rsidRDefault="00CC1A2E" w:rsidP="00762F09">
            <w:pPr>
              <w:rPr>
                <w:rFonts w:ascii="Times New Roman" w:eastAsia="Times New Roman" w:hAnsi="Times New Roman" w:cs="Times New Roman"/>
                <w:sz w:val="24"/>
                <w:szCs w:val="24"/>
                <w:lang w:eastAsia="en-IN"/>
              </w:rPr>
            </w:pPr>
          </w:p>
        </w:tc>
        <w:tc>
          <w:tcPr>
            <w:tcW w:w="2091" w:type="dxa"/>
            <w:noWrap/>
            <w:hideMark/>
          </w:tcPr>
          <w:p w14:paraId="12A80CB3" w14:textId="77777777" w:rsidR="00CC1A2E" w:rsidRPr="00CC1A2E" w:rsidRDefault="00CC1A2E" w:rsidP="00762F09">
            <w:pPr>
              <w:rPr>
                <w:rFonts w:ascii="Times New Roman" w:eastAsia="Times New Roman" w:hAnsi="Times New Roman" w:cs="Times New Roman"/>
                <w:sz w:val="24"/>
                <w:szCs w:val="24"/>
                <w:lang w:eastAsia="en-IN"/>
              </w:rPr>
            </w:pPr>
          </w:p>
        </w:tc>
        <w:tc>
          <w:tcPr>
            <w:tcW w:w="688" w:type="dxa"/>
            <w:noWrap/>
            <w:hideMark/>
          </w:tcPr>
          <w:p w14:paraId="53FBEA38"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 month</w:t>
            </w:r>
          </w:p>
        </w:tc>
        <w:tc>
          <w:tcPr>
            <w:tcW w:w="1061" w:type="dxa"/>
            <w:noWrap/>
            <w:hideMark/>
          </w:tcPr>
          <w:p w14:paraId="02555338"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1026" w:type="dxa"/>
            <w:noWrap/>
            <w:hideMark/>
          </w:tcPr>
          <w:p w14:paraId="1E663BE6"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5314B502"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3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5C70DF06"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7128C617"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44444330"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6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09D25265"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64AFAAE1"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423B70CD"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9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7D6333FF"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61CEC16F"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53DFACA5"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12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1097" w:type="dxa"/>
            <w:noWrap/>
            <w:hideMark/>
          </w:tcPr>
          <w:p w14:paraId="46EF104E"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1096" w:type="dxa"/>
            <w:noWrap/>
            <w:hideMark/>
          </w:tcPr>
          <w:p w14:paraId="5C515C6C" w14:textId="77777777" w:rsidR="00CC1A2E" w:rsidRPr="00CC1A2E" w:rsidRDefault="00CC1A2E" w:rsidP="00762F09">
            <w:pPr>
              <w:rPr>
                <w:rFonts w:ascii="Times New Roman" w:eastAsia="Times New Roman" w:hAnsi="Times New Roman" w:cs="Times New Roman"/>
                <w:sz w:val="24"/>
                <w:szCs w:val="24"/>
                <w:lang w:eastAsia="en-IN"/>
              </w:rPr>
            </w:pPr>
          </w:p>
        </w:tc>
      </w:tr>
      <w:tr w:rsidR="00762F09" w:rsidRPr="006A755B" w14:paraId="2586E715" w14:textId="77777777" w:rsidTr="006A755B">
        <w:trPr>
          <w:trHeight w:val="333"/>
        </w:trPr>
        <w:tc>
          <w:tcPr>
            <w:tcW w:w="456" w:type="dxa"/>
            <w:noWrap/>
            <w:hideMark/>
          </w:tcPr>
          <w:p w14:paraId="761AFBEC" w14:textId="77777777" w:rsidR="00CC1A2E" w:rsidRPr="00CC1A2E" w:rsidRDefault="00CC1A2E" w:rsidP="00762F09">
            <w:pPr>
              <w:rPr>
                <w:rFonts w:ascii="Times New Roman" w:eastAsia="Times New Roman" w:hAnsi="Times New Roman" w:cs="Times New Roman"/>
                <w:sz w:val="24"/>
                <w:szCs w:val="24"/>
                <w:lang w:eastAsia="en-IN"/>
              </w:rPr>
            </w:pPr>
          </w:p>
        </w:tc>
        <w:tc>
          <w:tcPr>
            <w:tcW w:w="2091" w:type="dxa"/>
            <w:noWrap/>
            <w:hideMark/>
          </w:tcPr>
          <w:p w14:paraId="043F8C91" w14:textId="77777777" w:rsidR="00CC1A2E" w:rsidRPr="00CC1A2E" w:rsidRDefault="00CC1A2E" w:rsidP="00762F09">
            <w:pP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Genotype</w:t>
            </w:r>
          </w:p>
        </w:tc>
        <w:tc>
          <w:tcPr>
            <w:tcW w:w="688" w:type="dxa"/>
            <w:noWrap/>
            <w:hideMark/>
          </w:tcPr>
          <w:p w14:paraId="150045A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1061" w:type="dxa"/>
            <w:noWrap/>
            <w:hideMark/>
          </w:tcPr>
          <w:p w14:paraId="467D139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1026" w:type="dxa"/>
            <w:noWrap/>
            <w:hideMark/>
          </w:tcPr>
          <w:p w14:paraId="4765BF0E"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255F5A33"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56140F66"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5A9F90B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367FECCA"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64ABC438"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2C937315"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2FB2C532"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7843DD76"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5E93F0F3"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6C8F887F"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1097" w:type="dxa"/>
            <w:noWrap/>
            <w:hideMark/>
          </w:tcPr>
          <w:p w14:paraId="33AB3E09" w14:textId="77777777" w:rsidR="00762F09" w:rsidRPr="006A755B"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 xml:space="preserve">FE </w:t>
            </w:r>
          </w:p>
          <w:p w14:paraId="59745164" w14:textId="1EDD87B0"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(10 DAS)</w:t>
            </w:r>
          </w:p>
        </w:tc>
        <w:tc>
          <w:tcPr>
            <w:tcW w:w="1096" w:type="dxa"/>
            <w:noWrap/>
            <w:hideMark/>
          </w:tcPr>
          <w:p w14:paraId="58AB61D6" w14:textId="77777777" w:rsidR="00762F09" w:rsidRPr="006A755B"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 xml:space="preserve">FE </w:t>
            </w:r>
          </w:p>
          <w:p w14:paraId="5E6360D6" w14:textId="41D52B21"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(20DAS)</w:t>
            </w:r>
          </w:p>
        </w:tc>
      </w:tr>
      <w:tr w:rsidR="00762F09" w:rsidRPr="006A755B" w14:paraId="7A52E95E" w14:textId="77777777" w:rsidTr="006A755B">
        <w:trPr>
          <w:trHeight w:val="313"/>
        </w:trPr>
        <w:tc>
          <w:tcPr>
            <w:tcW w:w="456" w:type="dxa"/>
            <w:noWrap/>
            <w:hideMark/>
          </w:tcPr>
          <w:p w14:paraId="435BD55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w:t>
            </w:r>
          </w:p>
        </w:tc>
        <w:tc>
          <w:tcPr>
            <w:tcW w:w="2091" w:type="dxa"/>
            <w:noWrap/>
            <w:hideMark/>
          </w:tcPr>
          <w:p w14:paraId="351433BD" w14:textId="148347CE" w:rsidR="00CC1A2E" w:rsidRPr="00CC1A2E" w:rsidRDefault="00F843E8"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48 (R24)</w:t>
            </w:r>
          </w:p>
        </w:tc>
        <w:tc>
          <w:tcPr>
            <w:tcW w:w="688" w:type="dxa"/>
            <w:noWrap/>
            <w:hideMark/>
          </w:tcPr>
          <w:p w14:paraId="631197E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23.44</w:t>
            </w:r>
          </w:p>
        </w:tc>
        <w:tc>
          <w:tcPr>
            <w:tcW w:w="1061" w:type="dxa"/>
            <w:noWrap/>
            <w:hideMark/>
          </w:tcPr>
          <w:p w14:paraId="34FE36C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54.25</w:t>
            </w:r>
          </w:p>
        </w:tc>
        <w:tc>
          <w:tcPr>
            <w:tcW w:w="1026" w:type="dxa"/>
            <w:noWrap/>
            <w:hideMark/>
          </w:tcPr>
          <w:p w14:paraId="1787C49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64.25</w:t>
            </w:r>
          </w:p>
        </w:tc>
        <w:tc>
          <w:tcPr>
            <w:tcW w:w="866" w:type="dxa"/>
            <w:noWrap/>
            <w:hideMark/>
          </w:tcPr>
          <w:p w14:paraId="4E8E727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24.37</w:t>
            </w:r>
          </w:p>
        </w:tc>
        <w:tc>
          <w:tcPr>
            <w:tcW w:w="926" w:type="dxa"/>
            <w:noWrap/>
            <w:hideMark/>
          </w:tcPr>
          <w:p w14:paraId="49CAC26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52.25</w:t>
            </w:r>
          </w:p>
        </w:tc>
        <w:tc>
          <w:tcPr>
            <w:tcW w:w="926" w:type="dxa"/>
            <w:noWrap/>
            <w:hideMark/>
          </w:tcPr>
          <w:p w14:paraId="0290F4F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61.25</w:t>
            </w:r>
          </w:p>
        </w:tc>
        <w:tc>
          <w:tcPr>
            <w:tcW w:w="866" w:type="dxa"/>
            <w:noWrap/>
            <w:hideMark/>
          </w:tcPr>
          <w:p w14:paraId="0E1156E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24.79</w:t>
            </w:r>
          </w:p>
        </w:tc>
        <w:tc>
          <w:tcPr>
            <w:tcW w:w="926" w:type="dxa"/>
            <w:noWrap/>
            <w:hideMark/>
          </w:tcPr>
          <w:p w14:paraId="4A3FD3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49.50</w:t>
            </w:r>
          </w:p>
        </w:tc>
        <w:tc>
          <w:tcPr>
            <w:tcW w:w="926" w:type="dxa"/>
            <w:noWrap/>
            <w:hideMark/>
          </w:tcPr>
          <w:p w14:paraId="0D96695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60.00</w:t>
            </w:r>
          </w:p>
        </w:tc>
        <w:tc>
          <w:tcPr>
            <w:tcW w:w="866" w:type="dxa"/>
            <w:noWrap/>
            <w:hideMark/>
          </w:tcPr>
          <w:p w14:paraId="5E53838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24.96</w:t>
            </w:r>
          </w:p>
        </w:tc>
        <w:tc>
          <w:tcPr>
            <w:tcW w:w="926" w:type="dxa"/>
            <w:noWrap/>
            <w:hideMark/>
          </w:tcPr>
          <w:p w14:paraId="44E9748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45.75</w:t>
            </w:r>
          </w:p>
        </w:tc>
        <w:tc>
          <w:tcPr>
            <w:tcW w:w="926" w:type="dxa"/>
            <w:noWrap/>
            <w:hideMark/>
          </w:tcPr>
          <w:p w14:paraId="4B278E5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55.50</w:t>
            </w:r>
          </w:p>
        </w:tc>
        <w:tc>
          <w:tcPr>
            <w:tcW w:w="866" w:type="dxa"/>
            <w:noWrap/>
            <w:hideMark/>
          </w:tcPr>
          <w:p w14:paraId="478CAE1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25.22</w:t>
            </w:r>
          </w:p>
        </w:tc>
        <w:tc>
          <w:tcPr>
            <w:tcW w:w="1097" w:type="dxa"/>
            <w:noWrap/>
            <w:hideMark/>
          </w:tcPr>
          <w:p w14:paraId="7B00A12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1096" w:type="dxa"/>
            <w:noWrap/>
            <w:hideMark/>
          </w:tcPr>
          <w:p w14:paraId="6233DA8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51.50</w:t>
            </w:r>
          </w:p>
        </w:tc>
      </w:tr>
      <w:tr w:rsidR="00762F09" w:rsidRPr="006A755B" w14:paraId="4F82BFB1" w14:textId="77777777" w:rsidTr="006A755B">
        <w:trPr>
          <w:trHeight w:val="333"/>
        </w:trPr>
        <w:tc>
          <w:tcPr>
            <w:tcW w:w="456" w:type="dxa"/>
            <w:noWrap/>
            <w:hideMark/>
          </w:tcPr>
          <w:p w14:paraId="59CFBF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w:t>
            </w:r>
          </w:p>
        </w:tc>
        <w:tc>
          <w:tcPr>
            <w:tcW w:w="2091" w:type="dxa"/>
            <w:noWrap/>
            <w:hideMark/>
          </w:tcPr>
          <w:p w14:paraId="11E5D6ED" w14:textId="4FC35AE8" w:rsidR="00CC1A2E" w:rsidRPr="00CC1A2E" w:rsidRDefault="00F843E8"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15 R01</w:t>
            </w:r>
            <w:r>
              <w:rPr>
                <w:rFonts w:ascii="Times New Roman" w:eastAsia="Times New Roman" w:hAnsi="Times New Roman" w:cs="Times New Roman"/>
                <w:color w:val="000000"/>
                <w:sz w:val="24"/>
                <w:szCs w:val="24"/>
                <w:lang w:eastAsia="en-IN"/>
              </w:rPr>
              <w:t xml:space="preserve"> </w:t>
            </w:r>
            <w:r w:rsidRPr="00CC1A2E">
              <w:rPr>
                <w:rFonts w:ascii="Times New Roman" w:eastAsia="Times New Roman" w:hAnsi="Times New Roman" w:cs="Times New Roman"/>
                <w:color w:val="000000"/>
                <w:sz w:val="24"/>
                <w:szCs w:val="24"/>
                <w:lang w:eastAsia="en-IN"/>
              </w:rPr>
              <w:t>(R23)</w:t>
            </w:r>
          </w:p>
        </w:tc>
        <w:tc>
          <w:tcPr>
            <w:tcW w:w="688" w:type="dxa"/>
            <w:noWrap/>
            <w:hideMark/>
          </w:tcPr>
          <w:p w14:paraId="3972F0B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19.70</w:t>
            </w:r>
          </w:p>
        </w:tc>
        <w:tc>
          <w:tcPr>
            <w:tcW w:w="1061" w:type="dxa"/>
            <w:noWrap/>
            <w:hideMark/>
          </w:tcPr>
          <w:p w14:paraId="0989027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1026" w:type="dxa"/>
            <w:noWrap/>
            <w:hideMark/>
          </w:tcPr>
          <w:p w14:paraId="683101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45.25</w:t>
            </w:r>
          </w:p>
        </w:tc>
        <w:tc>
          <w:tcPr>
            <w:tcW w:w="866" w:type="dxa"/>
            <w:noWrap/>
            <w:hideMark/>
          </w:tcPr>
          <w:p w14:paraId="3B0F824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26.85</w:t>
            </w:r>
          </w:p>
        </w:tc>
        <w:tc>
          <w:tcPr>
            <w:tcW w:w="926" w:type="dxa"/>
            <w:noWrap/>
            <w:hideMark/>
          </w:tcPr>
          <w:p w14:paraId="5D0641B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31.25</w:t>
            </w:r>
          </w:p>
        </w:tc>
        <w:tc>
          <w:tcPr>
            <w:tcW w:w="926" w:type="dxa"/>
            <w:noWrap/>
            <w:hideMark/>
          </w:tcPr>
          <w:p w14:paraId="5414452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40.25</w:t>
            </w:r>
          </w:p>
        </w:tc>
        <w:tc>
          <w:tcPr>
            <w:tcW w:w="866" w:type="dxa"/>
            <w:noWrap/>
            <w:hideMark/>
          </w:tcPr>
          <w:p w14:paraId="28AEA99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27.35</w:t>
            </w:r>
          </w:p>
        </w:tc>
        <w:tc>
          <w:tcPr>
            <w:tcW w:w="926" w:type="dxa"/>
            <w:noWrap/>
            <w:hideMark/>
          </w:tcPr>
          <w:p w14:paraId="4FABC77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926" w:type="dxa"/>
            <w:noWrap/>
            <w:hideMark/>
          </w:tcPr>
          <w:p w14:paraId="0C0FE5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36.50</w:t>
            </w:r>
          </w:p>
        </w:tc>
        <w:tc>
          <w:tcPr>
            <w:tcW w:w="866" w:type="dxa"/>
            <w:noWrap/>
            <w:hideMark/>
          </w:tcPr>
          <w:p w14:paraId="58D19A8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28.24</w:t>
            </w:r>
          </w:p>
        </w:tc>
        <w:tc>
          <w:tcPr>
            <w:tcW w:w="926" w:type="dxa"/>
            <w:noWrap/>
            <w:hideMark/>
          </w:tcPr>
          <w:p w14:paraId="7C22F3B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26.75</w:t>
            </w:r>
          </w:p>
        </w:tc>
        <w:tc>
          <w:tcPr>
            <w:tcW w:w="926" w:type="dxa"/>
            <w:noWrap/>
            <w:hideMark/>
          </w:tcPr>
          <w:p w14:paraId="63ED24F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32.50</w:t>
            </w:r>
          </w:p>
        </w:tc>
        <w:tc>
          <w:tcPr>
            <w:tcW w:w="866" w:type="dxa"/>
            <w:noWrap/>
            <w:hideMark/>
          </w:tcPr>
          <w:p w14:paraId="1BB04EC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28.97</w:t>
            </w:r>
          </w:p>
        </w:tc>
        <w:tc>
          <w:tcPr>
            <w:tcW w:w="1097" w:type="dxa"/>
            <w:noWrap/>
            <w:hideMark/>
          </w:tcPr>
          <w:p w14:paraId="55CB1ED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22.75</w:t>
            </w:r>
          </w:p>
        </w:tc>
        <w:tc>
          <w:tcPr>
            <w:tcW w:w="1096" w:type="dxa"/>
            <w:noWrap/>
            <w:hideMark/>
          </w:tcPr>
          <w:p w14:paraId="6C6A927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28.50</w:t>
            </w:r>
          </w:p>
        </w:tc>
      </w:tr>
      <w:tr w:rsidR="00762F09" w:rsidRPr="006A755B" w14:paraId="088D5E2B" w14:textId="77777777" w:rsidTr="006A755B">
        <w:trPr>
          <w:trHeight w:val="333"/>
        </w:trPr>
        <w:tc>
          <w:tcPr>
            <w:tcW w:w="456" w:type="dxa"/>
            <w:noWrap/>
            <w:hideMark/>
          </w:tcPr>
          <w:p w14:paraId="6600D3E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w:t>
            </w:r>
          </w:p>
        </w:tc>
        <w:tc>
          <w:tcPr>
            <w:tcW w:w="2091" w:type="dxa"/>
            <w:noWrap/>
            <w:hideMark/>
          </w:tcPr>
          <w:p w14:paraId="48CEF0C8" w14:textId="54DBCEB8"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CSH 24MF(R24)</w:t>
            </w:r>
          </w:p>
        </w:tc>
        <w:tc>
          <w:tcPr>
            <w:tcW w:w="688" w:type="dxa"/>
            <w:noWrap/>
            <w:hideMark/>
          </w:tcPr>
          <w:p w14:paraId="45F7FFA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19.93</w:t>
            </w:r>
          </w:p>
        </w:tc>
        <w:tc>
          <w:tcPr>
            <w:tcW w:w="1061" w:type="dxa"/>
            <w:noWrap/>
            <w:hideMark/>
          </w:tcPr>
          <w:p w14:paraId="561758B9"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46.25</w:t>
            </w:r>
          </w:p>
        </w:tc>
        <w:tc>
          <w:tcPr>
            <w:tcW w:w="1026" w:type="dxa"/>
            <w:noWrap/>
            <w:hideMark/>
          </w:tcPr>
          <w:p w14:paraId="58B38DB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55.25</w:t>
            </w:r>
          </w:p>
        </w:tc>
        <w:tc>
          <w:tcPr>
            <w:tcW w:w="866" w:type="dxa"/>
            <w:noWrap/>
            <w:hideMark/>
          </w:tcPr>
          <w:p w14:paraId="7B51985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32.07</w:t>
            </w:r>
          </w:p>
        </w:tc>
        <w:tc>
          <w:tcPr>
            <w:tcW w:w="926" w:type="dxa"/>
            <w:noWrap/>
            <w:hideMark/>
          </w:tcPr>
          <w:p w14:paraId="044F795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42.00</w:t>
            </w:r>
          </w:p>
        </w:tc>
        <w:tc>
          <w:tcPr>
            <w:tcW w:w="926" w:type="dxa"/>
            <w:noWrap/>
            <w:hideMark/>
          </w:tcPr>
          <w:p w14:paraId="77EF9A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50.75</w:t>
            </w:r>
          </w:p>
        </w:tc>
        <w:tc>
          <w:tcPr>
            <w:tcW w:w="866" w:type="dxa"/>
            <w:noWrap/>
            <w:hideMark/>
          </w:tcPr>
          <w:p w14:paraId="3DFBD0A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39.01</w:t>
            </w:r>
          </w:p>
        </w:tc>
        <w:tc>
          <w:tcPr>
            <w:tcW w:w="926" w:type="dxa"/>
            <w:noWrap/>
            <w:hideMark/>
          </w:tcPr>
          <w:p w14:paraId="008051A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39.75</w:t>
            </w:r>
          </w:p>
        </w:tc>
        <w:tc>
          <w:tcPr>
            <w:tcW w:w="926" w:type="dxa"/>
            <w:noWrap/>
            <w:hideMark/>
          </w:tcPr>
          <w:p w14:paraId="55C8B2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44.00</w:t>
            </w:r>
          </w:p>
        </w:tc>
        <w:tc>
          <w:tcPr>
            <w:tcW w:w="866" w:type="dxa"/>
            <w:noWrap/>
            <w:hideMark/>
          </w:tcPr>
          <w:p w14:paraId="0F6871F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44.83</w:t>
            </w:r>
          </w:p>
        </w:tc>
        <w:tc>
          <w:tcPr>
            <w:tcW w:w="926" w:type="dxa"/>
            <w:noWrap/>
            <w:hideMark/>
          </w:tcPr>
          <w:p w14:paraId="34E9F61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36.00</w:t>
            </w:r>
          </w:p>
        </w:tc>
        <w:tc>
          <w:tcPr>
            <w:tcW w:w="926" w:type="dxa"/>
            <w:noWrap/>
            <w:hideMark/>
          </w:tcPr>
          <w:p w14:paraId="0E91A7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39.75</w:t>
            </w:r>
          </w:p>
        </w:tc>
        <w:tc>
          <w:tcPr>
            <w:tcW w:w="866" w:type="dxa"/>
            <w:noWrap/>
            <w:hideMark/>
          </w:tcPr>
          <w:p w14:paraId="04C131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46.46</w:t>
            </w:r>
          </w:p>
        </w:tc>
        <w:tc>
          <w:tcPr>
            <w:tcW w:w="1097" w:type="dxa"/>
            <w:noWrap/>
            <w:hideMark/>
          </w:tcPr>
          <w:p w14:paraId="0288545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1096" w:type="dxa"/>
            <w:noWrap/>
            <w:hideMark/>
          </w:tcPr>
          <w:p w14:paraId="4317F1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35.75</w:t>
            </w:r>
          </w:p>
        </w:tc>
      </w:tr>
      <w:tr w:rsidR="00762F09" w:rsidRPr="006A755B" w14:paraId="2D85C4A5" w14:textId="77777777" w:rsidTr="006A755B">
        <w:trPr>
          <w:trHeight w:val="333"/>
        </w:trPr>
        <w:tc>
          <w:tcPr>
            <w:tcW w:w="456" w:type="dxa"/>
            <w:noWrap/>
            <w:hideMark/>
          </w:tcPr>
          <w:p w14:paraId="32624E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w:t>
            </w:r>
          </w:p>
        </w:tc>
        <w:tc>
          <w:tcPr>
            <w:tcW w:w="2091" w:type="dxa"/>
            <w:noWrap/>
            <w:hideMark/>
          </w:tcPr>
          <w:p w14:paraId="007A692A"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29R (R24)</w:t>
            </w:r>
          </w:p>
        </w:tc>
        <w:tc>
          <w:tcPr>
            <w:tcW w:w="688" w:type="dxa"/>
            <w:noWrap/>
            <w:hideMark/>
          </w:tcPr>
          <w:p w14:paraId="732110E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28.26</w:t>
            </w:r>
          </w:p>
        </w:tc>
        <w:tc>
          <w:tcPr>
            <w:tcW w:w="1061" w:type="dxa"/>
            <w:noWrap/>
            <w:hideMark/>
          </w:tcPr>
          <w:p w14:paraId="569335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23.50</w:t>
            </w:r>
          </w:p>
        </w:tc>
        <w:tc>
          <w:tcPr>
            <w:tcW w:w="1026" w:type="dxa"/>
            <w:noWrap/>
            <w:hideMark/>
          </w:tcPr>
          <w:p w14:paraId="6875A08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37.00</w:t>
            </w:r>
          </w:p>
        </w:tc>
        <w:tc>
          <w:tcPr>
            <w:tcW w:w="866" w:type="dxa"/>
            <w:noWrap/>
            <w:hideMark/>
          </w:tcPr>
          <w:p w14:paraId="039CB75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35.33</w:t>
            </w:r>
          </w:p>
        </w:tc>
        <w:tc>
          <w:tcPr>
            <w:tcW w:w="926" w:type="dxa"/>
            <w:noWrap/>
            <w:hideMark/>
          </w:tcPr>
          <w:p w14:paraId="2E32129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20.00</w:t>
            </w:r>
          </w:p>
        </w:tc>
        <w:tc>
          <w:tcPr>
            <w:tcW w:w="926" w:type="dxa"/>
            <w:noWrap/>
            <w:hideMark/>
          </w:tcPr>
          <w:p w14:paraId="52010FF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28.25</w:t>
            </w:r>
          </w:p>
        </w:tc>
        <w:tc>
          <w:tcPr>
            <w:tcW w:w="866" w:type="dxa"/>
            <w:noWrap/>
            <w:hideMark/>
          </w:tcPr>
          <w:p w14:paraId="0DCE45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38.10</w:t>
            </w:r>
          </w:p>
        </w:tc>
        <w:tc>
          <w:tcPr>
            <w:tcW w:w="926" w:type="dxa"/>
            <w:noWrap/>
            <w:hideMark/>
          </w:tcPr>
          <w:p w14:paraId="3D3B16A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14.50</w:t>
            </w:r>
          </w:p>
        </w:tc>
        <w:tc>
          <w:tcPr>
            <w:tcW w:w="926" w:type="dxa"/>
            <w:noWrap/>
            <w:hideMark/>
          </w:tcPr>
          <w:p w14:paraId="1EDFE6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21.25</w:t>
            </w:r>
          </w:p>
        </w:tc>
        <w:tc>
          <w:tcPr>
            <w:tcW w:w="866" w:type="dxa"/>
            <w:noWrap/>
            <w:hideMark/>
          </w:tcPr>
          <w:p w14:paraId="0E949F3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42.48</w:t>
            </w:r>
          </w:p>
        </w:tc>
        <w:tc>
          <w:tcPr>
            <w:tcW w:w="926" w:type="dxa"/>
            <w:noWrap/>
            <w:hideMark/>
          </w:tcPr>
          <w:p w14:paraId="76AD451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12.50</w:t>
            </w:r>
          </w:p>
        </w:tc>
        <w:tc>
          <w:tcPr>
            <w:tcW w:w="926" w:type="dxa"/>
            <w:noWrap/>
            <w:hideMark/>
          </w:tcPr>
          <w:p w14:paraId="703F849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15.50</w:t>
            </w:r>
          </w:p>
        </w:tc>
        <w:tc>
          <w:tcPr>
            <w:tcW w:w="866" w:type="dxa"/>
            <w:noWrap/>
            <w:hideMark/>
          </w:tcPr>
          <w:p w14:paraId="4FCDEEB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46.21</w:t>
            </w:r>
          </w:p>
        </w:tc>
        <w:tc>
          <w:tcPr>
            <w:tcW w:w="1097" w:type="dxa"/>
            <w:noWrap/>
            <w:hideMark/>
          </w:tcPr>
          <w:p w14:paraId="2A4BD1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8.50</w:t>
            </w:r>
          </w:p>
        </w:tc>
        <w:tc>
          <w:tcPr>
            <w:tcW w:w="1096" w:type="dxa"/>
            <w:noWrap/>
            <w:hideMark/>
          </w:tcPr>
          <w:p w14:paraId="39A9434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1.75</w:t>
            </w:r>
          </w:p>
        </w:tc>
      </w:tr>
      <w:tr w:rsidR="00762F09" w:rsidRPr="006A755B" w14:paraId="67271A3F" w14:textId="77777777" w:rsidTr="006A755B">
        <w:trPr>
          <w:trHeight w:val="333"/>
        </w:trPr>
        <w:tc>
          <w:tcPr>
            <w:tcW w:w="456" w:type="dxa"/>
            <w:noWrap/>
            <w:hideMark/>
          </w:tcPr>
          <w:p w14:paraId="7FD5B1F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w:t>
            </w:r>
          </w:p>
        </w:tc>
        <w:tc>
          <w:tcPr>
            <w:tcW w:w="2091" w:type="dxa"/>
            <w:noWrap/>
            <w:hideMark/>
          </w:tcPr>
          <w:p w14:paraId="44199AF6"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38 F (R23)</w:t>
            </w:r>
          </w:p>
        </w:tc>
        <w:tc>
          <w:tcPr>
            <w:tcW w:w="688" w:type="dxa"/>
            <w:noWrap/>
            <w:hideMark/>
          </w:tcPr>
          <w:p w14:paraId="255AB2C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22.43</w:t>
            </w:r>
          </w:p>
        </w:tc>
        <w:tc>
          <w:tcPr>
            <w:tcW w:w="1061" w:type="dxa"/>
            <w:noWrap/>
            <w:hideMark/>
          </w:tcPr>
          <w:p w14:paraId="238A1760"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29.50</w:t>
            </w:r>
          </w:p>
        </w:tc>
        <w:tc>
          <w:tcPr>
            <w:tcW w:w="1026" w:type="dxa"/>
            <w:noWrap/>
            <w:hideMark/>
          </w:tcPr>
          <w:p w14:paraId="03AF7A7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30.75</w:t>
            </w:r>
          </w:p>
        </w:tc>
        <w:tc>
          <w:tcPr>
            <w:tcW w:w="866" w:type="dxa"/>
            <w:noWrap/>
            <w:hideMark/>
          </w:tcPr>
          <w:p w14:paraId="7DFB0B9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25.23</w:t>
            </w:r>
          </w:p>
        </w:tc>
        <w:tc>
          <w:tcPr>
            <w:tcW w:w="926" w:type="dxa"/>
            <w:noWrap/>
            <w:hideMark/>
          </w:tcPr>
          <w:p w14:paraId="22F8753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22.00</w:t>
            </w:r>
          </w:p>
        </w:tc>
        <w:tc>
          <w:tcPr>
            <w:tcW w:w="926" w:type="dxa"/>
            <w:noWrap/>
            <w:hideMark/>
          </w:tcPr>
          <w:p w14:paraId="30B4FB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27.00</w:t>
            </w:r>
          </w:p>
        </w:tc>
        <w:tc>
          <w:tcPr>
            <w:tcW w:w="866" w:type="dxa"/>
            <w:noWrap/>
            <w:hideMark/>
          </w:tcPr>
          <w:p w14:paraId="2A14921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28.95</w:t>
            </w:r>
          </w:p>
        </w:tc>
        <w:tc>
          <w:tcPr>
            <w:tcW w:w="926" w:type="dxa"/>
            <w:noWrap/>
            <w:hideMark/>
          </w:tcPr>
          <w:p w14:paraId="723449C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16.50</w:t>
            </w:r>
          </w:p>
        </w:tc>
        <w:tc>
          <w:tcPr>
            <w:tcW w:w="926" w:type="dxa"/>
            <w:noWrap/>
            <w:hideMark/>
          </w:tcPr>
          <w:p w14:paraId="5B001D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13.75</w:t>
            </w:r>
          </w:p>
        </w:tc>
        <w:tc>
          <w:tcPr>
            <w:tcW w:w="866" w:type="dxa"/>
            <w:noWrap/>
            <w:hideMark/>
          </w:tcPr>
          <w:p w14:paraId="2E687FC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31.35</w:t>
            </w:r>
          </w:p>
        </w:tc>
        <w:tc>
          <w:tcPr>
            <w:tcW w:w="926" w:type="dxa"/>
            <w:noWrap/>
            <w:hideMark/>
          </w:tcPr>
          <w:p w14:paraId="79FAC44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15.25</w:t>
            </w:r>
          </w:p>
        </w:tc>
        <w:tc>
          <w:tcPr>
            <w:tcW w:w="926" w:type="dxa"/>
            <w:noWrap/>
            <w:hideMark/>
          </w:tcPr>
          <w:p w14:paraId="24484FC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9.75</w:t>
            </w:r>
          </w:p>
        </w:tc>
        <w:tc>
          <w:tcPr>
            <w:tcW w:w="866" w:type="dxa"/>
            <w:noWrap/>
            <w:hideMark/>
          </w:tcPr>
          <w:p w14:paraId="05294E8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35.43</w:t>
            </w:r>
          </w:p>
        </w:tc>
        <w:tc>
          <w:tcPr>
            <w:tcW w:w="1097" w:type="dxa"/>
            <w:noWrap/>
            <w:hideMark/>
          </w:tcPr>
          <w:p w14:paraId="1CB549B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10.50</w:t>
            </w:r>
          </w:p>
        </w:tc>
        <w:tc>
          <w:tcPr>
            <w:tcW w:w="1096" w:type="dxa"/>
            <w:noWrap/>
            <w:hideMark/>
          </w:tcPr>
          <w:p w14:paraId="71DA84D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5.75</w:t>
            </w:r>
          </w:p>
        </w:tc>
      </w:tr>
      <w:tr w:rsidR="00762F09" w:rsidRPr="006A755B" w14:paraId="60B52A0F" w14:textId="77777777" w:rsidTr="006A755B">
        <w:trPr>
          <w:trHeight w:val="333"/>
        </w:trPr>
        <w:tc>
          <w:tcPr>
            <w:tcW w:w="456" w:type="dxa"/>
            <w:noWrap/>
            <w:hideMark/>
          </w:tcPr>
          <w:p w14:paraId="6226E3B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w:t>
            </w:r>
          </w:p>
        </w:tc>
        <w:tc>
          <w:tcPr>
            <w:tcW w:w="2091" w:type="dxa"/>
            <w:noWrap/>
            <w:hideMark/>
          </w:tcPr>
          <w:p w14:paraId="08F9B9FF"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41 (R24)</w:t>
            </w:r>
          </w:p>
        </w:tc>
        <w:tc>
          <w:tcPr>
            <w:tcW w:w="688" w:type="dxa"/>
            <w:noWrap/>
            <w:hideMark/>
          </w:tcPr>
          <w:p w14:paraId="6F61240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18.90</w:t>
            </w:r>
          </w:p>
        </w:tc>
        <w:tc>
          <w:tcPr>
            <w:tcW w:w="1061" w:type="dxa"/>
            <w:noWrap/>
            <w:hideMark/>
          </w:tcPr>
          <w:p w14:paraId="7CB124A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46.50</w:t>
            </w:r>
          </w:p>
        </w:tc>
        <w:tc>
          <w:tcPr>
            <w:tcW w:w="1026" w:type="dxa"/>
            <w:noWrap/>
            <w:hideMark/>
          </w:tcPr>
          <w:p w14:paraId="32D8B0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48.00</w:t>
            </w:r>
          </w:p>
        </w:tc>
        <w:tc>
          <w:tcPr>
            <w:tcW w:w="866" w:type="dxa"/>
            <w:noWrap/>
            <w:hideMark/>
          </w:tcPr>
          <w:p w14:paraId="3DF52CA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25.57</w:t>
            </w:r>
          </w:p>
        </w:tc>
        <w:tc>
          <w:tcPr>
            <w:tcW w:w="926" w:type="dxa"/>
            <w:noWrap/>
            <w:hideMark/>
          </w:tcPr>
          <w:p w14:paraId="01BDC69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43.25</w:t>
            </w:r>
          </w:p>
        </w:tc>
        <w:tc>
          <w:tcPr>
            <w:tcW w:w="926" w:type="dxa"/>
            <w:noWrap/>
            <w:hideMark/>
          </w:tcPr>
          <w:p w14:paraId="6878B89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43.25</w:t>
            </w:r>
          </w:p>
        </w:tc>
        <w:tc>
          <w:tcPr>
            <w:tcW w:w="866" w:type="dxa"/>
            <w:noWrap/>
            <w:hideMark/>
          </w:tcPr>
          <w:p w14:paraId="7A4D7C7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28.23</w:t>
            </w:r>
          </w:p>
        </w:tc>
        <w:tc>
          <w:tcPr>
            <w:tcW w:w="926" w:type="dxa"/>
            <w:noWrap/>
            <w:hideMark/>
          </w:tcPr>
          <w:p w14:paraId="09AD311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926" w:type="dxa"/>
            <w:noWrap/>
            <w:hideMark/>
          </w:tcPr>
          <w:p w14:paraId="5440C7A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5438F1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34.26</w:t>
            </w:r>
          </w:p>
        </w:tc>
        <w:tc>
          <w:tcPr>
            <w:tcW w:w="926" w:type="dxa"/>
            <w:noWrap/>
            <w:hideMark/>
          </w:tcPr>
          <w:p w14:paraId="2797361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926" w:type="dxa"/>
            <w:noWrap/>
            <w:hideMark/>
          </w:tcPr>
          <w:p w14:paraId="6F02ECF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37.75</w:t>
            </w:r>
          </w:p>
        </w:tc>
        <w:tc>
          <w:tcPr>
            <w:tcW w:w="866" w:type="dxa"/>
            <w:noWrap/>
            <w:hideMark/>
          </w:tcPr>
          <w:p w14:paraId="5E49AD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37.35</w:t>
            </w:r>
          </w:p>
        </w:tc>
        <w:tc>
          <w:tcPr>
            <w:tcW w:w="1097" w:type="dxa"/>
            <w:noWrap/>
            <w:hideMark/>
          </w:tcPr>
          <w:p w14:paraId="4B80A6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c>
          <w:tcPr>
            <w:tcW w:w="1096" w:type="dxa"/>
            <w:noWrap/>
            <w:hideMark/>
          </w:tcPr>
          <w:p w14:paraId="217355F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r>
      <w:tr w:rsidR="00762F09" w:rsidRPr="006A755B" w14:paraId="395524DB" w14:textId="77777777" w:rsidTr="006A755B">
        <w:trPr>
          <w:trHeight w:val="333"/>
        </w:trPr>
        <w:tc>
          <w:tcPr>
            <w:tcW w:w="456" w:type="dxa"/>
            <w:noWrap/>
            <w:hideMark/>
          </w:tcPr>
          <w:p w14:paraId="211B79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7</w:t>
            </w:r>
          </w:p>
        </w:tc>
        <w:tc>
          <w:tcPr>
            <w:tcW w:w="2091" w:type="dxa"/>
            <w:noWrap/>
            <w:hideMark/>
          </w:tcPr>
          <w:p w14:paraId="35FF2437"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32 F (R24)</w:t>
            </w:r>
          </w:p>
        </w:tc>
        <w:tc>
          <w:tcPr>
            <w:tcW w:w="688" w:type="dxa"/>
            <w:noWrap/>
            <w:hideMark/>
          </w:tcPr>
          <w:p w14:paraId="181D1292"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20.91</w:t>
            </w:r>
          </w:p>
        </w:tc>
        <w:tc>
          <w:tcPr>
            <w:tcW w:w="1061" w:type="dxa"/>
            <w:noWrap/>
            <w:hideMark/>
          </w:tcPr>
          <w:p w14:paraId="2E5E348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27.25</w:t>
            </w:r>
          </w:p>
        </w:tc>
        <w:tc>
          <w:tcPr>
            <w:tcW w:w="1026" w:type="dxa"/>
            <w:noWrap/>
            <w:hideMark/>
          </w:tcPr>
          <w:p w14:paraId="6F12999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33.00</w:t>
            </w:r>
          </w:p>
        </w:tc>
        <w:tc>
          <w:tcPr>
            <w:tcW w:w="866" w:type="dxa"/>
            <w:noWrap/>
            <w:hideMark/>
          </w:tcPr>
          <w:p w14:paraId="379B925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27.45</w:t>
            </w:r>
          </w:p>
        </w:tc>
        <w:tc>
          <w:tcPr>
            <w:tcW w:w="926" w:type="dxa"/>
            <w:noWrap/>
            <w:hideMark/>
          </w:tcPr>
          <w:p w14:paraId="664B0FD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27.00</w:t>
            </w:r>
          </w:p>
        </w:tc>
        <w:tc>
          <w:tcPr>
            <w:tcW w:w="926" w:type="dxa"/>
            <w:noWrap/>
            <w:hideMark/>
          </w:tcPr>
          <w:p w14:paraId="68AC8AD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32.25</w:t>
            </w:r>
          </w:p>
        </w:tc>
        <w:tc>
          <w:tcPr>
            <w:tcW w:w="866" w:type="dxa"/>
            <w:noWrap/>
            <w:hideMark/>
          </w:tcPr>
          <w:p w14:paraId="3E56659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30.39</w:t>
            </w:r>
          </w:p>
        </w:tc>
        <w:tc>
          <w:tcPr>
            <w:tcW w:w="926" w:type="dxa"/>
            <w:noWrap/>
            <w:hideMark/>
          </w:tcPr>
          <w:p w14:paraId="138440C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21.25</w:t>
            </w:r>
          </w:p>
        </w:tc>
        <w:tc>
          <w:tcPr>
            <w:tcW w:w="926" w:type="dxa"/>
            <w:noWrap/>
            <w:hideMark/>
          </w:tcPr>
          <w:p w14:paraId="53B4D8F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31.75</w:t>
            </w:r>
          </w:p>
        </w:tc>
        <w:tc>
          <w:tcPr>
            <w:tcW w:w="866" w:type="dxa"/>
            <w:noWrap/>
            <w:hideMark/>
          </w:tcPr>
          <w:p w14:paraId="5BF580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37.38</w:t>
            </w:r>
          </w:p>
        </w:tc>
        <w:tc>
          <w:tcPr>
            <w:tcW w:w="926" w:type="dxa"/>
            <w:noWrap/>
            <w:hideMark/>
          </w:tcPr>
          <w:p w14:paraId="745F2F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17.75</w:t>
            </w:r>
          </w:p>
        </w:tc>
        <w:tc>
          <w:tcPr>
            <w:tcW w:w="926" w:type="dxa"/>
            <w:noWrap/>
            <w:hideMark/>
          </w:tcPr>
          <w:p w14:paraId="029CFFB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27.75</w:t>
            </w:r>
          </w:p>
        </w:tc>
        <w:tc>
          <w:tcPr>
            <w:tcW w:w="866" w:type="dxa"/>
            <w:noWrap/>
            <w:hideMark/>
          </w:tcPr>
          <w:p w14:paraId="5C0A918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39.48</w:t>
            </w:r>
          </w:p>
        </w:tc>
        <w:tc>
          <w:tcPr>
            <w:tcW w:w="1097" w:type="dxa"/>
            <w:noWrap/>
            <w:hideMark/>
          </w:tcPr>
          <w:p w14:paraId="1C7CD8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13.75</w:t>
            </w:r>
          </w:p>
        </w:tc>
        <w:tc>
          <w:tcPr>
            <w:tcW w:w="1096" w:type="dxa"/>
            <w:noWrap/>
            <w:hideMark/>
          </w:tcPr>
          <w:p w14:paraId="7C78976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23.75</w:t>
            </w:r>
          </w:p>
        </w:tc>
      </w:tr>
      <w:tr w:rsidR="00762F09" w:rsidRPr="006A755B" w14:paraId="05033F5F" w14:textId="77777777" w:rsidTr="006A755B">
        <w:trPr>
          <w:trHeight w:val="333"/>
        </w:trPr>
        <w:tc>
          <w:tcPr>
            <w:tcW w:w="456" w:type="dxa"/>
            <w:noWrap/>
            <w:hideMark/>
          </w:tcPr>
          <w:p w14:paraId="1273C8B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w:t>
            </w:r>
          </w:p>
        </w:tc>
        <w:tc>
          <w:tcPr>
            <w:tcW w:w="2091" w:type="dxa"/>
            <w:noWrap/>
            <w:hideMark/>
          </w:tcPr>
          <w:p w14:paraId="7EE6EDB0"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21F (R24)</w:t>
            </w:r>
          </w:p>
        </w:tc>
        <w:tc>
          <w:tcPr>
            <w:tcW w:w="688" w:type="dxa"/>
            <w:noWrap/>
            <w:hideMark/>
          </w:tcPr>
          <w:p w14:paraId="7C396C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19.97</w:t>
            </w:r>
          </w:p>
        </w:tc>
        <w:tc>
          <w:tcPr>
            <w:tcW w:w="1061" w:type="dxa"/>
            <w:noWrap/>
            <w:hideMark/>
          </w:tcPr>
          <w:p w14:paraId="420081C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42.50</w:t>
            </w:r>
          </w:p>
        </w:tc>
        <w:tc>
          <w:tcPr>
            <w:tcW w:w="1026" w:type="dxa"/>
            <w:noWrap/>
            <w:hideMark/>
          </w:tcPr>
          <w:p w14:paraId="2880CCA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43.75</w:t>
            </w:r>
          </w:p>
        </w:tc>
        <w:tc>
          <w:tcPr>
            <w:tcW w:w="866" w:type="dxa"/>
            <w:noWrap/>
            <w:hideMark/>
          </w:tcPr>
          <w:p w14:paraId="7038C09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25.82</w:t>
            </w:r>
          </w:p>
        </w:tc>
        <w:tc>
          <w:tcPr>
            <w:tcW w:w="926" w:type="dxa"/>
            <w:noWrap/>
            <w:hideMark/>
          </w:tcPr>
          <w:p w14:paraId="4C41667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38.75</w:t>
            </w:r>
          </w:p>
        </w:tc>
        <w:tc>
          <w:tcPr>
            <w:tcW w:w="926" w:type="dxa"/>
            <w:noWrap/>
            <w:hideMark/>
          </w:tcPr>
          <w:p w14:paraId="040444E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43.00</w:t>
            </w:r>
          </w:p>
        </w:tc>
        <w:tc>
          <w:tcPr>
            <w:tcW w:w="866" w:type="dxa"/>
            <w:noWrap/>
            <w:hideMark/>
          </w:tcPr>
          <w:p w14:paraId="32D37CA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32.35</w:t>
            </w:r>
          </w:p>
        </w:tc>
        <w:tc>
          <w:tcPr>
            <w:tcW w:w="926" w:type="dxa"/>
            <w:noWrap/>
            <w:hideMark/>
          </w:tcPr>
          <w:p w14:paraId="7661D16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c>
          <w:tcPr>
            <w:tcW w:w="926" w:type="dxa"/>
            <w:noWrap/>
            <w:hideMark/>
          </w:tcPr>
          <w:p w14:paraId="21AA77B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40.25</w:t>
            </w:r>
          </w:p>
        </w:tc>
        <w:tc>
          <w:tcPr>
            <w:tcW w:w="866" w:type="dxa"/>
            <w:noWrap/>
            <w:hideMark/>
          </w:tcPr>
          <w:p w14:paraId="23BF7C8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39.26</w:t>
            </w:r>
          </w:p>
        </w:tc>
        <w:tc>
          <w:tcPr>
            <w:tcW w:w="926" w:type="dxa"/>
            <w:noWrap/>
            <w:hideMark/>
          </w:tcPr>
          <w:p w14:paraId="041900B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29.75</w:t>
            </w:r>
          </w:p>
        </w:tc>
        <w:tc>
          <w:tcPr>
            <w:tcW w:w="926" w:type="dxa"/>
            <w:noWrap/>
            <w:hideMark/>
          </w:tcPr>
          <w:p w14:paraId="4E3E27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36.25</w:t>
            </w:r>
          </w:p>
        </w:tc>
        <w:tc>
          <w:tcPr>
            <w:tcW w:w="866" w:type="dxa"/>
            <w:noWrap/>
            <w:hideMark/>
          </w:tcPr>
          <w:p w14:paraId="4174C53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42.32</w:t>
            </w:r>
          </w:p>
        </w:tc>
        <w:tc>
          <w:tcPr>
            <w:tcW w:w="1097" w:type="dxa"/>
            <w:noWrap/>
            <w:hideMark/>
          </w:tcPr>
          <w:p w14:paraId="37BF090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96" w:type="dxa"/>
            <w:noWrap/>
            <w:hideMark/>
          </w:tcPr>
          <w:p w14:paraId="36CA2B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32.25</w:t>
            </w:r>
          </w:p>
        </w:tc>
      </w:tr>
      <w:tr w:rsidR="00762F09" w:rsidRPr="006A755B" w14:paraId="7BA74704" w14:textId="77777777" w:rsidTr="006A755B">
        <w:trPr>
          <w:trHeight w:val="333"/>
        </w:trPr>
        <w:tc>
          <w:tcPr>
            <w:tcW w:w="456" w:type="dxa"/>
            <w:noWrap/>
            <w:hideMark/>
          </w:tcPr>
          <w:p w14:paraId="68A2DC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w:t>
            </w:r>
          </w:p>
        </w:tc>
        <w:tc>
          <w:tcPr>
            <w:tcW w:w="2091" w:type="dxa"/>
            <w:noWrap/>
            <w:hideMark/>
          </w:tcPr>
          <w:p w14:paraId="4AE0D5EF" w14:textId="13E1F5BB"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15 R12</w:t>
            </w:r>
            <w:r w:rsidR="006A755B">
              <w:rPr>
                <w:rFonts w:ascii="Times New Roman" w:eastAsia="Times New Roman" w:hAnsi="Times New Roman" w:cs="Times New Roman"/>
                <w:color w:val="000000"/>
                <w:sz w:val="24"/>
                <w:szCs w:val="24"/>
                <w:lang w:eastAsia="en-IN"/>
              </w:rPr>
              <w:t xml:space="preserve"> </w:t>
            </w:r>
            <w:r w:rsidRPr="00CC1A2E">
              <w:rPr>
                <w:rFonts w:ascii="Times New Roman" w:eastAsia="Times New Roman" w:hAnsi="Times New Roman" w:cs="Times New Roman"/>
                <w:color w:val="000000"/>
                <w:sz w:val="24"/>
                <w:szCs w:val="24"/>
                <w:lang w:eastAsia="en-IN"/>
              </w:rPr>
              <w:t>(R23)</w:t>
            </w:r>
          </w:p>
        </w:tc>
        <w:tc>
          <w:tcPr>
            <w:tcW w:w="688" w:type="dxa"/>
            <w:noWrap/>
            <w:hideMark/>
          </w:tcPr>
          <w:p w14:paraId="2E7C0B4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20.05</w:t>
            </w:r>
          </w:p>
        </w:tc>
        <w:tc>
          <w:tcPr>
            <w:tcW w:w="1061" w:type="dxa"/>
            <w:noWrap/>
            <w:hideMark/>
          </w:tcPr>
          <w:p w14:paraId="67C9EB13"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32.75</w:t>
            </w:r>
          </w:p>
        </w:tc>
        <w:tc>
          <w:tcPr>
            <w:tcW w:w="1026" w:type="dxa"/>
            <w:noWrap/>
            <w:hideMark/>
          </w:tcPr>
          <w:p w14:paraId="484C25E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37.50</w:t>
            </w:r>
          </w:p>
        </w:tc>
        <w:tc>
          <w:tcPr>
            <w:tcW w:w="866" w:type="dxa"/>
            <w:noWrap/>
            <w:hideMark/>
          </w:tcPr>
          <w:p w14:paraId="2C56B4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25.49</w:t>
            </w:r>
          </w:p>
        </w:tc>
        <w:tc>
          <w:tcPr>
            <w:tcW w:w="926" w:type="dxa"/>
            <w:noWrap/>
            <w:hideMark/>
          </w:tcPr>
          <w:p w14:paraId="156705A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29.00</w:t>
            </w:r>
          </w:p>
        </w:tc>
        <w:tc>
          <w:tcPr>
            <w:tcW w:w="926" w:type="dxa"/>
            <w:noWrap/>
            <w:hideMark/>
          </w:tcPr>
          <w:p w14:paraId="2C504AD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30.00</w:t>
            </w:r>
          </w:p>
        </w:tc>
        <w:tc>
          <w:tcPr>
            <w:tcW w:w="866" w:type="dxa"/>
            <w:noWrap/>
            <w:hideMark/>
          </w:tcPr>
          <w:p w14:paraId="1F548B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32.85</w:t>
            </w:r>
          </w:p>
        </w:tc>
        <w:tc>
          <w:tcPr>
            <w:tcW w:w="926" w:type="dxa"/>
            <w:noWrap/>
            <w:hideMark/>
          </w:tcPr>
          <w:p w14:paraId="096837B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17.25</w:t>
            </w:r>
          </w:p>
        </w:tc>
        <w:tc>
          <w:tcPr>
            <w:tcW w:w="926" w:type="dxa"/>
            <w:noWrap/>
            <w:hideMark/>
          </w:tcPr>
          <w:p w14:paraId="7E2F0D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866" w:type="dxa"/>
            <w:noWrap/>
            <w:hideMark/>
          </w:tcPr>
          <w:p w14:paraId="6E1FF84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36.35</w:t>
            </w:r>
          </w:p>
        </w:tc>
        <w:tc>
          <w:tcPr>
            <w:tcW w:w="926" w:type="dxa"/>
            <w:noWrap/>
            <w:hideMark/>
          </w:tcPr>
          <w:p w14:paraId="5B85B49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926" w:type="dxa"/>
            <w:noWrap/>
            <w:hideMark/>
          </w:tcPr>
          <w:p w14:paraId="336E8A4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c>
          <w:tcPr>
            <w:tcW w:w="866" w:type="dxa"/>
            <w:noWrap/>
            <w:hideMark/>
          </w:tcPr>
          <w:p w14:paraId="32BBBC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38.41</w:t>
            </w:r>
          </w:p>
        </w:tc>
        <w:tc>
          <w:tcPr>
            <w:tcW w:w="1097" w:type="dxa"/>
            <w:noWrap/>
            <w:hideMark/>
          </w:tcPr>
          <w:p w14:paraId="672F0A4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10.00</w:t>
            </w:r>
          </w:p>
        </w:tc>
        <w:tc>
          <w:tcPr>
            <w:tcW w:w="1096" w:type="dxa"/>
            <w:noWrap/>
            <w:hideMark/>
          </w:tcPr>
          <w:p w14:paraId="12A9156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18.50</w:t>
            </w:r>
          </w:p>
        </w:tc>
      </w:tr>
      <w:tr w:rsidR="00762F09" w:rsidRPr="006A755B" w14:paraId="664FDD1A" w14:textId="77777777" w:rsidTr="006A755B">
        <w:trPr>
          <w:trHeight w:val="333"/>
        </w:trPr>
        <w:tc>
          <w:tcPr>
            <w:tcW w:w="456" w:type="dxa"/>
            <w:noWrap/>
            <w:hideMark/>
          </w:tcPr>
          <w:p w14:paraId="5B5C57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w:t>
            </w:r>
          </w:p>
        </w:tc>
        <w:tc>
          <w:tcPr>
            <w:tcW w:w="2091" w:type="dxa"/>
            <w:noWrap/>
            <w:hideMark/>
          </w:tcPr>
          <w:p w14:paraId="00974957" w14:textId="023B91BD"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CSH 43MF(R24)</w:t>
            </w:r>
          </w:p>
        </w:tc>
        <w:tc>
          <w:tcPr>
            <w:tcW w:w="688" w:type="dxa"/>
            <w:noWrap/>
            <w:hideMark/>
          </w:tcPr>
          <w:p w14:paraId="46E539E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21.50</w:t>
            </w:r>
          </w:p>
        </w:tc>
        <w:tc>
          <w:tcPr>
            <w:tcW w:w="1061" w:type="dxa"/>
            <w:noWrap/>
            <w:hideMark/>
          </w:tcPr>
          <w:p w14:paraId="62EB9F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44.75</w:t>
            </w:r>
          </w:p>
        </w:tc>
        <w:tc>
          <w:tcPr>
            <w:tcW w:w="1026" w:type="dxa"/>
            <w:noWrap/>
            <w:hideMark/>
          </w:tcPr>
          <w:p w14:paraId="044EE5B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46.50</w:t>
            </w:r>
          </w:p>
        </w:tc>
        <w:tc>
          <w:tcPr>
            <w:tcW w:w="866" w:type="dxa"/>
            <w:noWrap/>
            <w:hideMark/>
          </w:tcPr>
          <w:p w14:paraId="61D0941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25.11</w:t>
            </w:r>
          </w:p>
        </w:tc>
        <w:tc>
          <w:tcPr>
            <w:tcW w:w="926" w:type="dxa"/>
            <w:noWrap/>
            <w:hideMark/>
          </w:tcPr>
          <w:p w14:paraId="19CF4AE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37.75</w:t>
            </w:r>
          </w:p>
        </w:tc>
        <w:tc>
          <w:tcPr>
            <w:tcW w:w="926" w:type="dxa"/>
            <w:noWrap/>
            <w:hideMark/>
          </w:tcPr>
          <w:p w14:paraId="407900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42.75</w:t>
            </w:r>
          </w:p>
        </w:tc>
        <w:tc>
          <w:tcPr>
            <w:tcW w:w="866" w:type="dxa"/>
            <w:noWrap/>
            <w:hideMark/>
          </w:tcPr>
          <w:p w14:paraId="7D1B72E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25.56</w:t>
            </w:r>
          </w:p>
        </w:tc>
        <w:tc>
          <w:tcPr>
            <w:tcW w:w="926" w:type="dxa"/>
            <w:noWrap/>
            <w:hideMark/>
          </w:tcPr>
          <w:p w14:paraId="2114703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926" w:type="dxa"/>
            <w:noWrap/>
            <w:hideMark/>
          </w:tcPr>
          <w:p w14:paraId="28210B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16BB5A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26.37</w:t>
            </w:r>
          </w:p>
        </w:tc>
        <w:tc>
          <w:tcPr>
            <w:tcW w:w="926" w:type="dxa"/>
            <w:noWrap/>
            <w:hideMark/>
          </w:tcPr>
          <w:p w14:paraId="2C85C5D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28.00</w:t>
            </w:r>
          </w:p>
        </w:tc>
        <w:tc>
          <w:tcPr>
            <w:tcW w:w="926" w:type="dxa"/>
            <w:noWrap/>
            <w:hideMark/>
          </w:tcPr>
          <w:p w14:paraId="2303F4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37.50</w:t>
            </w:r>
          </w:p>
        </w:tc>
        <w:tc>
          <w:tcPr>
            <w:tcW w:w="866" w:type="dxa"/>
            <w:noWrap/>
            <w:hideMark/>
          </w:tcPr>
          <w:p w14:paraId="69C942B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28.43</w:t>
            </w:r>
          </w:p>
        </w:tc>
        <w:tc>
          <w:tcPr>
            <w:tcW w:w="1097" w:type="dxa"/>
            <w:noWrap/>
            <w:hideMark/>
          </w:tcPr>
          <w:p w14:paraId="691299D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24.00</w:t>
            </w:r>
          </w:p>
        </w:tc>
        <w:tc>
          <w:tcPr>
            <w:tcW w:w="1096" w:type="dxa"/>
            <w:noWrap/>
            <w:hideMark/>
          </w:tcPr>
          <w:p w14:paraId="09A3A72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33.50</w:t>
            </w:r>
          </w:p>
        </w:tc>
      </w:tr>
      <w:tr w:rsidR="00762F09" w:rsidRPr="006A755B" w14:paraId="66F34BD6" w14:textId="77777777" w:rsidTr="006A755B">
        <w:trPr>
          <w:trHeight w:val="333"/>
        </w:trPr>
        <w:tc>
          <w:tcPr>
            <w:tcW w:w="456" w:type="dxa"/>
            <w:noWrap/>
            <w:hideMark/>
          </w:tcPr>
          <w:p w14:paraId="20E224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w:t>
            </w:r>
          </w:p>
        </w:tc>
        <w:tc>
          <w:tcPr>
            <w:tcW w:w="2091" w:type="dxa"/>
            <w:noWrap/>
            <w:hideMark/>
          </w:tcPr>
          <w:p w14:paraId="1E91FA16"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32 F (R23)</w:t>
            </w:r>
          </w:p>
        </w:tc>
        <w:tc>
          <w:tcPr>
            <w:tcW w:w="688" w:type="dxa"/>
            <w:noWrap/>
            <w:hideMark/>
          </w:tcPr>
          <w:p w14:paraId="6133D28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21.68</w:t>
            </w:r>
          </w:p>
        </w:tc>
        <w:tc>
          <w:tcPr>
            <w:tcW w:w="1061" w:type="dxa"/>
            <w:noWrap/>
            <w:hideMark/>
          </w:tcPr>
          <w:p w14:paraId="1C1FF875"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25.50</w:t>
            </w:r>
          </w:p>
        </w:tc>
        <w:tc>
          <w:tcPr>
            <w:tcW w:w="1026" w:type="dxa"/>
            <w:noWrap/>
            <w:hideMark/>
          </w:tcPr>
          <w:p w14:paraId="118B669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34.50</w:t>
            </w:r>
          </w:p>
        </w:tc>
        <w:tc>
          <w:tcPr>
            <w:tcW w:w="866" w:type="dxa"/>
            <w:noWrap/>
            <w:hideMark/>
          </w:tcPr>
          <w:p w14:paraId="2BEA75C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25.13</w:t>
            </w:r>
          </w:p>
        </w:tc>
        <w:tc>
          <w:tcPr>
            <w:tcW w:w="926" w:type="dxa"/>
            <w:noWrap/>
            <w:hideMark/>
          </w:tcPr>
          <w:p w14:paraId="5CB560D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21.50</w:t>
            </w:r>
          </w:p>
        </w:tc>
        <w:tc>
          <w:tcPr>
            <w:tcW w:w="926" w:type="dxa"/>
            <w:noWrap/>
            <w:hideMark/>
          </w:tcPr>
          <w:p w14:paraId="3550A9C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25.25</w:t>
            </w:r>
          </w:p>
        </w:tc>
        <w:tc>
          <w:tcPr>
            <w:tcW w:w="866" w:type="dxa"/>
            <w:noWrap/>
            <w:hideMark/>
          </w:tcPr>
          <w:p w14:paraId="728E7F2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29.62</w:t>
            </w:r>
          </w:p>
        </w:tc>
        <w:tc>
          <w:tcPr>
            <w:tcW w:w="926" w:type="dxa"/>
            <w:noWrap/>
            <w:hideMark/>
          </w:tcPr>
          <w:p w14:paraId="5FAFD9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15.00</w:t>
            </w:r>
          </w:p>
        </w:tc>
        <w:tc>
          <w:tcPr>
            <w:tcW w:w="926" w:type="dxa"/>
            <w:noWrap/>
            <w:hideMark/>
          </w:tcPr>
          <w:p w14:paraId="782B523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17.50</w:t>
            </w:r>
          </w:p>
        </w:tc>
        <w:tc>
          <w:tcPr>
            <w:tcW w:w="866" w:type="dxa"/>
            <w:noWrap/>
            <w:hideMark/>
          </w:tcPr>
          <w:p w14:paraId="30FDCA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32.39</w:t>
            </w:r>
          </w:p>
        </w:tc>
        <w:tc>
          <w:tcPr>
            <w:tcW w:w="926" w:type="dxa"/>
            <w:noWrap/>
            <w:hideMark/>
          </w:tcPr>
          <w:p w14:paraId="1354CF1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12.25</w:t>
            </w:r>
          </w:p>
        </w:tc>
        <w:tc>
          <w:tcPr>
            <w:tcW w:w="926" w:type="dxa"/>
            <w:noWrap/>
            <w:hideMark/>
          </w:tcPr>
          <w:p w14:paraId="3798D44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866" w:type="dxa"/>
            <w:noWrap/>
            <w:hideMark/>
          </w:tcPr>
          <w:p w14:paraId="7D14B9D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34.48</w:t>
            </w:r>
          </w:p>
        </w:tc>
        <w:tc>
          <w:tcPr>
            <w:tcW w:w="1097" w:type="dxa"/>
            <w:noWrap/>
            <w:hideMark/>
          </w:tcPr>
          <w:p w14:paraId="1F29D48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9.00</w:t>
            </w:r>
          </w:p>
        </w:tc>
        <w:tc>
          <w:tcPr>
            <w:tcW w:w="1096" w:type="dxa"/>
            <w:noWrap/>
            <w:hideMark/>
          </w:tcPr>
          <w:p w14:paraId="22CB291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12.00</w:t>
            </w:r>
          </w:p>
        </w:tc>
      </w:tr>
      <w:tr w:rsidR="00762F09" w:rsidRPr="006A755B" w14:paraId="3375FABE" w14:textId="77777777" w:rsidTr="006A755B">
        <w:trPr>
          <w:trHeight w:val="333"/>
        </w:trPr>
        <w:tc>
          <w:tcPr>
            <w:tcW w:w="456" w:type="dxa"/>
            <w:noWrap/>
            <w:hideMark/>
          </w:tcPr>
          <w:p w14:paraId="1EB148B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w:t>
            </w:r>
          </w:p>
        </w:tc>
        <w:tc>
          <w:tcPr>
            <w:tcW w:w="2091" w:type="dxa"/>
            <w:noWrap/>
            <w:hideMark/>
          </w:tcPr>
          <w:p w14:paraId="123EF3D1"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467 A (R24)</w:t>
            </w:r>
          </w:p>
        </w:tc>
        <w:tc>
          <w:tcPr>
            <w:tcW w:w="688" w:type="dxa"/>
            <w:noWrap/>
            <w:hideMark/>
          </w:tcPr>
          <w:p w14:paraId="141C44E9"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23.62</w:t>
            </w:r>
          </w:p>
        </w:tc>
        <w:tc>
          <w:tcPr>
            <w:tcW w:w="1061" w:type="dxa"/>
            <w:noWrap/>
            <w:hideMark/>
          </w:tcPr>
          <w:p w14:paraId="1B8C6A0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23.25</w:t>
            </w:r>
          </w:p>
        </w:tc>
        <w:tc>
          <w:tcPr>
            <w:tcW w:w="1026" w:type="dxa"/>
            <w:noWrap/>
            <w:hideMark/>
          </w:tcPr>
          <w:p w14:paraId="74CC37A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5980DD5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25.32</w:t>
            </w:r>
          </w:p>
        </w:tc>
        <w:tc>
          <w:tcPr>
            <w:tcW w:w="926" w:type="dxa"/>
            <w:noWrap/>
            <w:hideMark/>
          </w:tcPr>
          <w:p w14:paraId="3FB7FEE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19.25</w:t>
            </w:r>
          </w:p>
        </w:tc>
        <w:tc>
          <w:tcPr>
            <w:tcW w:w="926" w:type="dxa"/>
            <w:noWrap/>
            <w:hideMark/>
          </w:tcPr>
          <w:p w14:paraId="10BA31B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23.75</w:t>
            </w:r>
          </w:p>
        </w:tc>
        <w:tc>
          <w:tcPr>
            <w:tcW w:w="866" w:type="dxa"/>
            <w:noWrap/>
            <w:hideMark/>
          </w:tcPr>
          <w:p w14:paraId="52121ED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31.82</w:t>
            </w:r>
          </w:p>
        </w:tc>
        <w:tc>
          <w:tcPr>
            <w:tcW w:w="926" w:type="dxa"/>
            <w:noWrap/>
            <w:hideMark/>
          </w:tcPr>
          <w:p w14:paraId="1C36AE8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15.00</w:t>
            </w:r>
          </w:p>
        </w:tc>
        <w:tc>
          <w:tcPr>
            <w:tcW w:w="926" w:type="dxa"/>
            <w:noWrap/>
            <w:hideMark/>
          </w:tcPr>
          <w:p w14:paraId="78D2F56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13.50</w:t>
            </w:r>
          </w:p>
        </w:tc>
        <w:tc>
          <w:tcPr>
            <w:tcW w:w="866" w:type="dxa"/>
            <w:noWrap/>
            <w:hideMark/>
          </w:tcPr>
          <w:p w14:paraId="501DEB6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39.32</w:t>
            </w:r>
          </w:p>
        </w:tc>
        <w:tc>
          <w:tcPr>
            <w:tcW w:w="926" w:type="dxa"/>
            <w:noWrap/>
            <w:hideMark/>
          </w:tcPr>
          <w:p w14:paraId="26DDA19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12.75</w:t>
            </w:r>
          </w:p>
        </w:tc>
        <w:tc>
          <w:tcPr>
            <w:tcW w:w="926" w:type="dxa"/>
            <w:noWrap/>
            <w:hideMark/>
          </w:tcPr>
          <w:p w14:paraId="1F8E0F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9.50</w:t>
            </w:r>
          </w:p>
        </w:tc>
        <w:tc>
          <w:tcPr>
            <w:tcW w:w="866" w:type="dxa"/>
            <w:noWrap/>
            <w:hideMark/>
          </w:tcPr>
          <w:p w14:paraId="27EBF6D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47.48</w:t>
            </w:r>
          </w:p>
        </w:tc>
        <w:tc>
          <w:tcPr>
            <w:tcW w:w="1097" w:type="dxa"/>
            <w:noWrap/>
            <w:hideMark/>
          </w:tcPr>
          <w:p w14:paraId="2268B7B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11.50</w:t>
            </w:r>
          </w:p>
        </w:tc>
        <w:tc>
          <w:tcPr>
            <w:tcW w:w="1096" w:type="dxa"/>
            <w:noWrap/>
            <w:hideMark/>
          </w:tcPr>
          <w:p w14:paraId="265C069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7.75</w:t>
            </w:r>
          </w:p>
        </w:tc>
      </w:tr>
      <w:tr w:rsidR="00762F09" w:rsidRPr="006A755B" w14:paraId="2D5F3AC3" w14:textId="77777777" w:rsidTr="006A755B">
        <w:trPr>
          <w:trHeight w:val="333"/>
        </w:trPr>
        <w:tc>
          <w:tcPr>
            <w:tcW w:w="456" w:type="dxa"/>
            <w:noWrap/>
            <w:hideMark/>
          </w:tcPr>
          <w:p w14:paraId="502118B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w:t>
            </w:r>
          </w:p>
        </w:tc>
        <w:tc>
          <w:tcPr>
            <w:tcW w:w="2091" w:type="dxa"/>
            <w:noWrap/>
            <w:hideMark/>
          </w:tcPr>
          <w:p w14:paraId="20BE58E9"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38F (R24)</w:t>
            </w:r>
          </w:p>
        </w:tc>
        <w:tc>
          <w:tcPr>
            <w:tcW w:w="688" w:type="dxa"/>
            <w:noWrap/>
            <w:hideMark/>
          </w:tcPr>
          <w:p w14:paraId="4165A51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19.24</w:t>
            </w:r>
          </w:p>
        </w:tc>
        <w:tc>
          <w:tcPr>
            <w:tcW w:w="1061" w:type="dxa"/>
            <w:noWrap/>
            <w:hideMark/>
          </w:tcPr>
          <w:p w14:paraId="737BDB1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38.00</w:t>
            </w:r>
          </w:p>
        </w:tc>
        <w:tc>
          <w:tcPr>
            <w:tcW w:w="1026" w:type="dxa"/>
            <w:noWrap/>
            <w:hideMark/>
          </w:tcPr>
          <w:p w14:paraId="71900858"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45.00</w:t>
            </w:r>
          </w:p>
        </w:tc>
        <w:tc>
          <w:tcPr>
            <w:tcW w:w="866" w:type="dxa"/>
            <w:noWrap/>
            <w:hideMark/>
          </w:tcPr>
          <w:p w14:paraId="3D9D0AD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26.17</w:t>
            </w:r>
          </w:p>
        </w:tc>
        <w:tc>
          <w:tcPr>
            <w:tcW w:w="926" w:type="dxa"/>
            <w:noWrap/>
            <w:hideMark/>
          </w:tcPr>
          <w:p w14:paraId="4CB578C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926" w:type="dxa"/>
            <w:noWrap/>
            <w:hideMark/>
          </w:tcPr>
          <w:p w14:paraId="68E642C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41.00</w:t>
            </w:r>
          </w:p>
        </w:tc>
        <w:tc>
          <w:tcPr>
            <w:tcW w:w="866" w:type="dxa"/>
            <w:noWrap/>
            <w:hideMark/>
          </w:tcPr>
          <w:p w14:paraId="649BBA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34.83</w:t>
            </w:r>
          </w:p>
        </w:tc>
        <w:tc>
          <w:tcPr>
            <w:tcW w:w="926" w:type="dxa"/>
            <w:noWrap/>
            <w:hideMark/>
          </w:tcPr>
          <w:p w14:paraId="45454F2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926" w:type="dxa"/>
            <w:noWrap/>
            <w:hideMark/>
          </w:tcPr>
          <w:p w14:paraId="0EF9F7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39.00</w:t>
            </w:r>
          </w:p>
        </w:tc>
        <w:tc>
          <w:tcPr>
            <w:tcW w:w="866" w:type="dxa"/>
            <w:noWrap/>
            <w:hideMark/>
          </w:tcPr>
          <w:p w14:paraId="26A2CBF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38.43</w:t>
            </w:r>
          </w:p>
        </w:tc>
        <w:tc>
          <w:tcPr>
            <w:tcW w:w="926" w:type="dxa"/>
            <w:noWrap/>
            <w:hideMark/>
          </w:tcPr>
          <w:p w14:paraId="4E7740D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28.00</w:t>
            </w:r>
          </w:p>
        </w:tc>
        <w:tc>
          <w:tcPr>
            <w:tcW w:w="926" w:type="dxa"/>
            <w:noWrap/>
            <w:hideMark/>
          </w:tcPr>
          <w:p w14:paraId="4FFFFD0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35.00</w:t>
            </w:r>
          </w:p>
        </w:tc>
        <w:tc>
          <w:tcPr>
            <w:tcW w:w="866" w:type="dxa"/>
            <w:noWrap/>
            <w:hideMark/>
          </w:tcPr>
          <w:p w14:paraId="2A99FB5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39.82</w:t>
            </w:r>
          </w:p>
        </w:tc>
        <w:tc>
          <w:tcPr>
            <w:tcW w:w="1097" w:type="dxa"/>
            <w:noWrap/>
            <w:hideMark/>
          </w:tcPr>
          <w:p w14:paraId="704BE24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24.00</w:t>
            </w:r>
          </w:p>
        </w:tc>
        <w:tc>
          <w:tcPr>
            <w:tcW w:w="1096" w:type="dxa"/>
            <w:noWrap/>
            <w:hideMark/>
          </w:tcPr>
          <w:p w14:paraId="2A34243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31.00</w:t>
            </w:r>
          </w:p>
        </w:tc>
      </w:tr>
      <w:tr w:rsidR="00762F09" w:rsidRPr="006A755B" w14:paraId="5C5C771E" w14:textId="77777777" w:rsidTr="006A755B">
        <w:trPr>
          <w:trHeight w:val="333"/>
        </w:trPr>
        <w:tc>
          <w:tcPr>
            <w:tcW w:w="456" w:type="dxa"/>
            <w:noWrap/>
            <w:hideMark/>
          </w:tcPr>
          <w:p w14:paraId="395E155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w:t>
            </w:r>
          </w:p>
        </w:tc>
        <w:tc>
          <w:tcPr>
            <w:tcW w:w="2091" w:type="dxa"/>
            <w:noWrap/>
            <w:hideMark/>
          </w:tcPr>
          <w:p w14:paraId="6964B364"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PGPS 2 (R24)</w:t>
            </w:r>
          </w:p>
        </w:tc>
        <w:tc>
          <w:tcPr>
            <w:tcW w:w="688" w:type="dxa"/>
            <w:noWrap/>
            <w:hideMark/>
          </w:tcPr>
          <w:p w14:paraId="574303E7"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22.10</w:t>
            </w:r>
          </w:p>
        </w:tc>
        <w:tc>
          <w:tcPr>
            <w:tcW w:w="1061" w:type="dxa"/>
            <w:noWrap/>
            <w:hideMark/>
          </w:tcPr>
          <w:p w14:paraId="40F9A96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36.75</w:t>
            </w:r>
          </w:p>
        </w:tc>
        <w:tc>
          <w:tcPr>
            <w:tcW w:w="1026" w:type="dxa"/>
            <w:noWrap/>
            <w:hideMark/>
          </w:tcPr>
          <w:p w14:paraId="44E5CC1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48.50</w:t>
            </w:r>
          </w:p>
        </w:tc>
        <w:tc>
          <w:tcPr>
            <w:tcW w:w="866" w:type="dxa"/>
            <w:noWrap/>
            <w:hideMark/>
          </w:tcPr>
          <w:p w14:paraId="3ED41E4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27.09</w:t>
            </w:r>
          </w:p>
        </w:tc>
        <w:tc>
          <w:tcPr>
            <w:tcW w:w="926" w:type="dxa"/>
            <w:noWrap/>
            <w:hideMark/>
          </w:tcPr>
          <w:p w14:paraId="6A9A1D9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35.50</w:t>
            </w:r>
          </w:p>
        </w:tc>
        <w:tc>
          <w:tcPr>
            <w:tcW w:w="926" w:type="dxa"/>
            <w:noWrap/>
            <w:hideMark/>
          </w:tcPr>
          <w:p w14:paraId="356D687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45.00</w:t>
            </w:r>
          </w:p>
        </w:tc>
        <w:tc>
          <w:tcPr>
            <w:tcW w:w="866" w:type="dxa"/>
            <w:noWrap/>
            <w:hideMark/>
          </w:tcPr>
          <w:p w14:paraId="414CA1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33.77</w:t>
            </w:r>
          </w:p>
        </w:tc>
        <w:tc>
          <w:tcPr>
            <w:tcW w:w="926" w:type="dxa"/>
            <w:noWrap/>
            <w:hideMark/>
          </w:tcPr>
          <w:p w14:paraId="33D4D0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c>
          <w:tcPr>
            <w:tcW w:w="926" w:type="dxa"/>
            <w:noWrap/>
            <w:hideMark/>
          </w:tcPr>
          <w:p w14:paraId="064339F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44.50</w:t>
            </w:r>
          </w:p>
        </w:tc>
        <w:tc>
          <w:tcPr>
            <w:tcW w:w="866" w:type="dxa"/>
            <w:noWrap/>
            <w:hideMark/>
          </w:tcPr>
          <w:p w14:paraId="5C12CC7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38.43</w:t>
            </w:r>
          </w:p>
        </w:tc>
        <w:tc>
          <w:tcPr>
            <w:tcW w:w="926" w:type="dxa"/>
            <w:noWrap/>
            <w:hideMark/>
          </w:tcPr>
          <w:p w14:paraId="583A92A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29.75</w:t>
            </w:r>
          </w:p>
        </w:tc>
        <w:tc>
          <w:tcPr>
            <w:tcW w:w="926" w:type="dxa"/>
            <w:noWrap/>
            <w:hideMark/>
          </w:tcPr>
          <w:p w14:paraId="5A18C49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40.50</w:t>
            </w:r>
          </w:p>
        </w:tc>
        <w:tc>
          <w:tcPr>
            <w:tcW w:w="866" w:type="dxa"/>
            <w:noWrap/>
            <w:hideMark/>
          </w:tcPr>
          <w:p w14:paraId="033AD05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40.27</w:t>
            </w:r>
          </w:p>
        </w:tc>
        <w:tc>
          <w:tcPr>
            <w:tcW w:w="1097" w:type="dxa"/>
            <w:noWrap/>
            <w:hideMark/>
          </w:tcPr>
          <w:p w14:paraId="02575A4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96" w:type="dxa"/>
            <w:noWrap/>
            <w:hideMark/>
          </w:tcPr>
          <w:p w14:paraId="6C2ED98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36.50</w:t>
            </w:r>
          </w:p>
        </w:tc>
      </w:tr>
      <w:tr w:rsidR="00762F09" w:rsidRPr="006A755B" w14:paraId="61B09CBE" w14:textId="77777777" w:rsidTr="006A755B">
        <w:trPr>
          <w:trHeight w:val="333"/>
        </w:trPr>
        <w:tc>
          <w:tcPr>
            <w:tcW w:w="456" w:type="dxa"/>
            <w:noWrap/>
            <w:hideMark/>
          </w:tcPr>
          <w:p w14:paraId="6252932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w:t>
            </w:r>
          </w:p>
        </w:tc>
        <w:tc>
          <w:tcPr>
            <w:tcW w:w="2091" w:type="dxa"/>
            <w:noWrap/>
            <w:hideMark/>
          </w:tcPr>
          <w:p w14:paraId="14E38C5F"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COFS 29 (K24)</w:t>
            </w:r>
          </w:p>
        </w:tc>
        <w:tc>
          <w:tcPr>
            <w:tcW w:w="688" w:type="dxa"/>
            <w:noWrap/>
            <w:hideMark/>
          </w:tcPr>
          <w:p w14:paraId="788CC62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33.89</w:t>
            </w:r>
          </w:p>
        </w:tc>
        <w:tc>
          <w:tcPr>
            <w:tcW w:w="1061" w:type="dxa"/>
            <w:noWrap/>
            <w:hideMark/>
          </w:tcPr>
          <w:p w14:paraId="4B9A44A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26" w:type="dxa"/>
            <w:noWrap/>
            <w:hideMark/>
          </w:tcPr>
          <w:p w14:paraId="78493C0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38.75</w:t>
            </w:r>
          </w:p>
        </w:tc>
        <w:tc>
          <w:tcPr>
            <w:tcW w:w="866" w:type="dxa"/>
            <w:noWrap/>
            <w:hideMark/>
          </w:tcPr>
          <w:p w14:paraId="2C916FB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34.06</w:t>
            </w:r>
          </w:p>
        </w:tc>
        <w:tc>
          <w:tcPr>
            <w:tcW w:w="926" w:type="dxa"/>
            <w:noWrap/>
            <w:hideMark/>
          </w:tcPr>
          <w:p w14:paraId="6278049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23.25</w:t>
            </w:r>
          </w:p>
        </w:tc>
        <w:tc>
          <w:tcPr>
            <w:tcW w:w="926" w:type="dxa"/>
            <w:noWrap/>
            <w:hideMark/>
          </w:tcPr>
          <w:p w14:paraId="3155F74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866" w:type="dxa"/>
            <w:noWrap/>
            <w:hideMark/>
          </w:tcPr>
          <w:p w14:paraId="49FBCBB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34.95</w:t>
            </w:r>
          </w:p>
        </w:tc>
        <w:tc>
          <w:tcPr>
            <w:tcW w:w="926" w:type="dxa"/>
            <w:noWrap/>
            <w:hideMark/>
          </w:tcPr>
          <w:p w14:paraId="5BC1EC9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22.00</w:t>
            </w:r>
          </w:p>
        </w:tc>
        <w:tc>
          <w:tcPr>
            <w:tcW w:w="926" w:type="dxa"/>
            <w:noWrap/>
            <w:hideMark/>
          </w:tcPr>
          <w:p w14:paraId="399D310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866" w:type="dxa"/>
            <w:noWrap/>
            <w:hideMark/>
          </w:tcPr>
          <w:p w14:paraId="5E6F5FF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36.58</w:t>
            </w:r>
          </w:p>
        </w:tc>
        <w:tc>
          <w:tcPr>
            <w:tcW w:w="926" w:type="dxa"/>
            <w:noWrap/>
            <w:hideMark/>
          </w:tcPr>
          <w:p w14:paraId="71C07E6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18.00</w:t>
            </w:r>
          </w:p>
        </w:tc>
        <w:tc>
          <w:tcPr>
            <w:tcW w:w="926" w:type="dxa"/>
            <w:noWrap/>
            <w:hideMark/>
          </w:tcPr>
          <w:p w14:paraId="00BF59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866" w:type="dxa"/>
            <w:noWrap/>
            <w:hideMark/>
          </w:tcPr>
          <w:p w14:paraId="47C6CF7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41.47</w:t>
            </w:r>
          </w:p>
        </w:tc>
        <w:tc>
          <w:tcPr>
            <w:tcW w:w="1097" w:type="dxa"/>
            <w:noWrap/>
            <w:hideMark/>
          </w:tcPr>
          <w:p w14:paraId="3112AA8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1096" w:type="dxa"/>
            <w:noWrap/>
            <w:hideMark/>
          </w:tcPr>
          <w:p w14:paraId="3423EFB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r>
      <w:tr w:rsidR="00762F09" w:rsidRPr="006A755B" w14:paraId="2D26C7BA" w14:textId="77777777" w:rsidTr="006A755B">
        <w:trPr>
          <w:trHeight w:val="333"/>
        </w:trPr>
        <w:tc>
          <w:tcPr>
            <w:tcW w:w="456" w:type="dxa"/>
            <w:noWrap/>
            <w:hideMark/>
          </w:tcPr>
          <w:p w14:paraId="4F7A0D9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18697C7C"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Mean</w:t>
            </w:r>
          </w:p>
        </w:tc>
        <w:tc>
          <w:tcPr>
            <w:tcW w:w="688" w:type="dxa"/>
            <w:noWrap/>
            <w:hideMark/>
          </w:tcPr>
          <w:p w14:paraId="21D94DD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22.38</w:t>
            </w:r>
          </w:p>
        </w:tc>
        <w:tc>
          <w:tcPr>
            <w:tcW w:w="1061" w:type="dxa"/>
            <w:noWrap/>
            <w:hideMark/>
          </w:tcPr>
          <w:p w14:paraId="288C95D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35.38</w:t>
            </w:r>
          </w:p>
        </w:tc>
        <w:tc>
          <w:tcPr>
            <w:tcW w:w="1026" w:type="dxa"/>
            <w:noWrap/>
            <w:hideMark/>
          </w:tcPr>
          <w:p w14:paraId="345E07D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43.32</w:t>
            </w:r>
          </w:p>
        </w:tc>
        <w:tc>
          <w:tcPr>
            <w:tcW w:w="866" w:type="dxa"/>
            <w:noWrap/>
            <w:hideMark/>
          </w:tcPr>
          <w:p w14:paraId="165EB02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27.41</w:t>
            </w:r>
          </w:p>
        </w:tc>
        <w:tc>
          <w:tcPr>
            <w:tcW w:w="926" w:type="dxa"/>
            <w:noWrap/>
            <w:hideMark/>
          </w:tcPr>
          <w:p w14:paraId="49995A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31.80</w:t>
            </w:r>
          </w:p>
        </w:tc>
        <w:tc>
          <w:tcPr>
            <w:tcW w:w="926" w:type="dxa"/>
            <w:noWrap/>
            <w:hideMark/>
          </w:tcPr>
          <w:p w14:paraId="1B285A6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37.87</w:t>
            </w:r>
          </w:p>
        </w:tc>
        <w:tc>
          <w:tcPr>
            <w:tcW w:w="866" w:type="dxa"/>
            <w:noWrap/>
            <w:hideMark/>
          </w:tcPr>
          <w:p w14:paraId="76205B9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31.51</w:t>
            </w:r>
          </w:p>
        </w:tc>
        <w:tc>
          <w:tcPr>
            <w:tcW w:w="926" w:type="dxa"/>
            <w:noWrap/>
            <w:hideMark/>
          </w:tcPr>
          <w:p w14:paraId="5266583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26.88</w:t>
            </w:r>
          </w:p>
        </w:tc>
        <w:tc>
          <w:tcPr>
            <w:tcW w:w="926" w:type="dxa"/>
            <w:noWrap/>
            <w:hideMark/>
          </w:tcPr>
          <w:p w14:paraId="3B5418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33.50</w:t>
            </w:r>
          </w:p>
        </w:tc>
        <w:tc>
          <w:tcPr>
            <w:tcW w:w="866" w:type="dxa"/>
            <w:noWrap/>
            <w:hideMark/>
          </w:tcPr>
          <w:p w14:paraId="2446F3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35.38</w:t>
            </w:r>
          </w:p>
        </w:tc>
        <w:tc>
          <w:tcPr>
            <w:tcW w:w="926" w:type="dxa"/>
            <w:noWrap/>
            <w:hideMark/>
          </w:tcPr>
          <w:p w14:paraId="50FEA02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23.53</w:t>
            </w:r>
          </w:p>
        </w:tc>
        <w:tc>
          <w:tcPr>
            <w:tcW w:w="926" w:type="dxa"/>
            <w:noWrap/>
            <w:hideMark/>
          </w:tcPr>
          <w:p w14:paraId="535267A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29.35</w:t>
            </w:r>
          </w:p>
        </w:tc>
        <w:tc>
          <w:tcPr>
            <w:tcW w:w="866" w:type="dxa"/>
            <w:noWrap/>
            <w:hideMark/>
          </w:tcPr>
          <w:p w14:paraId="1B607FE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38.12</w:t>
            </w:r>
          </w:p>
        </w:tc>
        <w:tc>
          <w:tcPr>
            <w:tcW w:w="1097" w:type="dxa"/>
            <w:noWrap/>
            <w:hideMark/>
          </w:tcPr>
          <w:p w14:paraId="6017F79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19.72</w:t>
            </w:r>
          </w:p>
        </w:tc>
        <w:tc>
          <w:tcPr>
            <w:tcW w:w="1096" w:type="dxa"/>
            <w:noWrap/>
            <w:hideMark/>
          </w:tcPr>
          <w:p w14:paraId="128255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24.98</w:t>
            </w:r>
          </w:p>
        </w:tc>
      </w:tr>
      <w:tr w:rsidR="00762F09" w:rsidRPr="006A755B" w14:paraId="489D1181" w14:textId="77777777" w:rsidTr="006A755B">
        <w:trPr>
          <w:trHeight w:val="333"/>
        </w:trPr>
        <w:tc>
          <w:tcPr>
            <w:tcW w:w="456" w:type="dxa"/>
            <w:noWrap/>
            <w:hideMark/>
          </w:tcPr>
          <w:p w14:paraId="43C8FC9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10900F45"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proofErr w:type="spellStart"/>
            <w:proofErr w:type="gramStart"/>
            <w:r w:rsidRPr="00CC1A2E">
              <w:rPr>
                <w:rFonts w:ascii="Times New Roman" w:eastAsia="Times New Roman" w:hAnsi="Times New Roman" w:cs="Times New Roman"/>
                <w:b/>
                <w:bCs/>
                <w:color w:val="000000"/>
                <w:sz w:val="24"/>
                <w:szCs w:val="24"/>
                <w:lang w:eastAsia="en-IN"/>
              </w:rPr>
              <w:t>S.Em</w:t>
            </w:r>
            <w:proofErr w:type="spellEnd"/>
            <w:proofErr w:type="gramEnd"/>
          </w:p>
        </w:tc>
        <w:tc>
          <w:tcPr>
            <w:tcW w:w="688" w:type="dxa"/>
            <w:noWrap/>
            <w:hideMark/>
          </w:tcPr>
          <w:p w14:paraId="01A683B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0.33</w:t>
            </w:r>
          </w:p>
        </w:tc>
        <w:tc>
          <w:tcPr>
            <w:tcW w:w="1061" w:type="dxa"/>
            <w:noWrap/>
            <w:hideMark/>
          </w:tcPr>
          <w:p w14:paraId="6C16C490"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2.38</w:t>
            </w:r>
          </w:p>
        </w:tc>
        <w:tc>
          <w:tcPr>
            <w:tcW w:w="1026" w:type="dxa"/>
            <w:noWrap/>
            <w:hideMark/>
          </w:tcPr>
          <w:p w14:paraId="407FA90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w:t>
            </w:r>
          </w:p>
        </w:tc>
        <w:tc>
          <w:tcPr>
            <w:tcW w:w="866" w:type="dxa"/>
            <w:noWrap/>
            <w:hideMark/>
          </w:tcPr>
          <w:p w14:paraId="7C85038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0.51</w:t>
            </w:r>
          </w:p>
        </w:tc>
        <w:tc>
          <w:tcPr>
            <w:tcW w:w="926" w:type="dxa"/>
            <w:noWrap/>
            <w:hideMark/>
          </w:tcPr>
          <w:p w14:paraId="15E6426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12.06</w:t>
            </w:r>
          </w:p>
        </w:tc>
        <w:tc>
          <w:tcPr>
            <w:tcW w:w="926" w:type="dxa"/>
            <w:noWrap/>
            <w:hideMark/>
          </w:tcPr>
          <w:p w14:paraId="3D8DCE1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1.78</w:t>
            </w:r>
          </w:p>
        </w:tc>
        <w:tc>
          <w:tcPr>
            <w:tcW w:w="866" w:type="dxa"/>
            <w:noWrap/>
            <w:hideMark/>
          </w:tcPr>
          <w:p w14:paraId="042756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0.42</w:t>
            </w:r>
          </w:p>
        </w:tc>
        <w:tc>
          <w:tcPr>
            <w:tcW w:w="926" w:type="dxa"/>
            <w:noWrap/>
            <w:hideMark/>
          </w:tcPr>
          <w:p w14:paraId="743E28B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w:t>
            </w:r>
          </w:p>
        </w:tc>
        <w:tc>
          <w:tcPr>
            <w:tcW w:w="926" w:type="dxa"/>
            <w:noWrap/>
            <w:hideMark/>
          </w:tcPr>
          <w:p w14:paraId="0FAC1E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3.28</w:t>
            </w:r>
          </w:p>
        </w:tc>
        <w:tc>
          <w:tcPr>
            <w:tcW w:w="866" w:type="dxa"/>
            <w:noWrap/>
            <w:hideMark/>
          </w:tcPr>
          <w:p w14:paraId="5925007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0.70</w:t>
            </w:r>
          </w:p>
        </w:tc>
        <w:tc>
          <w:tcPr>
            <w:tcW w:w="926" w:type="dxa"/>
            <w:noWrap/>
            <w:hideMark/>
          </w:tcPr>
          <w:p w14:paraId="7B8FEF6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2.85</w:t>
            </w:r>
          </w:p>
        </w:tc>
        <w:tc>
          <w:tcPr>
            <w:tcW w:w="926" w:type="dxa"/>
            <w:noWrap/>
            <w:hideMark/>
          </w:tcPr>
          <w:p w14:paraId="5BE1481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3.15</w:t>
            </w:r>
          </w:p>
        </w:tc>
        <w:tc>
          <w:tcPr>
            <w:tcW w:w="866" w:type="dxa"/>
            <w:noWrap/>
            <w:hideMark/>
          </w:tcPr>
          <w:p w14:paraId="6C989C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0.77</w:t>
            </w:r>
          </w:p>
        </w:tc>
        <w:tc>
          <w:tcPr>
            <w:tcW w:w="1097" w:type="dxa"/>
            <w:noWrap/>
            <w:hideMark/>
          </w:tcPr>
          <w:p w14:paraId="35ABB50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2.83</w:t>
            </w:r>
          </w:p>
        </w:tc>
        <w:tc>
          <w:tcPr>
            <w:tcW w:w="1096" w:type="dxa"/>
            <w:noWrap/>
            <w:hideMark/>
          </w:tcPr>
          <w:p w14:paraId="174B8E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3.04</w:t>
            </w:r>
          </w:p>
        </w:tc>
      </w:tr>
      <w:tr w:rsidR="00762F09" w:rsidRPr="006A755B" w14:paraId="16F3B4E8" w14:textId="77777777" w:rsidTr="006A755B">
        <w:trPr>
          <w:trHeight w:val="333"/>
        </w:trPr>
        <w:tc>
          <w:tcPr>
            <w:tcW w:w="456" w:type="dxa"/>
            <w:noWrap/>
            <w:hideMark/>
          </w:tcPr>
          <w:p w14:paraId="4CB55D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64BF97BC"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CV</w:t>
            </w:r>
          </w:p>
        </w:tc>
        <w:tc>
          <w:tcPr>
            <w:tcW w:w="688" w:type="dxa"/>
            <w:noWrap/>
            <w:hideMark/>
          </w:tcPr>
          <w:p w14:paraId="252CE33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2.10</w:t>
            </w:r>
          </w:p>
        </w:tc>
        <w:tc>
          <w:tcPr>
            <w:tcW w:w="1061" w:type="dxa"/>
            <w:noWrap/>
            <w:hideMark/>
          </w:tcPr>
          <w:p w14:paraId="461649C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13.15</w:t>
            </w:r>
          </w:p>
        </w:tc>
        <w:tc>
          <w:tcPr>
            <w:tcW w:w="1026" w:type="dxa"/>
            <w:noWrap/>
            <w:hideMark/>
          </w:tcPr>
          <w:p w14:paraId="6018BD4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10.82</w:t>
            </w:r>
          </w:p>
        </w:tc>
        <w:tc>
          <w:tcPr>
            <w:tcW w:w="866" w:type="dxa"/>
            <w:noWrap/>
            <w:hideMark/>
          </w:tcPr>
          <w:p w14:paraId="3022BEF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3.76</w:t>
            </w:r>
          </w:p>
        </w:tc>
        <w:tc>
          <w:tcPr>
            <w:tcW w:w="926" w:type="dxa"/>
            <w:noWrap/>
            <w:hideMark/>
          </w:tcPr>
          <w:p w14:paraId="4004BF9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12.00</w:t>
            </w:r>
          </w:p>
        </w:tc>
        <w:tc>
          <w:tcPr>
            <w:tcW w:w="926" w:type="dxa"/>
            <w:noWrap/>
            <w:hideMark/>
          </w:tcPr>
          <w:p w14:paraId="113767C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12.94</w:t>
            </w:r>
          </w:p>
        </w:tc>
        <w:tc>
          <w:tcPr>
            <w:tcW w:w="866" w:type="dxa"/>
            <w:noWrap/>
            <w:hideMark/>
          </w:tcPr>
          <w:p w14:paraId="159578F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2.77</w:t>
            </w:r>
          </w:p>
        </w:tc>
        <w:tc>
          <w:tcPr>
            <w:tcW w:w="926" w:type="dxa"/>
            <w:noWrap/>
            <w:hideMark/>
          </w:tcPr>
          <w:p w14:paraId="224F5C2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13.47</w:t>
            </w:r>
          </w:p>
        </w:tc>
        <w:tc>
          <w:tcPr>
            <w:tcW w:w="926" w:type="dxa"/>
            <w:noWrap/>
            <w:hideMark/>
          </w:tcPr>
          <w:p w14:paraId="598E05C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14.79</w:t>
            </w:r>
          </w:p>
        </w:tc>
        <w:tc>
          <w:tcPr>
            <w:tcW w:w="866" w:type="dxa"/>
            <w:noWrap/>
            <w:hideMark/>
          </w:tcPr>
          <w:p w14:paraId="388068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4.11</w:t>
            </w:r>
          </w:p>
        </w:tc>
        <w:tc>
          <w:tcPr>
            <w:tcW w:w="926" w:type="dxa"/>
            <w:noWrap/>
            <w:hideMark/>
          </w:tcPr>
          <w:p w14:paraId="3125975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11.45</w:t>
            </w:r>
          </w:p>
        </w:tc>
        <w:tc>
          <w:tcPr>
            <w:tcW w:w="926" w:type="dxa"/>
            <w:noWrap/>
            <w:hideMark/>
          </w:tcPr>
          <w:p w14:paraId="0A2CAB4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10.00</w:t>
            </w:r>
          </w:p>
        </w:tc>
        <w:tc>
          <w:tcPr>
            <w:tcW w:w="866" w:type="dxa"/>
            <w:noWrap/>
            <w:hideMark/>
          </w:tcPr>
          <w:p w14:paraId="6EB4344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4.15</w:t>
            </w:r>
          </w:p>
        </w:tc>
        <w:tc>
          <w:tcPr>
            <w:tcW w:w="1097" w:type="dxa"/>
            <w:noWrap/>
            <w:hideMark/>
          </w:tcPr>
          <w:p w14:paraId="1246BEC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10.55</w:t>
            </w:r>
          </w:p>
        </w:tc>
        <w:tc>
          <w:tcPr>
            <w:tcW w:w="1096" w:type="dxa"/>
            <w:noWrap/>
            <w:hideMark/>
          </w:tcPr>
          <w:p w14:paraId="3F1154E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13.26</w:t>
            </w:r>
          </w:p>
        </w:tc>
      </w:tr>
      <w:tr w:rsidR="00762F09" w:rsidRPr="006A755B" w14:paraId="29035371" w14:textId="77777777" w:rsidTr="006A755B">
        <w:trPr>
          <w:trHeight w:val="333"/>
        </w:trPr>
        <w:tc>
          <w:tcPr>
            <w:tcW w:w="456" w:type="dxa"/>
            <w:noWrap/>
            <w:hideMark/>
          </w:tcPr>
          <w:p w14:paraId="1E6FF39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47E08A06" w14:textId="2F06F7C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CD</w:t>
            </w:r>
            <w:r w:rsidR="00762F09" w:rsidRPr="006A755B">
              <w:rPr>
                <w:rFonts w:ascii="Times New Roman" w:eastAsia="Times New Roman" w:hAnsi="Times New Roman" w:cs="Times New Roman"/>
                <w:b/>
                <w:bCs/>
                <w:color w:val="000000"/>
                <w:sz w:val="24"/>
                <w:szCs w:val="24"/>
                <w:lang w:eastAsia="en-IN"/>
              </w:rPr>
              <w:t xml:space="preserve"> </w:t>
            </w:r>
            <w:r w:rsidRPr="00CC1A2E">
              <w:rPr>
                <w:rFonts w:ascii="Times New Roman" w:eastAsia="Times New Roman" w:hAnsi="Times New Roman" w:cs="Times New Roman"/>
                <w:b/>
                <w:bCs/>
                <w:color w:val="000000"/>
                <w:sz w:val="24"/>
                <w:szCs w:val="24"/>
                <w:lang w:eastAsia="en-IN"/>
              </w:rPr>
              <w:t>(5%)</w:t>
            </w:r>
          </w:p>
        </w:tc>
        <w:tc>
          <w:tcPr>
            <w:tcW w:w="688" w:type="dxa"/>
            <w:noWrap/>
            <w:hideMark/>
          </w:tcPr>
          <w:p w14:paraId="0C1BDB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w:t>
            </w:r>
          </w:p>
        </w:tc>
        <w:tc>
          <w:tcPr>
            <w:tcW w:w="1061" w:type="dxa"/>
            <w:noWrap/>
            <w:hideMark/>
          </w:tcPr>
          <w:p w14:paraId="23BDB6D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6.79</w:t>
            </w:r>
          </w:p>
        </w:tc>
        <w:tc>
          <w:tcPr>
            <w:tcW w:w="1026" w:type="dxa"/>
            <w:noWrap/>
            <w:hideMark/>
          </w:tcPr>
          <w:p w14:paraId="401D4D6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6.27</w:t>
            </w:r>
          </w:p>
        </w:tc>
        <w:tc>
          <w:tcPr>
            <w:tcW w:w="866" w:type="dxa"/>
            <w:noWrap/>
            <w:hideMark/>
          </w:tcPr>
          <w:p w14:paraId="3F2FFBD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1.48</w:t>
            </w:r>
          </w:p>
        </w:tc>
        <w:tc>
          <w:tcPr>
            <w:tcW w:w="926" w:type="dxa"/>
            <w:noWrap/>
            <w:hideMark/>
          </w:tcPr>
          <w:p w14:paraId="2EDDCF4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14.93</w:t>
            </w:r>
          </w:p>
        </w:tc>
        <w:tc>
          <w:tcPr>
            <w:tcW w:w="926" w:type="dxa"/>
            <w:noWrap/>
            <w:hideMark/>
          </w:tcPr>
          <w:p w14:paraId="0E66DFD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5.14</w:t>
            </w:r>
          </w:p>
        </w:tc>
        <w:tc>
          <w:tcPr>
            <w:tcW w:w="866" w:type="dxa"/>
            <w:noWrap/>
            <w:hideMark/>
          </w:tcPr>
          <w:p w14:paraId="1BA71D2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1.22</w:t>
            </w:r>
          </w:p>
        </w:tc>
        <w:tc>
          <w:tcPr>
            <w:tcW w:w="926" w:type="dxa"/>
            <w:noWrap/>
            <w:hideMark/>
          </w:tcPr>
          <w:p w14:paraId="7515D19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9.33</w:t>
            </w:r>
          </w:p>
        </w:tc>
        <w:tc>
          <w:tcPr>
            <w:tcW w:w="926" w:type="dxa"/>
            <w:noWrap/>
            <w:hideMark/>
          </w:tcPr>
          <w:p w14:paraId="6116235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9.51</w:t>
            </w:r>
          </w:p>
        </w:tc>
        <w:tc>
          <w:tcPr>
            <w:tcW w:w="866" w:type="dxa"/>
            <w:noWrap/>
            <w:hideMark/>
          </w:tcPr>
          <w:p w14:paraId="29575F5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2.03</w:t>
            </w:r>
          </w:p>
        </w:tc>
        <w:tc>
          <w:tcPr>
            <w:tcW w:w="926" w:type="dxa"/>
            <w:noWrap/>
            <w:hideMark/>
          </w:tcPr>
          <w:p w14:paraId="17F2053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8.25</w:t>
            </w:r>
          </w:p>
        </w:tc>
        <w:tc>
          <w:tcPr>
            <w:tcW w:w="926" w:type="dxa"/>
            <w:noWrap/>
            <w:hideMark/>
          </w:tcPr>
          <w:p w14:paraId="3ABF030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9.11</w:t>
            </w:r>
          </w:p>
        </w:tc>
        <w:tc>
          <w:tcPr>
            <w:tcW w:w="866" w:type="dxa"/>
            <w:noWrap/>
            <w:hideMark/>
          </w:tcPr>
          <w:p w14:paraId="4CE4A4B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2.23</w:t>
            </w:r>
          </w:p>
        </w:tc>
        <w:tc>
          <w:tcPr>
            <w:tcW w:w="1097" w:type="dxa"/>
            <w:noWrap/>
            <w:hideMark/>
          </w:tcPr>
          <w:p w14:paraId="7A8F297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8.21</w:t>
            </w:r>
          </w:p>
        </w:tc>
        <w:tc>
          <w:tcPr>
            <w:tcW w:w="1096" w:type="dxa"/>
            <w:noWrap/>
            <w:hideMark/>
          </w:tcPr>
          <w:p w14:paraId="61377E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8.81</w:t>
            </w:r>
          </w:p>
        </w:tc>
      </w:tr>
    </w:tbl>
    <w:p w14:paraId="5E97DD73" w14:textId="60B5129A" w:rsidR="00CC1A2E" w:rsidRDefault="00BC5680" w:rsidP="00BC5680">
      <w:pPr>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Mean germination time (hours) and Field emergence % at 10 and 20 DAS of 15 sorghum </w:t>
      </w:r>
      <w:r w:rsidR="00101690">
        <w:rPr>
          <w:rFonts w:ascii="Times New Roman" w:hAnsi="Times New Roman" w:cs="Times New Roman"/>
          <w:b/>
          <w:bCs/>
          <w:sz w:val="24"/>
          <w:szCs w:val="24"/>
        </w:rPr>
        <w:t>seed lots</w:t>
      </w:r>
      <w:r>
        <w:rPr>
          <w:rFonts w:ascii="Times New Roman" w:hAnsi="Times New Roman" w:cs="Times New Roman"/>
          <w:b/>
          <w:bCs/>
          <w:sz w:val="24"/>
          <w:szCs w:val="24"/>
        </w:rPr>
        <w:t xml:space="preserve"> during 12 months storage</w:t>
      </w:r>
    </w:p>
    <w:p w14:paraId="10BC275B" w14:textId="77777777" w:rsidR="00BC5680" w:rsidRDefault="00BC5680" w:rsidP="006B739A">
      <w:pPr>
        <w:spacing w:after="240" w:line="360" w:lineRule="auto"/>
        <w:jc w:val="both"/>
        <w:rPr>
          <w:rFonts w:ascii="Times New Roman" w:hAnsi="Times New Roman" w:cs="Times New Roman"/>
          <w:b/>
          <w:bCs/>
          <w:sz w:val="24"/>
          <w:szCs w:val="24"/>
        </w:rPr>
        <w:sectPr w:rsidR="00BC5680" w:rsidSect="00CC1A2E">
          <w:pgSz w:w="16838" w:h="11906" w:orient="landscape"/>
          <w:pgMar w:top="1440" w:right="1440" w:bottom="1440" w:left="1440" w:header="708" w:footer="708" w:gutter="0"/>
          <w:cols w:space="708"/>
          <w:docGrid w:linePitch="360"/>
        </w:sectPr>
      </w:pPr>
    </w:p>
    <w:p w14:paraId="1D3E86B6" w14:textId="77777777" w:rsidR="00BC5680" w:rsidRPr="00BC5680" w:rsidRDefault="00BC5680" w:rsidP="00BC5680">
      <w:pPr>
        <w:spacing w:after="240" w:line="360" w:lineRule="auto"/>
        <w:jc w:val="both"/>
        <w:rPr>
          <w:rFonts w:ascii="Times New Roman" w:hAnsi="Times New Roman" w:cs="Times New Roman"/>
          <w:sz w:val="24"/>
          <w:szCs w:val="24"/>
        </w:rPr>
      </w:pPr>
      <w:r w:rsidRPr="00BC5680">
        <w:rPr>
          <w:rFonts w:ascii="Times New Roman" w:hAnsi="Times New Roman" w:cs="Times New Roman"/>
          <w:sz w:val="24"/>
          <w:szCs w:val="24"/>
        </w:rPr>
        <w:lastRenderedPageBreak/>
        <w:t>narrowed to 1.75% (CSV 29R) to 51.50% (CSV 48), with the mean declining from 43.32% to 24.98%. This decline in emergence percentage clearly illustrates the detrimental effects of seed ageing on seedling establishment under field conditions.</w:t>
      </w:r>
    </w:p>
    <w:p w14:paraId="02C2A486" w14:textId="159ACC52" w:rsidR="00BC5680" w:rsidRDefault="00BC5680" w:rsidP="000A730A">
      <w:pPr>
        <w:spacing w:after="24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BC5680">
        <w:rPr>
          <w:rFonts w:ascii="Times New Roman" w:hAnsi="Times New Roman" w:cs="Times New Roman"/>
          <w:sz w:val="24"/>
          <w:szCs w:val="24"/>
        </w:rPr>
        <w:t>Interestingly, certain genotypes maintained relative superiority across storage intervals. CSV 48 consistently outperformed others, combining lower MGT with higher field emergence percentages, thereby exhibiting strong vigour and resilience to deterioration. CSV 41 and CSV 21F also performed well, showing relatively lower increases in MGT and moderate FE retention, indicating good seed quality. Conversely, genotypes such as CSV 29R, COFS 29, and 467A showed poor performance, with high MGT values coupled with steep reductions in field emergence, especially after 9 and 12 months, indicating their sensitivity to deterioration and limited storability.</w:t>
      </w:r>
      <w:r>
        <w:rPr>
          <w:rFonts w:ascii="Times New Roman" w:hAnsi="Times New Roman" w:cs="Times New Roman"/>
          <w:sz w:val="24"/>
          <w:szCs w:val="24"/>
        </w:rPr>
        <w:t xml:space="preserve"> </w:t>
      </w:r>
      <w:r w:rsidRPr="00BC5680">
        <w:rPr>
          <w:rFonts w:ascii="Times New Roman" w:hAnsi="Times New Roman" w:cs="Times New Roman"/>
          <w:sz w:val="24"/>
          <w:szCs w:val="24"/>
        </w:rPr>
        <w:t>The results clearly establish a strong inverse relationship between MGT and FE; seed lots with lower MGT invariably recorded higher emergence percentages, both at 10 and 20 DAS. This validates the utility of MGT as a functional vigour parameter in sorghum, as it not only reflects speed of germination but also serves as a reliable predictor of field establishment. Moreover, the observed genotypic differences highlight the role of inherent genetic constitution in determining vigour expression and storability.</w:t>
      </w:r>
      <w:r>
        <w:rPr>
          <w:rFonts w:ascii="Times New Roman" w:hAnsi="Times New Roman" w:cs="Times New Roman"/>
          <w:sz w:val="24"/>
          <w:szCs w:val="24"/>
        </w:rPr>
        <w:t xml:space="preserve"> Matthews and Hosseini (2006) </w:t>
      </w:r>
      <w:r w:rsidR="000817B7">
        <w:rPr>
          <w:rFonts w:ascii="Times New Roman" w:hAnsi="Times New Roman" w:cs="Times New Roman"/>
          <w:sz w:val="24"/>
          <w:szCs w:val="24"/>
        </w:rPr>
        <w:t>observed that</w:t>
      </w:r>
      <w:r w:rsidR="000A730A" w:rsidRPr="000A730A">
        <w:t xml:space="preserve"> </w:t>
      </w:r>
      <w:r w:rsidR="000A730A" w:rsidRPr="000A730A">
        <w:rPr>
          <w:rFonts w:ascii="Times New Roman" w:hAnsi="Times New Roman" w:cs="Times New Roman"/>
          <w:sz w:val="24"/>
          <w:szCs w:val="24"/>
        </w:rPr>
        <w:t>deterioration was the cause of higher MJGT, MGT, MET (i.e. slower rates) and differences in</w:t>
      </w:r>
      <w:r w:rsidR="000A730A">
        <w:rPr>
          <w:rFonts w:ascii="Times New Roman" w:hAnsi="Times New Roman" w:cs="Times New Roman"/>
          <w:sz w:val="24"/>
          <w:szCs w:val="24"/>
        </w:rPr>
        <w:t xml:space="preserve"> </w:t>
      </w:r>
      <w:r w:rsidR="000A730A" w:rsidRPr="000A730A">
        <w:rPr>
          <w:rFonts w:ascii="Times New Roman" w:hAnsi="Times New Roman" w:cs="Times New Roman"/>
          <w:sz w:val="24"/>
          <w:szCs w:val="24"/>
        </w:rPr>
        <w:t>soil in final emergence, seedling size and variation</w:t>
      </w:r>
      <w:r w:rsidR="00101690">
        <w:rPr>
          <w:rFonts w:ascii="Times New Roman" w:hAnsi="Times New Roman" w:cs="Times New Roman"/>
          <w:sz w:val="24"/>
          <w:szCs w:val="24"/>
        </w:rPr>
        <w:t>.</w:t>
      </w:r>
    </w:p>
    <w:p w14:paraId="301CFF40" w14:textId="77777777" w:rsidR="00C53070" w:rsidRDefault="00C53070" w:rsidP="00C5307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Correlation analysis of MGT and Field emergence at 10 and 20 DAS</w:t>
      </w:r>
    </w:p>
    <w:p w14:paraId="00C9A086" w14:textId="2018D240" w:rsidR="00C53070" w:rsidRPr="00C53070" w:rsidRDefault="00C53070" w:rsidP="00C53070">
      <w:pPr>
        <w:spacing w:after="24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C53070">
        <w:rPr>
          <w:rFonts w:ascii="Times New Roman" w:hAnsi="Times New Roman" w:cs="Times New Roman"/>
          <w:sz w:val="24"/>
          <w:szCs w:val="24"/>
        </w:rPr>
        <w:t>The correlation analysis revealed highly significant associations among storage duration, mean germination time (MGT), and field emergence (FE at 10 and 20 DAS)</w:t>
      </w:r>
      <w:r>
        <w:rPr>
          <w:rFonts w:ascii="Times New Roman" w:hAnsi="Times New Roman" w:cs="Times New Roman"/>
          <w:sz w:val="24"/>
          <w:szCs w:val="24"/>
        </w:rPr>
        <w:t xml:space="preserve"> (Table 3)</w:t>
      </w:r>
      <w:r w:rsidRPr="00C53070">
        <w:rPr>
          <w:rFonts w:ascii="Times New Roman" w:hAnsi="Times New Roman" w:cs="Times New Roman"/>
          <w:sz w:val="24"/>
          <w:szCs w:val="24"/>
        </w:rPr>
        <w:t>. Storage duration was strongly and positively correlated with MGT (r = 0.9946), indicating that prolongation of storage led to a progressive increase in germination time. In contrast, duration showed a strong negative correlation with field emergence both at 10 DAS (r = –0.9983) and 20 DAS (r = –0.9986), confirming that longer storage reduced the emergence potential of sorghum seeds. Similarly, MGT was negatively associated with FE at 10 DAS (r = –0.9948) and FE at 20 DAS (r = –0.9977), suggesting that higher germination time directly translated to poor field establishment. A very strong positive correlation was observed between FE at 10 DAS and FE at 20 DAS (r = 0.9972), indicating that genotypes with rapid and higher early emergence maintained better seedling establishment at later stages as well.</w:t>
      </w:r>
    </w:p>
    <w:p w14:paraId="521FEE4C" w14:textId="77777777" w:rsidR="00C53070" w:rsidRPr="00C53070" w:rsidRDefault="00C53070" w:rsidP="00C53070">
      <w:pPr>
        <w:spacing w:after="240" w:line="360" w:lineRule="auto"/>
        <w:jc w:val="both"/>
        <w:rPr>
          <w:rFonts w:ascii="Times New Roman" w:hAnsi="Times New Roman" w:cs="Times New Roman"/>
          <w:sz w:val="24"/>
          <w:szCs w:val="24"/>
        </w:rPr>
      </w:pPr>
    </w:p>
    <w:p w14:paraId="7844F207" w14:textId="23E6904E" w:rsidR="00C53070" w:rsidRPr="00C53070" w:rsidRDefault="00C53070" w:rsidP="00C53070">
      <w:pPr>
        <w:spacing w:after="240" w:line="360" w:lineRule="auto"/>
        <w:jc w:val="both"/>
        <w:rPr>
          <w:rFonts w:ascii="Times New Roman" w:hAnsi="Times New Roman" w:cs="Times New Roman"/>
          <w:sz w:val="24"/>
          <w:szCs w:val="24"/>
        </w:rPr>
      </w:pPr>
      <w:r w:rsidRPr="00C53070">
        <w:rPr>
          <w:rFonts w:ascii="Times New Roman" w:hAnsi="Times New Roman" w:cs="Times New Roman"/>
          <w:sz w:val="24"/>
          <w:szCs w:val="24"/>
        </w:rPr>
        <w:lastRenderedPageBreak/>
        <w:t xml:space="preserve">These results clearly demonstrate that MGT can be considered a robust indicator of seed vigour in sorghum. The inverse relationship between MGT and FE highlights that genotypes with lower germination time are more likely to establish rapidly in the field, while those with delayed germination show reduced emergence. This finding is in line with the results of Hampton </w:t>
      </w:r>
      <w:r>
        <w:rPr>
          <w:rFonts w:ascii="Times New Roman" w:hAnsi="Times New Roman" w:cs="Times New Roman"/>
          <w:sz w:val="24"/>
          <w:szCs w:val="24"/>
        </w:rPr>
        <w:t xml:space="preserve">(2020) </w:t>
      </w:r>
      <w:r w:rsidRPr="00C53070">
        <w:rPr>
          <w:rFonts w:ascii="Times New Roman" w:hAnsi="Times New Roman" w:cs="Times New Roman"/>
          <w:sz w:val="24"/>
          <w:szCs w:val="24"/>
        </w:rPr>
        <w:t>who emphasized that vigour tests that measure the rate of germination are closely associated with field emergence and seedling performance. Similarly, Matthews and Khajeh-Hosseini (200</w:t>
      </w:r>
      <w:r w:rsidR="000A6CA0">
        <w:rPr>
          <w:rFonts w:ascii="Times New Roman" w:hAnsi="Times New Roman" w:cs="Times New Roman"/>
          <w:sz w:val="24"/>
          <w:szCs w:val="24"/>
        </w:rPr>
        <w:t>6</w:t>
      </w:r>
      <w:r w:rsidRPr="00C53070">
        <w:rPr>
          <w:rFonts w:ascii="Times New Roman" w:hAnsi="Times New Roman" w:cs="Times New Roman"/>
          <w:sz w:val="24"/>
          <w:szCs w:val="24"/>
        </w:rPr>
        <w:t xml:space="preserve">) reported that seed lots with faster germination (lower MGT) consistently produced more </w:t>
      </w:r>
      <w:r w:rsidR="00101690">
        <w:rPr>
          <w:rFonts w:ascii="Times New Roman" w:hAnsi="Times New Roman" w:cs="Times New Roman"/>
          <w:sz w:val="24"/>
          <w:szCs w:val="24"/>
        </w:rPr>
        <w:t>vigour</w:t>
      </w:r>
      <w:r w:rsidRPr="00C53070">
        <w:rPr>
          <w:rFonts w:ascii="Times New Roman" w:hAnsi="Times New Roman" w:cs="Times New Roman"/>
          <w:sz w:val="24"/>
          <w:szCs w:val="24"/>
        </w:rPr>
        <w:t>ous seedlings and higher field emergence under both optimal and stress conditions.</w:t>
      </w:r>
    </w:p>
    <w:p w14:paraId="382EE6F8" w14:textId="40A1B8DF" w:rsidR="000A730A" w:rsidRPr="00BC2581" w:rsidRDefault="000A730A" w:rsidP="000A730A">
      <w:pPr>
        <w:spacing w:after="240" w:line="360" w:lineRule="auto"/>
        <w:jc w:val="center"/>
        <w:rPr>
          <w:rFonts w:ascii="Times New Roman" w:hAnsi="Times New Roman" w:cs="Times New Roman"/>
          <w:b/>
          <w:bCs/>
          <w:sz w:val="24"/>
          <w:szCs w:val="24"/>
        </w:rPr>
      </w:pPr>
      <w:r w:rsidRPr="00BC2581">
        <w:rPr>
          <w:rFonts w:ascii="Times New Roman" w:hAnsi="Times New Roman" w:cs="Times New Roman"/>
          <w:b/>
          <w:bCs/>
          <w:sz w:val="24"/>
          <w:szCs w:val="24"/>
        </w:rPr>
        <w:t xml:space="preserve">Table 3: Correlation of MGT with FE 10 and 20 DAS </w:t>
      </w:r>
    </w:p>
    <w:tbl>
      <w:tblPr>
        <w:tblStyle w:val="TableGrid"/>
        <w:tblW w:w="6553" w:type="dxa"/>
        <w:tblInd w:w="1226" w:type="dxa"/>
        <w:tblLook w:val="04A0" w:firstRow="1" w:lastRow="0" w:firstColumn="1" w:lastColumn="0" w:noHBand="0" w:noVBand="1"/>
      </w:tblPr>
      <w:tblGrid>
        <w:gridCol w:w="1150"/>
        <w:gridCol w:w="1150"/>
        <w:gridCol w:w="1277"/>
        <w:gridCol w:w="1435"/>
        <w:gridCol w:w="1541"/>
      </w:tblGrid>
      <w:tr w:rsidR="000A730A" w:rsidRPr="00C53070" w14:paraId="5A70D96C" w14:textId="77777777" w:rsidTr="000A730A">
        <w:trPr>
          <w:trHeight w:val="300"/>
        </w:trPr>
        <w:tc>
          <w:tcPr>
            <w:tcW w:w="1150" w:type="dxa"/>
            <w:noWrap/>
            <w:hideMark/>
          </w:tcPr>
          <w:p w14:paraId="45C46DE0" w14:textId="77777777" w:rsidR="000A730A" w:rsidRPr="000A730A" w:rsidRDefault="000A730A" w:rsidP="000A730A">
            <w:pPr>
              <w:rPr>
                <w:rFonts w:ascii="Times New Roman" w:eastAsia="Times New Roman" w:hAnsi="Times New Roman" w:cs="Times New Roman"/>
                <w:sz w:val="24"/>
                <w:szCs w:val="24"/>
                <w:lang w:eastAsia="en-IN"/>
              </w:rPr>
            </w:pPr>
          </w:p>
        </w:tc>
        <w:tc>
          <w:tcPr>
            <w:tcW w:w="1150" w:type="dxa"/>
            <w:noWrap/>
            <w:hideMark/>
          </w:tcPr>
          <w:p w14:paraId="1BB807E3" w14:textId="682E3AAE"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Dur</w:t>
            </w:r>
            <w:r w:rsidRPr="00C53070">
              <w:rPr>
                <w:rFonts w:ascii="Times New Roman" w:eastAsia="Times New Roman" w:hAnsi="Times New Roman" w:cs="Times New Roman"/>
                <w:color w:val="000000"/>
                <w:sz w:val="24"/>
                <w:szCs w:val="24"/>
                <w:lang w:eastAsia="en-IN"/>
              </w:rPr>
              <w:t>ation</w:t>
            </w:r>
          </w:p>
        </w:tc>
        <w:tc>
          <w:tcPr>
            <w:tcW w:w="1277" w:type="dxa"/>
            <w:noWrap/>
            <w:hideMark/>
          </w:tcPr>
          <w:p w14:paraId="7E135D50" w14:textId="2714CFC0"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MGT</w:t>
            </w:r>
            <w:r w:rsidRPr="00C53070">
              <w:rPr>
                <w:rFonts w:ascii="Times New Roman" w:eastAsia="Times New Roman" w:hAnsi="Times New Roman" w:cs="Times New Roman"/>
                <w:color w:val="000000"/>
                <w:sz w:val="24"/>
                <w:szCs w:val="24"/>
                <w:lang w:eastAsia="en-IN"/>
              </w:rPr>
              <w:t>(h)</w:t>
            </w:r>
          </w:p>
        </w:tc>
        <w:tc>
          <w:tcPr>
            <w:tcW w:w="1435" w:type="dxa"/>
            <w:noWrap/>
            <w:hideMark/>
          </w:tcPr>
          <w:p w14:paraId="47EFBBB3" w14:textId="49D86666"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10</w:t>
            </w:r>
            <w:r w:rsidRPr="00C53070">
              <w:rPr>
                <w:rFonts w:ascii="Times New Roman" w:eastAsia="Times New Roman" w:hAnsi="Times New Roman" w:cs="Times New Roman"/>
                <w:color w:val="000000"/>
                <w:sz w:val="24"/>
                <w:szCs w:val="24"/>
                <w:lang w:eastAsia="en-IN"/>
              </w:rPr>
              <w:t xml:space="preserve"> DAS</w:t>
            </w:r>
          </w:p>
        </w:tc>
        <w:tc>
          <w:tcPr>
            <w:tcW w:w="1541" w:type="dxa"/>
            <w:noWrap/>
            <w:hideMark/>
          </w:tcPr>
          <w:p w14:paraId="5300A2C2" w14:textId="3290DD41"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20</w:t>
            </w:r>
            <w:r w:rsidRPr="00C53070">
              <w:rPr>
                <w:rFonts w:ascii="Times New Roman" w:eastAsia="Times New Roman" w:hAnsi="Times New Roman" w:cs="Times New Roman"/>
                <w:color w:val="000000"/>
                <w:sz w:val="24"/>
                <w:szCs w:val="24"/>
                <w:lang w:eastAsia="en-IN"/>
              </w:rPr>
              <w:t xml:space="preserve"> DAS</w:t>
            </w:r>
          </w:p>
        </w:tc>
      </w:tr>
      <w:tr w:rsidR="000A730A" w:rsidRPr="00C53070" w14:paraId="3DFF0795" w14:textId="77777777" w:rsidTr="000A730A">
        <w:trPr>
          <w:trHeight w:val="315"/>
        </w:trPr>
        <w:tc>
          <w:tcPr>
            <w:tcW w:w="1150" w:type="dxa"/>
            <w:noWrap/>
            <w:hideMark/>
          </w:tcPr>
          <w:p w14:paraId="3651E21F" w14:textId="00230078"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Dur</w:t>
            </w:r>
            <w:r w:rsidRPr="00C53070">
              <w:rPr>
                <w:rFonts w:ascii="Times New Roman" w:eastAsia="Times New Roman" w:hAnsi="Times New Roman" w:cs="Times New Roman"/>
                <w:color w:val="000000"/>
                <w:sz w:val="24"/>
                <w:szCs w:val="24"/>
                <w:lang w:eastAsia="en-IN"/>
              </w:rPr>
              <w:t>ation</w:t>
            </w:r>
          </w:p>
        </w:tc>
        <w:tc>
          <w:tcPr>
            <w:tcW w:w="1150" w:type="dxa"/>
            <w:noWrap/>
            <w:hideMark/>
          </w:tcPr>
          <w:p w14:paraId="7E5C899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277" w:type="dxa"/>
            <w:noWrap/>
            <w:hideMark/>
          </w:tcPr>
          <w:p w14:paraId="3F1746E3"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c>
          <w:tcPr>
            <w:tcW w:w="1435" w:type="dxa"/>
            <w:noWrap/>
            <w:hideMark/>
          </w:tcPr>
          <w:p w14:paraId="7B0754FE" w14:textId="77777777" w:rsidR="000A730A" w:rsidRPr="000A730A" w:rsidRDefault="000A730A" w:rsidP="000A730A">
            <w:pPr>
              <w:jc w:val="center"/>
              <w:rPr>
                <w:rFonts w:ascii="Times New Roman" w:eastAsia="Times New Roman" w:hAnsi="Times New Roman" w:cs="Times New Roman"/>
                <w:sz w:val="24"/>
                <w:szCs w:val="24"/>
                <w:lang w:eastAsia="en-IN"/>
              </w:rPr>
            </w:pPr>
          </w:p>
        </w:tc>
        <w:tc>
          <w:tcPr>
            <w:tcW w:w="1541" w:type="dxa"/>
            <w:noWrap/>
            <w:hideMark/>
          </w:tcPr>
          <w:p w14:paraId="63548F01" w14:textId="77777777" w:rsidR="000A730A" w:rsidRPr="000A730A" w:rsidRDefault="000A730A" w:rsidP="000A730A">
            <w:pPr>
              <w:jc w:val="center"/>
              <w:rPr>
                <w:rFonts w:ascii="Times New Roman" w:eastAsia="Times New Roman" w:hAnsi="Times New Roman" w:cs="Times New Roman"/>
                <w:sz w:val="24"/>
                <w:szCs w:val="24"/>
                <w:lang w:eastAsia="en-IN"/>
              </w:rPr>
            </w:pPr>
          </w:p>
        </w:tc>
      </w:tr>
      <w:tr w:rsidR="000A730A" w:rsidRPr="00C53070" w14:paraId="72AF8289" w14:textId="77777777" w:rsidTr="000A730A">
        <w:trPr>
          <w:trHeight w:val="315"/>
        </w:trPr>
        <w:tc>
          <w:tcPr>
            <w:tcW w:w="1150" w:type="dxa"/>
            <w:noWrap/>
            <w:hideMark/>
          </w:tcPr>
          <w:p w14:paraId="7BD2C062"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MGT</w:t>
            </w:r>
          </w:p>
        </w:tc>
        <w:tc>
          <w:tcPr>
            <w:tcW w:w="1150" w:type="dxa"/>
            <w:noWrap/>
            <w:hideMark/>
          </w:tcPr>
          <w:p w14:paraId="5F2B66F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0.994628</w:t>
            </w:r>
          </w:p>
        </w:tc>
        <w:tc>
          <w:tcPr>
            <w:tcW w:w="1277" w:type="dxa"/>
            <w:noWrap/>
            <w:hideMark/>
          </w:tcPr>
          <w:p w14:paraId="1F19D2D8"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435" w:type="dxa"/>
            <w:noWrap/>
            <w:hideMark/>
          </w:tcPr>
          <w:p w14:paraId="3CBA7C64"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c>
          <w:tcPr>
            <w:tcW w:w="1541" w:type="dxa"/>
            <w:noWrap/>
            <w:hideMark/>
          </w:tcPr>
          <w:p w14:paraId="5942CC96" w14:textId="77777777" w:rsidR="000A730A" w:rsidRPr="000A730A" w:rsidRDefault="000A730A" w:rsidP="000A730A">
            <w:pPr>
              <w:jc w:val="center"/>
              <w:rPr>
                <w:rFonts w:ascii="Times New Roman" w:eastAsia="Times New Roman" w:hAnsi="Times New Roman" w:cs="Times New Roman"/>
                <w:sz w:val="24"/>
                <w:szCs w:val="24"/>
                <w:lang w:eastAsia="en-IN"/>
              </w:rPr>
            </w:pPr>
          </w:p>
        </w:tc>
      </w:tr>
      <w:tr w:rsidR="000A730A" w:rsidRPr="00C53070" w14:paraId="5DB64D72" w14:textId="77777777" w:rsidTr="000A730A">
        <w:trPr>
          <w:trHeight w:val="300"/>
        </w:trPr>
        <w:tc>
          <w:tcPr>
            <w:tcW w:w="1150" w:type="dxa"/>
            <w:noWrap/>
            <w:hideMark/>
          </w:tcPr>
          <w:p w14:paraId="522FBF20"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10</w:t>
            </w:r>
          </w:p>
        </w:tc>
        <w:tc>
          <w:tcPr>
            <w:tcW w:w="1150" w:type="dxa"/>
            <w:noWrap/>
            <w:hideMark/>
          </w:tcPr>
          <w:p w14:paraId="0CC4041F"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-0.99838</w:t>
            </w:r>
          </w:p>
        </w:tc>
        <w:tc>
          <w:tcPr>
            <w:tcW w:w="1277" w:type="dxa"/>
            <w:noWrap/>
            <w:hideMark/>
          </w:tcPr>
          <w:p w14:paraId="56DED667"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-0.99481</w:t>
            </w:r>
          </w:p>
        </w:tc>
        <w:tc>
          <w:tcPr>
            <w:tcW w:w="1435" w:type="dxa"/>
            <w:noWrap/>
            <w:hideMark/>
          </w:tcPr>
          <w:p w14:paraId="3DD40FA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541" w:type="dxa"/>
            <w:noWrap/>
            <w:hideMark/>
          </w:tcPr>
          <w:p w14:paraId="0B69322B"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r>
      <w:tr w:rsidR="000A730A" w:rsidRPr="00C53070" w14:paraId="63198E49" w14:textId="77777777" w:rsidTr="000A730A">
        <w:trPr>
          <w:trHeight w:val="300"/>
        </w:trPr>
        <w:tc>
          <w:tcPr>
            <w:tcW w:w="1150" w:type="dxa"/>
            <w:noWrap/>
            <w:hideMark/>
          </w:tcPr>
          <w:p w14:paraId="35C6069A"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20</w:t>
            </w:r>
          </w:p>
        </w:tc>
        <w:tc>
          <w:tcPr>
            <w:tcW w:w="1150" w:type="dxa"/>
            <w:noWrap/>
            <w:hideMark/>
          </w:tcPr>
          <w:p w14:paraId="08F802E9"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-0.99859</w:t>
            </w:r>
          </w:p>
        </w:tc>
        <w:tc>
          <w:tcPr>
            <w:tcW w:w="1277" w:type="dxa"/>
            <w:noWrap/>
            <w:hideMark/>
          </w:tcPr>
          <w:p w14:paraId="2D946AA1"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-0.99769</w:t>
            </w:r>
          </w:p>
        </w:tc>
        <w:tc>
          <w:tcPr>
            <w:tcW w:w="1435" w:type="dxa"/>
            <w:noWrap/>
            <w:hideMark/>
          </w:tcPr>
          <w:p w14:paraId="31CB6EFE"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0.997217</w:t>
            </w:r>
          </w:p>
        </w:tc>
        <w:tc>
          <w:tcPr>
            <w:tcW w:w="1541" w:type="dxa"/>
            <w:noWrap/>
            <w:hideMark/>
          </w:tcPr>
          <w:p w14:paraId="646DCB35"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r>
    </w:tbl>
    <w:p w14:paraId="3E052D5D" w14:textId="77777777" w:rsidR="000A730A" w:rsidRPr="00C53070" w:rsidRDefault="000A730A" w:rsidP="000A730A">
      <w:pPr>
        <w:spacing w:after="240" w:line="360" w:lineRule="auto"/>
        <w:jc w:val="both"/>
        <w:rPr>
          <w:rFonts w:ascii="Times New Roman" w:hAnsi="Times New Roman" w:cs="Times New Roman"/>
          <w:sz w:val="24"/>
          <w:szCs w:val="24"/>
        </w:rPr>
      </w:pPr>
    </w:p>
    <w:p w14:paraId="24559338" w14:textId="0B66754B" w:rsidR="000A730A" w:rsidRPr="00C53070" w:rsidRDefault="00C53070" w:rsidP="000817B7">
      <w:pPr>
        <w:spacing w:after="240" w:line="360" w:lineRule="auto"/>
        <w:jc w:val="both"/>
        <w:rPr>
          <w:rFonts w:ascii="Times New Roman" w:hAnsi="Times New Roman" w:cs="Times New Roman"/>
          <w:sz w:val="24"/>
          <w:szCs w:val="24"/>
        </w:rPr>
      </w:pPr>
      <w:r w:rsidRPr="00C53070">
        <w:rPr>
          <w:rFonts w:ascii="Times New Roman" w:hAnsi="Times New Roman" w:cs="Times New Roman"/>
          <w:sz w:val="24"/>
          <w:szCs w:val="24"/>
        </w:rPr>
        <w:t>The observed positive correlation between FE at 10 and 20 DAS aligns with the concept that early vigour traits contribute to sustained seedling establishment, a key factor for crop competitiveness and yield. Similar results were reported by Krishnas</w:t>
      </w:r>
      <w:r w:rsidR="00F843E8">
        <w:rPr>
          <w:rFonts w:ascii="Times New Roman" w:hAnsi="Times New Roman" w:cs="Times New Roman"/>
          <w:sz w:val="24"/>
          <w:szCs w:val="24"/>
        </w:rPr>
        <w:t>w</w:t>
      </w:r>
      <w:r w:rsidRPr="00C53070">
        <w:rPr>
          <w:rFonts w:ascii="Times New Roman" w:hAnsi="Times New Roman" w:cs="Times New Roman"/>
          <w:sz w:val="24"/>
          <w:szCs w:val="24"/>
        </w:rPr>
        <w:t>amy and Seshu (1990) in rice, where rapid germination was associated with uniform and higher seedling establishment. In sorghum, Baskin and Baskin (2014) also highlighted that early emergence under field conditions provides an adaptive advantage, especially under sub-optimal moisture and temperature regimes.</w:t>
      </w:r>
    </w:p>
    <w:p w14:paraId="46FE7514" w14:textId="1E6033F3" w:rsidR="000A730A" w:rsidRDefault="00BC2581" w:rsidP="00BC5680">
      <w:pPr>
        <w:spacing w:after="240" w:line="360" w:lineRule="auto"/>
        <w:jc w:val="both"/>
        <w:rPr>
          <w:rFonts w:ascii="Times New Roman" w:hAnsi="Times New Roman" w:cs="Times New Roman"/>
          <w:b/>
          <w:bCs/>
          <w:sz w:val="24"/>
          <w:szCs w:val="24"/>
        </w:rPr>
      </w:pPr>
      <w:r w:rsidRPr="00BC2581">
        <w:rPr>
          <w:rFonts w:ascii="Times New Roman" w:hAnsi="Times New Roman" w:cs="Times New Roman"/>
          <w:b/>
          <w:bCs/>
          <w:sz w:val="24"/>
          <w:szCs w:val="24"/>
        </w:rPr>
        <w:t xml:space="preserve">Regression analysis </w:t>
      </w:r>
    </w:p>
    <w:p w14:paraId="6BB5BA55" w14:textId="45EC77A4" w:rsidR="00BC2581" w:rsidRDefault="00BC2581" w:rsidP="00BC5680">
      <w:pPr>
        <w:spacing w:after="240" w:line="360" w:lineRule="auto"/>
        <w:jc w:val="both"/>
        <w:rPr>
          <w:rFonts w:ascii="Times New Roman" w:hAnsi="Times New Roman" w:cs="Times New Roman"/>
          <w:sz w:val="24"/>
          <w:szCs w:val="24"/>
        </w:rPr>
      </w:pPr>
      <w:r w:rsidRPr="00BC2581">
        <w:rPr>
          <w:rFonts w:ascii="Times New Roman" w:hAnsi="Times New Roman" w:cs="Times New Roman"/>
          <w:sz w:val="24"/>
          <w:szCs w:val="24"/>
        </w:rPr>
        <w:t xml:space="preserve">The regression analysis between Mean Germination Time (MGT) and Field Emergence (FE) at both 10 and 20 DAS revealed a strong linear association. For FE at 10 DAS versus MGT, the regression showed a multiple correlation coefficient (R) of 0.9968, with an R² value of 0.9937, indicating that 99.37% of the variability in FE could be explained by MGT. Similarly, for FE at 20 DAS versus MGT, the R was 0.9958 with an R² of 0.9917, demonstrating that 99.17% of the variation in FE was accounted for by MGT. The adjusted R² values were 0.9906 (10 DAS) and 0.9876 (20 DAS), further confirming the robustness of the models. The standard </w:t>
      </w:r>
      <w:r w:rsidRPr="00BC2581">
        <w:rPr>
          <w:rFonts w:ascii="Times New Roman" w:hAnsi="Times New Roman" w:cs="Times New Roman"/>
          <w:sz w:val="24"/>
          <w:szCs w:val="24"/>
        </w:rPr>
        <w:lastRenderedPageBreak/>
        <w:t>error of estimate was relatively low (0.45 and 0.52, respectively)</w:t>
      </w:r>
      <w:r w:rsidR="00050D85">
        <w:rPr>
          <w:rFonts w:ascii="Times New Roman" w:hAnsi="Times New Roman" w:cs="Times New Roman"/>
          <w:sz w:val="24"/>
          <w:szCs w:val="24"/>
        </w:rPr>
        <w:t xml:space="preserve"> </w:t>
      </w:r>
      <w:r w:rsidRPr="00BC2581">
        <w:rPr>
          <w:rFonts w:ascii="Times New Roman" w:hAnsi="Times New Roman" w:cs="Times New Roman"/>
          <w:sz w:val="24"/>
          <w:szCs w:val="24"/>
        </w:rPr>
        <w:t xml:space="preserve"> suggesting a high degree of precision in the prediction of FE using MGT.</w:t>
      </w:r>
    </w:p>
    <w:p w14:paraId="11AC6140" w14:textId="3901BF65" w:rsidR="00BC2581" w:rsidRPr="00BC2581" w:rsidRDefault="00BC2581" w:rsidP="00BC2581">
      <w:pPr>
        <w:spacing w:after="240" w:line="360" w:lineRule="auto"/>
        <w:jc w:val="center"/>
        <w:rPr>
          <w:rFonts w:ascii="Times New Roman" w:hAnsi="Times New Roman" w:cs="Times New Roman"/>
          <w:b/>
          <w:bCs/>
          <w:sz w:val="24"/>
          <w:szCs w:val="24"/>
        </w:rPr>
      </w:pPr>
      <w:r w:rsidRPr="00BC2581">
        <w:rPr>
          <w:rFonts w:ascii="Times New Roman" w:hAnsi="Times New Roman" w:cs="Times New Roman"/>
          <w:b/>
          <w:bCs/>
          <w:sz w:val="24"/>
          <w:szCs w:val="24"/>
        </w:rPr>
        <w:t>Table 4:</w:t>
      </w:r>
      <w:r>
        <w:rPr>
          <w:rFonts w:ascii="Times New Roman" w:hAnsi="Times New Roman" w:cs="Times New Roman"/>
          <w:b/>
          <w:bCs/>
          <w:sz w:val="24"/>
          <w:szCs w:val="24"/>
        </w:rPr>
        <w:t xml:space="preserve"> </w:t>
      </w:r>
      <w:r w:rsidRPr="00BC2581">
        <w:rPr>
          <w:rFonts w:ascii="Times New Roman" w:hAnsi="Times New Roman" w:cs="Times New Roman"/>
          <w:b/>
          <w:bCs/>
          <w:sz w:val="24"/>
          <w:szCs w:val="24"/>
        </w:rPr>
        <w:t>Regression analysis of MGT with FE 10 and 20 DAS</w:t>
      </w:r>
    </w:p>
    <w:tbl>
      <w:tblPr>
        <w:tblStyle w:val="TableGrid"/>
        <w:tblW w:w="5103" w:type="dxa"/>
        <w:tblInd w:w="1955" w:type="dxa"/>
        <w:tblLook w:val="04A0" w:firstRow="1" w:lastRow="0" w:firstColumn="1" w:lastColumn="0" w:noHBand="0" w:noVBand="1"/>
      </w:tblPr>
      <w:tblGrid>
        <w:gridCol w:w="1639"/>
        <w:gridCol w:w="1732"/>
        <w:gridCol w:w="1732"/>
      </w:tblGrid>
      <w:tr w:rsidR="00BC2581" w:rsidRPr="00BC2581" w14:paraId="42605A22" w14:textId="77777777" w:rsidTr="00BC2581">
        <w:trPr>
          <w:trHeight w:val="300"/>
        </w:trPr>
        <w:tc>
          <w:tcPr>
            <w:tcW w:w="1639" w:type="dxa"/>
            <w:noWrap/>
            <w:hideMark/>
          </w:tcPr>
          <w:p w14:paraId="12AAB27E"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p>
        </w:tc>
        <w:tc>
          <w:tcPr>
            <w:tcW w:w="1732" w:type="dxa"/>
            <w:noWrap/>
            <w:hideMark/>
          </w:tcPr>
          <w:p w14:paraId="398E526E"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r w:rsidRPr="00BC2581">
              <w:rPr>
                <w:rFonts w:ascii="Times New Roman" w:eastAsia="Times New Roman" w:hAnsi="Times New Roman" w:cs="Times New Roman"/>
                <w:b/>
                <w:bCs/>
                <w:color w:val="000000" w:themeColor="text1"/>
                <w:sz w:val="24"/>
                <w:szCs w:val="24"/>
                <w:lang w:eastAsia="en-IN"/>
              </w:rPr>
              <w:t>FE 10 DAS v/s MGT</w:t>
            </w:r>
          </w:p>
        </w:tc>
        <w:tc>
          <w:tcPr>
            <w:tcW w:w="1732" w:type="dxa"/>
            <w:noWrap/>
            <w:hideMark/>
          </w:tcPr>
          <w:p w14:paraId="23FD2AD1"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r w:rsidRPr="00BC2581">
              <w:rPr>
                <w:rFonts w:ascii="Times New Roman" w:eastAsia="Times New Roman" w:hAnsi="Times New Roman" w:cs="Times New Roman"/>
                <w:b/>
                <w:bCs/>
                <w:color w:val="000000" w:themeColor="text1"/>
                <w:sz w:val="24"/>
                <w:szCs w:val="24"/>
                <w:lang w:eastAsia="en-IN"/>
              </w:rPr>
              <w:t>FE 20 DAS v/s MGT</w:t>
            </w:r>
          </w:p>
        </w:tc>
      </w:tr>
      <w:tr w:rsidR="00BC2581" w:rsidRPr="00BC2581" w14:paraId="4F1B5D0A" w14:textId="77777777" w:rsidTr="00BC2581">
        <w:trPr>
          <w:trHeight w:val="300"/>
        </w:trPr>
        <w:tc>
          <w:tcPr>
            <w:tcW w:w="1639" w:type="dxa"/>
            <w:noWrap/>
            <w:hideMark/>
          </w:tcPr>
          <w:p w14:paraId="056EABC3"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Multiple R</w:t>
            </w:r>
          </w:p>
        </w:tc>
        <w:tc>
          <w:tcPr>
            <w:tcW w:w="1732" w:type="dxa"/>
            <w:noWrap/>
            <w:hideMark/>
          </w:tcPr>
          <w:p w14:paraId="01C0106A"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0.996874</w:t>
            </w:r>
          </w:p>
        </w:tc>
        <w:tc>
          <w:tcPr>
            <w:tcW w:w="1732" w:type="dxa"/>
            <w:noWrap/>
            <w:hideMark/>
          </w:tcPr>
          <w:p w14:paraId="40426B4E"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0.995872</w:t>
            </w:r>
          </w:p>
        </w:tc>
      </w:tr>
      <w:tr w:rsidR="00BC2581" w:rsidRPr="00BC2581" w14:paraId="73E22BE8" w14:textId="77777777" w:rsidTr="00BC2581">
        <w:trPr>
          <w:trHeight w:val="300"/>
        </w:trPr>
        <w:tc>
          <w:tcPr>
            <w:tcW w:w="1639" w:type="dxa"/>
            <w:noWrap/>
            <w:hideMark/>
          </w:tcPr>
          <w:p w14:paraId="67CD20F9"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R Square</w:t>
            </w:r>
          </w:p>
        </w:tc>
        <w:tc>
          <w:tcPr>
            <w:tcW w:w="1732" w:type="dxa"/>
            <w:noWrap/>
            <w:hideMark/>
          </w:tcPr>
          <w:p w14:paraId="4376D037"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0.993758</w:t>
            </w:r>
          </w:p>
        </w:tc>
        <w:tc>
          <w:tcPr>
            <w:tcW w:w="1732" w:type="dxa"/>
            <w:noWrap/>
            <w:hideMark/>
          </w:tcPr>
          <w:p w14:paraId="401EAD11"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0.991761</w:t>
            </w:r>
          </w:p>
        </w:tc>
      </w:tr>
      <w:tr w:rsidR="00BC2581" w:rsidRPr="00BC2581" w14:paraId="59F43FC2" w14:textId="77777777" w:rsidTr="00BC2581">
        <w:trPr>
          <w:trHeight w:val="300"/>
        </w:trPr>
        <w:tc>
          <w:tcPr>
            <w:tcW w:w="1639" w:type="dxa"/>
            <w:noWrap/>
            <w:hideMark/>
          </w:tcPr>
          <w:p w14:paraId="46BB4F1A"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Adjusted R Square</w:t>
            </w:r>
          </w:p>
        </w:tc>
        <w:tc>
          <w:tcPr>
            <w:tcW w:w="1732" w:type="dxa"/>
            <w:noWrap/>
            <w:hideMark/>
          </w:tcPr>
          <w:p w14:paraId="1AD680F9"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0.990637</w:t>
            </w:r>
          </w:p>
        </w:tc>
        <w:tc>
          <w:tcPr>
            <w:tcW w:w="1732" w:type="dxa"/>
            <w:noWrap/>
            <w:hideMark/>
          </w:tcPr>
          <w:p w14:paraId="321E92D8"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0.987641</w:t>
            </w:r>
          </w:p>
        </w:tc>
      </w:tr>
      <w:tr w:rsidR="00BC2581" w:rsidRPr="00BC2581" w14:paraId="4F6F9FA6" w14:textId="77777777" w:rsidTr="00BC2581">
        <w:trPr>
          <w:trHeight w:val="300"/>
        </w:trPr>
        <w:tc>
          <w:tcPr>
            <w:tcW w:w="1639" w:type="dxa"/>
            <w:noWrap/>
            <w:hideMark/>
          </w:tcPr>
          <w:p w14:paraId="0A3EE6C6"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Standard Error</w:t>
            </w:r>
          </w:p>
        </w:tc>
        <w:tc>
          <w:tcPr>
            <w:tcW w:w="1732" w:type="dxa"/>
            <w:noWrap/>
            <w:hideMark/>
          </w:tcPr>
          <w:p w14:paraId="2A27DF9F"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0.451613</w:t>
            </w:r>
          </w:p>
        </w:tc>
        <w:tc>
          <w:tcPr>
            <w:tcW w:w="1732" w:type="dxa"/>
            <w:noWrap/>
            <w:hideMark/>
          </w:tcPr>
          <w:p w14:paraId="56BA983F"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0.518861</w:t>
            </w:r>
          </w:p>
        </w:tc>
      </w:tr>
      <w:tr w:rsidR="00BC2581" w:rsidRPr="00BC2581" w14:paraId="7ABB9B21" w14:textId="77777777" w:rsidTr="00BC2581">
        <w:trPr>
          <w:trHeight w:val="315"/>
        </w:trPr>
        <w:tc>
          <w:tcPr>
            <w:tcW w:w="1639" w:type="dxa"/>
            <w:noWrap/>
            <w:hideMark/>
          </w:tcPr>
          <w:p w14:paraId="084C7953"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Observations</w:t>
            </w:r>
          </w:p>
        </w:tc>
        <w:tc>
          <w:tcPr>
            <w:tcW w:w="1732" w:type="dxa"/>
            <w:noWrap/>
            <w:hideMark/>
          </w:tcPr>
          <w:p w14:paraId="78D72CB5"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4</w:t>
            </w:r>
          </w:p>
        </w:tc>
        <w:tc>
          <w:tcPr>
            <w:tcW w:w="1732" w:type="dxa"/>
            <w:noWrap/>
            <w:hideMark/>
          </w:tcPr>
          <w:p w14:paraId="71DB0780"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4</w:t>
            </w:r>
          </w:p>
        </w:tc>
      </w:tr>
    </w:tbl>
    <w:p w14:paraId="4FF341E1" w14:textId="77777777" w:rsidR="00193D7D" w:rsidRDefault="00193D7D" w:rsidP="00166135">
      <w:pPr>
        <w:spacing w:after="240" w:line="360" w:lineRule="auto"/>
        <w:jc w:val="both"/>
        <w:rPr>
          <w:rFonts w:ascii="Times New Roman" w:hAnsi="Times New Roman" w:cs="Times New Roman"/>
          <w:sz w:val="24"/>
          <w:szCs w:val="24"/>
        </w:rPr>
      </w:pPr>
    </w:p>
    <w:p w14:paraId="31FBFC67" w14:textId="77777777" w:rsidR="00345F00" w:rsidRDefault="00193D7D" w:rsidP="0010169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166135" w:rsidRPr="00166135">
        <w:rPr>
          <w:rFonts w:ascii="Times New Roman" w:hAnsi="Times New Roman" w:cs="Times New Roman"/>
          <w:sz w:val="24"/>
          <w:szCs w:val="24"/>
        </w:rPr>
        <w:t>The regression results clearly demonstrate that Mean Germination Time is strongly associated with Field Emergence, both at 10 and 20 DAS. The high R² values (&gt;0.99) indicate that MGT serves as a reliable predictor of seedling establishment under field conditions. These findings are consistent with the concept that seed vigour tests based on germination dynamics provide valuable insights into field performance (Hampton and TeKrony, 1995).</w:t>
      </w:r>
      <w:r w:rsidR="00166135">
        <w:rPr>
          <w:rFonts w:ascii="Times New Roman" w:hAnsi="Times New Roman" w:cs="Times New Roman"/>
          <w:sz w:val="24"/>
          <w:szCs w:val="24"/>
        </w:rPr>
        <w:t xml:space="preserve"> </w:t>
      </w:r>
      <w:r w:rsidR="00166135" w:rsidRPr="00166135">
        <w:rPr>
          <w:rFonts w:ascii="Times New Roman" w:hAnsi="Times New Roman" w:cs="Times New Roman"/>
          <w:sz w:val="24"/>
          <w:szCs w:val="24"/>
        </w:rPr>
        <w:t xml:space="preserve">Earlier studies have highlighted that faster germination, reflected in lower MGT values, is often linked to higher seed vigour and improved field emergence (Matthews and Powell, 2011; Soltani et al., 2015). The close association observed here supports the use of MGT as a functional vigour test in sorghum. </w:t>
      </w:r>
    </w:p>
    <w:p w14:paraId="2ACE5D50" w14:textId="0C8B4252" w:rsidR="00345F00" w:rsidRDefault="00345F00" w:rsidP="0010169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F21232" w:rsidRPr="00F21232">
        <w:rPr>
          <w:rFonts w:ascii="Times New Roman" w:hAnsi="Times New Roman" w:cs="Times New Roman"/>
          <w:sz w:val="24"/>
          <w:szCs w:val="24"/>
        </w:rPr>
        <w:t>The experimental data illustrate the response of MGT and FE</w:t>
      </w:r>
      <w:r w:rsidR="00F21232">
        <w:rPr>
          <w:rFonts w:ascii="Times New Roman" w:hAnsi="Times New Roman" w:cs="Times New Roman"/>
          <w:sz w:val="24"/>
          <w:szCs w:val="24"/>
        </w:rPr>
        <w:t xml:space="preserve"> </w:t>
      </w:r>
      <w:r w:rsidR="00F21232" w:rsidRPr="00F21232">
        <w:rPr>
          <w:rFonts w:ascii="Times New Roman" w:hAnsi="Times New Roman" w:cs="Times New Roman"/>
          <w:sz w:val="24"/>
          <w:szCs w:val="24"/>
        </w:rPr>
        <w:t>percentages at 10 and 20 DAS</w:t>
      </w:r>
      <w:r w:rsidR="00F21232">
        <w:rPr>
          <w:rFonts w:ascii="Times New Roman" w:hAnsi="Times New Roman" w:cs="Times New Roman"/>
          <w:sz w:val="24"/>
          <w:szCs w:val="24"/>
        </w:rPr>
        <w:t xml:space="preserve"> (Figure 1).  </w:t>
      </w:r>
      <w:r w:rsidR="00F21232" w:rsidRPr="00F21232">
        <w:rPr>
          <w:rFonts w:ascii="Times New Roman" w:hAnsi="Times New Roman" w:cs="Times New Roman"/>
          <w:sz w:val="24"/>
          <w:szCs w:val="24"/>
        </w:rPr>
        <w:t>Linear regression trendlines were fitted to the data points for each dependent variable to model the observed relationships.</w:t>
      </w:r>
      <w:r w:rsidR="00F21232">
        <w:rPr>
          <w:rFonts w:ascii="Times New Roman" w:hAnsi="Times New Roman" w:cs="Times New Roman"/>
          <w:sz w:val="24"/>
          <w:szCs w:val="24"/>
        </w:rPr>
        <w:t xml:space="preserve"> </w:t>
      </w:r>
      <w:r w:rsidR="00F21232" w:rsidRPr="00F21232">
        <w:rPr>
          <w:rFonts w:ascii="Times New Roman" w:hAnsi="Times New Roman" w:cs="Times New Roman"/>
          <w:sz w:val="24"/>
          <w:szCs w:val="24"/>
        </w:rPr>
        <w:t>The application of the independent variable,</w:t>
      </w:r>
      <w:r w:rsidRPr="00345F00">
        <w:rPr>
          <w:rFonts w:ascii="Times New Roman" w:hAnsi="Times New Roman" w:cs="Times New Roman"/>
          <w:sz w:val="24"/>
          <w:szCs w:val="24"/>
        </w:rPr>
        <w:t xml:space="preserve"> </w:t>
      </w:r>
      <w:r w:rsidRPr="00F21232">
        <w:rPr>
          <w:rFonts w:ascii="Times New Roman" w:hAnsi="Times New Roman" w:cs="Times New Roman"/>
          <w:sz w:val="24"/>
          <w:szCs w:val="24"/>
        </w:rPr>
        <w:t>performance, as evidenced by the concurrent increase in Mean Germination Time (MGT) and</w:t>
      </w:r>
      <w:r w:rsidRPr="00345F00">
        <w:rPr>
          <w:rFonts w:ascii="Times New Roman" w:hAnsi="Times New Roman" w:cs="Times New Roman"/>
          <w:sz w:val="24"/>
          <w:szCs w:val="24"/>
        </w:rPr>
        <w:t xml:space="preserve"> </w:t>
      </w:r>
      <w:r w:rsidRPr="00F21232">
        <w:rPr>
          <w:rFonts w:ascii="Times New Roman" w:hAnsi="Times New Roman" w:cs="Times New Roman"/>
          <w:sz w:val="24"/>
          <w:szCs w:val="24"/>
        </w:rPr>
        <w:t>scaled from 0 to 12, resulted in a clear, detrimental impact on seed vigo</w:t>
      </w:r>
      <w:r>
        <w:rPr>
          <w:rFonts w:ascii="Times New Roman" w:hAnsi="Times New Roman" w:cs="Times New Roman"/>
          <w:sz w:val="24"/>
          <w:szCs w:val="24"/>
        </w:rPr>
        <w:t>u</w:t>
      </w:r>
      <w:r w:rsidRPr="00F21232">
        <w:rPr>
          <w:rFonts w:ascii="Times New Roman" w:hAnsi="Times New Roman" w:cs="Times New Roman"/>
          <w:sz w:val="24"/>
          <w:szCs w:val="24"/>
        </w:rPr>
        <w:t>r and field</w:t>
      </w:r>
      <w:r>
        <w:rPr>
          <w:rFonts w:ascii="Times New Roman" w:hAnsi="Times New Roman" w:cs="Times New Roman"/>
          <w:sz w:val="24"/>
          <w:szCs w:val="24"/>
        </w:rPr>
        <w:t xml:space="preserve"> </w:t>
      </w:r>
      <w:r w:rsidRPr="00F21232">
        <w:rPr>
          <w:rFonts w:ascii="Times New Roman" w:hAnsi="Times New Roman" w:cs="Times New Roman"/>
          <w:sz w:val="24"/>
          <w:szCs w:val="24"/>
        </w:rPr>
        <w:t>decline in FE at both 10 and 20</w:t>
      </w:r>
      <w:r>
        <w:rPr>
          <w:rFonts w:ascii="Times New Roman" w:hAnsi="Times New Roman" w:cs="Times New Roman"/>
          <w:sz w:val="24"/>
          <w:szCs w:val="24"/>
        </w:rPr>
        <w:t xml:space="preserve"> </w:t>
      </w:r>
      <w:r w:rsidRPr="00F21232">
        <w:rPr>
          <w:rFonts w:ascii="Times New Roman" w:hAnsi="Times New Roman" w:cs="Times New Roman"/>
          <w:sz w:val="24"/>
          <w:szCs w:val="24"/>
        </w:rPr>
        <w:t>DAS.</w:t>
      </w:r>
      <w:r>
        <w:rPr>
          <w:rFonts w:ascii="Times New Roman" w:hAnsi="Times New Roman" w:cs="Times New Roman"/>
          <w:sz w:val="24"/>
          <w:szCs w:val="24"/>
        </w:rPr>
        <w:t xml:space="preserve"> </w:t>
      </w:r>
      <w:r w:rsidRPr="00F21232">
        <w:rPr>
          <w:rFonts w:ascii="Times New Roman" w:hAnsi="Times New Roman" w:cs="Times New Roman"/>
          <w:sz w:val="24"/>
          <w:szCs w:val="24"/>
        </w:rPr>
        <w:t xml:space="preserve">Specifically, MGT, a measure inversely related to germination speed and </w:t>
      </w:r>
      <w:r>
        <w:rPr>
          <w:rFonts w:ascii="Times New Roman" w:hAnsi="Times New Roman" w:cs="Times New Roman"/>
          <w:sz w:val="24"/>
          <w:szCs w:val="24"/>
        </w:rPr>
        <w:t>vigour</w:t>
      </w:r>
      <w:r w:rsidRPr="00F21232">
        <w:rPr>
          <w:rFonts w:ascii="Times New Roman" w:hAnsi="Times New Roman" w:cs="Times New Roman"/>
          <w:sz w:val="24"/>
          <w:szCs w:val="24"/>
        </w:rPr>
        <w:t>, demonstrated a positive linear correlation, rising significantly from approximately 22.0 hours at the lowest factor level to 38.5 hours at the highest.</w:t>
      </w:r>
      <w:r>
        <w:rPr>
          <w:rFonts w:ascii="Times New Roman" w:hAnsi="Times New Roman" w:cs="Times New Roman"/>
          <w:sz w:val="24"/>
          <w:szCs w:val="24"/>
        </w:rPr>
        <w:t xml:space="preserve"> </w:t>
      </w:r>
      <w:r w:rsidRPr="00F21232">
        <w:rPr>
          <w:rFonts w:ascii="Times New Roman" w:hAnsi="Times New Roman" w:cs="Times New Roman"/>
          <w:sz w:val="24"/>
          <w:szCs w:val="24"/>
        </w:rPr>
        <w:t>This 75% increase in MGT is a direct physiological indicator that the increasing intensity of the factor delayed the onset of successful germination, suggesting cellular damage or metabolic impairment within the seed population.</w:t>
      </w:r>
      <w:r>
        <w:rPr>
          <w:rFonts w:ascii="Times New Roman" w:hAnsi="Times New Roman" w:cs="Times New Roman"/>
          <w:sz w:val="24"/>
          <w:szCs w:val="24"/>
        </w:rPr>
        <w:t xml:space="preserve"> </w:t>
      </w:r>
      <w:r w:rsidRPr="00F21232">
        <w:rPr>
          <w:rFonts w:ascii="Times New Roman" w:hAnsi="Times New Roman" w:cs="Times New Roman"/>
          <w:sz w:val="24"/>
          <w:szCs w:val="24"/>
        </w:rPr>
        <w:t xml:space="preserve">Simultaneously, both FE metrics showed a negative linear correlation, confirming the reduced capacity for successful seedling establishment. </w:t>
      </w:r>
    </w:p>
    <w:p w14:paraId="51D8B0C9" w14:textId="0CF07047" w:rsidR="00F21232" w:rsidRDefault="00F21232" w:rsidP="00101690">
      <w:pPr>
        <w:spacing w:after="240" w:line="360" w:lineRule="auto"/>
        <w:jc w:val="both"/>
        <w:rPr>
          <w:rFonts w:ascii="Times New Roman" w:hAnsi="Times New Roman" w:cs="Times New Roman"/>
          <w:sz w:val="24"/>
          <w:szCs w:val="24"/>
        </w:rPr>
      </w:pPr>
      <w:r>
        <w:rPr>
          <w:noProof/>
        </w:rPr>
        <w:lastRenderedPageBreak/>
        <w:drawing>
          <wp:inline distT="0" distB="0" distL="0" distR="0" wp14:anchorId="31E205E6" wp14:editId="23391A0C">
            <wp:extent cx="5747657" cy="3336966"/>
            <wp:effectExtent l="0" t="0" r="5715" b="15875"/>
            <wp:docPr id="1" name="Chart 1">
              <a:extLst xmlns:a="http://schemas.openxmlformats.org/drawingml/2006/main">
                <a:ext uri="{FF2B5EF4-FFF2-40B4-BE49-F238E27FC236}">
                  <a16:creationId xmlns:a16="http://schemas.microsoft.com/office/drawing/2014/main" id="{34BEA232-BF6B-4D2A-A261-ADAA4CE9F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0A393C" w14:textId="2BD2D44A" w:rsidR="00F21232" w:rsidRPr="00F21232" w:rsidRDefault="00F21232" w:rsidP="00F21232">
      <w:pPr>
        <w:spacing w:after="240" w:line="360" w:lineRule="auto"/>
        <w:jc w:val="center"/>
        <w:rPr>
          <w:rFonts w:ascii="Times New Roman" w:hAnsi="Times New Roman" w:cs="Times New Roman"/>
          <w:b/>
          <w:bCs/>
          <w:sz w:val="24"/>
          <w:szCs w:val="24"/>
        </w:rPr>
      </w:pPr>
      <w:r w:rsidRPr="00F21232">
        <w:rPr>
          <w:rFonts w:ascii="Times New Roman" w:hAnsi="Times New Roman" w:cs="Times New Roman"/>
          <w:b/>
          <w:bCs/>
          <w:sz w:val="24"/>
          <w:szCs w:val="24"/>
        </w:rPr>
        <w:t>Figure 1: Linear regression model</w:t>
      </w:r>
    </w:p>
    <w:p w14:paraId="498FBC31" w14:textId="5B89D2B1" w:rsidR="000A730A" w:rsidRDefault="00ED0F75" w:rsidP="00BC5680">
      <w:pPr>
        <w:spacing w:after="240" w:line="360" w:lineRule="auto"/>
        <w:jc w:val="both"/>
        <w:rPr>
          <w:rFonts w:ascii="Times New Roman" w:hAnsi="Times New Roman" w:cs="Times New Roman"/>
          <w:sz w:val="24"/>
          <w:szCs w:val="24"/>
        </w:rPr>
      </w:pPr>
      <w:r w:rsidRPr="00F21232">
        <w:rPr>
          <w:rFonts w:ascii="Times New Roman" w:hAnsi="Times New Roman" w:cs="Times New Roman"/>
          <w:sz w:val="24"/>
          <w:szCs w:val="24"/>
        </w:rPr>
        <w:t>FE (10 DAS) fell from an initial 35.0% to 19.5%, while FE (20 DAS) exhibited an even steeper absolute decline, dropping from 44.0% to 25.0%.</w:t>
      </w:r>
      <w:r>
        <w:rPr>
          <w:rFonts w:ascii="Times New Roman" w:hAnsi="Times New Roman" w:cs="Times New Roman"/>
          <w:sz w:val="24"/>
          <w:szCs w:val="24"/>
        </w:rPr>
        <w:t xml:space="preserve"> </w:t>
      </w:r>
      <w:r w:rsidR="00F21232" w:rsidRPr="00F21232">
        <w:rPr>
          <w:rFonts w:ascii="Times New Roman" w:hAnsi="Times New Roman" w:cs="Times New Roman"/>
          <w:sz w:val="24"/>
          <w:szCs w:val="24"/>
        </w:rPr>
        <w:t>This pronounced reduction in FE (20 DAS) is particularly significant; it indicates that the factor disproportionately affected the lower-vigo</w:t>
      </w:r>
      <w:r w:rsidR="00101690">
        <w:rPr>
          <w:rFonts w:ascii="Times New Roman" w:hAnsi="Times New Roman" w:cs="Times New Roman"/>
          <w:sz w:val="24"/>
          <w:szCs w:val="24"/>
        </w:rPr>
        <w:t>u</w:t>
      </w:r>
      <w:r w:rsidR="00F21232" w:rsidRPr="00F21232">
        <w:rPr>
          <w:rFonts w:ascii="Times New Roman" w:hAnsi="Times New Roman" w:cs="Times New Roman"/>
          <w:sz w:val="24"/>
          <w:szCs w:val="24"/>
        </w:rPr>
        <w:t>r seeds that typically germinate later, thus eliminating the potential for delayed emergence. Collectively, these results establish a strong inverse relationship: as the experimental factor increases, germination speed decreases (MGT increases), and the percentage of successful seedlings decreases (FE decreases). This pattern confirms that the factor acts as a severe physiological stressor, leading to a direct and profound compromise of overall seed quality and its field performance potential.</w:t>
      </w:r>
    </w:p>
    <w:p w14:paraId="057B825D" w14:textId="77777777" w:rsidR="001B77F0" w:rsidRDefault="001B77F0" w:rsidP="001B77F0">
      <w:pPr>
        <w:spacing w:line="360" w:lineRule="auto"/>
        <w:jc w:val="both"/>
        <w:rPr>
          <w:rFonts w:ascii="Times New Roman" w:hAnsi="Times New Roman" w:cs="Times New Roman"/>
          <w:b/>
          <w:bCs/>
          <w:sz w:val="24"/>
          <w:szCs w:val="24"/>
        </w:rPr>
      </w:pPr>
      <w:r w:rsidRPr="00733309">
        <w:rPr>
          <w:rFonts w:ascii="Times New Roman" w:hAnsi="Times New Roman" w:cs="Times New Roman"/>
          <w:b/>
          <w:bCs/>
          <w:sz w:val="24"/>
          <w:szCs w:val="24"/>
        </w:rPr>
        <w:t>Principal Component Analysis (PCA)</w:t>
      </w:r>
    </w:p>
    <w:p w14:paraId="41375265" w14:textId="5164C82F" w:rsidR="00011D1D" w:rsidRDefault="00ED0F75" w:rsidP="00BC568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1B77F0" w:rsidRPr="001B77F0">
        <w:rPr>
          <w:rFonts w:ascii="Times New Roman" w:hAnsi="Times New Roman" w:cs="Times New Roman"/>
          <w:sz w:val="24"/>
          <w:szCs w:val="24"/>
        </w:rPr>
        <w:t xml:space="preserve">The Principal Component Analysis (PCA) provided a highly effective means of summarizing the complex relationships between the three seed </w:t>
      </w:r>
      <w:r w:rsidR="00101690">
        <w:rPr>
          <w:rFonts w:ascii="Times New Roman" w:hAnsi="Times New Roman" w:cs="Times New Roman"/>
          <w:sz w:val="24"/>
          <w:szCs w:val="24"/>
        </w:rPr>
        <w:t>vigour</w:t>
      </w:r>
      <w:r w:rsidR="001B77F0" w:rsidRPr="001B77F0">
        <w:rPr>
          <w:rFonts w:ascii="Times New Roman" w:hAnsi="Times New Roman" w:cs="Times New Roman"/>
          <w:sz w:val="24"/>
          <w:szCs w:val="24"/>
        </w:rPr>
        <w:t xml:space="preserve"> parameters (MGT, FE 10 DAS, and FE 20 DAS) and the performance of the tested sorghum </w:t>
      </w:r>
      <w:r w:rsidR="00101690">
        <w:rPr>
          <w:rFonts w:ascii="Times New Roman" w:hAnsi="Times New Roman" w:cs="Times New Roman"/>
          <w:sz w:val="24"/>
          <w:szCs w:val="24"/>
        </w:rPr>
        <w:t>seed lots</w:t>
      </w:r>
      <w:r w:rsidR="00FB3E31">
        <w:rPr>
          <w:rFonts w:ascii="Times New Roman" w:hAnsi="Times New Roman" w:cs="Times New Roman"/>
          <w:sz w:val="24"/>
          <w:szCs w:val="24"/>
        </w:rPr>
        <w:t xml:space="preserve"> (Figure 2). </w:t>
      </w:r>
      <w:r w:rsidR="001B77F0" w:rsidRPr="001B77F0">
        <w:rPr>
          <w:rFonts w:ascii="Times New Roman" w:hAnsi="Times New Roman" w:cs="Times New Roman"/>
          <w:sz w:val="24"/>
          <w:szCs w:val="24"/>
        </w:rPr>
        <w:t xml:space="preserve">The analysis revealed that the first two principal components, F1 and F2, successfully captured 98.04% of the total variance in the data, indicating that the biplot offers an almost complete representation of the underlying </w:t>
      </w:r>
      <w:r w:rsidR="00101690">
        <w:rPr>
          <w:rFonts w:ascii="Times New Roman" w:hAnsi="Times New Roman" w:cs="Times New Roman"/>
          <w:sz w:val="24"/>
          <w:szCs w:val="24"/>
        </w:rPr>
        <w:t>vigour</w:t>
      </w:r>
      <w:r w:rsidR="001B77F0" w:rsidRPr="001B77F0">
        <w:rPr>
          <w:rFonts w:ascii="Times New Roman" w:hAnsi="Times New Roman" w:cs="Times New Roman"/>
          <w:sz w:val="24"/>
          <w:szCs w:val="24"/>
        </w:rPr>
        <w:t xml:space="preserve"> structure.</w:t>
      </w:r>
    </w:p>
    <w:p w14:paraId="76742E47" w14:textId="1F4576FD" w:rsidR="001B77F0" w:rsidRPr="00BC2581" w:rsidRDefault="001B77F0" w:rsidP="001B77F0">
      <w:pPr>
        <w:spacing w:after="240" w:line="360" w:lineRule="auto"/>
        <w:jc w:val="center"/>
        <w:rPr>
          <w:rFonts w:ascii="Times New Roman" w:hAnsi="Times New Roman" w:cs="Times New Roman"/>
          <w:sz w:val="24"/>
          <w:szCs w:val="24"/>
        </w:rPr>
      </w:pPr>
      <w:r>
        <w:rPr>
          <w:noProof/>
        </w:rPr>
        <w:lastRenderedPageBreak/>
        <w:drawing>
          <wp:inline distT="0" distB="0" distL="0" distR="0" wp14:anchorId="46F28739" wp14:editId="1007ABC5">
            <wp:extent cx="4120738" cy="3228975"/>
            <wp:effectExtent l="0" t="0" r="13335" b="9525"/>
            <wp:docPr id="2" name="Chart 2">
              <a:extLst xmlns:a="http://schemas.openxmlformats.org/drawingml/2006/main">
                <a:ext uri="{FF2B5EF4-FFF2-40B4-BE49-F238E27FC236}">
                  <a16:creationId xmlns:a16="http://schemas.microsoft.com/office/drawing/2014/main" id="{821414EF-06EA-4CED-A48C-B6A4C25D6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DB3521" w14:textId="709D1463" w:rsidR="001B77F0" w:rsidRDefault="001B77F0" w:rsidP="001B77F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733309">
        <w:rPr>
          <w:rFonts w:ascii="Times New Roman" w:hAnsi="Times New Roman" w:cs="Times New Roman"/>
          <w:b/>
          <w:bCs/>
          <w:sz w:val="24"/>
          <w:szCs w:val="24"/>
        </w:rPr>
        <w:t>Principal Component Analysis (PCA)</w:t>
      </w:r>
    </w:p>
    <w:p w14:paraId="15C62FD7" w14:textId="3B549C13" w:rsidR="001B77F0" w:rsidRDefault="001B77F0" w:rsidP="001B77F0">
      <w:pPr>
        <w:spacing w:line="360" w:lineRule="auto"/>
        <w:jc w:val="both"/>
        <w:rPr>
          <w:rFonts w:ascii="Times New Roman" w:hAnsi="Times New Roman" w:cs="Times New Roman"/>
          <w:sz w:val="24"/>
          <w:szCs w:val="24"/>
        </w:rPr>
      </w:pPr>
      <w:r w:rsidRPr="001B77F0">
        <w:rPr>
          <w:rFonts w:ascii="Times New Roman" w:hAnsi="Times New Roman" w:cs="Times New Roman"/>
          <w:sz w:val="24"/>
          <w:szCs w:val="24"/>
        </w:rPr>
        <w:t xml:space="preserve">F1 is the dominant component and is clearly associated with field emergence potential. Both Field Emergence metrics, FE 10 DAS and FE 20 DAS, exhibited strong positive correlation with F1, demonstrated by their vectors pointing into the positive F1 direction (right half of the biplot). </w:t>
      </w:r>
      <w:r w:rsidR="00101690">
        <w:rPr>
          <w:rFonts w:ascii="Times New Roman" w:hAnsi="Times New Roman" w:cs="Times New Roman"/>
          <w:sz w:val="24"/>
          <w:szCs w:val="24"/>
        </w:rPr>
        <w:t>Seed lots</w:t>
      </w:r>
      <w:r w:rsidR="00AA716A">
        <w:rPr>
          <w:rFonts w:ascii="Times New Roman" w:hAnsi="Times New Roman" w:cs="Times New Roman"/>
          <w:sz w:val="24"/>
          <w:szCs w:val="24"/>
        </w:rPr>
        <w:t xml:space="preserve"> </w:t>
      </w:r>
      <w:r w:rsidRPr="001B77F0">
        <w:rPr>
          <w:rFonts w:ascii="Times New Roman" w:hAnsi="Times New Roman" w:cs="Times New Roman"/>
          <w:sz w:val="24"/>
          <w:szCs w:val="24"/>
        </w:rPr>
        <w:t>positioned further to the right on the biplot, such as CSV 48 (R24), CSV 15 R01 (R2B) and CSH 43MF (R24), are thus characterized by superior final stand establishment under field conditions.</w:t>
      </w:r>
      <w:r>
        <w:rPr>
          <w:rFonts w:ascii="Times New Roman" w:hAnsi="Times New Roman" w:cs="Times New Roman"/>
          <w:sz w:val="24"/>
          <w:szCs w:val="24"/>
        </w:rPr>
        <w:t xml:space="preserve"> </w:t>
      </w:r>
      <w:r w:rsidRPr="001B77F0">
        <w:rPr>
          <w:rFonts w:ascii="Times New Roman" w:hAnsi="Times New Roman" w:cs="Times New Roman"/>
          <w:sz w:val="24"/>
          <w:szCs w:val="24"/>
        </w:rPr>
        <w:t>F2 (31.37% of variance) - The Germination Speed/</w:t>
      </w:r>
      <w:r w:rsidR="00101690">
        <w:rPr>
          <w:rFonts w:ascii="Times New Roman" w:hAnsi="Times New Roman" w:cs="Times New Roman"/>
          <w:sz w:val="24"/>
          <w:szCs w:val="24"/>
        </w:rPr>
        <w:t>Vigour</w:t>
      </w:r>
      <w:r w:rsidRPr="001B77F0">
        <w:rPr>
          <w:rFonts w:ascii="Times New Roman" w:hAnsi="Times New Roman" w:cs="Times New Roman"/>
          <w:sz w:val="24"/>
          <w:szCs w:val="24"/>
        </w:rPr>
        <w:t xml:space="preserve"> Contrast Axis: F2 is primarily defined by the Mean Germination Time (MGT) vector, which projects strongly into the positive F2 direction (upper half of the biplot). The vector for MGT is positioned nearly 180</w:t>
      </w:r>
      <w:r>
        <w:rPr>
          <w:rFonts w:ascii="Times New Roman" w:hAnsi="Times New Roman" w:cs="Times New Roman"/>
          <w:sz w:val="24"/>
          <w:szCs w:val="24"/>
          <w:vertAlign w:val="superscript"/>
        </w:rPr>
        <w:t xml:space="preserve">0 </w:t>
      </w:r>
      <w:r w:rsidRPr="001B77F0">
        <w:rPr>
          <w:rFonts w:ascii="Times New Roman" w:hAnsi="Times New Roman" w:cs="Times New Roman"/>
          <w:sz w:val="24"/>
          <w:szCs w:val="24"/>
        </w:rPr>
        <w:t xml:space="preserve">opposite to the FE vectors. This orientation confirms the well-established inverse relationship in seed physiology: high FE (good performance) is associated with low MGT (fast germination), and vice versa. </w:t>
      </w:r>
      <w:r w:rsidR="00101690">
        <w:rPr>
          <w:rFonts w:ascii="Times New Roman" w:hAnsi="Times New Roman" w:cs="Times New Roman"/>
          <w:sz w:val="24"/>
          <w:szCs w:val="24"/>
        </w:rPr>
        <w:t>Seed lots</w:t>
      </w:r>
      <w:r w:rsidR="00AA716A">
        <w:rPr>
          <w:rFonts w:ascii="Times New Roman" w:hAnsi="Times New Roman" w:cs="Times New Roman"/>
          <w:sz w:val="24"/>
          <w:szCs w:val="24"/>
        </w:rPr>
        <w:t xml:space="preserve"> </w:t>
      </w:r>
      <w:r w:rsidRPr="001B77F0">
        <w:rPr>
          <w:rFonts w:ascii="Times New Roman" w:hAnsi="Times New Roman" w:cs="Times New Roman"/>
          <w:sz w:val="24"/>
          <w:szCs w:val="24"/>
        </w:rPr>
        <w:t xml:space="preserve">with high MGT (low </w:t>
      </w:r>
      <w:r w:rsidR="00101690">
        <w:rPr>
          <w:rFonts w:ascii="Times New Roman" w:hAnsi="Times New Roman" w:cs="Times New Roman"/>
          <w:sz w:val="24"/>
          <w:szCs w:val="24"/>
        </w:rPr>
        <w:t>vigour</w:t>
      </w:r>
      <w:r w:rsidRPr="001B77F0">
        <w:rPr>
          <w:rFonts w:ascii="Times New Roman" w:hAnsi="Times New Roman" w:cs="Times New Roman"/>
          <w:sz w:val="24"/>
          <w:szCs w:val="24"/>
        </w:rPr>
        <w:t>/slow germination) are thus located towards the upper-left quadrant (negative F1, positive F2), exemplified by CSV 29R (R24) and 467 A (R24).</w:t>
      </w:r>
      <w:r w:rsidR="00FB3E31">
        <w:rPr>
          <w:rFonts w:ascii="Times New Roman" w:hAnsi="Times New Roman" w:cs="Times New Roman"/>
          <w:sz w:val="24"/>
          <w:szCs w:val="24"/>
        </w:rPr>
        <w:t xml:space="preserve"> </w:t>
      </w:r>
      <w:r w:rsidR="00FB3E31" w:rsidRPr="00FB3E31">
        <w:rPr>
          <w:rFonts w:ascii="Times New Roman" w:hAnsi="Times New Roman" w:cs="Times New Roman"/>
          <w:sz w:val="24"/>
          <w:szCs w:val="24"/>
        </w:rPr>
        <w:t xml:space="preserve">Studies by Adebisi et al. (2013) </w:t>
      </w:r>
      <w:r w:rsidR="00FB3E31">
        <w:rPr>
          <w:rFonts w:ascii="Times New Roman" w:hAnsi="Times New Roman" w:cs="Times New Roman"/>
          <w:sz w:val="24"/>
          <w:szCs w:val="24"/>
        </w:rPr>
        <w:t xml:space="preserve">highlighted </w:t>
      </w:r>
      <w:r w:rsidR="00FB3E31" w:rsidRPr="00FB3E31">
        <w:rPr>
          <w:rFonts w:ascii="Times New Roman" w:hAnsi="Times New Roman" w:cs="Times New Roman"/>
          <w:sz w:val="24"/>
          <w:szCs w:val="24"/>
        </w:rPr>
        <w:t xml:space="preserve">that PCA efficiently reduces multiple </w:t>
      </w:r>
      <w:r w:rsidR="00101690">
        <w:rPr>
          <w:rFonts w:ascii="Times New Roman" w:hAnsi="Times New Roman" w:cs="Times New Roman"/>
          <w:sz w:val="24"/>
          <w:szCs w:val="24"/>
        </w:rPr>
        <w:t>vigour</w:t>
      </w:r>
      <w:r w:rsidR="00FB3E31" w:rsidRPr="00FB3E31">
        <w:rPr>
          <w:rFonts w:ascii="Times New Roman" w:hAnsi="Times New Roman" w:cs="Times New Roman"/>
          <w:sz w:val="24"/>
          <w:szCs w:val="24"/>
        </w:rPr>
        <w:t xml:space="preserve"> measurements (like MGT and emergence indices) into fewer, interpretable dimensions, making it easier to select superior genotypes based on a combined </w:t>
      </w:r>
      <w:r w:rsidR="00101690">
        <w:rPr>
          <w:rFonts w:ascii="Times New Roman" w:hAnsi="Times New Roman" w:cs="Times New Roman"/>
          <w:sz w:val="24"/>
          <w:szCs w:val="24"/>
        </w:rPr>
        <w:t>vigour</w:t>
      </w:r>
      <w:r w:rsidR="00FB3E31" w:rsidRPr="00FB3E31">
        <w:rPr>
          <w:rFonts w:ascii="Times New Roman" w:hAnsi="Times New Roman" w:cs="Times New Roman"/>
          <w:sz w:val="24"/>
          <w:szCs w:val="24"/>
        </w:rPr>
        <w:t xml:space="preserve"> index. Furthermore, the strong inverse angle between MGT and FE vectors is a universally accepted finding in seed science, reflecting the principle that faster germination (low MGT) contributes directly to higher field emergence (high FE) by reducing the duration of exposure to environmental stressors (Rao et al., 2017).</w:t>
      </w:r>
    </w:p>
    <w:p w14:paraId="57632190" w14:textId="22255DBB" w:rsidR="00AA716A" w:rsidRPr="00AA716A" w:rsidRDefault="00AA716A" w:rsidP="00AA716A">
      <w:pPr>
        <w:spacing w:line="360" w:lineRule="auto"/>
        <w:jc w:val="both"/>
        <w:rPr>
          <w:rFonts w:ascii="Times New Roman" w:hAnsi="Times New Roman" w:cs="Times New Roman"/>
          <w:b/>
          <w:bCs/>
          <w:sz w:val="24"/>
          <w:szCs w:val="24"/>
        </w:rPr>
      </w:pPr>
      <w:r w:rsidRPr="00AA716A">
        <w:rPr>
          <w:rFonts w:ascii="Times New Roman" w:hAnsi="Times New Roman" w:cs="Times New Roman"/>
          <w:b/>
          <w:bCs/>
          <w:sz w:val="24"/>
          <w:szCs w:val="24"/>
        </w:rPr>
        <w:lastRenderedPageBreak/>
        <w:t xml:space="preserve">Genotype Grouping and </w:t>
      </w:r>
      <w:r w:rsidR="00101690">
        <w:rPr>
          <w:rFonts w:ascii="Times New Roman" w:hAnsi="Times New Roman" w:cs="Times New Roman"/>
          <w:b/>
          <w:bCs/>
          <w:sz w:val="24"/>
          <w:szCs w:val="24"/>
        </w:rPr>
        <w:t>Vigour</w:t>
      </w:r>
      <w:r w:rsidRPr="00AA716A">
        <w:rPr>
          <w:rFonts w:ascii="Times New Roman" w:hAnsi="Times New Roman" w:cs="Times New Roman"/>
          <w:b/>
          <w:bCs/>
          <w:sz w:val="24"/>
          <w:szCs w:val="24"/>
        </w:rPr>
        <w:t xml:space="preserve"> Classification</w:t>
      </w:r>
    </w:p>
    <w:p w14:paraId="110B71C0" w14:textId="35D50DFB" w:rsidR="00AA716A" w:rsidRPr="00AA716A" w:rsidRDefault="00AA716A" w:rsidP="00AA716A">
      <w:pPr>
        <w:spacing w:line="360" w:lineRule="auto"/>
        <w:jc w:val="both"/>
        <w:rPr>
          <w:rFonts w:ascii="Times New Roman" w:hAnsi="Times New Roman" w:cs="Times New Roman"/>
          <w:sz w:val="24"/>
          <w:szCs w:val="24"/>
        </w:rPr>
      </w:pPr>
      <w:r w:rsidRPr="00AA716A">
        <w:rPr>
          <w:rFonts w:ascii="Times New Roman" w:hAnsi="Times New Roman" w:cs="Times New Roman"/>
          <w:sz w:val="24"/>
          <w:szCs w:val="24"/>
        </w:rPr>
        <w:t xml:space="preserve">The biplot </w:t>
      </w:r>
      <w:r w:rsidR="00FB3E31">
        <w:rPr>
          <w:rFonts w:ascii="Times New Roman" w:hAnsi="Times New Roman" w:cs="Times New Roman"/>
          <w:sz w:val="24"/>
          <w:szCs w:val="24"/>
        </w:rPr>
        <w:t xml:space="preserve">(Figure 2) </w:t>
      </w:r>
      <w:r w:rsidRPr="00AA716A">
        <w:rPr>
          <w:rFonts w:ascii="Times New Roman" w:hAnsi="Times New Roman" w:cs="Times New Roman"/>
          <w:sz w:val="24"/>
          <w:szCs w:val="24"/>
        </w:rPr>
        <w:t>effectively serves as a genotype selection tool, clustering the observations based on their overall vigo</w:t>
      </w:r>
      <w:r w:rsidR="00FB3E31">
        <w:rPr>
          <w:rFonts w:ascii="Times New Roman" w:hAnsi="Times New Roman" w:cs="Times New Roman"/>
          <w:sz w:val="24"/>
          <w:szCs w:val="24"/>
        </w:rPr>
        <w:t>u</w:t>
      </w:r>
      <w:r w:rsidRPr="00AA716A">
        <w:rPr>
          <w:rFonts w:ascii="Times New Roman" w:hAnsi="Times New Roman" w:cs="Times New Roman"/>
          <w:sz w:val="24"/>
          <w:szCs w:val="24"/>
        </w:rPr>
        <w:t>r profiles:</w:t>
      </w:r>
    </w:p>
    <w:p w14:paraId="4334DFE0" w14:textId="73C97EB1" w:rsidR="00AA716A" w:rsidRPr="00AA716A" w:rsidRDefault="00AA716A" w:rsidP="00AA716A">
      <w:pPr>
        <w:pStyle w:val="ListParagraph"/>
        <w:numPr>
          <w:ilvl w:val="0"/>
          <w:numId w:val="3"/>
        </w:numPr>
        <w:spacing w:line="360" w:lineRule="auto"/>
        <w:ind w:left="567" w:hanging="425"/>
        <w:jc w:val="both"/>
        <w:rPr>
          <w:sz w:val="24"/>
          <w:szCs w:val="24"/>
        </w:rPr>
      </w:pPr>
      <w:r w:rsidRPr="00AA716A">
        <w:rPr>
          <w:sz w:val="24"/>
          <w:szCs w:val="24"/>
        </w:rPr>
        <w:t>High-</w:t>
      </w:r>
      <w:proofErr w:type="spellStart"/>
      <w:r w:rsidR="00101690">
        <w:rPr>
          <w:sz w:val="24"/>
          <w:szCs w:val="24"/>
        </w:rPr>
        <w:t>Vigour</w:t>
      </w:r>
      <w:proofErr w:type="spellEnd"/>
      <w:r>
        <w:rPr>
          <w:sz w:val="24"/>
          <w:szCs w:val="24"/>
        </w:rPr>
        <w:t xml:space="preserve"> </w:t>
      </w:r>
      <w:r w:rsidR="00101690">
        <w:rPr>
          <w:sz w:val="24"/>
          <w:szCs w:val="24"/>
        </w:rPr>
        <w:t>seed lots</w:t>
      </w:r>
      <w:r w:rsidRPr="00AA716A">
        <w:rPr>
          <w:sz w:val="24"/>
          <w:szCs w:val="24"/>
        </w:rPr>
        <w:t xml:space="preserve"> (Right Side): Genotypes located on the positive side of F1 (e.g., CSH 24 MF (R24), CSV 48 (R24), CSV 15 R01 (R23)) possess the most desirable traits: high field Emergence and by implication of the MGT vector, fast germination.</w:t>
      </w:r>
    </w:p>
    <w:p w14:paraId="60342166" w14:textId="019A19A2" w:rsidR="00AC2288" w:rsidRDefault="00AA716A" w:rsidP="00AC2288">
      <w:pPr>
        <w:pStyle w:val="ListParagraph"/>
        <w:numPr>
          <w:ilvl w:val="0"/>
          <w:numId w:val="3"/>
        </w:numPr>
        <w:spacing w:line="360" w:lineRule="auto"/>
        <w:ind w:left="567" w:hanging="425"/>
        <w:jc w:val="both"/>
        <w:rPr>
          <w:sz w:val="24"/>
          <w:szCs w:val="24"/>
        </w:rPr>
      </w:pPr>
      <w:r w:rsidRPr="00AA716A">
        <w:rPr>
          <w:sz w:val="24"/>
          <w:szCs w:val="24"/>
        </w:rPr>
        <w:t>Low-</w:t>
      </w:r>
      <w:proofErr w:type="spellStart"/>
      <w:r w:rsidR="00101690">
        <w:rPr>
          <w:sz w:val="24"/>
          <w:szCs w:val="24"/>
        </w:rPr>
        <w:t>Vigour</w:t>
      </w:r>
      <w:proofErr w:type="spellEnd"/>
      <w:r>
        <w:rPr>
          <w:sz w:val="24"/>
          <w:szCs w:val="24"/>
        </w:rPr>
        <w:t xml:space="preserve"> </w:t>
      </w:r>
      <w:r w:rsidR="00101690">
        <w:rPr>
          <w:sz w:val="24"/>
          <w:szCs w:val="24"/>
        </w:rPr>
        <w:t>seed lots</w:t>
      </w:r>
      <w:r w:rsidRPr="00AA716A">
        <w:rPr>
          <w:sz w:val="24"/>
          <w:szCs w:val="24"/>
        </w:rPr>
        <w:t xml:space="preserve"> (Upper-Left Side): Genotypes in the upper-left quadrant (e.g., 467 A (R24), CSV 29R (R24), COFS 29 (K24)) are characterized by the undesirable combination of high MGT and low FE, indicating poor establishment potential.</w:t>
      </w:r>
    </w:p>
    <w:p w14:paraId="440AE50B" w14:textId="7101AB96" w:rsidR="00AC2288" w:rsidRDefault="00AC2288" w:rsidP="00AC2288">
      <w:pPr>
        <w:pStyle w:val="ListParagraph"/>
        <w:spacing w:line="360" w:lineRule="auto"/>
        <w:ind w:left="567" w:firstLine="0"/>
        <w:jc w:val="both"/>
        <w:rPr>
          <w:sz w:val="24"/>
          <w:szCs w:val="24"/>
        </w:rPr>
      </w:pPr>
    </w:p>
    <w:p w14:paraId="68209C77" w14:textId="044B1A90" w:rsidR="00AC2288" w:rsidRDefault="00AC2288" w:rsidP="00C5502C">
      <w:pPr>
        <w:pStyle w:val="ListParagraph"/>
        <w:spacing w:line="360" w:lineRule="auto"/>
        <w:ind w:left="567" w:hanging="567"/>
        <w:jc w:val="both"/>
        <w:rPr>
          <w:b/>
          <w:bCs/>
          <w:sz w:val="24"/>
          <w:szCs w:val="24"/>
        </w:rPr>
      </w:pPr>
      <w:r w:rsidRPr="00AC2288">
        <w:rPr>
          <w:b/>
          <w:bCs/>
          <w:sz w:val="24"/>
          <w:szCs w:val="24"/>
        </w:rPr>
        <w:t>Conclusion:</w:t>
      </w:r>
    </w:p>
    <w:p w14:paraId="0CE53820" w14:textId="04DB2081" w:rsidR="00C5502C" w:rsidRPr="00C5502C" w:rsidRDefault="00002174" w:rsidP="00C5502C">
      <w:pPr>
        <w:pStyle w:val="ListParagraph"/>
        <w:spacing w:line="360" w:lineRule="auto"/>
        <w:ind w:left="0" w:firstLine="0"/>
        <w:jc w:val="both"/>
        <w:rPr>
          <w:sz w:val="24"/>
          <w:szCs w:val="24"/>
        </w:rPr>
      </w:pPr>
      <w:r>
        <w:rPr>
          <w:sz w:val="24"/>
          <w:szCs w:val="24"/>
        </w:rPr>
        <w:tab/>
      </w:r>
      <w:r w:rsidR="00C5502C" w:rsidRPr="00C5502C">
        <w:rPr>
          <w:sz w:val="24"/>
          <w:szCs w:val="24"/>
        </w:rPr>
        <w:t xml:space="preserve">The present study demonstrated that mean germination time (MGT) and field emergence (FE) are strongly interrelated parameters of seed </w:t>
      </w:r>
      <w:proofErr w:type="spellStart"/>
      <w:r w:rsidR="00C5502C" w:rsidRPr="00C5502C">
        <w:rPr>
          <w:sz w:val="24"/>
          <w:szCs w:val="24"/>
        </w:rPr>
        <w:t>vigour</w:t>
      </w:r>
      <w:proofErr w:type="spellEnd"/>
      <w:r w:rsidR="00C5502C" w:rsidRPr="00C5502C">
        <w:rPr>
          <w:sz w:val="24"/>
          <w:szCs w:val="24"/>
        </w:rPr>
        <w:t xml:space="preserve"> in sorghum. Correlation analysis revealed a highly significant and negative association between MGT and FE at both 10 and 20 DAS, indicating that seed lots with lower MGT values germinated faster and more uniformly, resulting in higher field emergence. This highlights the physiological advantage of rapid germination in enabling better seedling establishment under variable conditions (Hampton and Tekrony, 1995). Regression analysis further confirmed this relationship, with extremely high coefficients of determination (R² &gt; 0.99) showing that most of the variation in FE could be explained by differences in MGT. The low standard error of the regression models underlines the reliability of MGT as a predictive tool for field performance. These findings agree with previous reports in cereals and legumes, where lower MGT was closely linked with superior field establishment (Powell, 2006; Demir et al., 2008; Matthews and Khajeh-Hosseini, 2007).</w:t>
      </w:r>
    </w:p>
    <w:p w14:paraId="2E53BADF" w14:textId="39AB94F2" w:rsidR="00002174" w:rsidRDefault="00C5502C" w:rsidP="00F2002E">
      <w:pPr>
        <w:pStyle w:val="ListParagraph"/>
        <w:spacing w:after="240" w:line="360" w:lineRule="auto"/>
        <w:ind w:left="0" w:firstLine="0"/>
        <w:jc w:val="both"/>
        <w:rPr>
          <w:sz w:val="24"/>
          <w:szCs w:val="24"/>
        </w:rPr>
      </w:pPr>
      <w:r>
        <w:rPr>
          <w:sz w:val="24"/>
          <w:szCs w:val="24"/>
        </w:rPr>
        <w:tab/>
      </w:r>
      <w:r w:rsidRPr="00C5502C">
        <w:rPr>
          <w:sz w:val="24"/>
          <w:szCs w:val="24"/>
        </w:rPr>
        <w:t xml:space="preserve">In sorghum, where standardized </w:t>
      </w:r>
      <w:proofErr w:type="spellStart"/>
      <w:r w:rsidRPr="00C5502C">
        <w:rPr>
          <w:sz w:val="24"/>
          <w:szCs w:val="24"/>
        </w:rPr>
        <w:t>vigour</w:t>
      </w:r>
      <w:proofErr w:type="spellEnd"/>
      <w:r w:rsidRPr="00C5502C">
        <w:rPr>
          <w:sz w:val="24"/>
          <w:szCs w:val="24"/>
        </w:rPr>
        <w:t xml:space="preserve"> testing protocols are lacking under ISTA rules, this study provides evidence that MGT can serve as a simple, cost-effective, and reproducible </w:t>
      </w:r>
      <w:proofErr w:type="spellStart"/>
      <w:r w:rsidRPr="00C5502C">
        <w:rPr>
          <w:sz w:val="24"/>
          <w:szCs w:val="24"/>
        </w:rPr>
        <w:t>vigour</w:t>
      </w:r>
      <w:proofErr w:type="spellEnd"/>
      <w:r w:rsidRPr="00C5502C">
        <w:rPr>
          <w:sz w:val="24"/>
          <w:szCs w:val="24"/>
        </w:rPr>
        <w:t xml:space="preserve"> test. Its strong correlation with FE demonstrates that it can reliably predict field emergence, reducing the need for resource-intensive field trials and improving decision-making in seed quality assurance (ISTA, 2023; Baalbaki et al., 2009). From a practical perspective, incorporating MGT into </w:t>
      </w:r>
      <w:proofErr w:type="spellStart"/>
      <w:r w:rsidRPr="00C5502C">
        <w:rPr>
          <w:sz w:val="24"/>
          <w:szCs w:val="24"/>
        </w:rPr>
        <w:t>vigour</w:t>
      </w:r>
      <w:proofErr w:type="spellEnd"/>
      <w:r w:rsidRPr="00C5502C">
        <w:rPr>
          <w:sz w:val="24"/>
          <w:szCs w:val="24"/>
        </w:rPr>
        <w:t xml:space="preserve"> testing would help seed producers, researchers, and farmers identify high-quality seed lots with better storability and establishment potential. MGT is a robust and efficient indicator of sorghum seed </w:t>
      </w:r>
      <w:proofErr w:type="spellStart"/>
      <w:r w:rsidRPr="00C5502C">
        <w:rPr>
          <w:sz w:val="24"/>
          <w:szCs w:val="24"/>
        </w:rPr>
        <w:t>vigour</w:t>
      </w:r>
      <w:proofErr w:type="spellEnd"/>
      <w:r w:rsidRPr="00C5502C">
        <w:rPr>
          <w:sz w:val="24"/>
          <w:szCs w:val="24"/>
        </w:rPr>
        <w:t xml:space="preserve">, with strong predictive value for field emergence. Future research should validate its effectiveness under stress conditions, </w:t>
      </w:r>
      <w:r w:rsidRPr="00C5502C">
        <w:rPr>
          <w:sz w:val="24"/>
          <w:szCs w:val="24"/>
        </w:rPr>
        <w:lastRenderedPageBreak/>
        <w:t xml:space="preserve">across more genotypes, and in conjunction with seed enhancement treatments to strengthen its role in sorghum seed </w:t>
      </w:r>
      <w:proofErr w:type="spellStart"/>
      <w:r w:rsidRPr="00C5502C">
        <w:rPr>
          <w:sz w:val="24"/>
          <w:szCs w:val="24"/>
        </w:rPr>
        <w:t>vigour</w:t>
      </w:r>
      <w:proofErr w:type="spellEnd"/>
      <w:r w:rsidRPr="00C5502C">
        <w:rPr>
          <w:sz w:val="24"/>
          <w:szCs w:val="24"/>
        </w:rPr>
        <w:t xml:space="preserve"> testing and crop improvement.</w:t>
      </w:r>
    </w:p>
    <w:p w14:paraId="60696DB5" w14:textId="77777777" w:rsidR="00002174" w:rsidRPr="00002174" w:rsidRDefault="000A730A" w:rsidP="00F2002E">
      <w:pPr>
        <w:spacing w:after="240" w:line="360" w:lineRule="auto"/>
        <w:jc w:val="both"/>
        <w:rPr>
          <w:rFonts w:ascii="Times New Roman" w:hAnsi="Times New Roman" w:cs="Times New Roman"/>
          <w:b/>
          <w:bCs/>
          <w:sz w:val="24"/>
          <w:szCs w:val="24"/>
        </w:rPr>
      </w:pPr>
      <w:commentRangeStart w:id="3"/>
      <w:r w:rsidRPr="00002174">
        <w:rPr>
          <w:rFonts w:ascii="Times New Roman" w:hAnsi="Times New Roman" w:cs="Times New Roman"/>
          <w:b/>
          <w:bCs/>
          <w:sz w:val="24"/>
          <w:szCs w:val="24"/>
        </w:rPr>
        <w:t>References</w:t>
      </w:r>
      <w:commentRangeEnd w:id="3"/>
      <w:r w:rsidR="00B60A6A">
        <w:rPr>
          <w:rStyle w:val="CommentReference"/>
        </w:rPr>
        <w:commentReference w:id="3"/>
      </w:r>
      <w:r w:rsidRPr="00002174">
        <w:rPr>
          <w:rFonts w:ascii="Times New Roman" w:hAnsi="Times New Roman" w:cs="Times New Roman"/>
          <w:b/>
          <w:bCs/>
          <w:sz w:val="24"/>
          <w:szCs w:val="24"/>
        </w:rPr>
        <w:t>:</w:t>
      </w:r>
    </w:p>
    <w:p w14:paraId="6CB9592C" w14:textId="7740B1FB"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ADEBISI, M.A., OKELOLA, F.S., AJALA, M.O., KEHINDE, T.O., DANIEL, I.O. AND AJANI, O.O., 2013, Evaluation of variations in seed vigour characters of West African rice (</w:t>
      </w:r>
      <w:r w:rsidRPr="002D7D1B">
        <w:rPr>
          <w:rFonts w:ascii="Times New Roman" w:hAnsi="Times New Roman" w:cs="Times New Roman"/>
          <w:i/>
          <w:iCs/>
          <w:sz w:val="24"/>
          <w:szCs w:val="24"/>
        </w:rPr>
        <w:t xml:space="preserve">Oryza sativa </w:t>
      </w:r>
      <w:r w:rsidRPr="002D7D1B">
        <w:rPr>
          <w:rFonts w:ascii="Times New Roman" w:hAnsi="Times New Roman" w:cs="Times New Roman"/>
          <w:sz w:val="24"/>
          <w:szCs w:val="24"/>
        </w:rPr>
        <w:t>L.) genotypes using multivariate technique</w:t>
      </w:r>
      <w:r w:rsidRPr="002D7D1B">
        <w:rPr>
          <w:rFonts w:ascii="Times New Roman" w:hAnsi="Times New Roman" w:cs="Times New Roman"/>
          <w:i/>
          <w:iCs/>
          <w:sz w:val="24"/>
          <w:szCs w:val="24"/>
        </w:rPr>
        <w:t>. Am. J. Plant Sci.,</w:t>
      </w:r>
      <w:r w:rsidRPr="002D7D1B">
        <w:rPr>
          <w:rFonts w:ascii="Times New Roman" w:hAnsi="Times New Roman" w:cs="Times New Roman"/>
          <w:sz w:val="24"/>
          <w:szCs w:val="24"/>
        </w:rPr>
        <w:t xml:space="preserve"> </w:t>
      </w:r>
      <w:r w:rsidRPr="002D7D1B">
        <w:rPr>
          <w:rFonts w:ascii="Times New Roman" w:hAnsi="Times New Roman" w:cs="Times New Roman"/>
          <w:b/>
          <w:bCs/>
          <w:sz w:val="24"/>
          <w:szCs w:val="24"/>
        </w:rPr>
        <w:t>4</w:t>
      </w:r>
      <w:r w:rsidRPr="002D7D1B">
        <w:rPr>
          <w:rFonts w:ascii="Times New Roman" w:hAnsi="Times New Roman" w:cs="Times New Roman"/>
          <w:sz w:val="24"/>
          <w:szCs w:val="24"/>
        </w:rPr>
        <w:t>(2): 356–363.</w:t>
      </w:r>
    </w:p>
    <w:p w14:paraId="75123B5A" w14:textId="4CA6D250" w:rsid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BAALBAKI, R., ELIAS, S., MARCOS-FILHO, J. AND MCDONALD, M.B., 2009, Seed Vigour Testing Handbook. Contribution No. 32, AOSA, Ithaca, NY.</w:t>
      </w:r>
    </w:p>
    <w:p w14:paraId="36DF31FC" w14:textId="4095C486" w:rsidR="00050D85" w:rsidRPr="002D7D1B" w:rsidRDefault="00050D85" w:rsidP="00F2002E">
      <w:pPr>
        <w:spacing w:line="360" w:lineRule="auto"/>
        <w:ind w:left="720" w:hanging="720"/>
        <w:jc w:val="both"/>
        <w:rPr>
          <w:rFonts w:ascii="Times New Roman" w:hAnsi="Times New Roman" w:cs="Times New Roman"/>
          <w:sz w:val="24"/>
          <w:szCs w:val="24"/>
        </w:rPr>
      </w:pPr>
      <w:r w:rsidRPr="00050D85">
        <w:rPr>
          <w:rFonts w:ascii="Times New Roman" w:hAnsi="Times New Roman" w:cs="Times New Roman"/>
          <w:sz w:val="24"/>
          <w:szCs w:val="24"/>
        </w:rPr>
        <w:t>BASKIN, C</w:t>
      </w:r>
      <w:r>
        <w:rPr>
          <w:rFonts w:ascii="Times New Roman" w:hAnsi="Times New Roman" w:cs="Times New Roman"/>
          <w:sz w:val="24"/>
          <w:szCs w:val="24"/>
        </w:rPr>
        <w:t xml:space="preserve">. </w:t>
      </w:r>
      <w:r w:rsidRPr="00050D85">
        <w:rPr>
          <w:rFonts w:ascii="Times New Roman" w:hAnsi="Times New Roman" w:cs="Times New Roman"/>
          <w:sz w:val="24"/>
          <w:szCs w:val="24"/>
        </w:rPr>
        <w:t>C</w:t>
      </w:r>
      <w:r>
        <w:rPr>
          <w:rFonts w:ascii="Times New Roman" w:hAnsi="Times New Roman" w:cs="Times New Roman"/>
          <w:sz w:val="24"/>
          <w:szCs w:val="24"/>
        </w:rPr>
        <w:t>.</w:t>
      </w:r>
      <w:r w:rsidRPr="00050D85">
        <w:rPr>
          <w:rFonts w:ascii="Times New Roman" w:hAnsi="Times New Roman" w:cs="Times New Roman"/>
          <w:sz w:val="24"/>
          <w:szCs w:val="24"/>
        </w:rPr>
        <w:t xml:space="preserve"> AND BASKIN, J</w:t>
      </w:r>
      <w:r>
        <w:rPr>
          <w:rFonts w:ascii="Times New Roman" w:hAnsi="Times New Roman" w:cs="Times New Roman"/>
          <w:sz w:val="24"/>
          <w:szCs w:val="24"/>
        </w:rPr>
        <w:t>.</w:t>
      </w:r>
      <w:r w:rsidRPr="00050D85">
        <w:rPr>
          <w:rFonts w:ascii="Times New Roman" w:hAnsi="Times New Roman" w:cs="Times New Roman"/>
          <w:sz w:val="24"/>
          <w:szCs w:val="24"/>
        </w:rPr>
        <w:t>M</w:t>
      </w:r>
      <w:r>
        <w:rPr>
          <w:rFonts w:ascii="Times New Roman" w:hAnsi="Times New Roman" w:cs="Times New Roman"/>
          <w:sz w:val="24"/>
          <w:szCs w:val="24"/>
        </w:rPr>
        <w:t>.,</w:t>
      </w:r>
      <w:r w:rsidRPr="00050D85">
        <w:rPr>
          <w:rFonts w:ascii="Times New Roman" w:hAnsi="Times New Roman" w:cs="Times New Roman"/>
          <w:sz w:val="24"/>
          <w:szCs w:val="24"/>
        </w:rPr>
        <w:t xml:space="preserve"> 2014</w:t>
      </w:r>
      <w:r>
        <w:rPr>
          <w:rFonts w:ascii="Times New Roman" w:hAnsi="Times New Roman" w:cs="Times New Roman"/>
          <w:sz w:val="24"/>
          <w:szCs w:val="24"/>
        </w:rPr>
        <w:t>,</w:t>
      </w:r>
      <w:r w:rsidRPr="00050D85">
        <w:rPr>
          <w:rFonts w:ascii="Times New Roman" w:hAnsi="Times New Roman" w:cs="Times New Roman"/>
          <w:sz w:val="24"/>
          <w:szCs w:val="24"/>
        </w:rPr>
        <w:t xml:space="preserve"> Seeds: Ecology, Biogeography, and Evolution of Dormancy and Germination (2nd </w:t>
      </w:r>
      <w:proofErr w:type="spellStart"/>
      <w:r w:rsidRPr="00050D85">
        <w:rPr>
          <w:rFonts w:ascii="Times New Roman" w:hAnsi="Times New Roman" w:cs="Times New Roman"/>
          <w:sz w:val="24"/>
          <w:szCs w:val="24"/>
        </w:rPr>
        <w:t>Edn</w:t>
      </w:r>
      <w:proofErr w:type="spellEnd"/>
      <w:r w:rsidRPr="00050D85">
        <w:rPr>
          <w:rFonts w:ascii="Times New Roman" w:hAnsi="Times New Roman" w:cs="Times New Roman"/>
          <w:sz w:val="24"/>
          <w:szCs w:val="24"/>
        </w:rPr>
        <w:t>). London, UK, Academic Press.</w:t>
      </w:r>
    </w:p>
    <w:p w14:paraId="577BDC89" w14:textId="77777777"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DEMIR, I., MAVI, K., CELIKKOL, T. AND OZCOBAN, M., 2008, Vigour tests for predicting field emergence of watermelon (</w:t>
      </w:r>
      <w:r w:rsidRPr="000E2F22">
        <w:rPr>
          <w:rFonts w:ascii="Times New Roman" w:hAnsi="Times New Roman" w:cs="Times New Roman"/>
          <w:i/>
          <w:iCs/>
          <w:sz w:val="24"/>
          <w:szCs w:val="24"/>
        </w:rPr>
        <w:t>Citrullus lanatus</w:t>
      </w:r>
      <w:r w:rsidRPr="002D7D1B">
        <w:rPr>
          <w:rFonts w:ascii="Times New Roman" w:hAnsi="Times New Roman" w:cs="Times New Roman"/>
          <w:sz w:val="24"/>
          <w:szCs w:val="24"/>
        </w:rPr>
        <w:t xml:space="preserve">) seeds.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36</w:t>
      </w:r>
      <w:r w:rsidRPr="002D7D1B">
        <w:rPr>
          <w:rFonts w:ascii="Times New Roman" w:hAnsi="Times New Roman" w:cs="Times New Roman"/>
          <w:sz w:val="24"/>
          <w:szCs w:val="24"/>
        </w:rPr>
        <w:t>: 21–30.</w:t>
      </w:r>
    </w:p>
    <w:p w14:paraId="4AE7214E" w14:textId="59F609D8"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HAMPTON, J.G., 2020, Methods of viability and vigour testing: a critical appraisal. In: Seed Quality. CRC Press, 81–118.</w:t>
      </w:r>
    </w:p>
    <w:p w14:paraId="2C045BDA" w14:textId="4EE49B0E"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HAMPTON, J.G. AND TEKRONY, D.M., 1995, Handbook of Vigour Test Methods. International Seed Testing Association, Zurich.</w:t>
      </w:r>
    </w:p>
    <w:p w14:paraId="68828858" w14:textId="3981C2F6" w:rsid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ISTA, 2023, International Rules for Seed Testing. International Seed Testing Association, Zurich.</w:t>
      </w:r>
    </w:p>
    <w:p w14:paraId="42212405" w14:textId="6A651000" w:rsidR="00F843E8" w:rsidRPr="002D7D1B" w:rsidRDefault="00F843E8" w:rsidP="00F2002E">
      <w:pPr>
        <w:spacing w:line="360" w:lineRule="auto"/>
        <w:ind w:left="720" w:hanging="720"/>
        <w:jc w:val="both"/>
        <w:rPr>
          <w:rFonts w:ascii="Times New Roman" w:hAnsi="Times New Roman" w:cs="Times New Roman"/>
          <w:sz w:val="24"/>
          <w:szCs w:val="24"/>
        </w:rPr>
      </w:pPr>
      <w:r w:rsidRPr="00F843E8">
        <w:rPr>
          <w:rFonts w:ascii="Times New Roman" w:hAnsi="Times New Roman" w:cs="Times New Roman"/>
          <w:sz w:val="24"/>
          <w:szCs w:val="24"/>
        </w:rPr>
        <w:t>KRISHNASAMY, V</w:t>
      </w:r>
      <w:r>
        <w:rPr>
          <w:rFonts w:ascii="Times New Roman" w:hAnsi="Times New Roman" w:cs="Times New Roman"/>
          <w:sz w:val="24"/>
          <w:szCs w:val="24"/>
        </w:rPr>
        <w:t xml:space="preserve">. </w:t>
      </w:r>
      <w:r w:rsidRPr="00F843E8">
        <w:rPr>
          <w:rFonts w:ascii="Times New Roman" w:hAnsi="Times New Roman" w:cs="Times New Roman"/>
          <w:sz w:val="24"/>
          <w:szCs w:val="24"/>
        </w:rPr>
        <w:t>AND SESHU, D.V.</w:t>
      </w:r>
      <w:r>
        <w:rPr>
          <w:rFonts w:ascii="Times New Roman" w:hAnsi="Times New Roman" w:cs="Times New Roman"/>
          <w:sz w:val="24"/>
          <w:szCs w:val="24"/>
        </w:rPr>
        <w:t>,</w:t>
      </w:r>
      <w:r w:rsidRPr="00F843E8">
        <w:rPr>
          <w:rFonts w:ascii="Times New Roman" w:hAnsi="Times New Roman" w:cs="Times New Roman"/>
          <w:sz w:val="24"/>
          <w:szCs w:val="24"/>
        </w:rPr>
        <w:t xml:space="preserve"> 1989</w:t>
      </w:r>
      <w:r>
        <w:rPr>
          <w:rFonts w:ascii="Times New Roman" w:hAnsi="Times New Roman" w:cs="Times New Roman"/>
          <w:sz w:val="24"/>
          <w:szCs w:val="24"/>
        </w:rPr>
        <w:t>,</w:t>
      </w:r>
      <w:r w:rsidRPr="00F843E8">
        <w:rPr>
          <w:rFonts w:ascii="Times New Roman" w:hAnsi="Times New Roman" w:cs="Times New Roman"/>
          <w:sz w:val="24"/>
          <w:szCs w:val="24"/>
        </w:rPr>
        <w:t xml:space="preserve"> Seed germination rate and associated characters in rice. </w:t>
      </w:r>
      <w:r w:rsidRPr="00F843E8">
        <w:rPr>
          <w:rFonts w:ascii="Times New Roman" w:hAnsi="Times New Roman" w:cs="Times New Roman"/>
          <w:i/>
          <w:iCs/>
          <w:sz w:val="24"/>
          <w:szCs w:val="24"/>
        </w:rPr>
        <w:t>Crop Science</w:t>
      </w:r>
      <w:r w:rsidRPr="00F843E8">
        <w:rPr>
          <w:rFonts w:ascii="Times New Roman" w:hAnsi="Times New Roman" w:cs="Times New Roman"/>
          <w:sz w:val="24"/>
          <w:szCs w:val="24"/>
        </w:rPr>
        <w:t xml:space="preserve">. </w:t>
      </w:r>
      <w:r w:rsidRPr="00F843E8">
        <w:rPr>
          <w:rFonts w:ascii="Times New Roman" w:hAnsi="Times New Roman" w:cs="Times New Roman"/>
          <w:b/>
          <w:bCs/>
          <w:sz w:val="24"/>
          <w:szCs w:val="24"/>
        </w:rPr>
        <w:t>29</w:t>
      </w:r>
      <w:r w:rsidRPr="00F843E8">
        <w:rPr>
          <w:rFonts w:ascii="Times New Roman" w:hAnsi="Times New Roman" w:cs="Times New Roman"/>
          <w:sz w:val="24"/>
          <w:szCs w:val="24"/>
        </w:rPr>
        <w:t>: 904-908.</w:t>
      </w:r>
    </w:p>
    <w:p w14:paraId="38CA221E" w14:textId="03E17980"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LV, Y.Y., WANG, Y.R. AND POWELL, A.A., 2016, Frequent individual counts of radicle emergence and mean just germination time predict seed vigour of </w:t>
      </w:r>
      <w:r w:rsidRPr="000E2F22">
        <w:rPr>
          <w:rFonts w:ascii="Times New Roman" w:hAnsi="Times New Roman" w:cs="Times New Roman"/>
          <w:i/>
          <w:iCs/>
          <w:sz w:val="24"/>
          <w:szCs w:val="24"/>
        </w:rPr>
        <w:t>Avena sativa and Elymus nutans.</w:t>
      </w:r>
      <w:r w:rsidRPr="002D7D1B">
        <w:rPr>
          <w:rFonts w:ascii="Times New Roman" w:hAnsi="Times New Roman" w:cs="Times New Roman"/>
          <w:sz w:val="24"/>
          <w:szCs w:val="24"/>
        </w:rPr>
        <w:t xml:space="preserve">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44</w:t>
      </w:r>
      <w:r w:rsidRPr="002D7D1B">
        <w:rPr>
          <w:rFonts w:ascii="Times New Roman" w:hAnsi="Times New Roman" w:cs="Times New Roman"/>
          <w:sz w:val="24"/>
          <w:szCs w:val="24"/>
        </w:rPr>
        <w:t>(1): 189–198.</w:t>
      </w:r>
    </w:p>
    <w:p w14:paraId="0C2ADC6E" w14:textId="7BFEC6A3"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MATTHEWS, S. AND KHAJEH HOSSEINI, M., 2006, Mean germination time as an indicator of emergence performance in soil of seed lots of maize (</w:t>
      </w:r>
      <w:r w:rsidRPr="000E2F22">
        <w:rPr>
          <w:rFonts w:ascii="Times New Roman" w:hAnsi="Times New Roman" w:cs="Times New Roman"/>
          <w:i/>
          <w:iCs/>
          <w:sz w:val="24"/>
          <w:szCs w:val="24"/>
        </w:rPr>
        <w:t>Zea mays</w:t>
      </w:r>
      <w:r w:rsidRPr="002D7D1B">
        <w:rPr>
          <w:rFonts w:ascii="Times New Roman" w:hAnsi="Times New Roman" w:cs="Times New Roman"/>
          <w:sz w:val="24"/>
          <w:szCs w:val="24"/>
        </w:rPr>
        <w:t xml:space="preserve">).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34</w:t>
      </w:r>
      <w:r w:rsidRPr="002D7D1B">
        <w:rPr>
          <w:rFonts w:ascii="Times New Roman" w:hAnsi="Times New Roman" w:cs="Times New Roman"/>
          <w:sz w:val="24"/>
          <w:szCs w:val="24"/>
        </w:rPr>
        <w:t>(2): 339–347.</w:t>
      </w:r>
    </w:p>
    <w:p w14:paraId="1ED2FFBA" w14:textId="781762AF"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MCDONALD, M.B.J., 1980, Assessment of seed quality. </w:t>
      </w:r>
      <w:proofErr w:type="spellStart"/>
      <w:r w:rsidRPr="000E2F22">
        <w:rPr>
          <w:rFonts w:ascii="Times New Roman" w:hAnsi="Times New Roman" w:cs="Times New Roman"/>
          <w:i/>
          <w:iCs/>
          <w:sz w:val="24"/>
          <w:szCs w:val="24"/>
        </w:rPr>
        <w:t>HortScience</w:t>
      </w:r>
      <w:proofErr w:type="spellEnd"/>
      <w:r w:rsidRPr="000E2F22">
        <w:rPr>
          <w:rFonts w:ascii="Times New Roman" w:hAnsi="Times New Roman" w:cs="Times New Roman"/>
          <w:i/>
          <w:iCs/>
          <w:sz w:val="24"/>
          <w:szCs w:val="24"/>
        </w:rPr>
        <w:t>,</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15</w:t>
      </w:r>
      <w:r w:rsidRPr="002D7D1B">
        <w:rPr>
          <w:rFonts w:ascii="Times New Roman" w:hAnsi="Times New Roman" w:cs="Times New Roman"/>
          <w:sz w:val="24"/>
          <w:szCs w:val="24"/>
        </w:rPr>
        <w:t>: 784–788.</w:t>
      </w:r>
    </w:p>
    <w:p w14:paraId="3BCD020A" w14:textId="3431BD00"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lastRenderedPageBreak/>
        <w:t>PANSE, V.G. AND SUKHATME, P.V., 1967, Statistical Methods for Agricultural Workers. Indian Council of Agricultural Research, New Delhi.</w:t>
      </w:r>
    </w:p>
    <w:p w14:paraId="5983A297" w14:textId="0B2BE03C"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POWELL, A.A., 2006, Seed vigour and field establishment. In: BASRA, A.S. (ed.), Handbook of Seed Science and Technology. CRC Press, Boca Raton, 603–626.</w:t>
      </w:r>
    </w:p>
    <w:p w14:paraId="11265650" w14:textId="15A36D7A"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POWELL, A.A. AND MATTHEWS, S., 2005, Towards the validation of the controlled deterioration vigour test for small seeded vegetables. Seed Test. </w:t>
      </w:r>
      <w:r w:rsidRPr="000E2F22">
        <w:rPr>
          <w:rFonts w:ascii="Times New Roman" w:hAnsi="Times New Roman" w:cs="Times New Roman"/>
          <w:i/>
          <w:iCs/>
          <w:sz w:val="24"/>
          <w:szCs w:val="24"/>
        </w:rPr>
        <w:t>Int. Assoc. Off. Seed Anal.</w:t>
      </w:r>
      <w:r w:rsidRPr="002D7D1B">
        <w:rPr>
          <w:rFonts w:ascii="Times New Roman" w:hAnsi="Times New Roman" w:cs="Times New Roman"/>
          <w:sz w:val="24"/>
          <w:szCs w:val="24"/>
        </w:rPr>
        <w:t xml:space="preserve"> (ISTA) News Bull., </w:t>
      </w:r>
      <w:r w:rsidRPr="000E2F22">
        <w:rPr>
          <w:rFonts w:ascii="Times New Roman" w:hAnsi="Times New Roman" w:cs="Times New Roman"/>
          <w:b/>
          <w:bCs/>
          <w:sz w:val="24"/>
          <w:szCs w:val="24"/>
        </w:rPr>
        <w:t>129</w:t>
      </w:r>
      <w:r w:rsidRPr="002D7D1B">
        <w:rPr>
          <w:rFonts w:ascii="Times New Roman" w:hAnsi="Times New Roman" w:cs="Times New Roman"/>
          <w:sz w:val="24"/>
          <w:szCs w:val="24"/>
        </w:rPr>
        <w:t>: 21–24.</w:t>
      </w:r>
    </w:p>
    <w:p w14:paraId="0BCE15F0" w14:textId="2D4602E3" w:rsidR="002D7D1B" w:rsidRPr="002D7D1B" w:rsidRDefault="002D7D1B" w:rsidP="00F2002E">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SOLTANI, E., BASKIN, C.C., BASKIN, J.M. AND GHADERI-FAR, F., 2015, Problems with using mean germination time to calculate rate of seed germination. </w:t>
      </w:r>
      <w:r w:rsidRPr="000E2F22">
        <w:rPr>
          <w:rFonts w:ascii="Times New Roman" w:hAnsi="Times New Roman" w:cs="Times New Roman"/>
          <w:i/>
          <w:iCs/>
          <w:sz w:val="24"/>
          <w:szCs w:val="24"/>
        </w:rPr>
        <w:t>Austral Ecol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40:</w:t>
      </w:r>
      <w:r w:rsidRPr="002D7D1B">
        <w:rPr>
          <w:rFonts w:ascii="Times New Roman" w:hAnsi="Times New Roman" w:cs="Times New Roman"/>
          <w:sz w:val="24"/>
          <w:szCs w:val="24"/>
        </w:rPr>
        <w:t xml:space="preserve"> 838–842.</w:t>
      </w:r>
    </w:p>
    <w:p w14:paraId="0A41FD96" w14:textId="724700F4" w:rsidR="009A4F11" w:rsidRDefault="002D7D1B" w:rsidP="00F2002E">
      <w:pPr>
        <w:spacing w:line="360" w:lineRule="auto"/>
        <w:ind w:left="720" w:hanging="720"/>
        <w:jc w:val="both"/>
      </w:pPr>
      <w:r w:rsidRPr="002D7D1B">
        <w:rPr>
          <w:rFonts w:ascii="Times New Roman" w:hAnsi="Times New Roman" w:cs="Times New Roman"/>
          <w:sz w:val="24"/>
          <w:szCs w:val="24"/>
        </w:rPr>
        <w:t>WIDOWATI, S. AND LUNA, P., 2022, Nutritional and functional properties of sorghum (</w:t>
      </w:r>
      <w:r w:rsidRPr="000E2F22">
        <w:rPr>
          <w:rFonts w:ascii="Times New Roman" w:hAnsi="Times New Roman" w:cs="Times New Roman"/>
          <w:i/>
          <w:iCs/>
          <w:sz w:val="24"/>
          <w:szCs w:val="24"/>
        </w:rPr>
        <w:t xml:space="preserve">Sorghum </w:t>
      </w:r>
      <w:proofErr w:type="spellStart"/>
      <w:r w:rsidRPr="000E2F22">
        <w:rPr>
          <w:rFonts w:ascii="Times New Roman" w:hAnsi="Times New Roman" w:cs="Times New Roman"/>
          <w:i/>
          <w:iCs/>
          <w:sz w:val="24"/>
          <w:szCs w:val="24"/>
        </w:rPr>
        <w:t>bicolor</w:t>
      </w:r>
      <w:proofErr w:type="spellEnd"/>
      <w:r w:rsidRPr="002D7D1B">
        <w:rPr>
          <w:rFonts w:ascii="Times New Roman" w:hAnsi="Times New Roman" w:cs="Times New Roman"/>
          <w:sz w:val="24"/>
          <w:szCs w:val="24"/>
        </w:rPr>
        <w:t xml:space="preserve"> (L.) Moench) based products and potential valorisation of sorghum bran. IOP Conf. Ser. </w:t>
      </w:r>
      <w:r w:rsidRPr="000E2F22">
        <w:rPr>
          <w:rFonts w:ascii="Times New Roman" w:hAnsi="Times New Roman" w:cs="Times New Roman"/>
          <w:i/>
          <w:iCs/>
          <w:sz w:val="24"/>
          <w:szCs w:val="24"/>
        </w:rPr>
        <w:t>Earth Environ. Sci</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1024</w:t>
      </w:r>
      <w:r w:rsidRPr="002D7D1B">
        <w:rPr>
          <w:rFonts w:ascii="Times New Roman" w:hAnsi="Times New Roman" w:cs="Times New Roman"/>
          <w:sz w:val="24"/>
          <w:szCs w:val="24"/>
        </w:rPr>
        <w:t>: 1–9.</w:t>
      </w:r>
    </w:p>
    <w:sectPr w:rsidR="009A4F11" w:rsidSect="00BC568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nesh Pawar" w:date="2025-10-11T18:24:00Z" w:initials="GP">
    <w:p w14:paraId="30FBA2EC" w14:textId="7D5204F8" w:rsidR="00EF2923" w:rsidRDefault="00EF2923">
      <w:pPr>
        <w:pStyle w:val="CommentText"/>
      </w:pPr>
      <w:r>
        <w:rPr>
          <w:rStyle w:val="CommentReference"/>
        </w:rPr>
        <w:annotationRef/>
      </w:r>
      <w:r>
        <w:t>Italic</w:t>
      </w:r>
    </w:p>
  </w:comment>
  <w:comment w:id="1" w:author="Ganesh Pawar" w:date="2025-10-11T18:24:00Z" w:initials="GP">
    <w:p w14:paraId="78999D0C" w14:textId="2D0EB777" w:rsidR="001F0B5C" w:rsidRDefault="001F0B5C">
      <w:pPr>
        <w:pStyle w:val="CommentText"/>
      </w:pPr>
      <w:r>
        <w:rPr>
          <w:rStyle w:val="CommentReference"/>
        </w:rPr>
        <w:annotationRef/>
      </w:r>
      <w:r w:rsidRPr="001F0B5C">
        <w:t xml:space="preserve">The introduction could benefit from a short paragraph explicitly identifying </w:t>
      </w:r>
      <w:r w:rsidRPr="001F0B5C">
        <w:rPr>
          <w:b/>
          <w:bCs/>
        </w:rPr>
        <w:t>research objectives</w:t>
      </w:r>
      <w:r>
        <w:rPr>
          <w:b/>
          <w:bCs/>
        </w:rPr>
        <w:t xml:space="preserve">. </w:t>
      </w:r>
    </w:p>
  </w:comment>
  <w:comment w:id="3" w:author="Ganesh Pawar" w:date="2025-10-11T18:26:00Z" w:initials="GP">
    <w:p w14:paraId="343FE6BA" w14:textId="0B54A782" w:rsidR="00B60A6A" w:rsidRDefault="00B60A6A">
      <w:pPr>
        <w:pStyle w:val="CommentText"/>
      </w:pPr>
      <w:r>
        <w:rPr>
          <w:rStyle w:val="CommentReference"/>
        </w:rPr>
        <w:annotationRef/>
      </w:r>
      <w:r w:rsidRPr="00B60A6A">
        <w:t xml:space="preserve">Add </w:t>
      </w:r>
      <w:r>
        <w:t>more</w:t>
      </w:r>
      <w:r w:rsidRPr="00B60A6A">
        <w:t xml:space="preserve"> recent studies to demonstrate up-to-date literature engagement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FBA2EC" w15:done="0"/>
  <w15:commentEx w15:paraId="78999D0C" w15:done="0"/>
  <w15:commentEx w15:paraId="343FE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473B21" w16cex:dateUtc="2025-10-11T12:54:00Z"/>
  <w16cex:commentExtensible w16cex:durableId="3ED7CBBF" w16cex:dateUtc="2025-10-11T12:54:00Z"/>
  <w16cex:commentExtensible w16cex:durableId="7D3B3E1F" w16cex:dateUtc="2025-10-11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FBA2EC" w16cid:durableId="49473B21"/>
  <w16cid:commentId w16cid:paraId="78999D0C" w16cid:durableId="3ED7CBBF"/>
  <w16cid:commentId w16cid:paraId="343FE6BA" w16cid:durableId="7D3B3E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45FD" w14:textId="77777777" w:rsidR="0033365F" w:rsidRDefault="0033365F" w:rsidP="00E205EF">
      <w:pPr>
        <w:spacing w:after="0" w:line="240" w:lineRule="auto"/>
      </w:pPr>
      <w:r>
        <w:separator/>
      </w:r>
    </w:p>
  </w:endnote>
  <w:endnote w:type="continuationSeparator" w:id="0">
    <w:p w14:paraId="2214E913" w14:textId="77777777" w:rsidR="0033365F" w:rsidRDefault="0033365F" w:rsidP="00E2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6D42" w14:textId="77777777" w:rsidR="00E205EF" w:rsidRDefault="00E20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0FB1" w14:textId="77777777" w:rsidR="00E205EF" w:rsidRDefault="00E20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53D7" w14:textId="77777777" w:rsidR="00E205EF" w:rsidRDefault="00E20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A886" w14:textId="77777777" w:rsidR="0033365F" w:rsidRDefault="0033365F" w:rsidP="00E205EF">
      <w:pPr>
        <w:spacing w:after="0" w:line="240" w:lineRule="auto"/>
      </w:pPr>
      <w:r>
        <w:separator/>
      </w:r>
    </w:p>
  </w:footnote>
  <w:footnote w:type="continuationSeparator" w:id="0">
    <w:p w14:paraId="731BD141" w14:textId="77777777" w:rsidR="0033365F" w:rsidRDefault="0033365F" w:rsidP="00E2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54A6" w14:textId="15E6F6A3" w:rsidR="00E205EF" w:rsidRDefault="00000000">
    <w:pPr>
      <w:pStyle w:val="Header"/>
    </w:pPr>
    <w:r>
      <w:rPr>
        <w:noProof/>
      </w:rPr>
      <w:pict w14:anchorId="1E755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EFB2" w14:textId="01F0AA51" w:rsidR="00E205EF" w:rsidRDefault="00000000">
    <w:pPr>
      <w:pStyle w:val="Header"/>
    </w:pPr>
    <w:r>
      <w:rPr>
        <w:noProof/>
      </w:rPr>
      <w:pict w14:anchorId="26721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0F94" w14:textId="1889A347" w:rsidR="00E205EF" w:rsidRDefault="00000000">
    <w:pPr>
      <w:pStyle w:val="Header"/>
    </w:pPr>
    <w:r>
      <w:rPr>
        <w:noProof/>
      </w:rPr>
      <w:pict w14:anchorId="48F92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7A84"/>
    <w:multiLevelType w:val="hybridMultilevel"/>
    <w:tmpl w:val="F9FA9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BB57E86"/>
    <w:multiLevelType w:val="multilevel"/>
    <w:tmpl w:val="C904307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FE5C2E"/>
    <w:multiLevelType w:val="hybridMultilevel"/>
    <w:tmpl w:val="17741B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3809481">
    <w:abstractNumId w:val="2"/>
  </w:num>
  <w:num w:numId="2" w16cid:durableId="1289898296">
    <w:abstractNumId w:val="1"/>
  </w:num>
  <w:num w:numId="3" w16cid:durableId="2943398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esh Pawar">
    <w15:presenceInfo w15:providerId="Windows Live" w15:userId="10b4c71c5ca680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11"/>
    <w:rsid w:val="00002174"/>
    <w:rsid w:val="00011D1D"/>
    <w:rsid w:val="0003262A"/>
    <w:rsid w:val="00032FB7"/>
    <w:rsid w:val="00041E18"/>
    <w:rsid w:val="00050D85"/>
    <w:rsid w:val="000817B7"/>
    <w:rsid w:val="000A6CA0"/>
    <w:rsid w:val="000A730A"/>
    <w:rsid w:val="000E2F22"/>
    <w:rsid w:val="00101690"/>
    <w:rsid w:val="00166135"/>
    <w:rsid w:val="00193D7D"/>
    <w:rsid w:val="001B77F0"/>
    <w:rsid w:val="001E69A8"/>
    <w:rsid w:val="001F0B5C"/>
    <w:rsid w:val="002D7D1B"/>
    <w:rsid w:val="0033365F"/>
    <w:rsid w:val="00345F00"/>
    <w:rsid w:val="004C4918"/>
    <w:rsid w:val="005320C8"/>
    <w:rsid w:val="005A7B11"/>
    <w:rsid w:val="005F7BB2"/>
    <w:rsid w:val="00606D76"/>
    <w:rsid w:val="00643C20"/>
    <w:rsid w:val="006A755B"/>
    <w:rsid w:val="006B739A"/>
    <w:rsid w:val="00762F09"/>
    <w:rsid w:val="00812719"/>
    <w:rsid w:val="008608A6"/>
    <w:rsid w:val="00884687"/>
    <w:rsid w:val="008B28EC"/>
    <w:rsid w:val="008D5E47"/>
    <w:rsid w:val="00920B66"/>
    <w:rsid w:val="009A4F11"/>
    <w:rsid w:val="009A6F41"/>
    <w:rsid w:val="00A625C6"/>
    <w:rsid w:val="00AA716A"/>
    <w:rsid w:val="00AB6981"/>
    <w:rsid w:val="00AC2288"/>
    <w:rsid w:val="00B05B1B"/>
    <w:rsid w:val="00B60A6A"/>
    <w:rsid w:val="00B61AC2"/>
    <w:rsid w:val="00BC2581"/>
    <w:rsid w:val="00BC5680"/>
    <w:rsid w:val="00C53070"/>
    <w:rsid w:val="00C5502C"/>
    <w:rsid w:val="00CC1A2E"/>
    <w:rsid w:val="00CC5BF4"/>
    <w:rsid w:val="00D90059"/>
    <w:rsid w:val="00E17451"/>
    <w:rsid w:val="00E205EF"/>
    <w:rsid w:val="00E25B39"/>
    <w:rsid w:val="00ED0F75"/>
    <w:rsid w:val="00EF2923"/>
    <w:rsid w:val="00F2002E"/>
    <w:rsid w:val="00F21232"/>
    <w:rsid w:val="00F843E8"/>
    <w:rsid w:val="00FB3E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041F"/>
  <w15:chartTrackingRefBased/>
  <w15:docId w15:val="{9B5C6C99-0894-4B90-BA75-5DB49B77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32FB7"/>
    <w:pPr>
      <w:widowControl w:val="0"/>
      <w:autoSpaceDE w:val="0"/>
      <w:autoSpaceDN w:val="0"/>
      <w:spacing w:after="0" w:line="240" w:lineRule="auto"/>
    </w:pPr>
    <w:rPr>
      <w:rFonts w:ascii="Segoe UI" w:eastAsia="Segoe UI" w:hAnsi="Segoe UI" w:cs="Segoe UI"/>
      <w:lang w:val="en-US"/>
    </w:rPr>
  </w:style>
  <w:style w:type="table" w:styleId="TableGrid">
    <w:name w:val="Table Grid"/>
    <w:basedOn w:val="TableNormal"/>
    <w:uiPriority w:val="39"/>
    <w:rsid w:val="00032FB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43C20"/>
    <w:pPr>
      <w:widowControl w:val="0"/>
      <w:autoSpaceDE w:val="0"/>
      <w:autoSpaceDN w:val="0"/>
      <w:spacing w:after="0" w:line="240" w:lineRule="auto"/>
      <w:ind w:left="852" w:hanging="360"/>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643C20"/>
    <w:rPr>
      <w:color w:val="808080"/>
    </w:rPr>
  </w:style>
  <w:style w:type="paragraph" w:styleId="BodyText">
    <w:name w:val="Body Text"/>
    <w:basedOn w:val="Normal"/>
    <w:link w:val="BodyTextChar"/>
    <w:uiPriority w:val="1"/>
    <w:qFormat/>
    <w:rsid w:val="00812719"/>
    <w:pPr>
      <w:widowControl w:val="0"/>
      <w:autoSpaceDE w:val="0"/>
      <w:autoSpaceDN w:val="0"/>
      <w:spacing w:after="0" w:line="240" w:lineRule="auto"/>
    </w:pPr>
    <w:rPr>
      <w:rFonts w:ascii="Segoe UI" w:eastAsia="Segoe UI" w:hAnsi="Segoe UI" w:cs="Segoe UI"/>
      <w:sz w:val="24"/>
      <w:szCs w:val="24"/>
      <w:lang w:val="en-US"/>
    </w:rPr>
  </w:style>
  <w:style w:type="character" w:customStyle="1" w:styleId="BodyTextChar">
    <w:name w:val="Body Text Char"/>
    <w:basedOn w:val="DefaultParagraphFont"/>
    <w:link w:val="BodyText"/>
    <w:uiPriority w:val="1"/>
    <w:rsid w:val="00812719"/>
    <w:rPr>
      <w:rFonts w:ascii="Segoe UI" w:eastAsia="Segoe UI" w:hAnsi="Segoe UI" w:cs="Segoe UI"/>
      <w:sz w:val="24"/>
      <w:szCs w:val="24"/>
      <w:lang w:val="en-US"/>
    </w:rPr>
  </w:style>
  <w:style w:type="character" w:styleId="Emphasis">
    <w:name w:val="Emphasis"/>
    <w:basedOn w:val="DefaultParagraphFont"/>
    <w:uiPriority w:val="20"/>
    <w:qFormat/>
    <w:rsid w:val="005A7B11"/>
    <w:rPr>
      <w:i/>
      <w:iCs/>
    </w:rPr>
  </w:style>
  <w:style w:type="paragraph" w:styleId="NormalWeb">
    <w:name w:val="Normal (Web)"/>
    <w:basedOn w:val="Normal"/>
    <w:uiPriority w:val="99"/>
    <w:semiHidden/>
    <w:unhideWhenUsed/>
    <w:rsid w:val="005A7B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A7B11"/>
    <w:rPr>
      <w:b/>
      <w:bCs/>
    </w:rPr>
  </w:style>
  <w:style w:type="character" w:styleId="Hyperlink">
    <w:name w:val="Hyperlink"/>
    <w:basedOn w:val="DefaultParagraphFont"/>
    <w:uiPriority w:val="99"/>
    <w:unhideWhenUsed/>
    <w:rsid w:val="00D90059"/>
    <w:rPr>
      <w:color w:val="0563C1" w:themeColor="hyperlink"/>
      <w:u w:val="single"/>
    </w:rPr>
  </w:style>
  <w:style w:type="character" w:styleId="UnresolvedMention">
    <w:name w:val="Unresolved Mention"/>
    <w:basedOn w:val="DefaultParagraphFont"/>
    <w:uiPriority w:val="99"/>
    <w:semiHidden/>
    <w:unhideWhenUsed/>
    <w:rsid w:val="00D90059"/>
    <w:rPr>
      <w:color w:val="605E5C"/>
      <w:shd w:val="clear" w:color="auto" w:fill="E1DFDD"/>
    </w:rPr>
  </w:style>
  <w:style w:type="paragraph" w:styleId="Header">
    <w:name w:val="header"/>
    <w:basedOn w:val="Normal"/>
    <w:link w:val="HeaderChar"/>
    <w:uiPriority w:val="99"/>
    <w:unhideWhenUsed/>
    <w:rsid w:val="00E2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EF"/>
  </w:style>
  <w:style w:type="paragraph" w:styleId="Footer">
    <w:name w:val="footer"/>
    <w:basedOn w:val="Normal"/>
    <w:link w:val="FooterChar"/>
    <w:uiPriority w:val="99"/>
    <w:unhideWhenUsed/>
    <w:rsid w:val="00E2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EF"/>
  </w:style>
  <w:style w:type="character" w:styleId="CommentReference">
    <w:name w:val="annotation reference"/>
    <w:basedOn w:val="DefaultParagraphFont"/>
    <w:uiPriority w:val="99"/>
    <w:semiHidden/>
    <w:unhideWhenUsed/>
    <w:rsid w:val="00EF2923"/>
    <w:rPr>
      <w:sz w:val="16"/>
      <w:szCs w:val="16"/>
    </w:rPr>
  </w:style>
  <w:style w:type="paragraph" w:styleId="CommentText">
    <w:name w:val="annotation text"/>
    <w:basedOn w:val="Normal"/>
    <w:link w:val="CommentTextChar"/>
    <w:uiPriority w:val="99"/>
    <w:semiHidden/>
    <w:unhideWhenUsed/>
    <w:rsid w:val="00EF2923"/>
    <w:pPr>
      <w:spacing w:line="240" w:lineRule="auto"/>
    </w:pPr>
    <w:rPr>
      <w:sz w:val="20"/>
      <w:szCs w:val="20"/>
    </w:rPr>
  </w:style>
  <w:style w:type="character" w:customStyle="1" w:styleId="CommentTextChar">
    <w:name w:val="Comment Text Char"/>
    <w:basedOn w:val="DefaultParagraphFont"/>
    <w:link w:val="CommentText"/>
    <w:uiPriority w:val="99"/>
    <w:semiHidden/>
    <w:rsid w:val="00EF2923"/>
    <w:rPr>
      <w:sz w:val="20"/>
      <w:szCs w:val="20"/>
    </w:rPr>
  </w:style>
  <w:style w:type="paragraph" w:styleId="CommentSubject">
    <w:name w:val="annotation subject"/>
    <w:basedOn w:val="CommentText"/>
    <w:next w:val="CommentText"/>
    <w:link w:val="CommentSubjectChar"/>
    <w:uiPriority w:val="99"/>
    <w:semiHidden/>
    <w:unhideWhenUsed/>
    <w:rsid w:val="00EF2923"/>
    <w:rPr>
      <w:b/>
      <w:bCs/>
    </w:rPr>
  </w:style>
  <w:style w:type="character" w:customStyle="1" w:styleId="CommentSubjectChar">
    <w:name w:val="Comment Subject Char"/>
    <w:basedOn w:val="CommentTextChar"/>
    <w:link w:val="CommentSubject"/>
    <w:uiPriority w:val="99"/>
    <w:semiHidden/>
    <w:rsid w:val="00EF29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687">
      <w:bodyDiv w:val="1"/>
      <w:marLeft w:val="0"/>
      <w:marRight w:val="0"/>
      <w:marTop w:val="0"/>
      <w:marBottom w:val="0"/>
      <w:divBdr>
        <w:top w:val="none" w:sz="0" w:space="0" w:color="auto"/>
        <w:left w:val="none" w:sz="0" w:space="0" w:color="auto"/>
        <w:bottom w:val="none" w:sz="0" w:space="0" w:color="auto"/>
        <w:right w:val="none" w:sz="0" w:space="0" w:color="auto"/>
      </w:divBdr>
    </w:div>
    <w:div w:id="443773444">
      <w:bodyDiv w:val="1"/>
      <w:marLeft w:val="0"/>
      <w:marRight w:val="0"/>
      <w:marTop w:val="0"/>
      <w:marBottom w:val="0"/>
      <w:divBdr>
        <w:top w:val="none" w:sz="0" w:space="0" w:color="auto"/>
        <w:left w:val="none" w:sz="0" w:space="0" w:color="auto"/>
        <w:bottom w:val="none" w:sz="0" w:space="0" w:color="auto"/>
        <w:right w:val="none" w:sz="0" w:space="0" w:color="auto"/>
      </w:divBdr>
    </w:div>
    <w:div w:id="917326198">
      <w:bodyDiv w:val="1"/>
      <w:marLeft w:val="0"/>
      <w:marRight w:val="0"/>
      <w:marTop w:val="0"/>
      <w:marBottom w:val="0"/>
      <w:divBdr>
        <w:top w:val="none" w:sz="0" w:space="0" w:color="auto"/>
        <w:left w:val="none" w:sz="0" w:space="0" w:color="auto"/>
        <w:bottom w:val="none" w:sz="0" w:space="0" w:color="auto"/>
        <w:right w:val="none" w:sz="0" w:space="0" w:color="auto"/>
      </w:divBdr>
    </w:div>
    <w:div w:id="955403519">
      <w:bodyDiv w:val="1"/>
      <w:marLeft w:val="0"/>
      <w:marRight w:val="0"/>
      <w:marTop w:val="0"/>
      <w:marBottom w:val="0"/>
      <w:divBdr>
        <w:top w:val="none" w:sz="0" w:space="0" w:color="auto"/>
        <w:left w:val="none" w:sz="0" w:space="0" w:color="auto"/>
        <w:bottom w:val="none" w:sz="0" w:space="0" w:color="auto"/>
        <w:right w:val="none" w:sz="0" w:space="0" w:color="auto"/>
      </w:divBdr>
    </w:div>
    <w:div w:id="1003433377">
      <w:bodyDiv w:val="1"/>
      <w:marLeft w:val="0"/>
      <w:marRight w:val="0"/>
      <w:marTop w:val="0"/>
      <w:marBottom w:val="0"/>
      <w:divBdr>
        <w:top w:val="none" w:sz="0" w:space="0" w:color="auto"/>
        <w:left w:val="none" w:sz="0" w:space="0" w:color="auto"/>
        <w:bottom w:val="none" w:sz="0" w:space="0" w:color="auto"/>
        <w:right w:val="none" w:sz="0" w:space="0" w:color="auto"/>
      </w:divBdr>
    </w:div>
    <w:div w:id="1067458737">
      <w:bodyDiv w:val="1"/>
      <w:marLeft w:val="0"/>
      <w:marRight w:val="0"/>
      <w:marTop w:val="0"/>
      <w:marBottom w:val="0"/>
      <w:divBdr>
        <w:top w:val="none" w:sz="0" w:space="0" w:color="auto"/>
        <w:left w:val="none" w:sz="0" w:space="0" w:color="auto"/>
        <w:bottom w:val="none" w:sz="0" w:space="0" w:color="auto"/>
        <w:right w:val="none" w:sz="0" w:space="0" w:color="auto"/>
      </w:divBdr>
    </w:div>
    <w:div w:id="1067606724">
      <w:bodyDiv w:val="1"/>
      <w:marLeft w:val="0"/>
      <w:marRight w:val="0"/>
      <w:marTop w:val="0"/>
      <w:marBottom w:val="0"/>
      <w:divBdr>
        <w:top w:val="none" w:sz="0" w:space="0" w:color="auto"/>
        <w:left w:val="none" w:sz="0" w:space="0" w:color="auto"/>
        <w:bottom w:val="none" w:sz="0" w:space="0" w:color="auto"/>
        <w:right w:val="none" w:sz="0" w:space="0" w:color="auto"/>
      </w:divBdr>
    </w:div>
    <w:div w:id="1228881120">
      <w:bodyDiv w:val="1"/>
      <w:marLeft w:val="0"/>
      <w:marRight w:val="0"/>
      <w:marTop w:val="0"/>
      <w:marBottom w:val="0"/>
      <w:divBdr>
        <w:top w:val="none" w:sz="0" w:space="0" w:color="auto"/>
        <w:left w:val="none" w:sz="0" w:space="0" w:color="auto"/>
        <w:bottom w:val="none" w:sz="0" w:space="0" w:color="auto"/>
        <w:right w:val="none" w:sz="0" w:space="0" w:color="auto"/>
      </w:divBdr>
    </w:div>
    <w:div w:id="1231890296">
      <w:bodyDiv w:val="1"/>
      <w:marLeft w:val="0"/>
      <w:marRight w:val="0"/>
      <w:marTop w:val="0"/>
      <w:marBottom w:val="0"/>
      <w:divBdr>
        <w:top w:val="none" w:sz="0" w:space="0" w:color="auto"/>
        <w:left w:val="none" w:sz="0" w:space="0" w:color="auto"/>
        <w:bottom w:val="none" w:sz="0" w:space="0" w:color="auto"/>
        <w:right w:val="none" w:sz="0" w:space="0" w:color="auto"/>
      </w:divBdr>
    </w:div>
    <w:div w:id="1350645414">
      <w:bodyDiv w:val="1"/>
      <w:marLeft w:val="0"/>
      <w:marRight w:val="0"/>
      <w:marTop w:val="0"/>
      <w:marBottom w:val="0"/>
      <w:divBdr>
        <w:top w:val="none" w:sz="0" w:space="0" w:color="auto"/>
        <w:left w:val="none" w:sz="0" w:space="0" w:color="auto"/>
        <w:bottom w:val="none" w:sz="0" w:space="0" w:color="auto"/>
        <w:right w:val="none" w:sz="0" w:space="0" w:color="auto"/>
      </w:divBdr>
    </w:div>
    <w:div w:id="1747141903">
      <w:bodyDiv w:val="1"/>
      <w:marLeft w:val="0"/>
      <w:marRight w:val="0"/>
      <w:marTop w:val="0"/>
      <w:marBottom w:val="0"/>
      <w:divBdr>
        <w:top w:val="none" w:sz="0" w:space="0" w:color="auto"/>
        <w:left w:val="none" w:sz="0" w:space="0" w:color="auto"/>
        <w:bottom w:val="none" w:sz="0" w:space="0" w:color="auto"/>
        <w:right w:val="none" w:sz="0" w:space="0" w:color="auto"/>
      </w:divBdr>
    </w:div>
    <w:div w:id="1919054363">
      <w:bodyDiv w:val="1"/>
      <w:marLeft w:val="0"/>
      <w:marRight w:val="0"/>
      <w:marTop w:val="0"/>
      <w:marBottom w:val="0"/>
      <w:divBdr>
        <w:top w:val="none" w:sz="0" w:space="0" w:color="auto"/>
        <w:left w:val="none" w:sz="0" w:space="0" w:color="auto"/>
        <w:bottom w:val="none" w:sz="0" w:space="0" w:color="auto"/>
        <w:right w:val="none" w:sz="0" w:space="0" w:color="auto"/>
      </w:divBdr>
    </w:div>
    <w:div w:id="19507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20D\Desktop\Copy%20of%20MGT_AND_FE_-_Copy(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ooja%20D\Desktop\Copy%20of%20MGT_AND_FE_-_Copy(1).xlsx"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'Storage durn'!$H$3</c:f>
              <c:strCache>
                <c:ptCount val="1"/>
                <c:pt idx="0">
                  <c:v>MGT (h)</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durn'!$H$4:$H$8</c:f>
              <c:numCache>
                <c:formatCode>0.00</c:formatCode>
                <c:ptCount val="5"/>
                <c:pt idx="0">
                  <c:v>22.375050136837174</c:v>
                </c:pt>
                <c:pt idx="1">
                  <c:v>27.405469098067844</c:v>
                </c:pt>
                <c:pt idx="2">
                  <c:v>31.505033333333326</c:v>
                </c:pt>
                <c:pt idx="3">
                  <c:v>35.37533333333333</c:v>
                </c:pt>
                <c:pt idx="4">
                  <c:v>38.120000000000005</c:v>
                </c:pt>
              </c:numCache>
            </c:numRef>
          </c:yVal>
          <c:smooth val="0"/>
          <c:extLst>
            <c:ext xmlns:c16="http://schemas.microsoft.com/office/drawing/2014/chart" uri="{C3380CC4-5D6E-409C-BE32-E72D297353CC}">
              <c16:uniqueId val="{00000001-A7F3-483E-BFDE-6A2D96F168A1}"/>
            </c:ext>
          </c:extLst>
        </c:ser>
        <c:ser>
          <c:idx val="1"/>
          <c:order val="1"/>
          <c:tx>
            <c:strRef>
              <c:f>'Storage durn'!$I$3</c:f>
              <c:strCache>
                <c:ptCount val="1"/>
                <c:pt idx="0">
                  <c:v>FE (10 DAS)</c:v>
                </c:pt>
              </c:strCache>
            </c:strRef>
          </c:tx>
          <c:spPr>
            <a:ln w="1905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durn'!$I$4:$I$8</c:f>
              <c:numCache>
                <c:formatCode>0.00</c:formatCode>
                <c:ptCount val="5"/>
                <c:pt idx="0">
                  <c:v>35.383333333333333</c:v>
                </c:pt>
                <c:pt idx="1">
                  <c:v>31.8</c:v>
                </c:pt>
                <c:pt idx="2">
                  <c:v>26.883333333333333</c:v>
                </c:pt>
                <c:pt idx="3">
                  <c:v>23.533333333333335</c:v>
                </c:pt>
                <c:pt idx="4">
                  <c:v>19.716666666666665</c:v>
                </c:pt>
              </c:numCache>
            </c:numRef>
          </c:yVal>
          <c:smooth val="0"/>
          <c:extLst>
            <c:ext xmlns:c16="http://schemas.microsoft.com/office/drawing/2014/chart" uri="{C3380CC4-5D6E-409C-BE32-E72D297353CC}">
              <c16:uniqueId val="{00000003-A7F3-483E-BFDE-6A2D96F168A1}"/>
            </c:ext>
          </c:extLst>
        </c:ser>
        <c:ser>
          <c:idx val="2"/>
          <c:order val="2"/>
          <c:tx>
            <c:strRef>
              <c:f>'Storage durn'!$J$3</c:f>
              <c:strCache>
                <c:ptCount val="1"/>
                <c:pt idx="0">
                  <c:v>FE (20 DAS)</c:v>
                </c:pt>
              </c:strCache>
            </c:strRef>
          </c:tx>
          <c:spPr>
            <a:ln w="1905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durn'!$J$4:$J$8</c:f>
              <c:numCache>
                <c:formatCode>0.00</c:formatCode>
                <c:ptCount val="5"/>
                <c:pt idx="0">
                  <c:v>43.31666666666667</c:v>
                </c:pt>
                <c:pt idx="1">
                  <c:v>37.866666666666667</c:v>
                </c:pt>
                <c:pt idx="2">
                  <c:v>33.5</c:v>
                </c:pt>
                <c:pt idx="3">
                  <c:v>29.35</c:v>
                </c:pt>
                <c:pt idx="4">
                  <c:v>24.983333333333334</c:v>
                </c:pt>
              </c:numCache>
            </c:numRef>
          </c:yVal>
          <c:smooth val="0"/>
          <c:extLst>
            <c:ext xmlns:c16="http://schemas.microsoft.com/office/drawing/2014/chart" uri="{C3380CC4-5D6E-409C-BE32-E72D297353CC}">
              <c16:uniqueId val="{00000005-A7F3-483E-BFDE-6A2D96F168A1}"/>
            </c:ext>
          </c:extLst>
        </c:ser>
        <c:dLbls>
          <c:showLegendKey val="0"/>
          <c:showVal val="0"/>
          <c:showCatName val="0"/>
          <c:showSerName val="0"/>
          <c:showPercent val="0"/>
          <c:showBubbleSize val="0"/>
        </c:dLbls>
        <c:axId val="1583353456"/>
        <c:axId val="1583352016"/>
      </c:scatterChart>
      <c:valAx>
        <c:axId val="1583353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352016"/>
        <c:crosses val="autoZero"/>
        <c:crossBetween val="midCat"/>
      </c:valAx>
      <c:valAx>
        <c:axId val="1583352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3534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n-US"/>
              <a:t>Biplot (axes F1 and F2: 98.04 %)</a:t>
            </a:r>
          </a:p>
        </c:rich>
      </c:tx>
      <c:overlay val="0"/>
    </c:title>
    <c:autoTitleDeleted val="0"/>
    <c:plotArea>
      <c:layout/>
      <c:scatterChart>
        <c:scatterStyle val="lineMarker"/>
        <c:varyColors val="0"/>
        <c:ser>
          <c:idx val="0"/>
          <c:order val="0"/>
          <c:tx>
            <c:v>Active variables</c:v>
          </c:tx>
          <c:spPr>
            <a:ln w="19050">
              <a:noFill/>
            </a:ln>
            <a:effectLst/>
          </c:spPr>
          <c:marker>
            <c:symbol val="circle"/>
            <c:size val="3"/>
            <c:spPr>
              <a:solidFill>
                <a:srgbClr val="FF4A46"/>
              </a:solidFill>
              <a:ln>
                <a:solidFill>
                  <a:srgbClr val="FF4A46"/>
                </a:solidFill>
                <a:prstDash val="solid"/>
              </a:ln>
            </c:spPr>
          </c:marker>
          <c:dLbls>
            <c:dLbl>
              <c:idx val="0"/>
              <c:layout>
                <c:manualLayout>
                  <c:x val="-8.954751749781277E-2"/>
                  <c:y val="-3.1372549019607864E-2"/>
                </c:manualLayout>
              </c:layout>
              <c:tx>
                <c:rich>
                  <a:bodyPr/>
                  <a:lstStyle/>
                  <a:p>
                    <a:r>
                      <a:rPr lang="en-US"/>
                      <a:t>MGT (h)</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112-4379-AA04-D2699EAE5949}"/>
                </c:ext>
              </c:extLst>
            </c:dLbl>
            <c:dLbl>
              <c:idx val="1"/>
              <c:layout>
                <c:manualLayout>
                  <c:x val="-1.7361111111111112E-2"/>
                  <c:y val="-3.1372549019607843E-2"/>
                </c:manualLayout>
              </c:layout>
              <c:tx>
                <c:rich>
                  <a:bodyPr/>
                  <a:lstStyle/>
                  <a:p>
                    <a:r>
                      <a:rPr lang="en-US"/>
                      <a:t>FE (10 DAS)</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112-4379-AA04-D2699EAE5949}"/>
                </c:ext>
              </c:extLst>
            </c:dLbl>
            <c:dLbl>
              <c:idx val="2"/>
              <c:layout>
                <c:manualLayout>
                  <c:x val="-1.7361111111111112E-2"/>
                  <c:y val="-3.1372549019607843E-2"/>
                </c:manualLayout>
              </c:layout>
              <c:tx>
                <c:rich>
                  <a:bodyPr/>
                  <a:lstStyle/>
                  <a:p>
                    <a:r>
                      <a:rPr lang="en-US"/>
                      <a:t>FE (20 DAS)</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112-4379-AA04-D2699EAE5949}"/>
                </c:ext>
              </c:extLst>
            </c:dLbl>
            <c:spPr>
              <a:noFill/>
              <a:ln>
                <a:noFill/>
              </a:ln>
              <a:effectLst/>
            </c:spPr>
            <c:txPr>
              <a:bodyPr rot="0" vert="horz" wrap="square" lIns="38100" tIns="19050" rIns="38100" bIns="19050" anchor="ctr">
                <a:spAutoFit/>
              </a:bodyPr>
              <a:lstStyle/>
              <a:p>
                <a:pPr>
                  <a:defRPr sz="700">
                    <a:solidFill>
                      <a:srgbClr val="FF4A46"/>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XLSTAT_20250606_155632_1_HID3!$A$1:$A$3</c:f>
              <c:numCache>
                <c:formatCode>General</c:formatCode>
                <c:ptCount val="3"/>
                <c:pt idx="0">
                  <c:v>-0.78321216027121598</c:v>
                </c:pt>
                <c:pt idx="1">
                  <c:v>2.1057816045077749</c:v>
                </c:pt>
                <c:pt idx="2">
                  <c:v>2.0462521124803965</c:v>
                </c:pt>
              </c:numCache>
            </c:numRef>
          </c:xVal>
          <c:yVal>
            <c:numRef>
              <c:f>XLSTAT_20250606_155632_1_HID3!$B$1:$B$3</c:f>
              <c:numCache>
                <c:formatCode>General</c:formatCode>
                <c:ptCount val="3"/>
                <c:pt idx="0">
                  <c:v>2.9157251949393599</c:v>
                </c:pt>
                <c:pt idx="1">
                  <c:v>0.30791022534651624</c:v>
                </c:pt>
                <c:pt idx="2">
                  <c:v>0.79913893812866943</c:v>
                </c:pt>
              </c:numCache>
            </c:numRef>
          </c:yVal>
          <c:smooth val="0"/>
          <c:extLst>
            <c:ext xmlns:c16="http://schemas.microsoft.com/office/drawing/2014/chart" uri="{C3380CC4-5D6E-409C-BE32-E72D297353CC}">
              <c16:uniqueId val="{00000003-5112-4379-AA04-D2699EAE5949}"/>
            </c:ext>
          </c:extLst>
        </c:ser>
        <c:ser>
          <c:idx val="1"/>
          <c:order val="1"/>
          <c:tx>
            <c:v>Active observations</c:v>
          </c:tx>
          <c:spPr>
            <a:ln w="19050">
              <a:noFill/>
            </a:ln>
            <a:effectLst/>
          </c:spPr>
          <c:marker>
            <c:symbol val="circle"/>
            <c:size val="3"/>
            <c:spPr>
              <a:solidFill>
                <a:srgbClr val="2A7498"/>
              </a:solidFill>
              <a:ln>
                <a:solidFill>
                  <a:srgbClr val="2A7498"/>
                </a:solidFill>
                <a:prstDash val="solid"/>
              </a:ln>
            </c:spPr>
          </c:marker>
          <c:dLbls>
            <c:dLbl>
              <c:idx val="0"/>
              <c:layout>
                <c:manualLayout>
                  <c:x val="-1.7361111111111112E-2"/>
                  <c:y val="1.7647058823529412E-2"/>
                </c:manualLayout>
              </c:layout>
              <c:tx>
                <c:rich>
                  <a:bodyPr/>
                  <a:lstStyle/>
                  <a:p>
                    <a:r>
                      <a:rPr lang="en-US"/>
                      <a:t>CSV 15 R01 (R23)</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112-4379-AA04-D2699EAE5949}"/>
                </c:ext>
              </c:extLst>
            </c:dLbl>
            <c:dLbl>
              <c:idx val="1"/>
              <c:layout>
                <c:manualLayout>
                  <c:x val="-1.7361111111111112E-2"/>
                  <c:y val="1.7647058823529412E-2"/>
                </c:manualLayout>
              </c:layout>
              <c:tx>
                <c:rich>
                  <a:bodyPr/>
                  <a:lstStyle/>
                  <a:p>
                    <a:r>
                      <a:rPr lang="en-US"/>
                      <a:t>CSV 48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112-4379-AA04-D2699EAE5949}"/>
                </c:ext>
              </c:extLst>
            </c:dLbl>
            <c:dLbl>
              <c:idx val="2"/>
              <c:layout>
                <c:manualLayout>
                  <c:x val="-1.7361111111111174E-2"/>
                  <c:y val="-3.1372549019607843E-2"/>
                </c:manualLayout>
              </c:layout>
              <c:tx>
                <c:rich>
                  <a:bodyPr/>
                  <a:lstStyle/>
                  <a:p>
                    <a:r>
                      <a:rPr lang="en-US"/>
                      <a:t>CSH 24 MF(R24)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112-4379-AA04-D2699EAE5949}"/>
                </c:ext>
              </c:extLst>
            </c:dLbl>
            <c:dLbl>
              <c:idx val="3"/>
              <c:layout>
                <c:manualLayout>
                  <c:x val="-0.17407999781277339"/>
                  <c:y val="-3.1372549019607843E-2"/>
                </c:manualLayout>
              </c:layout>
              <c:tx>
                <c:rich>
                  <a:bodyPr/>
                  <a:lstStyle/>
                  <a:p>
                    <a:r>
                      <a:rPr lang="en-US"/>
                      <a:t>CSV 29R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112-4379-AA04-D2699EAE5949}"/>
                </c:ext>
              </c:extLst>
            </c:dLbl>
            <c:dLbl>
              <c:idx val="4"/>
              <c:layout>
                <c:manualLayout>
                  <c:x val="-0.17755222003499563"/>
                  <c:y val="1.7647058823529412E-2"/>
                </c:manualLayout>
              </c:layout>
              <c:tx>
                <c:rich>
                  <a:bodyPr/>
                  <a:lstStyle/>
                  <a:p>
                    <a:r>
                      <a:rPr lang="en-US"/>
                      <a:t>CSV 38 F (R23)</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112-4379-AA04-D2699EAE5949}"/>
                </c:ext>
              </c:extLst>
            </c:dLbl>
            <c:dLbl>
              <c:idx val="5"/>
              <c:layout>
                <c:manualLayout>
                  <c:x val="-1.7361111111111046E-2"/>
                  <c:y val="1.7647058823529412E-2"/>
                </c:manualLayout>
              </c:layout>
              <c:tx>
                <c:rich>
                  <a:bodyPr/>
                  <a:lstStyle/>
                  <a:p>
                    <a:r>
                      <a:rPr lang="en-US"/>
                      <a:t>CSV 41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112-4379-AA04-D2699EAE5949}"/>
                </c:ext>
              </c:extLst>
            </c:dLbl>
            <c:dLbl>
              <c:idx val="6"/>
              <c:layout>
                <c:manualLayout>
                  <c:x val="-0.17755222003499563"/>
                  <c:y val="1.7647058823529339E-2"/>
                </c:manualLayout>
              </c:layout>
              <c:tx>
                <c:rich>
                  <a:bodyPr/>
                  <a:lstStyle/>
                  <a:p>
                    <a:r>
                      <a:rPr lang="en-US"/>
                      <a:t>CSV 32 F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112-4379-AA04-D2699EAE5949}"/>
                </c:ext>
              </c:extLst>
            </c:dLbl>
            <c:dLbl>
              <c:idx val="7"/>
              <c:layout>
                <c:manualLayout>
                  <c:x val="-1.7361111111111112E-2"/>
                  <c:y val="-3.1372549019607912E-2"/>
                </c:manualLayout>
              </c:layout>
              <c:tx>
                <c:rich>
                  <a:bodyPr/>
                  <a:lstStyle/>
                  <a:p>
                    <a:r>
                      <a:rPr lang="en-US"/>
                      <a:t>CSV 21F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5112-4379-AA04-D2699EAE5949}"/>
                </c:ext>
              </c:extLst>
            </c:dLbl>
            <c:dLbl>
              <c:idx val="8"/>
              <c:layout>
                <c:manualLayout>
                  <c:x val="-0.20423611111111112"/>
                  <c:y val="1.7647058823529412E-2"/>
                </c:manualLayout>
              </c:layout>
              <c:tx>
                <c:rich>
                  <a:bodyPr/>
                  <a:lstStyle/>
                  <a:p>
                    <a:r>
                      <a:rPr lang="en-US"/>
                      <a:t>CSV 15 R12 (R23)</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112-4379-AA04-D2699EAE5949}"/>
                </c:ext>
              </c:extLst>
            </c:dLbl>
            <c:dLbl>
              <c:idx val="9"/>
              <c:layout>
                <c:manualLayout>
                  <c:x val="-1.7361111111111112E-2"/>
                  <c:y val="1.7647058823529412E-2"/>
                </c:manualLayout>
              </c:layout>
              <c:tx>
                <c:rich>
                  <a:bodyPr/>
                  <a:lstStyle/>
                  <a:p>
                    <a:r>
                      <a:rPr lang="en-US"/>
                      <a:t>CSH 43MF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112-4379-AA04-D2699EAE5949}"/>
                </c:ext>
              </c:extLst>
            </c:dLbl>
            <c:dLbl>
              <c:idx val="10"/>
              <c:layout>
                <c:manualLayout>
                  <c:x val="-0.17755222003499563"/>
                  <c:y val="1.7647058823529269E-2"/>
                </c:manualLayout>
              </c:layout>
              <c:tx>
                <c:rich>
                  <a:bodyPr/>
                  <a:lstStyle/>
                  <a:p>
                    <a:r>
                      <a:rPr lang="en-US"/>
                      <a:t>CSV 32 F (R23)</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112-4379-AA04-D2699EAE5949}"/>
                </c:ext>
              </c:extLst>
            </c:dLbl>
            <c:dLbl>
              <c:idx val="11"/>
              <c:layout>
                <c:manualLayout>
                  <c:x val="-0.14937500000000001"/>
                  <c:y val="-3.1372549019607843E-2"/>
                </c:manualLayout>
              </c:layout>
              <c:tx>
                <c:rich>
                  <a:bodyPr/>
                  <a:lstStyle/>
                  <a:p>
                    <a:r>
                      <a:rPr lang="en-US"/>
                      <a:t>467 A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5112-4379-AA04-D2699EAE5949}"/>
                </c:ext>
              </c:extLst>
            </c:dLbl>
            <c:dLbl>
              <c:idx val="12"/>
              <c:layout>
                <c:manualLayout>
                  <c:x val="-1.7361111111111112E-2"/>
                  <c:y val="-3.1372549019607912E-2"/>
                </c:manualLayout>
              </c:layout>
              <c:tx>
                <c:rich>
                  <a:bodyPr/>
                  <a:lstStyle/>
                  <a:p>
                    <a:r>
                      <a:rPr lang="en-US"/>
                      <a:t>CSV 38F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5112-4379-AA04-D2699EAE5949}"/>
                </c:ext>
              </c:extLst>
            </c:dLbl>
            <c:dLbl>
              <c:idx val="13"/>
              <c:layout>
                <c:manualLayout>
                  <c:x val="-1.7361111111111112E-2"/>
                  <c:y val="-3.1372549019607843E-2"/>
                </c:manualLayout>
              </c:layout>
              <c:tx>
                <c:rich>
                  <a:bodyPr/>
                  <a:lstStyle/>
                  <a:p>
                    <a:r>
                      <a:rPr lang="en-US"/>
                      <a:t>PGPS 2 (R24)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5112-4379-AA04-D2699EAE5949}"/>
                </c:ext>
              </c:extLst>
            </c:dLbl>
            <c:dLbl>
              <c:idx val="14"/>
              <c:layout>
                <c:manualLayout>
                  <c:x val="-0.17378472222222222"/>
                  <c:y val="-3.1372549019607843E-2"/>
                </c:manualLayout>
              </c:layout>
              <c:tx>
                <c:rich>
                  <a:bodyPr/>
                  <a:lstStyle/>
                  <a:p>
                    <a:r>
                      <a:rPr lang="en-US"/>
                      <a:t>COFS 29 (K24)</a:t>
                    </a:r>
                  </a:p>
                </c:rich>
              </c:tx>
              <c:dLblPos val="r"/>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5112-4379-AA04-D2699EAE5949}"/>
                </c:ext>
              </c:extLst>
            </c:dLbl>
            <c:spPr>
              <a:noFill/>
              <a:ln>
                <a:noFill/>
              </a:ln>
              <a:effectLst/>
            </c:spPr>
            <c:txPr>
              <a:bodyPr rot="0" vert="horz" wrap="square" lIns="38100" tIns="19050" rIns="38100" bIns="19050" anchor="ctr">
                <a:spAutoFit/>
              </a:bodyPr>
              <a:lstStyle/>
              <a:p>
                <a:pPr>
                  <a:defRPr sz="700">
                    <a:solidFill>
                      <a:srgbClr val="2A7498"/>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XLSTAT_20250606_155632_1_HID3!$C$1:$C$15</c:f>
              <c:numCache>
                <c:formatCode>General</c:formatCode>
                <c:ptCount val="15"/>
                <c:pt idx="0">
                  <c:v>2.6322270056347183</c:v>
                </c:pt>
                <c:pt idx="1">
                  <c:v>0.29826362397815298</c:v>
                </c:pt>
                <c:pt idx="2">
                  <c:v>1.5403618787107602</c:v>
                </c:pt>
                <c:pt idx="3">
                  <c:v>-2.1646735623148321</c:v>
                </c:pt>
                <c:pt idx="4">
                  <c:v>-1.5541140872560235</c:v>
                </c:pt>
                <c:pt idx="5">
                  <c:v>1.3848242679142913</c:v>
                </c:pt>
                <c:pt idx="6">
                  <c:v>-0.47223085235405282</c:v>
                </c:pt>
                <c:pt idx="7">
                  <c:v>0.9950396299926404</c:v>
                </c:pt>
                <c:pt idx="8">
                  <c:v>-0.80922211054291082</c:v>
                </c:pt>
                <c:pt idx="9">
                  <c:v>1.3070554625160571</c:v>
                </c:pt>
                <c:pt idx="10">
                  <c:v>-1.3432876237212643</c:v>
                </c:pt>
                <c:pt idx="11">
                  <c:v>-2.1368891266670689</c:v>
                </c:pt>
                <c:pt idx="12">
                  <c:v>0.25672697978512671</c:v>
                </c:pt>
                <c:pt idx="13">
                  <c:v>0.92135467809450833</c:v>
                </c:pt>
                <c:pt idx="14">
                  <c:v>-0.8554361637701049</c:v>
                </c:pt>
              </c:numCache>
            </c:numRef>
          </c:xVal>
          <c:yVal>
            <c:numRef>
              <c:f>XLSTAT_20250606_155632_1_HID3!$D$1:$D$15</c:f>
              <c:numCache>
                <c:formatCode>General</c:formatCode>
                <c:ptCount val="15"/>
                <c:pt idx="0">
                  <c:v>-0.96414772541722982</c:v>
                </c:pt>
                <c:pt idx="1">
                  <c:v>-1.1103693319392172</c:v>
                </c:pt>
                <c:pt idx="2">
                  <c:v>1.8384740605822101</c:v>
                </c:pt>
                <c:pt idx="3">
                  <c:v>1.1467450505142549</c:v>
                </c:pt>
                <c:pt idx="4">
                  <c:v>-1.1861728324306544</c:v>
                </c:pt>
                <c:pt idx="5">
                  <c:v>-0.1067938246055873</c:v>
                </c:pt>
                <c:pt idx="6">
                  <c:v>-0.1452042520748662</c:v>
                </c:pt>
                <c:pt idx="7">
                  <c:v>0.68324279289128698</c:v>
                </c:pt>
                <c:pt idx="8">
                  <c:v>-0.46335294651032616</c:v>
                </c:pt>
                <c:pt idx="9">
                  <c:v>-1.0794277671994861</c:v>
                </c:pt>
                <c:pt idx="10">
                  <c:v>-1.3099878507639977</c:v>
                </c:pt>
                <c:pt idx="11">
                  <c:v>0.38226460329622469</c:v>
                </c:pt>
                <c:pt idx="12">
                  <c:v>0.30641234343036855</c:v>
                </c:pt>
                <c:pt idx="13">
                  <c:v>1.017495878345605</c:v>
                </c:pt>
                <c:pt idx="14">
                  <c:v>0.99082180188141755</c:v>
                </c:pt>
              </c:numCache>
            </c:numRef>
          </c:yVal>
          <c:smooth val="0"/>
          <c:extLst>
            <c:ext xmlns:c16="http://schemas.microsoft.com/office/drawing/2014/chart" uri="{C3380CC4-5D6E-409C-BE32-E72D297353CC}">
              <c16:uniqueId val="{00000013-5112-4379-AA04-D2699EAE5949}"/>
            </c:ext>
          </c:extLst>
        </c:ser>
        <c:ser>
          <c:idx val="2"/>
          <c:order val="2"/>
          <c:tx>
            <c:v/>
          </c:tx>
          <c:spPr>
            <a:ln w="6350">
              <a:solidFill>
                <a:srgbClr val="FF4A46"/>
              </a:solidFill>
              <a:prstDash val="solid"/>
            </a:ln>
            <a:effectLst/>
          </c:spPr>
          <c:marker>
            <c:symbol val="none"/>
          </c:marker>
          <c:xVal>
            <c:numLit>
              <c:formatCode>General</c:formatCode>
              <c:ptCount val="2"/>
              <c:pt idx="0">
                <c:v>0</c:v>
              </c:pt>
              <c:pt idx="1">
                <c:v>-0.78321216027121598</c:v>
              </c:pt>
            </c:numLit>
          </c:xVal>
          <c:yVal>
            <c:numLit>
              <c:formatCode>General</c:formatCode>
              <c:ptCount val="2"/>
              <c:pt idx="0">
                <c:v>0</c:v>
              </c:pt>
              <c:pt idx="1">
                <c:v>2.9157251949393599</c:v>
              </c:pt>
            </c:numLit>
          </c:yVal>
          <c:smooth val="0"/>
          <c:extLst>
            <c:ext xmlns:c16="http://schemas.microsoft.com/office/drawing/2014/chart" uri="{C3380CC4-5D6E-409C-BE32-E72D297353CC}">
              <c16:uniqueId val="{00000014-5112-4379-AA04-D2699EAE5949}"/>
            </c:ext>
          </c:extLst>
        </c:ser>
        <c:ser>
          <c:idx val="3"/>
          <c:order val="3"/>
          <c:tx>
            <c:v/>
          </c:tx>
          <c:spPr>
            <a:ln w="6350">
              <a:solidFill>
                <a:srgbClr val="FF4A46"/>
              </a:solidFill>
              <a:prstDash val="solid"/>
            </a:ln>
            <a:effectLst/>
          </c:spPr>
          <c:marker>
            <c:symbol val="none"/>
          </c:marker>
          <c:xVal>
            <c:numLit>
              <c:formatCode>General</c:formatCode>
              <c:ptCount val="2"/>
              <c:pt idx="0">
                <c:v>0</c:v>
              </c:pt>
              <c:pt idx="1">
                <c:v>2.1057816045077749</c:v>
              </c:pt>
            </c:numLit>
          </c:xVal>
          <c:yVal>
            <c:numLit>
              <c:formatCode>General</c:formatCode>
              <c:ptCount val="2"/>
              <c:pt idx="0">
                <c:v>0</c:v>
              </c:pt>
              <c:pt idx="1">
                <c:v>0.30791022534651624</c:v>
              </c:pt>
            </c:numLit>
          </c:yVal>
          <c:smooth val="0"/>
          <c:extLst>
            <c:ext xmlns:c16="http://schemas.microsoft.com/office/drawing/2014/chart" uri="{C3380CC4-5D6E-409C-BE32-E72D297353CC}">
              <c16:uniqueId val="{00000015-5112-4379-AA04-D2699EAE5949}"/>
            </c:ext>
          </c:extLst>
        </c:ser>
        <c:ser>
          <c:idx val="4"/>
          <c:order val="4"/>
          <c:tx>
            <c:v/>
          </c:tx>
          <c:spPr>
            <a:ln w="6350">
              <a:solidFill>
                <a:srgbClr val="FF4A46"/>
              </a:solidFill>
              <a:prstDash val="solid"/>
            </a:ln>
            <a:effectLst/>
          </c:spPr>
          <c:marker>
            <c:symbol val="none"/>
          </c:marker>
          <c:xVal>
            <c:numLit>
              <c:formatCode>General</c:formatCode>
              <c:ptCount val="2"/>
              <c:pt idx="0">
                <c:v>0</c:v>
              </c:pt>
              <c:pt idx="1">
                <c:v>2.0462521124803965</c:v>
              </c:pt>
            </c:numLit>
          </c:xVal>
          <c:yVal>
            <c:numLit>
              <c:formatCode>General</c:formatCode>
              <c:ptCount val="2"/>
              <c:pt idx="0">
                <c:v>0</c:v>
              </c:pt>
              <c:pt idx="1">
                <c:v>0.79913893812866943</c:v>
              </c:pt>
            </c:numLit>
          </c:yVal>
          <c:smooth val="0"/>
          <c:extLst>
            <c:ext xmlns:c16="http://schemas.microsoft.com/office/drawing/2014/chart" uri="{C3380CC4-5D6E-409C-BE32-E72D297353CC}">
              <c16:uniqueId val="{00000016-5112-4379-AA04-D2699EAE5949}"/>
            </c:ext>
          </c:extLst>
        </c:ser>
        <c:dLbls>
          <c:showLegendKey val="0"/>
          <c:showVal val="0"/>
          <c:showCatName val="0"/>
          <c:showSerName val="0"/>
          <c:showPercent val="0"/>
          <c:showBubbleSize val="0"/>
        </c:dLbls>
        <c:axId val="1448347103"/>
        <c:axId val="1448348063"/>
      </c:scatterChart>
      <c:valAx>
        <c:axId val="1448347103"/>
        <c:scaling>
          <c:orientation val="minMax"/>
        </c:scaling>
        <c:delete val="0"/>
        <c:axPos val="b"/>
        <c:title>
          <c:tx>
            <c:rich>
              <a:bodyPr/>
              <a:lstStyle/>
              <a:p>
                <a:pPr>
                  <a:defRPr sz="800" b="0">
                    <a:latin typeface="Arial"/>
                    <a:ea typeface="Arial"/>
                    <a:cs typeface="Arial"/>
                  </a:defRPr>
                </a:pPr>
                <a:r>
                  <a:rPr lang="en-US"/>
                  <a:t>F1 (66.67 %)</a:t>
                </a:r>
              </a:p>
            </c:rich>
          </c:tx>
          <c:overlay val="0"/>
        </c:title>
        <c:numFmt formatCode="General" sourceLinked="0"/>
        <c:majorTickMark val="none"/>
        <c:minorTickMark val="none"/>
        <c:tickLblPos val="low"/>
        <c:txPr>
          <a:bodyPr rot="0" vert="horz"/>
          <a:lstStyle/>
          <a:p>
            <a:pPr>
              <a:defRPr sz="700"/>
            </a:pPr>
            <a:endParaRPr lang="en-US"/>
          </a:p>
        </c:txPr>
        <c:crossAx val="1448348063"/>
        <c:crosses val="autoZero"/>
        <c:crossBetween val="midCat"/>
      </c:valAx>
      <c:valAx>
        <c:axId val="1448348063"/>
        <c:scaling>
          <c:orientation val="minMax"/>
        </c:scaling>
        <c:delete val="0"/>
        <c:axPos val="l"/>
        <c:title>
          <c:tx>
            <c:rich>
              <a:bodyPr/>
              <a:lstStyle/>
              <a:p>
                <a:pPr>
                  <a:defRPr sz="800" b="0">
                    <a:latin typeface="Arial"/>
                    <a:ea typeface="Arial"/>
                    <a:cs typeface="Arial"/>
                  </a:defRPr>
                </a:pPr>
                <a:r>
                  <a:rPr lang="en-US"/>
                  <a:t>F2 (31.37 %)</a:t>
                </a:r>
              </a:p>
            </c:rich>
          </c:tx>
          <c:overlay val="0"/>
        </c:title>
        <c:numFmt formatCode="General" sourceLinked="0"/>
        <c:majorTickMark val="cross"/>
        <c:minorTickMark val="none"/>
        <c:tickLblPos val="low"/>
        <c:txPr>
          <a:bodyPr/>
          <a:lstStyle/>
          <a:p>
            <a:pPr>
              <a:defRPr sz="700"/>
            </a:pPr>
            <a:endParaRPr lang="en-US"/>
          </a:p>
        </c:txPr>
        <c:crossAx val="1448347103"/>
        <c:crosses val="autoZero"/>
        <c:crossBetween val="midCat"/>
      </c:valAx>
      <c:spPr>
        <a:ln>
          <a:solidFill>
            <a:srgbClr val="C0C0C0"/>
          </a:solidFill>
          <a:prstDash val="solid"/>
        </a:ln>
      </c:spPr>
    </c:plotArea>
    <c:legend>
      <c:legendPos val="b"/>
      <c:legendEntry>
        <c:idx val="2"/>
        <c:delete val="1"/>
      </c:legendEntry>
      <c:legendEntry>
        <c:idx val="3"/>
        <c:delete val="1"/>
      </c:legendEntry>
      <c:legendEntry>
        <c:idx val="4"/>
        <c:delete val="1"/>
      </c:legendEntry>
      <c:overlay val="0"/>
      <c:spPr>
        <a:ln w="6350">
          <a:solidFill>
            <a:srgbClr val="000000"/>
          </a:solidFill>
          <a:prstDash val="solid"/>
        </a:ln>
      </c:spPr>
      <c:txPr>
        <a:bodyPr/>
        <a:lstStyle/>
        <a:p>
          <a:pPr>
            <a:defRPr sz="900" b="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1"/>
      <a:stretch>
        <a:fillRect/>
      </a:stretch>
    </a:blipFill>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13</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poojapapu47@gmail.com</dc:creator>
  <cp:keywords/>
  <dc:description/>
  <cp:lastModifiedBy>Ganesh Pawar</cp:lastModifiedBy>
  <cp:revision>45</cp:revision>
  <dcterms:created xsi:type="dcterms:W3CDTF">2025-09-25T17:49:00Z</dcterms:created>
  <dcterms:modified xsi:type="dcterms:W3CDTF">2025-10-11T12:57:00Z</dcterms:modified>
</cp:coreProperties>
</file>