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D5857" w14:textId="6234046D" w:rsidR="000821CD" w:rsidRPr="00BA78CC" w:rsidRDefault="002F7E22">
      <w:pPr>
        <w:jc w:val="center"/>
        <w:rPr>
          <w:rFonts w:ascii="Arial" w:hAnsi="Arial" w:cs="Arial"/>
          <w:color w:val="000000" w:themeColor="text1"/>
          <w:sz w:val="28"/>
        </w:rPr>
      </w:pPr>
      <w:r w:rsidRPr="00BA78CC">
        <w:rPr>
          <w:rFonts w:ascii="Arial" w:hAnsi="Arial" w:cs="Arial"/>
          <w:b/>
          <w:color w:val="000000" w:themeColor="text1"/>
          <w:sz w:val="36"/>
        </w:rPr>
        <w:t>Plant-Based Phytochemicals as Cardioprotective</w:t>
      </w:r>
      <w:bookmarkStart w:id="0" w:name="_GoBack"/>
      <w:bookmarkEnd w:id="0"/>
      <w:r w:rsidRPr="00BA78CC">
        <w:rPr>
          <w:rFonts w:ascii="Arial" w:hAnsi="Arial" w:cs="Arial"/>
          <w:b/>
          <w:color w:val="000000" w:themeColor="text1"/>
          <w:sz w:val="36"/>
        </w:rPr>
        <w:t xml:space="preserve"> Agents: Mechanisms and Applications</w:t>
      </w:r>
    </w:p>
    <w:p w14:paraId="3072356F" w14:textId="77777777" w:rsidR="00450A60" w:rsidRDefault="00450A60" w:rsidP="00BA78CC">
      <w:pPr>
        <w:pStyle w:val="Heading1"/>
        <w:spacing w:before="120" w:after="120"/>
        <w:jc w:val="both"/>
        <w:rPr>
          <w:rFonts w:ascii="Arial" w:hAnsi="Arial" w:cs="Arial"/>
          <w:color w:val="000000" w:themeColor="text1"/>
          <w:sz w:val="22"/>
          <w:szCs w:val="20"/>
        </w:rPr>
      </w:pPr>
    </w:p>
    <w:p w14:paraId="7ABD1E09" w14:textId="1CCAF052"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ABSTRACT</w:t>
      </w:r>
    </w:p>
    <w:p w14:paraId="44363CA0" w14:textId="77777777" w:rsidR="000821CD" w:rsidRPr="00BA78CC" w:rsidRDefault="002F7E22" w:rsidP="00BA78CC">
      <w:pPr>
        <w:spacing w:before="120" w:after="120"/>
        <w:jc w:val="both"/>
        <w:rPr>
          <w:rFonts w:ascii="Arial" w:hAnsi="Arial" w:cs="Arial"/>
          <w:color w:val="000000" w:themeColor="text1"/>
          <w:sz w:val="20"/>
          <w:szCs w:val="20"/>
        </w:rPr>
      </w:pPr>
      <w:r w:rsidRPr="00116D5A">
        <w:rPr>
          <w:rFonts w:ascii="Arial" w:hAnsi="Arial" w:cs="Arial"/>
          <w:b/>
          <w:color w:val="000000" w:themeColor="text1"/>
          <w:sz w:val="20"/>
          <w:szCs w:val="20"/>
        </w:rPr>
        <w:t>Aims</w:t>
      </w:r>
      <w:r w:rsidRPr="00BA78CC">
        <w:rPr>
          <w:rFonts w:ascii="Arial" w:hAnsi="Arial" w:cs="Arial"/>
          <w:color w:val="000000" w:themeColor="text1"/>
          <w:sz w:val="20"/>
          <w:szCs w:val="20"/>
        </w:rPr>
        <w:t>: This review aims to evaluate the therapeutic potential of phytochemicals in the prevention and management of cardiovascular diseases (CVDs).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Study Design</w:t>
      </w:r>
      <w:r w:rsidRPr="00BA78CC">
        <w:rPr>
          <w:rFonts w:ascii="Arial" w:hAnsi="Arial" w:cs="Arial"/>
          <w:color w:val="000000" w:themeColor="text1"/>
          <w:sz w:val="20"/>
          <w:szCs w:val="20"/>
        </w:rPr>
        <w:t>: Review-based study synthesizing evidence from experimental, preclinical, and clinical investigations.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Methodology</w:t>
      </w:r>
      <w:r w:rsidRPr="00BA78CC">
        <w:rPr>
          <w:rFonts w:ascii="Arial" w:hAnsi="Arial" w:cs="Arial"/>
          <w:color w:val="000000" w:themeColor="text1"/>
          <w:sz w:val="20"/>
          <w:szCs w:val="20"/>
        </w:rPr>
        <w:t>: A comprehensive literature review was conducted using published peer-reviewed studies focusing on plant-based phytochemicals with demonstrated cardioprotective properties.</w:t>
      </w:r>
      <w:r w:rsidRPr="00BA78CC">
        <w:rPr>
          <w:rFonts w:ascii="Arial" w:hAnsi="Arial" w:cs="Arial"/>
          <w:color w:val="000000" w:themeColor="text1"/>
          <w:sz w:val="20"/>
          <w:szCs w:val="20"/>
        </w:rPr>
        <w:br/>
        <w:t>Results: Phytochemicals such as polyphenols, flavonoids, terpenoids, alkaloids, and saponins exhibit antioxidant, anti-inflammatory, lipid-lowering, and vasodilatory effects. Evidence indicates their role in reducing atherosclerosis, improving endothelial function, and lowering cardiovascular risk. However, clinical translation is limited due to challenges such as low bioavailability, variability in plant sources, and limited large-scale trials.</w:t>
      </w:r>
      <w:r w:rsidR="00B9486F">
        <w:rPr>
          <w:rFonts w:ascii="Arial" w:hAnsi="Arial" w:cs="Arial"/>
          <w:color w:val="000000" w:themeColor="text1"/>
          <w:sz w:val="20"/>
          <w:szCs w:val="20"/>
        </w:rPr>
        <w:tab/>
      </w:r>
      <w:r w:rsidRPr="00BA78CC">
        <w:rPr>
          <w:rFonts w:ascii="Arial" w:hAnsi="Arial" w:cs="Arial"/>
          <w:color w:val="000000" w:themeColor="text1"/>
          <w:sz w:val="20"/>
          <w:szCs w:val="20"/>
        </w:rPr>
        <w:br/>
      </w:r>
      <w:r w:rsidRPr="00116D5A">
        <w:rPr>
          <w:rFonts w:ascii="Arial" w:hAnsi="Arial" w:cs="Arial"/>
          <w:b/>
          <w:color w:val="000000" w:themeColor="text1"/>
          <w:sz w:val="20"/>
          <w:szCs w:val="20"/>
        </w:rPr>
        <w:t>Conclusion</w:t>
      </w:r>
      <w:r w:rsidRPr="00BA78CC">
        <w:rPr>
          <w:rFonts w:ascii="Arial" w:hAnsi="Arial" w:cs="Arial"/>
          <w:color w:val="000000" w:themeColor="text1"/>
          <w:sz w:val="20"/>
          <w:szCs w:val="20"/>
        </w:rPr>
        <w:t xml:space="preserve">: Phytochemicals represent promising adjuncts in </w:t>
      </w:r>
      <w:commentRangeStart w:id="1"/>
      <w:r w:rsidRPr="00BA78CC">
        <w:rPr>
          <w:rFonts w:ascii="Arial" w:hAnsi="Arial" w:cs="Arial"/>
          <w:color w:val="000000" w:themeColor="text1"/>
          <w:sz w:val="20"/>
          <w:szCs w:val="20"/>
        </w:rPr>
        <w:t>cardiovascular disease prevention and management</w:t>
      </w:r>
      <w:commentRangeEnd w:id="1"/>
      <w:r w:rsidR="00597893">
        <w:rPr>
          <w:rStyle w:val="CommentReference"/>
        </w:rPr>
        <w:commentReference w:id="1"/>
      </w:r>
      <w:r w:rsidRPr="00BA78CC">
        <w:rPr>
          <w:rFonts w:ascii="Arial" w:hAnsi="Arial" w:cs="Arial"/>
          <w:color w:val="000000" w:themeColor="text1"/>
          <w:sz w:val="20"/>
          <w:szCs w:val="20"/>
        </w:rPr>
        <w:t>. Further research is required to enhance bioavailability, establish standardized dosages, and validate efficacy through large-scale clinical trials.</w:t>
      </w:r>
    </w:p>
    <w:p w14:paraId="6FC09B9E"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b/>
          <w:color w:val="000000" w:themeColor="text1"/>
          <w:sz w:val="20"/>
          <w:szCs w:val="20"/>
        </w:rPr>
        <w:t>Keywords</w:t>
      </w:r>
      <w:r w:rsidRPr="00BA78CC">
        <w:rPr>
          <w:rFonts w:ascii="Arial" w:hAnsi="Arial" w:cs="Arial"/>
          <w:color w:val="000000" w:themeColor="text1"/>
          <w:sz w:val="20"/>
          <w:szCs w:val="20"/>
        </w:rPr>
        <w:t>: *Phytochemicals, Cardiovascular Disease, Antioxidants, Anti-inflammatory, Polyphenols, Flavonoids*</w:t>
      </w:r>
    </w:p>
    <w:p w14:paraId="4B1EDFE7" w14:textId="77777777" w:rsidR="000821CD" w:rsidRPr="00DE49D6" w:rsidRDefault="002F7E22"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1. INTRODUCTION</w:t>
      </w:r>
    </w:p>
    <w:p w14:paraId="7A808325" w14:textId="77777777" w:rsidR="00765A7E"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 xml:space="preserve">Cardiovascular diseases (CVDs) are the leading cause of death globally, responsible for an estimated 17.9 million deaths each year (World Health Organization, 2021). These conditions, which include coronary artery disease, stroke, arrhythmias, and hypertension, continue to rise in prevalence due to urbanization, sedentary lifestyles, poor dietary habits, smoking, alcohol consumption, and psychosocial stress. </w:t>
      </w:r>
      <w:commentRangeStart w:id="2"/>
      <w:r w:rsidRPr="00BA78CC">
        <w:rPr>
          <w:rFonts w:ascii="Arial" w:hAnsi="Arial" w:cs="Arial"/>
          <w:color w:val="000000" w:themeColor="text1"/>
          <w:sz w:val="20"/>
          <w:szCs w:val="20"/>
        </w:rPr>
        <w:t xml:space="preserve">Both developed and developing nations face an alarming health and economic burden </w:t>
      </w:r>
      <w:commentRangeEnd w:id="2"/>
      <w:r w:rsidR="000A3869">
        <w:rPr>
          <w:rStyle w:val="CommentReference"/>
        </w:rPr>
        <w:commentReference w:id="2"/>
      </w:r>
      <w:r w:rsidRPr="00BA78CC">
        <w:rPr>
          <w:rFonts w:ascii="Arial" w:hAnsi="Arial" w:cs="Arial"/>
          <w:color w:val="000000" w:themeColor="text1"/>
          <w:sz w:val="20"/>
          <w:szCs w:val="20"/>
        </w:rPr>
        <w:t>as cardiovascular disorders reduce life expectancy and quality of life.</w:t>
      </w:r>
      <w:r w:rsidR="00EB61BA" w:rsidRPr="00BA78CC">
        <w:rPr>
          <w:rFonts w:ascii="Arial" w:hAnsi="Arial" w:cs="Arial"/>
          <w:color w:val="000000" w:themeColor="text1"/>
          <w:sz w:val="20"/>
          <w:szCs w:val="20"/>
        </w:rPr>
        <w:tab/>
      </w:r>
      <w:r w:rsidRPr="00BA78CC">
        <w:rPr>
          <w:rFonts w:ascii="Arial" w:hAnsi="Arial" w:cs="Arial"/>
          <w:color w:val="000000" w:themeColor="text1"/>
          <w:sz w:val="20"/>
          <w:szCs w:val="20"/>
        </w:rPr>
        <w:br/>
      </w:r>
      <w:r w:rsidRPr="00BA78CC">
        <w:rPr>
          <w:rFonts w:ascii="Arial" w:hAnsi="Arial" w:cs="Arial"/>
          <w:color w:val="000000" w:themeColor="text1"/>
          <w:sz w:val="20"/>
          <w:szCs w:val="20"/>
        </w:rPr>
        <w:br/>
      </w:r>
      <w:r w:rsidR="00765A7E" w:rsidRPr="00BA78CC">
        <w:rPr>
          <w:rFonts w:ascii="Arial" w:hAnsi="Arial" w:cs="Arial"/>
          <w:color w:val="000000" w:themeColor="text1"/>
          <w:sz w:val="20"/>
          <w:szCs w:val="20"/>
        </w:rPr>
        <w:t xml:space="preserve">Management of CVDs traditionally involves pharmacological interventions such as statins, beta-blockers, antiplatelet agents, and antihypertensives, alongside surgical options like coronary artery bypass grafting and angioplasty (Benjamin et al., 2019). Lifestyle modifications, including diet and exercise, also play an essential role. However, drug-related side effects, high treatment costs, and poor patient adherence limit the long-term success of these approaches (Arnett et al., 2019). This has created a growing interest in alternative and complementary strategies for cardiovascular protection.  One such strategy involves the use of phytochemicals—bioactive compounds naturally occurring in plants such as fruits, vegetables, herbs, and seeds. Phytochemicals, including flavonoids, alkaloids, polyphenols, terpenoids, saponins, and tannins, have demonstrated significant cardioprotective properties (Li et al., 2018; Liu &amp; Sun, 2020). Their mechanisms of action are multifaceted, involving antioxidant, anti-inflammatory, lipid-lowering, and vasodilatory effects. Oxidative stress is recognized as a major contributor to endothelial dysfunction, vascular inflammation, and atherosclerosis (Fraga et al., 2019). Flavonoids and polyphenols counteract oxidative damage by scavenging reactive oxygen species (ROS) and enhancing endogenous antioxidant defenses such as superoxide dismutase and glutathione </w:t>
      </w:r>
      <w:r w:rsidR="00765A7E" w:rsidRPr="00BA78CC">
        <w:rPr>
          <w:rFonts w:ascii="Arial" w:hAnsi="Arial" w:cs="Arial"/>
          <w:color w:val="000000" w:themeColor="text1"/>
          <w:sz w:val="20"/>
          <w:szCs w:val="20"/>
        </w:rPr>
        <w:lastRenderedPageBreak/>
        <w:t>peroxidase (Li et al., 2018). In addition, many phytochemicals modulate inflammatory pathways, including the nuclear factor-kappa B (NF-</w:t>
      </w:r>
      <w:proofErr w:type="spellStart"/>
      <w:r w:rsidR="00765A7E" w:rsidRPr="00BA78CC">
        <w:rPr>
          <w:rFonts w:ascii="Arial" w:hAnsi="Arial" w:cs="Arial"/>
          <w:color w:val="000000" w:themeColor="text1"/>
          <w:sz w:val="20"/>
          <w:szCs w:val="20"/>
        </w:rPr>
        <w:t>κB</w:t>
      </w:r>
      <w:proofErr w:type="spellEnd"/>
      <w:r w:rsidR="00765A7E" w:rsidRPr="00BA78CC">
        <w:rPr>
          <w:rFonts w:ascii="Arial" w:hAnsi="Arial" w:cs="Arial"/>
          <w:color w:val="000000" w:themeColor="text1"/>
          <w:sz w:val="20"/>
          <w:szCs w:val="20"/>
        </w:rPr>
        <w:t>) and mitogen-activated protein kinase (MAPK) cascades. Curcumin, resveratrol, and quercetin, for instance, suppress the release of pro-inflammatory cytokines such as tumor necrosis factor-alpha (TNF-α) and interleukin-6, thereby reducing vascular inflammation (Singh et al., 2019). These compounds also support lipid metabolism by lowering low-density lipoprotein cholesterol (LDL-C) and triglycerides while increasing high-density lipoprotein cholesterol (HDL-C), ultimately reducing atherosclerotic risk (Liu &amp; Sun, 2020). Furthermore, phytochemicals enhance endothelial nitric oxide synthase (</w:t>
      </w:r>
      <w:proofErr w:type="spellStart"/>
      <w:r w:rsidR="00765A7E" w:rsidRPr="00BA78CC">
        <w:rPr>
          <w:rFonts w:ascii="Arial" w:hAnsi="Arial" w:cs="Arial"/>
          <w:color w:val="000000" w:themeColor="text1"/>
          <w:sz w:val="20"/>
          <w:szCs w:val="20"/>
        </w:rPr>
        <w:t>eNOS</w:t>
      </w:r>
      <w:proofErr w:type="spellEnd"/>
      <w:r w:rsidR="00765A7E" w:rsidRPr="00BA78CC">
        <w:rPr>
          <w:rFonts w:ascii="Arial" w:hAnsi="Arial" w:cs="Arial"/>
          <w:color w:val="000000" w:themeColor="text1"/>
          <w:sz w:val="20"/>
          <w:szCs w:val="20"/>
        </w:rPr>
        <w:t>) activity, improving nitric oxide availability and blood pressure regulation (Zhang et al., 2018).</w:t>
      </w:r>
    </w:p>
    <w:p w14:paraId="2F3427AA"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 xml:space="preserve">Despite these promising findings, the clinical translation of phytochemicals faces challenges. Many compounds, including curcumin and resveratrol, exhibit poor bioavailability due to low intestinal absorption and rapid metabolism (Ganesan &amp; Xu, 2017). Innovative delivery systems, such as </w:t>
      </w:r>
      <w:proofErr w:type="spellStart"/>
      <w:r w:rsidRPr="00BA78CC">
        <w:rPr>
          <w:rFonts w:ascii="Arial" w:hAnsi="Arial" w:cs="Arial"/>
          <w:color w:val="000000" w:themeColor="text1"/>
          <w:sz w:val="20"/>
          <w:szCs w:val="20"/>
        </w:rPr>
        <w:t>nano</w:t>
      </w:r>
      <w:proofErr w:type="spellEnd"/>
      <w:r w:rsidRPr="00BA78CC">
        <w:rPr>
          <w:rFonts w:ascii="Arial" w:hAnsi="Arial" w:cs="Arial"/>
          <w:color w:val="000000" w:themeColor="text1"/>
          <w:sz w:val="20"/>
          <w:szCs w:val="20"/>
        </w:rPr>
        <w:t xml:space="preserve">-formulations, liposomes, and </w:t>
      </w:r>
      <w:proofErr w:type="spellStart"/>
      <w:r w:rsidRPr="00BA78CC">
        <w:rPr>
          <w:rFonts w:ascii="Arial" w:hAnsi="Arial" w:cs="Arial"/>
          <w:color w:val="000000" w:themeColor="text1"/>
          <w:sz w:val="20"/>
          <w:szCs w:val="20"/>
        </w:rPr>
        <w:t>phytosomes</w:t>
      </w:r>
      <w:proofErr w:type="spellEnd"/>
      <w:r w:rsidRPr="00BA78CC">
        <w:rPr>
          <w:rFonts w:ascii="Arial" w:hAnsi="Arial" w:cs="Arial"/>
          <w:color w:val="000000" w:themeColor="text1"/>
          <w:sz w:val="20"/>
          <w:szCs w:val="20"/>
        </w:rPr>
        <w:t>, are being developed to overcome these limitations and enhance therapeutic efficacy (Ganesan &amp; Xu, 2017). Additionally, differences in gut microbiota composition among individuals may significantly influence phytochemical metabolism and bioactivity (Kumar et al., 2020).</w:t>
      </w:r>
    </w:p>
    <w:p w14:paraId="7EE27CF2" w14:textId="77777777" w:rsidR="00765A7E" w:rsidRPr="00BA78CC" w:rsidRDefault="00765A7E" w:rsidP="00BA78CC">
      <w:pPr>
        <w:spacing w:before="120" w:after="120"/>
        <w:jc w:val="both"/>
        <w:rPr>
          <w:rFonts w:ascii="Arial" w:hAnsi="Arial" w:cs="Arial"/>
          <w:color w:val="000000" w:themeColor="text1"/>
          <w:sz w:val="20"/>
          <w:szCs w:val="20"/>
        </w:rPr>
      </w:pPr>
      <w:commentRangeStart w:id="3"/>
      <w:r w:rsidRPr="00BA78CC">
        <w:rPr>
          <w:rFonts w:ascii="Arial" w:hAnsi="Arial" w:cs="Arial"/>
          <w:color w:val="000000" w:themeColor="text1"/>
          <w:sz w:val="20"/>
          <w:szCs w:val="20"/>
        </w:rPr>
        <w:t>Taken together</w:t>
      </w:r>
      <w:commentRangeEnd w:id="3"/>
      <w:r w:rsidR="00D161E9">
        <w:rPr>
          <w:rStyle w:val="CommentReference"/>
        </w:rPr>
        <w:commentReference w:id="3"/>
      </w:r>
      <w:r w:rsidRPr="00BA78CC">
        <w:rPr>
          <w:rFonts w:ascii="Arial" w:hAnsi="Arial" w:cs="Arial"/>
          <w:color w:val="000000" w:themeColor="text1"/>
          <w:sz w:val="20"/>
          <w:szCs w:val="20"/>
        </w:rPr>
        <w:t>, phytochemicals offer a natural, safe, and multi-targeted approach for the prevention and management of cardiovascular diseases. Their ability to address oxidative stress, inflammation, dyslipidemia, and endothelial dysfunction positions them as valuable adjuncts to conventional therapies. This review aims to provide a comprehensive understanding of the role of phytochemicals in cardiovascular health, bridging insights from traditional medicine with modern biomedical research.</w:t>
      </w:r>
    </w:p>
    <w:p w14:paraId="51E04819" w14:textId="77777777" w:rsidR="00765A7E" w:rsidRPr="00DE49D6" w:rsidRDefault="00DE49D6" w:rsidP="00BA78CC">
      <w:pPr>
        <w:spacing w:before="120" w:after="120"/>
        <w:jc w:val="both"/>
        <w:rPr>
          <w:rFonts w:ascii="Arial" w:hAnsi="Arial" w:cs="Arial"/>
          <w:b/>
          <w:bCs/>
          <w:color w:val="000000" w:themeColor="text1"/>
          <w:szCs w:val="20"/>
        </w:rPr>
      </w:pPr>
      <w:r>
        <w:rPr>
          <w:rFonts w:ascii="Arial" w:hAnsi="Arial" w:cs="Arial"/>
          <w:b/>
          <w:bCs/>
          <w:color w:val="000000" w:themeColor="text1"/>
          <w:szCs w:val="20"/>
        </w:rPr>
        <w:t xml:space="preserve">2. </w:t>
      </w:r>
      <w:r w:rsidR="00765A7E" w:rsidRPr="00DE49D6">
        <w:rPr>
          <w:rFonts w:ascii="Arial" w:hAnsi="Arial" w:cs="Arial"/>
          <w:b/>
          <w:bCs/>
          <w:color w:val="000000" w:themeColor="text1"/>
          <w:szCs w:val="20"/>
        </w:rPr>
        <w:t>Objectives of the Review</w:t>
      </w:r>
    </w:p>
    <w:p w14:paraId="243ACE69"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The primary objective of this review is to evaluate the therapeutic potential of phytochemicals in the prevention and management of cardiovascular diseases (CVDs). Specifically, the review seeks to:</w:t>
      </w:r>
    </w:p>
    <w:p w14:paraId="7F0D5820"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Examine the molecular mechanisms through which phytochemicals exert cardioprotective effects.</w:t>
      </w:r>
    </w:p>
    <w:p w14:paraId="3DFAB67E"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Identify and classify the major classes of phytochemicals relevant to cardiovascular health.</w:t>
      </w:r>
    </w:p>
    <w:p w14:paraId="5637C4C8" w14:textId="77777777" w:rsidR="00765A7E" w:rsidRPr="00116D5A" w:rsidRDefault="00765A7E" w:rsidP="00116D5A">
      <w:pPr>
        <w:pStyle w:val="ListParagraph"/>
        <w:numPr>
          <w:ilvl w:val="0"/>
          <w:numId w:val="16"/>
        </w:numPr>
        <w:spacing w:before="120" w:after="120"/>
        <w:jc w:val="both"/>
        <w:rPr>
          <w:rFonts w:ascii="Arial" w:hAnsi="Arial" w:cs="Arial"/>
          <w:color w:val="000000" w:themeColor="text1"/>
          <w:sz w:val="20"/>
          <w:szCs w:val="20"/>
        </w:rPr>
      </w:pPr>
      <w:r w:rsidRPr="00116D5A">
        <w:rPr>
          <w:rFonts w:ascii="Arial" w:hAnsi="Arial" w:cs="Arial"/>
          <w:color w:val="000000" w:themeColor="text1"/>
          <w:sz w:val="20"/>
          <w:szCs w:val="20"/>
        </w:rPr>
        <w:t>Analyze current scientific evidence supporting the use of phytochemicals as complementary or alternative therapeutic options for CVDs.</w:t>
      </w:r>
    </w:p>
    <w:p w14:paraId="348511A9"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 xml:space="preserve">3. </w:t>
      </w:r>
      <w:r w:rsidR="002F7E22" w:rsidRPr="00DE49D6">
        <w:rPr>
          <w:rFonts w:ascii="Arial" w:hAnsi="Arial" w:cs="Arial"/>
          <w:color w:val="000000" w:themeColor="text1"/>
          <w:sz w:val="22"/>
          <w:szCs w:val="20"/>
        </w:rPr>
        <w:t>OVERVIEW OF PHYTOCHEMICALS</w:t>
      </w:r>
    </w:p>
    <w:p w14:paraId="70035489"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naturally occurring bioactive compounds in plants that contribute to health promotion and protection against chronic diseases, including cardiovascular disorders. Although not considered essential nutrients, they exhibit diverse biological activities such as antioxidant, anti-inflammatory, lipid-lowering, and vasodilatory effects.</w:t>
      </w:r>
    </w:p>
    <w:p w14:paraId="4ACF0B4C" w14:textId="77777777" w:rsidR="000821CD" w:rsidRPr="00DE49D6" w:rsidRDefault="00DE49D6" w:rsidP="00BA78CC">
      <w:pPr>
        <w:pStyle w:val="Heading1"/>
        <w:spacing w:before="120" w:after="120"/>
        <w:jc w:val="both"/>
        <w:rPr>
          <w:rFonts w:ascii="Arial" w:hAnsi="Arial" w:cs="Arial"/>
          <w:color w:val="000000" w:themeColor="text1"/>
          <w:sz w:val="22"/>
          <w:szCs w:val="20"/>
        </w:rPr>
      </w:pPr>
      <w:r w:rsidRPr="00DE49D6">
        <w:rPr>
          <w:rFonts w:ascii="Arial" w:hAnsi="Arial" w:cs="Arial"/>
          <w:color w:val="000000" w:themeColor="text1"/>
          <w:sz w:val="22"/>
          <w:szCs w:val="20"/>
        </w:rPr>
        <w:t>4</w:t>
      </w:r>
      <w:r w:rsidR="002F7E22" w:rsidRPr="00DE49D6">
        <w:rPr>
          <w:rFonts w:ascii="Arial" w:hAnsi="Arial" w:cs="Arial"/>
          <w:color w:val="000000" w:themeColor="text1"/>
          <w:sz w:val="22"/>
          <w:szCs w:val="20"/>
        </w:rPr>
        <w:t>. CLASSIFICATION OF PHYTOCHEMICALS</w:t>
      </w:r>
    </w:p>
    <w:p w14:paraId="03F1424C"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are broadly classified into several categories based on their chemical structure and biological activity. Major classes include:</w:t>
      </w:r>
    </w:p>
    <w:p w14:paraId="59890F5C"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commentRangeStart w:id="4"/>
      <w:r w:rsidRPr="003C7CF2">
        <w:rPr>
          <w:rFonts w:ascii="Arial" w:hAnsi="Arial" w:cs="Arial"/>
          <w:color w:val="000000" w:themeColor="text1"/>
          <w:sz w:val="20"/>
          <w:szCs w:val="20"/>
        </w:rPr>
        <w:t>Flavonoids – Found in tea, citrus fruits, berries (e.g., quercetin, catechins).</w:t>
      </w:r>
    </w:p>
    <w:p w14:paraId="7A1F2DA3"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Phenolic acids – Found in coffee, olives, berries (e.g., gallic acid, ferulic acid).</w:t>
      </w:r>
    </w:p>
    <w:p w14:paraId="1926B1AA"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Alkaloids – Found in plants like Rauwolfia, Piper nigrum (e.g., reserpine).</w:t>
      </w:r>
    </w:p>
    <w:p w14:paraId="7C7A8C5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lastRenderedPageBreak/>
        <w:t>Terpenoids – Found in ginkgo, ginseng, and citrus peels (e.g., limonene, carotenoids).</w:t>
      </w:r>
    </w:p>
    <w:p w14:paraId="0467C22D"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Saponins – Present in legumes, oats, and herbs (e.g., diosgenin, soyasaponins).</w:t>
      </w:r>
    </w:p>
    <w:p w14:paraId="1B90EB87" w14:textId="77777777" w:rsidR="00765A7E" w:rsidRPr="003C7CF2" w:rsidRDefault="00765A7E" w:rsidP="003C7CF2">
      <w:pPr>
        <w:pStyle w:val="ListParagraph"/>
        <w:numPr>
          <w:ilvl w:val="0"/>
          <w:numId w:val="17"/>
        </w:numPr>
        <w:spacing w:before="120" w:after="120"/>
        <w:jc w:val="both"/>
        <w:rPr>
          <w:rFonts w:ascii="Arial" w:hAnsi="Arial" w:cs="Arial"/>
          <w:color w:val="000000" w:themeColor="text1"/>
          <w:sz w:val="20"/>
          <w:szCs w:val="20"/>
        </w:rPr>
      </w:pPr>
      <w:r w:rsidRPr="003C7CF2">
        <w:rPr>
          <w:rFonts w:ascii="Arial" w:hAnsi="Arial" w:cs="Arial"/>
          <w:color w:val="000000" w:themeColor="text1"/>
          <w:sz w:val="20"/>
          <w:szCs w:val="20"/>
        </w:rPr>
        <w:t>Phytosterols – Found in vegetable oils, nuts, and seeds (e.g., beta-</w:t>
      </w:r>
      <w:proofErr w:type="spellStart"/>
      <w:r w:rsidRPr="003C7CF2">
        <w:rPr>
          <w:rFonts w:ascii="Arial" w:hAnsi="Arial" w:cs="Arial"/>
          <w:color w:val="000000" w:themeColor="text1"/>
          <w:sz w:val="20"/>
          <w:szCs w:val="20"/>
        </w:rPr>
        <w:t>sitosterol</w:t>
      </w:r>
      <w:proofErr w:type="spellEnd"/>
      <w:r w:rsidRPr="003C7CF2">
        <w:rPr>
          <w:rFonts w:ascii="Arial" w:hAnsi="Arial" w:cs="Arial"/>
          <w:color w:val="000000" w:themeColor="text1"/>
          <w:sz w:val="20"/>
          <w:szCs w:val="20"/>
        </w:rPr>
        <w:t>).</w:t>
      </w:r>
      <w:commentRangeEnd w:id="4"/>
      <w:r w:rsidR="00530EA2">
        <w:rPr>
          <w:rStyle w:val="CommentReference"/>
        </w:rPr>
        <w:commentReference w:id="4"/>
      </w:r>
    </w:p>
    <w:p w14:paraId="21A84FD8" w14:textId="77777777" w:rsidR="00765A7E" w:rsidRPr="00BA78CC" w:rsidRDefault="00765A7E"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Each class of phytochemical exhibits unique mechanisms of action that contribute to their overall cardioprotective profile.</w:t>
      </w:r>
    </w:p>
    <w:p w14:paraId="510BD4FA"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1: Major Phytochemical Categories, Bioactive Compounds, Sources, and Their Cardioprotective Roles</w:t>
      </w:r>
    </w:p>
    <w:tbl>
      <w:tblPr>
        <w:tblStyle w:val="TableGrid"/>
        <w:tblW w:w="8611" w:type="dxa"/>
        <w:jc w:val="center"/>
        <w:tblLayout w:type="fixed"/>
        <w:tblLook w:val="04A0" w:firstRow="1" w:lastRow="0" w:firstColumn="1" w:lastColumn="0" w:noHBand="0" w:noVBand="1"/>
      </w:tblPr>
      <w:tblGrid>
        <w:gridCol w:w="1732"/>
        <w:gridCol w:w="2213"/>
        <w:gridCol w:w="3061"/>
        <w:gridCol w:w="1605"/>
      </w:tblGrid>
      <w:tr w:rsidR="009F20F7" w:rsidRPr="00BA78CC" w14:paraId="5DDB0604" w14:textId="77777777" w:rsidTr="005B7046">
        <w:trPr>
          <w:trHeight w:val="548"/>
          <w:jc w:val="center"/>
        </w:trPr>
        <w:tc>
          <w:tcPr>
            <w:tcW w:w="1732" w:type="dxa"/>
            <w:vAlign w:val="center"/>
          </w:tcPr>
          <w:p w14:paraId="4DF66DE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Phytochemicals</w:t>
            </w:r>
          </w:p>
        </w:tc>
        <w:tc>
          <w:tcPr>
            <w:tcW w:w="2213" w:type="dxa"/>
            <w:vAlign w:val="center"/>
          </w:tcPr>
          <w:p w14:paraId="01E35D7D"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3061" w:type="dxa"/>
            <w:vAlign w:val="center"/>
          </w:tcPr>
          <w:p w14:paraId="0A862FB9"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effects</w:t>
            </w:r>
          </w:p>
        </w:tc>
        <w:tc>
          <w:tcPr>
            <w:tcW w:w="1605" w:type="dxa"/>
            <w:vAlign w:val="center"/>
          </w:tcPr>
          <w:p w14:paraId="58E17F3C" w14:textId="77777777" w:rsidR="009F20F7" w:rsidRPr="00BA78CC" w:rsidRDefault="009F20F7" w:rsidP="005B7046">
            <w:pPr>
              <w:ind w:left="-32" w:right="-72"/>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9F20F7" w:rsidRPr="00BA78CC" w14:paraId="001E52A3" w14:textId="77777777" w:rsidTr="005B7046">
        <w:trPr>
          <w:trHeight w:val="422"/>
          <w:jc w:val="center"/>
        </w:trPr>
        <w:tc>
          <w:tcPr>
            <w:tcW w:w="1732" w:type="dxa"/>
            <w:vAlign w:val="center"/>
          </w:tcPr>
          <w:p w14:paraId="3682A13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Flavonoids</w:t>
            </w:r>
          </w:p>
        </w:tc>
        <w:tc>
          <w:tcPr>
            <w:tcW w:w="2213" w:type="dxa"/>
            <w:vAlign w:val="center"/>
          </w:tcPr>
          <w:p w14:paraId="4C6FAC0C"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Fruits, vegetables, tea, wine</w:t>
            </w:r>
          </w:p>
        </w:tc>
        <w:tc>
          <w:tcPr>
            <w:tcW w:w="3061" w:type="dxa"/>
            <w:vAlign w:val="center"/>
          </w:tcPr>
          <w:p w14:paraId="732825DE"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Antioxidant, anti-inflammatory, endothelial protection</w:t>
            </w:r>
          </w:p>
        </w:tc>
        <w:tc>
          <w:tcPr>
            <w:tcW w:w="1605" w:type="dxa"/>
            <w:vAlign w:val="center"/>
          </w:tcPr>
          <w:p w14:paraId="6641A9DC" w14:textId="4F20A118"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Hosseinimehr</w:t>
            </w:r>
            <w:proofErr w:type="spellEnd"/>
            <w:r w:rsidRPr="00BA78CC">
              <w:rPr>
                <w:rFonts w:ascii="Arial" w:hAnsi="Arial" w:cs="Arial"/>
                <w:color w:val="000000" w:themeColor="text1"/>
                <w:sz w:val="20"/>
                <w:szCs w:val="20"/>
              </w:rPr>
              <w:t>, (2010)</w:t>
            </w:r>
          </w:p>
        </w:tc>
      </w:tr>
      <w:tr w:rsidR="009F20F7" w:rsidRPr="00BA78CC" w14:paraId="4E7E7FBD" w14:textId="77777777" w:rsidTr="005B7046">
        <w:trPr>
          <w:trHeight w:val="593"/>
          <w:jc w:val="center"/>
        </w:trPr>
        <w:tc>
          <w:tcPr>
            <w:tcW w:w="1732" w:type="dxa"/>
            <w:vAlign w:val="center"/>
          </w:tcPr>
          <w:p w14:paraId="2654F868"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Polyphenols</w:t>
            </w:r>
          </w:p>
        </w:tc>
        <w:tc>
          <w:tcPr>
            <w:tcW w:w="2213" w:type="dxa"/>
            <w:vAlign w:val="center"/>
          </w:tcPr>
          <w:p w14:paraId="24CA624F"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Berries, grapes, green tea, chocolate</w:t>
            </w:r>
          </w:p>
        </w:tc>
        <w:tc>
          <w:tcPr>
            <w:tcW w:w="3061" w:type="dxa"/>
            <w:vAlign w:val="center"/>
          </w:tcPr>
          <w:p w14:paraId="032A3F3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 xml:space="preserve">Reduces oxidative stress, inhibits platelet aggregation, </w:t>
            </w:r>
            <w:commentRangeStart w:id="5"/>
            <w:r w:rsidRPr="00BA78CC">
              <w:rPr>
                <w:rFonts w:ascii="Arial" w:hAnsi="Arial" w:cs="Arial"/>
                <w:color w:val="000000" w:themeColor="text1"/>
                <w:sz w:val="20"/>
                <w:szCs w:val="20"/>
              </w:rPr>
              <w:t>enhances NO availability</w:t>
            </w:r>
            <w:commentRangeEnd w:id="5"/>
            <w:r w:rsidR="00530EA2">
              <w:rPr>
                <w:rStyle w:val="CommentReference"/>
              </w:rPr>
              <w:commentReference w:id="5"/>
            </w:r>
          </w:p>
        </w:tc>
        <w:tc>
          <w:tcPr>
            <w:tcW w:w="1605" w:type="dxa"/>
            <w:vAlign w:val="center"/>
          </w:tcPr>
          <w:p w14:paraId="06C85556" w14:textId="31D1025E"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Pandey, et al. (2009)</w:t>
            </w:r>
          </w:p>
        </w:tc>
      </w:tr>
      <w:tr w:rsidR="009F20F7" w:rsidRPr="00BA78CC" w14:paraId="62FB6E9F" w14:textId="77777777" w:rsidTr="005B7046">
        <w:trPr>
          <w:trHeight w:val="512"/>
          <w:jc w:val="center"/>
        </w:trPr>
        <w:tc>
          <w:tcPr>
            <w:tcW w:w="1732" w:type="dxa"/>
            <w:vAlign w:val="center"/>
          </w:tcPr>
          <w:p w14:paraId="65F748A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Terpenoids</w:t>
            </w:r>
          </w:p>
        </w:tc>
        <w:tc>
          <w:tcPr>
            <w:tcW w:w="2213" w:type="dxa"/>
            <w:vAlign w:val="center"/>
          </w:tcPr>
          <w:p w14:paraId="5AABC2ED"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Carrots, Tomatoes, Turmeric</w:t>
            </w:r>
          </w:p>
        </w:tc>
        <w:tc>
          <w:tcPr>
            <w:tcW w:w="3061" w:type="dxa"/>
            <w:vAlign w:val="center"/>
          </w:tcPr>
          <w:p w14:paraId="0A61F32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Anti-inflammatory, antioxidant, prevents LDL oxidation</w:t>
            </w:r>
          </w:p>
        </w:tc>
        <w:tc>
          <w:tcPr>
            <w:tcW w:w="1605" w:type="dxa"/>
            <w:vAlign w:val="center"/>
          </w:tcPr>
          <w:p w14:paraId="6AB954E9" w14:textId="3A549229"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Dinda</w:t>
            </w:r>
            <w:proofErr w:type="spellEnd"/>
            <w:r w:rsidRPr="00BA78CC">
              <w:rPr>
                <w:rFonts w:ascii="Arial" w:hAnsi="Arial" w:cs="Arial"/>
                <w:color w:val="000000" w:themeColor="text1"/>
                <w:sz w:val="20"/>
                <w:szCs w:val="20"/>
              </w:rPr>
              <w:t>, et al. (2017)</w:t>
            </w:r>
          </w:p>
        </w:tc>
      </w:tr>
      <w:tr w:rsidR="009F20F7" w:rsidRPr="00BA78CC" w14:paraId="3CD4272E" w14:textId="77777777" w:rsidTr="005B7046">
        <w:trPr>
          <w:trHeight w:val="602"/>
          <w:jc w:val="center"/>
        </w:trPr>
        <w:tc>
          <w:tcPr>
            <w:tcW w:w="1732" w:type="dxa"/>
            <w:vAlign w:val="center"/>
          </w:tcPr>
          <w:p w14:paraId="62CFACE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Alkaloids</w:t>
            </w:r>
          </w:p>
        </w:tc>
        <w:tc>
          <w:tcPr>
            <w:tcW w:w="2213" w:type="dxa"/>
            <w:vAlign w:val="center"/>
          </w:tcPr>
          <w:p w14:paraId="54288C94"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Chilly, pepper, coffee</w:t>
            </w:r>
          </w:p>
        </w:tc>
        <w:tc>
          <w:tcPr>
            <w:tcW w:w="3061" w:type="dxa"/>
            <w:vAlign w:val="center"/>
          </w:tcPr>
          <w:p w14:paraId="32A5FD3B"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Lipid-lowering, vasodilation, improves blood flow</w:t>
            </w:r>
          </w:p>
        </w:tc>
        <w:tc>
          <w:tcPr>
            <w:tcW w:w="1605" w:type="dxa"/>
            <w:vAlign w:val="center"/>
          </w:tcPr>
          <w:p w14:paraId="24F096C1" w14:textId="597809B5"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Gupta, et al. (2004)</w:t>
            </w:r>
          </w:p>
        </w:tc>
      </w:tr>
      <w:tr w:rsidR="009F20F7" w:rsidRPr="00BA78CC" w14:paraId="1A39B1D3" w14:textId="77777777" w:rsidTr="005B7046">
        <w:trPr>
          <w:trHeight w:val="368"/>
          <w:jc w:val="center"/>
        </w:trPr>
        <w:tc>
          <w:tcPr>
            <w:tcW w:w="1732" w:type="dxa"/>
            <w:vAlign w:val="center"/>
          </w:tcPr>
          <w:p w14:paraId="31EFEAFA"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2213" w:type="dxa"/>
            <w:vAlign w:val="center"/>
          </w:tcPr>
          <w:p w14:paraId="5C163570"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 xml:space="preserve">Legumes, </w:t>
            </w:r>
            <w:proofErr w:type="spellStart"/>
            <w:r w:rsidRPr="00BA78CC">
              <w:rPr>
                <w:rFonts w:ascii="Arial" w:hAnsi="Arial" w:cs="Arial"/>
                <w:color w:val="000000" w:themeColor="text1"/>
                <w:sz w:val="20"/>
                <w:szCs w:val="20"/>
              </w:rPr>
              <w:t>soyabeans</w:t>
            </w:r>
            <w:proofErr w:type="spellEnd"/>
            <w:r w:rsidRPr="00BA78CC">
              <w:rPr>
                <w:rFonts w:ascii="Arial" w:hAnsi="Arial" w:cs="Arial"/>
                <w:color w:val="000000" w:themeColor="text1"/>
                <w:sz w:val="20"/>
                <w:szCs w:val="20"/>
              </w:rPr>
              <w:t>, herbs</w:t>
            </w:r>
          </w:p>
        </w:tc>
        <w:tc>
          <w:tcPr>
            <w:tcW w:w="3061" w:type="dxa"/>
            <w:vAlign w:val="center"/>
          </w:tcPr>
          <w:p w14:paraId="5B0CE181"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Lowers cholesterol, improves lipid profiles</w:t>
            </w:r>
          </w:p>
        </w:tc>
        <w:tc>
          <w:tcPr>
            <w:tcW w:w="1605" w:type="dxa"/>
            <w:vAlign w:val="center"/>
          </w:tcPr>
          <w:p w14:paraId="1833E736" w14:textId="3B2B87FC" w:rsidR="009F20F7" w:rsidRPr="00BA78CC" w:rsidRDefault="009F20F7" w:rsidP="00663041">
            <w:pPr>
              <w:spacing w:before="20" w:after="20"/>
              <w:ind w:left="-29" w:right="-72"/>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et al. (2008)</w:t>
            </w:r>
          </w:p>
        </w:tc>
      </w:tr>
      <w:tr w:rsidR="009F20F7" w:rsidRPr="00BA78CC" w14:paraId="440E438E" w14:textId="77777777" w:rsidTr="005B7046">
        <w:trPr>
          <w:trHeight w:val="710"/>
          <w:jc w:val="center"/>
        </w:trPr>
        <w:tc>
          <w:tcPr>
            <w:tcW w:w="1732" w:type="dxa"/>
            <w:vAlign w:val="center"/>
          </w:tcPr>
          <w:p w14:paraId="3267AFC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2213" w:type="dxa"/>
            <w:vAlign w:val="center"/>
          </w:tcPr>
          <w:p w14:paraId="4ECEA9F3"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Seeds, nuts, vegetable oil</w:t>
            </w:r>
          </w:p>
        </w:tc>
        <w:tc>
          <w:tcPr>
            <w:tcW w:w="3061" w:type="dxa"/>
            <w:vAlign w:val="center"/>
          </w:tcPr>
          <w:p w14:paraId="695AAE82" w14:textId="77777777" w:rsidR="009F20F7" w:rsidRPr="00BA78CC" w:rsidRDefault="009F20F7" w:rsidP="005B7046">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 reduces LDL levels</w:t>
            </w:r>
          </w:p>
        </w:tc>
        <w:tc>
          <w:tcPr>
            <w:tcW w:w="1605" w:type="dxa"/>
            <w:vAlign w:val="center"/>
          </w:tcPr>
          <w:p w14:paraId="56E5AC42" w14:textId="6D194449" w:rsidR="009F20F7" w:rsidRPr="00BA78CC" w:rsidRDefault="009F20F7" w:rsidP="00663041">
            <w:pPr>
              <w:spacing w:before="20" w:after="20"/>
              <w:ind w:left="-29" w:right="-72"/>
              <w:rPr>
                <w:rFonts w:ascii="Arial" w:hAnsi="Arial" w:cs="Arial"/>
                <w:color w:val="000000" w:themeColor="text1"/>
                <w:sz w:val="20"/>
                <w:szCs w:val="20"/>
              </w:rPr>
            </w:pPr>
            <w:r w:rsidRPr="00BA78CC">
              <w:rPr>
                <w:rFonts w:ascii="Arial" w:hAnsi="Arial" w:cs="Arial"/>
                <w:color w:val="000000" w:themeColor="text1"/>
                <w:sz w:val="20"/>
                <w:szCs w:val="20"/>
              </w:rPr>
              <w:t>Singh, et al. (2002)</w:t>
            </w:r>
          </w:p>
        </w:tc>
      </w:tr>
    </w:tbl>
    <w:p w14:paraId="724287C8"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2:  Cardioprotective Mechanisms of Major Phytochemicals, Their Effects, and Dietary Sources</w:t>
      </w:r>
    </w:p>
    <w:tbl>
      <w:tblPr>
        <w:tblStyle w:val="TableGrid"/>
        <w:tblW w:w="8748" w:type="dxa"/>
        <w:tblLook w:val="04A0" w:firstRow="1" w:lastRow="0" w:firstColumn="1" w:lastColumn="0" w:noHBand="0" w:noVBand="1"/>
      </w:tblPr>
      <w:tblGrid>
        <w:gridCol w:w="1739"/>
        <w:gridCol w:w="2149"/>
        <w:gridCol w:w="1797"/>
        <w:gridCol w:w="1447"/>
        <w:gridCol w:w="1616"/>
      </w:tblGrid>
      <w:tr w:rsidR="00BA78CC" w:rsidRPr="00BA78CC" w14:paraId="5C556D97" w14:textId="77777777" w:rsidTr="00832B45">
        <w:trPr>
          <w:trHeight w:val="602"/>
        </w:trPr>
        <w:tc>
          <w:tcPr>
            <w:tcW w:w="1739" w:type="dxa"/>
            <w:vAlign w:val="center"/>
          </w:tcPr>
          <w:p w14:paraId="7D6004C1"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MECHANISM</w:t>
            </w:r>
          </w:p>
        </w:tc>
        <w:tc>
          <w:tcPr>
            <w:tcW w:w="2149" w:type="dxa"/>
            <w:vAlign w:val="center"/>
          </w:tcPr>
          <w:p w14:paraId="67A35F1D"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PHYTOCHEMICAL INVOLVED</w:t>
            </w:r>
          </w:p>
        </w:tc>
        <w:tc>
          <w:tcPr>
            <w:tcW w:w="1797" w:type="dxa"/>
            <w:vAlign w:val="center"/>
          </w:tcPr>
          <w:p w14:paraId="0184D73F"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EFFECTS</w:t>
            </w:r>
          </w:p>
        </w:tc>
        <w:tc>
          <w:tcPr>
            <w:tcW w:w="1447" w:type="dxa"/>
            <w:vAlign w:val="center"/>
          </w:tcPr>
          <w:p w14:paraId="60423B17"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SOURCES</w:t>
            </w:r>
          </w:p>
        </w:tc>
        <w:tc>
          <w:tcPr>
            <w:tcW w:w="1616" w:type="dxa"/>
            <w:vAlign w:val="center"/>
          </w:tcPr>
          <w:p w14:paraId="67E1CBD4" w14:textId="77777777" w:rsidR="00BA7613" w:rsidRPr="00BA78CC" w:rsidRDefault="00BA7613" w:rsidP="00832B45">
            <w:pPr>
              <w:spacing w:line="276" w:lineRule="auto"/>
              <w:ind w:right="-101"/>
              <w:rPr>
                <w:rFonts w:ascii="Arial" w:hAnsi="Arial" w:cs="Arial"/>
                <w:b/>
                <w:bCs/>
                <w:color w:val="000000" w:themeColor="text1"/>
                <w:sz w:val="20"/>
                <w:szCs w:val="20"/>
              </w:rPr>
            </w:pPr>
            <w:r w:rsidRPr="00BA78CC">
              <w:rPr>
                <w:rFonts w:ascii="Arial" w:hAnsi="Arial" w:cs="Arial"/>
                <w:b/>
                <w:bCs/>
                <w:color w:val="000000" w:themeColor="text1"/>
                <w:sz w:val="20"/>
                <w:szCs w:val="20"/>
              </w:rPr>
              <w:t>REFERENCES</w:t>
            </w:r>
          </w:p>
        </w:tc>
      </w:tr>
      <w:tr w:rsidR="00BA78CC" w:rsidRPr="00BA78CC" w14:paraId="4A37C311" w14:textId="77777777" w:rsidTr="00832B45">
        <w:trPr>
          <w:trHeight w:val="458"/>
        </w:trPr>
        <w:tc>
          <w:tcPr>
            <w:tcW w:w="1739" w:type="dxa"/>
            <w:vAlign w:val="center"/>
          </w:tcPr>
          <w:p w14:paraId="545A1112"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Anti-oxidant</w:t>
            </w:r>
          </w:p>
        </w:tc>
        <w:tc>
          <w:tcPr>
            <w:tcW w:w="2149" w:type="dxa"/>
            <w:vAlign w:val="center"/>
          </w:tcPr>
          <w:p w14:paraId="1E4DC9D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Flavonoids, polyphenols, carotenoids</w:t>
            </w:r>
          </w:p>
        </w:tc>
        <w:tc>
          <w:tcPr>
            <w:tcW w:w="1797" w:type="dxa"/>
            <w:vAlign w:val="center"/>
          </w:tcPr>
          <w:p w14:paraId="2945F376"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7B99B6F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Carrots</w:t>
            </w:r>
          </w:p>
        </w:tc>
        <w:tc>
          <w:tcPr>
            <w:tcW w:w="1616" w:type="dxa"/>
            <w:vAlign w:val="center"/>
          </w:tcPr>
          <w:p w14:paraId="530D8F1A"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Scalbert</w:t>
            </w:r>
            <w:proofErr w:type="spellEnd"/>
            <w:r w:rsidRPr="00BA78CC">
              <w:rPr>
                <w:rFonts w:ascii="Arial" w:hAnsi="Arial" w:cs="Arial"/>
                <w:color w:val="000000" w:themeColor="text1"/>
                <w:sz w:val="20"/>
                <w:szCs w:val="20"/>
              </w:rPr>
              <w:t xml:space="preserve"> et al., 2005</w:t>
            </w:r>
          </w:p>
        </w:tc>
      </w:tr>
      <w:tr w:rsidR="00BA78CC" w:rsidRPr="00BA78CC" w14:paraId="2A33E3F9" w14:textId="77777777" w:rsidTr="00832B45">
        <w:trPr>
          <w:trHeight w:val="350"/>
        </w:trPr>
        <w:tc>
          <w:tcPr>
            <w:tcW w:w="1739" w:type="dxa"/>
            <w:vAlign w:val="center"/>
          </w:tcPr>
          <w:p w14:paraId="58434F39"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Anti-inflammatory</w:t>
            </w:r>
          </w:p>
        </w:tc>
        <w:tc>
          <w:tcPr>
            <w:tcW w:w="2149" w:type="dxa"/>
            <w:vAlign w:val="center"/>
          </w:tcPr>
          <w:p w14:paraId="294314B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Curcumin, resveratrol, quercetin</w:t>
            </w:r>
          </w:p>
        </w:tc>
        <w:tc>
          <w:tcPr>
            <w:tcW w:w="1797" w:type="dxa"/>
            <w:vAlign w:val="center"/>
          </w:tcPr>
          <w:p w14:paraId="0D7DEC7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Scavenges free radicals, reduces oxidative stress</w:t>
            </w:r>
          </w:p>
        </w:tc>
        <w:tc>
          <w:tcPr>
            <w:tcW w:w="1447" w:type="dxa"/>
            <w:vAlign w:val="center"/>
          </w:tcPr>
          <w:p w14:paraId="32E4ADF4"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Turmeric, Grapes, onions, Apples</w:t>
            </w:r>
          </w:p>
        </w:tc>
        <w:tc>
          <w:tcPr>
            <w:tcW w:w="1616" w:type="dxa"/>
            <w:vAlign w:val="center"/>
          </w:tcPr>
          <w:p w14:paraId="09F229A2" w14:textId="0F47F473" w:rsidR="00BA7613" w:rsidRPr="00BA78CC" w:rsidRDefault="00663041" w:rsidP="00832B45">
            <w:pPr>
              <w:spacing w:before="20" w:after="20"/>
              <w:ind w:right="-97"/>
              <w:rPr>
                <w:rFonts w:ascii="Arial" w:hAnsi="Arial" w:cs="Arial"/>
                <w:color w:val="000000" w:themeColor="text1"/>
                <w:sz w:val="20"/>
                <w:szCs w:val="20"/>
              </w:rPr>
            </w:pPr>
            <w:r w:rsidRPr="00C7762B">
              <w:rPr>
                <w:rFonts w:ascii="Arial" w:hAnsi="Arial" w:cs="Arial"/>
                <w:color w:val="000000" w:themeColor="text1"/>
                <w:sz w:val="20"/>
                <w:szCs w:val="20"/>
              </w:rPr>
              <w:t>Anand</w:t>
            </w:r>
            <w:r w:rsidRPr="00BA78CC">
              <w:rPr>
                <w:rFonts w:ascii="Arial" w:hAnsi="Arial" w:cs="Arial"/>
                <w:color w:val="000000" w:themeColor="text1"/>
                <w:sz w:val="20"/>
                <w:szCs w:val="20"/>
              </w:rPr>
              <w:t xml:space="preserve"> </w:t>
            </w:r>
            <w:r w:rsidR="00BA7613" w:rsidRPr="00BA78CC">
              <w:rPr>
                <w:rFonts w:ascii="Arial" w:hAnsi="Arial" w:cs="Arial"/>
                <w:color w:val="000000" w:themeColor="text1"/>
                <w:sz w:val="20"/>
                <w:szCs w:val="20"/>
              </w:rPr>
              <w:t>et al., 2007; Reuter et al., 2010</w:t>
            </w:r>
          </w:p>
        </w:tc>
      </w:tr>
      <w:tr w:rsidR="00BA78CC" w:rsidRPr="00BA78CC" w14:paraId="360580E6" w14:textId="77777777" w:rsidTr="00832B45">
        <w:trPr>
          <w:trHeight w:val="70"/>
        </w:trPr>
        <w:tc>
          <w:tcPr>
            <w:tcW w:w="1739" w:type="dxa"/>
            <w:vAlign w:val="center"/>
          </w:tcPr>
          <w:p w14:paraId="23BDA32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Lipid lowering</w:t>
            </w:r>
          </w:p>
        </w:tc>
        <w:tc>
          <w:tcPr>
            <w:tcW w:w="2149" w:type="dxa"/>
            <w:vAlign w:val="center"/>
          </w:tcPr>
          <w:p w14:paraId="3D298F0C"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Phytosterols, saponins, berberine</w:t>
            </w:r>
          </w:p>
        </w:tc>
        <w:tc>
          <w:tcPr>
            <w:tcW w:w="1797" w:type="dxa"/>
            <w:vAlign w:val="center"/>
          </w:tcPr>
          <w:p w14:paraId="7E61A4CF"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cholesterol absorption, promotes excretion</w:t>
            </w:r>
          </w:p>
        </w:tc>
        <w:tc>
          <w:tcPr>
            <w:tcW w:w="1447" w:type="dxa"/>
            <w:vAlign w:val="center"/>
          </w:tcPr>
          <w:p w14:paraId="02FC972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Nuts, seeds, Legumes, whole Grains</w:t>
            </w:r>
          </w:p>
        </w:tc>
        <w:tc>
          <w:tcPr>
            <w:tcW w:w="1616" w:type="dxa"/>
            <w:vAlign w:val="center"/>
          </w:tcPr>
          <w:p w14:paraId="2F3F9A0C" w14:textId="77777777" w:rsidR="00BA7613" w:rsidRPr="00BA78CC" w:rsidRDefault="00BA7613" w:rsidP="00832B45">
            <w:pPr>
              <w:spacing w:before="20" w:after="20"/>
              <w:ind w:right="-97"/>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 Cicero &amp;</w:t>
            </w:r>
            <w:proofErr w:type="spellStart"/>
            <w:r w:rsidRPr="00BA78CC">
              <w:rPr>
                <w:rFonts w:ascii="Arial" w:hAnsi="Arial" w:cs="Arial"/>
                <w:color w:val="000000" w:themeColor="text1"/>
                <w:sz w:val="20"/>
                <w:szCs w:val="20"/>
              </w:rPr>
              <w:t>Baggioni</w:t>
            </w:r>
            <w:proofErr w:type="spellEnd"/>
            <w:r w:rsidRPr="00BA78CC">
              <w:rPr>
                <w:rFonts w:ascii="Arial" w:hAnsi="Arial" w:cs="Arial"/>
                <w:color w:val="000000" w:themeColor="text1"/>
                <w:sz w:val="20"/>
                <w:szCs w:val="20"/>
              </w:rPr>
              <w:t>, 2016</w:t>
            </w:r>
          </w:p>
        </w:tc>
      </w:tr>
      <w:tr w:rsidR="00BA78CC" w:rsidRPr="00BA78CC" w14:paraId="00F42179" w14:textId="77777777" w:rsidTr="00832B45">
        <w:trPr>
          <w:trHeight w:val="70"/>
        </w:trPr>
        <w:tc>
          <w:tcPr>
            <w:tcW w:w="1739" w:type="dxa"/>
            <w:vAlign w:val="center"/>
          </w:tcPr>
          <w:p w14:paraId="0C2ECD6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Endothelial protection</w:t>
            </w:r>
          </w:p>
        </w:tc>
        <w:tc>
          <w:tcPr>
            <w:tcW w:w="2149" w:type="dxa"/>
            <w:vAlign w:val="center"/>
          </w:tcPr>
          <w:p w14:paraId="7A8B8837"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Anthocyanins, flavonoids, resveratrol</w:t>
            </w:r>
          </w:p>
        </w:tc>
        <w:tc>
          <w:tcPr>
            <w:tcW w:w="1797" w:type="dxa"/>
            <w:vAlign w:val="center"/>
          </w:tcPr>
          <w:p w14:paraId="55F599F8"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Enhances NO production, improves vascular relaxation</w:t>
            </w:r>
          </w:p>
        </w:tc>
        <w:tc>
          <w:tcPr>
            <w:tcW w:w="1447" w:type="dxa"/>
            <w:vAlign w:val="center"/>
          </w:tcPr>
          <w:p w14:paraId="4A209FD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Berries, Dark chocolate, Red wine</w:t>
            </w:r>
          </w:p>
        </w:tc>
        <w:tc>
          <w:tcPr>
            <w:tcW w:w="1616" w:type="dxa"/>
            <w:vAlign w:val="center"/>
          </w:tcPr>
          <w:p w14:paraId="60A04E99"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Loke et al., 2008; Wang et al., 2011</w:t>
            </w:r>
          </w:p>
        </w:tc>
      </w:tr>
      <w:tr w:rsidR="00BA78CC" w:rsidRPr="00BA78CC" w14:paraId="25504742" w14:textId="77777777" w:rsidTr="00832B45">
        <w:trPr>
          <w:trHeight w:val="70"/>
        </w:trPr>
        <w:tc>
          <w:tcPr>
            <w:tcW w:w="1739" w:type="dxa"/>
            <w:vAlign w:val="center"/>
          </w:tcPr>
          <w:p w14:paraId="30B4C2ED"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Anti-thrombotic</w:t>
            </w:r>
          </w:p>
        </w:tc>
        <w:tc>
          <w:tcPr>
            <w:tcW w:w="2149" w:type="dxa"/>
            <w:vAlign w:val="center"/>
          </w:tcPr>
          <w:p w14:paraId="21A6B8C5"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Catechins, allicin, resveratrol</w:t>
            </w:r>
          </w:p>
        </w:tc>
        <w:tc>
          <w:tcPr>
            <w:tcW w:w="1797" w:type="dxa"/>
            <w:vAlign w:val="center"/>
          </w:tcPr>
          <w:p w14:paraId="140B252A"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Inhibits platelets aggregation, reduces clot formation</w:t>
            </w:r>
          </w:p>
        </w:tc>
        <w:tc>
          <w:tcPr>
            <w:tcW w:w="1447" w:type="dxa"/>
            <w:vAlign w:val="center"/>
          </w:tcPr>
          <w:p w14:paraId="0A9D71F3"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Green Tea, Garlic, Grapes</w:t>
            </w:r>
          </w:p>
        </w:tc>
        <w:tc>
          <w:tcPr>
            <w:tcW w:w="1616" w:type="dxa"/>
            <w:vAlign w:val="center"/>
          </w:tcPr>
          <w:p w14:paraId="55291D27" w14:textId="77777777" w:rsidR="00BA7613" w:rsidRPr="00BA78CC" w:rsidRDefault="00BA7613" w:rsidP="00832B45">
            <w:pPr>
              <w:spacing w:before="20" w:after="20"/>
              <w:ind w:right="-97"/>
              <w:rPr>
                <w:rFonts w:ascii="Arial" w:hAnsi="Arial" w:cs="Arial"/>
                <w:color w:val="000000" w:themeColor="text1"/>
                <w:sz w:val="20"/>
                <w:szCs w:val="20"/>
              </w:rPr>
            </w:pPr>
            <w:r w:rsidRPr="00BA78CC">
              <w:rPr>
                <w:rFonts w:ascii="Arial" w:hAnsi="Arial" w:cs="Arial"/>
                <w:color w:val="000000" w:themeColor="text1"/>
                <w:sz w:val="20"/>
                <w:szCs w:val="20"/>
              </w:rPr>
              <w:t xml:space="preserve">Hodgson et al., 2002; Banerjee &amp; </w:t>
            </w:r>
            <w:proofErr w:type="spellStart"/>
            <w:r w:rsidRPr="00BA78CC">
              <w:rPr>
                <w:rFonts w:ascii="Arial" w:hAnsi="Arial" w:cs="Arial"/>
                <w:color w:val="000000" w:themeColor="text1"/>
                <w:sz w:val="20"/>
                <w:szCs w:val="20"/>
              </w:rPr>
              <w:t>Maulik</w:t>
            </w:r>
            <w:proofErr w:type="spellEnd"/>
            <w:r w:rsidRPr="00BA78CC">
              <w:rPr>
                <w:rFonts w:ascii="Arial" w:hAnsi="Arial" w:cs="Arial"/>
                <w:color w:val="000000" w:themeColor="text1"/>
                <w:sz w:val="20"/>
                <w:szCs w:val="20"/>
              </w:rPr>
              <w:t>, 2002</w:t>
            </w:r>
          </w:p>
        </w:tc>
      </w:tr>
    </w:tbl>
    <w:p w14:paraId="13CA884B" w14:textId="77777777" w:rsidR="00BA7613" w:rsidRPr="00BA78CC" w:rsidRDefault="00BA7613" w:rsidP="00BA78CC">
      <w:pPr>
        <w:spacing w:before="120" w:after="120"/>
        <w:jc w:val="both"/>
        <w:rPr>
          <w:rFonts w:ascii="Arial" w:hAnsi="Arial" w:cs="Arial"/>
          <w:b/>
          <w:bCs/>
          <w:color w:val="000000" w:themeColor="text1"/>
          <w:sz w:val="20"/>
          <w:szCs w:val="20"/>
        </w:rPr>
      </w:pPr>
      <w:r w:rsidRPr="00BA78CC">
        <w:rPr>
          <w:rFonts w:ascii="Arial" w:hAnsi="Arial" w:cs="Arial"/>
          <w:b/>
          <w:bCs/>
          <w:color w:val="000000" w:themeColor="text1"/>
          <w:sz w:val="20"/>
          <w:szCs w:val="20"/>
        </w:rPr>
        <w:t>Table 3: Specific Plant-Based Phytochemicals and Their Cardioprotective Effects Phytochemical structures and sources with references</w:t>
      </w:r>
    </w:p>
    <w:tbl>
      <w:tblPr>
        <w:tblStyle w:val="TableGrid"/>
        <w:tblW w:w="0" w:type="auto"/>
        <w:jc w:val="center"/>
        <w:tblLook w:val="04A0" w:firstRow="1" w:lastRow="0" w:firstColumn="1" w:lastColumn="0" w:noHBand="0" w:noVBand="1"/>
      </w:tblPr>
      <w:tblGrid>
        <w:gridCol w:w="1524"/>
        <w:gridCol w:w="1706"/>
        <w:gridCol w:w="3618"/>
        <w:gridCol w:w="1800"/>
      </w:tblGrid>
      <w:tr w:rsidR="00BA78CC" w:rsidRPr="00BA78CC" w14:paraId="00984627" w14:textId="77777777" w:rsidTr="00F24792">
        <w:trPr>
          <w:jc w:val="center"/>
        </w:trPr>
        <w:tc>
          <w:tcPr>
            <w:tcW w:w="1524" w:type="dxa"/>
          </w:tcPr>
          <w:p w14:paraId="5BDB6C80"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lastRenderedPageBreak/>
              <w:t>Phytochemical</w:t>
            </w:r>
          </w:p>
        </w:tc>
        <w:tc>
          <w:tcPr>
            <w:tcW w:w="1706" w:type="dxa"/>
          </w:tcPr>
          <w:p w14:paraId="0BDE60BE"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Source</w:t>
            </w:r>
          </w:p>
        </w:tc>
        <w:tc>
          <w:tcPr>
            <w:tcW w:w="3618" w:type="dxa"/>
          </w:tcPr>
          <w:p w14:paraId="6D31FE43"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Cardioprotective Effect</w:t>
            </w:r>
          </w:p>
        </w:tc>
        <w:tc>
          <w:tcPr>
            <w:tcW w:w="1800" w:type="dxa"/>
          </w:tcPr>
          <w:p w14:paraId="31F434BF" w14:textId="77777777" w:rsidR="00BA7613" w:rsidRPr="00BA78CC" w:rsidRDefault="00BA7613" w:rsidP="00502083">
            <w:pPr>
              <w:spacing w:before="120" w:after="120" w:line="276" w:lineRule="auto"/>
              <w:ind w:left="-14" w:right="-104"/>
              <w:jc w:val="both"/>
              <w:rPr>
                <w:rFonts w:ascii="Arial" w:hAnsi="Arial" w:cs="Arial"/>
                <w:b/>
                <w:bCs/>
                <w:color w:val="000000" w:themeColor="text1"/>
                <w:sz w:val="20"/>
                <w:szCs w:val="20"/>
              </w:rPr>
            </w:pPr>
            <w:r w:rsidRPr="00BA78CC">
              <w:rPr>
                <w:rFonts w:ascii="Arial" w:hAnsi="Arial" w:cs="Arial"/>
                <w:b/>
                <w:bCs/>
                <w:color w:val="000000" w:themeColor="text1"/>
                <w:sz w:val="20"/>
                <w:szCs w:val="20"/>
              </w:rPr>
              <w:t>Reference</w:t>
            </w:r>
          </w:p>
        </w:tc>
      </w:tr>
      <w:tr w:rsidR="00BA78CC" w:rsidRPr="00BA78CC" w14:paraId="3359A5CA" w14:textId="77777777" w:rsidTr="00590187">
        <w:trPr>
          <w:jc w:val="center"/>
        </w:trPr>
        <w:tc>
          <w:tcPr>
            <w:tcW w:w="1524" w:type="dxa"/>
            <w:vAlign w:val="center"/>
          </w:tcPr>
          <w:p w14:paraId="6CC7F3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Curcumin</w:t>
            </w:r>
          </w:p>
        </w:tc>
        <w:tc>
          <w:tcPr>
            <w:tcW w:w="1706" w:type="dxa"/>
            <w:vAlign w:val="center"/>
          </w:tcPr>
          <w:p w14:paraId="4DD82B1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Turmeric</w:t>
            </w:r>
          </w:p>
        </w:tc>
        <w:tc>
          <w:tcPr>
            <w:tcW w:w="3618" w:type="dxa"/>
            <w:vAlign w:val="center"/>
          </w:tcPr>
          <w:p w14:paraId="78F9EA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Anti-inflammatory, antioxidant</w:t>
            </w:r>
          </w:p>
        </w:tc>
        <w:tc>
          <w:tcPr>
            <w:tcW w:w="1800" w:type="dxa"/>
            <w:vAlign w:val="center"/>
          </w:tcPr>
          <w:p w14:paraId="26AF6F9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Aggarwal &amp; Sung, 2009</w:t>
            </w:r>
          </w:p>
        </w:tc>
      </w:tr>
      <w:tr w:rsidR="00BA78CC" w:rsidRPr="00BA78CC" w14:paraId="3EA6D8F8" w14:textId="77777777" w:rsidTr="00590187">
        <w:trPr>
          <w:jc w:val="center"/>
        </w:trPr>
        <w:tc>
          <w:tcPr>
            <w:tcW w:w="1524" w:type="dxa"/>
            <w:vAlign w:val="center"/>
          </w:tcPr>
          <w:p w14:paraId="113A025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Resveratrol</w:t>
            </w:r>
          </w:p>
        </w:tc>
        <w:tc>
          <w:tcPr>
            <w:tcW w:w="1706" w:type="dxa"/>
            <w:vAlign w:val="center"/>
          </w:tcPr>
          <w:p w14:paraId="7979644D"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Grapes, red wine</w:t>
            </w:r>
          </w:p>
        </w:tc>
        <w:tc>
          <w:tcPr>
            <w:tcW w:w="3618" w:type="dxa"/>
            <w:vAlign w:val="center"/>
          </w:tcPr>
          <w:p w14:paraId="4109D8D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Improves endothelial function, reduces inflammation</w:t>
            </w:r>
          </w:p>
        </w:tc>
        <w:tc>
          <w:tcPr>
            <w:tcW w:w="1800" w:type="dxa"/>
            <w:vAlign w:val="center"/>
          </w:tcPr>
          <w:p w14:paraId="31D11F3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Fang &amp; Lu, 2002</w:t>
            </w:r>
          </w:p>
        </w:tc>
      </w:tr>
      <w:tr w:rsidR="00BA78CC" w:rsidRPr="00BA78CC" w14:paraId="3579346E" w14:textId="77777777" w:rsidTr="00590187">
        <w:trPr>
          <w:jc w:val="center"/>
        </w:trPr>
        <w:tc>
          <w:tcPr>
            <w:tcW w:w="1524" w:type="dxa"/>
            <w:vAlign w:val="center"/>
          </w:tcPr>
          <w:p w14:paraId="21DE7C16"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Quercetin</w:t>
            </w:r>
          </w:p>
        </w:tc>
        <w:tc>
          <w:tcPr>
            <w:tcW w:w="1706" w:type="dxa"/>
            <w:vAlign w:val="center"/>
          </w:tcPr>
          <w:p w14:paraId="6F4B113C"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Apples, onions</w:t>
            </w:r>
          </w:p>
        </w:tc>
        <w:tc>
          <w:tcPr>
            <w:tcW w:w="3618" w:type="dxa"/>
            <w:vAlign w:val="center"/>
          </w:tcPr>
          <w:p w14:paraId="2DE1224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Inhibits platelet aggregation, reduces blood pressure</w:t>
            </w:r>
          </w:p>
        </w:tc>
        <w:tc>
          <w:tcPr>
            <w:tcW w:w="1800" w:type="dxa"/>
            <w:vAlign w:val="center"/>
          </w:tcPr>
          <w:p w14:paraId="30EDFFC0"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Middleton et al., 2000</w:t>
            </w:r>
          </w:p>
        </w:tc>
      </w:tr>
      <w:tr w:rsidR="00BA78CC" w:rsidRPr="00BA78CC" w14:paraId="11A8197C" w14:textId="77777777" w:rsidTr="00590187">
        <w:trPr>
          <w:jc w:val="center"/>
        </w:trPr>
        <w:tc>
          <w:tcPr>
            <w:tcW w:w="1524" w:type="dxa"/>
            <w:vAlign w:val="center"/>
          </w:tcPr>
          <w:p w14:paraId="05DD24F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Catechins</w:t>
            </w:r>
          </w:p>
        </w:tc>
        <w:tc>
          <w:tcPr>
            <w:tcW w:w="1706" w:type="dxa"/>
            <w:vAlign w:val="center"/>
          </w:tcPr>
          <w:p w14:paraId="0FE0231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Green tea</w:t>
            </w:r>
          </w:p>
        </w:tc>
        <w:tc>
          <w:tcPr>
            <w:tcW w:w="3618" w:type="dxa"/>
            <w:vAlign w:val="center"/>
          </w:tcPr>
          <w:p w14:paraId="24AF4A3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LDL, improves lipid profile</w:t>
            </w:r>
          </w:p>
        </w:tc>
        <w:tc>
          <w:tcPr>
            <w:tcW w:w="1800" w:type="dxa"/>
            <w:vAlign w:val="center"/>
          </w:tcPr>
          <w:p w14:paraId="73BF6C3B"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Nakagawa et al., 2002</w:t>
            </w:r>
          </w:p>
        </w:tc>
      </w:tr>
      <w:tr w:rsidR="00BA78CC" w:rsidRPr="00BA78CC" w14:paraId="75F510FA" w14:textId="77777777" w:rsidTr="00590187">
        <w:trPr>
          <w:jc w:val="center"/>
        </w:trPr>
        <w:tc>
          <w:tcPr>
            <w:tcW w:w="1524" w:type="dxa"/>
            <w:vAlign w:val="center"/>
          </w:tcPr>
          <w:p w14:paraId="78E65BDF"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Anthocyanins</w:t>
            </w:r>
          </w:p>
        </w:tc>
        <w:tc>
          <w:tcPr>
            <w:tcW w:w="1706" w:type="dxa"/>
            <w:vAlign w:val="center"/>
          </w:tcPr>
          <w:p w14:paraId="385F723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Berries</w:t>
            </w:r>
          </w:p>
        </w:tc>
        <w:tc>
          <w:tcPr>
            <w:tcW w:w="3618" w:type="dxa"/>
            <w:vAlign w:val="center"/>
          </w:tcPr>
          <w:p w14:paraId="40ACCF7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Enhances nitric oxide production, improves vascular health</w:t>
            </w:r>
          </w:p>
        </w:tc>
        <w:tc>
          <w:tcPr>
            <w:tcW w:w="1800" w:type="dxa"/>
            <w:vAlign w:val="center"/>
          </w:tcPr>
          <w:p w14:paraId="40A0DAC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Wang et al., 2011</w:t>
            </w:r>
          </w:p>
        </w:tc>
      </w:tr>
      <w:tr w:rsidR="00BA78CC" w:rsidRPr="00BA78CC" w14:paraId="687FFCA5" w14:textId="77777777" w:rsidTr="00590187">
        <w:trPr>
          <w:jc w:val="center"/>
        </w:trPr>
        <w:tc>
          <w:tcPr>
            <w:tcW w:w="1524" w:type="dxa"/>
            <w:vAlign w:val="center"/>
          </w:tcPr>
          <w:p w14:paraId="5599321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Saponins</w:t>
            </w:r>
          </w:p>
        </w:tc>
        <w:tc>
          <w:tcPr>
            <w:tcW w:w="1706" w:type="dxa"/>
            <w:vAlign w:val="center"/>
          </w:tcPr>
          <w:p w14:paraId="712486E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Soybeans, legumes</w:t>
            </w:r>
          </w:p>
        </w:tc>
        <w:tc>
          <w:tcPr>
            <w:tcW w:w="3618" w:type="dxa"/>
            <w:vAlign w:val="center"/>
          </w:tcPr>
          <w:p w14:paraId="21595718"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Lowers cholesterol, lipid-modifying effects</w:t>
            </w:r>
          </w:p>
        </w:tc>
        <w:tc>
          <w:tcPr>
            <w:tcW w:w="1800" w:type="dxa"/>
            <w:vAlign w:val="center"/>
          </w:tcPr>
          <w:p w14:paraId="7B6EE624"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Dadhaniya</w:t>
            </w:r>
            <w:proofErr w:type="spellEnd"/>
            <w:r w:rsidRPr="00BA78CC">
              <w:rPr>
                <w:rFonts w:ascii="Arial" w:hAnsi="Arial" w:cs="Arial"/>
                <w:color w:val="000000" w:themeColor="text1"/>
                <w:sz w:val="20"/>
                <w:szCs w:val="20"/>
              </w:rPr>
              <w:t xml:space="preserve"> et al., 2008</w:t>
            </w:r>
          </w:p>
        </w:tc>
      </w:tr>
      <w:tr w:rsidR="00BA78CC" w:rsidRPr="00BA78CC" w14:paraId="0F57B9F8" w14:textId="77777777" w:rsidTr="00590187">
        <w:trPr>
          <w:jc w:val="center"/>
        </w:trPr>
        <w:tc>
          <w:tcPr>
            <w:tcW w:w="1524" w:type="dxa"/>
            <w:vAlign w:val="center"/>
          </w:tcPr>
          <w:p w14:paraId="110C32A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Phytosterols</w:t>
            </w:r>
          </w:p>
        </w:tc>
        <w:tc>
          <w:tcPr>
            <w:tcW w:w="1706" w:type="dxa"/>
            <w:vAlign w:val="center"/>
          </w:tcPr>
          <w:p w14:paraId="1C006CBE"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Nuts, seeds</w:t>
            </w:r>
          </w:p>
        </w:tc>
        <w:tc>
          <w:tcPr>
            <w:tcW w:w="3618" w:type="dxa"/>
            <w:vAlign w:val="center"/>
          </w:tcPr>
          <w:p w14:paraId="5758655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Competes with cholesterol absorption</w:t>
            </w:r>
          </w:p>
        </w:tc>
        <w:tc>
          <w:tcPr>
            <w:tcW w:w="1800" w:type="dxa"/>
            <w:vAlign w:val="center"/>
          </w:tcPr>
          <w:p w14:paraId="75350D9A"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proofErr w:type="spellStart"/>
            <w:r w:rsidRPr="00BA78CC">
              <w:rPr>
                <w:rFonts w:ascii="Arial" w:hAnsi="Arial" w:cs="Arial"/>
                <w:color w:val="000000" w:themeColor="text1"/>
                <w:sz w:val="20"/>
                <w:szCs w:val="20"/>
              </w:rPr>
              <w:t>Ostlund</w:t>
            </w:r>
            <w:proofErr w:type="spellEnd"/>
            <w:r w:rsidRPr="00BA78CC">
              <w:rPr>
                <w:rFonts w:ascii="Arial" w:hAnsi="Arial" w:cs="Arial"/>
                <w:color w:val="000000" w:themeColor="text1"/>
                <w:sz w:val="20"/>
                <w:szCs w:val="20"/>
              </w:rPr>
              <w:t>, 2002</w:t>
            </w:r>
          </w:p>
        </w:tc>
      </w:tr>
      <w:tr w:rsidR="00BA78CC" w:rsidRPr="00BA78CC" w14:paraId="427EB881" w14:textId="77777777" w:rsidTr="00590187">
        <w:trPr>
          <w:jc w:val="center"/>
        </w:trPr>
        <w:tc>
          <w:tcPr>
            <w:tcW w:w="1524" w:type="dxa"/>
            <w:vAlign w:val="center"/>
          </w:tcPr>
          <w:p w14:paraId="33861DA9"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Allicin</w:t>
            </w:r>
          </w:p>
        </w:tc>
        <w:tc>
          <w:tcPr>
            <w:tcW w:w="1706" w:type="dxa"/>
            <w:vAlign w:val="center"/>
          </w:tcPr>
          <w:p w14:paraId="3B2CA992"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Garlic</w:t>
            </w:r>
          </w:p>
        </w:tc>
        <w:tc>
          <w:tcPr>
            <w:tcW w:w="3618" w:type="dxa"/>
            <w:vAlign w:val="center"/>
          </w:tcPr>
          <w:p w14:paraId="3B722353"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Reduces blood pressure, inhibits thrombosis</w:t>
            </w:r>
          </w:p>
        </w:tc>
        <w:tc>
          <w:tcPr>
            <w:tcW w:w="1800" w:type="dxa"/>
            <w:vAlign w:val="center"/>
          </w:tcPr>
          <w:p w14:paraId="24C20677" w14:textId="77777777" w:rsidR="00BA7613" w:rsidRPr="00BA78CC" w:rsidRDefault="00BA7613" w:rsidP="00590187">
            <w:pPr>
              <w:spacing w:before="20" w:after="20" w:line="276" w:lineRule="auto"/>
              <w:ind w:left="-14" w:right="-101"/>
              <w:rPr>
                <w:rFonts w:ascii="Arial" w:hAnsi="Arial" w:cs="Arial"/>
                <w:color w:val="000000" w:themeColor="text1"/>
                <w:sz w:val="20"/>
                <w:szCs w:val="20"/>
              </w:rPr>
            </w:pPr>
            <w:r w:rsidRPr="00BA78CC">
              <w:rPr>
                <w:rFonts w:ascii="Arial" w:hAnsi="Arial" w:cs="Arial"/>
                <w:color w:val="000000" w:themeColor="text1"/>
                <w:sz w:val="20"/>
                <w:szCs w:val="20"/>
              </w:rPr>
              <w:t xml:space="preserve">Banerjee &amp; </w:t>
            </w:r>
            <w:proofErr w:type="spellStart"/>
            <w:r w:rsidRPr="00BA78CC">
              <w:rPr>
                <w:rFonts w:ascii="Arial" w:hAnsi="Arial" w:cs="Arial"/>
                <w:color w:val="000000" w:themeColor="text1"/>
                <w:sz w:val="20"/>
                <w:szCs w:val="20"/>
              </w:rPr>
              <w:t>Maulik</w:t>
            </w:r>
            <w:proofErr w:type="spellEnd"/>
            <w:r w:rsidRPr="00BA78CC">
              <w:rPr>
                <w:rFonts w:ascii="Arial" w:hAnsi="Arial" w:cs="Arial"/>
                <w:color w:val="000000" w:themeColor="text1"/>
                <w:sz w:val="20"/>
                <w:szCs w:val="20"/>
              </w:rPr>
              <w:t>, 2002</w:t>
            </w:r>
          </w:p>
        </w:tc>
      </w:tr>
    </w:tbl>
    <w:p w14:paraId="12790C53" w14:textId="77777777" w:rsidR="00BA7613" w:rsidRPr="00BA78CC" w:rsidRDefault="00BA7613" w:rsidP="00BA78CC">
      <w:pPr>
        <w:spacing w:before="120" w:after="120"/>
        <w:jc w:val="both"/>
        <w:rPr>
          <w:rFonts w:ascii="Arial" w:eastAsia="Times New Roman" w:hAnsi="Arial" w:cs="Arial"/>
          <w:color w:val="000000" w:themeColor="text1"/>
          <w:sz w:val="20"/>
          <w:szCs w:val="20"/>
        </w:rPr>
      </w:pPr>
    </w:p>
    <w:p w14:paraId="48DA8F5D"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5</w:t>
      </w:r>
      <w:r w:rsidR="002F7E22" w:rsidRPr="00B43A15">
        <w:rPr>
          <w:rFonts w:ascii="Arial" w:hAnsi="Arial" w:cs="Arial"/>
          <w:color w:val="000000" w:themeColor="text1"/>
          <w:sz w:val="22"/>
          <w:szCs w:val="20"/>
        </w:rPr>
        <w:t>. CHALLENGES AND LIMITATIONS</w:t>
      </w:r>
    </w:p>
    <w:p w14:paraId="03BABA01"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Despite their promising potential, phytochemicals face barriers including poor bioavailability, variability in plant sources, lack of standardization, limited clinical evidence, risk of drug interactions, interindividual variability, production costs, and regulatory gaps.</w:t>
      </w:r>
    </w:p>
    <w:p w14:paraId="2D7E7C53"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Poor Bioavailability and Metabolic Instability</w:t>
      </w:r>
    </w:p>
    <w:p w14:paraId="68744C53"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Many phytochemicals suffer from poor water solubility, instability in physiological environments, and rapid metabolism, leading to low systemic availability. For instance, resveratrol, though a potent antioxidant, undergoes extensive hepatic and intestinal metabolism, resulting in limited therapeutic activity (</w:t>
      </w:r>
      <w:proofErr w:type="spellStart"/>
      <w:r w:rsidRPr="00BA78CC">
        <w:rPr>
          <w:rFonts w:ascii="Arial" w:eastAsia="Times New Roman" w:hAnsi="Arial" w:cs="Arial"/>
          <w:color w:val="000000" w:themeColor="text1"/>
          <w:sz w:val="20"/>
          <w:szCs w:val="20"/>
        </w:rPr>
        <w:t>Smoliga</w:t>
      </w:r>
      <w:proofErr w:type="spellEnd"/>
      <w:r w:rsidRPr="00BA78CC">
        <w:rPr>
          <w:rFonts w:ascii="Arial" w:eastAsia="Times New Roman" w:hAnsi="Arial" w:cs="Arial"/>
          <w:color w:val="000000" w:themeColor="text1"/>
          <w:sz w:val="20"/>
          <w:szCs w:val="20"/>
        </w:rPr>
        <w:t xml:space="preserve"> et al., 2012). Nanoparticles, liposomes, and </w:t>
      </w:r>
      <w:proofErr w:type="spellStart"/>
      <w:r w:rsidRPr="00BA78CC">
        <w:rPr>
          <w:rFonts w:ascii="Arial" w:eastAsia="Times New Roman" w:hAnsi="Arial" w:cs="Arial"/>
          <w:color w:val="000000" w:themeColor="text1"/>
          <w:sz w:val="20"/>
          <w:szCs w:val="20"/>
        </w:rPr>
        <w:t>phytosomes</w:t>
      </w:r>
      <w:proofErr w:type="spellEnd"/>
      <w:r w:rsidRPr="00BA78CC">
        <w:rPr>
          <w:rFonts w:ascii="Arial" w:eastAsia="Times New Roman" w:hAnsi="Arial" w:cs="Arial"/>
          <w:color w:val="000000" w:themeColor="text1"/>
          <w:sz w:val="20"/>
          <w:szCs w:val="20"/>
        </w:rPr>
        <w:t xml:space="preserve"> have shown promise in improving stability and absorption, yet high costs and scalability issues persist (Ganesan &amp; Xu, 2017).</w:t>
      </w:r>
    </w:p>
    <w:p w14:paraId="50A0F3A1"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Variability and Lack of Standardization</w:t>
      </w:r>
    </w:p>
    <w:p w14:paraId="49AF3B68"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The phytochemical profile of plant-derived products varies with species, cultivation conditions, harvesting, and extraction methods. This variability makes accurate dosing and reproducibility in clinical trials challenging (Gupta et al., 2020). Although advanced analytical techniques such as HPLC and GC-MS can standardize extracts, their use requires significant infrastructure and expertise.</w:t>
      </w:r>
    </w:p>
    <w:p w14:paraId="6286EF67"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Limited Clinical Evidence</w:t>
      </w:r>
    </w:p>
    <w:p w14:paraId="6D9B2E76"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Most evidence for cardioprotective effects comes from in vitro and animal studies, while human clinical trials remain limited, small in scale, and often inconclusive (Wong et al., 2019). For example, curcumin shows strong anti-inflammatory effects in preclinical models, yet clinical outcomes remain inconsistent due to poor bioavailability. Larger, well-designed, randomized controlled trials are necessary to validate efficacy and establish dosing protocols.</w:t>
      </w:r>
    </w:p>
    <w:p w14:paraId="75526238"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Risk of Drug Interactions</w:t>
      </w:r>
    </w:p>
    <w:p w14:paraId="748EFA33"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lastRenderedPageBreak/>
        <w:t>Phytochemicals may interact with conventional cardiovascular drugs by modulating cytochrome P450 enzymes and transport proteins (Williamson et al., 2013). Quercetin, for instance, can inhibit CYP3A4 and CYP2C9, potentially altering the metabolism of statins, anticoagulants, and antihypertensives (Li et al., 2018). These interactions highlight the need for careful monitoring in polypharmacy settings common among CVD patients.</w:t>
      </w:r>
    </w:p>
    <w:p w14:paraId="2C215A1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Interindividual Variability in Response</w:t>
      </w:r>
    </w:p>
    <w:p w14:paraId="168AA716"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Genetic differences, gut microbiota composition, and lifestyle factors can influence individual responses to phytochemicals, reducing the generalizability of study outcomes (Shanahan et al., 2017). Personalized nutrition and pharmacogenomics may provide future strategies to tailor phytochemical-based interventions.</w:t>
      </w:r>
    </w:p>
    <w:p w14:paraId="6038B255"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High Production Costs and Limited Accessibility</w:t>
      </w:r>
    </w:p>
    <w:p w14:paraId="7A1E61AF"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 xml:space="preserve">Therapeutic formulations of phytochemicals, especially those enhanced via </w:t>
      </w:r>
      <w:proofErr w:type="spellStart"/>
      <w:r w:rsidRPr="00BA78CC">
        <w:rPr>
          <w:rFonts w:ascii="Arial" w:eastAsia="Times New Roman" w:hAnsi="Arial" w:cs="Arial"/>
          <w:color w:val="000000" w:themeColor="text1"/>
          <w:sz w:val="20"/>
          <w:szCs w:val="20"/>
        </w:rPr>
        <w:t>nano</w:t>
      </w:r>
      <w:proofErr w:type="spellEnd"/>
      <w:r w:rsidRPr="00BA78CC">
        <w:rPr>
          <w:rFonts w:ascii="Arial" w:eastAsia="Times New Roman" w:hAnsi="Arial" w:cs="Arial"/>
          <w:color w:val="000000" w:themeColor="text1"/>
          <w:sz w:val="20"/>
          <w:szCs w:val="20"/>
        </w:rPr>
        <w:t>- or bioengineering approaches, remain costly (Sharma &amp; Agarwal, 2020). This restricts accessibility in resource-limited settings. Promoting affordable, phytochemical-rich diets and sustainable green extraction technologies may offer more practical alternatives.</w:t>
      </w:r>
    </w:p>
    <w:p w14:paraId="7A966B9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Regulatory Gaps and Public Misconceptions</w:t>
      </w:r>
    </w:p>
    <w:p w14:paraId="77AB353B"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Phytochemicals are often marketed as dietary supplements under less stringent regulations compared to pharmaceuticals. This can lead to inconsistent product quality, misleading labeling, and exaggerated health claims (Kaur et al., 2020). Additionally, public reliance on supplements without medical oversight poses risks of misuse. Stronger regulations and better public education are needed to ensure safe and effective use.</w:t>
      </w:r>
    </w:p>
    <w:p w14:paraId="7E26187C" w14:textId="77777777" w:rsidR="00BA7613" w:rsidRPr="00B43A15" w:rsidRDefault="00BA7613" w:rsidP="00BA78CC">
      <w:pPr>
        <w:pStyle w:val="ListParagraph"/>
        <w:numPr>
          <w:ilvl w:val="0"/>
          <w:numId w:val="10"/>
        </w:numPr>
        <w:spacing w:before="120" w:after="120"/>
        <w:jc w:val="both"/>
        <w:rPr>
          <w:rFonts w:ascii="Arial" w:eastAsia="Times New Roman" w:hAnsi="Arial" w:cs="Arial"/>
          <w:b/>
          <w:color w:val="000000" w:themeColor="text1"/>
          <w:sz w:val="20"/>
          <w:szCs w:val="20"/>
        </w:rPr>
      </w:pPr>
      <w:r w:rsidRPr="00B43A15">
        <w:rPr>
          <w:rFonts w:ascii="Arial" w:eastAsia="Times New Roman" w:hAnsi="Arial" w:cs="Arial"/>
          <w:b/>
          <w:color w:val="000000" w:themeColor="text1"/>
          <w:sz w:val="20"/>
          <w:szCs w:val="20"/>
        </w:rPr>
        <w:t>Undefined Dosage and Safety Concerns</w:t>
      </w:r>
    </w:p>
    <w:p w14:paraId="16863739" w14:textId="77777777" w:rsidR="00BA7613" w:rsidRPr="00BA78CC" w:rsidRDefault="00BA7613" w:rsidP="00BA78CC">
      <w:pPr>
        <w:spacing w:before="120" w:after="120"/>
        <w:jc w:val="both"/>
        <w:rPr>
          <w:rFonts w:ascii="Arial" w:eastAsia="Times New Roman" w:hAnsi="Arial" w:cs="Arial"/>
          <w:color w:val="000000" w:themeColor="text1"/>
          <w:sz w:val="20"/>
          <w:szCs w:val="20"/>
        </w:rPr>
      </w:pPr>
      <w:r w:rsidRPr="00BA78CC">
        <w:rPr>
          <w:rFonts w:ascii="Arial" w:eastAsia="Times New Roman" w:hAnsi="Arial" w:cs="Arial"/>
          <w:color w:val="000000" w:themeColor="text1"/>
          <w:sz w:val="20"/>
          <w:szCs w:val="20"/>
        </w:rPr>
        <w:t>Unlike conventional drugs, phytochemicals lack clearly defined therapeutic ranges and toxicity thresholds. Excessive or prolonged use, especially in combination with other supplements or medications, may lead to adverse effects (</w:t>
      </w:r>
      <w:proofErr w:type="spellStart"/>
      <w:r w:rsidRPr="00BA78CC">
        <w:rPr>
          <w:rFonts w:ascii="Arial" w:eastAsia="Times New Roman" w:hAnsi="Arial" w:cs="Arial"/>
          <w:color w:val="000000" w:themeColor="text1"/>
          <w:sz w:val="20"/>
          <w:szCs w:val="20"/>
        </w:rPr>
        <w:t>Manach</w:t>
      </w:r>
      <w:proofErr w:type="spellEnd"/>
      <w:r w:rsidRPr="00BA78CC">
        <w:rPr>
          <w:rFonts w:ascii="Arial" w:eastAsia="Times New Roman" w:hAnsi="Arial" w:cs="Arial"/>
          <w:color w:val="000000" w:themeColor="text1"/>
          <w:sz w:val="20"/>
          <w:szCs w:val="20"/>
        </w:rPr>
        <w:t xml:space="preserve"> et al., 2005). Robust clinical studies are required to establish safe dosage guidelines and inform standardized </w:t>
      </w:r>
      <w:commentRangeStart w:id="6"/>
      <w:r w:rsidRPr="00BA78CC">
        <w:rPr>
          <w:rFonts w:ascii="Arial" w:eastAsia="Times New Roman" w:hAnsi="Arial" w:cs="Arial"/>
          <w:color w:val="000000" w:themeColor="text1"/>
          <w:sz w:val="20"/>
          <w:szCs w:val="20"/>
        </w:rPr>
        <w:t>labeling</w:t>
      </w:r>
      <w:commentRangeEnd w:id="6"/>
      <w:r w:rsidR="00530EA2">
        <w:rPr>
          <w:rStyle w:val="CommentReference"/>
        </w:rPr>
        <w:commentReference w:id="6"/>
      </w:r>
      <w:r w:rsidRPr="00BA78CC">
        <w:rPr>
          <w:rFonts w:ascii="Arial" w:eastAsia="Times New Roman" w:hAnsi="Arial" w:cs="Arial"/>
          <w:color w:val="000000" w:themeColor="text1"/>
          <w:sz w:val="20"/>
          <w:szCs w:val="20"/>
        </w:rPr>
        <w:t xml:space="preserve"> practices.</w:t>
      </w:r>
    </w:p>
    <w:p w14:paraId="36014805" w14:textId="77777777" w:rsidR="000821CD" w:rsidRPr="00B43A15" w:rsidRDefault="000B0740" w:rsidP="00BA78CC">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t>6</w:t>
      </w:r>
      <w:r w:rsidR="002F7E22" w:rsidRPr="00B43A15">
        <w:rPr>
          <w:rFonts w:ascii="Arial" w:hAnsi="Arial" w:cs="Arial"/>
          <w:color w:val="000000" w:themeColor="text1"/>
          <w:sz w:val="22"/>
          <w:szCs w:val="20"/>
        </w:rPr>
        <w:t>. FUTURE DIRECTIONS</w:t>
      </w:r>
    </w:p>
    <w:p w14:paraId="6A34B823" w14:textId="77777777" w:rsidR="000821CD" w:rsidRPr="00BA78CC" w:rsidRDefault="002F7E22" w:rsidP="00BA78CC">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Future research should focus on improving bioavailability through novel delivery systems, conducting large-scale clinical trials, exploring synergistic effects with conventional therapies, understanding individual responses, and developing standardized guidelines for supplementation.</w:t>
      </w:r>
    </w:p>
    <w:p w14:paraId="03890C22" w14:textId="77777777" w:rsidR="007425D3" w:rsidRPr="00BA78CC" w:rsidRDefault="007425D3" w:rsidP="00BA78CC">
      <w:pPr>
        <w:spacing w:before="120" w:after="120"/>
        <w:jc w:val="both"/>
        <w:rPr>
          <w:rFonts w:ascii="Arial" w:eastAsia="Times New Roman" w:hAnsi="Arial" w:cs="Arial"/>
          <w:color w:val="000000" w:themeColor="text1"/>
          <w:sz w:val="20"/>
          <w:szCs w:val="20"/>
        </w:rPr>
      </w:pPr>
      <w:r w:rsidRPr="00BA78CC">
        <w:rPr>
          <w:rFonts w:ascii="Arial" w:hAnsi="Arial" w:cs="Arial"/>
          <w:color w:val="000000" w:themeColor="text1"/>
          <w:sz w:val="20"/>
          <w:szCs w:val="20"/>
        </w:rPr>
        <w:t>Future studies should focus on:</w:t>
      </w:r>
    </w:p>
    <w:p w14:paraId="3BA319A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Improving the bioavailability and pharmacokinetics of phytochemicals through advanced drug delivery systems.</w:t>
      </w:r>
    </w:p>
    <w:p w14:paraId="7B1C7A20"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Conducting well-designed randomized controlled trials (RCTs) to establish clinical efficacy and safety.</w:t>
      </w:r>
    </w:p>
    <w:p w14:paraId="0E8628FF"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Investigating synergistic effects between phytochemicals and conventional therapies.</w:t>
      </w:r>
    </w:p>
    <w:p w14:paraId="4BDF6C6B" w14:textId="77777777" w:rsidR="007425D3" w:rsidRPr="00B43A15" w:rsidRDefault="007425D3" w:rsidP="00B43A15">
      <w:pPr>
        <w:pStyle w:val="ListParagraph"/>
        <w:numPr>
          <w:ilvl w:val="0"/>
          <w:numId w:val="21"/>
        </w:numPr>
        <w:spacing w:before="120" w:after="12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Understanding individual responses influenced by genetics and gut microbiota composition.</w:t>
      </w:r>
    </w:p>
    <w:p w14:paraId="554F1E09" w14:textId="77777777" w:rsidR="007425D3" w:rsidRPr="00B43A15" w:rsidRDefault="007425D3" w:rsidP="002F7E22">
      <w:pPr>
        <w:pStyle w:val="ListParagraph"/>
        <w:numPr>
          <w:ilvl w:val="0"/>
          <w:numId w:val="21"/>
        </w:numPr>
        <w:spacing w:before="120" w:after="120"/>
        <w:contextualSpacing w:val="0"/>
        <w:jc w:val="both"/>
        <w:rPr>
          <w:rFonts w:ascii="Arial" w:eastAsia="Times New Roman" w:hAnsi="Arial" w:cs="Arial"/>
          <w:color w:val="000000" w:themeColor="text1"/>
          <w:sz w:val="20"/>
          <w:szCs w:val="20"/>
        </w:rPr>
      </w:pPr>
      <w:r w:rsidRPr="00B43A15">
        <w:rPr>
          <w:rFonts w:ascii="Arial" w:hAnsi="Arial" w:cs="Arial"/>
          <w:color w:val="000000" w:themeColor="text1"/>
          <w:sz w:val="20"/>
          <w:szCs w:val="20"/>
        </w:rPr>
        <w:t>Developing standardized guidelines for phytochemical supplementation and dietary intake.</w:t>
      </w:r>
    </w:p>
    <w:p w14:paraId="57401EF4" w14:textId="77777777" w:rsidR="000821CD" w:rsidRPr="007F76CC" w:rsidRDefault="000B0740" w:rsidP="002F7E22">
      <w:pPr>
        <w:pStyle w:val="Heading1"/>
        <w:spacing w:before="120" w:after="120"/>
        <w:jc w:val="both"/>
        <w:rPr>
          <w:rFonts w:ascii="Arial" w:hAnsi="Arial" w:cs="Arial"/>
          <w:color w:val="000000" w:themeColor="text1"/>
          <w:sz w:val="22"/>
          <w:szCs w:val="20"/>
        </w:rPr>
      </w:pPr>
      <w:r>
        <w:rPr>
          <w:rFonts w:ascii="Arial" w:hAnsi="Arial" w:cs="Arial"/>
          <w:color w:val="000000" w:themeColor="text1"/>
          <w:sz w:val="22"/>
          <w:szCs w:val="20"/>
        </w:rPr>
        <w:lastRenderedPageBreak/>
        <w:t>7</w:t>
      </w:r>
      <w:r w:rsidR="002F7E22" w:rsidRPr="007F76CC">
        <w:rPr>
          <w:rFonts w:ascii="Arial" w:hAnsi="Arial" w:cs="Arial"/>
          <w:color w:val="000000" w:themeColor="text1"/>
          <w:sz w:val="22"/>
          <w:szCs w:val="20"/>
        </w:rPr>
        <w:t>. CONCLUSION</w:t>
      </w:r>
    </w:p>
    <w:p w14:paraId="51F04EC1" w14:textId="77777777" w:rsidR="000821CD" w:rsidRPr="00BA78CC" w:rsidRDefault="002F7E22" w:rsidP="002F7E22">
      <w:pPr>
        <w:spacing w:before="120" w:after="120"/>
        <w:jc w:val="both"/>
        <w:rPr>
          <w:rFonts w:ascii="Arial" w:hAnsi="Arial" w:cs="Arial"/>
          <w:color w:val="000000" w:themeColor="text1"/>
          <w:sz w:val="20"/>
          <w:szCs w:val="20"/>
        </w:rPr>
      </w:pPr>
      <w:r w:rsidRPr="00BA78CC">
        <w:rPr>
          <w:rFonts w:ascii="Arial" w:hAnsi="Arial" w:cs="Arial"/>
          <w:color w:val="000000" w:themeColor="text1"/>
          <w:sz w:val="20"/>
          <w:szCs w:val="20"/>
        </w:rPr>
        <w:t>Phytochemicals present a safe and natural approach to reducing cardiovascular risk. By addressing oxidative stress, inflammation, dyslipidemia, and endothelial dysfunction, they hold potential as adjunct therapies in CVD prevention and management. Standardization, clinical validation, and improved formulations remain essential to unlock their full benefits.</w:t>
      </w:r>
    </w:p>
    <w:p w14:paraId="6193878B" w14:textId="22AFB2DC" w:rsidR="003C15D4" w:rsidRPr="00A10A96" w:rsidRDefault="00A10A96" w:rsidP="00A10A96">
      <w:pPr>
        <w:pStyle w:val="Heading1"/>
        <w:numPr>
          <w:ilvl w:val="0"/>
          <w:numId w:val="10"/>
        </w:numPr>
        <w:spacing w:before="120" w:after="120"/>
        <w:jc w:val="both"/>
        <w:rPr>
          <w:rFonts w:ascii="Arial" w:hAnsi="Arial" w:cs="Arial"/>
          <w:color w:val="000000" w:themeColor="text1"/>
          <w:sz w:val="22"/>
          <w:szCs w:val="20"/>
        </w:rPr>
      </w:pPr>
      <w:r w:rsidRPr="00A10A96">
        <w:rPr>
          <w:rFonts w:ascii="Arial" w:hAnsi="Arial" w:cs="Arial"/>
          <w:color w:val="000000" w:themeColor="text1"/>
          <w:sz w:val="22"/>
          <w:szCs w:val="20"/>
        </w:rPr>
        <w:t>REFERENCES</w:t>
      </w:r>
    </w:p>
    <w:p w14:paraId="07394EA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Aggarwal, B. B., &amp; Sung, B. (2009). Pharmacological basis for the role of curcumin in chronic diseases: An age-old spice with modern targets. </w:t>
      </w:r>
      <w:r w:rsidRPr="00C7762B">
        <w:rPr>
          <w:rStyle w:val="Emphasis"/>
          <w:rFonts w:ascii="Arial" w:hAnsi="Arial" w:cs="Arial"/>
          <w:color w:val="000000" w:themeColor="text1"/>
          <w:sz w:val="20"/>
          <w:szCs w:val="20"/>
        </w:rPr>
        <w:t>Trends in Pharmacological Sciences, 30</w:t>
      </w:r>
      <w:r w:rsidRPr="00C7762B">
        <w:rPr>
          <w:rFonts w:ascii="Arial" w:hAnsi="Arial" w:cs="Arial"/>
          <w:color w:val="000000" w:themeColor="text1"/>
          <w:sz w:val="20"/>
          <w:szCs w:val="20"/>
        </w:rPr>
        <w:t>(2), 85–94.</w:t>
      </w:r>
    </w:p>
    <w:p w14:paraId="3C8A457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Anand, P., </w:t>
      </w:r>
      <w:proofErr w:type="spellStart"/>
      <w:r w:rsidRPr="00C7762B">
        <w:rPr>
          <w:rFonts w:ascii="Arial" w:hAnsi="Arial" w:cs="Arial"/>
          <w:color w:val="000000" w:themeColor="text1"/>
          <w:sz w:val="20"/>
          <w:szCs w:val="20"/>
        </w:rPr>
        <w:t>Kunnumakkara</w:t>
      </w:r>
      <w:proofErr w:type="spellEnd"/>
      <w:r w:rsidRPr="00C7762B">
        <w:rPr>
          <w:rFonts w:ascii="Arial" w:hAnsi="Arial" w:cs="Arial"/>
          <w:color w:val="000000" w:themeColor="text1"/>
          <w:sz w:val="20"/>
          <w:szCs w:val="20"/>
        </w:rPr>
        <w:t xml:space="preserve">, A. B., Newman, R. A., &amp; Aggarwal, B. B. (2007). Bioavailability of curcumin: Problems and promises. </w:t>
      </w:r>
      <w:r w:rsidRPr="00C7762B">
        <w:rPr>
          <w:rStyle w:val="Emphasis"/>
          <w:rFonts w:ascii="Arial" w:hAnsi="Arial" w:cs="Arial"/>
          <w:color w:val="000000" w:themeColor="text1"/>
          <w:sz w:val="20"/>
          <w:szCs w:val="20"/>
        </w:rPr>
        <w:t>Molecular Pharmaceutics, 4</w:t>
      </w:r>
      <w:r w:rsidRPr="00C7762B">
        <w:rPr>
          <w:rFonts w:ascii="Arial" w:hAnsi="Arial" w:cs="Arial"/>
          <w:color w:val="000000" w:themeColor="text1"/>
          <w:sz w:val="20"/>
          <w:szCs w:val="20"/>
        </w:rPr>
        <w:t>(6), 807–818.</w:t>
      </w:r>
    </w:p>
    <w:p w14:paraId="1F97AAF1"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Arnett, D. K., Blumenthal, R. S., Albert, M. A., </w:t>
      </w:r>
      <w:proofErr w:type="spellStart"/>
      <w:r w:rsidRPr="00663041">
        <w:rPr>
          <w:rFonts w:ascii="Arial" w:eastAsia="Times New Roman" w:hAnsi="Arial" w:cs="Arial"/>
          <w:color w:val="000000" w:themeColor="text1"/>
          <w:sz w:val="20"/>
          <w:szCs w:val="20"/>
        </w:rPr>
        <w:t>Buroker</w:t>
      </w:r>
      <w:proofErr w:type="spellEnd"/>
      <w:r w:rsidRPr="00663041">
        <w:rPr>
          <w:rFonts w:ascii="Arial" w:eastAsia="Times New Roman" w:hAnsi="Arial" w:cs="Arial"/>
          <w:color w:val="000000" w:themeColor="text1"/>
          <w:sz w:val="20"/>
          <w:szCs w:val="20"/>
        </w:rPr>
        <w:t xml:space="preserve">, A. B., Goldberger, Z. D., Hahn, E. J., … &amp; </w:t>
      </w:r>
      <w:proofErr w:type="spellStart"/>
      <w:r w:rsidRPr="00663041">
        <w:rPr>
          <w:rFonts w:ascii="Arial" w:eastAsia="Times New Roman" w:hAnsi="Arial" w:cs="Arial"/>
          <w:color w:val="000000" w:themeColor="text1"/>
          <w:sz w:val="20"/>
          <w:szCs w:val="20"/>
        </w:rPr>
        <w:t>Ziaeian</w:t>
      </w:r>
      <w:proofErr w:type="spellEnd"/>
      <w:r w:rsidRPr="00663041">
        <w:rPr>
          <w:rFonts w:ascii="Arial" w:eastAsia="Times New Roman" w:hAnsi="Arial" w:cs="Arial"/>
          <w:color w:val="000000" w:themeColor="text1"/>
          <w:sz w:val="20"/>
          <w:szCs w:val="20"/>
        </w:rPr>
        <w:t>, B. (2019). 2019 ACC/AHA guideline on the primary prevention of cardiovascular disease. Journal of the American College of Cardiology, 74(10), e177–e232.</w:t>
      </w:r>
    </w:p>
    <w:p w14:paraId="1885A8A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Banerjee, S., &amp; </w:t>
      </w:r>
      <w:proofErr w:type="spellStart"/>
      <w:r w:rsidRPr="00C7762B">
        <w:rPr>
          <w:rFonts w:ascii="Arial" w:hAnsi="Arial" w:cs="Arial"/>
          <w:color w:val="000000" w:themeColor="text1"/>
          <w:sz w:val="20"/>
          <w:szCs w:val="20"/>
        </w:rPr>
        <w:t>Maulik</w:t>
      </w:r>
      <w:proofErr w:type="spellEnd"/>
      <w:r w:rsidRPr="00C7762B">
        <w:rPr>
          <w:rFonts w:ascii="Arial" w:hAnsi="Arial" w:cs="Arial"/>
          <w:color w:val="000000" w:themeColor="text1"/>
          <w:sz w:val="20"/>
          <w:szCs w:val="20"/>
        </w:rPr>
        <w:t xml:space="preserve">, S. K. (2002). Effect of garlic on cardiovascular disorders: A review. </w:t>
      </w:r>
      <w:r w:rsidRPr="00C7762B">
        <w:rPr>
          <w:rStyle w:val="Emphasis"/>
          <w:rFonts w:ascii="Arial" w:hAnsi="Arial" w:cs="Arial"/>
          <w:color w:val="000000" w:themeColor="text1"/>
          <w:sz w:val="20"/>
          <w:szCs w:val="20"/>
        </w:rPr>
        <w:t>Nutrition Journal, 1</w:t>
      </w:r>
      <w:r w:rsidRPr="00C7762B">
        <w:rPr>
          <w:rFonts w:ascii="Arial" w:hAnsi="Arial" w:cs="Arial"/>
          <w:color w:val="000000" w:themeColor="text1"/>
          <w:sz w:val="20"/>
          <w:szCs w:val="20"/>
        </w:rPr>
        <w:t>, 4.</w:t>
      </w:r>
    </w:p>
    <w:p w14:paraId="5AA4FFD7"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Benjamin, E. J., Virani, S. S., Callaway, C. W., Chamberlain, A. M., Chang, A. R., Cheng, S., … &amp; </w:t>
      </w:r>
      <w:proofErr w:type="spellStart"/>
      <w:r w:rsidRPr="00663041">
        <w:rPr>
          <w:rFonts w:ascii="Arial" w:eastAsia="Times New Roman" w:hAnsi="Arial" w:cs="Arial"/>
          <w:color w:val="000000" w:themeColor="text1"/>
          <w:sz w:val="20"/>
          <w:szCs w:val="20"/>
        </w:rPr>
        <w:t>Muntner</w:t>
      </w:r>
      <w:proofErr w:type="spellEnd"/>
      <w:r w:rsidRPr="00663041">
        <w:rPr>
          <w:rFonts w:ascii="Arial" w:eastAsia="Times New Roman" w:hAnsi="Arial" w:cs="Arial"/>
          <w:color w:val="000000" w:themeColor="text1"/>
          <w:sz w:val="20"/>
          <w:szCs w:val="20"/>
        </w:rPr>
        <w:t>, P. (2019). Heart disease and stroke statistics—2019 update: A report from the American Heart Association. Circulation, 139(10), e56–e528.</w:t>
      </w:r>
    </w:p>
    <w:p w14:paraId="06F7B2C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Cai, Y., Luo, Q., Sun, M., &amp; </w:t>
      </w:r>
      <w:proofErr w:type="spellStart"/>
      <w:r w:rsidRPr="00C7762B">
        <w:rPr>
          <w:rFonts w:ascii="Arial" w:hAnsi="Arial" w:cs="Arial"/>
          <w:color w:val="000000" w:themeColor="text1"/>
          <w:sz w:val="20"/>
          <w:szCs w:val="20"/>
        </w:rPr>
        <w:t>Corke</w:t>
      </w:r>
      <w:proofErr w:type="spellEnd"/>
      <w:r w:rsidRPr="00C7762B">
        <w:rPr>
          <w:rFonts w:ascii="Arial" w:hAnsi="Arial" w:cs="Arial"/>
          <w:color w:val="000000" w:themeColor="text1"/>
          <w:sz w:val="20"/>
          <w:szCs w:val="20"/>
        </w:rPr>
        <w:t xml:space="preserve">, H. (2004). Antioxidant activity and phenolic compounds of 112 traditional Chinese medicinal plants associated with anticancer. </w:t>
      </w:r>
      <w:r w:rsidRPr="00C7762B">
        <w:rPr>
          <w:rStyle w:val="Emphasis"/>
          <w:rFonts w:ascii="Arial" w:hAnsi="Arial" w:cs="Arial"/>
          <w:color w:val="000000" w:themeColor="text1"/>
          <w:sz w:val="20"/>
          <w:szCs w:val="20"/>
        </w:rPr>
        <w:t>Life Sciences, 74</w:t>
      </w:r>
      <w:r w:rsidRPr="00C7762B">
        <w:rPr>
          <w:rFonts w:ascii="Arial" w:hAnsi="Arial" w:cs="Arial"/>
          <w:color w:val="000000" w:themeColor="text1"/>
          <w:sz w:val="20"/>
          <w:szCs w:val="20"/>
        </w:rPr>
        <w:t>(17), 2157–2184.</w:t>
      </w:r>
    </w:p>
    <w:p w14:paraId="67921D5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Chopra, S., &amp; Pillai, S. (2005). Role of oxidative stress and antioxidants in cardiovascular diseases. </w:t>
      </w:r>
      <w:r w:rsidRPr="00C7762B">
        <w:rPr>
          <w:rStyle w:val="Emphasis"/>
          <w:rFonts w:ascii="Arial" w:hAnsi="Arial" w:cs="Arial"/>
          <w:color w:val="000000" w:themeColor="text1"/>
          <w:sz w:val="20"/>
          <w:szCs w:val="20"/>
        </w:rPr>
        <w:t>Current Opinion in Pharmacology, 5</w:t>
      </w:r>
      <w:r w:rsidRPr="00C7762B">
        <w:rPr>
          <w:rFonts w:ascii="Arial" w:hAnsi="Arial" w:cs="Arial"/>
          <w:color w:val="000000" w:themeColor="text1"/>
          <w:sz w:val="20"/>
          <w:szCs w:val="20"/>
        </w:rPr>
        <w:t>(2), 155–160.</w:t>
      </w:r>
    </w:p>
    <w:p w14:paraId="6B7C4A0D"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B., </w:t>
      </w: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M., &amp; </w:t>
      </w:r>
      <w:proofErr w:type="spellStart"/>
      <w:r w:rsidRPr="00C7762B">
        <w:rPr>
          <w:rFonts w:ascii="Arial" w:hAnsi="Arial" w:cs="Arial"/>
          <w:color w:val="000000" w:themeColor="text1"/>
          <w:sz w:val="20"/>
          <w:szCs w:val="20"/>
        </w:rPr>
        <w:t>Dinda</w:t>
      </w:r>
      <w:proofErr w:type="spellEnd"/>
      <w:r w:rsidRPr="00C7762B">
        <w:rPr>
          <w:rFonts w:ascii="Arial" w:hAnsi="Arial" w:cs="Arial"/>
          <w:color w:val="000000" w:themeColor="text1"/>
          <w:sz w:val="20"/>
          <w:szCs w:val="20"/>
        </w:rPr>
        <w:t xml:space="preserve">, S. (2017). Phytochemicals of </w:t>
      </w:r>
      <w:proofErr w:type="spellStart"/>
      <w:r w:rsidRPr="00C7762B">
        <w:rPr>
          <w:rStyle w:val="Emphasis"/>
          <w:rFonts w:ascii="Arial" w:hAnsi="Arial" w:cs="Arial"/>
          <w:color w:val="000000" w:themeColor="text1"/>
          <w:sz w:val="20"/>
          <w:szCs w:val="20"/>
        </w:rPr>
        <w:t>Ocimum</w:t>
      </w:r>
      <w:proofErr w:type="spellEnd"/>
      <w:r w:rsidRPr="00C7762B">
        <w:rPr>
          <w:rStyle w:val="Emphasis"/>
          <w:rFonts w:ascii="Arial" w:hAnsi="Arial" w:cs="Arial"/>
          <w:color w:val="000000" w:themeColor="text1"/>
          <w:sz w:val="20"/>
          <w:szCs w:val="20"/>
        </w:rPr>
        <w:t xml:space="preserve"> sanctum</w:t>
      </w:r>
      <w:r w:rsidRPr="00C7762B">
        <w:rPr>
          <w:rFonts w:ascii="Arial" w:hAnsi="Arial" w:cs="Arial"/>
          <w:color w:val="000000" w:themeColor="text1"/>
          <w:sz w:val="20"/>
          <w:szCs w:val="20"/>
        </w:rPr>
        <w:t xml:space="preserve">: Biological significance and therapeutic efficacy. </w:t>
      </w:r>
      <w:r w:rsidRPr="00C7762B">
        <w:rPr>
          <w:rStyle w:val="Emphasis"/>
          <w:rFonts w:ascii="Arial" w:hAnsi="Arial" w:cs="Arial"/>
          <w:color w:val="000000" w:themeColor="text1"/>
          <w:sz w:val="20"/>
          <w:szCs w:val="20"/>
        </w:rPr>
        <w:t>Journal of Ethnopharmacology, 212</w:t>
      </w:r>
      <w:r w:rsidRPr="00C7762B">
        <w:rPr>
          <w:rFonts w:ascii="Arial" w:hAnsi="Arial" w:cs="Arial"/>
          <w:color w:val="000000" w:themeColor="text1"/>
          <w:sz w:val="20"/>
          <w:szCs w:val="20"/>
        </w:rPr>
        <w:t>, 30–56.</w:t>
      </w:r>
    </w:p>
    <w:p w14:paraId="1A31BE73"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Fang, J., &amp; Lu, J. (2002). Antioxidative and anti-inflammatory effects of resveratrol: Mechanisms and therapeutic implications. </w:t>
      </w:r>
      <w:r w:rsidRPr="00C7762B">
        <w:rPr>
          <w:rStyle w:val="Emphasis"/>
          <w:rFonts w:ascii="Arial" w:hAnsi="Arial" w:cs="Arial"/>
          <w:color w:val="000000" w:themeColor="text1"/>
          <w:sz w:val="20"/>
          <w:szCs w:val="20"/>
        </w:rPr>
        <w:t>Frontiers in Bioscience, 7</w:t>
      </w:r>
      <w:r w:rsidRPr="00C7762B">
        <w:rPr>
          <w:rFonts w:ascii="Arial" w:hAnsi="Arial" w:cs="Arial"/>
          <w:color w:val="000000" w:themeColor="text1"/>
          <w:sz w:val="20"/>
          <w:szCs w:val="20"/>
        </w:rPr>
        <w:t>, d500–d508.</w:t>
      </w:r>
    </w:p>
    <w:p w14:paraId="016400A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Fraga, C. G., Croft, K. D., Kennedy, D. O., &amp; </w:t>
      </w:r>
      <w:proofErr w:type="spellStart"/>
      <w:r w:rsidRPr="00C7762B">
        <w:rPr>
          <w:rFonts w:ascii="Arial" w:hAnsi="Arial" w:cs="Arial"/>
          <w:color w:val="000000" w:themeColor="text1"/>
          <w:sz w:val="20"/>
          <w:szCs w:val="20"/>
        </w:rPr>
        <w:t>Tomás-Barberán</w:t>
      </w:r>
      <w:proofErr w:type="spellEnd"/>
      <w:r w:rsidRPr="00C7762B">
        <w:rPr>
          <w:rFonts w:ascii="Arial" w:hAnsi="Arial" w:cs="Arial"/>
          <w:color w:val="000000" w:themeColor="text1"/>
          <w:sz w:val="20"/>
          <w:szCs w:val="20"/>
        </w:rPr>
        <w:t xml:space="preserve">, F. A. (2010). The effects of polyphenols and other </w:t>
      </w:r>
      <w:proofErr w:type="spellStart"/>
      <w:r w:rsidRPr="00C7762B">
        <w:rPr>
          <w:rFonts w:ascii="Arial" w:hAnsi="Arial" w:cs="Arial"/>
          <w:color w:val="000000" w:themeColor="text1"/>
          <w:sz w:val="20"/>
          <w:szCs w:val="20"/>
        </w:rPr>
        <w:t>bioactives</w:t>
      </w:r>
      <w:proofErr w:type="spellEnd"/>
      <w:r w:rsidRPr="00C7762B">
        <w:rPr>
          <w:rFonts w:ascii="Arial" w:hAnsi="Arial" w:cs="Arial"/>
          <w:color w:val="000000" w:themeColor="text1"/>
          <w:sz w:val="20"/>
          <w:szCs w:val="20"/>
        </w:rPr>
        <w:t xml:space="preserve"> on human health. </w:t>
      </w:r>
      <w:r w:rsidRPr="00C7762B">
        <w:rPr>
          <w:rStyle w:val="Emphasis"/>
          <w:rFonts w:ascii="Arial" w:hAnsi="Arial" w:cs="Arial"/>
          <w:color w:val="000000" w:themeColor="text1"/>
          <w:sz w:val="20"/>
          <w:szCs w:val="20"/>
        </w:rPr>
        <w:t>Food &amp; Function, 1</w:t>
      </w:r>
      <w:r w:rsidRPr="00C7762B">
        <w:rPr>
          <w:rFonts w:ascii="Arial" w:hAnsi="Arial" w:cs="Arial"/>
          <w:color w:val="000000" w:themeColor="text1"/>
          <w:sz w:val="20"/>
          <w:szCs w:val="20"/>
        </w:rPr>
        <w:t>(1), 74–85.</w:t>
      </w:r>
    </w:p>
    <w:p w14:paraId="74797CA0"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Fraga, C. G., </w:t>
      </w:r>
      <w:proofErr w:type="spellStart"/>
      <w:r>
        <w:rPr>
          <w:rFonts w:ascii="Arial" w:eastAsia="Times New Roman" w:hAnsi="Arial" w:cs="Arial"/>
          <w:color w:val="000000" w:themeColor="text1"/>
          <w:sz w:val="20"/>
          <w:szCs w:val="20"/>
        </w:rPr>
        <w:t>Shahrtash</w:t>
      </w:r>
      <w:proofErr w:type="spellEnd"/>
      <w:r>
        <w:rPr>
          <w:rFonts w:ascii="Arial" w:eastAsia="Times New Roman" w:hAnsi="Arial" w:cs="Arial"/>
          <w:color w:val="000000" w:themeColor="text1"/>
          <w:sz w:val="20"/>
          <w:szCs w:val="20"/>
        </w:rPr>
        <w:t>, O., &amp; Martinez, M. (2019). Polyphenols and cardiovascular protection: Mechanisms and potential clinical influence. Journal of Nutritional Biochemistry, 70, 1–12.</w:t>
      </w:r>
    </w:p>
    <w:p w14:paraId="73AEF94A"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Ganesan, K., &amp; Xu, B. (2017). Polyphenol-rich dry common beans (Phaseolus vulgaris L.) and their health benefits. International Journal of Molecular Sciences, 18(11), 2331.</w:t>
      </w:r>
    </w:p>
    <w:p w14:paraId="1A9E784F"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Ganesan, K., &amp; Xu, B. (2017). Polyphenols as potential nanocarriers in cardiovascular disease management. Food &amp; Function, 8(5), 1500–1515.</w:t>
      </w:r>
    </w:p>
    <w:p w14:paraId="4C7A1BE1"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Gupta, P. D., &amp; </w:t>
      </w:r>
      <w:proofErr w:type="spellStart"/>
      <w:r w:rsidRPr="00663041">
        <w:rPr>
          <w:rFonts w:ascii="Arial" w:eastAsia="Times New Roman" w:hAnsi="Arial" w:cs="Arial"/>
          <w:color w:val="000000" w:themeColor="text1"/>
          <w:sz w:val="20"/>
          <w:szCs w:val="20"/>
        </w:rPr>
        <w:t>Birdi</w:t>
      </w:r>
      <w:proofErr w:type="spellEnd"/>
      <w:r w:rsidRPr="00663041">
        <w:rPr>
          <w:rFonts w:ascii="Arial" w:eastAsia="Times New Roman" w:hAnsi="Arial" w:cs="Arial"/>
          <w:color w:val="000000" w:themeColor="text1"/>
          <w:sz w:val="20"/>
          <w:szCs w:val="20"/>
        </w:rPr>
        <w:t>, T. J. (2020). Development of botanicals to combat antibiotic resistance. Journal of Ayurveda and Integrative Medicine, 11(1), 82–91.</w:t>
      </w:r>
    </w:p>
    <w:p w14:paraId="038C74E3"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Gupta, R., &amp; Kumar, S. (2020). Standardization challenges in plant-based therapeutics: Implications for cardiovascular research. Journal of Ethnopharmacology, 250, 112482.</w:t>
      </w:r>
    </w:p>
    <w:p w14:paraId="3E6CDC64"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lastRenderedPageBreak/>
        <w:t xml:space="preserve">Gupta, S., &amp; Zhang, D. (2004). Role of dietary phytochemicals in prevention and therapy of cardiovascular diseases. </w:t>
      </w:r>
      <w:r w:rsidRPr="00C7762B">
        <w:rPr>
          <w:rStyle w:val="Emphasis"/>
          <w:rFonts w:ascii="Arial" w:hAnsi="Arial" w:cs="Arial"/>
          <w:color w:val="000000" w:themeColor="text1"/>
          <w:sz w:val="20"/>
          <w:szCs w:val="20"/>
        </w:rPr>
        <w:t>Current Opinion in Clinical Nutrition and Metabolic Care, 7</w:t>
      </w:r>
      <w:r w:rsidRPr="00C7762B">
        <w:rPr>
          <w:rFonts w:ascii="Arial" w:hAnsi="Arial" w:cs="Arial"/>
          <w:color w:val="000000" w:themeColor="text1"/>
          <w:sz w:val="20"/>
          <w:szCs w:val="20"/>
        </w:rPr>
        <w:t>(5), 567–573.</w:t>
      </w:r>
    </w:p>
    <w:p w14:paraId="714FBD7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Habtemariam</w:t>
      </w:r>
      <w:proofErr w:type="spellEnd"/>
      <w:r w:rsidRPr="00C7762B">
        <w:rPr>
          <w:rFonts w:ascii="Arial" w:hAnsi="Arial" w:cs="Arial"/>
          <w:color w:val="000000" w:themeColor="text1"/>
          <w:sz w:val="20"/>
          <w:szCs w:val="20"/>
        </w:rPr>
        <w:t xml:space="preserve">, S., &amp; </w:t>
      </w:r>
      <w:proofErr w:type="spellStart"/>
      <w:r w:rsidRPr="00C7762B">
        <w:rPr>
          <w:rFonts w:ascii="Arial" w:hAnsi="Arial" w:cs="Arial"/>
          <w:color w:val="000000" w:themeColor="text1"/>
          <w:sz w:val="20"/>
          <w:szCs w:val="20"/>
        </w:rPr>
        <w:t>Lentini</w:t>
      </w:r>
      <w:proofErr w:type="spellEnd"/>
      <w:r w:rsidRPr="00C7762B">
        <w:rPr>
          <w:rFonts w:ascii="Arial" w:hAnsi="Arial" w:cs="Arial"/>
          <w:color w:val="000000" w:themeColor="text1"/>
          <w:sz w:val="20"/>
          <w:szCs w:val="20"/>
        </w:rPr>
        <w:t xml:space="preserve">, G. (2015). Plant-derived anticancer agents: Lessons from the pharmacology of </w:t>
      </w:r>
      <w:r w:rsidRPr="00C7762B">
        <w:rPr>
          <w:rStyle w:val="Emphasis"/>
          <w:rFonts w:ascii="Arial" w:hAnsi="Arial" w:cs="Arial"/>
          <w:color w:val="000000" w:themeColor="text1"/>
          <w:sz w:val="20"/>
          <w:szCs w:val="20"/>
        </w:rPr>
        <w:t xml:space="preserve">Genus </w:t>
      </w:r>
      <w:proofErr w:type="spellStart"/>
      <w:r w:rsidRPr="00C7762B">
        <w:rPr>
          <w:rStyle w:val="Emphasis"/>
          <w:rFonts w:ascii="Arial" w:hAnsi="Arial" w:cs="Arial"/>
          <w:color w:val="000000" w:themeColor="text1"/>
          <w:sz w:val="20"/>
          <w:szCs w:val="20"/>
        </w:rPr>
        <w:t>Crataegus</w:t>
      </w:r>
      <w:proofErr w:type="spellEnd"/>
      <w:r w:rsidRPr="00C7762B">
        <w:rPr>
          <w:rFonts w:ascii="Arial" w:hAnsi="Arial" w:cs="Arial"/>
          <w:color w:val="000000" w:themeColor="text1"/>
          <w:sz w:val="20"/>
          <w:szCs w:val="20"/>
        </w:rPr>
        <w:t xml:space="preserve">. </w:t>
      </w:r>
      <w:r w:rsidRPr="00C7762B">
        <w:rPr>
          <w:rStyle w:val="Emphasis"/>
          <w:rFonts w:ascii="Arial" w:hAnsi="Arial" w:cs="Arial"/>
          <w:color w:val="000000" w:themeColor="text1"/>
          <w:sz w:val="20"/>
          <w:szCs w:val="20"/>
        </w:rPr>
        <w:t>Current Medicinal Chemistry, 22</w:t>
      </w:r>
      <w:r w:rsidRPr="00C7762B">
        <w:rPr>
          <w:rFonts w:ascii="Arial" w:hAnsi="Arial" w:cs="Arial"/>
          <w:color w:val="000000" w:themeColor="text1"/>
          <w:sz w:val="20"/>
          <w:szCs w:val="20"/>
        </w:rPr>
        <w:t>(10), 1228–1241.</w:t>
      </w:r>
    </w:p>
    <w:p w14:paraId="1B23A571"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Hosseinimehr</w:t>
      </w:r>
      <w:proofErr w:type="spellEnd"/>
      <w:r w:rsidRPr="00C7762B">
        <w:rPr>
          <w:rFonts w:ascii="Arial" w:hAnsi="Arial" w:cs="Arial"/>
          <w:color w:val="000000" w:themeColor="text1"/>
          <w:sz w:val="20"/>
          <w:szCs w:val="20"/>
        </w:rPr>
        <w:t xml:space="preserve">, S. J. (2010). Flavonoids and cardiovascular health: Therapeutic potential of antioxidant effects. </w:t>
      </w:r>
      <w:r w:rsidRPr="00C7762B">
        <w:rPr>
          <w:rStyle w:val="Emphasis"/>
          <w:rFonts w:ascii="Arial" w:hAnsi="Arial" w:cs="Arial"/>
          <w:color w:val="000000" w:themeColor="text1"/>
          <w:sz w:val="20"/>
          <w:szCs w:val="20"/>
        </w:rPr>
        <w:t>European Journal of Medicinal Chemistry, 45</w:t>
      </w:r>
      <w:r w:rsidRPr="00C7762B">
        <w:rPr>
          <w:rFonts w:ascii="Arial" w:hAnsi="Arial" w:cs="Arial"/>
          <w:color w:val="000000" w:themeColor="text1"/>
          <w:sz w:val="20"/>
          <w:szCs w:val="20"/>
        </w:rPr>
        <w:t>(10), 4536–4543.</w:t>
      </w:r>
    </w:p>
    <w:p w14:paraId="418EB099"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Ignarro</w:t>
      </w:r>
      <w:proofErr w:type="spellEnd"/>
      <w:r w:rsidRPr="00C7762B">
        <w:rPr>
          <w:rFonts w:ascii="Arial" w:hAnsi="Arial" w:cs="Arial"/>
          <w:color w:val="000000" w:themeColor="text1"/>
          <w:sz w:val="20"/>
          <w:szCs w:val="20"/>
        </w:rPr>
        <w:t xml:space="preserve">, L. J., </w:t>
      </w:r>
      <w:proofErr w:type="spellStart"/>
      <w:r w:rsidRPr="00C7762B">
        <w:rPr>
          <w:rFonts w:ascii="Arial" w:hAnsi="Arial" w:cs="Arial"/>
          <w:color w:val="000000" w:themeColor="text1"/>
          <w:sz w:val="20"/>
          <w:szCs w:val="20"/>
        </w:rPr>
        <w:t>Cirino</w:t>
      </w:r>
      <w:proofErr w:type="spellEnd"/>
      <w:r w:rsidRPr="00C7762B">
        <w:rPr>
          <w:rFonts w:ascii="Arial" w:hAnsi="Arial" w:cs="Arial"/>
          <w:color w:val="000000" w:themeColor="text1"/>
          <w:sz w:val="20"/>
          <w:szCs w:val="20"/>
        </w:rPr>
        <w:t xml:space="preserve">, G., </w:t>
      </w:r>
      <w:proofErr w:type="spellStart"/>
      <w:r w:rsidRPr="00C7762B">
        <w:rPr>
          <w:rFonts w:ascii="Arial" w:hAnsi="Arial" w:cs="Arial"/>
          <w:color w:val="000000" w:themeColor="text1"/>
          <w:sz w:val="20"/>
          <w:szCs w:val="20"/>
        </w:rPr>
        <w:t>Casini</w:t>
      </w:r>
      <w:proofErr w:type="spellEnd"/>
      <w:r w:rsidRPr="00C7762B">
        <w:rPr>
          <w:rFonts w:ascii="Arial" w:hAnsi="Arial" w:cs="Arial"/>
          <w:color w:val="000000" w:themeColor="text1"/>
          <w:sz w:val="20"/>
          <w:szCs w:val="20"/>
        </w:rPr>
        <w:t xml:space="preserve">, A., &amp; Napoli, C. (1999). Nitric oxide as a mediator in cardiovascular health. </w:t>
      </w:r>
      <w:r w:rsidRPr="00C7762B">
        <w:rPr>
          <w:rStyle w:val="Emphasis"/>
          <w:rFonts w:ascii="Arial" w:hAnsi="Arial" w:cs="Arial"/>
          <w:color w:val="000000" w:themeColor="text1"/>
          <w:sz w:val="20"/>
          <w:szCs w:val="20"/>
        </w:rPr>
        <w:t>Proceedings of the National Academy of Sciences, 96</w:t>
      </w:r>
      <w:r w:rsidRPr="00C7762B">
        <w:rPr>
          <w:rFonts w:ascii="Arial" w:hAnsi="Arial" w:cs="Arial"/>
          <w:color w:val="000000" w:themeColor="text1"/>
          <w:sz w:val="20"/>
          <w:szCs w:val="20"/>
        </w:rPr>
        <w:t>(23), 13549–13554.</w:t>
      </w:r>
    </w:p>
    <w:p w14:paraId="1A19C18A"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Kapoor, R., &amp; </w:t>
      </w:r>
      <w:proofErr w:type="spellStart"/>
      <w:r w:rsidRPr="00C7762B">
        <w:rPr>
          <w:rFonts w:ascii="Arial" w:hAnsi="Arial" w:cs="Arial"/>
          <w:color w:val="000000" w:themeColor="text1"/>
          <w:sz w:val="20"/>
          <w:szCs w:val="20"/>
        </w:rPr>
        <w:t>Kakkar</w:t>
      </w:r>
      <w:proofErr w:type="spellEnd"/>
      <w:r w:rsidRPr="00C7762B">
        <w:rPr>
          <w:rFonts w:ascii="Arial" w:hAnsi="Arial" w:cs="Arial"/>
          <w:color w:val="000000" w:themeColor="text1"/>
          <w:sz w:val="20"/>
          <w:szCs w:val="20"/>
        </w:rPr>
        <w:t xml:space="preserve">, P. (2012). Naringenin (citrus flavanone): A promising therapeutic agent for cardiovascular disease. </w:t>
      </w:r>
      <w:r w:rsidRPr="00C7762B">
        <w:rPr>
          <w:rStyle w:val="Emphasis"/>
          <w:rFonts w:ascii="Arial" w:hAnsi="Arial" w:cs="Arial"/>
          <w:color w:val="000000" w:themeColor="text1"/>
          <w:sz w:val="20"/>
          <w:szCs w:val="20"/>
        </w:rPr>
        <w:t>Critical Reviews in Food Science and Nutrition, 52</w:t>
      </w:r>
      <w:r w:rsidRPr="00C7762B">
        <w:rPr>
          <w:rFonts w:ascii="Arial" w:hAnsi="Arial" w:cs="Arial"/>
          <w:color w:val="000000" w:themeColor="text1"/>
          <w:sz w:val="20"/>
          <w:szCs w:val="20"/>
        </w:rPr>
        <w:t>(6), 495–505.</w:t>
      </w:r>
    </w:p>
    <w:p w14:paraId="69228A72"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Khan, N., &amp; Mukhtar, H. (2008). Multi-targeted therapy of cancer by green tea polyphenols. </w:t>
      </w:r>
      <w:r w:rsidRPr="00C7762B">
        <w:rPr>
          <w:rStyle w:val="Emphasis"/>
          <w:rFonts w:ascii="Arial" w:hAnsi="Arial" w:cs="Arial"/>
          <w:color w:val="000000" w:themeColor="text1"/>
          <w:sz w:val="20"/>
          <w:szCs w:val="20"/>
        </w:rPr>
        <w:t>Cancer Letters, 269</w:t>
      </w:r>
      <w:r w:rsidRPr="00C7762B">
        <w:rPr>
          <w:rFonts w:ascii="Arial" w:hAnsi="Arial" w:cs="Arial"/>
          <w:color w:val="000000" w:themeColor="text1"/>
          <w:sz w:val="20"/>
          <w:szCs w:val="20"/>
        </w:rPr>
        <w:t>(2), 269–280.</w:t>
      </w:r>
    </w:p>
    <w:p w14:paraId="6D2623E8"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Knekt</w:t>
      </w:r>
      <w:proofErr w:type="spellEnd"/>
      <w:r w:rsidRPr="00C7762B">
        <w:rPr>
          <w:rFonts w:ascii="Arial" w:hAnsi="Arial" w:cs="Arial"/>
          <w:color w:val="000000" w:themeColor="text1"/>
          <w:sz w:val="20"/>
          <w:szCs w:val="20"/>
        </w:rPr>
        <w:t xml:space="preserve">, P., </w:t>
      </w:r>
      <w:proofErr w:type="spellStart"/>
      <w:r w:rsidRPr="00C7762B">
        <w:rPr>
          <w:rFonts w:ascii="Arial" w:hAnsi="Arial" w:cs="Arial"/>
          <w:color w:val="000000" w:themeColor="text1"/>
          <w:sz w:val="20"/>
          <w:szCs w:val="20"/>
        </w:rPr>
        <w:t>Kumpulainen</w:t>
      </w:r>
      <w:proofErr w:type="spellEnd"/>
      <w:r w:rsidRPr="00C7762B">
        <w:rPr>
          <w:rFonts w:ascii="Arial" w:hAnsi="Arial" w:cs="Arial"/>
          <w:color w:val="000000" w:themeColor="text1"/>
          <w:sz w:val="20"/>
          <w:szCs w:val="20"/>
        </w:rPr>
        <w:t xml:space="preserve">, J., </w:t>
      </w:r>
      <w:proofErr w:type="spellStart"/>
      <w:r w:rsidRPr="00C7762B">
        <w:rPr>
          <w:rFonts w:ascii="Arial" w:hAnsi="Arial" w:cs="Arial"/>
          <w:color w:val="000000" w:themeColor="text1"/>
          <w:sz w:val="20"/>
          <w:szCs w:val="20"/>
        </w:rPr>
        <w:t>Järvinen</w:t>
      </w:r>
      <w:proofErr w:type="spellEnd"/>
      <w:r w:rsidRPr="00C7762B">
        <w:rPr>
          <w:rFonts w:ascii="Arial" w:hAnsi="Arial" w:cs="Arial"/>
          <w:color w:val="000000" w:themeColor="text1"/>
          <w:sz w:val="20"/>
          <w:szCs w:val="20"/>
        </w:rPr>
        <w:t xml:space="preserve">, R., </w:t>
      </w:r>
      <w:proofErr w:type="spellStart"/>
      <w:r w:rsidRPr="00C7762B">
        <w:rPr>
          <w:rFonts w:ascii="Arial" w:hAnsi="Arial" w:cs="Arial"/>
          <w:color w:val="000000" w:themeColor="text1"/>
          <w:sz w:val="20"/>
          <w:szCs w:val="20"/>
        </w:rPr>
        <w:t>Rissanen</w:t>
      </w:r>
      <w:proofErr w:type="spellEnd"/>
      <w:r w:rsidRPr="00C7762B">
        <w:rPr>
          <w:rFonts w:ascii="Arial" w:hAnsi="Arial" w:cs="Arial"/>
          <w:color w:val="000000" w:themeColor="text1"/>
          <w:sz w:val="20"/>
          <w:szCs w:val="20"/>
        </w:rPr>
        <w:t xml:space="preserve">, H., </w:t>
      </w:r>
      <w:proofErr w:type="spellStart"/>
      <w:r w:rsidRPr="00C7762B">
        <w:rPr>
          <w:rFonts w:ascii="Arial" w:hAnsi="Arial" w:cs="Arial"/>
          <w:color w:val="000000" w:themeColor="text1"/>
          <w:sz w:val="20"/>
          <w:szCs w:val="20"/>
        </w:rPr>
        <w:t>Heliövaara</w:t>
      </w:r>
      <w:proofErr w:type="spellEnd"/>
      <w:r w:rsidRPr="00C7762B">
        <w:rPr>
          <w:rFonts w:ascii="Arial" w:hAnsi="Arial" w:cs="Arial"/>
          <w:color w:val="000000" w:themeColor="text1"/>
          <w:sz w:val="20"/>
          <w:szCs w:val="20"/>
        </w:rPr>
        <w:t xml:space="preserve">, M., </w:t>
      </w:r>
      <w:proofErr w:type="spellStart"/>
      <w:r w:rsidRPr="00C7762B">
        <w:rPr>
          <w:rFonts w:ascii="Arial" w:hAnsi="Arial" w:cs="Arial"/>
          <w:color w:val="000000" w:themeColor="text1"/>
          <w:sz w:val="20"/>
          <w:szCs w:val="20"/>
        </w:rPr>
        <w:t>Reunanen</w:t>
      </w:r>
      <w:proofErr w:type="spellEnd"/>
      <w:r w:rsidRPr="00C7762B">
        <w:rPr>
          <w:rFonts w:ascii="Arial" w:hAnsi="Arial" w:cs="Arial"/>
          <w:color w:val="000000" w:themeColor="text1"/>
          <w:sz w:val="20"/>
          <w:szCs w:val="20"/>
        </w:rPr>
        <w:t xml:space="preserve">, A., et al. (2002). Flavonoid intake and risk of chronic diseases. </w:t>
      </w:r>
      <w:r w:rsidRPr="00C7762B">
        <w:rPr>
          <w:rStyle w:val="Emphasis"/>
          <w:rFonts w:ascii="Arial" w:hAnsi="Arial" w:cs="Arial"/>
          <w:color w:val="000000" w:themeColor="text1"/>
          <w:sz w:val="20"/>
          <w:szCs w:val="20"/>
        </w:rPr>
        <w:t>American Journal of Clinical Nutrition, 76</w:t>
      </w:r>
      <w:r w:rsidRPr="00C7762B">
        <w:rPr>
          <w:rFonts w:ascii="Arial" w:hAnsi="Arial" w:cs="Arial"/>
          <w:color w:val="000000" w:themeColor="text1"/>
          <w:sz w:val="20"/>
          <w:szCs w:val="20"/>
        </w:rPr>
        <w:t>(3), 560–568.</w:t>
      </w:r>
    </w:p>
    <w:p w14:paraId="6B3C7C15"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Kumar, S., Pandey, A. K., &amp; Tripathi, V. (2020). Gut microbiota and human health: A review with emphasis on phytochemicals. Current Pharmaceutical Biotechnology, 21(15), 1381–1393.</w:t>
      </w:r>
    </w:p>
    <w:p w14:paraId="0A7114C3"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Landete</w:t>
      </w:r>
      <w:proofErr w:type="spellEnd"/>
      <w:r w:rsidRPr="00C7762B">
        <w:rPr>
          <w:rFonts w:ascii="Arial" w:hAnsi="Arial" w:cs="Arial"/>
          <w:color w:val="000000" w:themeColor="text1"/>
          <w:sz w:val="20"/>
          <w:szCs w:val="20"/>
        </w:rPr>
        <w:t xml:space="preserve">, J. M. (2013). Updated knowledge about polyphenols: Functions, bioavailability, and health benefits. </w:t>
      </w:r>
      <w:r w:rsidRPr="00C7762B">
        <w:rPr>
          <w:rStyle w:val="Emphasis"/>
          <w:rFonts w:ascii="Arial" w:hAnsi="Arial" w:cs="Arial"/>
          <w:color w:val="000000" w:themeColor="text1"/>
          <w:sz w:val="20"/>
          <w:szCs w:val="20"/>
        </w:rPr>
        <w:t>Critical Reviews in Food Science and Nutrition, 53</w:t>
      </w:r>
      <w:r w:rsidRPr="00C7762B">
        <w:rPr>
          <w:rFonts w:ascii="Arial" w:hAnsi="Arial" w:cs="Arial"/>
          <w:color w:val="000000" w:themeColor="text1"/>
          <w:sz w:val="20"/>
          <w:szCs w:val="20"/>
        </w:rPr>
        <w:t>(7), 736–748.</w:t>
      </w:r>
    </w:p>
    <w:p w14:paraId="2F363C4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Larsson, S. C., </w:t>
      </w:r>
      <w:proofErr w:type="spellStart"/>
      <w:r w:rsidRPr="00C7762B">
        <w:rPr>
          <w:rFonts w:ascii="Arial" w:hAnsi="Arial" w:cs="Arial"/>
          <w:color w:val="000000" w:themeColor="text1"/>
          <w:sz w:val="20"/>
          <w:szCs w:val="20"/>
        </w:rPr>
        <w:t>Virtamo</w:t>
      </w:r>
      <w:proofErr w:type="spellEnd"/>
      <w:r w:rsidRPr="00C7762B">
        <w:rPr>
          <w:rFonts w:ascii="Arial" w:hAnsi="Arial" w:cs="Arial"/>
          <w:color w:val="000000" w:themeColor="text1"/>
          <w:sz w:val="20"/>
          <w:szCs w:val="20"/>
        </w:rPr>
        <w:t xml:space="preserve">, J., &amp; </w:t>
      </w:r>
      <w:proofErr w:type="spellStart"/>
      <w:r w:rsidRPr="00C7762B">
        <w:rPr>
          <w:rFonts w:ascii="Arial" w:hAnsi="Arial" w:cs="Arial"/>
          <w:color w:val="000000" w:themeColor="text1"/>
          <w:sz w:val="20"/>
          <w:szCs w:val="20"/>
        </w:rPr>
        <w:t>Wolk</w:t>
      </w:r>
      <w:proofErr w:type="spellEnd"/>
      <w:r w:rsidRPr="00C7762B">
        <w:rPr>
          <w:rFonts w:ascii="Arial" w:hAnsi="Arial" w:cs="Arial"/>
          <w:color w:val="000000" w:themeColor="text1"/>
          <w:sz w:val="20"/>
          <w:szCs w:val="20"/>
        </w:rPr>
        <w:t xml:space="preserve">, A. (2011). Black tea consumption and risk of stroke: A prospective cohort study. </w:t>
      </w:r>
      <w:r w:rsidRPr="00C7762B">
        <w:rPr>
          <w:rStyle w:val="Emphasis"/>
          <w:rFonts w:ascii="Arial" w:hAnsi="Arial" w:cs="Arial"/>
          <w:color w:val="000000" w:themeColor="text1"/>
          <w:sz w:val="20"/>
          <w:szCs w:val="20"/>
        </w:rPr>
        <w:t>Stroke, 42</w:t>
      </w:r>
      <w:r w:rsidRPr="00C7762B">
        <w:rPr>
          <w:rFonts w:ascii="Arial" w:hAnsi="Arial" w:cs="Arial"/>
          <w:color w:val="000000" w:themeColor="text1"/>
          <w:sz w:val="20"/>
          <w:szCs w:val="20"/>
        </w:rPr>
        <w:t>(2), 336–340.</w:t>
      </w:r>
    </w:p>
    <w:p w14:paraId="4EB45068"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Li, A. N., Li, S., Zhang, Y. J., Xu, X. R., Chen, Y. M., &amp; Li, H. B. (2018). Resources and biological activities of natural polyphenols. Nutrients, 6(12), 6020.</w:t>
      </w:r>
    </w:p>
    <w:p w14:paraId="767D77F9"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Liu, R. H. (2004). Potential synergy of phytochemicals in cancer prevention: Mechanism of action. </w:t>
      </w:r>
      <w:r w:rsidRPr="00C7762B">
        <w:rPr>
          <w:rStyle w:val="Emphasis"/>
          <w:rFonts w:ascii="Arial" w:hAnsi="Arial" w:cs="Arial"/>
          <w:color w:val="000000" w:themeColor="text1"/>
          <w:sz w:val="20"/>
          <w:szCs w:val="20"/>
        </w:rPr>
        <w:t>Journal of Nutrition, 134</w:t>
      </w:r>
      <w:r w:rsidRPr="00C7762B">
        <w:rPr>
          <w:rFonts w:ascii="Arial" w:hAnsi="Arial" w:cs="Arial"/>
          <w:color w:val="000000" w:themeColor="text1"/>
          <w:sz w:val="20"/>
          <w:szCs w:val="20"/>
        </w:rPr>
        <w:t>(12 Suppl), 3479S–3485S.</w:t>
      </w:r>
    </w:p>
    <w:p w14:paraId="467095A0"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Liu, Y., &amp; Sun, J. (2020). Dietary flavonoids intake and risk of cardiovascular disease: A meta-analysis of prospective cohort studies. Nutrition, Metabolism and Cardiovascular Diseases, 30(7), 1262–1270.</w:t>
      </w:r>
    </w:p>
    <w:p w14:paraId="6828F2DD"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Manach</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Scalbert</w:t>
      </w:r>
      <w:proofErr w:type="spellEnd"/>
      <w:r w:rsidRPr="00C7762B">
        <w:rPr>
          <w:rFonts w:ascii="Arial" w:hAnsi="Arial" w:cs="Arial"/>
          <w:color w:val="000000" w:themeColor="text1"/>
          <w:sz w:val="20"/>
          <w:szCs w:val="20"/>
        </w:rPr>
        <w:t xml:space="preserve">, A., </w:t>
      </w:r>
      <w:proofErr w:type="spellStart"/>
      <w:r w:rsidRPr="00C7762B">
        <w:rPr>
          <w:rFonts w:ascii="Arial" w:hAnsi="Arial" w:cs="Arial"/>
          <w:color w:val="000000" w:themeColor="text1"/>
          <w:sz w:val="20"/>
          <w:szCs w:val="20"/>
        </w:rPr>
        <w:t>Morand</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Rémésy</w:t>
      </w:r>
      <w:proofErr w:type="spellEnd"/>
      <w:r w:rsidRPr="00C7762B">
        <w:rPr>
          <w:rFonts w:ascii="Arial" w:hAnsi="Arial" w:cs="Arial"/>
          <w:color w:val="000000" w:themeColor="text1"/>
          <w:sz w:val="20"/>
          <w:szCs w:val="20"/>
        </w:rPr>
        <w:t xml:space="preserve">, C., &amp; Jiménez, L. (2004). Polyphenols: Food sources and bioavailability. </w:t>
      </w:r>
      <w:r w:rsidRPr="00C7762B">
        <w:rPr>
          <w:rStyle w:val="Emphasis"/>
          <w:rFonts w:ascii="Arial" w:hAnsi="Arial" w:cs="Arial"/>
          <w:color w:val="000000" w:themeColor="text1"/>
          <w:sz w:val="20"/>
          <w:szCs w:val="20"/>
        </w:rPr>
        <w:t>American Journal of Clinical Nutrition, 79</w:t>
      </w:r>
      <w:r w:rsidRPr="00C7762B">
        <w:rPr>
          <w:rFonts w:ascii="Arial" w:hAnsi="Arial" w:cs="Arial"/>
          <w:color w:val="000000" w:themeColor="text1"/>
          <w:sz w:val="20"/>
          <w:szCs w:val="20"/>
        </w:rPr>
        <w:t>(5), 727–747.</w:t>
      </w:r>
    </w:p>
    <w:p w14:paraId="05F9FD0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Middleton, E., Jr., </w:t>
      </w:r>
      <w:proofErr w:type="spellStart"/>
      <w:r w:rsidRPr="00C7762B">
        <w:rPr>
          <w:rFonts w:ascii="Arial" w:hAnsi="Arial" w:cs="Arial"/>
          <w:color w:val="000000" w:themeColor="text1"/>
          <w:sz w:val="20"/>
          <w:szCs w:val="20"/>
        </w:rPr>
        <w:t>Kandaswami</w:t>
      </w:r>
      <w:proofErr w:type="spellEnd"/>
      <w:r w:rsidRPr="00C7762B">
        <w:rPr>
          <w:rFonts w:ascii="Arial" w:hAnsi="Arial" w:cs="Arial"/>
          <w:color w:val="000000" w:themeColor="text1"/>
          <w:sz w:val="20"/>
          <w:szCs w:val="20"/>
        </w:rPr>
        <w:t xml:space="preserve">, C., &amp; </w:t>
      </w:r>
      <w:proofErr w:type="spellStart"/>
      <w:r w:rsidRPr="00C7762B">
        <w:rPr>
          <w:rFonts w:ascii="Arial" w:hAnsi="Arial" w:cs="Arial"/>
          <w:color w:val="000000" w:themeColor="text1"/>
          <w:sz w:val="20"/>
          <w:szCs w:val="20"/>
        </w:rPr>
        <w:t>Theoharides</w:t>
      </w:r>
      <w:proofErr w:type="spellEnd"/>
      <w:r w:rsidRPr="00C7762B">
        <w:rPr>
          <w:rFonts w:ascii="Arial" w:hAnsi="Arial" w:cs="Arial"/>
          <w:color w:val="000000" w:themeColor="text1"/>
          <w:sz w:val="20"/>
          <w:szCs w:val="20"/>
        </w:rPr>
        <w:t xml:space="preserve">, T. C. (2000). The effects of plant flavonoids on mammalian cells: Implications for inflammation, heart disease, and cancer. </w:t>
      </w:r>
      <w:r w:rsidRPr="00C7762B">
        <w:rPr>
          <w:rStyle w:val="Emphasis"/>
          <w:rFonts w:ascii="Arial" w:hAnsi="Arial" w:cs="Arial"/>
          <w:color w:val="000000" w:themeColor="text1"/>
          <w:sz w:val="20"/>
          <w:szCs w:val="20"/>
        </w:rPr>
        <w:t>Pharmacological Reviews, 52</w:t>
      </w:r>
      <w:r w:rsidRPr="00C7762B">
        <w:rPr>
          <w:rFonts w:ascii="Arial" w:hAnsi="Arial" w:cs="Arial"/>
          <w:color w:val="000000" w:themeColor="text1"/>
          <w:sz w:val="20"/>
          <w:szCs w:val="20"/>
        </w:rPr>
        <w:t>(4), 673–751.</w:t>
      </w:r>
    </w:p>
    <w:p w14:paraId="626CA8D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Nakagawa, T., </w:t>
      </w:r>
      <w:proofErr w:type="spellStart"/>
      <w:r w:rsidRPr="00C7762B">
        <w:rPr>
          <w:rFonts w:ascii="Arial" w:hAnsi="Arial" w:cs="Arial"/>
          <w:color w:val="000000" w:themeColor="text1"/>
          <w:sz w:val="20"/>
          <w:szCs w:val="20"/>
        </w:rPr>
        <w:t>Yokozawa</w:t>
      </w:r>
      <w:proofErr w:type="spellEnd"/>
      <w:r w:rsidRPr="00C7762B">
        <w:rPr>
          <w:rFonts w:ascii="Arial" w:hAnsi="Arial" w:cs="Arial"/>
          <w:color w:val="000000" w:themeColor="text1"/>
          <w:sz w:val="20"/>
          <w:szCs w:val="20"/>
        </w:rPr>
        <w:t xml:space="preserve">, T., </w:t>
      </w:r>
      <w:proofErr w:type="spellStart"/>
      <w:r w:rsidRPr="00C7762B">
        <w:rPr>
          <w:rFonts w:ascii="Arial" w:hAnsi="Arial" w:cs="Arial"/>
          <w:color w:val="000000" w:themeColor="text1"/>
          <w:sz w:val="20"/>
          <w:szCs w:val="20"/>
        </w:rPr>
        <w:t>Terasawa</w:t>
      </w:r>
      <w:proofErr w:type="spellEnd"/>
      <w:r w:rsidRPr="00C7762B">
        <w:rPr>
          <w:rFonts w:ascii="Arial" w:hAnsi="Arial" w:cs="Arial"/>
          <w:color w:val="000000" w:themeColor="text1"/>
          <w:sz w:val="20"/>
          <w:szCs w:val="20"/>
        </w:rPr>
        <w:t xml:space="preserve">, K., Shu, S., &amp; </w:t>
      </w:r>
      <w:proofErr w:type="spellStart"/>
      <w:r w:rsidRPr="00C7762B">
        <w:rPr>
          <w:rFonts w:ascii="Arial" w:hAnsi="Arial" w:cs="Arial"/>
          <w:color w:val="000000" w:themeColor="text1"/>
          <w:sz w:val="20"/>
          <w:szCs w:val="20"/>
        </w:rPr>
        <w:t>Juneja</w:t>
      </w:r>
      <w:proofErr w:type="spellEnd"/>
      <w:r w:rsidRPr="00C7762B">
        <w:rPr>
          <w:rFonts w:ascii="Arial" w:hAnsi="Arial" w:cs="Arial"/>
          <w:color w:val="000000" w:themeColor="text1"/>
          <w:sz w:val="20"/>
          <w:szCs w:val="20"/>
        </w:rPr>
        <w:t xml:space="preserve">, L. R. (2002). Green tea catechins with antioxidant activity reduce serum lipids and fat deposits in rats. </w:t>
      </w:r>
      <w:r w:rsidRPr="00C7762B">
        <w:rPr>
          <w:rStyle w:val="Emphasis"/>
          <w:rFonts w:ascii="Arial" w:hAnsi="Arial" w:cs="Arial"/>
          <w:color w:val="000000" w:themeColor="text1"/>
          <w:sz w:val="20"/>
          <w:szCs w:val="20"/>
        </w:rPr>
        <w:t>Food and Chemical Toxicology, 40</w:t>
      </w:r>
      <w:r w:rsidRPr="00C7762B">
        <w:rPr>
          <w:rFonts w:ascii="Arial" w:hAnsi="Arial" w:cs="Arial"/>
          <w:color w:val="000000" w:themeColor="text1"/>
          <w:sz w:val="20"/>
          <w:szCs w:val="20"/>
        </w:rPr>
        <w:t>(5), 701–707.</w:t>
      </w:r>
    </w:p>
    <w:p w14:paraId="7D9736B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Okwu</w:t>
      </w:r>
      <w:proofErr w:type="spellEnd"/>
      <w:r w:rsidRPr="00C7762B">
        <w:rPr>
          <w:rFonts w:ascii="Arial" w:hAnsi="Arial" w:cs="Arial"/>
          <w:color w:val="000000" w:themeColor="text1"/>
          <w:sz w:val="20"/>
          <w:szCs w:val="20"/>
        </w:rPr>
        <w:t xml:space="preserve">, D. E., &amp; Josiah, C. (2006). Evaluation of the chemical composition of two Nigerian medicinal plants. </w:t>
      </w:r>
      <w:r w:rsidRPr="00C7762B">
        <w:rPr>
          <w:rStyle w:val="Emphasis"/>
          <w:rFonts w:ascii="Arial" w:hAnsi="Arial" w:cs="Arial"/>
          <w:color w:val="000000" w:themeColor="text1"/>
          <w:sz w:val="20"/>
          <w:szCs w:val="20"/>
        </w:rPr>
        <w:t>African Journal of Biotechnology, 5</w:t>
      </w:r>
      <w:r w:rsidRPr="00C7762B">
        <w:rPr>
          <w:rFonts w:ascii="Arial" w:hAnsi="Arial" w:cs="Arial"/>
          <w:color w:val="000000" w:themeColor="text1"/>
          <w:sz w:val="20"/>
          <w:szCs w:val="20"/>
        </w:rPr>
        <w:t>(4), 357–361.</w:t>
      </w:r>
    </w:p>
    <w:p w14:paraId="2D1C1F0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Packer, L., </w:t>
      </w:r>
      <w:proofErr w:type="spellStart"/>
      <w:r w:rsidRPr="00C7762B">
        <w:rPr>
          <w:rFonts w:ascii="Arial" w:hAnsi="Arial" w:cs="Arial"/>
          <w:color w:val="000000" w:themeColor="text1"/>
          <w:sz w:val="20"/>
          <w:szCs w:val="20"/>
        </w:rPr>
        <w:t>Rimbach</w:t>
      </w:r>
      <w:proofErr w:type="spellEnd"/>
      <w:r w:rsidRPr="00C7762B">
        <w:rPr>
          <w:rFonts w:ascii="Arial" w:hAnsi="Arial" w:cs="Arial"/>
          <w:color w:val="000000" w:themeColor="text1"/>
          <w:sz w:val="20"/>
          <w:szCs w:val="20"/>
        </w:rPr>
        <w:t xml:space="preserve">, G., &amp; </w:t>
      </w:r>
      <w:proofErr w:type="spellStart"/>
      <w:r w:rsidRPr="00C7762B">
        <w:rPr>
          <w:rFonts w:ascii="Arial" w:hAnsi="Arial" w:cs="Arial"/>
          <w:color w:val="000000" w:themeColor="text1"/>
          <w:sz w:val="20"/>
          <w:szCs w:val="20"/>
        </w:rPr>
        <w:t>Virgili</w:t>
      </w:r>
      <w:proofErr w:type="spellEnd"/>
      <w:r w:rsidRPr="00C7762B">
        <w:rPr>
          <w:rFonts w:ascii="Arial" w:hAnsi="Arial" w:cs="Arial"/>
          <w:color w:val="000000" w:themeColor="text1"/>
          <w:sz w:val="20"/>
          <w:szCs w:val="20"/>
        </w:rPr>
        <w:t>, F. (1999). Antioxidant activity and biological properties of a procyanidin-rich extract from pine (</w:t>
      </w:r>
      <w:proofErr w:type="spellStart"/>
      <w:r w:rsidRPr="00C7762B">
        <w:rPr>
          <w:rStyle w:val="Emphasis"/>
          <w:rFonts w:ascii="Arial" w:hAnsi="Arial" w:cs="Arial"/>
          <w:color w:val="000000" w:themeColor="text1"/>
          <w:sz w:val="20"/>
          <w:szCs w:val="20"/>
        </w:rPr>
        <w:t>Pinus</w:t>
      </w:r>
      <w:proofErr w:type="spellEnd"/>
      <w:r w:rsidRPr="00C7762B">
        <w:rPr>
          <w:rStyle w:val="Emphasis"/>
          <w:rFonts w:ascii="Arial" w:hAnsi="Arial" w:cs="Arial"/>
          <w:color w:val="000000" w:themeColor="text1"/>
          <w:sz w:val="20"/>
          <w:szCs w:val="20"/>
        </w:rPr>
        <w:t xml:space="preserve"> </w:t>
      </w:r>
      <w:proofErr w:type="spellStart"/>
      <w:r w:rsidRPr="00C7762B">
        <w:rPr>
          <w:rStyle w:val="Emphasis"/>
          <w:rFonts w:ascii="Arial" w:hAnsi="Arial" w:cs="Arial"/>
          <w:color w:val="000000" w:themeColor="text1"/>
          <w:sz w:val="20"/>
          <w:szCs w:val="20"/>
        </w:rPr>
        <w:t>maritima</w:t>
      </w:r>
      <w:proofErr w:type="spellEnd"/>
      <w:r w:rsidRPr="00C7762B">
        <w:rPr>
          <w:rFonts w:ascii="Arial" w:hAnsi="Arial" w:cs="Arial"/>
          <w:color w:val="000000" w:themeColor="text1"/>
          <w:sz w:val="20"/>
          <w:szCs w:val="20"/>
        </w:rPr>
        <w:t xml:space="preserve">) bark. </w:t>
      </w:r>
      <w:r w:rsidRPr="00C7762B">
        <w:rPr>
          <w:rStyle w:val="Emphasis"/>
          <w:rFonts w:ascii="Arial" w:hAnsi="Arial" w:cs="Arial"/>
          <w:color w:val="000000" w:themeColor="text1"/>
          <w:sz w:val="20"/>
          <w:szCs w:val="20"/>
        </w:rPr>
        <w:t>Pharmacological Research, 40</w:t>
      </w:r>
      <w:r w:rsidRPr="00C7762B">
        <w:rPr>
          <w:rFonts w:ascii="Arial" w:hAnsi="Arial" w:cs="Arial"/>
          <w:color w:val="000000" w:themeColor="text1"/>
          <w:sz w:val="20"/>
          <w:szCs w:val="20"/>
        </w:rPr>
        <w:t>(5), 361–368.</w:t>
      </w:r>
    </w:p>
    <w:p w14:paraId="2ADED05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lastRenderedPageBreak/>
        <w:t xml:space="preserve">Pandey, K. B., &amp; Rizvi, S. I. (2009). Plant polyphenols as dietary antioxidants in human health and disease. </w:t>
      </w:r>
      <w:r w:rsidRPr="00C7762B">
        <w:rPr>
          <w:rStyle w:val="Emphasis"/>
          <w:rFonts w:ascii="Arial" w:hAnsi="Arial" w:cs="Arial"/>
          <w:color w:val="000000" w:themeColor="text1"/>
          <w:sz w:val="20"/>
          <w:szCs w:val="20"/>
        </w:rPr>
        <w:t>Oxidative Medicine and Cellular Longevity, 2</w:t>
      </w:r>
      <w:r w:rsidRPr="00C7762B">
        <w:rPr>
          <w:rFonts w:ascii="Arial" w:hAnsi="Arial" w:cs="Arial"/>
          <w:color w:val="000000" w:themeColor="text1"/>
          <w:sz w:val="20"/>
          <w:szCs w:val="20"/>
        </w:rPr>
        <w:t>(5), 270–278.</w:t>
      </w:r>
    </w:p>
    <w:p w14:paraId="40EC7FEA"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Patel, C., </w:t>
      </w:r>
      <w:proofErr w:type="spellStart"/>
      <w:r w:rsidRPr="00C7762B">
        <w:rPr>
          <w:rFonts w:ascii="Arial" w:hAnsi="Arial" w:cs="Arial"/>
          <w:color w:val="000000" w:themeColor="text1"/>
          <w:sz w:val="20"/>
          <w:szCs w:val="20"/>
        </w:rPr>
        <w:t>Dadhaniya</w:t>
      </w:r>
      <w:proofErr w:type="spellEnd"/>
      <w:r w:rsidRPr="00C7762B">
        <w:rPr>
          <w:rFonts w:ascii="Arial" w:hAnsi="Arial" w:cs="Arial"/>
          <w:color w:val="000000" w:themeColor="text1"/>
          <w:sz w:val="20"/>
          <w:szCs w:val="20"/>
        </w:rPr>
        <w:t xml:space="preserve">, P., </w:t>
      </w:r>
      <w:proofErr w:type="spellStart"/>
      <w:r w:rsidRPr="00C7762B">
        <w:rPr>
          <w:rFonts w:ascii="Arial" w:hAnsi="Arial" w:cs="Arial"/>
          <w:color w:val="000000" w:themeColor="text1"/>
          <w:sz w:val="20"/>
          <w:szCs w:val="20"/>
        </w:rPr>
        <w:t>Hingorani</w:t>
      </w:r>
      <w:proofErr w:type="spellEnd"/>
      <w:r w:rsidRPr="00C7762B">
        <w:rPr>
          <w:rFonts w:ascii="Arial" w:hAnsi="Arial" w:cs="Arial"/>
          <w:color w:val="000000" w:themeColor="text1"/>
          <w:sz w:val="20"/>
          <w:szCs w:val="20"/>
        </w:rPr>
        <w:t xml:space="preserve">, L., &amp; </w:t>
      </w:r>
      <w:proofErr w:type="spellStart"/>
      <w:r w:rsidRPr="00C7762B">
        <w:rPr>
          <w:rFonts w:ascii="Arial" w:hAnsi="Arial" w:cs="Arial"/>
          <w:color w:val="000000" w:themeColor="text1"/>
          <w:sz w:val="20"/>
          <w:szCs w:val="20"/>
        </w:rPr>
        <w:t>Soni</w:t>
      </w:r>
      <w:proofErr w:type="spellEnd"/>
      <w:r w:rsidRPr="00C7762B">
        <w:rPr>
          <w:rFonts w:ascii="Arial" w:hAnsi="Arial" w:cs="Arial"/>
          <w:color w:val="000000" w:themeColor="text1"/>
          <w:sz w:val="20"/>
          <w:szCs w:val="20"/>
        </w:rPr>
        <w:t xml:space="preserve">, M. G. (2008). Safety assessment of pomegranate fruit extract. </w:t>
      </w:r>
      <w:r w:rsidRPr="00C7762B">
        <w:rPr>
          <w:rStyle w:val="Emphasis"/>
          <w:rFonts w:ascii="Arial" w:hAnsi="Arial" w:cs="Arial"/>
          <w:color w:val="000000" w:themeColor="text1"/>
          <w:sz w:val="20"/>
          <w:szCs w:val="20"/>
        </w:rPr>
        <w:t>Food and Chemical Toxicology, 46</w:t>
      </w:r>
      <w:r w:rsidRPr="00C7762B">
        <w:rPr>
          <w:rFonts w:ascii="Arial" w:hAnsi="Arial" w:cs="Arial"/>
          <w:color w:val="000000" w:themeColor="text1"/>
          <w:sz w:val="20"/>
          <w:szCs w:val="20"/>
        </w:rPr>
        <w:t>(8), 2728–2735.</w:t>
      </w:r>
    </w:p>
    <w:p w14:paraId="4BF3FEB6"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Scalbert</w:t>
      </w:r>
      <w:proofErr w:type="spellEnd"/>
      <w:r w:rsidRPr="00C7762B">
        <w:rPr>
          <w:rFonts w:ascii="Arial" w:hAnsi="Arial" w:cs="Arial"/>
          <w:color w:val="000000" w:themeColor="text1"/>
          <w:sz w:val="20"/>
          <w:szCs w:val="20"/>
        </w:rPr>
        <w:t xml:space="preserve">, A., </w:t>
      </w:r>
      <w:proofErr w:type="spellStart"/>
      <w:r w:rsidRPr="00C7762B">
        <w:rPr>
          <w:rFonts w:ascii="Arial" w:hAnsi="Arial" w:cs="Arial"/>
          <w:color w:val="000000" w:themeColor="text1"/>
          <w:sz w:val="20"/>
          <w:szCs w:val="20"/>
        </w:rPr>
        <w:t>Manach</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Morand</w:t>
      </w:r>
      <w:proofErr w:type="spellEnd"/>
      <w:r w:rsidRPr="00C7762B">
        <w:rPr>
          <w:rFonts w:ascii="Arial" w:hAnsi="Arial" w:cs="Arial"/>
          <w:color w:val="000000" w:themeColor="text1"/>
          <w:sz w:val="20"/>
          <w:szCs w:val="20"/>
        </w:rPr>
        <w:t xml:space="preserve">, C., </w:t>
      </w:r>
      <w:proofErr w:type="spellStart"/>
      <w:r w:rsidRPr="00C7762B">
        <w:rPr>
          <w:rFonts w:ascii="Arial" w:hAnsi="Arial" w:cs="Arial"/>
          <w:color w:val="000000" w:themeColor="text1"/>
          <w:sz w:val="20"/>
          <w:szCs w:val="20"/>
        </w:rPr>
        <w:t>Rémésy</w:t>
      </w:r>
      <w:proofErr w:type="spellEnd"/>
      <w:r w:rsidRPr="00C7762B">
        <w:rPr>
          <w:rFonts w:ascii="Arial" w:hAnsi="Arial" w:cs="Arial"/>
          <w:color w:val="000000" w:themeColor="text1"/>
          <w:sz w:val="20"/>
          <w:szCs w:val="20"/>
        </w:rPr>
        <w:t xml:space="preserve">, C., &amp; Jiménez, L. (2005). Dietary polyphenols and the prevention of diseases. </w:t>
      </w:r>
      <w:r w:rsidRPr="00C7762B">
        <w:rPr>
          <w:rStyle w:val="Emphasis"/>
          <w:rFonts w:ascii="Arial" w:hAnsi="Arial" w:cs="Arial"/>
          <w:color w:val="000000" w:themeColor="text1"/>
          <w:sz w:val="20"/>
          <w:szCs w:val="20"/>
        </w:rPr>
        <w:t>Critical Reviews in Food Science and Nutrition, 45</w:t>
      </w:r>
      <w:r w:rsidRPr="00C7762B">
        <w:rPr>
          <w:rFonts w:ascii="Arial" w:hAnsi="Arial" w:cs="Arial"/>
          <w:color w:val="000000" w:themeColor="text1"/>
          <w:sz w:val="20"/>
          <w:szCs w:val="20"/>
        </w:rPr>
        <w:t>(4), 287–306.</w:t>
      </w:r>
    </w:p>
    <w:p w14:paraId="6A7F69A0"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Shah, R., &amp; Mehta, N. (2002). Role of antioxidants in cardiovascular disease: A new therapeutic opportunity? </w:t>
      </w:r>
      <w:r w:rsidRPr="00C7762B">
        <w:rPr>
          <w:rStyle w:val="Emphasis"/>
          <w:rFonts w:ascii="Arial" w:hAnsi="Arial" w:cs="Arial"/>
          <w:color w:val="000000" w:themeColor="text1"/>
          <w:sz w:val="20"/>
          <w:szCs w:val="20"/>
        </w:rPr>
        <w:t>Cardiology Review, 10</w:t>
      </w:r>
      <w:r w:rsidRPr="00C7762B">
        <w:rPr>
          <w:rFonts w:ascii="Arial" w:hAnsi="Arial" w:cs="Arial"/>
          <w:color w:val="000000" w:themeColor="text1"/>
          <w:sz w:val="20"/>
          <w:szCs w:val="20"/>
        </w:rPr>
        <w:t>(1), 21–29.</w:t>
      </w:r>
    </w:p>
    <w:p w14:paraId="35041357"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 xml:space="preserve">Shanahan, F., van </w:t>
      </w:r>
      <w:proofErr w:type="spellStart"/>
      <w:r w:rsidRPr="00663041">
        <w:rPr>
          <w:rFonts w:ascii="Arial" w:eastAsia="Times New Roman" w:hAnsi="Arial" w:cs="Arial"/>
          <w:color w:val="000000" w:themeColor="text1"/>
          <w:sz w:val="20"/>
          <w:szCs w:val="20"/>
        </w:rPr>
        <w:t>Sinderen</w:t>
      </w:r>
      <w:proofErr w:type="spellEnd"/>
      <w:r w:rsidRPr="00663041">
        <w:rPr>
          <w:rFonts w:ascii="Arial" w:eastAsia="Times New Roman" w:hAnsi="Arial" w:cs="Arial"/>
          <w:color w:val="000000" w:themeColor="text1"/>
          <w:sz w:val="20"/>
          <w:szCs w:val="20"/>
        </w:rPr>
        <w:t>, D., O’Toole, P. W., &amp; Stanton, C. (2017). Feeding the microbiota: Transducer of nutrient signals for the host. Gut, 66(9), 1709–1717.</w:t>
      </w:r>
    </w:p>
    <w:p w14:paraId="7866BFE0"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Sharma, R. A., &amp; Agarwal, R. (2020). Novel technologies for enhancing bioavailability of dietary polyphenols. Nutrition and Cancer, 72(7), 1115–1125.</w:t>
      </w:r>
    </w:p>
    <w:p w14:paraId="18DBFB53"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Singh, A., Gupta, R., &amp; Sharma, P. (2019). Flavonoids in cardiovascular disease prevention: A review. </w:t>
      </w:r>
      <w:proofErr w:type="spellStart"/>
      <w:r>
        <w:rPr>
          <w:rFonts w:ascii="Arial" w:eastAsia="Times New Roman" w:hAnsi="Arial" w:cs="Arial"/>
          <w:color w:val="000000" w:themeColor="text1"/>
          <w:sz w:val="20"/>
          <w:szCs w:val="20"/>
        </w:rPr>
        <w:t>Phytotherapy</w:t>
      </w:r>
      <w:proofErr w:type="spellEnd"/>
      <w:r>
        <w:rPr>
          <w:rFonts w:ascii="Arial" w:eastAsia="Times New Roman" w:hAnsi="Arial" w:cs="Arial"/>
          <w:color w:val="000000" w:themeColor="text1"/>
          <w:sz w:val="20"/>
          <w:szCs w:val="20"/>
        </w:rPr>
        <w:t xml:space="preserve"> Research, 33(5), 1000–1015.</w:t>
      </w:r>
    </w:p>
    <w:p w14:paraId="4A4557D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Singh, M., Assure, M., &amp; </w:t>
      </w:r>
      <w:proofErr w:type="spellStart"/>
      <w:r w:rsidRPr="00C7762B">
        <w:rPr>
          <w:rFonts w:ascii="Arial" w:hAnsi="Arial" w:cs="Arial"/>
          <w:color w:val="000000" w:themeColor="text1"/>
          <w:sz w:val="20"/>
          <w:szCs w:val="20"/>
        </w:rPr>
        <w:t>Zieske</w:t>
      </w:r>
      <w:proofErr w:type="spellEnd"/>
      <w:r w:rsidRPr="00C7762B">
        <w:rPr>
          <w:rFonts w:ascii="Arial" w:hAnsi="Arial" w:cs="Arial"/>
          <w:color w:val="000000" w:themeColor="text1"/>
          <w:sz w:val="20"/>
          <w:szCs w:val="20"/>
        </w:rPr>
        <w:t xml:space="preserve">, A. (2002). Mechanisms of cardiovascular protection by phytochemicals. </w:t>
      </w:r>
      <w:r w:rsidRPr="00C7762B">
        <w:rPr>
          <w:rStyle w:val="Emphasis"/>
          <w:rFonts w:ascii="Arial" w:hAnsi="Arial" w:cs="Arial"/>
          <w:color w:val="000000" w:themeColor="text1"/>
          <w:sz w:val="20"/>
          <w:szCs w:val="20"/>
        </w:rPr>
        <w:t>Journal of Clinical Pharmacology, 42</w:t>
      </w:r>
      <w:r w:rsidRPr="00C7762B">
        <w:rPr>
          <w:rFonts w:ascii="Arial" w:hAnsi="Arial" w:cs="Arial"/>
          <w:color w:val="000000" w:themeColor="text1"/>
          <w:sz w:val="20"/>
          <w:szCs w:val="20"/>
        </w:rPr>
        <w:t>(8), 926–934.</w:t>
      </w:r>
    </w:p>
    <w:p w14:paraId="6148F31B"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Srivastava, S., Srivastava, A. K., &amp; Singh, N. (2013). Cardioprotective role of medicinal plants: Mechanisms and therapeutic potential. </w:t>
      </w:r>
      <w:r w:rsidRPr="00C7762B">
        <w:rPr>
          <w:rStyle w:val="Emphasis"/>
          <w:rFonts w:ascii="Arial" w:hAnsi="Arial" w:cs="Arial"/>
          <w:color w:val="000000" w:themeColor="text1"/>
          <w:sz w:val="20"/>
          <w:szCs w:val="20"/>
        </w:rPr>
        <w:t>Indian Journal of Experimental Biology, 51</w:t>
      </w:r>
      <w:r w:rsidRPr="00C7762B">
        <w:rPr>
          <w:rFonts w:ascii="Arial" w:hAnsi="Arial" w:cs="Arial"/>
          <w:color w:val="000000" w:themeColor="text1"/>
          <w:sz w:val="20"/>
          <w:szCs w:val="20"/>
        </w:rPr>
        <w:t>, 299–306.</w:t>
      </w:r>
    </w:p>
    <w:p w14:paraId="46A33EA1"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proofErr w:type="spellStart"/>
      <w:r w:rsidRPr="00C7762B">
        <w:rPr>
          <w:rFonts w:ascii="Arial" w:hAnsi="Arial" w:cs="Arial"/>
          <w:color w:val="000000" w:themeColor="text1"/>
          <w:sz w:val="20"/>
          <w:szCs w:val="20"/>
        </w:rPr>
        <w:t>Terao</w:t>
      </w:r>
      <w:proofErr w:type="spellEnd"/>
      <w:r w:rsidRPr="00C7762B">
        <w:rPr>
          <w:rFonts w:ascii="Arial" w:hAnsi="Arial" w:cs="Arial"/>
          <w:color w:val="000000" w:themeColor="text1"/>
          <w:sz w:val="20"/>
          <w:szCs w:val="20"/>
        </w:rPr>
        <w:t xml:space="preserve">, J., &amp; </w:t>
      </w:r>
      <w:proofErr w:type="spellStart"/>
      <w:r w:rsidRPr="00C7762B">
        <w:rPr>
          <w:rFonts w:ascii="Arial" w:hAnsi="Arial" w:cs="Arial"/>
          <w:color w:val="000000" w:themeColor="text1"/>
          <w:sz w:val="20"/>
          <w:szCs w:val="20"/>
        </w:rPr>
        <w:t>Piskula</w:t>
      </w:r>
      <w:proofErr w:type="spellEnd"/>
      <w:r w:rsidRPr="00C7762B">
        <w:rPr>
          <w:rFonts w:ascii="Arial" w:hAnsi="Arial" w:cs="Arial"/>
          <w:color w:val="000000" w:themeColor="text1"/>
          <w:sz w:val="20"/>
          <w:szCs w:val="20"/>
        </w:rPr>
        <w:t xml:space="preserve">, M. K. (1999). Flavonoids and their antioxidant properties in foods. </w:t>
      </w:r>
      <w:r w:rsidRPr="00C7762B">
        <w:rPr>
          <w:rStyle w:val="Emphasis"/>
          <w:rFonts w:ascii="Arial" w:hAnsi="Arial" w:cs="Arial"/>
          <w:color w:val="000000" w:themeColor="text1"/>
          <w:sz w:val="20"/>
          <w:szCs w:val="20"/>
        </w:rPr>
        <w:t>Current Opinion in Lipidology, 10</w:t>
      </w:r>
      <w:r w:rsidRPr="00C7762B">
        <w:rPr>
          <w:rFonts w:ascii="Arial" w:hAnsi="Arial" w:cs="Arial"/>
          <w:color w:val="000000" w:themeColor="text1"/>
          <w:sz w:val="20"/>
          <w:szCs w:val="20"/>
        </w:rPr>
        <w:t>(5), 437–441.</w:t>
      </w:r>
    </w:p>
    <w:p w14:paraId="7FA68EEF"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Tiwari, A. K., &amp; Rao, J. M. (2002). Diabetic oxidative stress and antioxidant therapy: Medicinal plants and phytochemicals as potential sources of antidiabetic agents. </w:t>
      </w:r>
      <w:r w:rsidRPr="00C7762B">
        <w:rPr>
          <w:rStyle w:val="Emphasis"/>
          <w:rFonts w:ascii="Arial" w:hAnsi="Arial" w:cs="Arial"/>
          <w:color w:val="000000" w:themeColor="text1"/>
          <w:sz w:val="20"/>
          <w:szCs w:val="20"/>
        </w:rPr>
        <w:t>Journal of Medicinal Food, 5</w:t>
      </w:r>
      <w:r w:rsidRPr="00C7762B">
        <w:rPr>
          <w:rFonts w:ascii="Arial" w:hAnsi="Arial" w:cs="Arial"/>
          <w:color w:val="000000" w:themeColor="text1"/>
          <w:sz w:val="20"/>
          <w:szCs w:val="20"/>
        </w:rPr>
        <w:t>(3), 157–162.</w:t>
      </w:r>
    </w:p>
    <w:p w14:paraId="33C66EF8"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Vacant, K., &amp; Sivakumar, V. (2014). Plant flavonoids as therapeutic agents for cardiovascular diseases. </w:t>
      </w:r>
      <w:r w:rsidRPr="00C7762B">
        <w:rPr>
          <w:rStyle w:val="Emphasis"/>
          <w:rFonts w:ascii="Arial" w:hAnsi="Arial" w:cs="Arial"/>
          <w:color w:val="000000" w:themeColor="text1"/>
          <w:sz w:val="20"/>
          <w:szCs w:val="20"/>
        </w:rPr>
        <w:t>BioMed Research International, 2014</w:t>
      </w:r>
      <w:r w:rsidRPr="00C7762B">
        <w:rPr>
          <w:rFonts w:ascii="Arial" w:hAnsi="Arial" w:cs="Arial"/>
          <w:color w:val="000000" w:themeColor="text1"/>
          <w:sz w:val="20"/>
          <w:szCs w:val="20"/>
        </w:rPr>
        <w:t>, 283062.</w:t>
      </w:r>
    </w:p>
    <w:p w14:paraId="5E9BFB94" w14:textId="6B7586B5" w:rsidR="00FF3904" w:rsidRPr="00C7762B" w:rsidRDefault="00FF3904" w:rsidP="00FF3904">
      <w:pPr>
        <w:spacing w:before="120" w:after="120"/>
        <w:jc w:val="both"/>
        <w:rPr>
          <w:rFonts w:ascii="Arial" w:hAnsi="Arial" w:cs="Arial"/>
          <w:color w:val="000000" w:themeColor="text1"/>
          <w:sz w:val="20"/>
          <w:szCs w:val="20"/>
        </w:rPr>
      </w:pPr>
      <w:r w:rsidRPr="00C7762B">
        <w:rPr>
          <w:rFonts w:ascii="Arial" w:hAnsi="Arial" w:cs="Arial"/>
          <w:color w:val="000000" w:themeColor="text1"/>
          <w:sz w:val="20"/>
          <w:szCs w:val="20"/>
        </w:rPr>
        <w:tab/>
      </w:r>
      <w:r w:rsidRPr="00C7762B">
        <w:rPr>
          <w:rFonts w:ascii="Arial" w:hAnsi="Arial" w:cs="Arial"/>
          <w:color w:val="000000" w:themeColor="text1"/>
          <w:sz w:val="20"/>
          <w:szCs w:val="20"/>
        </w:rPr>
        <w:br/>
        <w:t xml:space="preserve">Wang, H., Cao, G., &amp; Prior, R. L. (1996). Total antioxidant capacity of fruits. </w:t>
      </w:r>
      <w:r w:rsidRPr="00C7762B">
        <w:rPr>
          <w:rStyle w:val="Emphasis"/>
          <w:rFonts w:ascii="Arial" w:hAnsi="Arial" w:cs="Arial"/>
          <w:color w:val="000000" w:themeColor="text1"/>
          <w:sz w:val="20"/>
          <w:szCs w:val="20"/>
        </w:rPr>
        <w:t>Journal of Agricultural and Food Chemistry, 44</w:t>
      </w:r>
      <w:r w:rsidRPr="00C7762B">
        <w:rPr>
          <w:rFonts w:ascii="Arial" w:hAnsi="Arial" w:cs="Arial"/>
          <w:color w:val="000000" w:themeColor="text1"/>
          <w:sz w:val="20"/>
          <w:szCs w:val="20"/>
        </w:rPr>
        <w:t>(3), 701–705.</w:t>
      </w:r>
    </w:p>
    <w:p w14:paraId="210F54A7"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Wei, H., Wei, W., &amp; Braeden, D. E. (1999). Stress and vascular disease. </w:t>
      </w:r>
      <w:r w:rsidRPr="00C7762B">
        <w:rPr>
          <w:rStyle w:val="Emphasis"/>
          <w:rFonts w:ascii="Arial" w:hAnsi="Arial" w:cs="Arial"/>
          <w:color w:val="000000" w:themeColor="text1"/>
          <w:sz w:val="20"/>
          <w:szCs w:val="20"/>
        </w:rPr>
        <w:t>American Journal of Clinical Nutrition, 70</w:t>
      </w:r>
      <w:r w:rsidRPr="00C7762B">
        <w:rPr>
          <w:rFonts w:ascii="Arial" w:hAnsi="Arial" w:cs="Arial"/>
          <w:color w:val="000000" w:themeColor="text1"/>
          <w:sz w:val="20"/>
          <w:szCs w:val="20"/>
        </w:rPr>
        <w:t>(3), 497–504.</w:t>
      </w:r>
    </w:p>
    <w:p w14:paraId="642F561E"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Willcox, B. J., Willcox, D. C., </w:t>
      </w:r>
      <w:proofErr w:type="spellStart"/>
      <w:r w:rsidRPr="00C7762B">
        <w:rPr>
          <w:rFonts w:ascii="Arial" w:hAnsi="Arial" w:cs="Arial"/>
          <w:color w:val="000000" w:themeColor="text1"/>
          <w:sz w:val="20"/>
          <w:szCs w:val="20"/>
        </w:rPr>
        <w:t>Todoriki</w:t>
      </w:r>
      <w:proofErr w:type="spellEnd"/>
      <w:r w:rsidRPr="00C7762B">
        <w:rPr>
          <w:rFonts w:ascii="Arial" w:hAnsi="Arial" w:cs="Arial"/>
          <w:color w:val="000000" w:themeColor="text1"/>
          <w:sz w:val="20"/>
          <w:szCs w:val="20"/>
        </w:rPr>
        <w:t xml:space="preserve">, H., </w:t>
      </w:r>
      <w:proofErr w:type="spellStart"/>
      <w:r w:rsidRPr="00C7762B">
        <w:rPr>
          <w:rFonts w:ascii="Arial" w:hAnsi="Arial" w:cs="Arial"/>
          <w:color w:val="000000" w:themeColor="text1"/>
          <w:sz w:val="20"/>
          <w:szCs w:val="20"/>
        </w:rPr>
        <w:t>Fujiyoshi</w:t>
      </w:r>
      <w:proofErr w:type="spellEnd"/>
      <w:r w:rsidRPr="00C7762B">
        <w:rPr>
          <w:rFonts w:ascii="Arial" w:hAnsi="Arial" w:cs="Arial"/>
          <w:color w:val="000000" w:themeColor="text1"/>
          <w:sz w:val="20"/>
          <w:szCs w:val="20"/>
        </w:rPr>
        <w:t xml:space="preserve">, A., &amp; Suzuki, M. (2008). Cardiac health benefits of the Okinawan diet. </w:t>
      </w:r>
      <w:r w:rsidRPr="00C7762B">
        <w:rPr>
          <w:rStyle w:val="Emphasis"/>
          <w:rFonts w:ascii="Arial" w:hAnsi="Arial" w:cs="Arial"/>
          <w:color w:val="000000" w:themeColor="text1"/>
          <w:sz w:val="20"/>
          <w:szCs w:val="20"/>
        </w:rPr>
        <w:t>American Journal of Cardiology, 101</w:t>
      </w:r>
      <w:r w:rsidRPr="00C7762B">
        <w:rPr>
          <w:rFonts w:ascii="Arial" w:hAnsi="Arial" w:cs="Arial"/>
          <w:color w:val="000000" w:themeColor="text1"/>
          <w:sz w:val="20"/>
          <w:szCs w:val="20"/>
        </w:rPr>
        <w:t>(12), 1649–1661.</w:t>
      </w:r>
    </w:p>
    <w:p w14:paraId="0707B9BC" w14:textId="77777777" w:rsidR="00FF3904" w:rsidRPr="00663041" w:rsidRDefault="00FF3904" w:rsidP="00FF3904">
      <w:pPr>
        <w:spacing w:before="120" w:after="120"/>
        <w:jc w:val="both"/>
        <w:rPr>
          <w:rFonts w:ascii="Arial" w:eastAsia="Times New Roman" w:hAnsi="Arial" w:cs="Arial"/>
          <w:color w:val="000000" w:themeColor="text1"/>
          <w:sz w:val="20"/>
          <w:szCs w:val="20"/>
        </w:rPr>
      </w:pPr>
      <w:r w:rsidRPr="00663041">
        <w:rPr>
          <w:rFonts w:ascii="Arial" w:eastAsia="Times New Roman" w:hAnsi="Arial" w:cs="Arial"/>
          <w:color w:val="000000" w:themeColor="text1"/>
          <w:sz w:val="20"/>
          <w:szCs w:val="20"/>
        </w:rPr>
        <w:t>Williamson, G., Holst, B., &amp; Rideout, T. (2013). Dietary reference intake (DRI) value for flavonoids: Should it be established and what are the key considerations? Nutrients, 5(9), 3748–3766.</w:t>
      </w:r>
    </w:p>
    <w:p w14:paraId="4E6D05F0"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Wong, K. H., Tan, W. L., &amp; Lim, Y. S. (2019). Role of plant-derived phytochemicals in human clinical trials for cardiovascular outcomes. Clinical Nutrition, 38(4), 1745–1756.</w:t>
      </w:r>
    </w:p>
    <w:p w14:paraId="47899B35" w14:textId="77777777" w:rsidR="00FF3904" w:rsidRPr="00C7762B"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C7762B">
        <w:rPr>
          <w:rFonts w:ascii="Arial" w:hAnsi="Arial" w:cs="Arial"/>
          <w:color w:val="000000" w:themeColor="text1"/>
          <w:sz w:val="20"/>
          <w:szCs w:val="20"/>
        </w:rPr>
        <w:t xml:space="preserve">Zhang, C., &amp; Zhang, Y. (2007). Phytochemicals as modulators of signal transduction pathways in cancer prevention. </w:t>
      </w:r>
      <w:r w:rsidRPr="00C7762B">
        <w:rPr>
          <w:rStyle w:val="Emphasis"/>
          <w:rFonts w:ascii="Arial" w:hAnsi="Arial" w:cs="Arial"/>
          <w:color w:val="000000" w:themeColor="text1"/>
          <w:sz w:val="20"/>
          <w:szCs w:val="20"/>
        </w:rPr>
        <w:t>Journal of Nutritional Biochemistry, 18</w:t>
      </w:r>
      <w:r w:rsidRPr="00C7762B">
        <w:rPr>
          <w:rFonts w:ascii="Arial" w:hAnsi="Arial" w:cs="Arial"/>
          <w:color w:val="000000" w:themeColor="text1"/>
          <w:sz w:val="20"/>
          <w:szCs w:val="20"/>
        </w:rPr>
        <w:t>(7), 427–442.</w:t>
      </w:r>
    </w:p>
    <w:p w14:paraId="051423FD" w14:textId="77777777" w:rsidR="00FF3904" w:rsidRDefault="00FF3904" w:rsidP="00FF3904">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Zhang, W., Li, X., &amp; Zhao, Y. (2018). Curcumin, resveratrol, and quercetin: Regulatory effects on endothelial function and cardiovascular health. Frontiers in Pharmacology, 9, 1234.</w:t>
      </w:r>
    </w:p>
    <w:p w14:paraId="70B54B51" w14:textId="77777777" w:rsidR="00FF3904" w:rsidRPr="00663041" w:rsidRDefault="00FF3904" w:rsidP="00FF3904">
      <w:pPr>
        <w:pStyle w:val="NormalWeb"/>
        <w:spacing w:before="120" w:beforeAutospacing="0" w:after="120" w:afterAutospacing="0" w:line="276" w:lineRule="auto"/>
        <w:jc w:val="both"/>
        <w:rPr>
          <w:rFonts w:ascii="Arial" w:hAnsi="Arial" w:cs="Arial"/>
          <w:color w:val="000000" w:themeColor="text1"/>
          <w:sz w:val="20"/>
          <w:szCs w:val="20"/>
        </w:rPr>
      </w:pPr>
      <w:r w:rsidRPr="00663041">
        <w:rPr>
          <w:rFonts w:ascii="Arial" w:hAnsi="Arial" w:cs="Arial"/>
          <w:color w:val="000000" w:themeColor="text1"/>
          <w:sz w:val="20"/>
          <w:szCs w:val="20"/>
        </w:rPr>
        <w:t xml:space="preserve">Zheng, J., &amp; He, Q. (2011). Polyphenols and heart health: Mechanisms, benefits, and applications. </w:t>
      </w:r>
      <w:r w:rsidRPr="00663041">
        <w:rPr>
          <w:rStyle w:val="Emphasis"/>
          <w:rFonts w:ascii="Arial" w:hAnsi="Arial" w:cs="Arial"/>
          <w:color w:val="000000" w:themeColor="text1"/>
          <w:sz w:val="20"/>
          <w:szCs w:val="20"/>
        </w:rPr>
        <w:t>Nutrition Reviews, 69</w:t>
      </w:r>
      <w:r w:rsidRPr="00663041">
        <w:rPr>
          <w:rFonts w:ascii="Arial" w:hAnsi="Arial" w:cs="Arial"/>
          <w:color w:val="000000" w:themeColor="text1"/>
          <w:sz w:val="20"/>
          <w:szCs w:val="20"/>
        </w:rPr>
        <w:t>(7), 397–409.</w:t>
      </w:r>
    </w:p>
    <w:p w14:paraId="7F225E60" w14:textId="77777777" w:rsidR="008D5B9E" w:rsidRDefault="008D5B9E" w:rsidP="009022D7">
      <w:pPr>
        <w:spacing w:before="120" w:after="120"/>
        <w:jc w:val="both"/>
        <w:rPr>
          <w:rFonts w:ascii="Arial" w:eastAsia="Times New Roman" w:hAnsi="Arial" w:cs="Arial"/>
          <w:color w:val="000000" w:themeColor="text1"/>
          <w:sz w:val="20"/>
          <w:szCs w:val="20"/>
        </w:rPr>
      </w:pPr>
    </w:p>
    <w:p w14:paraId="648B7C1D" w14:textId="77777777" w:rsidR="008D5B9E" w:rsidRPr="00663041" w:rsidRDefault="008D5B9E" w:rsidP="009022D7">
      <w:pPr>
        <w:spacing w:before="120" w:after="120"/>
        <w:jc w:val="both"/>
        <w:rPr>
          <w:rFonts w:ascii="Arial" w:eastAsia="Times New Roman" w:hAnsi="Arial" w:cs="Arial"/>
          <w:color w:val="000000" w:themeColor="text1"/>
          <w:sz w:val="20"/>
          <w:szCs w:val="20"/>
        </w:rPr>
      </w:pPr>
    </w:p>
    <w:p w14:paraId="7A7C0C58" w14:textId="77777777" w:rsidR="00B72F3A" w:rsidRPr="00663041" w:rsidRDefault="00B72F3A" w:rsidP="00663041">
      <w:pPr>
        <w:spacing w:before="120" w:after="120"/>
        <w:jc w:val="both"/>
        <w:rPr>
          <w:rFonts w:ascii="Arial" w:eastAsia="Times New Roman" w:hAnsi="Arial" w:cs="Arial"/>
          <w:color w:val="000000" w:themeColor="text1"/>
          <w:sz w:val="20"/>
          <w:szCs w:val="20"/>
        </w:rPr>
      </w:pPr>
    </w:p>
    <w:p w14:paraId="62800513" w14:textId="77777777" w:rsidR="009C2BBA" w:rsidRPr="00BA78CC" w:rsidRDefault="009C2BBA">
      <w:pPr>
        <w:rPr>
          <w:rFonts w:ascii="Arial" w:hAnsi="Arial" w:cs="Arial"/>
          <w:color w:val="000000" w:themeColor="text1"/>
        </w:rPr>
      </w:pPr>
    </w:p>
    <w:sectPr w:rsidR="009C2BBA" w:rsidRPr="00BA78CC"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EGHE" w:date="2025-10-09T07:57:00Z" w:initials="F">
    <w:p w14:paraId="7224521E" w14:textId="40F114B1" w:rsidR="00597893" w:rsidRDefault="00597893">
      <w:pPr>
        <w:pStyle w:val="CommentText"/>
      </w:pPr>
      <w:r>
        <w:rPr>
          <w:rStyle w:val="CommentReference"/>
        </w:rPr>
        <w:annotationRef/>
      </w:r>
      <w:r>
        <w:t>Reconstruct for clarity: the prevention and management of cardiovascular diseases.</w:t>
      </w:r>
    </w:p>
  </w:comment>
  <w:comment w:id="2" w:author="FEGHE" w:date="2025-10-09T08:03:00Z" w:initials="F">
    <w:p w14:paraId="4962C596" w14:textId="5D2F3F08" w:rsidR="000A3869" w:rsidRDefault="000A3869">
      <w:pPr>
        <w:pStyle w:val="CommentText"/>
      </w:pPr>
      <w:r>
        <w:rPr>
          <w:rStyle w:val="CommentReference"/>
        </w:rPr>
        <w:annotationRef/>
      </w:r>
      <w:r>
        <w:t>Clarify: Developed and developing nations are faced with an alarming …….</w:t>
      </w:r>
    </w:p>
  </w:comment>
  <w:comment w:id="3" w:author="FEGHE" w:date="2025-10-09T09:36:00Z" w:initials="F">
    <w:p w14:paraId="742CFF08" w14:textId="73699E5A" w:rsidR="00D161E9" w:rsidRDefault="00D161E9">
      <w:pPr>
        <w:pStyle w:val="CommentText"/>
      </w:pPr>
      <w:r>
        <w:rPr>
          <w:rStyle w:val="CommentReference"/>
        </w:rPr>
        <w:annotationRef/>
      </w:r>
      <w:r>
        <w:t xml:space="preserve">Remove redundancy. </w:t>
      </w:r>
    </w:p>
  </w:comment>
  <w:comment w:id="4" w:author="FEGHE" w:date="2025-10-09T09:24:00Z" w:initials="F">
    <w:p w14:paraId="5A0EDA4E" w14:textId="6E5318B3" w:rsidR="00530EA2" w:rsidRDefault="00530EA2">
      <w:pPr>
        <w:pStyle w:val="CommentText"/>
      </w:pPr>
      <w:r>
        <w:rPr>
          <w:rStyle w:val="CommentReference"/>
        </w:rPr>
        <w:annotationRef/>
      </w:r>
      <w:r>
        <w:t>Consider sending the examples into the table for easy comprehension since most of the information here is simplified in the tables below.</w:t>
      </w:r>
    </w:p>
  </w:comment>
  <w:comment w:id="5" w:author="FEGHE" w:date="2025-10-09T09:29:00Z" w:initials="F">
    <w:p w14:paraId="04E77EF2" w14:textId="706BA5B1" w:rsidR="00530EA2" w:rsidRDefault="00530EA2">
      <w:pPr>
        <w:pStyle w:val="CommentText"/>
      </w:pPr>
      <w:r>
        <w:rPr>
          <w:rStyle w:val="CommentReference"/>
        </w:rPr>
        <w:annotationRef/>
      </w:r>
      <w:r>
        <w:t>Introduce “and” before these words and check the use of NO, or remove it.</w:t>
      </w:r>
    </w:p>
  </w:comment>
  <w:comment w:id="6" w:author="FEGHE" w:date="2025-10-09T09:23:00Z" w:initials="F">
    <w:p w14:paraId="1B1FA665" w14:textId="1E08FE42" w:rsidR="00530EA2" w:rsidRDefault="00530EA2">
      <w:pPr>
        <w:pStyle w:val="CommentText"/>
      </w:pPr>
      <w:r>
        <w:rPr>
          <w:rStyle w:val="CommentReference"/>
        </w:rPr>
        <w:annotationRef/>
      </w:r>
      <w:r>
        <w:t>Improve: labelling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24521E" w15:done="0"/>
  <w15:commentEx w15:paraId="4962C596" w15:done="0"/>
  <w15:commentEx w15:paraId="742CFF08" w15:done="0"/>
  <w15:commentEx w15:paraId="5A0EDA4E" w15:done="0"/>
  <w15:commentEx w15:paraId="04E77EF2" w15:done="0"/>
  <w15:commentEx w15:paraId="1B1FA6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FA1" w14:textId="77777777" w:rsidR="0059586E" w:rsidRDefault="0059586E" w:rsidP="00450A60">
      <w:pPr>
        <w:spacing w:after="0" w:line="240" w:lineRule="auto"/>
      </w:pPr>
      <w:r>
        <w:separator/>
      </w:r>
    </w:p>
  </w:endnote>
  <w:endnote w:type="continuationSeparator" w:id="0">
    <w:p w14:paraId="212DC8AC" w14:textId="77777777" w:rsidR="0059586E" w:rsidRDefault="0059586E" w:rsidP="0045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225" w14:textId="77777777" w:rsidR="00450A60" w:rsidRDefault="00450A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2DF2" w14:textId="77777777" w:rsidR="00450A60" w:rsidRDefault="00450A6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1D75" w14:textId="77777777" w:rsidR="00450A60" w:rsidRDefault="00450A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16DD" w14:textId="77777777" w:rsidR="0059586E" w:rsidRDefault="0059586E" w:rsidP="00450A60">
      <w:pPr>
        <w:spacing w:after="0" w:line="240" w:lineRule="auto"/>
      </w:pPr>
      <w:r>
        <w:separator/>
      </w:r>
    </w:p>
  </w:footnote>
  <w:footnote w:type="continuationSeparator" w:id="0">
    <w:p w14:paraId="769040AB" w14:textId="77777777" w:rsidR="0059586E" w:rsidRDefault="0059586E" w:rsidP="0045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C7E77" w14:textId="09360046" w:rsidR="00450A60" w:rsidRDefault="0059586E">
    <w:pPr>
      <w:pStyle w:val="Header"/>
    </w:pPr>
    <w:r>
      <w:rPr>
        <w:noProof/>
      </w:rPr>
      <w:pict w14:anchorId="3864A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7B53" w14:textId="2E5A15F1" w:rsidR="00450A60" w:rsidRDefault="0059586E">
    <w:pPr>
      <w:pStyle w:val="Header"/>
    </w:pPr>
    <w:r>
      <w:rPr>
        <w:noProof/>
      </w:rPr>
      <w:pict w14:anchorId="137C9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80D5" w14:textId="6EB5FCBD" w:rsidR="00450A60" w:rsidRDefault="0059586E">
    <w:pPr>
      <w:pStyle w:val="Header"/>
    </w:pPr>
    <w:r>
      <w:rPr>
        <w:noProof/>
      </w:rPr>
      <w:pict w14:anchorId="3DCCA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8262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65702F"/>
    <w:multiLevelType w:val="hybridMultilevel"/>
    <w:tmpl w:val="004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545DC"/>
    <w:multiLevelType w:val="hybridMultilevel"/>
    <w:tmpl w:val="7C600F9E"/>
    <w:lvl w:ilvl="0" w:tplc="251CE7C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6A6DB7"/>
    <w:multiLevelType w:val="hybridMultilevel"/>
    <w:tmpl w:val="AC46987E"/>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24224"/>
    <w:multiLevelType w:val="hybridMultilevel"/>
    <w:tmpl w:val="3BE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01D47"/>
    <w:multiLevelType w:val="hybridMultilevel"/>
    <w:tmpl w:val="A454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0D01BB"/>
    <w:multiLevelType w:val="hybridMultilevel"/>
    <w:tmpl w:val="BB82E6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20983"/>
    <w:multiLevelType w:val="hybridMultilevel"/>
    <w:tmpl w:val="4410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B2604"/>
    <w:multiLevelType w:val="hybridMultilevel"/>
    <w:tmpl w:val="54BA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E1D47"/>
    <w:multiLevelType w:val="hybridMultilevel"/>
    <w:tmpl w:val="C1A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9166A"/>
    <w:multiLevelType w:val="hybridMultilevel"/>
    <w:tmpl w:val="4030C126"/>
    <w:lvl w:ilvl="0" w:tplc="251CE7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17806"/>
    <w:multiLevelType w:val="hybridMultilevel"/>
    <w:tmpl w:val="2938D43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30BFE"/>
    <w:multiLevelType w:val="hybridMultilevel"/>
    <w:tmpl w:val="6B7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4"/>
  </w:num>
  <w:num w:numId="12">
    <w:abstractNumId w:val="13"/>
  </w:num>
  <w:num w:numId="13">
    <w:abstractNumId w:val="15"/>
  </w:num>
  <w:num w:numId="14">
    <w:abstractNumId w:val="17"/>
  </w:num>
  <w:num w:numId="15">
    <w:abstractNumId w:val="12"/>
  </w:num>
  <w:num w:numId="16">
    <w:abstractNumId w:val="9"/>
  </w:num>
  <w:num w:numId="17">
    <w:abstractNumId w:val="20"/>
  </w:num>
  <w:num w:numId="18">
    <w:abstractNumId w:val="16"/>
  </w:num>
  <w:num w:numId="19">
    <w:abstractNumId w:val="18"/>
  </w:num>
  <w:num w:numId="20">
    <w:abstractNumId w:val="10"/>
  </w:num>
  <w:num w:numId="21">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GHE">
    <w15:presenceInfo w15:providerId="None" w15:userId="FE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48B2"/>
    <w:rsid w:val="00020F9B"/>
    <w:rsid w:val="00034616"/>
    <w:rsid w:val="000519C3"/>
    <w:rsid w:val="0006063C"/>
    <w:rsid w:val="00061570"/>
    <w:rsid w:val="00081473"/>
    <w:rsid w:val="000821CD"/>
    <w:rsid w:val="00095CA6"/>
    <w:rsid w:val="000A3869"/>
    <w:rsid w:val="000B0740"/>
    <w:rsid w:val="00116D5A"/>
    <w:rsid w:val="0015074B"/>
    <w:rsid w:val="001C4F99"/>
    <w:rsid w:val="001E7229"/>
    <w:rsid w:val="00282147"/>
    <w:rsid w:val="0029639D"/>
    <w:rsid w:val="002C348D"/>
    <w:rsid w:val="002E0497"/>
    <w:rsid w:val="002F0C6E"/>
    <w:rsid w:val="002F7E22"/>
    <w:rsid w:val="00326F90"/>
    <w:rsid w:val="0036117B"/>
    <w:rsid w:val="003C15D4"/>
    <w:rsid w:val="003C7CF2"/>
    <w:rsid w:val="0040008E"/>
    <w:rsid w:val="00411CF5"/>
    <w:rsid w:val="00412262"/>
    <w:rsid w:val="00450A60"/>
    <w:rsid w:val="00502083"/>
    <w:rsid w:val="00530EA2"/>
    <w:rsid w:val="005879D7"/>
    <w:rsid w:val="00590187"/>
    <w:rsid w:val="0059586E"/>
    <w:rsid w:val="00597893"/>
    <w:rsid w:val="005B7046"/>
    <w:rsid w:val="005F181E"/>
    <w:rsid w:val="006059D9"/>
    <w:rsid w:val="006456B8"/>
    <w:rsid w:val="00663041"/>
    <w:rsid w:val="0068676F"/>
    <w:rsid w:val="007425D3"/>
    <w:rsid w:val="00765A7E"/>
    <w:rsid w:val="007845D2"/>
    <w:rsid w:val="00787CCE"/>
    <w:rsid w:val="007E6942"/>
    <w:rsid w:val="007E6FE4"/>
    <w:rsid w:val="007F76CC"/>
    <w:rsid w:val="00800FE1"/>
    <w:rsid w:val="00832B45"/>
    <w:rsid w:val="008C2F71"/>
    <w:rsid w:val="008D5B9E"/>
    <w:rsid w:val="008E6244"/>
    <w:rsid w:val="009022D7"/>
    <w:rsid w:val="009260AD"/>
    <w:rsid w:val="00967C6D"/>
    <w:rsid w:val="009B23E5"/>
    <w:rsid w:val="009C1224"/>
    <w:rsid w:val="009C2BBA"/>
    <w:rsid w:val="009F20F7"/>
    <w:rsid w:val="00A021AC"/>
    <w:rsid w:val="00A10A96"/>
    <w:rsid w:val="00A648B4"/>
    <w:rsid w:val="00AA1D8D"/>
    <w:rsid w:val="00AB76BE"/>
    <w:rsid w:val="00B10861"/>
    <w:rsid w:val="00B43A15"/>
    <w:rsid w:val="00B47730"/>
    <w:rsid w:val="00B72F3A"/>
    <w:rsid w:val="00B9486F"/>
    <w:rsid w:val="00BA7613"/>
    <w:rsid w:val="00BA78CC"/>
    <w:rsid w:val="00BC4092"/>
    <w:rsid w:val="00C00B9F"/>
    <w:rsid w:val="00C374C0"/>
    <w:rsid w:val="00C67D10"/>
    <w:rsid w:val="00C7762B"/>
    <w:rsid w:val="00CB0664"/>
    <w:rsid w:val="00D161E9"/>
    <w:rsid w:val="00D24110"/>
    <w:rsid w:val="00DE49D6"/>
    <w:rsid w:val="00EB61BA"/>
    <w:rsid w:val="00F24792"/>
    <w:rsid w:val="00F25AD6"/>
    <w:rsid w:val="00FC693F"/>
    <w:rsid w:val="00FE2681"/>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72569A2"/>
  <w14:defaultImageDpi w14:val="300"/>
  <w15:docId w15:val="{6E5B00AD-17D5-4F57-A182-4CE1CB9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648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17B"/>
    <w:rPr>
      <w:color w:val="0000FF" w:themeColor="hyperlink"/>
      <w:u w:val="single"/>
    </w:rPr>
  </w:style>
  <w:style w:type="character" w:styleId="CommentReference">
    <w:name w:val="annotation reference"/>
    <w:basedOn w:val="DefaultParagraphFont"/>
    <w:uiPriority w:val="99"/>
    <w:semiHidden/>
    <w:unhideWhenUsed/>
    <w:rsid w:val="00597893"/>
    <w:rPr>
      <w:sz w:val="16"/>
      <w:szCs w:val="16"/>
    </w:rPr>
  </w:style>
  <w:style w:type="paragraph" w:styleId="CommentText">
    <w:name w:val="annotation text"/>
    <w:basedOn w:val="Normal"/>
    <w:link w:val="CommentTextChar"/>
    <w:uiPriority w:val="99"/>
    <w:semiHidden/>
    <w:unhideWhenUsed/>
    <w:rsid w:val="00597893"/>
    <w:pPr>
      <w:spacing w:line="240" w:lineRule="auto"/>
    </w:pPr>
    <w:rPr>
      <w:sz w:val="20"/>
      <w:szCs w:val="20"/>
    </w:rPr>
  </w:style>
  <w:style w:type="character" w:customStyle="1" w:styleId="CommentTextChar">
    <w:name w:val="Comment Text Char"/>
    <w:basedOn w:val="DefaultParagraphFont"/>
    <w:link w:val="CommentText"/>
    <w:uiPriority w:val="99"/>
    <w:semiHidden/>
    <w:rsid w:val="00597893"/>
    <w:rPr>
      <w:sz w:val="20"/>
      <w:szCs w:val="20"/>
    </w:rPr>
  </w:style>
  <w:style w:type="paragraph" w:styleId="CommentSubject">
    <w:name w:val="annotation subject"/>
    <w:basedOn w:val="CommentText"/>
    <w:next w:val="CommentText"/>
    <w:link w:val="CommentSubjectChar"/>
    <w:uiPriority w:val="99"/>
    <w:semiHidden/>
    <w:unhideWhenUsed/>
    <w:rsid w:val="00597893"/>
    <w:rPr>
      <w:b/>
      <w:bCs/>
    </w:rPr>
  </w:style>
  <w:style w:type="character" w:customStyle="1" w:styleId="CommentSubjectChar">
    <w:name w:val="Comment Subject Char"/>
    <w:basedOn w:val="CommentTextChar"/>
    <w:link w:val="CommentSubject"/>
    <w:uiPriority w:val="99"/>
    <w:semiHidden/>
    <w:rsid w:val="00597893"/>
    <w:rPr>
      <w:b/>
      <w:bCs/>
      <w:sz w:val="20"/>
      <w:szCs w:val="20"/>
    </w:rPr>
  </w:style>
  <w:style w:type="paragraph" w:styleId="BalloonText">
    <w:name w:val="Balloon Text"/>
    <w:basedOn w:val="Normal"/>
    <w:link w:val="BalloonTextChar"/>
    <w:uiPriority w:val="99"/>
    <w:semiHidden/>
    <w:unhideWhenUsed/>
    <w:rsid w:val="0059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603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D906-F14F-4A4C-BBB4-5D12294E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3151</Words>
  <Characters>20830</Characters>
  <Application>Microsoft Office Word</Application>
  <DocSecurity>0</DocSecurity>
  <Lines>452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FEGHE</cp:lastModifiedBy>
  <cp:revision>14</cp:revision>
  <dcterms:created xsi:type="dcterms:W3CDTF">2025-09-12T04:17:00Z</dcterms:created>
  <dcterms:modified xsi:type="dcterms:W3CDTF">2025-10-09T21:37:00Z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857d8060-417f-44c6-ac76-d08aa38a1b83</vt:lpwstr>
  </property>
</Properties>
</file>