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4D9F8" w14:textId="77777777" w:rsidR="00490172" w:rsidRDefault="00490172">
      <w:pPr>
        <w:pStyle w:val="Subttulo"/>
      </w:pPr>
    </w:p>
    <w:p w14:paraId="1CDAC7A0" w14:textId="77777777" w:rsidR="0072623E" w:rsidRDefault="0072623E">
      <w:pPr>
        <w:pStyle w:val="Subttulo"/>
      </w:pPr>
    </w:p>
    <w:p w14:paraId="10291860" w14:textId="77777777" w:rsidR="0072623E" w:rsidRPr="00015C63" w:rsidRDefault="00942FA6">
      <w:pPr>
        <w:pStyle w:val="Ttulo"/>
      </w:pPr>
      <w:r w:rsidRPr="00015C63">
        <w:t xml:space="preserve">Effect of herbicide and herbicides applicator on growth and </w:t>
      </w:r>
      <w:r w:rsidR="00E90B49" w:rsidRPr="00015C63">
        <w:t>root parameters</w:t>
      </w:r>
      <w:r w:rsidRPr="00015C63">
        <w:t xml:space="preserve"> of Chickpea (</w:t>
      </w:r>
      <w:r w:rsidR="00366E1A" w:rsidRPr="00015C63">
        <w:rPr>
          <w:i/>
          <w:iCs/>
        </w:rPr>
        <w:t>Cicer arietinum</w:t>
      </w:r>
      <w:r w:rsidRPr="00015C63">
        <w:t xml:space="preserve"> L.)</w:t>
      </w:r>
    </w:p>
    <w:p w14:paraId="4B0BB286" w14:textId="77777777" w:rsidR="00B769A7" w:rsidRPr="00015C63" w:rsidRDefault="00B769A7">
      <w:pPr>
        <w:pStyle w:val="Ttulo"/>
      </w:pPr>
    </w:p>
    <w:p w14:paraId="1800D5E9" w14:textId="77777777" w:rsidR="00FA577B" w:rsidRDefault="00FA577B">
      <w:pPr>
        <w:pStyle w:val="Ttulo1"/>
        <w:rPr>
          <w:rFonts w:ascii="Arial" w:hAnsi="Arial" w:cs="Arial"/>
          <w:b/>
          <w:bCs/>
          <w:sz w:val="24"/>
          <w:szCs w:val="24"/>
        </w:rPr>
      </w:pPr>
    </w:p>
    <w:p w14:paraId="4430B0C6" w14:textId="04ADBB8D" w:rsidR="0072623E" w:rsidRPr="00015C63" w:rsidRDefault="00942FA6">
      <w:pPr>
        <w:pStyle w:val="Ttulo1"/>
        <w:rPr>
          <w:rFonts w:ascii="Arial" w:hAnsi="Arial" w:cs="Arial"/>
          <w:b/>
          <w:bCs/>
          <w:sz w:val="24"/>
          <w:szCs w:val="24"/>
        </w:rPr>
      </w:pPr>
      <w:r w:rsidRPr="00015C63">
        <w:rPr>
          <w:rFonts w:ascii="Arial" w:hAnsi="Arial" w:cs="Arial"/>
          <w:b/>
          <w:bCs/>
          <w:sz w:val="24"/>
          <w:szCs w:val="24"/>
        </w:rPr>
        <w:t>Abstract</w:t>
      </w:r>
    </w:p>
    <w:p w14:paraId="1AFA7F70" w14:textId="77777777" w:rsidR="00366E1A" w:rsidRPr="00015C63" w:rsidRDefault="0031085A" w:rsidP="0031085A">
      <w:pPr>
        <w:jc w:val="both"/>
        <w:rPr>
          <w:rFonts w:ascii="Arial" w:hAnsi="Arial" w:cs="Arial"/>
        </w:rPr>
      </w:pPr>
      <w:r w:rsidRPr="00015C63">
        <w:rPr>
          <w:rFonts w:ascii="Arial" w:hAnsi="Arial" w:cs="Arial"/>
        </w:rPr>
        <w:t xml:space="preserve">Chickpea is a major pulse crop in India, but its productivity is hampered by severe weed infestation during the early growth stages. Manual weeding, though traditional, is labor-intensive, uneconomical, and often delayed, highlighting the need for effective chemical and mechanical solutions. A field experiment was conducted during the </w:t>
      </w:r>
      <w:r w:rsidRPr="00015C63">
        <w:rPr>
          <w:rFonts w:ascii="Arial" w:hAnsi="Arial" w:cs="Arial"/>
          <w:i/>
          <w:iCs/>
        </w:rPr>
        <w:t>rabi</w:t>
      </w:r>
      <w:r w:rsidRPr="00015C63">
        <w:rPr>
          <w:rFonts w:ascii="Arial" w:hAnsi="Arial" w:cs="Arial"/>
        </w:rPr>
        <w:t xml:space="preserve"> season of 2024–25 at the Agronomy Farm, R.S.M. (P.G.) College, </w:t>
      </w:r>
      <w:proofErr w:type="spellStart"/>
      <w:r w:rsidRPr="00015C63">
        <w:rPr>
          <w:rFonts w:ascii="Arial" w:hAnsi="Arial" w:cs="Arial"/>
        </w:rPr>
        <w:t>Dhampur</w:t>
      </w:r>
      <w:proofErr w:type="spellEnd"/>
      <w:r w:rsidRPr="00015C63">
        <w:rPr>
          <w:rFonts w:ascii="Arial" w:hAnsi="Arial" w:cs="Arial"/>
        </w:rPr>
        <w:t xml:space="preserve"> (</w:t>
      </w:r>
      <w:proofErr w:type="spellStart"/>
      <w:r w:rsidRPr="00015C63">
        <w:rPr>
          <w:rFonts w:ascii="Arial" w:hAnsi="Arial" w:cs="Arial"/>
        </w:rPr>
        <w:t>Bijnor</w:t>
      </w:r>
      <w:proofErr w:type="spellEnd"/>
      <w:r w:rsidRPr="00015C63">
        <w:rPr>
          <w:rFonts w:ascii="Arial" w:hAnsi="Arial" w:cs="Arial"/>
        </w:rPr>
        <w:t xml:space="preserve">), to assess the impact of herbicide and herbicides applicator on chickpea growth and </w:t>
      </w:r>
      <w:r w:rsidR="00244323" w:rsidRPr="00015C63">
        <w:rPr>
          <w:rFonts w:ascii="Arial" w:hAnsi="Arial" w:cs="Arial"/>
        </w:rPr>
        <w:t>root parameters</w:t>
      </w:r>
      <w:r w:rsidRPr="00015C63">
        <w:rPr>
          <w:rFonts w:ascii="Arial" w:hAnsi="Arial" w:cs="Arial"/>
        </w:rPr>
        <w:t>. The trial followed a randomized block design with seven treatments and three replications, integrating pre- and post-emergence herbicides with and without mechanical applicator. Results showed significant differences in weed control efficiency, growth attributes, and yield. The weed-free treatment (T</w:t>
      </w:r>
      <w:r w:rsidRPr="00015C63">
        <w:rPr>
          <w:rFonts w:ascii="Arial" w:hAnsi="Arial" w:cs="Arial"/>
          <w:vertAlign w:val="subscript"/>
        </w:rPr>
        <w:t>6</w:t>
      </w:r>
      <w:r w:rsidRPr="00015C63">
        <w:rPr>
          <w:rFonts w:ascii="Arial" w:hAnsi="Arial" w:cs="Arial"/>
        </w:rPr>
        <w:t xml:space="preserve">) recorded the superior growth parameters. Among herbicidal options, pre-emergence application of </w:t>
      </w:r>
      <w:proofErr w:type="spellStart"/>
      <w:r w:rsidRPr="00015C63">
        <w:rPr>
          <w:rFonts w:ascii="Arial" w:hAnsi="Arial" w:cs="Arial"/>
        </w:rPr>
        <w:t>pendimethalin</w:t>
      </w:r>
      <w:proofErr w:type="spellEnd"/>
      <w:r w:rsidRPr="00015C63">
        <w:rPr>
          <w:rFonts w:ascii="Arial" w:hAnsi="Arial" w:cs="Arial"/>
        </w:rPr>
        <w:t xml:space="preserve"> @1 kg </w:t>
      </w:r>
      <w:proofErr w:type="spellStart"/>
      <w:r w:rsidRPr="00015C63">
        <w:rPr>
          <w:rFonts w:ascii="Arial" w:hAnsi="Arial" w:cs="Arial"/>
        </w:rPr>
        <w:t>a.i</w:t>
      </w:r>
      <w:proofErr w:type="spellEnd"/>
      <w:r w:rsidRPr="00015C63">
        <w:rPr>
          <w:rFonts w:ascii="Arial" w:hAnsi="Arial" w:cs="Arial"/>
        </w:rPr>
        <w:t>. ha</w:t>
      </w:r>
      <w:r w:rsidRPr="00015C63">
        <w:rPr>
          <w:rFonts w:ascii="Arial" w:hAnsi="Arial" w:cs="Arial"/>
          <w:vertAlign w:val="superscript"/>
        </w:rPr>
        <w:t>-1</w:t>
      </w:r>
      <w:r w:rsidRPr="00015C63">
        <w:rPr>
          <w:rFonts w:ascii="Arial" w:hAnsi="Arial" w:cs="Arial"/>
        </w:rPr>
        <w:t xml:space="preserve"> </w:t>
      </w:r>
      <w:r w:rsidRPr="00015C63">
        <w:rPr>
          <w:rFonts w:ascii="Arial" w:hAnsi="Arial" w:cs="Arial"/>
          <w:i/>
          <w:iCs/>
        </w:rPr>
        <w:t>fb</w:t>
      </w:r>
      <w:r w:rsidRPr="00015C63">
        <w:rPr>
          <w:rFonts w:ascii="Arial" w:hAnsi="Arial" w:cs="Arial"/>
        </w:rPr>
        <w:t xml:space="preserve"> imazethapyr @ 60 g </w:t>
      </w:r>
      <w:proofErr w:type="spellStart"/>
      <w:r w:rsidRPr="00015C63">
        <w:rPr>
          <w:rFonts w:ascii="Arial" w:hAnsi="Arial" w:cs="Arial"/>
        </w:rPr>
        <w:t>a.i</w:t>
      </w:r>
      <w:proofErr w:type="spellEnd"/>
      <w:r w:rsidRPr="00015C63">
        <w:rPr>
          <w:rFonts w:ascii="Arial" w:hAnsi="Arial" w:cs="Arial"/>
        </w:rPr>
        <w:t>. ha</w:t>
      </w:r>
      <w:r w:rsidRPr="00015C63">
        <w:rPr>
          <w:rFonts w:ascii="Cambria Math" w:hAnsi="Cambria Math" w:cs="Cambria Math"/>
        </w:rPr>
        <w:t>⁻</w:t>
      </w:r>
      <w:r w:rsidRPr="00015C63">
        <w:rPr>
          <w:rFonts w:ascii="Arial" w:hAnsi="Arial" w:cs="Arial"/>
        </w:rPr>
        <w:t>¹ applied with an inter-row applicator</w:t>
      </w:r>
      <w:r w:rsidR="0004363E" w:rsidRPr="00015C63">
        <w:rPr>
          <w:rFonts w:ascii="Arial" w:hAnsi="Arial" w:cs="Arial"/>
        </w:rPr>
        <w:t xml:space="preserve"> achieved maximum plant height</w:t>
      </w:r>
      <w:r w:rsidRPr="00015C63">
        <w:rPr>
          <w:rFonts w:ascii="Arial" w:hAnsi="Arial" w:cs="Arial"/>
        </w:rPr>
        <w:t>,</w:t>
      </w:r>
      <w:r w:rsidR="0004363E" w:rsidRPr="00015C63">
        <w:rPr>
          <w:rFonts w:ascii="Arial" w:hAnsi="Arial" w:cs="Arial"/>
        </w:rPr>
        <w:t xml:space="preserve"> number of branches,</w:t>
      </w:r>
      <w:r w:rsidRPr="00015C63">
        <w:rPr>
          <w:rFonts w:ascii="Arial" w:hAnsi="Arial" w:cs="Arial"/>
        </w:rPr>
        <w:t xml:space="preserve"> </w:t>
      </w:r>
      <w:r w:rsidR="0004363E" w:rsidRPr="00015C63">
        <w:rPr>
          <w:rFonts w:ascii="Arial" w:hAnsi="Arial" w:cs="Arial"/>
        </w:rPr>
        <w:t>root dry and fresh weight</w:t>
      </w:r>
      <w:r w:rsidRPr="00015C63">
        <w:rPr>
          <w:rFonts w:ascii="Arial" w:hAnsi="Arial" w:cs="Arial"/>
        </w:rPr>
        <w:t>. Overall, integrating herbicide application with a mechanical applicator prov</w:t>
      </w:r>
      <w:r w:rsidR="0004363E" w:rsidRPr="00015C63">
        <w:rPr>
          <w:rFonts w:ascii="Arial" w:hAnsi="Arial" w:cs="Arial"/>
        </w:rPr>
        <w:t>ed</w:t>
      </w:r>
      <w:r w:rsidRPr="00015C63">
        <w:rPr>
          <w:rFonts w:ascii="Arial" w:hAnsi="Arial" w:cs="Arial"/>
        </w:rPr>
        <w:t xml:space="preserve"> cost-effective, and sustainable for chickpea weed management.</w:t>
      </w:r>
    </w:p>
    <w:p w14:paraId="16F7A78F" w14:textId="77777777" w:rsidR="0004363E" w:rsidRPr="00015C63" w:rsidRDefault="0004363E" w:rsidP="0004363E">
      <w:pPr>
        <w:jc w:val="both"/>
        <w:rPr>
          <w:rFonts w:ascii="Arial" w:hAnsi="Arial" w:cs="Arial"/>
        </w:rPr>
      </w:pPr>
      <w:r w:rsidRPr="00015C63">
        <w:rPr>
          <w:rFonts w:ascii="Arial" w:hAnsi="Arial" w:cs="Arial"/>
          <w:b/>
          <w:bCs/>
        </w:rPr>
        <w:t>Keywords</w:t>
      </w:r>
      <w:r w:rsidRPr="00015C63">
        <w:rPr>
          <w:rFonts w:ascii="Arial" w:hAnsi="Arial" w:cs="Arial"/>
        </w:rPr>
        <w:t>: Imazethapyr, pendimethalin, chickpea, inter-row applicator, weed management</w:t>
      </w:r>
    </w:p>
    <w:p w14:paraId="35E3D172" w14:textId="77777777" w:rsidR="0031085A" w:rsidRPr="00015C63" w:rsidRDefault="0031085A" w:rsidP="00366E1A">
      <w:pPr>
        <w:rPr>
          <w:rFonts w:ascii="Arial" w:hAnsi="Arial" w:cs="Arial"/>
          <w:b/>
          <w:bCs/>
        </w:rPr>
      </w:pPr>
      <w:r w:rsidRPr="00015C63">
        <w:rPr>
          <w:rFonts w:ascii="Arial" w:hAnsi="Arial" w:cs="Arial"/>
          <w:b/>
          <w:bCs/>
        </w:rPr>
        <w:t>Introduction</w:t>
      </w:r>
    </w:p>
    <w:p w14:paraId="7FE6DA9A" w14:textId="7FA6256E"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Pulses play a vital role in the global food and nutritional security due to their higher protein content and adaptability to diverse agro-climatic conditions.</w:t>
      </w:r>
      <w:r w:rsidRPr="00015C63">
        <w:rPr>
          <w:rFonts w:ascii="Arial" w:hAnsi="Arial" w:cs="Arial"/>
        </w:rPr>
        <w:t xml:space="preserve"> Pulse crops, often simply referred to as ‘pulses’ are the edible seeds of plants in the legume family. The term ‘pulse’ is reserved for crops harvested solely as dry grains, which differentiates them from </w:t>
      </w:r>
      <w:r w:rsidRPr="00015C63">
        <w:rPr>
          <w:rFonts w:ascii="Arial" w:hAnsi="Arial" w:cs="Arial"/>
        </w:rPr>
        <w:lastRenderedPageBreak/>
        <w:t xml:space="preserve">other vegetable crops that are harvested while still green </w:t>
      </w:r>
      <w:r w:rsidRPr="00015C63">
        <w:rPr>
          <w:rFonts w:ascii="Arial" w:hAnsi="Arial" w:cs="Arial"/>
        </w:rPr>
        <w:fldChar w:fldCharType="begin" w:fldLock="1"/>
      </w:r>
      <w:r w:rsidR="001A3F59" w:rsidRPr="00015C63">
        <w:rPr>
          <w:rFonts w:ascii="Arial" w:hAnsi="Arial" w:cs="Arial"/>
        </w:rPr>
        <w:instrText>ADDIN CSL_CITATION {"citationItems":[{"id":"ITEM-1","itemData":{"ISBN":"9789393704887","author":[{"dropping-particle":"","family":"Kumar","given":"Sandeep","non-dropping-particle":"","parse-names":false,"suffix":""}],"id":"ITEM-1","issued":{"date-parts":[["2025"]]},"number-of-pages":"1 - 936","publisher":"Kushal Publication and Distributors Varanasi","title":"Agronomyn simplified","type":"book"},"uris":["http://www.mendeley.com/documents/?uuid=92633c6a-e34c-4bd6-bbad-c3711d049228","http://www.mendeley.com/documents/?uuid=a43c8872-98de-4e2a-9902-95d08057716b"]}],"mendeley":{"formattedCitation":"(S. Kumar, 2025)","manualFormatting":"(Kumar., 2025)","plainTextFormattedCitation":"(S. Kumar, 2025)","previouslyFormattedCitation":"(S. Kumar, 2025)"},"properties":{"noteIndex":0},"schema":"https://github.com/citation-style-language/schema/raw/master/csl-citation.json"}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(Kumar, 2025)</w:t>
      </w:r>
      <w:r w:rsidRPr="00015C63">
        <w:rPr>
          <w:rFonts w:ascii="Arial" w:hAnsi="Arial" w:cs="Arial"/>
        </w:rPr>
        <w:fldChar w:fldCharType="end"/>
      </w:r>
      <w:r w:rsidRPr="00015C63">
        <w:rPr>
          <w:rFonts w:ascii="Arial" w:hAnsi="Arial" w:cs="Arial"/>
        </w:rPr>
        <w:t>.</w:t>
      </w:r>
      <w:r w:rsidRPr="00015C63">
        <w:rPr>
          <w:rFonts w:ascii="Arial" w:eastAsia="Times New Roman" w:hAnsi="Arial" w:cs="Arial"/>
          <w:lang w:val="en-IN" w:eastAsia="en-IN"/>
        </w:rPr>
        <w:t xml:space="preserve">They are often referred to as the “poor man’s meat” owing to their affordability and nutrient richness </w:t>
      </w:r>
      <w:r w:rsidR="00E54D1A"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10.1080/23311932.2019.1615718","ISSN":"2331-1932","author":[{"dropping-particle":"","family":"Merga","given":"Bulti","non-dropping-particle":"","parse-names":false,"suffix":""},{"dropping-particle":"","family":"Haji","given":"Jema","non-dropping-particle":"","parse-names":false,"suffix":""}],"container-title":"Cogent Food &amp; Agriculture","editor":[{"dropping-particle":"","family":"Yildiz","given":"Fatih","non-dropping-particle":"","parse-names":false,"suffix":""}],"id":"ITEM-1","issue":"1","issued":{"date-parts":[["2019","1","1"]]},"page":"1615718","title":"Economic importance of chickpea production value and world trade","type":"article-journal","volume":"5"},"uris":["http://www.mendeley.com/documents/?uuid=3293fc99-2bbc-44da-b31e-dacd97a0d965"]}],"mendeley":{"formattedCitation":"(Merga &amp; Haji, 2019)","manualFormatting":"(Merga and Haji., 2019)","plainTextFormattedCitation":"(Merga &amp; Haji, 2019)","previouslyFormattedCitation":"(Merga &amp; Haji, 2019)"},"properties":{"noteIndex":0},"schema":"https://github.com/citation-style-language/schema/raw/master/csl-citation.json"}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(Merga and</w:t>
      </w:r>
      <w:r w:rsidR="00E54D1A" w:rsidRPr="00015C63">
        <w:rPr>
          <w:rFonts w:ascii="Arial" w:eastAsia="Times New Roman" w:hAnsi="Arial" w:cs="Arial"/>
          <w:noProof/>
          <w:lang w:val="en-IN" w:eastAsia="en-IN"/>
        </w:rPr>
        <w:t xml:space="preserve"> Haj</w:t>
      </w:r>
      <w:r w:rsidR="00E54D1A" w:rsidRPr="00670C78">
        <w:rPr>
          <w:rFonts w:ascii="Arial" w:eastAsia="Times New Roman" w:hAnsi="Arial" w:cs="Arial"/>
          <w:noProof/>
          <w:highlight w:val="green"/>
          <w:lang w:val="en-IN" w:eastAsia="en-IN"/>
        </w:rPr>
        <w:t>i,</w:t>
      </w:r>
      <w:r w:rsidR="00E54D1A" w:rsidRPr="00015C63">
        <w:rPr>
          <w:rFonts w:ascii="Arial" w:eastAsia="Times New Roman" w:hAnsi="Arial" w:cs="Arial"/>
          <w:noProof/>
          <w:lang w:val="en-IN" w:eastAsia="en-IN"/>
        </w:rPr>
        <w:t xml:space="preserve"> 2019)</w:t>
      </w:r>
      <w:r w:rsidR="00E54D1A" w:rsidRPr="00015C63">
        <w:rPr>
          <w:rFonts w:ascii="Arial" w:eastAsia="Times New Roman" w:hAnsi="Arial" w:cs="Arial"/>
          <w:lang w:val="en-IN" w:eastAsia="en-IN"/>
        </w:rPr>
        <w:fldChar w:fldCharType="end"/>
      </w:r>
      <w:r w:rsidRPr="00015C63">
        <w:rPr>
          <w:rFonts w:ascii="Arial" w:eastAsia="Times New Roman" w:hAnsi="Arial" w:cs="Arial"/>
          <w:lang w:val="en-IN" w:eastAsia="en-IN"/>
        </w:rPr>
        <w:t>. Among pulses, chickpea (</w:t>
      </w:r>
      <w:r w:rsidRPr="00015C63">
        <w:rPr>
          <w:rFonts w:ascii="Arial" w:eastAsia="Times New Roman" w:hAnsi="Arial" w:cs="Arial"/>
          <w:i/>
          <w:iCs/>
          <w:lang w:val="en-IN" w:eastAsia="en-IN"/>
        </w:rPr>
        <w:t>Cicer arietinum</w:t>
      </w:r>
      <w:r w:rsidRPr="00015C63">
        <w:rPr>
          <w:rFonts w:ascii="Arial" w:eastAsia="Times New Roman" w:hAnsi="Arial" w:cs="Arial"/>
          <w:lang w:val="en-IN" w:eastAsia="en-IN"/>
        </w:rPr>
        <w:t xml:space="preserve"> L.) is one of the most important </w:t>
      </w:r>
      <w:r w:rsidRPr="00015C63">
        <w:rPr>
          <w:rFonts w:ascii="Arial" w:eastAsia="Times New Roman" w:hAnsi="Arial" w:cs="Arial"/>
          <w:i/>
          <w:iCs/>
          <w:lang w:val="en-IN" w:eastAsia="en-IN"/>
        </w:rPr>
        <w:t xml:space="preserve">rabi </w:t>
      </w:r>
      <w:r w:rsidRPr="00015C63">
        <w:rPr>
          <w:rFonts w:ascii="Arial" w:eastAsia="Times New Roman" w:hAnsi="Arial" w:cs="Arial"/>
          <w:lang w:val="en-IN" w:eastAsia="en-IN"/>
        </w:rPr>
        <w:t>season legume after pigeon pea, valued both as a staple food and as a rotational crop for maintaining soil fertility</w:t>
      </w:r>
      <w:r w:rsidR="00473B65" w:rsidRPr="00015C63">
        <w:rPr>
          <w:rFonts w:ascii="Arial" w:eastAsia="Times New Roman" w:hAnsi="Arial" w:cs="Arial"/>
          <w:lang w:val="en-IN" w:eastAsia="en-IN"/>
        </w:rPr>
        <w:t xml:space="preserve"> </w:t>
      </w:r>
      <w:r w:rsidR="00473B65" w:rsidRPr="00015C63">
        <w:rPr>
          <w:rFonts w:ascii="Arial" w:eastAsia="Times New Roman" w:hAnsi="Arial" w:cs="Arial"/>
          <w:lang w:val="en-IN" w:eastAsia="en-IN"/>
        </w:rPr>
        <w:fldChar w:fldCharType="begin" w:fldLock="1"/>
      </w:r>
      <w:r w:rsidR="00473B65"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improvement","type":"article-journal","volume":"31"},"uris":["http://www.mendeley.com/documents/?uuid=0738e8cb-e3c0-4566-9be9-a8a67a02b215"]},{"id":"ITEM-2","itemData":{"author":[{"dropping-particle":"","family":"Srinivas","given":"V. M.","non-dropping-particle":"","parse-names":false,"suffix":""},{"dropping-particle":"","family":"Singh","given":"S.","non-dropping-particle":"","parse-names":false,"suffix":""}],"container-title":"The Pharma Innovation Journal","id":"ITEM-2","issue":"11","issued":{"date-parts":[["2022"]]},"page":"1715-1718","title":"Effect of planting methods and zinc on growth and yield of chick pea (Cicer arietinum L.)","type":"article-journal","volume":"5"},"uris":["http://www.mendeley.com/documents/?uuid=a44de752-22ae-4fb1-9223-1b136120359d"]}],"mendeley":{"formattedCitation":"(Srinivas &amp; Singh, 2022; Varshney et al., 2013)","manualFormatting":"(Srinivas and Singh, 2022; Varshney et al., 2013)","plainTextFormattedCitation":"(Srinivas &amp; Singh, 2022; Varshney et al., 2013)","previouslyFormattedCitation":"(Srinivas &amp; Singh, 2022; Varshney et al., 2013)"},"properties":{"noteIndex":0},"schema":"https://github.com/citation-style-language/schema/raw/master/csl-citation.json"}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473B65" w:rsidRPr="00015C63">
        <w:rPr>
          <w:rFonts w:ascii="Arial" w:eastAsia="Times New Roman" w:hAnsi="Arial" w:cs="Arial"/>
          <w:noProof/>
          <w:lang w:val="en-IN" w:eastAsia="en-IN"/>
        </w:rPr>
        <w:t xml:space="preserve">(Srinivas and Singh, 2022; Varshney </w:t>
      </w:r>
      <w:r w:rsidR="00473B65" w:rsidRPr="000750CC">
        <w:rPr>
          <w:rFonts w:ascii="Arial" w:eastAsia="Times New Roman" w:hAnsi="Arial" w:cs="Arial"/>
          <w:i/>
          <w:noProof/>
          <w:highlight w:val="green"/>
          <w:lang w:val="en-IN" w:eastAsia="en-IN"/>
        </w:rPr>
        <w:t>et al</w:t>
      </w:r>
      <w:r w:rsidR="00473B65" w:rsidRPr="00015C63">
        <w:rPr>
          <w:rFonts w:ascii="Arial" w:eastAsia="Times New Roman" w:hAnsi="Arial" w:cs="Arial"/>
          <w:noProof/>
          <w:lang w:val="en-IN" w:eastAsia="en-IN"/>
        </w:rPr>
        <w:t>., 2013)</w:t>
      </w:r>
      <w:r w:rsidR="00473B65"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Chickpea belongs to the genus </w:t>
      </w:r>
      <w:proofErr w:type="spellStart"/>
      <w:r w:rsidRPr="00015C63">
        <w:rPr>
          <w:rFonts w:ascii="Arial" w:eastAsia="Times New Roman" w:hAnsi="Arial" w:cs="Arial"/>
          <w:i/>
          <w:iCs/>
          <w:lang w:val="en-IN" w:eastAsia="en-IN"/>
        </w:rPr>
        <w:t>Cicer</w:t>
      </w:r>
      <w:proofErr w:type="spellEnd"/>
      <w:r w:rsidRPr="00015C63">
        <w:rPr>
          <w:rFonts w:ascii="Arial" w:eastAsia="Times New Roman" w:hAnsi="Arial" w:cs="Arial"/>
          <w:lang w:val="en-IN" w:eastAsia="en-IN"/>
        </w:rPr>
        <w:t xml:space="preserve">, tribe </w:t>
      </w:r>
      <w:proofErr w:type="spellStart"/>
      <w:r w:rsidRPr="00015C63">
        <w:rPr>
          <w:rFonts w:ascii="Arial" w:eastAsia="Times New Roman" w:hAnsi="Arial" w:cs="Arial"/>
          <w:i/>
          <w:iCs/>
          <w:lang w:val="en-IN" w:eastAsia="en-IN"/>
        </w:rPr>
        <w:t>Cicereae</w:t>
      </w:r>
      <w:proofErr w:type="spellEnd"/>
      <w:r w:rsidRPr="00015C63">
        <w:rPr>
          <w:rFonts w:ascii="Arial" w:eastAsia="Times New Roman" w:hAnsi="Arial" w:cs="Arial"/>
          <w:lang w:val="en-IN" w:eastAsia="en-IN"/>
        </w:rPr>
        <w:t xml:space="preserve">, family </w:t>
      </w:r>
      <w:proofErr w:type="spellStart"/>
      <w:r w:rsidRPr="00015C63">
        <w:rPr>
          <w:rFonts w:ascii="Arial" w:eastAsia="Times New Roman" w:hAnsi="Arial" w:cs="Arial"/>
          <w:i/>
          <w:iCs/>
          <w:lang w:val="en-IN" w:eastAsia="en-IN"/>
        </w:rPr>
        <w:t>Fabaceae</w:t>
      </w:r>
      <w:proofErr w:type="spellEnd"/>
      <w:r w:rsidRPr="00015C63">
        <w:rPr>
          <w:rFonts w:ascii="Arial" w:eastAsia="Times New Roman" w:hAnsi="Arial" w:cs="Arial"/>
          <w:lang w:val="en-IN" w:eastAsia="en-IN"/>
        </w:rPr>
        <w:t xml:space="preserve">, and sub-family </w:t>
      </w:r>
      <w:proofErr w:type="spellStart"/>
      <w:r w:rsidRPr="00015C63">
        <w:rPr>
          <w:rFonts w:ascii="Arial" w:eastAsia="Times New Roman" w:hAnsi="Arial" w:cs="Arial"/>
          <w:i/>
          <w:iCs/>
          <w:lang w:val="en-IN" w:eastAsia="en-IN"/>
        </w:rPr>
        <w:t>Papilionaceae</w:t>
      </w:r>
      <w:proofErr w:type="spellEnd"/>
      <w:r w:rsidR="00E54D1A" w:rsidRPr="00015C63">
        <w:rPr>
          <w:rFonts w:ascii="Arial" w:eastAsia="Times New Roman" w:hAnsi="Arial" w:cs="Arial"/>
          <w:lang w:val="en-IN" w:eastAsia="en-IN"/>
        </w:rPr>
        <w:t xml:space="preserve"> </w:t>
      </w:r>
      <w:r w:rsidR="00E54D1A"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improvement","type":"article-journal","volume":"31"},"uris":["http://www.mendeley.com/documents/?uuid=0738e8cb-e3c0-4566-9be9-a8a67a02b215"]}],"mendeley":{"formattedCitation":"(Varshney et al., 2013)","plainTextFormattedCitation":"(Varshney et al., 2013)","previouslyFormattedCitation":"(Varshney et al., 2013)"},"properties":{"noteIndex":0},"schema":"https://github.com/citation-style-language/schema/raw/master/csl-citation.json"}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E54D1A" w:rsidRPr="00015C63">
        <w:rPr>
          <w:rFonts w:ascii="Arial" w:eastAsia="Times New Roman" w:hAnsi="Arial" w:cs="Arial"/>
          <w:noProof/>
          <w:lang w:val="en-IN" w:eastAsia="en-IN"/>
        </w:rPr>
        <w:t>(Varshney</w:t>
      </w:r>
      <w:r w:rsidR="00E54D1A" w:rsidRPr="00015C63">
        <w:rPr>
          <w:rFonts w:ascii="Arial" w:eastAsia="Times New Roman" w:hAnsi="Arial" w:cs="Arial"/>
          <w:i/>
          <w:iCs/>
          <w:noProof/>
          <w:lang w:val="en-IN" w:eastAsia="en-IN"/>
        </w:rPr>
        <w:t xml:space="preserve"> et al</w:t>
      </w:r>
      <w:r w:rsidR="00E54D1A" w:rsidRPr="00015C63">
        <w:rPr>
          <w:rFonts w:ascii="Arial" w:eastAsia="Times New Roman" w:hAnsi="Arial" w:cs="Arial"/>
          <w:noProof/>
          <w:lang w:val="en-IN" w:eastAsia="en-IN"/>
        </w:rPr>
        <w:t>., 2013)</w:t>
      </w:r>
      <w:r w:rsidR="00E54D1A"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It is one of the earliest domesticated legumes and currently ranks second among pulse crops worldwide after dry beans </w:t>
      </w:r>
      <w:r w:rsidR="00473B65"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{"citationItems":[{"id":"ITEM-1","itemData":{"DOI":"10.1007/978-1-4419-0465-2_2324","author":[{"dropping-particle":"","family":"Lucas","given":"Leilani","non-dropping-particle":"","parse-names":false,"suffix":""},{"dropping-particle":"","family":"Fuller","given":"Dorian Q.","non-dropping-particle":"","parse-names":false,"suffix":""}],"container-title":"Encyclopedia of Global Archaeology","id":"ITEM-1","issued":{"date-parts":[["2014"]]},"page":"1384-1387","publisher":"Springer New York","publisher-place":"New York, NY","title":"Chickpea Origins and Development","type":"chapter"},"uris":["http://www.mendeley.com/documents/?uuid=07033f2a-c4ed-4977-b930-8c06f4c79e77"]}],"mendeley":{"formattedCitation":"(Lucas &amp; Fuller, 2014)","manualFormatting":"(Lucas and Fuller., 2014)","plainTextFormattedCitation":"(Lucas &amp; Fuller, 2014)","previouslyFormattedCitation":"(Lucas &amp; Fuller, 2014)"},"properties":{"noteIndex":0},"schema":"https://github.com/citation-style-language/schema/raw/master/csl-citation.json"}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(Lucas and</w:t>
      </w:r>
      <w:r w:rsidR="00183A1F" w:rsidRPr="00015C63">
        <w:rPr>
          <w:rFonts w:ascii="Arial" w:eastAsia="Times New Roman" w:hAnsi="Arial" w:cs="Arial"/>
          <w:noProof/>
          <w:lang w:val="en-IN" w:eastAsia="en-IN"/>
        </w:rPr>
        <w:t xml:space="preserve"> Fulle</w:t>
      </w:r>
      <w:r w:rsidR="00183A1F" w:rsidRPr="000750CC">
        <w:rPr>
          <w:rFonts w:ascii="Arial" w:eastAsia="Times New Roman" w:hAnsi="Arial" w:cs="Arial"/>
          <w:noProof/>
          <w:highlight w:val="green"/>
          <w:lang w:val="en-IN" w:eastAsia="en-IN"/>
        </w:rPr>
        <w:t>r,</w:t>
      </w:r>
      <w:r w:rsidR="00183A1F" w:rsidRPr="00015C63">
        <w:rPr>
          <w:rFonts w:ascii="Arial" w:eastAsia="Times New Roman" w:hAnsi="Arial" w:cs="Arial"/>
          <w:noProof/>
          <w:lang w:val="en-IN" w:eastAsia="en-IN"/>
        </w:rPr>
        <w:t xml:space="preserve"> 2014)</w:t>
      </w:r>
      <w:r w:rsidR="00473B65" w:rsidRPr="00015C63">
        <w:rPr>
          <w:rFonts w:ascii="Arial" w:eastAsia="Times New Roman" w:hAnsi="Arial" w:cs="Arial"/>
          <w:lang w:val="en-IN" w:eastAsia="en-IN"/>
        </w:rPr>
        <w:fldChar w:fldCharType="end"/>
      </w:r>
      <w:r w:rsidRPr="00015C63">
        <w:rPr>
          <w:rFonts w:ascii="Arial" w:eastAsia="Times New Roman" w:hAnsi="Arial" w:cs="Arial"/>
          <w:lang w:val="en-IN" w:eastAsia="en-IN"/>
        </w:rPr>
        <w:t>.</w:t>
      </w:r>
    </w:p>
    <w:p w14:paraId="565D3E21" w14:textId="77777777" w:rsidR="0026450D" w:rsidRPr="00015C63" w:rsidRDefault="0026450D" w:rsidP="0026450D">
      <w:pPr>
        <w:spacing w:after="120" w:line="360" w:lineRule="auto"/>
        <w:ind w:firstLine="720"/>
        <w:jc w:val="both"/>
        <w:rPr>
          <w:rFonts w:ascii="Arial" w:hAnsi="Arial" w:cs="Arial"/>
        </w:rPr>
      </w:pPr>
      <w:r w:rsidRPr="00015C63">
        <w:rPr>
          <w:rFonts w:ascii="Arial" w:eastAsia="Times New Roman" w:hAnsi="Arial" w:cs="Arial"/>
          <w:lang w:val="en-IN" w:eastAsia="en-IN"/>
        </w:rPr>
        <w:t xml:space="preserve">Chickpea is an annual, herbaceous crop with compound </w:t>
      </w:r>
      <w:r w:rsidRPr="00015C63">
        <w:rPr>
          <w:rFonts w:ascii="Arial" w:eastAsia="Times New Roman" w:hAnsi="Arial" w:cs="Arial"/>
          <w:lang w:eastAsia="en-IN"/>
        </w:rPr>
        <w:t xml:space="preserve">number of twice pinnately compound </w:t>
      </w:r>
      <w:r w:rsidRPr="00015C63">
        <w:rPr>
          <w:rFonts w:ascii="Arial" w:eastAsia="Times New Roman" w:hAnsi="Arial" w:cs="Arial"/>
          <w:lang w:val="en-IN" w:eastAsia="en-IN"/>
        </w:rPr>
        <w:t xml:space="preserve">leaves, white or pink flowers, and pods containing one to three seeds. </w:t>
      </w:r>
      <w:r w:rsidRPr="00015C63">
        <w:rPr>
          <w:rFonts w:ascii="Arial" w:hAnsi="Arial" w:cs="Arial"/>
        </w:rPr>
        <w:t xml:space="preserve">Chickpea, like other legumes, establish root nodules </w:t>
      </w:r>
      <w:r w:rsidRPr="00015C63">
        <w:rPr>
          <w:rFonts w:ascii="Arial" w:hAnsi="Arial" w:cs="Arial"/>
          <w:i/>
          <w:iCs/>
        </w:rPr>
        <w:t>via s</w:t>
      </w:r>
      <w:r w:rsidRPr="00015C63">
        <w:rPr>
          <w:rFonts w:ascii="Arial" w:hAnsi="Arial" w:cs="Arial"/>
        </w:rPr>
        <w:t xml:space="preserve">pecific rhizobia strains; these </w:t>
      </w:r>
      <w:proofErr w:type="spellStart"/>
      <w:r w:rsidRPr="00015C63">
        <w:rPr>
          <w:rFonts w:ascii="Arial" w:hAnsi="Arial" w:cs="Arial"/>
        </w:rPr>
        <w:t>nodulated</w:t>
      </w:r>
      <w:proofErr w:type="spellEnd"/>
      <w:r w:rsidRPr="00015C63">
        <w:rPr>
          <w:rFonts w:ascii="Arial" w:hAnsi="Arial" w:cs="Arial"/>
        </w:rPr>
        <w:t xml:space="preserve"> roots contribute significantly to soil nitrogen through biological nitrogen fixation, aided by robust root architecture </w:t>
      </w:r>
      <w:r w:rsidRPr="00015C63">
        <w:rPr>
          <w:rFonts w:ascii="Arial" w:hAnsi="Arial" w:cs="Arial"/>
        </w:rPr>
        <w:fldChar w:fldCharType="begin" w:fldLock="1"/>
      </w:r>
      <w:r w:rsidRPr="00015C63">
        <w:rPr>
          <w:rFonts w:ascii="Arial" w:hAnsi="Arial" w:cs="Arial"/>
        </w:rPr>
        <w:instrText>ADDIN CSL_CITATION {"citationItems":[{"id":"ITEM-1","itemData":{"DOI":"10.1186/s12870-025-06244-z","ISSN":"1471-2229","author":[{"dropping-particle":"","family":"Mahto","given":"Rohit Kumar","non-dropping-particle":"","parse-names":false,"suffix":""},{"dropping-particle":"","family":"Chandana","given":"B. S.","non-dropping-particle":"","parse-names":false,"suffix":""},{"dropping-particle":"","family":"Singh","given":"Rajesh Kumar","non-dropping-particle":"","parse-names":false,"suffix":""},{"dropping-particle":"","family":"Talukdar","given":"Akshay","non-dropping-particle":"","parse-names":false,"suffix":""},{"dropping-particle":"","family":"Swarnalakshmi","given":"K.","non-dropping-particle":"","parse-names":false,"suffix":""},{"dropping-particle":"","family":"Suman","given":"Archana","non-dropping-particle":"","parse-names":false,"suffix":""},{"dropping-particle":"","family":"Vaishali","given":"","non-dropping-particle":"","parse-names":false,"suffix":""},{"dropping-particle":"","family":"Dey","given":"Debashish","non-dropping-particle":"","parse-names":false,"suffix":""},{"dropping-particle":"","family":"Kumar","given":"Rajendra","non-dropping-particle":"","parse-names":false,"suffix":""}],"container-title":"BMC Plant Biology","id":"ITEM-1","issue":"1","issued":{"date-parts":[["2025","5","24"]]},"page":"693","title":"Uncovering potentials of an association panel subset for nitrogen fixation and sustainable chickpea productivity","type":"article-journal","volume":"25"},"uris":["http://www.mendeley.com/documents/?uuid=80fb3634-ddae-439f-b312-e99cd30cd405"]}],"mendeley":{"formattedCitation":"(Mahto et al., 2025)","plainTextFormattedCitation":"(Mahto et al., 2025)","previouslyFormattedCitation":"(Mahto et al., 2025)"},"properties":{"noteIndex":0},"schema":"https://github.com/citation-style-language/schema/raw/master/csl-citation.json"}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 xml:space="preserve">(Mahto </w:t>
      </w:r>
      <w:r w:rsidRPr="00015C63">
        <w:rPr>
          <w:rFonts w:ascii="Arial" w:hAnsi="Arial" w:cs="Arial"/>
          <w:i/>
          <w:iCs/>
          <w:noProof/>
        </w:rPr>
        <w:t>et al</w:t>
      </w:r>
      <w:r w:rsidRPr="00015C63">
        <w:rPr>
          <w:rFonts w:ascii="Arial" w:hAnsi="Arial" w:cs="Arial"/>
          <w:noProof/>
        </w:rPr>
        <w:t>., 2025)</w:t>
      </w:r>
      <w:r w:rsidRPr="00015C63">
        <w:rPr>
          <w:rFonts w:ascii="Arial" w:hAnsi="Arial" w:cs="Arial"/>
        </w:rPr>
        <w:fldChar w:fldCharType="end"/>
      </w:r>
      <w:r w:rsidRPr="00015C63">
        <w:rPr>
          <w:rFonts w:ascii="Arial" w:hAnsi="Arial" w:cs="Arial"/>
        </w:rPr>
        <w:t xml:space="preserve">. In South Asia, chickpea are consumed as fresh green seeds, dried whole grains, </w:t>
      </w:r>
      <w:r w:rsidRPr="00015C63">
        <w:rPr>
          <w:rFonts w:ascii="Arial" w:hAnsi="Arial" w:cs="Arial"/>
          <w:i/>
          <w:iCs/>
        </w:rPr>
        <w:t>dhal,</w:t>
      </w:r>
      <w:r w:rsidRPr="00015C63">
        <w:rPr>
          <w:rFonts w:ascii="Arial" w:hAnsi="Arial" w:cs="Arial"/>
        </w:rPr>
        <w:t xml:space="preserve"> and flour; traditional preparations involve roasting, frying, boiling, and puffing </w:t>
      </w:r>
      <w:r w:rsidRPr="00015C63">
        <w:rPr>
          <w:rFonts w:ascii="Arial" w:eastAsia="Times New Roman" w:hAnsi="Arial" w:cs="Arial"/>
          <w:lang w:val="en-IN" w:eastAsia="en-IN"/>
        </w:rPr>
        <w:fldChar w:fldCharType="begin" w:fldLock="1"/>
      </w:r>
      <w:r w:rsidR="00473B65" w:rsidRPr="00015C63">
        <w:rPr>
          <w:rFonts w:ascii="Arial" w:eastAsia="Times New Roman" w:hAnsi="Arial" w:cs="Arial"/>
          <w:lang w:val="en-IN" w:eastAsia="en-IN"/>
        </w:rPr>
        <w:instrText>ADDIN CSL_CITATION {"citationItems":[{"id":"ITEM-1","itemData":{"DOI":"10.5958/0974-8164.2022.00056.9","ISSN":"0253-8040","author":[{"dropping-particle":"","family":"Nepali","given":"Anamika","non-dropping-particle":"","parse-names":false,"suffix":""},{"dropping-particle":"","family":"Verma","given":"Arvind","non-dropping-particle":"","parse-names":false,"suffix":""},{"dropping-particle":"","family":"Singh","given":"J.K.","non-dropping-particle":"","parse-names":false,"suffix":""},{"dropping-particle":"","family":"Verma","given":"Deepa","non-dropping-particle":"","parse-names":false,"suffix":""},{"dropping-particle":"","family":"Pooja","given":"","non-dropping-particle":"","parse-names":false,"suffix":""}],"container-title":"Indian Journal of Weed Science","id":"ITEM-1","issue":"3","issued":{"date-parts":[["2022"]]},"page":"314-317","title":"effect of different pre- and post-emergence herbicides for weed management in chickpea","type":"article-journal","volume":"54"},"uris":["http://www.mendeley.com/documents/?uuid=7abe0120-2d14-4bf2-a0a4-c9c3eb890fc0"]}],"mendeley":{"formattedCitation":"(Nepali et al., 2022)","manualFormatting":"(Nepali et al., 2022)","plainTextFormattedCitation":"(Nepali et al., 2022)","previouslyFormattedCitation":"(Nepali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(Nepali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0048083F" w:rsidRPr="00015C63">
        <w:rPr>
          <w:rFonts w:ascii="Arial" w:eastAsia="Times New Roman" w:hAnsi="Arial" w:cs="Arial"/>
          <w:lang w:val="en-IN" w:eastAsia="en-IN"/>
        </w:rPr>
        <w:t>.</w:t>
      </w:r>
      <w:r w:rsidRPr="00015C63">
        <w:rPr>
          <w:rFonts w:ascii="Arial" w:eastAsia="Times New Roman" w:hAnsi="Arial" w:cs="Arial"/>
          <w:lang w:val="en-IN" w:eastAsia="en-IN"/>
        </w:rPr>
        <w:t xml:space="preserve"> Fresh green seeds are eaten as a vegetable, while leaves are also consumed for their mineral content. Nutritionally, chickpea seeds are rich in protein (15–22%), carbohydrates (40–60%), and fats (3–10%). They contain about 47% starch, 6% soluble sugars, 6% crude </w:t>
      </w:r>
      <w:proofErr w:type="spellStart"/>
      <w:r w:rsidRPr="00015C63">
        <w:rPr>
          <w:rFonts w:ascii="Arial" w:eastAsia="Times New Roman" w:hAnsi="Arial" w:cs="Arial"/>
          <w:lang w:val="en-IN" w:eastAsia="en-IN"/>
        </w:rPr>
        <w:t>fiber</w:t>
      </w:r>
      <w:proofErr w:type="spellEnd"/>
      <w:r w:rsidRPr="00015C63">
        <w:rPr>
          <w:rFonts w:ascii="Arial" w:eastAsia="Times New Roman" w:hAnsi="Arial" w:cs="Arial"/>
          <w:lang w:val="en-IN" w:eastAsia="en-IN"/>
        </w:rPr>
        <w:t xml:space="preserve">, 3% ash, and are also a good source of phosphorus, calcium, magnesium, iron, and zinc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{"citationItems":[{"id":"ITEM-1","itemData":{"DOI":"10.3389/fpls.2021.734980","ISSN":"1664-462X","abstract":"Chickpea is a highly nutritious pulse crop with low digestible carbohydrates (40–60%), protein (15–22%), essential fats (4–8%), and a range of minerals and vitamins. The fatty acid composition of the seed adds value because fats govern the texture, shelf-life, flavor, aroma, and nutritional composition of chickpea-based food products. Therefore, the biofortification of essential fatty acids has become a nutritional breeding target for chickpea crop improvement programs worldwide. This paper examines global chickpea production, focusing on plant lipids, their functions, and their benefits to human health. In addition, this paper also reviews the chemical analysis of essential fatty acids and possible breeding targets to enrich essential fatty acids in chickpea ( Cicer arietinum ) biofortification. Biofortification of chickpea for essential fatty acids within safe levels will improve human health and support food processing to retain the quality and flavor of chickpea-based food products. Essential fatty acid biofortification is possible by phenotyping diverse chickpea germplasm over suitable locations and years and identifying the candidate genes responsible for quantitative trait loci mapping using genome-wide association mapping.","author":[{"dropping-particle":"","family":"Madurapperumage","given":"Amod","non-dropping-particle":"","parse-names":false,"suffix":""},{"dropping-particle":"","family":"Tang","given":"Leung","non-dropping-particle":"","parse-names":false,"suffix":""},{"dropping-particle":"","family":"Thavarajah","given":"Pushparajah","non-dropping-particle":"","parse-names":false,"suffix":""},{"dropping-particle":"","family":"Bridges","given":"William","non-dropping-particle":"","parse-names":false,"suffix":""},{"dropping-particle":"","family":"Shipe","given":"Emerson","non-dropping-particle":"","parse-names":false,"suffix":""},{"dropping-particle":"","family":"Vandemark","given":"George","non-dropping-particle":"","parse-names":false,"suffix":""},{"dropping-particle":"","family":"Thavarajah","given":"Dil","non-dropping-particle":"","parse-names":false,"suffix":""}],"container-title":"Frontiers in Plant Science","id":"ITEM-1","issued":{"date-parts":[["2021","10","12"]]},"title":"Chickpea (Cicer arietinum L.) as a source of essential fatty acids – a biofortification approach","type":"article-journal","volume":"12"},"uris":["http://www.mendeley.com/documents/?uuid=2d34636c-2d69-459e-8d0c-c0454c24c6cc"]}],"mendeley":{"formattedCitation":"(Madurapperumage et al., 2021)","manualFormatting":"(Salaria et al., 2023; Madurapperumage et al., 2021","plainTextFormattedCitation":"(Madurapperumage et al., 2021)","previouslyFormattedCitation":"(Madurapperumage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w:t>
      </w:r>
      <w:r w:rsidRPr="00670C78">
        <w:rPr>
          <w:rFonts w:ascii="Arial" w:eastAsia="Times New Roman" w:hAnsi="Arial" w:cs="Arial"/>
          <w:noProof/>
          <w:highlight w:val="cyan"/>
          <w:lang w:val="en-IN" w:eastAsia="en-IN"/>
        </w:rPr>
        <w:t>Sa</w:t>
      </w:r>
      <w:r w:rsidR="001A3F59" w:rsidRPr="00670C78">
        <w:rPr>
          <w:rFonts w:ascii="Arial" w:eastAsia="Times New Roman" w:hAnsi="Arial" w:cs="Arial"/>
          <w:noProof/>
          <w:highlight w:val="cyan"/>
          <w:lang w:val="en-IN" w:eastAsia="en-IN"/>
        </w:rPr>
        <w:t xml:space="preserve">laria </w:t>
      </w:r>
      <w:r w:rsidRPr="00670C78">
        <w:rPr>
          <w:rFonts w:ascii="Arial" w:eastAsia="Times New Roman" w:hAnsi="Arial" w:cs="Arial"/>
          <w:i/>
          <w:iCs/>
          <w:noProof/>
          <w:highlight w:val="cyan"/>
          <w:lang w:val="en-IN" w:eastAsia="en-IN"/>
        </w:rPr>
        <w:t>et al</w:t>
      </w:r>
      <w:r w:rsidRPr="00670C78">
        <w:rPr>
          <w:rFonts w:ascii="Arial" w:eastAsia="Times New Roman" w:hAnsi="Arial" w:cs="Arial"/>
          <w:noProof/>
          <w:highlight w:val="cyan"/>
          <w:lang w:val="en-IN" w:eastAsia="en-IN"/>
        </w:rPr>
        <w:t>., 2023</w:t>
      </w:r>
      <w:r w:rsidRPr="00015C63">
        <w:rPr>
          <w:rFonts w:ascii="Arial" w:eastAsia="Times New Roman" w:hAnsi="Arial" w:cs="Arial"/>
          <w:noProof/>
          <w:lang w:val="en-IN" w:eastAsia="en-IN"/>
        </w:rPr>
        <w:t xml:space="preserve">; Madurapperumage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Pr="00015C63">
        <w:rPr>
          <w:rFonts w:ascii="Arial" w:eastAsia="Times New Roman" w:hAnsi="Arial" w:cs="Arial"/>
          <w:lang w:val="en-IN" w:eastAsia="en-IN"/>
        </w:rPr>
        <w:fldChar w:fldCharType="end"/>
      </w:r>
      <w:r w:rsidRPr="001D41CD">
        <w:rPr>
          <w:rFonts w:ascii="Arial" w:eastAsia="Times New Roman" w:hAnsi="Arial" w:cs="Arial"/>
          <w:highlight w:val="cyan"/>
          <w:lang w:val="en-IN" w:eastAsia="en-IN"/>
        </w:rPr>
        <w:t xml:space="preserve">; </w:t>
      </w:r>
      <w:r w:rsidRPr="001D41CD">
        <w:rPr>
          <w:rFonts w:ascii="Arial" w:eastAsia="Times New Roman" w:hAnsi="Arial" w:cs="Arial"/>
          <w:highlight w:val="cyan"/>
          <w:lang w:val="en-IN" w:eastAsia="en-IN"/>
        </w:rPr>
        <w:fldChar w:fldCharType="begin" w:fldLock="1"/>
      </w:r>
      <w:r w:rsidRPr="001D41CD">
        <w:rPr>
          <w:rFonts w:ascii="Arial" w:eastAsia="Times New Roman" w:hAnsi="Arial" w:cs="Arial"/>
          <w:highlight w:val="cyan"/>
          <w:lang w:val="en-IN" w:eastAsia="en-IN"/>
        </w:rPr>
        <w:instrText>ADDIN CSL_CITATION {"citationItems":[{"id":"ITEM-1","itemData":{"author":[{"dropping-particle":"","family":"Rosalind A Bueckert, Dil Thavarajah, Pushparajah Thavarajah","given":"Janet Pritchard","non-dropping-particle":"","parse-names":false,"suffix":""}],"container-title":"European Food Research and Technology","id":"ITEM-1","issue":"2","issued":{"date-parts":[["2011"]]},"title":"Phytic acid and mineral micronutrients in field-grown chickpea (Cicer arietinum L.) cultivars from western canada","type":"article-journal","volume":"233"},"uris":["http://www.mendeley.com/documents/?uuid=70650fde-48c6-49b1-863d-377aab5dcc9d"]}],"mendeley":{"formattedCitation":"(Rosalind A Bueckert, Dil Thavarajah, Pushparajah Thavarajah, 2011)","manualFormatting":"Bueckert et al., 2011)","plainTextFormattedCitation":"(Rosalind A Bueckert, Dil Thavarajah, Pushparajah Thavarajah, 2011)","previouslyFormattedCitation":"(Rosalind A Bueckert, Dil Thavarajah, Pushparajah Thavarajah, 2011)"},"properties":{"noteIndex":0},"schema":"https://github.com/citation-style-language/schema/raw/master/csl-citation.json"}</w:instrText>
      </w:r>
      <w:r w:rsidRPr="001D41CD">
        <w:rPr>
          <w:rFonts w:ascii="Arial" w:eastAsia="Times New Roman" w:hAnsi="Arial" w:cs="Arial"/>
          <w:highlight w:val="cyan"/>
          <w:lang w:val="en-IN" w:eastAsia="en-IN"/>
        </w:rPr>
        <w:fldChar w:fldCharType="separate"/>
      </w:r>
      <w:r w:rsidRPr="001D41CD">
        <w:rPr>
          <w:rFonts w:ascii="Arial" w:eastAsia="Times New Roman" w:hAnsi="Arial" w:cs="Arial"/>
          <w:noProof/>
          <w:highlight w:val="cyan"/>
          <w:lang w:val="en-IN" w:eastAsia="en-IN"/>
        </w:rPr>
        <w:t xml:space="preserve">Bueckert </w:t>
      </w:r>
      <w:r w:rsidRPr="001D41CD">
        <w:rPr>
          <w:rFonts w:ascii="Arial" w:eastAsia="Times New Roman" w:hAnsi="Arial" w:cs="Arial"/>
          <w:i/>
          <w:iCs/>
          <w:noProof/>
          <w:highlight w:val="cyan"/>
          <w:lang w:val="en-IN" w:eastAsia="en-IN"/>
        </w:rPr>
        <w:t>et al.</w:t>
      </w:r>
      <w:r w:rsidRPr="001D41CD">
        <w:rPr>
          <w:rFonts w:ascii="Arial" w:eastAsia="Times New Roman" w:hAnsi="Arial" w:cs="Arial"/>
          <w:noProof/>
          <w:highlight w:val="cyan"/>
          <w:lang w:val="en-IN" w:eastAsia="en-IN"/>
        </w:rPr>
        <w:t>, 2011)</w:t>
      </w:r>
      <w:r w:rsidRPr="001D41CD">
        <w:rPr>
          <w:rFonts w:ascii="Arial" w:eastAsia="Times New Roman" w:hAnsi="Arial" w:cs="Arial"/>
          <w:highlight w:val="cyan"/>
          <w:lang w:val="en-IN" w:eastAsia="en-IN"/>
        </w:rPr>
        <w:fldChar w:fldCharType="end"/>
      </w:r>
      <w:r w:rsidRPr="00015C63">
        <w:rPr>
          <w:rFonts w:ascii="Arial" w:hAnsi="Arial" w:cs="Arial"/>
        </w:rPr>
        <w:t xml:space="preserve"> </w:t>
      </w:r>
    </w:p>
    <w:p w14:paraId="52255F50" w14:textId="77777777"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Chickpea is a good source of important vitamins such as riboflavin, niacin, </w:t>
      </w:r>
      <w:proofErr w:type="spellStart"/>
      <w:r w:rsidRPr="00015C63">
        <w:rPr>
          <w:rFonts w:ascii="Arial" w:eastAsia="Times New Roman" w:hAnsi="Arial" w:cs="Arial"/>
          <w:lang w:val="en-IN" w:eastAsia="en-IN"/>
        </w:rPr>
        <w:t>thiamin</w:t>
      </w:r>
      <w:proofErr w:type="spellEnd"/>
      <w:r w:rsidRPr="00015C63">
        <w:rPr>
          <w:rFonts w:ascii="Arial" w:eastAsia="Times New Roman" w:hAnsi="Arial" w:cs="Arial"/>
          <w:lang w:val="en-IN" w:eastAsia="en-IN"/>
        </w:rPr>
        <w:t>, folate and the vitamin A precursor β-carotene Chickpea has significant amounts of all the essential amino acids except sulphur-containing amino acids,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w:t>
      </w:r>
      <w:proofErr w:type="spellStart"/>
      <w:r w:rsidRPr="00015C63">
        <w:rPr>
          <w:rFonts w:ascii="Arial" w:eastAsia="Times New Roman" w:hAnsi="Arial" w:cs="Arial"/>
          <w:lang w:val="en-IN" w:eastAsia="en-IN"/>
        </w:rPr>
        <w:t>Sitosterol</w:t>
      </w:r>
      <w:proofErr w:type="spellEnd"/>
      <w:r w:rsidRPr="00015C63">
        <w:rPr>
          <w:rFonts w:ascii="Arial" w:eastAsia="Times New Roman" w:hAnsi="Arial" w:cs="Arial"/>
          <w:lang w:val="en-IN" w:eastAsia="en-IN"/>
        </w:rPr>
        <w:t xml:space="preserve">, </w:t>
      </w:r>
      <w:proofErr w:type="spellStart"/>
      <w:r w:rsidRPr="00015C63">
        <w:rPr>
          <w:rFonts w:ascii="Arial" w:eastAsia="Times New Roman" w:hAnsi="Arial" w:cs="Arial"/>
          <w:lang w:val="en-IN" w:eastAsia="en-IN"/>
        </w:rPr>
        <w:t>campesterol</w:t>
      </w:r>
      <w:proofErr w:type="spellEnd"/>
      <w:r w:rsidRPr="00015C63">
        <w:rPr>
          <w:rFonts w:ascii="Arial" w:eastAsia="Times New Roman" w:hAnsi="Arial" w:cs="Arial"/>
          <w:lang w:val="en-IN" w:eastAsia="en-IN"/>
        </w:rPr>
        <w:t xml:space="preserve"> and </w:t>
      </w:r>
      <w:proofErr w:type="spellStart"/>
      <w:r w:rsidRPr="00015C63">
        <w:rPr>
          <w:rFonts w:ascii="Arial" w:eastAsia="Times New Roman" w:hAnsi="Arial" w:cs="Arial"/>
          <w:lang w:val="en-IN" w:eastAsia="en-IN"/>
        </w:rPr>
        <w:t>stigmasterol</w:t>
      </w:r>
      <w:proofErr w:type="spellEnd"/>
      <w:r w:rsidRPr="00015C63">
        <w:rPr>
          <w:rFonts w:ascii="Arial" w:eastAsia="Times New Roman" w:hAnsi="Arial" w:cs="Arial"/>
          <w:lang w:val="en-IN" w:eastAsia="en-IN"/>
        </w:rPr>
        <w:t xml:space="preserve"> are important sterols present in chickpea oil.</w:t>
      </w:r>
      <w:r w:rsidRPr="00015C63">
        <w:rPr>
          <w:rFonts w:ascii="Arial" w:hAnsi="Arial" w:cs="Arial"/>
        </w:rPr>
        <w:t xml:space="preserve"> </w:t>
      </w:r>
      <w:r w:rsidRPr="00015C63">
        <w:rPr>
          <w:rFonts w:ascii="Arial" w:eastAsia="Times New Roman" w:hAnsi="Arial" w:cs="Arial"/>
          <w:lang w:val="en-IN" w:eastAsia="en-IN"/>
        </w:rPr>
        <w:t xml:space="preserve">Chickpea has several potential health benefits, and, in combination with other pulses and cereals, it could have beneficial effects on some of the important human diseases such as CVD (Cardiovascular disease), type 2 diabetes, digestive diseases and some cancers </w:t>
      </w:r>
      <w:r w:rsidRPr="00015C63">
        <w:rPr>
          <w:rFonts w:ascii="Arial" w:hAnsi="Arial" w:cs="Arial"/>
        </w:rPr>
        <w:fldChar w:fldCharType="begin" w:fldLock="1"/>
      </w:r>
      <w:r w:rsidRPr="00015C63">
        <w:rPr>
          <w:rFonts w:ascii="Arial" w:hAnsi="Arial" w:cs="Arial"/>
        </w:rPr>
        <w:instrText>ADDIN CSL_CITATION {"citationItems":[{"id":"ITEM-1","itemData":{"DOI":"10.1017/S0007114512000797","ISSN":"0007-1145","abstract":"Chickpea ( Cicer arietinum L.) is an important pulse crop grown and consumed all over the world, especially in the Afro-Asian countries. It is a good source of carbohydrates and protein, and protein quality is considered to be better than other pulses. Chickpea has significant amounts of all the essential amino acids except sulphur-containing amino acids,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β-Sitosterol, campesterol and stigmasterol are important sterols present in chickpea oil. Ca, Mg, P and, especially, K are also present in chickpea seeds. Chickpea is a good source of important vitamins such as riboflavin, niacin, thiamin, folate and the vitamin A precursor β-carotene. As with other pulses, chickpea seeds also contain anti-nutritional factors which can be reduced or eliminated by different cooking techniques. Chickpea has several potential health benefits, and, in combination with other pulses and cereals, it could have beneficial effects on some of the important human diseases such as CVD, type 2 diabetes, digestive diseases and some cancers. Overall, chickpea is an important pulse crop with a diverse array of potential nutritional and health benefits.","author":[{"dropping-particle":"","family":"Jukanti","given":"A. K.","non-dropping-particle":"","parse-names":false,"suffix":""},{"dropping-particle":"","family":"Gaur","given":"P. M.","non-dropping-particle":"","parse-names":false,"suffix":""},{"dropping-particle":"","family":"Gowda","given":"C. L. L.","non-dropping-particle":"","parse-names":false,"suffix":""},{"dropping-particle":"","family":"Chibbar","given":"R. N.","non-dropping-particle":"","parse-names":false,"suffix":""}],"container-title":"British Journal of Nutrition","id":"ITEM-1","issue":"S1","issued":{"date-parts":[["2012","8","23"]]},"page":"S11-S26","title":"Nutritional quality and health benefits of chickpea ( Cicer arietinum L.) a review","type":"article-journal","volume":"108"},"uris":["http://www.mendeley.com/documents/?uuid=deef0e34-997e-4aef-a299-d7892ff65e05"]}],"mendeley":{"formattedCitation":"(Jukanti et al., 2012)","plainTextFormattedCitation":"(Jukanti et al., 2012)","previouslyFormattedCitation":"(Jukanti et al., 2012)"},"properties":{"noteIndex":0},"schema":"https://github.com/citation-style-language/schema/raw/master/csl-citation.json"}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 xml:space="preserve">(Jukanti </w:t>
      </w:r>
      <w:r w:rsidRPr="00015C63">
        <w:rPr>
          <w:rFonts w:ascii="Arial" w:hAnsi="Arial" w:cs="Arial"/>
          <w:i/>
          <w:iCs/>
          <w:noProof/>
        </w:rPr>
        <w:t>et al</w:t>
      </w:r>
      <w:r w:rsidRPr="00015C63">
        <w:rPr>
          <w:rFonts w:ascii="Arial" w:hAnsi="Arial" w:cs="Arial"/>
          <w:noProof/>
        </w:rPr>
        <w:t>., 2012)</w:t>
      </w:r>
      <w:r w:rsidRPr="00015C63">
        <w:rPr>
          <w:rFonts w:ascii="Arial" w:hAnsi="Arial" w:cs="Arial"/>
        </w:rPr>
        <w:fldChar w:fldCharType="end"/>
      </w:r>
      <w:r w:rsidRPr="00015C63">
        <w:rPr>
          <w:rFonts w:ascii="Arial" w:hAnsi="Arial" w:cs="Arial"/>
        </w:rPr>
        <w:t>.</w:t>
      </w:r>
    </w:p>
    <w:p w14:paraId="7EC66C68" w14:textId="305A20BD"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lastRenderedPageBreak/>
        <w:t xml:space="preserve">Globally, chickpea is cultivated on around </w:t>
      </w:r>
      <w:r w:rsidRPr="001D41CD">
        <w:rPr>
          <w:rFonts w:ascii="Arial" w:eastAsia="Times New Roman" w:hAnsi="Arial" w:cs="Arial"/>
          <w:highlight w:val="cyan"/>
          <w:lang w:val="en-IN" w:eastAsia="en-IN"/>
        </w:rPr>
        <w:t>14.09</w:t>
      </w:r>
      <w:r w:rsidRPr="00015C63">
        <w:rPr>
          <w:rFonts w:ascii="Arial" w:eastAsia="Times New Roman" w:hAnsi="Arial" w:cs="Arial"/>
          <w:lang w:val="en-IN" w:eastAsia="en-IN"/>
        </w:rPr>
        <w:t xml:space="preserve"> 14.09 million hectares with an annual production of nearly </w:t>
      </w:r>
      <w:r w:rsidRPr="001D41CD">
        <w:rPr>
          <w:rFonts w:ascii="Arial" w:eastAsia="Times New Roman" w:hAnsi="Arial" w:cs="Arial"/>
          <w:highlight w:val="cyan"/>
          <w:lang w:val="en-IN" w:eastAsia="en-IN"/>
        </w:rPr>
        <w:t>16.51</w:t>
      </w:r>
      <w:r w:rsidRPr="00015C63">
        <w:rPr>
          <w:rFonts w:ascii="Arial" w:eastAsia="Times New Roman" w:hAnsi="Arial" w:cs="Arial"/>
          <w:lang w:val="en-IN" w:eastAsia="en-IN"/>
        </w:rPr>
        <w:t xml:space="preserve"> 16.51 million tonnes. The average productivity is about </w:t>
      </w:r>
      <w:r w:rsidRPr="001D41CD">
        <w:rPr>
          <w:rFonts w:ascii="Arial" w:eastAsia="Times New Roman" w:hAnsi="Arial" w:cs="Arial"/>
          <w:highlight w:val="cyan"/>
          <w:lang w:val="en-IN" w:eastAsia="en-IN"/>
        </w:rPr>
        <w:t>1171.73 kilogram</w:t>
      </w:r>
      <w:r w:rsidRPr="00015C63">
        <w:rPr>
          <w:rFonts w:ascii="Arial" w:eastAsia="Times New Roman" w:hAnsi="Arial" w:cs="Arial"/>
          <w:lang w:val="en-IN" w:eastAsia="en-IN"/>
        </w:rPr>
        <w:t xml:space="preserve"> 1171.73 kilogram per hectare, though this varies widely across regions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(FAOSTA</w:t>
      </w:r>
      <w:r w:rsidRPr="001D41CD">
        <w:rPr>
          <w:rFonts w:ascii="Arial" w:eastAsia="Times New Roman" w:hAnsi="Arial" w:cs="Arial"/>
          <w:noProof/>
          <w:highlight w:val="green"/>
          <w:lang w:val="en-IN" w:eastAsia="en-IN"/>
        </w:rPr>
        <w:t>T,</w:t>
      </w:r>
      <w:r w:rsidRPr="00015C63">
        <w:rPr>
          <w:rFonts w:ascii="Arial" w:eastAsia="Times New Roman" w:hAnsi="Arial" w:cs="Arial"/>
          <w:noProof/>
          <w:lang w:val="en-IN" w:eastAsia="en-IN"/>
        </w:rPr>
        <w:t xml:space="preserve"> 2023)</w:t>
      </w:r>
      <w:r w:rsidRPr="00015C63">
        <w:rPr>
          <w:rFonts w:ascii="Arial" w:eastAsia="Times New Roman" w:hAnsi="Arial" w:cs="Arial"/>
          <w:lang w:val="en-IN" w:eastAsia="en-IN"/>
        </w:rPr>
        <w:fldChar w:fldCharType="end"/>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India, Australia, Turkey, Myanmar, and Pakistan are the major producers, while the Middle East, North Africa, and Europe are major importers. India alone contributes nearly 74.25% of global chickpea production, cultivating about 10.47 million hectares and producing around 12.26 million tonnes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(FAOSTA</w:t>
      </w:r>
      <w:r w:rsidRPr="001D41CD">
        <w:rPr>
          <w:rFonts w:ascii="Arial" w:eastAsia="Times New Roman" w:hAnsi="Arial" w:cs="Arial"/>
          <w:noProof/>
          <w:highlight w:val="green"/>
          <w:lang w:val="en-IN" w:eastAsia="en-IN"/>
        </w:rPr>
        <w:t>T,</w:t>
      </w:r>
      <w:r w:rsidRPr="00015C63">
        <w:rPr>
          <w:rFonts w:ascii="Arial" w:eastAsia="Times New Roman" w:hAnsi="Arial" w:cs="Arial"/>
          <w:noProof/>
          <w:lang w:val="en-IN" w:eastAsia="en-IN"/>
        </w:rPr>
        <w:t xml:space="preserve"> 2023)</w:t>
      </w:r>
      <w:r w:rsidRPr="00015C63">
        <w:rPr>
          <w:rFonts w:ascii="Arial" w:eastAsia="Times New Roman" w:hAnsi="Arial" w:cs="Arial"/>
          <w:lang w:val="en-IN" w:eastAsia="en-IN"/>
        </w:rPr>
        <w:fldChar w:fldCharType="end"/>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Within India, Madhya Pradesh ranks first in both area and production of chickpea, followed by Maharashtra, Rajasthan, and Uttar Pradesh. Chickpea alone contributes nearly 49% of the total pulse production in the country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icar-iipr.org.in/","accessed":{"date-parts":[["2025","9","17"]]},"author":[{"dropping-particle":"","family":"ICAR-IIPR","given":"","non-dropping-particle":"","parse-names":false,"suffix":""}],"container-title":"Indian Institute of Pulses Research, Kanpur, India","id":"ITEM-1","issued":{"date-parts":[["2022"]]},"title":"Chickpea crop / Annual report 2021-22","type":"webpage"},"uris":["http://www.mendeley.com/documents/?uuid=9312c0c1-c8c9-4f3d-9b3c-d86514eb8a6d"]}],"mendeley":{"formattedCitation":"(ICAR-IIPR, 2022)","plainTextFormattedCitation":"(ICAR-IIPR, 2022)","previouslyFormattedCitation":"(ICAR-IIPR, 2022)"},"properties":{"noteIndex":0},"schema":"https://github.com/citation-style-language/schema/raw/master/csl-citation.json"}</w:instrText>
      </w:r>
      <w:r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(ICAR-IIPR, 2022)</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hAnsi="Arial" w:cs="Arial"/>
        </w:rPr>
        <w:t xml:space="preserve">According to the Directorate of Economics and Statistics </w:t>
      </w:r>
      <w:r w:rsidRPr="00015C63">
        <w:rPr>
          <w:rFonts w:ascii="Arial" w:hAnsi="Arial" w:cs="Arial"/>
        </w:rPr>
        <w:fldChar w:fldCharType="begin" w:fldLock="1"/>
      </w:r>
      <w:r w:rsidR="001A3F59" w:rsidRPr="00015C63">
        <w:rPr>
          <w:rFonts w:ascii="Arial" w:hAnsi="Arial" w:cs="Arial"/>
        </w:rPr>
        <w:instrText>ADDIN CSL_CITATION {"citationItems":[{"id":"ITEM-1","itemData":{"URL":"https://desagri.gov.in/statistics-type/advance-estimates/","accessed":{"date-parts":[["2025","9","16"]]},"author":[{"dropping-particle":"","family":"DES","given":"","non-dropping-particle":"","parse-names":false,"suffix":""}],"container-title":"Economics, Statistics and Evaluation Division Ministry of Agricultre &amp; Farmer Walfare Goverment of India","id":"ITEM-1","issued":{"date-parts":[["2023"]]},"title":"Production of foodgrains oilseeds and other commercial crops","type":"webpage"},"uris":["http://www.mendeley.com/documents/?uuid=492bf849-b119-40b7-8311-771e12f5c525"]}],"mendeley":{"formattedCitation":"(DES, 2023)","manualFormatting":"(DES., 2023)","plainTextFormattedCitation":"(DES, 2023)","previouslyFormattedCitation":"(DES, 2023)"},"properties":{"noteIndex":0},"schema":"https://github.com/citation-style-language/schema/raw/master/csl-citation.json"}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(DE</w:t>
      </w:r>
      <w:r w:rsidRPr="001D41CD">
        <w:rPr>
          <w:rFonts w:ascii="Arial" w:hAnsi="Arial" w:cs="Arial"/>
          <w:noProof/>
          <w:highlight w:val="green"/>
        </w:rPr>
        <w:t>S,</w:t>
      </w:r>
      <w:r w:rsidRPr="00015C63">
        <w:rPr>
          <w:rFonts w:ascii="Arial" w:hAnsi="Arial" w:cs="Arial"/>
          <w:noProof/>
        </w:rPr>
        <w:t xml:space="preserve"> 2023)</w:t>
      </w:r>
      <w:r w:rsidRPr="00015C63">
        <w:rPr>
          <w:rFonts w:ascii="Arial" w:hAnsi="Arial" w:cs="Arial"/>
        </w:rPr>
        <w:fldChar w:fldCharType="end"/>
      </w:r>
      <w:r w:rsidRPr="00015C63">
        <w:rPr>
          <w:rFonts w:ascii="Arial" w:hAnsi="Arial" w:cs="Arial"/>
        </w:rPr>
        <w:t xml:space="preserve"> during the 2022–23 </w:t>
      </w:r>
      <w:proofErr w:type="spellStart"/>
      <w:r w:rsidR="00E012A1" w:rsidRPr="00E012A1">
        <w:rPr>
          <w:rFonts w:ascii="Arial" w:hAnsi="Arial" w:cs="Arial"/>
          <w:highlight w:val="green"/>
        </w:rPr>
        <w:t>r</w:t>
      </w:r>
      <w:r w:rsidRPr="00015C63">
        <w:rPr>
          <w:rFonts w:ascii="Arial" w:hAnsi="Arial" w:cs="Arial"/>
        </w:rPr>
        <w:t>abi</w:t>
      </w:r>
      <w:proofErr w:type="spellEnd"/>
      <w:r w:rsidRPr="00015C63">
        <w:rPr>
          <w:rFonts w:ascii="Arial" w:hAnsi="Arial" w:cs="Arial"/>
        </w:rPr>
        <w:t xml:space="preserve"> season, chic</w:t>
      </w:r>
      <w:r w:rsidR="001D41CD">
        <w:rPr>
          <w:rFonts w:ascii="Arial" w:hAnsi="Arial" w:cs="Arial"/>
        </w:rPr>
        <w:t xml:space="preserve">kpea occupied an area of about </w:t>
      </w:r>
      <w:r w:rsidRPr="00015C63">
        <w:rPr>
          <w:rStyle w:val="Textoennegrita"/>
          <w:rFonts w:ascii="Arial" w:hAnsi="Arial" w:cs="Arial"/>
          <w:b w:val="0"/>
          <w:bCs w:val="0"/>
        </w:rPr>
        <w:t xml:space="preserve">6.79 </w:t>
      </w:r>
      <w:r w:rsidRPr="00B00AC4">
        <w:rPr>
          <w:rStyle w:val="Textoennegrita"/>
          <w:rFonts w:ascii="Arial" w:hAnsi="Arial" w:cs="Arial"/>
          <w:b w:val="0"/>
          <w:bCs w:val="0"/>
          <w:highlight w:val="cyan"/>
        </w:rPr>
        <w:t>lakh</w:t>
      </w:r>
      <w:r w:rsidRPr="00015C63">
        <w:rPr>
          <w:rStyle w:val="Textoennegrita"/>
          <w:rFonts w:ascii="Arial" w:hAnsi="Arial" w:cs="Arial"/>
          <w:b w:val="0"/>
          <w:bCs w:val="0"/>
        </w:rPr>
        <w:t xml:space="preserve"> hectares</w:t>
      </w:r>
      <w:r w:rsidRPr="00015C63">
        <w:rPr>
          <w:rFonts w:ascii="Arial" w:hAnsi="Arial" w:cs="Arial"/>
        </w:rPr>
        <w:t xml:space="preserve"> in U.P with a total production of </w:t>
      </w:r>
      <w:r w:rsidRPr="00015C63">
        <w:rPr>
          <w:rStyle w:val="Textoennegrita"/>
          <w:rFonts w:ascii="Arial" w:hAnsi="Arial" w:cs="Arial"/>
          <w:b w:val="0"/>
          <w:bCs w:val="0"/>
        </w:rPr>
        <w:t xml:space="preserve">9.17 </w:t>
      </w:r>
      <w:r w:rsidRPr="00B00AC4">
        <w:rPr>
          <w:rStyle w:val="Textoennegrita"/>
          <w:rFonts w:ascii="Arial" w:hAnsi="Arial" w:cs="Arial"/>
          <w:b w:val="0"/>
          <w:bCs w:val="0"/>
          <w:highlight w:val="cyan"/>
        </w:rPr>
        <w:t>lakh</w:t>
      </w:r>
      <w:r w:rsidRPr="00015C63">
        <w:rPr>
          <w:rStyle w:val="Textoennegrita"/>
          <w:rFonts w:ascii="Arial" w:hAnsi="Arial" w:cs="Arial"/>
          <w:b w:val="0"/>
          <w:bCs w:val="0"/>
        </w:rPr>
        <w:t xml:space="preserve"> </w:t>
      </w:r>
      <w:proofErr w:type="spellStart"/>
      <w:r w:rsidRPr="00015C63">
        <w:rPr>
          <w:rStyle w:val="Textoennegrita"/>
          <w:rFonts w:ascii="Arial" w:hAnsi="Arial" w:cs="Arial"/>
          <w:b w:val="0"/>
          <w:bCs w:val="0"/>
        </w:rPr>
        <w:t>tonnes</w:t>
      </w:r>
      <w:proofErr w:type="spellEnd"/>
      <w:r w:rsidRPr="00015C63">
        <w:rPr>
          <w:rFonts w:ascii="Arial" w:hAnsi="Arial" w:cs="Arial"/>
        </w:rPr>
        <w:t xml:space="preserve"> and an average productivity of </w:t>
      </w:r>
      <w:r w:rsidRPr="00015C63">
        <w:rPr>
          <w:rStyle w:val="Textoennegrita"/>
          <w:rFonts w:ascii="Arial" w:hAnsi="Arial" w:cs="Arial"/>
          <w:b w:val="0"/>
          <w:bCs w:val="0"/>
        </w:rPr>
        <w:t>1.55 t/ha</w:t>
      </w:r>
      <w:r w:rsidRPr="00015C63">
        <w:rPr>
          <w:rFonts w:ascii="Arial" w:hAnsi="Arial" w:cs="Arial"/>
        </w:rPr>
        <w:t xml:space="preserve">. At the district level, </w:t>
      </w:r>
      <w:r w:rsidRPr="00015C63">
        <w:rPr>
          <w:rStyle w:val="Textoennegrita"/>
          <w:rFonts w:ascii="Arial" w:hAnsi="Arial" w:cs="Arial"/>
          <w:b w:val="0"/>
          <w:bCs w:val="0"/>
        </w:rPr>
        <w:t xml:space="preserve">Bijnor reported a comparatively smaller area of 4 hectares, producing 5 </w:t>
      </w:r>
      <w:proofErr w:type="spellStart"/>
      <w:r w:rsidRPr="00015C63">
        <w:rPr>
          <w:rStyle w:val="Textoennegrita"/>
          <w:rFonts w:ascii="Arial" w:hAnsi="Arial" w:cs="Arial"/>
          <w:b w:val="0"/>
          <w:bCs w:val="0"/>
        </w:rPr>
        <w:t>tonnes</w:t>
      </w:r>
      <w:proofErr w:type="spellEnd"/>
      <w:r w:rsidRPr="00015C63">
        <w:rPr>
          <w:rStyle w:val="Textoennegrita"/>
          <w:rFonts w:ascii="Arial" w:hAnsi="Arial" w:cs="Arial"/>
          <w:b w:val="0"/>
          <w:bCs w:val="0"/>
        </w:rPr>
        <w:t xml:space="preserve"> with a yield of 1.25 t/ha</w:t>
      </w:r>
      <w:r w:rsidRPr="00015C63">
        <w:rPr>
          <w:rFonts w:ascii="Arial" w:hAnsi="Arial" w:cs="Arial"/>
        </w:rPr>
        <w:t xml:space="preserve">, highlighting its localized contribution to the overall chickpea scenario in the state. These figures demonstrate both the large-scale importance of chickpea at the state level and the micro-level variability observed across districts. </w:t>
      </w:r>
      <w:r w:rsidRPr="00015C63">
        <w:rPr>
          <w:rFonts w:ascii="Arial" w:eastAsia="Times New Roman" w:hAnsi="Arial" w:cs="Arial"/>
          <w:lang w:val="en-IN" w:eastAsia="en-IN"/>
        </w:rPr>
        <w:t xml:space="preserve">Though not the largest contributor compared to M.P or M.H, the state still accounts for about 6% of the national area and 5% of production. Districts such as Bijnor, with fertile alluvial soils and </w:t>
      </w:r>
      <w:proofErr w:type="spellStart"/>
      <w:r w:rsidRPr="00015C63">
        <w:rPr>
          <w:rFonts w:ascii="Arial" w:eastAsia="Times New Roman" w:hAnsi="Arial" w:cs="Arial"/>
          <w:lang w:val="en-IN" w:eastAsia="en-IN"/>
        </w:rPr>
        <w:t>favorable</w:t>
      </w:r>
      <w:proofErr w:type="spellEnd"/>
      <w:r w:rsidRPr="00015C63">
        <w:rPr>
          <w:rFonts w:ascii="Arial" w:eastAsia="Times New Roman" w:hAnsi="Arial" w:cs="Arial"/>
          <w:lang w:val="en-IN" w:eastAsia="en-IN"/>
        </w:rPr>
        <w:t xml:space="preserve"> winter conditions, play an important role in sustaining chickpea cultivation in the </w:t>
      </w:r>
      <w:r w:rsidRPr="00015C63">
        <w:rPr>
          <w:rFonts w:ascii="Arial" w:eastAsia="Times New Roman" w:hAnsi="Arial" w:cs="Arial"/>
          <w:i/>
          <w:iCs/>
          <w:lang w:val="en-IN" w:eastAsia="en-IN"/>
        </w:rPr>
        <w:t>rabi</w:t>
      </w:r>
      <w:r w:rsidRPr="00015C63">
        <w:rPr>
          <w:rFonts w:ascii="Arial" w:eastAsia="Times New Roman" w:hAnsi="Arial" w:cs="Arial"/>
          <w:lang w:val="en-IN" w:eastAsia="en-IN"/>
        </w:rPr>
        <w:t xml:space="preserve"> cropping system.</w:t>
      </w:r>
    </w:p>
    <w:p w14:paraId="1D39C4A6" w14:textId="1FF2EA6E"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Despite its significance, chickpea productivity in India remains lower due to several biotic and abiotic stresses such as insect pests, diseases, drought, poor soil fertility, </w:t>
      </w:r>
      <w:proofErr w:type="spellStart"/>
      <w:r w:rsidRPr="00015C63">
        <w:rPr>
          <w:rFonts w:ascii="Arial" w:eastAsia="Times New Roman" w:hAnsi="Arial" w:cs="Arial"/>
          <w:lang w:val="en-IN" w:eastAsia="en-IN"/>
        </w:rPr>
        <w:t>labor</w:t>
      </w:r>
      <w:proofErr w:type="spellEnd"/>
      <w:r w:rsidRPr="00015C63">
        <w:rPr>
          <w:rFonts w:ascii="Arial" w:eastAsia="Times New Roman" w:hAnsi="Arial" w:cs="Arial"/>
          <w:lang w:val="en-IN" w:eastAsia="en-IN"/>
        </w:rPr>
        <w:t xml:space="preserve"> shortages, and particularly, weed infestation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{"citationItems":[{"id":"ITEM-1","itemData":{"DOI":"10.5958/0974-8164.2021.00006.X","ISSN":"0253-8040","author":[{"dropping-particle":"","family":"Sethi","given":"Indu Bala","non-dropping-particle":"","parse-names":false,"suffix":""},{"dropping-particle":"","family":"Singh","given":"Harphool","non-dropping-particle":"","parse-names":false,"suffix":""},{"dropping-particle":"","family":"Kumar","given":"Suresh","non-dropping-particle":"","parse-names":false,"suffix":""},{"dropping-particle":"","family":"Jajoria","given":"Mahesh","non-dropping-particle":"","parse-names":false,"suffix":""},{"dropping-particle":"","family":"Jat","given":"Lokesh Kumar","non-dropping-particle":"","parse-names":false,"suffix":""},{"dropping-particle":"","family":"Braod","given":"Niranjan Kumar","non-dropping-particle":"","parse-names":false,"suffix":""},{"dropping-particle":"","family":"Muralia","given":"Suresh","non-dropping-particle":"","parse-names":false,"suffix":""},{"dropping-particle":"","family":"Mali","given":"Hans Ram","non-dropping-particle":"","parse-names":false,"suffix":""}],"container-title":"Indian Journal of Weed ScienceJ","id":"ITEM-1","issue":"1","issued":{"date-parts":[["2021"]]},"page":"49-53","title":"Effect of post emergence herbicides in chickpea","type":"article-journal","volume":"53"},"uris":["http://www.mendeley.com/documents/?uuid=9d79816c-0594-40e2-b609-3200b4c9c278"]}],"mendeley":{"formattedCitation":"(Sethi et al., 2021)","manualFormatting":"(Sethi et al., 2021 ","plainTextFormattedCitation":"(Sethi et al., 2021)","previouslyFormattedCitation":"(Sethi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(Sethi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001A3F59" w:rsidRPr="00015C63">
        <w:rPr>
          <w:rFonts w:ascii="Arial" w:eastAsia="Times New Roman" w:hAnsi="Arial" w:cs="Arial"/>
          <w:noProof/>
          <w:lang w:val="en-IN" w:eastAsia="en-IN"/>
        </w:rPr>
        <w:t xml:space="preserve"> </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{"citationItems":[{"id":"ITEM-1","itemData":{"DOI":"10.5958/0974-8164.2022.00033.8","ISSN":"0253-8040","author":[{"dropping-particle":"","family":"Kashyap","given":"Ajay Kumar","non-dropping-particle":"","parse-names":false,"suffix":""},{"dropping-particle":"","family":"Kushwaha","given":"H.S.","non-dropping-particle":"","parse-names":false,"suffix":""},{"dropping-particle":"","family":"Mishra","given":"Harshita","non-dropping-particle":"","parse-names":false,"suffix":""}],"container-title":"Indian Journal of Weed Science","id":"ITEM-1","issue":"2","issued":{"date-parts":[["2022"]]},"page":"182-186","title":"Effect of herbicides on weeds yield and economics of chickpea","type":"article-journal","volume":"54"},"uris":["http://www.mendeley.com/documents/?uuid=c6064aaa-e295-4a15-ae88-4a00a780212d"]}],"mendeley":{"formattedCitation":"(Kashyap et al., 2022)","manualFormatting":"Kashyap et al., 2022)","plainTextFormattedCitation":"(Kashyap et al., 2022)","previouslyFormattedCitation":"(Kashyap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Kashyap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Weeds are among the most serious constraints, causing yield losses up to 75% depending on species and intensity</w:t>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{"citationItems":[{"id":"ITEM-1","itemData":{"author":[{"dropping-particle":"","family":"B.M.Chaudhary","given":"J.J.PatelandD.R.Delvadia","non-dropping-particle":"","parse-names":false,"suffix":""}],"container-title":"Indian Journal of Weed Science","id":"ITEM-1","issue":"1/2","issued":{"date-parts":[["2005"]]},"page":"131-132","title":"Effect of weed management practices and seed rates on weeds and yield of chickpea","type":"article-journal","volume":"37"},"uris":["http://www.mendeley.com/documents/?uuid=df086d0b-e2b4-47cb-9907-ad33556972ba"]}],"mendeley":{"formattedCitation":"(B.M.Chaudhary, 2005)","manualFormatting":"Chaudhary., 2005)","plainTextFormattedCitation":"(B.M.Chaudhary, 2005)","previouslyFormattedCitation":"(B.M.Chaudhary, 2005)"},"properties":{"noteIndex":0},"schema":"https://github.com/citation-style-language/schema/raw/master/csl-citation.json"}</w:instrText>
      </w:r>
      <w:r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Chaudhar</w:t>
      </w:r>
      <w:r w:rsidR="001A3F59" w:rsidRPr="00E012A1">
        <w:rPr>
          <w:rFonts w:ascii="Arial" w:eastAsia="Times New Roman" w:hAnsi="Arial" w:cs="Arial"/>
          <w:noProof/>
          <w:highlight w:val="green"/>
          <w:lang w:val="en-IN" w:eastAsia="en-IN"/>
        </w:rPr>
        <w:t>y,</w:t>
      </w:r>
      <w:r w:rsidR="001A3F59" w:rsidRPr="00015C63">
        <w:rPr>
          <w:rFonts w:ascii="Arial" w:eastAsia="Times New Roman" w:hAnsi="Arial" w:cs="Arial"/>
          <w:noProof/>
          <w:lang w:val="en-IN" w:eastAsia="en-IN"/>
        </w:rPr>
        <w:t xml:space="preserve"> </w:t>
      </w:r>
      <w:r w:rsidRPr="00015C63">
        <w:rPr>
          <w:rFonts w:ascii="Arial" w:eastAsia="Times New Roman" w:hAnsi="Arial" w:cs="Arial"/>
          <w:noProof/>
          <w:lang w:val="en-IN" w:eastAsia="en-IN"/>
        </w:rPr>
        <w:t>2005)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Common weeds infesting chickpea include </w:t>
      </w:r>
      <w:proofErr w:type="spellStart"/>
      <w:r w:rsidRPr="00015C63">
        <w:rPr>
          <w:rFonts w:ascii="Arial" w:eastAsia="Times New Roman" w:hAnsi="Arial" w:cs="Arial"/>
          <w:i/>
          <w:iCs/>
          <w:lang w:val="en-IN" w:eastAsia="en-IN"/>
        </w:rPr>
        <w:t>Avena</w:t>
      </w:r>
      <w:proofErr w:type="spellEnd"/>
      <w:r w:rsidRPr="00015C63">
        <w:rPr>
          <w:rFonts w:ascii="Arial" w:eastAsia="Times New Roman" w:hAnsi="Arial" w:cs="Arial"/>
          <w:i/>
          <w:iCs/>
          <w:lang w:val="en-IN" w:eastAsia="en-IN"/>
        </w:rPr>
        <w:t xml:space="preserve"> </w:t>
      </w:r>
      <w:proofErr w:type="spellStart"/>
      <w:r w:rsidRPr="00015C63">
        <w:rPr>
          <w:rFonts w:ascii="Arial" w:eastAsia="Times New Roman" w:hAnsi="Arial" w:cs="Arial"/>
          <w:i/>
          <w:iCs/>
          <w:lang w:val="en-IN" w:eastAsia="en-IN"/>
        </w:rPr>
        <w:t>ludoviciana</w:t>
      </w:r>
      <w:proofErr w:type="spellEnd"/>
      <w:r w:rsidRPr="00015C63">
        <w:rPr>
          <w:rFonts w:ascii="Arial" w:eastAsia="Times New Roman" w:hAnsi="Arial" w:cs="Arial"/>
          <w:lang w:val="en-IN" w:eastAsia="en-IN"/>
        </w:rPr>
        <w:t xml:space="preserve">, </w:t>
      </w:r>
      <w:proofErr w:type="spellStart"/>
      <w:r w:rsidRPr="00015C63">
        <w:rPr>
          <w:rFonts w:ascii="Arial" w:eastAsia="Times New Roman" w:hAnsi="Arial" w:cs="Arial"/>
          <w:i/>
          <w:iCs/>
          <w:lang w:val="en-IN" w:eastAsia="en-IN"/>
        </w:rPr>
        <w:t>Chenopodium</w:t>
      </w:r>
      <w:proofErr w:type="spellEnd"/>
      <w:r w:rsidRPr="00015C63">
        <w:rPr>
          <w:rFonts w:ascii="Arial" w:eastAsia="Times New Roman" w:hAnsi="Arial" w:cs="Arial"/>
          <w:i/>
          <w:iCs/>
          <w:lang w:val="en-IN" w:eastAsia="en-IN"/>
        </w:rPr>
        <w:t xml:space="preserve"> album</w:t>
      </w:r>
      <w:r w:rsidRPr="00015C63">
        <w:rPr>
          <w:rFonts w:ascii="Arial" w:eastAsia="Times New Roman" w:hAnsi="Arial" w:cs="Arial"/>
          <w:lang w:val="en-IN" w:eastAsia="en-IN"/>
        </w:rPr>
        <w:t xml:space="preserve">, </w:t>
      </w:r>
      <w:proofErr w:type="spellStart"/>
      <w:r w:rsidRPr="00015C63">
        <w:rPr>
          <w:rFonts w:ascii="Arial" w:eastAsia="Times New Roman" w:hAnsi="Arial" w:cs="Arial"/>
          <w:i/>
          <w:iCs/>
          <w:lang w:val="en-IN" w:eastAsia="en-IN"/>
        </w:rPr>
        <w:t>Phalaris</w:t>
      </w:r>
      <w:proofErr w:type="spellEnd"/>
      <w:r w:rsidRPr="00015C63">
        <w:rPr>
          <w:rFonts w:ascii="Arial" w:eastAsia="Times New Roman" w:hAnsi="Arial" w:cs="Arial"/>
          <w:i/>
          <w:iCs/>
          <w:lang w:val="en-IN" w:eastAsia="en-IN"/>
        </w:rPr>
        <w:t xml:space="preserve"> minor</w:t>
      </w:r>
      <w:r w:rsidRPr="00015C63">
        <w:rPr>
          <w:rFonts w:ascii="Arial" w:eastAsia="Times New Roman" w:hAnsi="Arial" w:cs="Arial"/>
          <w:lang w:val="en-IN" w:eastAsia="en-IN"/>
        </w:rPr>
        <w:t xml:space="preserve">, </w:t>
      </w:r>
      <w:proofErr w:type="spellStart"/>
      <w:r w:rsidRPr="00015C63">
        <w:rPr>
          <w:rFonts w:ascii="Arial" w:eastAsia="Times New Roman" w:hAnsi="Arial" w:cs="Arial"/>
          <w:i/>
          <w:iCs/>
          <w:lang w:val="en-IN" w:eastAsia="en-IN"/>
        </w:rPr>
        <w:t>Melilotus</w:t>
      </w:r>
      <w:proofErr w:type="spellEnd"/>
      <w:r w:rsidRPr="00015C63">
        <w:rPr>
          <w:rFonts w:ascii="Arial" w:eastAsia="Times New Roman" w:hAnsi="Arial" w:cs="Arial"/>
          <w:i/>
          <w:iCs/>
          <w:lang w:val="en-IN" w:eastAsia="en-IN"/>
        </w:rPr>
        <w:t xml:space="preserve"> spp.</w:t>
      </w:r>
      <w:r w:rsidRPr="00015C63">
        <w:rPr>
          <w:rFonts w:ascii="Arial" w:eastAsia="Times New Roman" w:hAnsi="Arial" w:cs="Arial"/>
          <w:lang w:val="en-IN" w:eastAsia="en-IN"/>
        </w:rPr>
        <w:t xml:space="preserve">, </w:t>
      </w:r>
      <w:r w:rsidRPr="00015C63">
        <w:rPr>
          <w:rFonts w:ascii="Arial" w:eastAsia="Times New Roman" w:hAnsi="Arial" w:cs="Arial"/>
          <w:i/>
          <w:iCs/>
          <w:lang w:val="en-IN" w:eastAsia="en-IN"/>
        </w:rPr>
        <w:t>Cyperus rotundus</w:t>
      </w:r>
      <w:r w:rsidRPr="00015C63">
        <w:rPr>
          <w:rFonts w:ascii="Arial" w:eastAsia="Times New Roman" w:hAnsi="Arial" w:cs="Arial"/>
          <w:lang w:val="en-IN" w:eastAsia="en-IN"/>
        </w:rPr>
        <w:t xml:space="preserve"> and </w:t>
      </w:r>
      <w:r w:rsidRPr="00015C63">
        <w:rPr>
          <w:rFonts w:ascii="Arial" w:eastAsia="Times New Roman" w:hAnsi="Arial" w:cs="Arial"/>
          <w:i/>
          <w:iCs/>
          <w:lang w:val="en-IN" w:eastAsia="en-IN"/>
        </w:rPr>
        <w:t>Vicia spp.</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{"citationItems":[{"id":"ITEM-1","itemData":{"DOI":"10.56093/ijas.v84i9.43445","ISSN":"2394-3319","abstract":"An experiment was undertaken during rabi 2008-09 and 2009-10 at Agronomy Research Farm, PRSS, Samba, SKUAST-J to find out the heat use efficiency of chickpea (Cicer arietinum L.) crop with different weed control treatments, viz. T1: weedy check; T2: Hand-weeding (HW) at 25-30 and 50-55 DAS; T3: Quizalofop-ethyl 40 g/ha at 20 DAS; T4: Quizalofop-ethyl 40 g/ha at 30 DAS; T5: Quizalofop-ethyl 50 g/ha at 20 DAS; T6: Quizalofop-ethyl 50 g/ha at 30 DAS; T7: Imazethapyr 25 g/ha at 20 DAS; T8: Imazethapyr 25 g/ha at 30 DAS; T9: Imazethapyr 40 g/ha at 20 DAS; T10: Imazethapyr 40 g/ha at 30 DAS; T11: Chlorimuron ethyl 4 g/ha at 20 DAS and T12: Chlorimuron ethyl 4 g/ha at 30 DAS evaluated in randomized block design with three replications under rainfed situations. Chickpea is a thermo-sensitive winter season crop. Heat use efficiency was computed at one month interval after sowing. The results revealed that heat use efficiency was found maximum at 90 DAS in chickpea crop. The heat use efficiency was found highest under hand-weeding at 25-30 and 50-50 DAS, however, the lowest values were found when herbicide Chlorimuron was used @ 4 g/ha at 30 DAS. The dry matter and seed yield are significantly differed among different weed control treatments. The heat use efficiency was found linearly (R2 = 0.70) related with dry matter accumulation at different days after sowing. The grain yield and biological yield heat use efficiency was found 0.33 and 0.90 kg/ha Â°C/day, respectively. The dry matter was found to be directly related to seed yield of chickpea crop with R2 = 0.98.","author":[{"dropping-particle":"","family":"GUPTA","given":"VIKAS","non-dropping-particle":"","parse-names":false,"suffix":""},{"dropping-particle":"","family":"SINGH","given":"MAHENDER","non-dropping-particle":"","parse-names":false,"suffix":""},{"dropping-particle":"","family":"KUMAR","given":"JAI","non-dropping-particle":"","parse-names":false,"suffix":""},{"dropping-particle":"","family":"KUMAR","given":"ANIL","non-dropping-particle":"","parse-names":false,"suffix":""},{"dropping-particle":"","family":"SINGH","given":"B N","non-dropping-particle":"","parse-names":false,"suffix":""}],"container-title":"The Indian Journal of Agricultural Sciences","id":"ITEM-1","issue":"9","issued":{"date-parts":[["2014","9","9"]]},"title":"Performance of different weed management treatments on heat use efficiency of chickpea crop (Cicer arietinum) under rainfed conditions of Jammu","type":"article-journal","volume":"84"},"uris":["http://www.mendeley.com/documents/?uuid=1a6c45da-6df6-4f0f-b124-16f052a3424c"]}],"mendeley":{"formattedCitation":"(GUPTA et al., 2014)","manualFormatting":"Gupta et al., 2014","plainTextFormattedCitation":"(GUPTA et al., 2014)","previouslyFormattedCitation":"(GUPTA et al., 2014)"},"properties":{"noteIndex":0},"schema":"https://github.com/citation-style-language/schema/raw/master/csl-citation.json"}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Gupta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2014</w:t>
      </w:r>
      <w:r w:rsidRPr="00015C63">
        <w:rPr>
          <w:rFonts w:ascii="Arial" w:eastAsia="Times New Roman" w:hAnsi="Arial" w:cs="Arial"/>
          <w:lang w:val="en-IN" w:eastAsia="en-IN"/>
        </w:rPr>
        <w:fldChar w:fldCharType="end"/>
      </w:r>
      <w:r w:rsidR="00E012A1" w:rsidRPr="00E012A1">
        <w:rPr>
          <w:rFonts w:ascii="Arial" w:eastAsia="Times New Roman" w:hAnsi="Arial" w:cs="Arial"/>
          <w:highlight w:val="green"/>
          <w:lang w:val="en-IN" w:eastAsia="en-IN"/>
        </w:rPr>
        <w:t>;</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{"citationItems":[{"id":"ITEM-1","itemData":{"DOI":"10.18805/lr.v0iOF.6787","ISSN":"0976-0571","abstract":"Field studies were conducted during 2008-09 and 2009-10 at Hisar, India to assess the effect of weed competition on crop growth and yield of field pea. Weed density increased up to 60 days and then decreased at later stages of crop growth. Seed yield of field pea was decreased by 50% when weeds were allowed to compete for the entire season. The critical period for weed control was 21-63 days in year 1 and 20-70 days in year 2 to achieve 95% of weed-free yield. It is therefore concluded that, to minimize yield loss due to weed competition in field pea, weed control measures should be targeted to avoid weed competition between 20-70 days after sowing.","author":[{"dropping-particle":"","family":"Singh","given":"Mainpal","non-dropping-particle":"","parse-names":false,"suffix":""},{"dropping-particle":"","family":"Kumar","given":"Rakesh","non-dropping-particle":"","parse-names":false,"suffix":""},{"dropping-particle":"","family":"Kumar","given":"Satish","non-dropping-particle":"","parse-names":false,"suffix":""},{"dropping-particle":"","family":"Kumar","given":"Virender","non-dropping-particle":"","parse-names":false,"suffix":""}],"container-title":"Legume Research - An International Journal","id":"ITEM-1","issue":"1","issued":{"date-parts":[["2016","12"]]},"page":"46-90","title":"Critical period for weed control in field pea","type":"article-journal","volume":"39"},"uris":["http://www.mendeley.com/documents/?uuid=52dc126a-c399-421f-a488-bc5b0118b64e"]}],"mendeley":{"formattedCitation":"(M. Singh et al., 2016)","manualFormatting":"  Singh et al., 2016)","plainTextFormattedCitation":"(M. Singh et al., 2016)","previouslyFormattedCitation":"(M. Singh et al., 2016)"},"properties":{"noteIndex":0},"schema":"https://github.com/citation-style-language/schema/raw/master/csl-citation.json"}</w:instrText>
      </w:r>
      <w:r w:rsidRPr="00015C63">
        <w:rPr>
          <w:rFonts w:ascii="Arial" w:eastAsia="Times New Roman" w:hAnsi="Arial" w:cs="Arial"/>
          <w:lang w:val="en-IN" w:eastAsia="en-IN"/>
        </w:rPr>
        <w:fldChar w:fldCharType="separate"/>
      </w:r>
      <w:r w:rsidR="00E012A1">
        <w:rPr>
          <w:rFonts w:ascii="Arial" w:eastAsia="Times New Roman" w:hAnsi="Arial" w:cs="Arial"/>
          <w:noProof/>
          <w:lang w:val="en-IN" w:eastAsia="en-IN"/>
        </w:rPr>
        <w:t xml:space="preserve"> </w:t>
      </w:r>
      <w:r w:rsidR="001A3F59" w:rsidRPr="00015C63">
        <w:rPr>
          <w:rFonts w:ascii="Arial" w:eastAsia="Times New Roman" w:hAnsi="Arial" w:cs="Arial"/>
          <w:noProof/>
          <w:lang w:val="en-IN" w:eastAsia="en-IN"/>
        </w:rPr>
        <w:t xml:space="preserve">Singh </w:t>
      </w:r>
      <w:r w:rsidR="001A3F59" w:rsidRPr="00015C63">
        <w:rPr>
          <w:rFonts w:ascii="Arial" w:eastAsia="Times New Roman" w:hAnsi="Arial" w:cs="Arial"/>
          <w:i/>
          <w:iCs/>
          <w:noProof/>
          <w:lang w:val="en-IN" w:eastAsia="en-IN"/>
        </w:rPr>
        <w:t xml:space="preserve">et </w:t>
      </w:r>
      <w:r w:rsidRPr="00015C63">
        <w:rPr>
          <w:rFonts w:ascii="Arial" w:eastAsia="Times New Roman" w:hAnsi="Arial" w:cs="Arial"/>
          <w:i/>
          <w:iCs/>
          <w:noProof/>
          <w:lang w:val="en-IN" w:eastAsia="en-IN"/>
        </w:rPr>
        <w:t>al</w:t>
      </w:r>
      <w:r w:rsidRPr="00015C63">
        <w:rPr>
          <w:rFonts w:ascii="Arial" w:eastAsia="Times New Roman" w:hAnsi="Arial" w:cs="Arial"/>
          <w:noProof/>
          <w:lang w:val="en-IN" w:eastAsia="en-IN"/>
        </w:rPr>
        <w:t>., 2016)</w:t>
      </w:r>
      <w:r w:rsidRPr="00015C63">
        <w:rPr>
          <w:rFonts w:ascii="Arial" w:eastAsia="Times New Roman" w:hAnsi="Arial" w:cs="Arial"/>
          <w:lang w:val="en-IN" w:eastAsia="en-IN"/>
        </w:rPr>
        <w:fldChar w:fldCharType="end"/>
      </w:r>
      <w:r w:rsidRPr="00E012A1">
        <w:rPr>
          <w:rFonts w:ascii="Arial" w:eastAsia="Times New Roman" w:hAnsi="Arial" w:cs="Arial"/>
          <w:highlight w:val="green"/>
          <w:lang w:val="en-IN" w:eastAsia="en-IN"/>
        </w:rPr>
        <w:t>.</w:t>
      </w:r>
      <w:r w:rsidRPr="00015C63">
        <w:rPr>
          <w:rFonts w:ascii="Arial" w:eastAsia="Times New Roman" w:hAnsi="Arial" w:cs="Arial"/>
          <w:lang w:val="en-IN" w:eastAsia="en-IN"/>
        </w:rPr>
        <w:t xml:space="preserve"> Early and heavy flushes of weeds not only compete for resources but also reduce nodulation and nitrogen fixation. Manual weeding is </w:t>
      </w:r>
      <w:proofErr w:type="spellStart"/>
      <w:r w:rsidRPr="00015C63">
        <w:rPr>
          <w:rFonts w:ascii="Arial" w:eastAsia="Times New Roman" w:hAnsi="Arial" w:cs="Arial"/>
          <w:lang w:val="en-IN" w:eastAsia="en-IN"/>
        </w:rPr>
        <w:t>labor-intensive</w:t>
      </w:r>
      <w:proofErr w:type="spellEnd"/>
      <w:r w:rsidRPr="00015C63">
        <w:rPr>
          <w:rFonts w:ascii="Arial" w:eastAsia="Times New Roman" w:hAnsi="Arial" w:cs="Arial"/>
          <w:lang w:val="en-IN" w:eastAsia="en-IN"/>
        </w:rPr>
        <w:t xml:space="preserve"> and costly, while delayed operations make control ineffective, increasing reliance on herbicides </w:t>
      </w:r>
      <w:r w:rsidRPr="00015C63">
        <w:rPr>
          <w:rFonts w:ascii="Arial" w:eastAsia="Times New Roman" w:hAnsi="Arial" w:cs="Arial"/>
          <w:lang w:val="en-IN" w:eastAsia="en-IN"/>
        </w:rPr>
        <w:fldChar w:fldCharType="begin" w:fldLock="1"/>
      </w:r>
      <w:r w:rsidR="00844A48" w:rsidRPr="00015C63">
        <w:rPr>
          <w:rFonts w:ascii="Arial" w:eastAsia="Times New Roman" w:hAnsi="Arial" w:cs="Arial"/>
          <w:lang w:val="en-IN" w:eastAsia="en-IN"/>
        </w:rPr>
        <w:instrText>ADDIN CSL_CITATION {"citationItems":[{"id":"ITEM-1","itemData":{"author":[{"dropping-particle":"","family":"Khope D Kumar","given":"S. and","non-dropping-particle":"","parse-names":false,"suffix":""},{"dropping-particle":"","family":"Pannu","given":"R.K","non-dropping-particle":"","parse-names":false,"suffix":""}],"container-title":"Indian Journal Weed Science","id":"ITEM-1","issue":"1/2","issued":{"date-parts":[["2011"]]},"page":"92-93","title":"Evaluation of post-emergence herbicides in chickpea (Cicer arietinum L).","type":"article-journal","volume":"43"},"uris":["http://www.mendeley.com/documents/?uuid=354d67dc-6e6c-4fc5-9cdb-9028605bf041"]}],"mendeley":{"formattedCitation":"(Khope D Kumar &amp; Pannu, 2011)","manualFormatting":"(Kumar and Pannu, 2011)","plainTextFormattedCitation":"(Khope D Kumar &amp; Pannu, 2011)","previouslyFormattedCitation":"(Khope D Kumar &amp; Pannu, 2011)"},"properties":{"noteIndex":0},"schema":"https://github.com/citation-style-language/schema/raw/master/csl-citation.json"}</w:instrText>
      </w:r>
      <w:r w:rsidRPr="00015C63">
        <w:rPr>
          <w:rFonts w:ascii="Arial" w:eastAsia="Times New Roman" w:hAnsi="Arial" w:cs="Arial"/>
          <w:lang w:val="en-IN" w:eastAsia="en-IN"/>
        </w:rPr>
        <w:fldChar w:fldCharType="separate"/>
      </w:r>
      <w:r w:rsidR="00E755CF" w:rsidRPr="00015C63">
        <w:rPr>
          <w:rFonts w:ascii="Arial" w:eastAsia="Times New Roman" w:hAnsi="Arial" w:cs="Arial"/>
          <w:noProof/>
          <w:lang w:val="en-IN" w:eastAsia="en-IN"/>
        </w:rPr>
        <w:t>(</w:t>
      </w:r>
      <w:r w:rsidR="001A3F59" w:rsidRPr="00E012A1">
        <w:rPr>
          <w:rFonts w:ascii="Arial" w:eastAsia="Times New Roman" w:hAnsi="Arial" w:cs="Arial"/>
          <w:noProof/>
          <w:highlight w:val="cyan"/>
          <w:lang w:val="en-IN" w:eastAsia="en-IN"/>
        </w:rPr>
        <w:t>K</w:t>
      </w:r>
      <w:r w:rsidR="008E07EB" w:rsidRPr="00E012A1">
        <w:rPr>
          <w:rFonts w:ascii="Arial" w:eastAsia="Times New Roman" w:hAnsi="Arial" w:cs="Arial"/>
          <w:noProof/>
          <w:highlight w:val="cyan"/>
          <w:lang w:val="en-IN" w:eastAsia="en-IN"/>
        </w:rPr>
        <w:t>umar and</w:t>
      </w:r>
      <w:r w:rsidR="001A3F59" w:rsidRPr="00E012A1">
        <w:rPr>
          <w:rFonts w:ascii="Arial" w:eastAsia="Times New Roman" w:hAnsi="Arial" w:cs="Arial"/>
          <w:noProof/>
          <w:highlight w:val="cyan"/>
          <w:lang w:val="en-IN" w:eastAsia="en-IN"/>
        </w:rPr>
        <w:t xml:space="preserve"> Pannu, 2011</w:t>
      </w:r>
      <w:r w:rsidR="001A3F59" w:rsidRPr="00015C63">
        <w:rPr>
          <w:rFonts w:ascii="Arial" w:eastAsia="Times New Roman" w:hAnsi="Arial" w:cs="Arial"/>
          <w:noProof/>
          <w:lang w:val="en-IN" w:eastAsia="en-IN"/>
        </w:rPr>
        <w:t>)</w:t>
      </w:r>
      <w:r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The use of pre- and post-emergence herbicides has emerged as an efficient method of weed management in chickpea. Pre-emergence herbicides like pendimethalin suppress initial flushes of weeds </w:t>
      </w:r>
      <w:r w:rsidRPr="00015C63">
        <w:rPr>
          <w:rFonts w:ascii="Arial" w:eastAsia="Times New Roman" w:hAnsi="Arial" w:cs="Arial"/>
          <w:lang w:val="en-IN" w:eastAsia="en-IN"/>
        </w:rPr>
        <w:lastRenderedPageBreak/>
        <w:t xml:space="preserve">but provide control only for 20–25 days </w:t>
      </w:r>
      <w:r w:rsidR="008E07EB" w:rsidRPr="00015C63">
        <w:rPr>
          <w:rFonts w:ascii="Arial" w:eastAsia="Times New Roman" w:hAnsi="Arial" w:cs="Arial"/>
          <w:lang w:val="en-IN" w:eastAsia="en-IN"/>
        </w:rPr>
        <w:t>(</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Kumar","given":"R.","non-dropping-particle":"","parse-names":false,"suffix":""},{"dropping-particle":"","family":"Kumar","given":"V.","non-dropping-particle":"","parse-names":false,"suffix":""},{"dropping-particle":"","family":"Prasad","given":"S.K","non-dropping-particle":"","parse-names":false,"suffix":""},{"dropping-particle":"","family":"Verma","given":"S.K.","non-dropping-particle":"","parse-names":false,"suffix":""}],"container-title":"International Journal of Chemical Studies","id":"ITEM-1","issue":"2","issued":{"date-parts":[["2019"]]},"page":"843--847","title":"Effect of chemical on weed management practices on irrigated field pea (Pisum sativum L.) crop yield and yield attributes","type":"article-journal","volume":"7"},"uris":["http://www.mendeley.com/documents/?uuid=f2813e51-d188-4862-b219-e4542d7d5e40"]}],"mendeley":{"formattedCitation":"(R. Kumar et al., 2019)","manualFormatting":" Kumar et al.,2019)","plainTextFormattedCitation":"(R. Kumar et al., 2019)","previouslyFormattedCitation":"(R. Kumar et al., 2019)"},"properties":{"noteIndex":0},"schema":"https://github.com/citation-style-language/schema/raw/master/csl-citation.json"}</w:instrText>
      </w:r>
      <w:r w:rsidRPr="00015C63">
        <w:rPr>
          <w:rFonts w:ascii="Arial" w:eastAsia="Times New Roman" w:hAnsi="Arial" w:cs="Arial"/>
          <w:lang w:val="en-IN" w:eastAsia="en-IN"/>
        </w:rPr>
        <w:fldChar w:fldCharType="separate"/>
      </w:r>
      <w:r w:rsidR="008E07EB" w:rsidRPr="00015C63">
        <w:rPr>
          <w:rFonts w:ascii="Arial" w:eastAsia="Times New Roman" w:hAnsi="Arial" w:cs="Arial"/>
          <w:noProof/>
          <w:lang w:val="en-IN" w:eastAsia="en-IN"/>
        </w:rPr>
        <w:t xml:space="preserve"> Kumar </w:t>
      </w:r>
      <w:r w:rsidR="008E07EB" w:rsidRPr="00015C63">
        <w:rPr>
          <w:rFonts w:ascii="Arial" w:eastAsia="Times New Roman" w:hAnsi="Arial" w:cs="Arial"/>
          <w:i/>
          <w:iCs/>
          <w:noProof/>
          <w:lang w:val="en-IN" w:eastAsia="en-IN"/>
        </w:rPr>
        <w:t>et al</w:t>
      </w:r>
      <w:r w:rsidR="008E07EB" w:rsidRPr="00015C63">
        <w:rPr>
          <w:rFonts w:ascii="Arial" w:eastAsia="Times New Roman" w:hAnsi="Arial" w:cs="Arial"/>
          <w:noProof/>
          <w:lang w:val="en-IN" w:eastAsia="en-IN"/>
        </w:rPr>
        <w:t>.</w:t>
      </w:r>
      <w:r w:rsidR="008E07EB" w:rsidRPr="00E012A1">
        <w:rPr>
          <w:rFonts w:ascii="Arial" w:eastAsia="Times New Roman" w:hAnsi="Arial" w:cs="Arial"/>
          <w:noProof/>
          <w:highlight w:val="green"/>
          <w:lang w:val="en-IN" w:eastAsia="en-IN"/>
        </w:rPr>
        <w:t>,</w:t>
      </w:r>
      <w:r w:rsidR="00E012A1" w:rsidRPr="00E012A1">
        <w:rPr>
          <w:rFonts w:ascii="Arial" w:eastAsia="Times New Roman" w:hAnsi="Arial" w:cs="Arial"/>
          <w:noProof/>
          <w:highlight w:val="green"/>
          <w:lang w:val="en-IN" w:eastAsia="en-IN"/>
        </w:rPr>
        <w:t xml:space="preserve"> </w:t>
      </w:r>
      <w:r w:rsidRPr="00E012A1">
        <w:rPr>
          <w:rFonts w:ascii="Arial" w:eastAsia="Times New Roman" w:hAnsi="Arial" w:cs="Arial"/>
          <w:noProof/>
          <w:highlight w:val="green"/>
          <w:lang w:val="en-IN" w:eastAsia="en-IN"/>
        </w:rPr>
        <w:t>2</w:t>
      </w:r>
      <w:r w:rsidRPr="00015C63">
        <w:rPr>
          <w:rFonts w:ascii="Arial" w:eastAsia="Times New Roman" w:hAnsi="Arial" w:cs="Arial"/>
          <w:noProof/>
          <w:lang w:val="en-IN" w:eastAsia="en-IN"/>
        </w:rPr>
        <w:t>019)</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Post-emergence herbicides such as imazethapyr are effective against both grassy and broadleaf weeds but have limitations such as phytotoxicity risk, narrow application window, and higher costs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008E07EB" w:rsidRPr="00015C63">
        <w:rPr>
          <w:rFonts w:ascii="Cambria Math" w:eastAsia="Times New Roman" w:hAnsi="Cambria Math" w:cs="Cambria Math"/>
          <w:lang w:val="en-IN" w:eastAsia="en-IN"/>
        </w:rPr>
        <w:instrText>‐</w:instrText>
      </w:r>
      <w:r w:rsidR="008E07EB" w:rsidRPr="00015C63">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2020)","manualFormatting":"(Mohammed et al., 2020 ","plainTextFormattedCitation":"(Mohammed et al., 2020)","previouslyFormattedCitation":"(Mohammed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(Mohammed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00E012A1" w:rsidRPr="00E012A1">
        <w:rPr>
          <w:rFonts w:ascii="Arial" w:eastAsia="Times New Roman" w:hAnsi="Arial" w:cs="Arial"/>
          <w:noProof/>
          <w:highlight w:val="green"/>
          <w:lang w:val="en-IN" w:eastAsia="en-IN"/>
        </w:rPr>
        <w:t>;</w:t>
      </w:r>
      <w:r w:rsidR="008E07EB" w:rsidRPr="00015C63">
        <w:rPr>
          <w:rFonts w:ascii="Arial" w:eastAsia="Times New Roman" w:hAnsi="Arial" w:cs="Arial"/>
          <w:noProof/>
          <w:lang w:val="en-IN" w:eastAsia="en-IN"/>
        </w:rPr>
        <w:t xml:space="preserve"> </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{"citationItems":[{"id":"ITEM-1","itemData":{"DOI":"10.3390/agronomy14010126","ISSN":"2073-4395","abstract":"Weeds are the most severe and widespread biological constraint on agricultural production systems and cause damage to cropped and non-cropped lands. They reduce crop yield and degrade the quality of the produce, besides raising the cost of production. The intensification of agriculture in the Green Revolution era attracted chemical fertilizers and dwarf varieties coupled with mono-cropping and irrigation practices, which enhanced crop-associated weeds and the widespread use of herbicides for easy control. Pesticides may kill many organisms, both target and non-target species, in the environment, causing an imbalance in the ecosystem. Despite the significant increase in productivity, the environmental repercussions of industrial agriculture, characterized by the use of high-yielding crop varieties and the extensive application of chemical fertilizers and pesticides, have prompted a quest for more sustainable agricultural practices worldwide. One potential alternative lies in innovative approaches that draw upon ecological insights gleaned from studying natural ecosystems. These approaches aim to create “ecologically intensive” agro-ecosystems. Developing ecologically intensive agro-ecosystems necessitates a deep understanding of the biological dynamics within ecosystems and the integration of traditional agricultural knowledge held by local farmers. Considering the potentiality of appropriate weed management technologies to substantially improve crop productivity, there is an opportunity for the development, popularization, and adoption of effective, economical, and eco-friendly weed management technologies.","author":[{"dropping-particle":"","family":"Nath","given":"Chaitanya Prasad","non-dropping-particle":"","parse-names":false,"suffix":""},{"dropping-particle":"","family":"Singh","given":"Ravi Gopal","non-dropping-particle":"","parse-names":false,"suffix":""},{"dropping-particle":"","family":"Choudhary","given":"Vijay K.","non-dropping-particle":"","parse-names":false,"suffix":""},{"dropping-particle":"","family":"Datta","given":"Debarati","non-dropping-particle":"","parse-names":false,"suffix":""},{"dropping-particle":"","family":"Nandan","given":"Rajiv","non-dropping-particle":"","parse-names":false,"suffix":""},{"dropping-particle":"","family":"Singh","given":"Sati Shankar","non-dropping-particle":"","parse-names":false,"suffix":""}],"container-title":"Agronomy","id":"ITEM-1","issue":"1","issued":{"date-parts":[["2024","1","3"]]},"page":"126","title":"Challenges and alternatives of herbicide based weed managment","type":"article-journal","volume":"14"},"uris":["http://www.mendeley.com/documents/?uuid=1732a1a5-2f47-4697-b2bc-2eaf507c5baa"]}],"mendeley":{"formattedCitation":"(Nath et al., 2024)","manualFormatting":"Nath et al., 2024)","plainTextFormattedCitation":"(Nath et al., 2024)","previouslyFormattedCitation":"(Nath et al., 2024)"},"properties":{"noteIndex":0},"schema":"https://github.com/citation-style-language/schema/raw/master/csl-citation.json"}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Nath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2024)</w:t>
      </w:r>
      <w:r w:rsidRPr="00015C63">
        <w:rPr>
          <w:rFonts w:ascii="Arial" w:eastAsia="Times New Roman" w:hAnsi="Arial" w:cs="Arial"/>
          <w:lang w:val="en-IN" w:eastAsia="en-IN"/>
        </w:rPr>
        <w:fldChar w:fldCharType="end"/>
      </w:r>
      <w:r w:rsidR="008E07EB"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Ready-mix formulations of pendimethalin + imazethapyr have shown yields comparable to weed-free plots, indicating high efficiency and </w:t>
      </w:r>
      <w:proofErr w:type="spellStart"/>
      <w:r w:rsidRPr="00015C63">
        <w:rPr>
          <w:rFonts w:ascii="Arial" w:eastAsia="Times New Roman" w:hAnsi="Arial" w:cs="Arial"/>
          <w:lang w:val="en-IN" w:eastAsia="en-IN"/>
        </w:rPr>
        <w:t>labor-saving</w:t>
      </w:r>
      <w:proofErr w:type="spellEnd"/>
      <w:r w:rsidRPr="00015C63">
        <w:rPr>
          <w:rFonts w:ascii="Arial" w:eastAsia="Times New Roman" w:hAnsi="Arial" w:cs="Arial"/>
          <w:lang w:val="en-IN" w:eastAsia="en-IN"/>
        </w:rPr>
        <w:t xml:space="preserve"> potential </w:t>
      </w:r>
      <w:r w:rsidR="008E07EB" w:rsidRPr="00015C63">
        <w:rPr>
          <w:rFonts w:ascii="Arial" w:eastAsia="Times New Roman" w:hAnsi="Arial" w:cs="Arial"/>
          <w:lang w:val="en-IN" w:eastAsia="en-IN"/>
        </w:rPr>
        <w:t>(</w:t>
      </w:r>
      <w:proofErr w:type="spellStart"/>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Gairola</w:t>
      </w:r>
      <w:proofErr w:type="spellEnd"/>
      <w:r w:rsidRPr="00015C63">
        <w:rPr>
          <w:rFonts w:ascii="Arial" w:eastAsia="Times New Roman" w:hAnsi="Arial" w:cs="Arial"/>
          <w:noProof/>
          <w:lang w:val="en-IN" w:eastAsia="en-IN"/>
        </w:rPr>
        <w:t xml:space="preserve"> </w:t>
      </w:r>
      <w:r w:rsidRPr="00184BDE">
        <w:rPr>
          <w:rFonts w:ascii="Arial" w:eastAsia="Times New Roman" w:hAnsi="Arial" w:cs="Arial"/>
          <w:i/>
          <w:noProof/>
          <w:highlight w:val="green"/>
          <w:lang w:val="en-IN" w:eastAsia="en-IN"/>
        </w:rPr>
        <w:t>et al</w:t>
      </w:r>
      <w:r w:rsidRPr="00015C63">
        <w:rPr>
          <w:rFonts w:ascii="Arial" w:eastAsia="Times New Roman" w:hAnsi="Arial" w:cs="Arial"/>
          <w:noProof/>
          <w:lang w:val="en-IN" w:eastAsia="en-IN"/>
        </w:rPr>
        <w:t>.</w:t>
      </w:r>
      <w:r w:rsidR="008E07EB" w:rsidRPr="00015C63">
        <w:rPr>
          <w:rFonts w:ascii="Arial" w:eastAsia="Times New Roman" w:hAnsi="Arial" w:cs="Arial"/>
          <w:noProof/>
          <w:lang w:val="en-IN" w:eastAsia="en-IN"/>
        </w:rPr>
        <w:t>,</w:t>
      </w:r>
      <w:r w:rsidRPr="00015C63">
        <w:rPr>
          <w:rFonts w:ascii="Arial" w:eastAsia="Times New Roman" w:hAnsi="Arial" w:cs="Arial"/>
          <w:noProof/>
          <w:lang w:val="en-IN" w:eastAsia="en-IN"/>
        </w:rPr>
        <w:t xml:space="preserve"> 2024</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Nagar </w:t>
      </w:r>
      <w:r w:rsidRPr="00184BDE">
        <w:rPr>
          <w:rFonts w:ascii="Arial" w:eastAsia="Times New Roman" w:hAnsi="Arial" w:cs="Arial"/>
          <w:i/>
          <w:noProof/>
          <w:highlight w:val="green"/>
          <w:lang w:val="en-IN" w:eastAsia="en-IN"/>
        </w:rPr>
        <w:t>et al</w:t>
      </w:r>
      <w:r w:rsidRPr="00015C63">
        <w:rPr>
          <w:rFonts w:ascii="Arial" w:eastAsia="Times New Roman" w:hAnsi="Arial" w:cs="Arial"/>
          <w:noProof/>
          <w:lang w:val="en-IN" w:eastAsia="en-IN"/>
        </w:rPr>
        <w:t>., 2025)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However, issues such as herbicide resistance, environmental persistence, and limited registration for pulses restrict their widespread adoption.</w:t>
      </w:r>
    </w:p>
    <w:p w14:paraId="4C39D950" w14:textId="1381FB31" w:rsidR="00AB7D3A" w:rsidRPr="00015C63" w:rsidRDefault="0026450D" w:rsidP="006211E6">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Previous studies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10.5958/0974-8164.2022.00056.9","ISSN":"0253-8040","author":[{"dropping-particle":"","family":"Nepali","given":"Anamika","non-dropping-particle":"","parse-names":false,"suffix":""},{"dropping-particle":"","family":"Verma","given":"Arvind","non-dropping-particle":"","parse-names":false,"suffix":""},{"dropping-particle":"","family":"Singh","given":"J.K.","non-dropping-particle":"","parse-names":false,"suffix":""},{"dropping-particle":"","family":"Verma","given":"Deepa","non-dropping-particle":"","parse-names":false,"suffix":""},{"dropping-particle":"","family":"Pooja","given":"","non-dropping-particle":"","parse-names":false,"suffix":""}],"container-title":"Indian Journal of Weed Science","id":"ITEM-1","issue":"3","issued":{"date-parts":[["2022"]]},"page":"314-317","title":"effect of different pre- and post-emergence herbicides for weed management in chickpea","type":"article-journal","volume":"54"},"uris":["http://www.mendeley.com/documents/?uuid=7abe0120-2d14-4bf2-a0a4-c9c3eb890fc0"]}],"mendeley":{"formattedCitation":"(Nepali et al., 2022)","manualFormatting":"(Nepali et al., 2022","plainTextFormattedCitation":"(Nepali et al., 2022)","previouslyFormattedCitation":"(Nepali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(Nepali </w:t>
      </w:r>
      <w:r w:rsidRPr="00184BDE">
        <w:rPr>
          <w:rFonts w:ascii="Arial" w:eastAsia="Times New Roman" w:hAnsi="Arial" w:cs="Arial"/>
          <w:i/>
          <w:noProof/>
          <w:highlight w:val="green"/>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44A48" w:rsidRPr="00015C63">
        <w:rPr>
          <w:rFonts w:ascii="Arial" w:eastAsia="Times New Roman" w:hAnsi="Arial" w:cs="Arial"/>
          <w:lang w:val="en-IN" w:eastAsia="en-IN"/>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 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review","type":"article-journal","volume":"41"},"uris":["http://www.mendeley.com/documents/?uuid=a3766480-b69f-441c-9aea-919ee12897b4"]}],"mendeley":{"formattedCitation":"(A. Singh et al., 2020)","manualFormatting":"Singh et al., 2020","plainTextFormattedCitation":"(A. Singh et al., 2020)","previouslyFormattedCitation":"(A. Singh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Singh </w:t>
      </w:r>
      <w:r w:rsidRPr="00184BDE">
        <w:rPr>
          <w:rFonts w:ascii="Arial" w:eastAsia="Times New Roman" w:hAnsi="Arial" w:cs="Arial"/>
          <w:i/>
          <w:noProof/>
          <w:highlight w:val="green"/>
          <w:lang w:val="en-IN" w:eastAsia="en-IN"/>
        </w:rPr>
        <w:t>et al</w:t>
      </w:r>
      <w:r w:rsidRPr="00015C63">
        <w:rPr>
          <w:rFonts w:ascii="Arial" w:eastAsia="Times New Roman" w:hAnsi="Arial" w:cs="Arial"/>
          <w:noProof/>
          <w:lang w:val="en-IN" w:eastAsia="en-IN"/>
        </w:rPr>
        <w:t>., 2020</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Nagar </w:t>
      </w:r>
      <w:r w:rsidRPr="00184BDE">
        <w:rPr>
          <w:rFonts w:ascii="Arial" w:eastAsia="Times New Roman" w:hAnsi="Arial" w:cs="Arial"/>
          <w:i/>
          <w:noProof/>
          <w:highlight w:val="green"/>
          <w:lang w:val="en-IN" w:eastAsia="en-IN"/>
        </w:rPr>
        <w:t>et al</w:t>
      </w:r>
      <w:r w:rsidRPr="00015C63">
        <w:rPr>
          <w:rFonts w:ascii="Arial" w:eastAsia="Times New Roman" w:hAnsi="Arial" w:cs="Arial"/>
          <w:noProof/>
          <w:lang w:val="en-IN" w:eastAsia="en-IN"/>
        </w:rPr>
        <w:t>., 2025)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emphasize that integrating herbicides with cultural and mechanical methods improves weed control efficiency, yield, and profitability. The adoption of precision applicators is also critical to reduce drift, avoid direct crop injury, and e</w:t>
      </w:r>
      <w:r w:rsidR="008E07EB" w:rsidRPr="00015C63">
        <w:rPr>
          <w:rFonts w:ascii="Arial" w:eastAsia="Times New Roman" w:hAnsi="Arial" w:cs="Arial"/>
          <w:lang w:val="en-IN" w:eastAsia="en-IN"/>
        </w:rPr>
        <w:t xml:space="preserve">nsure uniform application </w:t>
      </w:r>
      <w:r w:rsidR="008E07EB"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{"citationItems":[{"id":"ITEM-1","itemData":{"author":[{"dropping-particle":"","family":"Sonu","given":"Kumar","non-dropping-particle":"","parse-names":false,"suffix":""}],"id":"ITEM-1","issued":{"date-parts":[["2024"]]},"number-of-pages":"1-128","publisher":"R.S.M. PG (COLLEGE)","title":"Effect of herbicides and herbicide application devices on chickpea (Cicer arietinum)","type":"thesis"},"uris":["http://www.mendeley.com/documents/?uuid=dc9548b6-f4e1-43fc-9bbf-162ed22e4bc9"]}],"mendeley":{"formattedCitation":"(Sonu, 2024)","manualFormatting":"(Sonu., 2024)","plainTextFormattedCitation":"(Sonu, 2024)","previouslyFormattedCitation":"(Sonu, 2024)"},"properties":{"noteIndex":0},"schema":"https://github.com/citation-style-language/schema/raw/master/csl-citation.json"}</w:instrText>
      </w:r>
      <w:r w:rsidR="008E07EB" w:rsidRPr="00015C63">
        <w:rPr>
          <w:rFonts w:ascii="Arial" w:eastAsia="Times New Roman" w:hAnsi="Arial" w:cs="Arial"/>
          <w:lang w:val="en-IN" w:eastAsia="en-IN"/>
        </w:rPr>
        <w:fldChar w:fldCharType="separate"/>
      </w:r>
      <w:r w:rsidR="008E07EB" w:rsidRPr="00015C63">
        <w:rPr>
          <w:rFonts w:ascii="Arial" w:eastAsia="Times New Roman" w:hAnsi="Arial" w:cs="Arial"/>
          <w:noProof/>
          <w:lang w:val="en-IN" w:eastAsia="en-IN"/>
        </w:rPr>
        <w:t>(Son</w:t>
      </w:r>
      <w:r w:rsidR="008E07EB" w:rsidRPr="00184BDE">
        <w:rPr>
          <w:rFonts w:ascii="Arial" w:eastAsia="Times New Roman" w:hAnsi="Arial" w:cs="Arial"/>
          <w:noProof/>
          <w:highlight w:val="green"/>
          <w:lang w:val="en-IN" w:eastAsia="en-IN"/>
        </w:rPr>
        <w:t>u,</w:t>
      </w:r>
      <w:r w:rsidR="008E07EB" w:rsidRPr="00015C63">
        <w:rPr>
          <w:rFonts w:ascii="Arial" w:eastAsia="Times New Roman" w:hAnsi="Arial" w:cs="Arial"/>
          <w:noProof/>
          <w:lang w:val="en-IN" w:eastAsia="en-IN"/>
        </w:rPr>
        <w:t xml:space="preserve"> 2024)</w:t>
      </w:r>
      <w:r w:rsidR="008E07EB"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Another challenge is the narrow window for applying post-emergence herbicides in chickpea fields. Chickpea have a short growing season, and the timing of herbicide application must be precise to avoid damaging the crop while effectively controlling the weeds. Delayed application can result in weeds becoming too established, making control efforts less effective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Pr="00015C63">
        <w:rPr>
          <w:rFonts w:ascii="Cambria Math" w:eastAsia="Times New Roman" w:hAnsi="Cambria Math" w:cs="Cambria Math"/>
          <w:lang w:val="en-IN" w:eastAsia="en-IN"/>
        </w:rPr>
        <w:instrText>‐</w:instrText>
      </w:r>
      <w:r w:rsidRPr="00015C63">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2020)","plainTextFormattedCitation":"(Mohammed et al., 2020)","previouslyFormattedCitation":"(Mohammed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(Mohammed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Furthermore, chickpea fields often host a diverse range of weeds, including both grassy and broad-leaved species. This diversity complicates the selection of post-emergence herbicides, as a single herbicide may not be effective against all weed types present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{"citationItems":[{"id":"ITEM-1","itemData":{"author":[{"dropping-particle":"","family":"Khose","given":"P.J.","non-dropping-particle":"","parse-names":false,"suffix":""},{"dropping-particle":"","family":"S.","given":"VYVAHARE L.","non-dropping-particle":"","parse-names":false,"suffix":""},{"dropping-particle":"","family":"S.","given":"Menon","non-dropping-particle":"","parse-names":false,"suffix":""},{"dropping-particle":"","family":"B.","given":"Shinde P.","non-dropping-particle":"","parse-names":false,"suffix":""},{"dropping-particle":"","family":"Pokharkar S P.","given":"","non-dropping-particle":"","parse-names":false,"suffix":""}],"container-title":"The Pharma Innovation Journal","id":"ITEM-1","issue":"6","issued":{"date-parts":[["2021"]]},"page":"808-812","title":"Studies on chemical weed management in chickpea (Cicer arietinum L.) a review","type":"article-journal","volume":"10"},"uris":["http://www.mendeley.com/documents/?uuid=3bc6092d-4595-4f2a-bc49-e3c2c3364aa2"]}],"mendeley":{"formattedCitation":"(Khose et al., 2021)","plainTextFormattedCitation":"(Khose et al., 2021)","previouslyFormattedCitation":"(Khose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(Khose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w:t>
      </w:r>
      <w:r w:rsidR="006211E6" w:rsidRPr="00015C63">
        <w:rPr>
          <w:rFonts w:ascii="Arial" w:eastAsia="Times New Roman" w:hAnsi="Arial" w:cs="Arial"/>
          <w:lang w:val="en-IN" w:eastAsia="en-IN"/>
        </w:rPr>
        <w:t xml:space="preserve"> </w:t>
      </w:r>
      <w:r w:rsidR="00FC4634" w:rsidRPr="00015C63">
        <w:rPr>
          <w:rFonts w:ascii="Arial" w:eastAsia="Times New Roman" w:hAnsi="Arial" w:cs="Arial"/>
          <w:color w:val="auto"/>
          <w:lang w:val="en-IN" w:eastAsia="en-IN" w:bidi="hi-IN"/>
        </w:rPr>
        <w:t xml:space="preserve">In view of these challenges, the present study </w:t>
      </w:r>
      <w:proofErr w:type="gramStart"/>
      <w:r w:rsidR="00FC4634" w:rsidRPr="00015C63">
        <w:rPr>
          <w:rFonts w:ascii="Arial" w:eastAsia="Times New Roman" w:hAnsi="Arial" w:cs="Arial"/>
          <w:color w:val="auto"/>
          <w:lang w:val="en-IN" w:eastAsia="en-IN" w:bidi="hi-IN"/>
        </w:rPr>
        <w:t>was undertak</w:t>
      </w:r>
      <w:r w:rsidR="00FC4634" w:rsidRPr="00A71639">
        <w:rPr>
          <w:rFonts w:ascii="Arial" w:eastAsia="Times New Roman" w:hAnsi="Arial" w:cs="Arial"/>
          <w:color w:val="auto"/>
          <w:highlight w:val="green"/>
          <w:lang w:val="en-IN" w:eastAsia="en-IN" w:bidi="hi-IN"/>
        </w:rPr>
        <w:t>en</w:t>
      </w:r>
      <w:proofErr w:type="gramEnd"/>
      <w:r w:rsidR="00FC4634" w:rsidRPr="00A71639">
        <w:rPr>
          <w:rFonts w:ascii="Arial" w:eastAsia="Times New Roman" w:hAnsi="Arial" w:cs="Arial"/>
          <w:color w:val="auto"/>
          <w:highlight w:val="green"/>
          <w:lang w:val="en-IN" w:eastAsia="en-IN" w:bidi="hi-IN"/>
        </w:rPr>
        <w:t xml:space="preserve"> </w:t>
      </w:r>
      <w:r w:rsidR="00BC6882" w:rsidRPr="00A71639">
        <w:rPr>
          <w:rFonts w:ascii="Arial" w:eastAsia="Times New Roman" w:hAnsi="Arial" w:cs="Arial"/>
          <w:color w:val="auto"/>
          <w:highlight w:val="green"/>
          <w:lang w:val="en-IN" w:eastAsia="en-IN" w:bidi="hi-IN"/>
        </w:rPr>
        <w:t>w</w:t>
      </w:r>
      <w:r w:rsidR="00BC6882" w:rsidRPr="00015C63">
        <w:rPr>
          <w:rFonts w:ascii="Arial" w:eastAsia="Times New Roman" w:hAnsi="Arial" w:cs="Arial"/>
          <w:color w:val="auto"/>
          <w:lang w:val="en-IN" w:eastAsia="en-IN" w:bidi="hi-IN"/>
        </w:rPr>
        <w:t>ith the aim to test the</w:t>
      </w:r>
      <w:r w:rsidR="00FC4634" w:rsidRPr="00015C63">
        <w:rPr>
          <w:rFonts w:ascii="Arial" w:eastAsia="Times New Roman" w:hAnsi="Arial" w:cs="Arial"/>
          <w:color w:val="auto"/>
          <w:lang w:val="en-IN" w:eastAsia="en-IN" w:bidi="hi-IN"/>
        </w:rPr>
        <w:t xml:space="preserve"> </w:t>
      </w:r>
      <w:r w:rsidR="006211E6" w:rsidRPr="00015C63">
        <w:rPr>
          <w:rFonts w:ascii="Arial" w:eastAsia="Times New Roman" w:hAnsi="Arial" w:cs="Arial"/>
          <w:color w:val="auto"/>
          <w:lang w:val="en-IN" w:eastAsia="en-IN" w:bidi="hi-IN"/>
        </w:rPr>
        <w:t>effect of herbicide and post-emergence herbicide a</w:t>
      </w:r>
      <w:r w:rsidR="00FC4634" w:rsidRPr="00015C63">
        <w:rPr>
          <w:rFonts w:ascii="Arial" w:eastAsia="Times New Roman" w:hAnsi="Arial" w:cs="Arial"/>
          <w:color w:val="auto"/>
          <w:lang w:val="en-IN" w:eastAsia="en-IN" w:bidi="hi-IN"/>
        </w:rPr>
        <w:t xml:space="preserve">pplicator </w:t>
      </w:r>
      <w:r w:rsidR="00F33952" w:rsidRPr="00015C63">
        <w:rPr>
          <w:rFonts w:ascii="Arial" w:eastAsia="Times New Roman" w:hAnsi="Arial" w:cs="Arial"/>
          <w:color w:val="auto"/>
          <w:lang w:val="en-IN" w:eastAsia="en-IN" w:bidi="hi-IN"/>
        </w:rPr>
        <w:t xml:space="preserve">device </w:t>
      </w:r>
      <w:r w:rsidR="006211E6" w:rsidRPr="00015C63">
        <w:rPr>
          <w:rFonts w:ascii="Arial" w:eastAsia="Times New Roman" w:hAnsi="Arial" w:cs="Arial"/>
          <w:color w:val="auto"/>
          <w:lang w:val="en-IN" w:eastAsia="en-IN" w:bidi="hi-IN"/>
        </w:rPr>
        <w:t xml:space="preserve">on growth and </w:t>
      </w:r>
      <w:r w:rsidR="00244323" w:rsidRPr="00015C63">
        <w:rPr>
          <w:rFonts w:ascii="Arial" w:eastAsia="Times New Roman" w:hAnsi="Arial" w:cs="Arial"/>
          <w:color w:val="auto"/>
          <w:lang w:val="en-IN" w:eastAsia="en-IN" w:bidi="hi-IN"/>
        </w:rPr>
        <w:t>root parameters</w:t>
      </w:r>
      <w:r w:rsidR="006211E6" w:rsidRPr="00015C63">
        <w:rPr>
          <w:rFonts w:ascii="Arial" w:eastAsia="Times New Roman" w:hAnsi="Arial" w:cs="Arial"/>
          <w:color w:val="auto"/>
          <w:lang w:val="en-IN" w:eastAsia="en-IN" w:bidi="hi-IN"/>
        </w:rPr>
        <w:t xml:space="preserve"> of c</w:t>
      </w:r>
      <w:r w:rsidR="00244323" w:rsidRPr="00015C63">
        <w:rPr>
          <w:rFonts w:ascii="Arial" w:eastAsia="Times New Roman" w:hAnsi="Arial" w:cs="Arial"/>
          <w:color w:val="auto"/>
          <w:lang w:val="en-IN" w:eastAsia="en-IN" w:bidi="hi-IN"/>
        </w:rPr>
        <w:t>hickpea.</w:t>
      </w:r>
    </w:p>
    <w:p w14:paraId="6252B710" w14:textId="77777777" w:rsidR="00484160" w:rsidRPr="00015C63" w:rsidRDefault="00484160" w:rsidP="00DF2E7D">
      <w:pPr>
        <w:spacing w:after="120" w:line="360" w:lineRule="auto"/>
        <w:jc w:val="both"/>
        <w:rPr>
          <w:rFonts w:ascii="Arial" w:eastAsia="Arial" w:hAnsi="Arial" w:cs="Arial"/>
          <w:b/>
          <w:bCs/>
        </w:rPr>
      </w:pPr>
      <w:r w:rsidRPr="00015C63">
        <w:rPr>
          <w:rFonts w:ascii="Arial" w:eastAsia="Arial" w:hAnsi="Arial" w:cs="Arial"/>
          <w:b/>
          <w:bCs/>
        </w:rPr>
        <w:t>2.</w:t>
      </w:r>
      <w:r w:rsidR="00844A48" w:rsidRPr="00015C63">
        <w:rPr>
          <w:rFonts w:ascii="Arial" w:eastAsia="Arial" w:hAnsi="Arial" w:cs="Arial"/>
          <w:b/>
          <w:bCs/>
        </w:rPr>
        <w:t xml:space="preserve"> </w:t>
      </w:r>
      <w:r w:rsidRPr="00015C63">
        <w:rPr>
          <w:rFonts w:ascii="Arial" w:eastAsia="Arial" w:hAnsi="Arial" w:cs="Arial"/>
          <w:b/>
          <w:bCs/>
        </w:rPr>
        <w:t xml:space="preserve">METHODS AND MATERIALS  </w:t>
      </w:r>
    </w:p>
    <w:p w14:paraId="1A45DB53" w14:textId="77777777" w:rsidR="00030F4B" w:rsidRPr="00015C63" w:rsidRDefault="00666D1E" w:rsidP="00DF2E7D">
      <w:pPr>
        <w:pStyle w:val="NormalWeb"/>
        <w:spacing w:line="360" w:lineRule="auto"/>
        <w:jc w:val="both"/>
        <w:rPr>
          <w:rFonts w:ascii="Arial" w:hAnsi="Arial" w:cs="Arial"/>
        </w:rPr>
      </w:pPr>
      <w:r w:rsidRPr="00015C63">
        <w:rPr>
          <w:rFonts w:ascii="Arial" w:hAnsi="Arial" w:cs="Arial"/>
        </w:rPr>
        <w:t>T</w:t>
      </w:r>
      <w:r w:rsidR="0032299D" w:rsidRPr="00015C63">
        <w:rPr>
          <w:rFonts w:ascii="Arial" w:hAnsi="Arial" w:cs="Arial"/>
        </w:rPr>
        <w:t>he experim</w:t>
      </w:r>
      <w:r w:rsidR="004232FD" w:rsidRPr="00015C63">
        <w:rPr>
          <w:rFonts w:ascii="Arial" w:hAnsi="Arial" w:cs="Arial"/>
        </w:rPr>
        <w:t xml:space="preserve">ent was conducted with chickpea </w:t>
      </w:r>
      <w:r w:rsidR="002C2D6A" w:rsidRPr="00015C63">
        <w:rPr>
          <w:rFonts w:ascii="Arial" w:hAnsi="Arial" w:cs="Arial"/>
        </w:rPr>
        <w:t xml:space="preserve">variety </w:t>
      </w:r>
      <w:r w:rsidR="00EB5328" w:rsidRPr="00015C63">
        <w:rPr>
          <w:rFonts w:ascii="Arial" w:hAnsi="Arial" w:cs="Arial"/>
        </w:rPr>
        <w:t>Phule V</w:t>
      </w:r>
      <w:r w:rsidRPr="00015C63">
        <w:rPr>
          <w:rFonts w:ascii="Arial" w:hAnsi="Arial" w:cs="Arial"/>
        </w:rPr>
        <w:t>ikram</w:t>
      </w:r>
      <w:r w:rsidR="002C2D6A" w:rsidRPr="00015C63">
        <w:rPr>
          <w:rFonts w:ascii="Arial" w:hAnsi="Arial" w:cs="Arial"/>
        </w:rPr>
        <w:t xml:space="preserve"> </w:t>
      </w:r>
      <w:r w:rsidR="00030F4B" w:rsidRPr="00015C63">
        <w:rPr>
          <w:rFonts w:ascii="Arial" w:hAnsi="Arial" w:cs="Arial"/>
        </w:rPr>
        <w:t>c</w:t>
      </w:r>
      <w:r w:rsidR="0032299D" w:rsidRPr="00015C63">
        <w:rPr>
          <w:rFonts w:ascii="Arial" w:hAnsi="Arial" w:cs="Arial"/>
        </w:rPr>
        <w:t>ertified seeds were used for sowing. The herbicides tested included pendimethalin (pre-emergence)</w:t>
      </w:r>
      <w:r w:rsidR="00484160" w:rsidRPr="00015C63">
        <w:rPr>
          <w:rFonts w:ascii="Arial" w:hAnsi="Arial" w:cs="Arial"/>
        </w:rPr>
        <w:t xml:space="preserve">, imazethapyr (post-emergence). </w:t>
      </w:r>
      <w:r w:rsidR="0032299D" w:rsidRPr="00015C63">
        <w:rPr>
          <w:rFonts w:ascii="Arial" w:hAnsi="Arial" w:cs="Arial"/>
        </w:rPr>
        <w:t xml:space="preserve">For comparison, manual weeding and weed-free treatments were also included. Post-emergence herbicide was applied through a </w:t>
      </w:r>
      <w:r w:rsidR="0032299D" w:rsidRPr="00015C63">
        <w:rPr>
          <w:rStyle w:val="Textoennegrita"/>
          <w:rFonts w:ascii="Arial" w:eastAsiaTheme="majorEastAsia" w:hAnsi="Arial" w:cs="Arial"/>
        </w:rPr>
        <w:t>post-emergence herbicide applicator</w:t>
      </w:r>
      <w:r w:rsidR="0032299D" w:rsidRPr="00015C63">
        <w:rPr>
          <w:rFonts w:ascii="Arial" w:hAnsi="Arial" w:cs="Arial"/>
        </w:rPr>
        <w:t>, designed to minimize crop contact and drift losses, and its performance was compared with a conventional knapsack sprayer.</w:t>
      </w:r>
    </w:p>
    <w:p w14:paraId="04FBB1F5" w14:textId="5F640192" w:rsidR="00484160" w:rsidRPr="00015C63" w:rsidRDefault="00484160" w:rsidP="00DF2E7D">
      <w:pPr>
        <w:spacing w:after="120" w:line="360" w:lineRule="auto"/>
        <w:ind w:firstLine="720"/>
        <w:jc w:val="both"/>
        <w:rPr>
          <w:rFonts w:ascii="Arial" w:eastAsia="Arial Unicode MS" w:hAnsi="Arial" w:cs="Arial"/>
        </w:rPr>
      </w:pPr>
      <w:r w:rsidRPr="00015C63">
        <w:rPr>
          <w:rFonts w:ascii="Arial" w:eastAsia="Arial" w:hAnsi="Arial" w:cs="Arial"/>
        </w:rPr>
        <w:lastRenderedPageBreak/>
        <w:t xml:space="preserve">The experiment was laid out at Agronomic Research Farm, R.S.M. (P.G.) College </w:t>
      </w:r>
      <w:proofErr w:type="spellStart"/>
      <w:r w:rsidRPr="00015C63">
        <w:rPr>
          <w:rFonts w:ascii="Arial" w:eastAsia="Arial" w:hAnsi="Arial" w:cs="Arial"/>
        </w:rPr>
        <w:t>Dhampur</w:t>
      </w:r>
      <w:proofErr w:type="spellEnd"/>
      <w:r w:rsidRPr="00015C63">
        <w:rPr>
          <w:rFonts w:ascii="Arial" w:eastAsia="Arial" w:hAnsi="Arial" w:cs="Arial"/>
        </w:rPr>
        <w:t xml:space="preserve"> (</w:t>
      </w:r>
      <w:proofErr w:type="spellStart"/>
      <w:r w:rsidRPr="00015C63">
        <w:rPr>
          <w:rFonts w:ascii="Arial" w:eastAsia="Arial" w:hAnsi="Arial" w:cs="Arial"/>
        </w:rPr>
        <w:t>Bijnor</w:t>
      </w:r>
      <w:proofErr w:type="spellEnd"/>
      <w:r w:rsidRPr="00015C63">
        <w:rPr>
          <w:rFonts w:ascii="Arial" w:eastAsia="Arial" w:hAnsi="Arial" w:cs="Arial"/>
        </w:rPr>
        <w:t xml:space="preserve">) during December 2024 to April 2025. The experimental soil was predominantly </w:t>
      </w:r>
      <w:r w:rsidRPr="00015C63">
        <w:rPr>
          <w:rFonts w:ascii="Arial" w:eastAsia="Arial Unicode MS" w:hAnsi="Arial" w:cs="Arial"/>
        </w:rPr>
        <w:t xml:space="preserve">silty loam in texture, slightly alkaline in reaction (7.26 pH) and relatively low in organic carbon (0.36%). The area of experimental field reaches up to 1 </w:t>
      </w:r>
      <w:proofErr w:type="spellStart"/>
      <w:r w:rsidRPr="00015C63">
        <w:rPr>
          <w:rFonts w:ascii="Arial" w:eastAsia="Arial Unicode MS" w:hAnsi="Arial" w:cs="Arial"/>
        </w:rPr>
        <w:t>kilometre</w:t>
      </w:r>
      <w:proofErr w:type="spellEnd"/>
      <w:r w:rsidRPr="00015C63">
        <w:rPr>
          <w:rFonts w:ascii="Arial" w:eastAsia="Arial Unicode MS" w:hAnsi="Arial" w:cs="Arial"/>
        </w:rPr>
        <w:t xml:space="preserve"> east of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town, situated along the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 Moradabad road. The farm stands at an elevation of 286 meters above mean sea level (MSL) and is situated at coordinates 29.021°N latitude and 78.508°E longitude. </w:t>
      </w:r>
      <w:r w:rsidRPr="00B030A9">
        <w:rPr>
          <w:rFonts w:ascii="Arial" w:eastAsia="Arial Unicode MS" w:hAnsi="Arial" w:cs="Arial"/>
          <w:highlight w:val="green"/>
        </w:rPr>
        <w:t>Th</w:t>
      </w:r>
      <w:r w:rsidR="00B030A9" w:rsidRPr="00B030A9">
        <w:rPr>
          <w:rFonts w:ascii="Arial" w:eastAsia="Arial Unicode MS" w:hAnsi="Arial" w:cs="Arial"/>
          <w:highlight w:val="green"/>
        </w:rPr>
        <w:t>rough</w:t>
      </w:r>
      <w:r w:rsidRPr="00B030A9">
        <w:rPr>
          <w:rFonts w:ascii="Arial" w:eastAsia="Arial Unicode MS" w:hAnsi="Arial" w:cs="Arial"/>
          <w:highlight w:val="green"/>
        </w:rPr>
        <w:t>out</w:t>
      </w:r>
      <w:r w:rsidRPr="00015C63">
        <w:rPr>
          <w:rFonts w:ascii="Arial" w:eastAsia="Arial Unicode MS" w:hAnsi="Arial" w:cs="Arial"/>
        </w:rPr>
        <w:t xml:space="preserve"> </w:t>
      </w:r>
      <w:r w:rsidRPr="00015C63">
        <w:rPr>
          <w:rFonts w:ascii="Arial" w:eastAsia="Arial" w:hAnsi="Arial" w:cs="Arial"/>
        </w:rPr>
        <w:t xml:space="preserve">the experimental </w:t>
      </w:r>
      <w:proofErr w:type="gramStart"/>
      <w:r w:rsidRPr="00015C63">
        <w:rPr>
          <w:rFonts w:ascii="Arial" w:eastAsia="Arial" w:hAnsi="Arial" w:cs="Arial"/>
        </w:rPr>
        <w:t>period</w:t>
      </w:r>
      <w:proofErr w:type="gramEnd"/>
      <w:r w:rsidRPr="00015C63">
        <w:rPr>
          <w:rFonts w:ascii="Arial" w:eastAsia="Arial" w:hAnsi="Arial" w:cs="Arial"/>
        </w:rPr>
        <w:t xml:space="preserve"> the warmest month is April, with an average temperature of 38.4 </w:t>
      </w:r>
      <w:r w:rsidRPr="00015C63">
        <w:rPr>
          <w:rFonts w:ascii="Arial" w:eastAsia="Arial Unicode MS" w:hAnsi="Arial" w:cs="Arial"/>
        </w:rPr>
        <w:t>°C</w:t>
      </w:r>
      <w:r w:rsidRPr="00015C63">
        <w:rPr>
          <w:rFonts w:ascii="Arial" w:eastAsia="Arial" w:hAnsi="Arial" w:cs="Arial"/>
        </w:rPr>
        <w:t xml:space="preserve">, while the coldest month is December, with an average temperature of </w:t>
      </w:r>
      <w:r w:rsidRPr="00015C63">
        <w:rPr>
          <w:rFonts w:ascii="Arial" w:eastAsia="Arial Unicode MS" w:hAnsi="Arial" w:cs="Arial"/>
        </w:rPr>
        <w:t>2.6°C</w:t>
      </w:r>
      <w:r w:rsidRPr="00015C63">
        <w:rPr>
          <w:rFonts w:ascii="Arial" w:eastAsia="Arial" w:hAnsi="Arial" w:cs="Arial"/>
        </w:rPr>
        <w:t xml:space="preserve">. </w:t>
      </w:r>
      <w:r w:rsidRPr="00015C63">
        <w:rPr>
          <w:rFonts w:ascii="Arial" w:eastAsia="Arial Unicode MS" w:hAnsi="Arial" w:cs="Arial"/>
        </w:rPr>
        <w:t>The month of February saw the highest average relative humidity at 92%.</w:t>
      </w:r>
    </w:p>
    <w:p w14:paraId="46E6BD53" w14:textId="77777777" w:rsidR="00484160" w:rsidRPr="00015C63" w:rsidRDefault="00484160" w:rsidP="00DF2E7D">
      <w:pPr>
        <w:pStyle w:val="NormalWeb"/>
        <w:spacing w:line="360" w:lineRule="auto"/>
        <w:jc w:val="both"/>
        <w:rPr>
          <w:rFonts w:ascii="Arial" w:hAnsi="Arial" w:cs="Arial"/>
        </w:rPr>
      </w:pPr>
      <w:r w:rsidRPr="00015C63">
        <w:rPr>
          <w:rFonts w:ascii="Arial" w:hAnsi="Arial" w:cs="Arial"/>
          <w:b/>
          <w:bCs/>
        </w:rPr>
        <w:t>Experimental Design and Treatments</w:t>
      </w:r>
    </w:p>
    <w:p w14:paraId="1CF9F145" w14:textId="1311C924" w:rsidR="00484160" w:rsidRPr="00015C63" w:rsidRDefault="00484160" w:rsidP="00DF2E7D">
      <w:pPr>
        <w:spacing w:after="120" w:line="360" w:lineRule="auto"/>
        <w:ind w:firstLine="720"/>
        <w:jc w:val="both"/>
        <w:rPr>
          <w:rFonts w:ascii="Arial" w:hAnsi="Arial" w:cs="Arial"/>
        </w:rPr>
      </w:pPr>
      <w:r w:rsidRPr="00015C63">
        <w:rPr>
          <w:rFonts w:ascii="Arial" w:eastAsia="Arial" w:hAnsi="Arial" w:cs="Arial"/>
        </w:rPr>
        <w:t>The experiment was laid out in a r</w:t>
      </w:r>
      <w:r w:rsidRPr="00015C63">
        <w:rPr>
          <w:rFonts w:ascii="Arial" w:hAnsi="Arial" w:cs="Arial"/>
        </w:rPr>
        <w:t xml:space="preserve">andomized complete block design (RBD) with three replications </w:t>
      </w:r>
      <w:r w:rsidR="00B030A9" w:rsidRPr="00B030A9">
        <w:rPr>
          <w:rFonts w:ascii="Arial" w:hAnsi="Arial" w:cs="Arial"/>
          <w:highlight w:val="green"/>
        </w:rPr>
        <w:t xml:space="preserve">in each of </w:t>
      </w:r>
      <w:r w:rsidRPr="00B030A9">
        <w:rPr>
          <w:rFonts w:ascii="Arial" w:hAnsi="Arial" w:cs="Arial"/>
          <w:highlight w:val="green"/>
        </w:rPr>
        <w:t>se</w:t>
      </w:r>
      <w:r w:rsidRPr="00015C63">
        <w:rPr>
          <w:rFonts w:ascii="Arial" w:hAnsi="Arial" w:cs="Arial"/>
        </w:rPr>
        <w:t xml:space="preserve">ven </w:t>
      </w:r>
      <w:proofErr w:type="gramStart"/>
      <w:r w:rsidRPr="00015C63">
        <w:rPr>
          <w:rFonts w:ascii="Arial" w:hAnsi="Arial" w:cs="Arial"/>
        </w:rPr>
        <w:t>treatments</w:t>
      </w:r>
      <w:r w:rsidR="00B030A9">
        <w:rPr>
          <w:rFonts w:ascii="Arial" w:hAnsi="Arial" w:cs="Arial"/>
        </w:rPr>
        <w:t xml:space="preserve"> </w:t>
      </w:r>
      <w:r w:rsidR="00B030A9" w:rsidRPr="00B030A9">
        <w:rPr>
          <w:rFonts w:ascii="Arial" w:hAnsi="Arial" w:cs="Arial"/>
          <w:highlight w:val="green"/>
        </w:rPr>
        <w:t>which</w:t>
      </w:r>
      <w:proofErr w:type="gramEnd"/>
      <w:r w:rsidR="00B030A9" w:rsidRPr="00B030A9">
        <w:rPr>
          <w:rFonts w:ascii="Arial" w:hAnsi="Arial" w:cs="Arial"/>
          <w:highlight w:val="green"/>
        </w:rPr>
        <w:t xml:space="preserve"> are shown in Table 1.</w:t>
      </w:r>
      <w:r w:rsidRPr="00015C63">
        <w:rPr>
          <w:rFonts w:ascii="Arial" w:hAnsi="Arial" w:cs="Arial"/>
        </w:rPr>
        <w:t xml:space="preserve"> </w:t>
      </w:r>
      <w:proofErr w:type="gramStart"/>
      <w:r w:rsidRPr="00B030A9">
        <w:rPr>
          <w:rFonts w:ascii="Arial" w:eastAsia="Arial" w:hAnsi="Arial" w:cs="Arial"/>
          <w:strike/>
          <w:highlight w:val="yellow"/>
        </w:rPr>
        <w:t>consisted of three replication with the seven treatment i.e.</w:t>
      </w:r>
      <w:r w:rsidRPr="00B030A9">
        <w:rPr>
          <w:rFonts w:ascii="Arial" w:eastAsia="Arial" w:hAnsi="Arial" w:cs="Arial"/>
          <w:strike/>
        </w:rPr>
        <w:t xml:space="preserve"> </w:t>
      </w:r>
      <w:r w:rsidRPr="00B030A9">
        <w:rPr>
          <w:rFonts w:ascii="Arial" w:hAnsi="Arial" w:cs="Arial"/>
          <w:strike/>
          <w:highlight w:val="yellow"/>
        </w:rPr>
        <w:t>T</w:t>
      </w:r>
      <w:r w:rsidRPr="00B030A9">
        <w:rPr>
          <w:rFonts w:ascii="Cambria Math" w:hAnsi="Cambria Math" w:cs="Cambria Math"/>
          <w:strike/>
          <w:highlight w:val="yellow"/>
        </w:rPr>
        <w:t>₁</w:t>
      </w:r>
      <w:r w:rsidRPr="00B030A9">
        <w:rPr>
          <w:rFonts w:ascii="Arial" w:hAnsi="Arial" w:cs="Arial"/>
          <w:strike/>
          <w:highlight w:val="yellow"/>
        </w:rPr>
        <w:t xml:space="preserve">: pre-emergence (PE) application of pendimethalin @ 1 kg </w:t>
      </w:r>
      <w:proofErr w:type="spellStart"/>
      <w:r w:rsidRPr="00B030A9">
        <w:rPr>
          <w:rFonts w:ascii="Arial" w:hAnsi="Arial" w:cs="Arial"/>
          <w:strike/>
          <w:highlight w:val="yellow"/>
        </w:rPr>
        <w:t>a.i</w:t>
      </w:r>
      <w:proofErr w:type="spellEnd"/>
      <w:r w:rsidRPr="00B030A9">
        <w:rPr>
          <w:rFonts w:ascii="Arial" w:hAnsi="Arial" w:cs="Arial"/>
          <w:strike/>
          <w:highlight w:val="yellow"/>
        </w:rPr>
        <w:t>. ha</w:t>
      </w:r>
      <w:r w:rsidRPr="00B030A9">
        <w:rPr>
          <w:rFonts w:ascii="Cambria Math" w:hAnsi="Cambria Math" w:cs="Cambria Math"/>
          <w:strike/>
          <w:highlight w:val="yellow"/>
        </w:rPr>
        <w:t>⁻</w:t>
      </w:r>
      <w:r w:rsidRPr="00B030A9">
        <w:rPr>
          <w:rFonts w:ascii="Arial" w:hAnsi="Arial" w:cs="Arial"/>
          <w:strike/>
          <w:highlight w:val="yellow"/>
        </w:rPr>
        <w:t>¹, T</w:t>
      </w:r>
      <w:r w:rsidRPr="00B030A9">
        <w:rPr>
          <w:rFonts w:ascii="Cambria Math" w:hAnsi="Cambria Math" w:cs="Cambria Math"/>
          <w:strike/>
          <w:highlight w:val="yellow"/>
        </w:rPr>
        <w:t>₂</w:t>
      </w:r>
      <w:r w:rsidRPr="00B030A9">
        <w:rPr>
          <w:rFonts w:ascii="Arial" w:hAnsi="Arial" w:cs="Arial"/>
          <w:strike/>
          <w:highlight w:val="yellow"/>
        </w:rPr>
        <w:t>: T</w:t>
      </w:r>
      <w:r w:rsidRPr="00B030A9">
        <w:rPr>
          <w:rFonts w:ascii="Cambria Math" w:hAnsi="Cambria Math" w:cs="Cambria Math"/>
          <w:strike/>
          <w:highlight w:val="yellow"/>
        </w:rPr>
        <w:t>₁</w:t>
      </w:r>
      <w:r w:rsidRPr="00B030A9">
        <w:rPr>
          <w:rFonts w:ascii="Arial" w:hAnsi="Arial" w:cs="Arial"/>
          <w:strike/>
          <w:highlight w:val="yellow"/>
        </w:rPr>
        <w:t xml:space="preserve"> followed by (fb) post-emergence (PoE) application of imazethapyr @ 60 g </w:t>
      </w:r>
      <w:proofErr w:type="spellStart"/>
      <w:r w:rsidRPr="00B030A9">
        <w:rPr>
          <w:rFonts w:ascii="Arial" w:hAnsi="Arial" w:cs="Arial"/>
          <w:strike/>
          <w:highlight w:val="yellow"/>
        </w:rPr>
        <w:t>a.i</w:t>
      </w:r>
      <w:proofErr w:type="spellEnd"/>
      <w:r w:rsidRPr="00B030A9">
        <w:rPr>
          <w:rFonts w:ascii="Arial" w:hAnsi="Arial" w:cs="Arial"/>
          <w:strike/>
          <w:highlight w:val="yellow"/>
        </w:rPr>
        <w:t>. ha</w:t>
      </w:r>
      <w:r w:rsidRPr="00B030A9">
        <w:rPr>
          <w:rFonts w:ascii="Cambria Math" w:hAnsi="Cambria Math" w:cs="Cambria Math"/>
          <w:strike/>
          <w:highlight w:val="yellow"/>
        </w:rPr>
        <w:t>⁻</w:t>
      </w:r>
      <w:r w:rsidRPr="00B030A9">
        <w:rPr>
          <w:rFonts w:ascii="Arial" w:hAnsi="Arial" w:cs="Arial"/>
          <w:strike/>
          <w:highlight w:val="yellow"/>
        </w:rPr>
        <w:t>¹, T</w:t>
      </w:r>
      <w:r w:rsidRPr="00B030A9">
        <w:rPr>
          <w:rFonts w:ascii="Cambria Math" w:hAnsi="Cambria Math" w:cs="Cambria Math"/>
          <w:strike/>
          <w:highlight w:val="yellow"/>
        </w:rPr>
        <w:t>₃</w:t>
      </w:r>
      <w:r w:rsidRPr="00B030A9">
        <w:rPr>
          <w:rFonts w:ascii="Arial" w:hAnsi="Arial" w:cs="Arial"/>
          <w:strike/>
          <w:highlight w:val="yellow"/>
        </w:rPr>
        <w:t>: T</w:t>
      </w:r>
      <w:r w:rsidRPr="00B030A9">
        <w:rPr>
          <w:rFonts w:ascii="Cambria Math" w:hAnsi="Cambria Math" w:cs="Cambria Math"/>
          <w:strike/>
          <w:highlight w:val="yellow"/>
        </w:rPr>
        <w:t>₁</w:t>
      </w:r>
      <w:r w:rsidRPr="00B030A9">
        <w:rPr>
          <w:rFonts w:ascii="Arial" w:hAnsi="Arial" w:cs="Arial"/>
          <w:strike/>
          <w:highlight w:val="yellow"/>
        </w:rPr>
        <w:t xml:space="preserve"> fb PoE imazethapyr @ 60 g </w:t>
      </w:r>
      <w:proofErr w:type="spellStart"/>
      <w:r w:rsidRPr="00B030A9">
        <w:rPr>
          <w:rFonts w:ascii="Arial" w:hAnsi="Arial" w:cs="Arial"/>
          <w:strike/>
          <w:highlight w:val="yellow"/>
        </w:rPr>
        <w:t>a.i</w:t>
      </w:r>
      <w:proofErr w:type="spellEnd"/>
      <w:r w:rsidRPr="00B030A9">
        <w:rPr>
          <w:rFonts w:ascii="Arial" w:hAnsi="Arial" w:cs="Arial"/>
          <w:strike/>
          <w:highlight w:val="yellow"/>
        </w:rPr>
        <w:t>. ha</w:t>
      </w:r>
      <w:r w:rsidRPr="00B030A9">
        <w:rPr>
          <w:rFonts w:ascii="Cambria Math" w:hAnsi="Cambria Math" w:cs="Cambria Math"/>
          <w:strike/>
          <w:highlight w:val="yellow"/>
        </w:rPr>
        <w:t>⁻</w:t>
      </w:r>
      <w:r w:rsidRPr="00B030A9">
        <w:rPr>
          <w:rFonts w:ascii="Arial" w:hAnsi="Arial" w:cs="Arial"/>
          <w:strike/>
          <w:highlight w:val="yellow"/>
        </w:rPr>
        <w:t>¹ using a spray hood, T</w:t>
      </w:r>
      <w:r w:rsidRPr="00B030A9">
        <w:rPr>
          <w:rFonts w:ascii="Cambria Math" w:hAnsi="Cambria Math" w:cs="Cambria Math"/>
          <w:strike/>
          <w:highlight w:val="yellow"/>
        </w:rPr>
        <w:t>₄</w:t>
      </w:r>
      <w:r w:rsidRPr="00B030A9">
        <w:rPr>
          <w:rFonts w:ascii="Arial" w:hAnsi="Arial" w:cs="Arial"/>
          <w:strike/>
          <w:highlight w:val="yellow"/>
        </w:rPr>
        <w:t>: T</w:t>
      </w:r>
      <w:r w:rsidRPr="00B030A9">
        <w:rPr>
          <w:rFonts w:ascii="Cambria Math" w:hAnsi="Cambria Math" w:cs="Cambria Math"/>
          <w:strike/>
          <w:highlight w:val="yellow"/>
        </w:rPr>
        <w:t>₁</w:t>
      </w:r>
      <w:r w:rsidRPr="00B030A9">
        <w:rPr>
          <w:rFonts w:ascii="Arial" w:hAnsi="Arial" w:cs="Arial"/>
          <w:strike/>
          <w:highlight w:val="yellow"/>
        </w:rPr>
        <w:t xml:space="preserve"> fb PoE imazethapyr @ 60 g </w:t>
      </w:r>
      <w:proofErr w:type="spellStart"/>
      <w:r w:rsidRPr="00B030A9">
        <w:rPr>
          <w:rFonts w:ascii="Arial" w:hAnsi="Arial" w:cs="Arial"/>
          <w:strike/>
          <w:highlight w:val="yellow"/>
        </w:rPr>
        <w:t>a.i</w:t>
      </w:r>
      <w:proofErr w:type="spellEnd"/>
      <w:r w:rsidRPr="00B030A9">
        <w:rPr>
          <w:rFonts w:ascii="Arial" w:hAnsi="Arial" w:cs="Arial"/>
          <w:strike/>
          <w:highlight w:val="yellow"/>
        </w:rPr>
        <w:t>. ha</w:t>
      </w:r>
      <w:r w:rsidRPr="00B030A9">
        <w:rPr>
          <w:rFonts w:ascii="Cambria Math" w:hAnsi="Cambria Math" w:cs="Cambria Math"/>
          <w:strike/>
          <w:highlight w:val="yellow"/>
        </w:rPr>
        <w:t>⁻</w:t>
      </w:r>
      <w:r w:rsidRPr="00B030A9">
        <w:rPr>
          <w:rFonts w:ascii="Arial" w:hAnsi="Arial" w:cs="Arial"/>
          <w:strike/>
          <w:highlight w:val="yellow"/>
        </w:rPr>
        <w:t xml:space="preserve">¹ using an inter-row herbicide applicator (IRHA) developed at R.S.M. (P.G.) College, </w:t>
      </w:r>
      <w:proofErr w:type="spellStart"/>
      <w:r w:rsidRPr="00B030A9">
        <w:rPr>
          <w:rFonts w:ascii="Arial" w:hAnsi="Arial" w:cs="Arial"/>
          <w:strike/>
          <w:highlight w:val="yellow"/>
        </w:rPr>
        <w:t>Dhampur</w:t>
      </w:r>
      <w:proofErr w:type="spellEnd"/>
      <w:r w:rsidRPr="00B030A9">
        <w:rPr>
          <w:rFonts w:ascii="Arial" w:hAnsi="Arial" w:cs="Arial"/>
          <w:strike/>
          <w:highlight w:val="yellow"/>
        </w:rPr>
        <w:t>, T</w:t>
      </w:r>
      <w:r w:rsidRPr="00B030A9">
        <w:rPr>
          <w:rFonts w:ascii="Cambria Math" w:hAnsi="Cambria Math" w:cs="Cambria Math"/>
          <w:strike/>
          <w:highlight w:val="yellow"/>
        </w:rPr>
        <w:t>₅</w:t>
      </w:r>
      <w:r w:rsidRPr="00B030A9">
        <w:rPr>
          <w:rFonts w:ascii="Arial" w:hAnsi="Arial" w:cs="Arial"/>
          <w:strike/>
          <w:highlight w:val="yellow"/>
        </w:rPr>
        <w:t>: hand weeding at 15 and 30 DAS, T</w:t>
      </w:r>
      <w:r w:rsidRPr="00B030A9">
        <w:rPr>
          <w:rFonts w:ascii="Cambria Math" w:hAnsi="Cambria Math" w:cs="Cambria Math"/>
          <w:strike/>
          <w:highlight w:val="yellow"/>
        </w:rPr>
        <w:t>₆</w:t>
      </w:r>
      <w:r w:rsidRPr="00B030A9">
        <w:rPr>
          <w:rFonts w:ascii="Arial" w:hAnsi="Arial" w:cs="Arial"/>
          <w:strike/>
          <w:highlight w:val="yellow"/>
        </w:rPr>
        <w:t>: weed-free, and T</w:t>
      </w:r>
      <w:r w:rsidRPr="00B030A9">
        <w:rPr>
          <w:rFonts w:ascii="Cambria Math" w:hAnsi="Cambria Math" w:cs="Cambria Math"/>
          <w:strike/>
          <w:highlight w:val="yellow"/>
        </w:rPr>
        <w:t>₇</w:t>
      </w:r>
      <w:r w:rsidRPr="00B030A9">
        <w:rPr>
          <w:rFonts w:ascii="Arial" w:hAnsi="Arial" w:cs="Arial"/>
          <w:strike/>
          <w:highlight w:val="yellow"/>
        </w:rPr>
        <w:t>: weedy check (control).</w:t>
      </w:r>
      <w:proofErr w:type="gramEnd"/>
    </w:p>
    <w:p w14:paraId="3BA9AEEC" w14:textId="77777777" w:rsidR="00484160" w:rsidRPr="00B030A9" w:rsidRDefault="0032299D" w:rsidP="00DF2E7D">
      <w:pPr>
        <w:spacing w:after="120" w:line="360" w:lineRule="auto"/>
        <w:jc w:val="both"/>
        <w:rPr>
          <w:rFonts w:ascii="Arial" w:hAnsi="Arial" w:cs="Arial"/>
          <w:b/>
          <w:bCs/>
          <w:strike/>
        </w:rPr>
      </w:pPr>
      <w:r w:rsidRPr="00B030A9">
        <w:rPr>
          <w:rFonts w:ascii="Arial" w:hAnsi="Arial" w:cs="Arial"/>
          <w:b/>
          <w:bCs/>
          <w:strike/>
          <w:highlight w:val="yellow"/>
        </w:rPr>
        <w:t>The treatments were as follows:</w:t>
      </w:r>
    </w:p>
    <w:p w14:paraId="77A858D1" w14:textId="081DA549" w:rsidR="00CC53A1" w:rsidRDefault="00D6479D" w:rsidP="00DF2E7D">
      <w:pPr>
        <w:spacing w:after="120" w:line="360" w:lineRule="auto"/>
        <w:jc w:val="both"/>
        <w:rPr>
          <w:rFonts w:ascii="Arial" w:eastAsia="Arial Unicode MS" w:hAnsi="Arial" w:cs="Arial"/>
          <w:b/>
          <w:strike/>
        </w:rPr>
      </w:pPr>
      <w:r w:rsidRPr="00B030A9">
        <w:rPr>
          <w:rFonts w:ascii="Arial" w:hAnsi="Arial" w:cs="Arial"/>
          <w:b/>
          <w:strike/>
          <w:highlight w:val="yellow"/>
        </w:rPr>
        <w:t>List</w:t>
      </w:r>
      <w:r w:rsidR="00CC53A1" w:rsidRPr="00B030A9">
        <w:rPr>
          <w:rFonts w:ascii="Arial" w:hAnsi="Arial" w:cs="Arial"/>
          <w:b/>
          <w:strike/>
          <w:highlight w:val="yellow"/>
        </w:rPr>
        <w:t xml:space="preserve"> 1. </w:t>
      </w:r>
      <w:r w:rsidR="00CC53A1" w:rsidRPr="00B030A9">
        <w:rPr>
          <w:rFonts w:ascii="Arial" w:eastAsia="Arial Unicode MS" w:hAnsi="Arial" w:cs="Arial"/>
          <w:b/>
          <w:strike/>
          <w:highlight w:val="yellow"/>
        </w:rPr>
        <w:t>Details of treatments with their symbols</w:t>
      </w:r>
    </w:p>
    <w:p w14:paraId="745A92D2" w14:textId="6138F840" w:rsidR="00B030A9" w:rsidRPr="00B030A9" w:rsidRDefault="00B030A9" w:rsidP="002706E7">
      <w:pPr>
        <w:spacing w:after="0" w:line="240" w:lineRule="auto"/>
        <w:jc w:val="both"/>
        <w:rPr>
          <w:rFonts w:ascii="Arial" w:eastAsia="Arial Unicode MS" w:hAnsi="Arial" w:cs="Arial"/>
          <w:b/>
        </w:rPr>
      </w:pPr>
      <w:r w:rsidRPr="002706E7">
        <w:rPr>
          <w:rFonts w:ascii="Arial" w:eastAsia="Arial Unicode MS" w:hAnsi="Arial" w:cs="Arial"/>
          <w:b/>
          <w:highlight w:val="green"/>
        </w:rPr>
        <w:t xml:space="preserve">Table 1. </w:t>
      </w:r>
      <w:r w:rsidRPr="002706E7">
        <w:rPr>
          <w:rFonts w:ascii="Arial" w:eastAsia="Arial Unicode MS" w:hAnsi="Arial" w:cs="Arial"/>
          <w:highlight w:val="green"/>
        </w:rPr>
        <w:t>Treatments for control of weeds in chickpea (</w:t>
      </w:r>
      <w:proofErr w:type="spellStart"/>
      <w:r w:rsidRPr="002706E7">
        <w:rPr>
          <w:rFonts w:ascii="Arial" w:eastAsia="Arial Unicode MS" w:hAnsi="Arial" w:cs="Arial"/>
          <w:highlight w:val="green"/>
        </w:rPr>
        <w:t>Cic</w:t>
      </w:r>
      <w:r w:rsidR="002706E7" w:rsidRPr="002706E7">
        <w:rPr>
          <w:rFonts w:ascii="Arial" w:eastAsia="Arial Unicode MS" w:hAnsi="Arial" w:cs="Arial"/>
          <w:highlight w:val="green"/>
        </w:rPr>
        <w:t>e</w:t>
      </w:r>
      <w:r w:rsidRPr="002706E7">
        <w:rPr>
          <w:rFonts w:ascii="Arial" w:eastAsia="Arial Unicode MS" w:hAnsi="Arial" w:cs="Arial"/>
          <w:highlight w:val="green"/>
        </w:rPr>
        <w:t>r</w:t>
      </w:r>
      <w:proofErr w:type="spellEnd"/>
      <w:r w:rsidRPr="002706E7">
        <w:rPr>
          <w:rFonts w:ascii="Arial" w:eastAsia="Arial Unicode MS" w:hAnsi="Arial" w:cs="Arial"/>
          <w:highlight w:val="green"/>
        </w:rPr>
        <w:t xml:space="preserve"> arietinum) variety </w:t>
      </w:r>
      <w:proofErr w:type="spellStart"/>
      <w:r w:rsidRPr="002706E7">
        <w:rPr>
          <w:rFonts w:ascii="Arial" w:eastAsia="Arial Unicode MS" w:hAnsi="Arial" w:cs="Arial"/>
          <w:highlight w:val="green"/>
        </w:rPr>
        <w:t>Phule</w:t>
      </w:r>
      <w:proofErr w:type="spellEnd"/>
      <w:r w:rsidRPr="002706E7">
        <w:rPr>
          <w:rFonts w:ascii="Arial" w:eastAsia="Arial Unicode MS" w:hAnsi="Arial" w:cs="Arial"/>
          <w:highlight w:val="green"/>
        </w:rPr>
        <w:t xml:space="preserve"> </w:t>
      </w:r>
      <w:proofErr w:type="spellStart"/>
      <w:r w:rsidRPr="002706E7">
        <w:rPr>
          <w:rFonts w:ascii="Arial" w:eastAsia="Arial Unicode MS" w:hAnsi="Arial" w:cs="Arial"/>
          <w:highlight w:val="green"/>
        </w:rPr>
        <w:t>Vikram</w:t>
      </w:r>
      <w:proofErr w:type="spellEnd"/>
      <w:r w:rsidRPr="002706E7">
        <w:rPr>
          <w:rFonts w:ascii="Arial" w:eastAsia="Arial Unicode MS" w:hAnsi="Arial" w:cs="Arial"/>
          <w:highlight w:val="green"/>
        </w:rPr>
        <w:t xml:space="preserve"> at </w:t>
      </w:r>
      <w:r w:rsidR="002706E7" w:rsidRPr="002706E7">
        <w:rPr>
          <w:rFonts w:ascii="Arial" w:hAnsi="Arial" w:cs="Arial"/>
          <w:highlight w:val="green"/>
        </w:rPr>
        <w:t xml:space="preserve">the Agronomy Farm, R.S.M. (P.G.) College, </w:t>
      </w:r>
      <w:proofErr w:type="spellStart"/>
      <w:r w:rsidR="002706E7" w:rsidRPr="002706E7">
        <w:rPr>
          <w:rFonts w:ascii="Arial" w:hAnsi="Arial" w:cs="Arial"/>
          <w:highlight w:val="green"/>
        </w:rPr>
        <w:t>Dhampur</w:t>
      </w:r>
      <w:proofErr w:type="spellEnd"/>
      <w:r w:rsidR="002706E7" w:rsidRPr="002706E7">
        <w:rPr>
          <w:rFonts w:ascii="Arial" w:hAnsi="Arial" w:cs="Arial"/>
          <w:highlight w:val="green"/>
        </w:rPr>
        <w:t xml:space="preserve"> (</w:t>
      </w:r>
      <w:proofErr w:type="spellStart"/>
      <w:r w:rsidR="002706E7" w:rsidRPr="002706E7">
        <w:rPr>
          <w:rFonts w:ascii="Arial" w:hAnsi="Arial" w:cs="Arial"/>
          <w:highlight w:val="green"/>
        </w:rPr>
        <w:t>Bijnor</w:t>
      </w:r>
      <w:proofErr w:type="spellEnd"/>
      <w:r w:rsidR="002706E7" w:rsidRPr="002706E7">
        <w:rPr>
          <w:rFonts w:ascii="Arial" w:hAnsi="Arial" w:cs="Arial"/>
          <w:highlight w:val="green"/>
        </w:rPr>
        <w:t>)</w:t>
      </w:r>
      <w:r w:rsidR="002706E7" w:rsidRPr="002706E7">
        <w:rPr>
          <w:rFonts w:ascii="Arial" w:hAnsi="Arial" w:cs="Arial"/>
          <w:highlight w:val="green"/>
        </w:rPr>
        <w:t>,</w:t>
      </w:r>
      <w:r w:rsidRPr="002706E7">
        <w:rPr>
          <w:rFonts w:ascii="Arial" w:eastAsia="Arial Unicode MS" w:hAnsi="Arial" w:cs="Arial"/>
          <w:highlight w:val="green"/>
        </w:rPr>
        <w:t xml:space="preserve"> during the </w:t>
      </w:r>
      <w:proofErr w:type="spellStart"/>
      <w:proofErr w:type="gramStart"/>
      <w:r w:rsidR="002706E7" w:rsidRPr="002706E7">
        <w:rPr>
          <w:rFonts w:ascii="Arial" w:eastAsia="Arial Unicode MS" w:hAnsi="Arial" w:cs="Arial"/>
          <w:highlight w:val="green"/>
        </w:rPr>
        <w:t>rabi</w:t>
      </w:r>
      <w:proofErr w:type="spellEnd"/>
      <w:proofErr w:type="gramEnd"/>
      <w:r w:rsidR="002706E7" w:rsidRPr="002706E7">
        <w:rPr>
          <w:rFonts w:ascii="Arial" w:eastAsia="Arial Unicode MS" w:hAnsi="Arial" w:cs="Arial"/>
          <w:highlight w:val="green"/>
        </w:rPr>
        <w:t xml:space="preserve"> </w:t>
      </w:r>
      <w:r w:rsidRPr="002706E7">
        <w:rPr>
          <w:rFonts w:ascii="Arial" w:eastAsia="Arial Unicode MS" w:hAnsi="Arial" w:cs="Arial"/>
          <w:highlight w:val="green"/>
        </w:rPr>
        <w:t xml:space="preserve">season </w:t>
      </w:r>
      <w:r w:rsidR="002706E7" w:rsidRPr="002706E7">
        <w:rPr>
          <w:rFonts w:ascii="Arial" w:eastAsia="Arial Unicode MS" w:hAnsi="Arial" w:cs="Arial"/>
          <w:highlight w:val="green"/>
        </w:rPr>
        <w:t>2024-25.</w:t>
      </w:r>
    </w:p>
    <w:tbl>
      <w:tblPr>
        <w:tblW w:w="9090" w:type="dxa"/>
        <w:tblInd w:w="630" w:type="dxa"/>
        <w:tblLayout w:type="fixed"/>
        <w:tblLook w:val="04A0" w:firstRow="1" w:lastRow="0" w:firstColumn="1" w:lastColumn="0" w:noHBand="0" w:noVBand="1"/>
      </w:tblPr>
      <w:tblGrid>
        <w:gridCol w:w="1116"/>
        <w:gridCol w:w="5954"/>
        <w:gridCol w:w="2020"/>
      </w:tblGrid>
      <w:tr w:rsidR="00CC53A1" w:rsidRPr="00015C63" w14:paraId="1B094964" w14:textId="77777777" w:rsidTr="00DB4F2A">
        <w:trPr>
          <w:trHeight w:val="360"/>
        </w:trPr>
        <w:tc>
          <w:tcPr>
            <w:tcW w:w="1116" w:type="dxa"/>
            <w:tcBorders>
              <w:top w:val="single" w:sz="8" w:space="0" w:color="auto"/>
              <w:bottom w:val="single" w:sz="8" w:space="0" w:color="auto"/>
            </w:tcBorders>
            <w:noWrap/>
            <w:vAlign w:val="center"/>
            <w:hideMark/>
          </w:tcPr>
          <w:p w14:paraId="106435E7" w14:textId="3FA89EF5" w:rsidR="00CC53A1" w:rsidRPr="00015C63" w:rsidRDefault="00CC53A1" w:rsidP="00DF2E7D">
            <w:pPr>
              <w:spacing w:after="0" w:line="276" w:lineRule="auto"/>
              <w:jc w:val="both"/>
              <w:rPr>
                <w:rFonts w:ascii="Arial" w:hAnsi="Arial" w:cs="Arial"/>
                <w:b/>
                <w:bCs/>
                <w:lang w:eastAsia="en-IN"/>
              </w:rPr>
            </w:pPr>
          </w:p>
        </w:tc>
        <w:tc>
          <w:tcPr>
            <w:tcW w:w="5954" w:type="dxa"/>
            <w:tcBorders>
              <w:top w:val="single" w:sz="8" w:space="0" w:color="auto"/>
              <w:bottom w:val="single" w:sz="8" w:space="0" w:color="auto"/>
            </w:tcBorders>
            <w:vAlign w:val="center"/>
          </w:tcPr>
          <w:p w14:paraId="6F7488A7" w14:textId="3383124D" w:rsidR="00CC53A1" w:rsidRPr="00015C63" w:rsidRDefault="00CC53A1" w:rsidP="00DF2E7D">
            <w:pPr>
              <w:spacing w:after="0" w:line="276" w:lineRule="auto"/>
              <w:jc w:val="both"/>
              <w:rPr>
                <w:rFonts w:ascii="Arial" w:hAnsi="Arial" w:cs="Arial"/>
                <w:b/>
                <w:bCs/>
                <w:lang w:eastAsia="en-IN"/>
              </w:rPr>
            </w:pPr>
            <w:r w:rsidRPr="00015C63">
              <w:rPr>
                <w:rFonts w:ascii="Arial" w:hAnsi="Arial" w:cs="Arial"/>
                <w:b/>
                <w:bCs/>
                <w:lang w:eastAsia="en-IN"/>
              </w:rPr>
              <w:t>Treatment</w:t>
            </w:r>
            <w:r w:rsidR="002706E7">
              <w:rPr>
                <w:rFonts w:ascii="Arial" w:hAnsi="Arial" w:cs="Arial"/>
                <w:b/>
                <w:bCs/>
                <w:lang w:eastAsia="en-IN"/>
              </w:rPr>
              <w:t>s</w:t>
            </w:r>
          </w:p>
        </w:tc>
        <w:tc>
          <w:tcPr>
            <w:tcW w:w="2020" w:type="dxa"/>
            <w:tcBorders>
              <w:top w:val="single" w:sz="8" w:space="0" w:color="auto"/>
              <w:bottom w:val="single" w:sz="8" w:space="0" w:color="auto"/>
            </w:tcBorders>
            <w:vAlign w:val="center"/>
          </w:tcPr>
          <w:p w14:paraId="64AB4F2C" w14:textId="77777777" w:rsidR="00CC53A1" w:rsidRPr="002706E7" w:rsidRDefault="009C092D" w:rsidP="00DB4F2A">
            <w:pPr>
              <w:spacing w:after="0" w:line="276" w:lineRule="auto"/>
              <w:jc w:val="center"/>
              <w:rPr>
                <w:rFonts w:ascii="Arial" w:hAnsi="Arial" w:cs="Arial"/>
                <w:b/>
                <w:bCs/>
                <w:strike/>
                <w:highlight w:val="yellow"/>
                <w:lang w:eastAsia="en-IN"/>
              </w:rPr>
            </w:pPr>
            <w:r w:rsidRPr="002706E7">
              <w:rPr>
                <w:rFonts w:ascii="Arial" w:eastAsia="Arial Unicode MS" w:hAnsi="Arial" w:cs="Arial"/>
                <w:b/>
                <w:bCs/>
                <w:strike/>
                <w:highlight w:val="yellow"/>
              </w:rPr>
              <w:t>Symbol</w:t>
            </w:r>
          </w:p>
        </w:tc>
      </w:tr>
      <w:tr w:rsidR="00CC53A1" w:rsidRPr="00015C63" w14:paraId="4F16D007" w14:textId="77777777" w:rsidTr="00DB4F2A">
        <w:trPr>
          <w:trHeight w:val="360"/>
        </w:trPr>
        <w:tc>
          <w:tcPr>
            <w:tcW w:w="1116" w:type="dxa"/>
            <w:tcBorders>
              <w:top w:val="single" w:sz="8" w:space="0" w:color="auto"/>
            </w:tcBorders>
            <w:noWrap/>
            <w:vAlign w:val="center"/>
            <w:hideMark/>
          </w:tcPr>
          <w:p w14:paraId="4E514536"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1.</w:t>
            </w:r>
          </w:p>
        </w:tc>
        <w:tc>
          <w:tcPr>
            <w:tcW w:w="5954" w:type="dxa"/>
            <w:tcBorders>
              <w:top w:val="single" w:sz="8" w:space="0" w:color="auto"/>
            </w:tcBorders>
            <w:noWrap/>
            <w:vAlign w:val="center"/>
            <w:hideMark/>
          </w:tcPr>
          <w:p w14:paraId="1ED91830"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 xml:space="preserve">PE application of Pendimethalin @ 1 kg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2020" w:type="dxa"/>
            <w:tcBorders>
              <w:top w:val="single" w:sz="8" w:space="0" w:color="auto"/>
            </w:tcBorders>
            <w:vAlign w:val="center"/>
          </w:tcPr>
          <w:p w14:paraId="0981AEAD"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1</w:t>
            </w:r>
          </w:p>
        </w:tc>
      </w:tr>
      <w:tr w:rsidR="00CC53A1" w:rsidRPr="00015C63" w14:paraId="714E0276" w14:textId="77777777" w:rsidTr="00DB4F2A">
        <w:trPr>
          <w:trHeight w:val="360"/>
        </w:trPr>
        <w:tc>
          <w:tcPr>
            <w:tcW w:w="1116" w:type="dxa"/>
            <w:noWrap/>
            <w:vAlign w:val="center"/>
            <w:hideMark/>
          </w:tcPr>
          <w:p w14:paraId="39378AB0"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2.</w:t>
            </w:r>
          </w:p>
        </w:tc>
        <w:tc>
          <w:tcPr>
            <w:tcW w:w="5954" w:type="dxa"/>
            <w:noWrap/>
            <w:vAlign w:val="center"/>
            <w:hideMark/>
          </w:tcPr>
          <w:p w14:paraId="22D05C3A"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w:t>
            </w:r>
            <w:bookmarkStart w:id="0" w:name="_Hlk207107292"/>
            <w:r w:rsidRPr="00015C63">
              <w:rPr>
                <w:rFonts w:ascii="Arial" w:eastAsia="Times New Roman" w:hAnsi="Arial" w:cs="Arial"/>
                <w:lang w:eastAsia="en-IN"/>
              </w:rPr>
              <w:t xml:space="preserve">Imazethapyr </w:t>
            </w:r>
            <w:bookmarkEnd w:id="0"/>
            <w:r w:rsidRPr="00015C63">
              <w:rPr>
                <w:rFonts w:ascii="Arial" w:eastAsia="Times New Roman" w:hAnsi="Arial" w:cs="Arial"/>
                <w:lang w:eastAsia="en-IN"/>
              </w:rPr>
              <w:t xml:space="preserve">@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2020" w:type="dxa"/>
            <w:vAlign w:val="center"/>
          </w:tcPr>
          <w:p w14:paraId="2E6EF231"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2</w:t>
            </w:r>
          </w:p>
        </w:tc>
      </w:tr>
      <w:tr w:rsidR="00CC53A1" w:rsidRPr="00015C63" w14:paraId="5E2A0363" w14:textId="77777777" w:rsidTr="00DB4F2A">
        <w:trPr>
          <w:trHeight w:val="375"/>
        </w:trPr>
        <w:tc>
          <w:tcPr>
            <w:tcW w:w="1116" w:type="dxa"/>
            <w:noWrap/>
            <w:vAlign w:val="center"/>
            <w:hideMark/>
          </w:tcPr>
          <w:p w14:paraId="58C15FB4"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3.</w:t>
            </w:r>
          </w:p>
        </w:tc>
        <w:tc>
          <w:tcPr>
            <w:tcW w:w="5954" w:type="dxa"/>
            <w:noWrap/>
            <w:vAlign w:val="center"/>
            <w:hideMark/>
          </w:tcPr>
          <w:p w14:paraId="0D815988"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¹ using spray hood</w:t>
            </w:r>
          </w:p>
        </w:tc>
        <w:tc>
          <w:tcPr>
            <w:tcW w:w="2020" w:type="dxa"/>
            <w:vAlign w:val="center"/>
          </w:tcPr>
          <w:p w14:paraId="3654616A"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3</w:t>
            </w:r>
          </w:p>
        </w:tc>
      </w:tr>
      <w:tr w:rsidR="00CC53A1" w:rsidRPr="00015C63" w14:paraId="0BBC6ACF" w14:textId="77777777" w:rsidTr="00DB4F2A">
        <w:trPr>
          <w:trHeight w:val="375"/>
        </w:trPr>
        <w:tc>
          <w:tcPr>
            <w:tcW w:w="1116" w:type="dxa"/>
            <w:noWrap/>
            <w:vAlign w:val="center"/>
            <w:hideMark/>
          </w:tcPr>
          <w:p w14:paraId="0CD0CBAD"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4.</w:t>
            </w:r>
          </w:p>
        </w:tc>
        <w:tc>
          <w:tcPr>
            <w:tcW w:w="5954" w:type="dxa"/>
            <w:noWrap/>
            <w:vAlign w:val="center"/>
            <w:hideMark/>
          </w:tcPr>
          <w:p w14:paraId="4122761A"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applicator (IRHA) developed at R.S.M (P.G.) College, </w:t>
            </w:r>
            <w:proofErr w:type="spellStart"/>
            <w:r w:rsidRPr="00015C63">
              <w:rPr>
                <w:rFonts w:ascii="Arial" w:eastAsia="Times New Roman" w:hAnsi="Arial" w:cs="Arial"/>
                <w:lang w:eastAsia="en-IN"/>
              </w:rPr>
              <w:t>Dhampur</w:t>
            </w:r>
            <w:proofErr w:type="spellEnd"/>
          </w:p>
        </w:tc>
        <w:tc>
          <w:tcPr>
            <w:tcW w:w="2020" w:type="dxa"/>
            <w:vAlign w:val="center"/>
          </w:tcPr>
          <w:p w14:paraId="62199D82"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4</w:t>
            </w:r>
          </w:p>
        </w:tc>
      </w:tr>
      <w:tr w:rsidR="00CC53A1" w:rsidRPr="00015C63" w14:paraId="4864F64E" w14:textId="77777777" w:rsidTr="00DB4F2A">
        <w:trPr>
          <w:trHeight w:val="375"/>
        </w:trPr>
        <w:tc>
          <w:tcPr>
            <w:tcW w:w="1116" w:type="dxa"/>
            <w:noWrap/>
            <w:vAlign w:val="center"/>
            <w:hideMark/>
          </w:tcPr>
          <w:p w14:paraId="565A2DDC"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lastRenderedPageBreak/>
              <w:t>5.</w:t>
            </w:r>
          </w:p>
        </w:tc>
        <w:tc>
          <w:tcPr>
            <w:tcW w:w="5954" w:type="dxa"/>
            <w:noWrap/>
            <w:vAlign w:val="center"/>
            <w:hideMark/>
          </w:tcPr>
          <w:p w14:paraId="5C9E46A2"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Hand weeding @ 15 and 30 DAS</w:t>
            </w:r>
          </w:p>
        </w:tc>
        <w:tc>
          <w:tcPr>
            <w:tcW w:w="2020" w:type="dxa"/>
            <w:vAlign w:val="center"/>
          </w:tcPr>
          <w:p w14:paraId="3F089C67"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5</w:t>
            </w:r>
          </w:p>
        </w:tc>
      </w:tr>
      <w:tr w:rsidR="00CC53A1" w:rsidRPr="00015C63" w14:paraId="2F79DEBF" w14:textId="77777777" w:rsidTr="00DB4F2A">
        <w:trPr>
          <w:trHeight w:val="375"/>
        </w:trPr>
        <w:tc>
          <w:tcPr>
            <w:tcW w:w="1116" w:type="dxa"/>
            <w:noWrap/>
            <w:vAlign w:val="center"/>
            <w:hideMark/>
          </w:tcPr>
          <w:p w14:paraId="6449F4D6"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6.</w:t>
            </w:r>
          </w:p>
        </w:tc>
        <w:tc>
          <w:tcPr>
            <w:tcW w:w="5954" w:type="dxa"/>
            <w:noWrap/>
            <w:vAlign w:val="center"/>
            <w:hideMark/>
          </w:tcPr>
          <w:p w14:paraId="0442A22B"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Weed free</w:t>
            </w:r>
          </w:p>
        </w:tc>
        <w:tc>
          <w:tcPr>
            <w:tcW w:w="2020" w:type="dxa"/>
            <w:vAlign w:val="center"/>
          </w:tcPr>
          <w:p w14:paraId="0B53F8BB"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6</w:t>
            </w:r>
          </w:p>
        </w:tc>
      </w:tr>
      <w:tr w:rsidR="00CC53A1" w:rsidRPr="00015C63" w14:paraId="3B8223F9" w14:textId="77777777" w:rsidTr="00DB4F2A">
        <w:trPr>
          <w:trHeight w:val="375"/>
        </w:trPr>
        <w:tc>
          <w:tcPr>
            <w:tcW w:w="1116" w:type="dxa"/>
            <w:tcBorders>
              <w:bottom w:val="single" w:sz="8" w:space="0" w:color="auto"/>
            </w:tcBorders>
            <w:noWrap/>
            <w:vAlign w:val="center"/>
            <w:hideMark/>
          </w:tcPr>
          <w:p w14:paraId="716323CB"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7.</w:t>
            </w:r>
          </w:p>
        </w:tc>
        <w:tc>
          <w:tcPr>
            <w:tcW w:w="5954" w:type="dxa"/>
            <w:tcBorders>
              <w:bottom w:val="single" w:sz="8" w:space="0" w:color="auto"/>
            </w:tcBorders>
            <w:noWrap/>
            <w:vAlign w:val="center"/>
            <w:hideMark/>
          </w:tcPr>
          <w:p w14:paraId="03611DDB"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Weedy check (control)</w:t>
            </w:r>
          </w:p>
        </w:tc>
        <w:tc>
          <w:tcPr>
            <w:tcW w:w="2020" w:type="dxa"/>
            <w:tcBorders>
              <w:bottom w:val="single" w:sz="8" w:space="0" w:color="auto"/>
            </w:tcBorders>
            <w:vAlign w:val="center"/>
          </w:tcPr>
          <w:p w14:paraId="3FC31ED2" w14:textId="77777777" w:rsidR="00CC53A1" w:rsidRPr="002706E7" w:rsidRDefault="00CC53A1" w:rsidP="00D81640">
            <w:pPr>
              <w:spacing w:after="0" w:line="276" w:lineRule="auto"/>
              <w:jc w:val="center"/>
              <w:rPr>
                <w:rFonts w:ascii="Arial" w:hAnsi="Arial" w:cs="Arial"/>
                <w:b/>
                <w:bCs/>
                <w:strike/>
                <w:highlight w:val="yellow"/>
                <w:lang w:eastAsia="en-IN"/>
              </w:rPr>
            </w:pPr>
            <w:r w:rsidRPr="002706E7">
              <w:rPr>
                <w:rFonts w:ascii="Arial" w:hAnsi="Arial" w:cs="Arial"/>
                <w:b/>
                <w:bCs/>
                <w:strike/>
                <w:highlight w:val="yellow"/>
                <w:lang w:eastAsia="en-IN"/>
              </w:rPr>
              <w:t>T</w:t>
            </w:r>
            <w:r w:rsidRPr="002706E7">
              <w:rPr>
                <w:rFonts w:ascii="Arial" w:hAnsi="Arial" w:cs="Arial"/>
                <w:b/>
                <w:bCs/>
                <w:strike/>
                <w:highlight w:val="yellow"/>
                <w:vertAlign w:val="subscript"/>
                <w:lang w:eastAsia="en-IN"/>
              </w:rPr>
              <w:t>7</w:t>
            </w:r>
          </w:p>
        </w:tc>
      </w:tr>
      <w:tr w:rsidR="00CC53A1" w:rsidRPr="00015C63" w14:paraId="5824B732" w14:textId="77777777" w:rsidTr="00DB4F2A">
        <w:trPr>
          <w:trHeight w:val="375"/>
        </w:trPr>
        <w:tc>
          <w:tcPr>
            <w:tcW w:w="9090" w:type="dxa"/>
            <w:gridSpan w:val="3"/>
            <w:tcBorders>
              <w:top w:val="single" w:sz="8" w:space="0" w:color="auto"/>
            </w:tcBorders>
            <w:noWrap/>
            <w:vAlign w:val="center"/>
          </w:tcPr>
          <w:p w14:paraId="0AAADE74" w14:textId="77777777" w:rsidR="00CC53A1" w:rsidRPr="00015C63" w:rsidRDefault="00CC53A1" w:rsidP="00D81640">
            <w:pPr>
              <w:spacing w:after="0" w:line="276" w:lineRule="auto"/>
              <w:rPr>
                <w:rFonts w:ascii="Arial" w:hAnsi="Arial" w:cs="Arial"/>
                <w:b/>
                <w:bCs/>
                <w:sz w:val="20"/>
                <w:szCs w:val="20"/>
                <w:lang w:eastAsia="en-IN"/>
              </w:rPr>
            </w:pPr>
            <w:r w:rsidRPr="00015C63">
              <w:rPr>
                <w:rFonts w:ascii="Arial" w:hAnsi="Arial" w:cs="Arial"/>
                <w:sz w:val="20"/>
                <w:szCs w:val="20"/>
              </w:rPr>
              <w:t xml:space="preserve">Note: 1) PE = Pre – emergence; 2) </w:t>
            </w:r>
            <w:proofErr w:type="spellStart"/>
            <w:r w:rsidRPr="00015C63">
              <w:rPr>
                <w:rFonts w:ascii="Arial" w:hAnsi="Arial" w:cs="Arial"/>
                <w:sz w:val="20"/>
                <w:szCs w:val="20"/>
              </w:rPr>
              <w:t>a.i</w:t>
            </w:r>
            <w:proofErr w:type="spellEnd"/>
            <w:r w:rsidRPr="00015C63">
              <w:rPr>
                <w:rFonts w:ascii="Arial" w:hAnsi="Arial" w:cs="Arial"/>
                <w:sz w:val="20"/>
                <w:szCs w:val="20"/>
              </w:rPr>
              <w:t>. = Active ingredient 3) PoE = Post emergence; 4)</w:t>
            </w:r>
            <w:r w:rsidRPr="00015C63">
              <w:rPr>
                <w:rFonts w:ascii="Arial" w:hAnsi="Arial" w:cs="Arial"/>
                <w:i/>
                <w:iCs/>
                <w:sz w:val="20"/>
                <w:szCs w:val="20"/>
              </w:rPr>
              <w:t xml:space="preserve"> fb </w:t>
            </w:r>
            <w:r w:rsidRPr="00015C63">
              <w:rPr>
                <w:rFonts w:ascii="Arial" w:hAnsi="Arial" w:cs="Arial"/>
                <w:sz w:val="20"/>
                <w:szCs w:val="20"/>
              </w:rPr>
              <w:t>= Followed by; 5) DAS = Days after sowing,</w:t>
            </w:r>
            <w:r w:rsidRPr="00015C63">
              <w:rPr>
                <w:rFonts w:ascii="Arial" w:eastAsia="Arial Unicode MS" w:hAnsi="Arial" w:cs="Arial"/>
                <w:sz w:val="20"/>
                <w:szCs w:val="20"/>
              </w:rPr>
              <w:t xml:space="preserve"> 6) IRHA = </w:t>
            </w:r>
            <w:r w:rsidRPr="00015C63">
              <w:rPr>
                <w:rFonts w:ascii="Arial" w:hAnsi="Arial" w:cs="Arial"/>
                <w:sz w:val="20"/>
                <w:szCs w:val="20"/>
                <w:lang w:eastAsia="en-IN"/>
              </w:rPr>
              <w:t>I</w:t>
            </w:r>
            <w:r w:rsidRPr="00015C63">
              <w:rPr>
                <w:rFonts w:ascii="Arial" w:eastAsia="Times New Roman" w:hAnsi="Arial" w:cs="Arial"/>
                <w:sz w:val="20"/>
                <w:szCs w:val="20"/>
                <w:lang w:eastAsia="en-IN"/>
              </w:rPr>
              <w:t>nter row herbicide applicator</w:t>
            </w:r>
            <w:r w:rsidRPr="00015C63">
              <w:rPr>
                <w:rFonts w:ascii="Arial" w:hAnsi="Arial" w:cs="Arial"/>
                <w:sz w:val="20"/>
                <w:szCs w:val="20"/>
                <w:lang w:eastAsia="en-IN"/>
              </w:rPr>
              <w:t>.</w:t>
            </w:r>
          </w:p>
        </w:tc>
      </w:tr>
    </w:tbl>
    <w:p w14:paraId="1394D5B4" w14:textId="77777777" w:rsidR="0032299D" w:rsidRPr="00015C63" w:rsidRDefault="0032299D" w:rsidP="00DF2E7D">
      <w:pPr>
        <w:jc w:val="both"/>
        <w:rPr>
          <w:rFonts w:ascii="Arial" w:hAnsi="Arial" w:cs="Arial"/>
        </w:rPr>
      </w:pPr>
    </w:p>
    <w:p w14:paraId="4FD71A61" w14:textId="77777777" w:rsidR="0032299D" w:rsidRPr="00015C63" w:rsidRDefault="0032299D" w:rsidP="006211E6">
      <w:pPr>
        <w:pStyle w:val="Ttulo2"/>
        <w:spacing w:line="360" w:lineRule="auto"/>
        <w:ind w:left="450"/>
        <w:jc w:val="both"/>
        <w:rPr>
          <w:rFonts w:ascii="Arial" w:hAnsi="Arial" w:cs="Arial"/>
          <w:b/>
          <w:bCs/>
          <w:sz w:val="24"/>
          <w:szCs w:val="24"/>
        </w:rPr>
      </w:pPr>
      <w:r w:rsidRPr="00015C63">
        <w:rPr>
          <w:rFonts w:ascii="Arial" w:hAnsi="Arial" w:cs="Arial"/>
          <w:b/>
          <w:bCs/>
          <w:sz w:val="24"/>
          <w:szCs w:val="24"/>
        </w:rPr>
        <w:t>Crop Management</w:t>
      </w:r>
    </w:p>
    <w:p w14:paraId="0A1BD9BA" w14:textId="4C8B25EE" w:rsidR="0032299D" w:rsidRPr="00015C63" w:rsidRDefault="0032299D" w:rsidP="006211E6">
      <w:pPr>
        <w:pStyle w:val="NormalWeb"/>
        <w:spacing w:line="360" w:lineRule="auto"/>
        <w:ind w:left="450" w:firstLine="360"/>
        <w:jc w:val="both"/>
        <w:rPr>
          <w:rFonts w:ascii="Arial" w:hAnsi="Arial" w:cs="Arial"/>
        </w:rPr>
      </w:pPr>
      <w:r w:rsidRPr="00015C63">
        <w:rPr>
          <w:rFonts w:ascii="Arial" w:hAnsi="Arial" w:cs="Arial"/>
        </w:rPr>
        <w:t>The field was prepared by ploughing twice with a tractor-drawn mould board plough followed by harrowing</w:t>
      </w:r>
      <w:r w:rsidR="00DD6682" w:rsidRPr="00015C63">
        <w:rPr>
          <w:rFonts w:ascii="Arial" w:hAnsi="Arial" w:cs="Arial"/>
        </w:rPr>
        <w:t xml:space="preserve"> and </w:t>
      </w:r>
      <w:proofErr w:type="spellStart"/>
      <w:r w:rsidR="00DD6682" w:rsidRPr="00015C63">
        <w:rPr>
          <w:rFonts w:ascii="Arial" w:hAnsi="Arial" w:cs="Arial"/>
        </w:rPr>
        <w:t>leveling</w:t>
      </w:r>
      <w:proofErr w:type="spellEnd"/>
      <w:r w:rsidR="00DD6682" w:rsidRPr="00015C63">
        <w:rPr>
          <w:rFonts w:ascii="Arial" w:hAnsi="Arial" w:cs="Arial"/>
        </w:rPr>
        <w:t xml:space="preserve">. The crop was </w:t>
      </w:r>
      <w:r w:rsidR="00DD6682" w:rsidRPr="002706E7">
        <w:rPr>
          <w:rFonts w:ascii="Arial" w:hAnsi="Arial" w:cs="Arial"/>
          <w:highlight w:val="green"/>
        </w:rPr>
        <w:t>sown</w:t>
      </w:r>
      <w:r w:rsidRPr="00015C63">
        <w:rPr>
          <w:rFonts w:ascii="Arial" w:hAnsi="Arial" w:cs="Arial"/>
        </w:rPr>
        <w:t xml:space="preserve"> on </w:t>
      </w:r>
      <w:r w:rsidR="00666D1E" w:rsidRPr="00015C63">
        <w:rPr>
          <w:rFonts w:ascii="Arial" w:hAnsi="Arial" w:cs="Arial"/>
        </w:rPr>
        <w:t xml:space="preserve">5 </w:t>
      </w:r>
      <w:r w:rsidR="009C092D" w:rsidRPr="00015C63">
        <w:rPr>
          <w:rFonts w:ascii="Arial" w:hAnsi="Arial" w:cs="Arial"/>
        </w:rPr>
        <w:t>December</w:t>
      </w:r>
      <w:r w:rsidR="004232FD" w:rsidRPr="00015C63">
        <w:rPr>
          <w:rFonts w:ascii="Arial" w:hAnsi="Arial" w:cs="Arial"/>
        </w:rPr>
        <w:t xml:space="preserve"> </w:t>
      </w:r>
      <w:r w:rsidRPr="00015C63">
        <w:rPr>
          <w:rFonts w:ascii="Arial" w:hAnsi="Arial" w:cs="Arial"/>
        </w:rPr>
        <w:t>by line sowing at a spacing of</w:t>
      </w:r>
      <w:r w:rsidR="00405A57" w:rsidRPr="00015C63">
        <w:rPr>
          <w:rFonts w:ascii="Arial" w:hAnsi="Arial" w:cs="Arial"/>
        </w:rPr>
        <w:t xml:space="preserve"> </w:t>
      </w:r>
      <w:r w:rsidR="00666D1E" w:rsidRPr="00015C63">
        <w:rPr>
          <w:rFonts w:ascii="Arial" w:hAnsi="Arial" w:cs="Arial"/>
        </w:rPr>
        <w:t>30</w:t>
      </w:r>
      <w:r w:rsidRPr="00015C63">
        <w:rPr>
          <w:rFonts w:ascii="Arial" w:hAnsi="Arial" w:cs="Arial"/>
        </w:rPr>
        <w:t xml:space="preserve"> × </w:t>
      </w:r>
      <w:r w:rsidR="00666D1E" w:rsidRPr="00015C63">
        <w:rPr>
          <w:rFonts w:ascii="Arial" w:hAnsi="Arial" w:cs="Arial"/>
        </w:rPr>
        <w:t>10</w:t>
      </w:r>
      <w:r w:rsidRPr="00015C63">
        <w:rPr>
          <w:rFonts w:ascii="Arial" w:hAnsi="Arial" w:cs="Arial"/>
        </w:rPr>
        <w:t>cm, using a</w:t>
      </w:r>
      <w:r w:rsidR="004232FD" w:rsidRPr="00015C63">
        <w:rPr>
          <w:rFonts w:ascii="Arial" w:hAnsi="Arial" w:cs="Arial"/>
        </w:rPr>
        <w:t xml:space="preserve"> seed rate of </w:t>
      </w:r>
      <w:r w:rsidR="00666D1E" w:rsidRPr="00015C63">
        <w:rPr>
          <w:rFonts w:ascii="Arial" w:hAnsi="Arial" w:cs="Arial"/>
        </w:rPr>
        <w:t>70</w:t>
      </w:r>
      <w:r w:rsidRPr="00015C63">
        <w:rPr>
          <w:rFonts w:ascii="Arial" w:hAnsi="Arial" w:cs="Arial"/>
        </w:rPr>
        <w:t xml:space="preserve"> kg/ha. Seeds were treated with culture and a fungicide (e.g., carbendazim @ </w:t>
      </w:r>
      <w:r w:rsidR="004232FD" w:rsidRPr="00015C63">
        <w:rPr>
          <w:rFonts w:ascii="Arial" w:hAnsi="Arial" w:cs="Arial"/>
        </w:rPr>
        <w:t>2</w:t>
      </w:r>
      <w:r w:rsidRPr="00015C63">
        <w:rPr>
          <w:rFonts w:ascii="Arial" w:hAnsi="Arial" w:cs="Arial"/>
        </w:rPr>
        <w:t>g/kg seed) pr</w:t>
      </w:r>
      <w:r w:rsidR="00B13D2E" w:rsidRPr="00015C63">
        <w:rPr>
          <w:rFonts w:ascii="Arial" w:hAnsi="Arial" w:cs="Arial"/>
        </w:rPr>
        <w:t xml:space="preserve">ior to sowing. A basal dose of </w:t>
      </w:r>
      <w:r w:rsidR="006A1999" w:rsidRPr="00015C63">
        <w:rPr>
          <w:rFonts w:ascii="Arial" w:hAnsi="Arial" w:cs="Arial"/>
        </w:rPr>
        <w:t>20</w:t>
      </w:r>
      <w:r w:rsidRPr="00015C63">
        <w:rPr>
          <w:rFonts w:ascii="Arial" w:hAnsi="Arial" w:cs="Arial"/>
        </w:rPr>
        <w:t xml:space="preserve"> kg N, </w:t>
      </w:r>
      <w:r w:rsidR="006A1999" w:rsidRPr="00015C63">
        <w:rPr>
          <w:rFonts w:ascii="Arial" w:hAnsi="Arial" w:cs="Arial"/>
        </w:rPr>
        <w:t>60</w:t>
      </w:r>
      <w:r w:rsidRPr="00015C63">
        <w:rPr>
          <w:rFonts w:ascii="Arial" w:hAnsi="Arial" w:cs="Arial"/>
        </w:rPr>
        <w:t xml:space="preserve"> kg P</w:t>
      </w:r>
      <w:r w:rsidRPr="00015C63">
        <w:rPr>
          <w:rFonts w:ascii="Cambria Math" w:hAnsi="Cambria Math" w:cs="Cambria Math"/>
        </w:rPr>
        <w:t>₂</w:t>
      </w:r>
      <w:r w:rsidRPr="00015C63">
        <w:rPr>
          <w:rFonts w:ascii="Arial" w:hAnsi="Arial" w:cs="Arial"/>
        </w:rPr>
        <w:t>O</w:t>
      </w:r>
      <w:r w:rsidRPr="00015C63">
        <w:rPr>
          <w:rFonts w:ascii="Cambria Math" w:hAnsi="Cambria Math" w:cs="Cambria Math"/>
        </w:rPr>
        <w:t>₅</w:t>
      </w:r>
      <w:r w:rsidR="00B13D2E" w:rsidRPr="00015C63">
        <w:rPr>
          <w:rFonts w:ascii="Arial" w:hAnsi="Arial" w:cs="Arial"/>
        </w:rPr>
        <w:t xml:space="preserve">, and </w:t>
      </w:r>
      <w:r w:rsidR="006A1999" w:rsidRPr="00015C63">
        <w:rPr>
          <w:rFonts w:ascii="Arial" w:hAnsi="Arial" w:cs="Arial"/>
        </w:rPr>
        <w:t>20</w:t>
      </w:r>
      <w:r w:rsidRPr="00015C63">
        <w:rPr>
          <w:rFonts w:ascii="Arial" w:hAnsi="Arial" w:cs="Arial"/>
        </w:rPr>
        <w:t xml:space="preserve"> kg K</w:t>
      </w:r>
      <w:r w:rsidRPr="00015C63">
        <w:rPr>
          <w:rFonts w:ascii="Cambria Math" w:hAnsi="Cambria Math" w:cs="Cambria Math"/>
        </w:rPr>
        <w:t>₂</w:t>
      </w:r>
      <w:r w:rsidRPr="00015C63">
        <w:rPr>
          <w:rFonts w:ascii="Arial" w:hAnsi="Arial" w:cs="Arial"/>
        </w:rPr>
        <w:t xml:space="preserve">O per hectare was applied at sowing. </w:t>
      </w:r>
      <w:r w:rsidRPr="002706E7">
        <w:rPr>
          <w:rFonts w:ascii="Arial" w:hAnsi="Arial" w:cs="Arial"/>
          <w:highlight w:val="cyan"/>
        </w:rPr>
        <w:t>Irrigations were provided at critical growth stages depending on soil moisture status. Plant protection measures against pests and diseases were undertaken as and when required, using recommended practi</w:t>
      </w:r>
      <w:r w:rsidR="00484160" w:rsidRPr="002706E7">
        <w:rPr>
          <w:rFonts w:ascii="Arial" w:hAnsi="Arial" w:cs="Arial"/>
          <w:highlight w:val="cyan"/>
        </w:rPr>
        <w:t>ce</w:t>
      </w:r>
      <w:r w:rsidR="004232FD" w:rsidRPr="00015C63">
        <w:rPr>
          <w:rFonts w:ascii="Arial" w:hAnsi="Arial" w:cs="Arial"/>
        </w:rPr>
        <w:t>.</w:t>
      </w:r>
    </w:p>
    <w:p w14:paraId="697C69EB" w14:textId="023F6AA3" w:rsidR="006211E6" w:rsidRPr="00015C63" w:rsidRDefault="0032299D" w:rsidP="006211E6">
      <w:pPr>
        <w:pStyle w:val="NormalWeb"/>
        <w:spacing w:line="360" w:lineRule="auto"/>
        <w:ind w:left="450"/>
        <w:jc w:val="both"/>
        <w:rPr>
          <w:rFonts w:ascii="Arial" w:hAnsi="Arial" w:cs="Arial"/>
          <w:b/>
          <w:bCs/>
        </w:rPr>
      </w:pPr>
      <w:r w:rsidRPr="00015C63">
        <w:rPr>
          <w:rFonts w:ascii="Arial" w:hAnsi="Arial" w:cs="Arial"/>
          <w:b/>
          <w:bCs/>
        </w:rPr>
        <w:t>Observations Recorded</w:t>
      </w:r>
      <w:r w:rsidR="002706E7">
        <w:rPr>
          <w:rFonts w:ascii="Arial" w:hAnsi="Arial" w:cs="Arial"/>
          <w:b/>
          <w:bCs/>
        </w:rPr>
        <w:tab/>
      </w:r>
      <w:r w:rsidR="002706E7">
        <w:rPr>
          <w:rFonts w:ascii="Arial" w:hAnsi="Arial" w:cs="Arial"/>
          <w:b/>
          <w:bCs/>
          <w:highlight w:val="green"/>
        </w:rPr>
        <w:t>V</w:t>
      </w:r>
      <w:r w:rsidR="002706E7" w:rsidRPr="002706E7">
        <w:rPr>
          <w:rFonts w:ascii="Arial" w:hAnsi="Arial" w:cs="Arial"/>
          <w:b/>
          <w:bCs/>
          <w:highlight w:val="green"/>
        </w:rPr>
        <w:t>ariables evaluated</w:t>
      </w:r>
    </w:p>
    <w:p w14:paraId="64F842CC" w14:textId="77777777" w:rsidR="004232FD" w:rsidRPr="00015C63" w:rsidRDefault="00CA2D00" w:rsidP="006211E6">
      <w:pPr>
        <w:pStyle w:val="NormalWeb"/>
        <w:spacing w:line="360" w:lineRule="auto"/>
        <w:ind w:left="450" w:firstLine="360"/>
        <w:jc w:val="both"/>
        <w:rPr>
          <w:rFonts w:ascii="Arial" w:hAnsi="Arial" w:cs="Arial"/>
        </w:rPr>
      </w:pPr>
      <w:r w:rsidRPr="00015C63">
        <w:rPr>
          <w:rFonts w:ascii="Arial" w:hAnsi="Arial" w:cs="Arial"/>
        </w:rPr>
        <w:t xml:space="preserve">Data </w:t>
      </w:r>
      <w:proofErr w:type="gramStart"/>
      <w:r w:rsidRPr="00015C63">
        <w:rPr>
          <w:rFonts w:ascii="Arial" w:hAnsi="Arial" w:cs="Arial"/>
        </w:rPr>
        <w:t>were collected</w:t>
      </w:r>
      <w:proofErr w:type="gramEnd"/>
      <w:r w:rsidRPr="00015C63">
        <w:rPr>
          <w:rFonts w:ascii="Arial" w:hAnsi="Arial" w:cs="Arial"/>
        </w:rPr>
        <w:t xml:space="preserve"> at 75 and 100 days after sowing (DAS) from each experimental plot following a uniform, randomized sampling procedure. For plant height, five healthy plants were selected at random within the central area of each plot to avoid border effects; height was measured from ground level to the apical tip using a graduated ruler and recorded in centimetres (cm), and the mean of the five measurements was calculated for that plot. The number of branches per plant was determined on the same five selected plants by counting all primary and secondary branches borne on each plant; the average branches per plant was then worked out for each plot. Root fresh weight was obtained by destructive sampling: three representative plants (of average vigour) were carefully uprooted from the central portion of the plot, roots were separated from shoots, gently washed free of adhering soil, blotted with absorbent paper to remove surface moisture and immediately weighed on a calibrated electronic balance (readability ±0.01 g); the fresh weight was expressed as g plant</w:t>
      </w:r>
      <w:r w:rsidRPr="00015C63">
        <w:rPr>
          <w:rFonts w:ascii="Cambria Math" w:hAnsi="Cambria Math" w:cs="Cambria Math"/>
        </w:rPr>
        <w:t>⁻</w:t>
      </w:r>
      <w:r w:rsidRPr="00015C63">
        <w:rPr>
          <w:rFonts w:ascii="Arial" w:hAnsi="Arial" w:cs="Arial"/>
        </w:rPr>
        <w:t xml:space="preserve">¹ and the mean of three plants recorded. For root dry weight, the excised roots from the same </w:t>
      </w:r>
      <w:r w:rsidRPr="00015C63">
        <w:rPr>
          <w:rFonts w:ascii="Arial" w:hAnsi="Arial" w:cs="Arial"/>
        </w:rPr>
        <w:lastRenderedPageBreak/>
        <w:t>destructive samples were first air-dried briefly, then oven-dried at 68°C ± 2°C until constant weight was achieved; dry mass was measured on the electronic balance and expressed as g plant</w:t>
      </w:r>
      <w:r w:rsidRPr="00015C63">
        <w:rPr>
          <w:rFonts w:ascii="Cambria Math" w:hAnsi="Cambria Math" w:cs="Cambria Math"/>
        </w:rPr>
        <w:t>⁻</w:t>
      </w:r>
      <w:r w:rsidRPr="00015C63">
        <w:rPr>
          <w:rFonts w:ascii="Arial" w:hAnsi="Arial" w:cs="Arial"/>
        </w:rPr>
        <w:t>¹ (mean of three plants per plot).</w:t>
      </w:r>
    </w:p>
    <w:p w14:paraId="23277190" w14:textId="77777777" w:rsidR="0032299D" w:rsidRPr="00015C63" w:rsidRDefault="004232FD" w:rsidP="004232FD">
      <w:pPr>
        <w:pStyle w:val="NormalWeb"/>
        <w:spacing w:line="360" w:lineRule="auto"/>
        <w:jc w:val="both"/>
        <w:rPr>
          <w:rFonts w:ascii="Arial" w:hAnsi="Arial" w:cs="Arial"/>
        </w:rPr>
      </w:pPr>
      <w:r w:rsidRPr="00015C63">
        <w:rPr>
          <w:rFonts w:ascii="Arial" w:hAnsi="Arial" w:cs="Arial"/>
          <w:b/>
          <w:bCs/>
        </w:rPr>
        <w:t xml:space="preserve"> </w:t>
      </w:r>
      <w:r w:rsidR="0032299D" w:rsidRPr="00015C63">
        <w:rPr>
          <w:rFonts w:ascii="Arial" w:hAnsi="Arial" w:cs="Arial"/>
          <w:b/>
          <w:bCs/>
        </w:rPr>
        <w:t>Statistical Analysis</w:t>
      </w:r>
    </w:p>
    <w:p w14:paraId="3B3C78E7" w14:textId="77777777" w:rsidR="0032299D" w:rsidRPr="00015C63" w:rsidRDefault="0032299D" w:rsidP="00DF2E7D">
      <w:pPr>
        <w:pStyle w:val="NormalWeb"/>
        <w:spacing w:line="360" w:lineRule="auto"/>
        <w:jc w:val="both"/>
        <w:rPr>
          <w:rFonts w:ascii="Arial" w:hAnsi="Arial" w:cs="Arial"/>
        </w:rPr>
      </w:pPr>
      <w:r w:rsidRPr="00015C63">
        <w:rPr>
          <w:rFonts w:ascii="Arial" w:hAnsi="Arial" w:cs="Arial"/>
        </w:rPr>
        <w:t xml:space="preserve">The recorded data were statistically </w:t>
      </w:r>
      <w:proofErr w:type="spellStart"/>
      <w:r w:rsidRPr="00015C63">
        <w:rPr>
          <w:rFonts w:ascii="Arial" w:hAnsi="Arial" w:cs="Arial"/>
        </w:rPr>
        <w:t>analyzed</w:t>
      </w:r>
      <w:proofErr w:type="spellEnd"/>
      <w:r w:rsidRPr="00015C63">
        <w:rPr>
          <w:rFonts w:ascii="Arial" w:hAnsi="Arial" w:cs="Arial"/>
        </w:rPr>
        <w:t xml:space="preserve"> using the Analysis of Variance (ANOVA) technique appropriate for the experimental design. Treatment means were compared 5% level of significance (CD at 5%). Data on weed counts were subjected to square root transformation √(x+0.5) before analysis. St</w:t>
      </w:r>
      <w:r w:rsidR="006A1999" w:rsidRPr="00015C63">
        <w:rPr>
          <w:rFonts w:ascii="Arial" w:hAnsi="Arial" w:cs="Arial"/>
        </w:rPr>
        <w:t>atistical software STAR</w:t>
      </w:r>
      <w:r w:rsidRPr="00015C63">
        <w:rPr>
          <w:rFonts w:ascii="Arial" w:hAnsi="Arial" w:cs="Arial"/>
        </w:rPr>
        <w:t xml:space="preserve"> was used for computation.</w:t>
      </w:r>
    </w:p>
    <w:p w14:paraId="19F71CB9" w14:textId="77777777" w:rsidR="00FC4634" w:rsidRPr="00015C63" w:rsidRDefault="00FC4634" w:rsidP="00DF2E7D">
      <w:pPr>
        <w:jc w:val="both"/>
        <w:rPr>
          <w:rFonts w:ascii="Arial" w:hAnsi="Arial" w:cs="Arial"/>
        </w:rPr>
      </w:pPr>
    </w:p>
    <w:p w14:paraId="3815A0C7" w14:textId="77777777" w:rsidR="00A12814" w:rsidRPr="00015C63" w:rsidRDefault="00A90647" w:rsidP="00A12814">
      <w:pPr>
        <w:rPr>
          <w:rFonts w:ascii="Arial" w:hAnsi="Arial" w:cs="Arial"/>
          <w:b/>
          <w:bCs/>
        </w:rPr>
      </w:pPr>
      <w:r w:rsidRPr="00015C63">
        <w:rPr>
          <w:rFonts w:ascii="Arial" w:hAnsi="Arial" w:cs="Arial"/>
          <w:b/>
          <w:bCs/>
        </w:rPr>
        <w:t>3.</w:t>
      </w:r>
      <w:r w:rsidR="00A12814" w:rsidRPr="00015C63">
        <w:rPr>
          <w:rFonts w:ascii="Arial" w:hAnsi="Arial" w:cs="Arial"/>
          <w:b/>
          <w:bCs/>
        </w:rPr>
        <w:t>Result</w:t>
      </w:r>
      <w:r w:rsidR="00180446" w:rsidRPr="00015C63">
        <w:rPr>
          <w:rFonts w:ascii="Arial" w:hAnsi="Arial" w:cs="Arial"/>
          <w:b/>
          <w:bCs/>
        </w:rPr>
        <w:t xml:space="preserve"> and </w:t>
      </w:r>
      <w:r w:rsidR="006211E6" w:rsidRPr="00015C63">
        <w:rPr>
          <w:rFonts w:ascii="Arial" w:hAnsi="Arial" w:cs="Arial"/>
          <w:b/>
          <w:bCs/>
        </w:rPr>
        <w:t>Discussion</w:t>
      </w:r>
      <w:r w:rsidR="00D81640" w:rsidRPr="00015C63">
        <w:rPr>
          <w:rFonts w:ascii="Arial" w:hAnsi="Arial" w:cs="Arial"/>
          <w:b/>
          <w:bCs/>
        </w:rPr>
        <w:t xml:space="preserve"> </w:t>
      </w:r>
    </w:p>
    <w:p w14:paraId="30C5B548" w14:textId="77777777" w:rsidR="00A12814" w:rsidRPr="00015C63" w:rsidRDefault="00A12814" w:rsidP="00A12814">
      <w:pPr>
        <w:rPr>
          <w:rFonts w:ascii="Arial" w:hAnsi="Arial" w:cs="Arial"/>
          <w:b/>
          <w:bCs/>
          <w:lang w:val="en-IN"/>
        </w:rPr>
      </w:pPr>
      <w:r w:rsidRPr="00015C63">
        <w:rPr>
          <w:rFonts w:ascii="Arial" w:hAnsi="Arial" w:cs="Arial"/>
          <w:b/>
          <w:bCs/>
        </w:rPr>
        <w:t xml:space="preserve">Effect of growth </w:t>
      </w:r>
      <w:r w:rsidRPr="00015C63">
        <w:rPr>
          <w:rFonts w:ascii="Arial" w:hAnsi="Arial" w:cs="Arial"/>
          <w:b/>
          <w:bCs/>
          <w:lang w:val="en-IN"/>
        </w:rPr>
        <w:t>parameters</w:t>
      </w:r>
    </w:p>
    <w:p w14:paraId="2BC84D78" w14:textId="77777777" w:rsidR="004232FD" w:rsidRPr="00015C63" w:rsidRDefault="004232FD" w:rsidP="00D81640">
      <w:pPr>
        <w:pStyle w:val="Sinespaciado"/>
        <w:spacing w:after="120" w:line="360" w:lineRule="auto"/>
        <w:jc w:val="both"/>
        <w:rPr>
          <w:rFonts w:ascii="Arial" w:hAnsi="Arial" w:cs="Arial"/>
          <w:b/>
          <w:bCs/>
          <w:sz w:val="24"/>
          <w:szCs w:val="24"/>
        </w:rPr>
      </w:pPr>
      <w:r w:rsidRPr="00015C63">
        <w:rPr>
          <w:rFonts w:ascii="Arial" w:hAnsi="Arial" w:cs="Arial"/>
          <w:b/>
          <w:bCs/>
          <w:sz w:val="24"/>
          <w:szCs w:val="24"/>
        </w:rPr>
        <w:t>3.1 Plant Height (cm)</w:t>
      </w:r>
    </w:p>
    <w:p w14:paraId="3E50C4EB" w14:textId="7F4540AA" w:rsidR="004232FD" w:rsidRPr="00015C63" w:rsidRDefault="004232FD" w:rsidP="00D81640">
      <w:pPr>
        <w:pStyle w:val="Sinespaciado"/>
        <w:spacing w:after="120" w:line="360" w:lineRule="auto"/>
        <w:jc w:val="both"/>
        <w:rPr>
          <w:rFonts w:ascii="Arial" w:hAnsi="Arial" w:cs="Arial"/>
          <w:sz w:val="24"/>
          <w:szCs w:val="24"/>
        </w:rPr>
      </w:pPr>
      <w:r w:rsidRPr="00015C63">
        <w:rPr>
          <w:rFonts w:ascii="Arial" w:hAnsi="Arial" w:cs="Arial"/>
          <w:sz w:val="24"/>
          <w:szCs w:val="24"/>
        </w:rPr>
        <w:t>At 75 DAS, the maximum plant height (34.10 cm)</w:t>
      </w:r>
      <w:r w:rsidR="00D81640" w:rsidRPr="00015C63">
        <w:rPr>
          <w:rFonts w:ascii="Arial" w:hAnsi="Arial" w:cs="Arial"/>
          <w:sz w:val="24"/>
          <w:szCs w:val="24"/>
        </w:rPr>
        <w:t xml:space="preserve"> </w:t>
      </w:r>
      <w:r w:rsidR="00D81640" w:rsidRPr="007A67EC">
        <w:rPr>
          <w:rFonts w:ascii="Arial" w:hAnsi="Arial" w:cs="Arial"/>
          <w:strike/>
          <w:sz w:val="24"/>
          <w:szCs w:val="24"/>
          <w:highlight w:val="yellow"/>
        </w:rPr>
        <w:t>Fig.1.</w:t>
      </w:r>
      <w:r w:rsidRPr="00015C63">
        <w:rPr>
          <w:rFonts w:ascii="Arial" w:hAnsi="Arial" w:cs="Arial"/>
          <w:sz w:val="24"/>
          <w:szCs w:val="24"/>
        </w:rPr>
        <w:t xml:space="preserve"> was observed under weed-free condition (T</w:t>
      </w:r>
      <w:r w:rsidRPr="00015C63">
        <w:rPr>
          <w:rFonts w:ascii="Arial" w:hAnsi="Arial" w:cs="Arial"/>
          <w:sz w:val="24"/>
          <w:szCs w:val="24"/>
          <w:vertAlign w:val="subscript"/>
        </w:rPr>
        <w:t>6</w:t>
      </w:r>
      <w:r w:rsidRPr="00015C63">
        <w:rPr>
          <w:rFonts w:ascii="Arial" w:hAnsi="Arial" w:cs="Arial"/>
          <w:sz w:val="24"/>
          <w:szCs w:val="24"/>
        </w:rPr>
        <w:t>), which remained at par with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but was significantly superior over the weedy check (T</w:t>
      </w:r>
      <w:r w:rsidRPr="00015C63">
        <w:rPr>
          <w:rFonts w:ascii="Arial" w:hAnsi="Arial" w:cs="Arial"/>
          <w:sz w:val="24"/>
          <w:szCs w:val="24"/>
          <w:vertAlign w:val="subscript"/>
        </w:rPr>
        <w:t>7</w:t>
      </w:r>
      <w:r w:rsidRPr="00015C63">
        <w:rPr>
          <w:rFonts w:ascii="Arial" w:hAnsi="Arial" w:cs="Arial"/>
          <w:sz w:val="24"/>
          <w:szCs w:val="24"/>
        </w:rPr>
        <w:t>, 24.40 cm)</w:t>
      </w:r>
      <w:r w:rsidR="007A67EC">
        <w:rPr>
          <w:rFonts w:ascii="Arial" w:hAnsi="Arial" w:cs="Arial"/>
          <w:sz w:val="24"/>
          <w:szCs w:val="24"/>
        </w:rPr>
        <w:t xml:space="preserve"> (</w:t>
      </w:r>
      <w:r w:rsidR="007A67EC" w:rsidRPr="007A67EC">
        <w:rPr>
          <w:rFonts w:ascii="Arial" w:hAnsi="Arial" w:cs="Arial"/>
          <w:sz w:val="24"/>
          <w:szCs w:val="24"/>
          <w:highlight w:val="green"/>
        </w:rPr>
        <w:t>Table 2)</w:t>
      </w:r>
      <w:r w:rsidRPr="00015C63">
        <w:rPr>
          <w:rFonts w:ascii="Arial" w:hAnsi="Arial" w:cs="Arial"/>
          <w:sz w:val="24"/>
          <w:szCs w:val="24"/>
        </w:rPr>
        <w:t>.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recorded the highest plant height, significantly better than T</w:t>
      </w:r>
      <w:r w:rsidRPr="00015C63">
        <w:rPr>
          <w:rFonts w:ascii="Arial" w:hAnsi="Arial" w:cs="Arial"/>
          <w:sz w:val="24"/>
          <w:szCs w:val="24"/>
          <w:vertAlign w:val="subscript"/>
        </w:rPr>
        <w:t>7</w:t>
      </w:r>
      <w:r w:rsidRPr="00015C63">
        <w:rPr>
          <w:rFonts w:ascii="Arial" w:hAnsi="Arial" w:cs="Arial"/>
          <w:sz w:val="24"/>
          <w:szCs w:val="24"/>
        </w:rPr>
        <w:t xml:space="preserve"> but statistically similar to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At 100 DAS, the tallest plants (45.31 cm) were recorded in T</w:t>
      </w:r>
      <w:r w:rsidRPr="00015C63">
        <w:rPr>
          <w:rFonts w:ascii="Arial" w:hAnsi="Arial" w:cs="Arial"/>
          <w:sz w:val="24"/>
          <w:szCs w:val="24"/>
          <w:vertAlign w:val="subscript"/>
        </w:rPr>
        <w:t>6</w:t>
      </w:r>
      <w:r w:rsidRPr="00015C63">
        <w:rPr>
          <w:rFonts w:ascii="Arial" w:hAnsi="Arial" w:cs="Arial"/>
          <w:sz w:val="24"/>
          <w:szCs w:val="24"/>
        </w:rPr>
        <w:t>, followed by T</w:t>
      </w:r>
      <w:r w:rsidRPr="00015C63">
        <w:rPr>
          <w:rFonts w:ascii="Arial" w:hAnsi="Arial" w:cs="Arial"/>
          <w:sz w:val="24"/>
          <w:szCs w:val="24"/>
          <w:vertAlign w:val="subscript"/>
        </w:rPr>
        <w:t>4</w:t>
      </w:r>
      <w:r w:rsidRPr="00015C63">
        <w:rPr>
          <w:rFonts w:ascii="Arial" w:hAnsi="Arial" w:cs="Arial"/>
          <w:sz w:val="24"/>
          <w:szCs w:val="24"/>
        </w:rPr>
        <w:t xml:space="preserve"> (44.83 cm), both significantly superior to the weedy check (36.30 cm).</w:t>
      </w:r>
      <w:r w:rsidR="006211E6" w:rsidRPr="00015C63">
        <w:rPr>
          <w:rFonts w:ascii="Arial" w:hAnsi="Arial" w:cs="Arial"/>
          <w:sz w:val="24"/>
          <w:szCs w:val="24"/>
        </w:rPr>
        <w:t xml:space="preserve"> </w:t>
      </w:r>
      <w:r w:rsidRPr="00015C63">
        <w:rPr>
          <w:rFonts w:ascii="Arial" w:hAnsi="Arial" w:cs="Arial"/>
          <w:sz w:val="24"/>
          <w:szCs w:val="24"/>
        </w:rPr>
        <w:t>Weed-free conditions allowed unrestricted access to nutrients, light, and moisture, leading to maximum vegetative growth. T</w:t>
      </w:r>
      <w:r w:rsidRPr="00015C63">
        <w:rPr>
          <w:rFonts w:ascii="Arial" w:hAnsi="Arial" w:cs="Arial"/>
          <w:sz w:val="24"/>
          <w:szCs w:val="24"/>
          <w:vertAlign w:val="subscript"/>
        </w:rPr>
        <w:t>4</w:t>
      </w:r>
      <w:r w:rsidRPr="00015C63">
        <w:rPr>
          <w:rFonts w:ascii="Arial" w:hAnsi="Arial" w:cs="Arial"/>
          <w:sz w:val="24"/>
          <w:szCs w:val="24"/>
        </w:rPr>
        <w:t xml:space="preserve"> also performed better due to the combined effect of pendimethalin for early weed suppression and precise post-emergence application of imazethapyr using an inter-row herbicide applicator, which minimized crop injury. S</w:t>
      </w:r>
      <w:r w:rsidR="00A8365D" w:rsidRPr="00015C63">
        <w:rPr>
          <w:rFonts w:ascii="Arial" w:hAnsi="Arial" w:cs="Arial"/>
          <w:sz w:val="24"/>
          <w:szCs w:val="24"/>
        </w:rPr>
        <w:t xml:space="preserve">imilar results were reported </w:t>
      </w:r>
      <w:r w:rsidR="00183A1F" w:rsidRPr="00015C63">
        <w:rPr>
          <w:rFonts w:ascii="Arial" w:hAnsi="Arial" w:cs="Arial"/>
          <w:sz w:val="24"/>
          <w:szCs w:val="24"/>
        </w:rPr>
        <w:fldChar w:fldCharType="begin" w:fldLock="1"/>
      </w:r>
      <w:r w:rsidR="00183A1F" w:rsidRPr="00015C63">
        <w:rPr>
          <w:rFonts w:ascii="Arial" w:hAnsi="Arial" w:cs="Arial"/>
          <w:sz w:val="24"/>
          <w:szCs w:val="24"/>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00183A1F" w:rsidRPr="00015C63">
        <w:rPr>
          <w:rFonts w:ascii="Arial" w:hAnsi="Arial" w:cs="Arial"/>
          <w:sz w:val="24"/>
          <w:szCs w:val="24"/>
        </w:rPr>
        <w:fldChar w:fldCharType="separate"/>
      </w:r>
      <w:r w:rsidR="00183A1F" w:rsidRPr="00015C63">
        <w:rPr>
          <w:rFonts w:ascii="Arial" w:hAnsi="Arial" w:cs="Arial"/>
          <w:noProof/>
          <w:sz w:val="24"/>
          <w:szCs w:val="24"/>
        </w:rPr>
        <w:t xml:space="preserve">Gairola </w:t>
      </w:r>
      <w:r w:rsidR="00183A1F" w:rsidRPr="007A67EC">
        <w:rPr>
          <w:rFonts w:ascii="Arial" w:hAnsi="Arial" w:cs="Arial"/>
          <w:i/>
          <w:noProof/>
          <w:sz w:val="24"/>
          <w:szCs w:val="24"/>
          <w:highlight w:val="green"/>
        </w:rPr>
        <w:t>et al</w:t>
      </w:r>
      <w:r w:rsidR="00183A1F" w:rsidRPr="00015C63">
        <w:rPr>
          <w:rFonts w:ascii="Arial" w:hAnsi="Arial" w:cs="Arial"/>
          <w:noProof/>
          <w:sz w:val="24"/>
          <w:szCs w:val="24"/>
        </w:rPr>
        <w:t>.( 2024)</w:t>
      </w:r>
      <w:r w:rsidR="00183A1F" w:rsidRPr="00015C63">
        <w:rPr>
          <w:rFonts w:ascii="Arial" w:hAnsi="Arial" w:cs="Arial"/>
          <w:sz w:val="24"/>
          <w:szCs w:val="24"/>
        </w:rPr>
        <w:fldChar w:fldCharType="end"/>
      </w:r>
      <w:r w:rsidR="00183A1F" w:rsidRPr="00015C63">
        <w:rPr>
          <w:rFonts w:ascii="Arial" w:hAnsi="Arial" w:cs="Arial"/>
          <w:sz w:val="24"/>
          <w:szCs w:val="24"/>
        </w:rPr>
        <w:t>,</w:t>
      </w:r>
      <w:r w:rsidRPr="00015C63">
        <w:rPr>
          <w:rFonts w:ascii="Arial" w:hAnsi="Arial" w:cs="Arial"/>
          <w:sz w:val="24"/>
          <w:szCs w:val="24"/>
        </w:rPr>
        <w:t>confirming that integration of pendimethalin with imazethapyr enhanced plant height by reducing weed competition.</w:t>
      </w:r>
    </w:p>
    <w:p w14:paraId="3B9F3A6C" w14:textId="77777777" w:rsidR="004232FD" w:rsidRPr="00015C63" w:rsidRDefault="004232FD" w:rsidP="00D81640">
      <w:pPr>
        <w:pStyle w:val="Sinespaciado"/>
        <w:spacing w:after="120" w:line="360" w:lineRule="auto"/>
        <w:jc w:val="both"/>
        <w:rPr>
          <w:rFonts w:ascii="Arial" w:hAnsi="Arial" w:cs="Arial"/>
          <w:b/>
          <w:bCs/>
          <w:sz w:val="24"/>
          <w:szCs w:val="24"/>
        </w:rPr>
      </w:pPr>
      <w:r w:rsidRPr="00015C63">
        <w:rPr>
          <w:rFonts w:ascii="Arial" w:hAnsi="Arial" w:cs="Arial"/>
          <w:b/>
          <w:bCs/>
          <w:sz w:val="24"/>
          <w:szCs w:val="24"/>
        </w:rPr>
        <w:t>3.2 Number of Branches Plant</w:t>
      </w:r>
      <w:r w:rsidRPr="00015C63">
        <w:rPr>
          <w:rFonts w:ascii="Cambria Math" w:hAnsi="Cambria Math" w:cs="Cambria Math"/>
          <w:b/>
          <w:bCs/>
          <w:sz w:val="24"/>
          <w:szCs w:val="24"/>
        </w:rPr>
        <w:t>⁻</w:t>
      </w:r>
      <w:r w:rsidRPr="00015C63">
        <w:rPr>
          <w:rFonts w:ascii="Arial" w:hAnsi="Arial" w:cs="Arial"/>
          <w:b/>
          <w:bCs/>
          <w:sz w:val="24"/>
          <w:szCs w:val="24"/>
        </w:rPr>
        <w:t>¹</w:t>
      </w:r>
    </w:p>
    <w:p w14:paraId="66910CE9" w14:textId="3FB3949C" w:rsidR="004232FD" w:rsidRPr="00015C63" w:rsidRDefault="004232FD" w:rsidP="00D81640">
      <w:pPr>
        <w:pStyle w:val="Sinespaciado"/>
        <w:spacing w:after="120" w:line="360" w:lineRule="auto"/>
        <w:jc w:val="both"/>
        <w:rPr>
          <w:rFonts w:ascii="Arial" w:hAnsi="Arial" w:cs="Arial"/>
          <w:sz w:val="24"/>
          <w:szCs w:val="24"/>
        </w:rPr>
      </w:pPr>
      <w:r w:rsidRPr="00015C63">
        <w:rPr>
          <w:rFonts w:ascii="Arial" w:hAnsi="Arial" w:cs="Arial"/>
          <w:sz w:val="24"/>
          <w:szCs w:val="24"/>
        </w:rPr>
        <w:t>At 75 DAS, the maximum number of branches (11.10 plant</w:t>
      </w:r>
      <w:r w:rsidRPr="00015C63">
        <w:rPr>
          <w:rFonts w:ascii="Cambria Math" w:hAnsi="Cambria Math" w:cs="Cambria Math"/>
          <w:sz w:val="24"/>
          <w:szCs w:val="24"/>
        </w:rPr>
        <w:t>⁻</w:t>
      </w:r>
      <w:r w:rsidRPr="00015C63">
        <w:rPr>
          <w:rFonts w:ascii="Arial" w:hAnsi="Arial" w:cs="Arial"/>
          <w:sz w:val="24"/>
          <w:szCs w:val="24"/>
        </w:rPr>
        <w:t>¹) was recorded in T</w:t>
      </w:r>
      <w:r w:rsidRPr="00015C63">
        <w:rPr>
          <w:rFonts w:ascii="Arial" w:hAnsi="Arial" w:cs="Arial"/>
          <w:sz w:val="24"/>
          <w:szCs w:val="24"/>
          <w:vertAlign w:val="subscript"/>
        </w:rPr>
        <w:t>6</w:t>
      </w:r>
      <w:r w:rsidRPr="00015C63">
        <w:rPr>
          <w:rFonts w:ascii="Arial" w:hAnsi="Arial" w:cs="Arial"/>
          <w:sz w:val="24"/>
          <w:szCs w:val="24"/>
        </w:rPr>
        <w:t>, which was at par with all treatments except T</w:t>
      </w:r>
      <w:r w:rsidRPr="00015C63">
        <w:rPr>
          <w:rFonts w:ascii="Arial" w:hAnsi="Arial" w:cs="Arial"/>
          <w:sz w:val="24"/>
          <w:szCs w:val="24"/>
          <w:vertAlign w:val="subscript"/>
        </w:rPr>
        <w:t>7</w:t>
      </w:r>
      <w:r w:rsidRPr="00015C63">
        <w:rPr>
          <w:rFonts w:ascii="Arial" w:hAnsi="Arial" w:cs="Arial"/>
          <w:sz w:val="24"/>
          <w:szCs w:val="24"/>
        </w:rPr>
        <w:t xml:space="preserve"> (8.56), where branching was significantly lower. At </w:t>
      </w:r>
      <w:r w:rsidRPr="00015C63">
        <w:rPr>
          <w:rFonts w:ascii="Arial" w:hAnsi="Arial" w:cs="Arial"/>
          <w:sz w:val="24"/>
          <w:szCs w:val="24"/>
        </w:rPr>
        <w:lastRenderedPageBreak/>
        <w:t>100 DAS, T6 again produced the highest number of branches (16.32 plant</w:t>
      </w:r>
      <w:r w:rsidRPr="00015C63">
        <w:rPr>
          <w:rFonts w:ascii="Cambria Math" w:hAnsi="Cambria Math" w:cs="Cambria Math"/>
          <w:sz w:val="24"/>
          <w:szCs w:val="24"/>
        </w:rPr>
        <w:t>⁻</w:t>
      </w:r>
      <w:r w:rsidRPr="00015C63">
        <w:rPr>
          <w:rFonts w:ascii="Arial" w:hAnsi="Arial" w:cs="Arial"/>
          <w:sz w:val="24"/>
          <w:szCs w:val="24"/>
        </w:rPr>
        <w:t>¹), statistically similar to T</w:t>
      </w:r>
      <w:r w:rsidRPr="00015C63">
        <w:rPr>
          <w:rFonts w:ascii="Arial" w:hAnsi="Arial" w:cs="Arial"/>
          <w:sz w:val="24"/>
          <w:szCs w:val="24"/>
          <w:vertAlign w:val="subscript"/>
        </w:rPr>
        <w:t>4</w:t>
      </w:r>
      <w:r w:rsidRPr="00015C63">
        <w:rPr>
          <w:rFonts w:ascii="Arial" w:hAnsi="Arial" w:cs="Arial"/>
          <w:sz w:val="24"/>
          <w:szCs w:val="24"/>
        </w:rPr>
        <w:t xml:space="preserve"> (15.93), T</w:t>
      </w:r>
      <w:r w:rsidRPr="00015C63">
        <w:rPr>
          <w:rFonts w:ascii="Arial" w:hAnsi="Arial" w:cs="Arial"/>
          <w:sz w:val="24"/>
          <w:szCs w:val="24"/>
          <w:vertAlign w:val="subscript"/>
        </w:rPr>
        <w:t>5</w:t>
      </w:r>
      <w:r w:rsidRPr="00015C63">
        <w:rPr>
          <w:rFonts w:ascii="Arial" w:hAnsi="Arial" w:cs="Arial"/>
          <w:sz w:val="24"/>
          <w:szCs w:val="24"/>
        </w:rPr>
        <w:t xml:space="preserve"> (15.82), and T</w:t>
      </w:r>
      <w:r w:rsidRPr="00015C63">
        <w:rPr>
          <w:rFonts w:ascii="Arial" w:hAnsi="Arial" w:cs="Arial"/>
          <w:sz w:val="24"/>
          <w:szCs w:val="24"/>
          <w:vertAlign w:val="subscript"/>
        </w:rPr>
        <w:t>3</w:t>
      </w:r>
      <w:r w:rsidRPr="00015C63">
        <w:rPr>
          <w:rFonts w:ascii="Arial" w:hAnsi="Arial" w:cs="Arial"/>
          <w:sz w:val="24"/>
          <w:szCs w:val="24"/>
        </w:rPr>
        <w:t xml:space="preserve"> (15.70), but significantly superior to T</w:t>
      </w:r>
      <w:r w:rsidRPr="00015C63">
        <w:rPr>
          <w:rFonts w:ascii="Arial" w:hAnsi="Arial" w:cs="Arial"/>
          <w:sz w:val="24"/>
          <w:szCs w:val="24"/>
          <w:vertAlign w:val="subscript"/>
        </w:rPr>
        <w:t>1</w:t>
      </w:r>
      <w:r w:rsidRPr="00015C63">
        <w:rPr>
          <w:rFonts w:ascii="Arial" w:hAnsi="Arial" w:cs="Arial"/>
          <w:sz w:val="24"/>
          <w:szCs w:val="24"/>
        </w:rPr>
        <w:t xml:space="preserve"> and T</w:t>
      </w:r>
      <w:r w:rsidRPr="00015C63">
        <w:rPr>
          <w:rFonts w:ascii="Arial" w:hAnsi="Arial" w:cs="Arial"/>
          <w:sz w:val="24"/>
          <w:szCs w:val="24"/>
          <w:vertAlign w:val="subscript"/>
        </w:rPr>
        <w:t>2</w:t>
      </w:r>
      <w:r w:rsidRPr="00015C63">
        <w:rPr>
          <w:rFonts w:ascii="Arial" w:hAnsi="Arial" w:cs="Arial"/>
          <w:sz w:val="24"/>
          <w:szCs w:val="24"/>
        </w:rPr>
        <w:t>. The lowest branch number was observed in T</w:t>
      </w:r>
      <w:r w:rsidRPr="00015C63">
        <w:rPr>
          <w:rFonts w:ascii="Arial" w:hAnsi="Arial" w:cs="Arial"/>
          <w:sz w:val="24"/>
          <w:szCs w:val="24"/>
          <w:vertAlign w:val="subscript"/>
        </w:rPr>
        <w:t>7</w:t>
      </w:r>
      <w:r w:rsidRPr="00015C63">
        <w:rPr>
          <w:rFonts w:ascii="Arial" w:hAnsi="Arial" w:cs="Arial"/>
          <w:sz w:val="24"/>
          <w:szCs w:val="24"/>
        </w:rPr>
        <w:t xml:space="preserve"> (12.57).</w:t>
      </w:r>
      <w:r w:rsidR="006211E6" w:rsidRPr="00015C63">
        <w:rPr>
          <w:rFonts w:ascii="Arial" w:hAnsi="Arial" w:cs="Arial"/>
          <w:sz w:val="24"/>
          <w:szCs w:val="24"/>
        </w:rPr>
        <w:t xml:space="preserve"> </w:t>
      </w:r>
      <w:r w:rsidRPr="00015C63">
        <w:rPr>
          <w:rFonts w:ascii="Arial" w:hAnsi="Arial" w:cs="Arial"/>
          <w:sz w:val="24"/>
          <w:szCs w:val="24"/>
        </w:rPr>
        <w:t xml:space="preserve">Branching in T6 was </w:t>
      </w:r>
      <w:proofErr w:type="spellStart"/>
      <w:r w:rsidRPr="00015C63">
        <w:rPr>
          <w:rFonts w:ascii="Arial" w:hAnsi="Arial" w:cs="Arial"/>
          <w:sz w:val="24"/>
          <w:szCs w:val="24"/>
        </w:rPr>
        <w:t>favored</w:t>
      </w:r>
      <w:proofErr w:type="spellEnd"/>
      <w:r w:rsidRPr="00015C63">
        <w:rPr>
          <w:rFonts w:ascii="Arial" w:hAnsi="Arial" w:cs="Arial"/>
          <w:sz w:val="24"/>
          <w:szCs w:val="24"/>
        </w:rPr>
        <w:t xml:space="preserve"> by the absence of weeds, allowing unhindered resource utilization.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was the most effective, as safe placement of imazethapyr minimized phytotoxicity and promoted branching, corroborating the findings of </w:t>
      </w:r>
      <w:r w:rsidR="00183A1F" w:rsidRPr="00015C63">
        <w:rPr>
          <w:rFonts w:ascii="Arial" w:hAnsi="Arial" w:cs="Arial"/>
          <w:sz w:val="24"/>
          <w:szCs w:val="24"/>
        </w:rPr>
        <w:fldChar w:fldCharType="begin" w:fldLock="1"/>
      </w:r>
      <w:r w:rsidR="00A8365D" w:rsidRPr="00015C63">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al.(2024)","plainTextFormattedCitation":"(Thakur et al., 2024)","previouslyFormattedCitation":"(Thakur et al., 2024)"},"properties":{"noteIndex":0},"schema":"https://github.com/citation-style-language/schema/raw/master/csl-citation.json"}</w:instrText>
      </w:r>
      <w:r w:rsidR="00183A1F" w:rsidRPr="00015C63">
        <w:rPr>
          <w:rFonts w:ascii="Arial" w:hAnsi="Arial" w:cs="Arial"/>
          <w:sz w:val="24"/>
          <w:szCs w:val="24"/>
        </w:rPr>
        <w:fldChar w:fldCharType="separate"/>
      </w:r>
      <w:r w:rsidR="00A8365D" w:rsidRPr="00015C63">
        <w:rPr>
          <w:rFonts w:ascii="Arial" w:hAnsi="Arial" w:cs="Arial"/>
          <w:noProof/>
          <w:sz w:val="24"/>
          <w:szCs w:val="24"/>
        </w:rPr>
        <w:t xml:space="preserve">Thakur </w:t>
      </w:r>
      <w:r w:rsidR="00183A1F" w:rsidRPr="00015C63">
        <w:rPr>
          <w:rFonts w:ascii="Arial" w:hAnsi="Arial" w:cs="Arial"/>
          <w:i/>
          <w:iCs/>
          <w:noProof/>
          <w:sz w:val="24"/>
          <w:szCs w:val="24"/>
        </w:rPr>
        <w:t>et al</w:t>
      </w:r>
      <w:r w:rsidR="00183A1F" w:rsidRPr="005A6D53">
        <w:rPr>
          <w:rFonts w:ascii="Arial" w:hAnsi="Arial" w:cs="Arial"/>
          <w:noProof/>
          <w:sz w:val="24"/>
          <w:szCs w:val="24"/>
          <w:highlight w:val="green"/>
        </w:rPr>
        <w:t>.</w:t>
      </w:r>
      <w:r w:rsidR="005A6D53" w:rsidRPr="005A6D53">
        <w:rPr>
          <w:rFonts w:ascii="Arial" w:hAnsi="Arial" w:cs="Arial"/>
          <w:noProof/>
          <w:sz w:val="24"/>
          <w:szCs w:val="24"/>
          <w:highlight w:val="green"/>
        </w:rPr>
        <w:t xml:space="preserve"> </w:t>
      </w:r>
      <w:r w:rsidR="00183A1F" w:rsidRPr="005A6D53">
        <w:rPr>
          <w:rFonts w:ascii="Arial" w:hAnsi="Arial" w:cs="Arial"/>
          <w:noProof/>
          <w:sz w:val="24"/>
          <w:szCs w:val="24"/>
          <w:highlight w:val="green"/>
        </w:rPr>
        <w:t>(</w:t>
      </w:r>
      <w:r w:rsidR="00183A1F" w:rsidRPr="00015C63">
        <w:rPr>
          <w:rFonts w:ascii="Arial" w:hAnsi="Arial" w:cs="Arial"/>
          <w:noProof/>
          <w:sz w:val="24"/>
          <w:szCs w:val="24"/>
        </w:rPr>
        <w:t>2024)</w:t>
      </w:r>
      <w:r w:rsidR="00183A1F" w:rsidRPr="00015C63">
        <w:rPr>
          <w:rFonts w:ascii="Arial" w:hAnsi="Arial" w:cs="Arial"/>
          <w:sz w:val="24"/>
          <w:szCs w:val="24"/>
        </w:rPr>
        <w:fldChar w:fldCharType="end"/>
      </w:r>
      <w:r w:rsidRPr="00015C63">
        <w:rPr>
          <w:rFonts w:ascii="Arial" w:hAnsi="Arial" w:cs="Arial"/>
          <w:sz w:val="24"/>
          <w:szCs w:val="24"/>
        </w:rPr>
        <w:t>, who reported increased branching under timely application of imazethapyr. In contrast, T</w:t>
      </w:r>
      <w:r w:rsidRPr="00015C63">
        <w:rPr>
          <w:rFonts w:ascii="Arial" w:hAnsi="Arial" w:cs="Arial"/>
          <w:sz w:val="24"/>
          <w:szCs w:val="24"/>
          <w:vertAlign w:val="subscript"/>
        </w:rPr>
        <w:t>2</w:t>
      </w:r>
      <w:r w:rsidRPr="00015C63">
        <w:rPr>
          <w:rFonts w:ascii="Arial" w:hAnsi="Arial" w:cs="Arial"/>
          <w:sz w:val="24"/>
          <w:szCs w:val="24"/>
        </w:rPr>
        <w:t xml:space="preserve"> and T</w:t>
      </w:r>
      <w:r w:rsidRPr="00015C63">
        <w:rPr>
          <w:rFonts w:ascii="Arial" w:hAnsi="Arial" w:cs="Arial"/>
          <w:sz w:val="24"/>
          <w:szCs w:val="24"/>
          <w:vertAlign w:val="subscript"/>
        </w:rPr>
        <w:t>3</w:t>
      </w:r>
      <w:r w:rsidRPr="00015C63">
        <w:rPr>
          <w:rFonts w:ascii="Arial" w:hAnsi="Arial" w:cs="Arial"/>
          <w:sz w:val="24"/>
          <w:szCs w:val="24"/>
        </w:rPr>
        <w:t xml:space="preserve"> showed slightly reduced branching due to herbicide injury, while T</w:t>
      </w:r>
      <w:r w:rsidRPr="00015C63">
        <w:rPr>
          <w:rFonts w:ascii="Arial" w:hAnsi="Arial" w:cs="Arial"/>
          <w:sz w:val="24"/>
          <w:szCs w:val="24"/>
          <w:vertAlign w:val="subscript"/>
        </w:rPr>
        <w:t>7</w:t>
      </w:r>
      <w:r w:rsidRPr="00015C63">
        <w:rPr>
          <w:rFonts w:ascii="Arial" w:hAnsi="Arial" w:cs="Arial"/>
          <w:sz w:val="24"/>
          <w:szCs w:val="24"/>
        </w:rPr>
        <w:t xml:space="preserve"> recorded the lowest due to severe crop–weed competition.</w:t>
      </w:r>
    </w:p>
    <w:p w14:paraId="65A93204" w14:textId="77777777" w:rsidR="004232FD" w:rsidRPr="00015C63" w:rsidRDefault="004232FD" w:rsidP="00D81640">
      <w:pPr>
        <w:pStyle w:val="Sinespaciado"/>
        <w:spacing w:after="120" w:line="360" w:lineRule="auto"/>
        <w:jc w:val="both"/>
        <w:rPr>
          <w:rFonts w:ascii="Arial" w:hAnsi="Arial" w:cs="Arial"/>
          <w:sz w:val="24"/>
          <w:szCs w:val="24"/>
        </w:rPr>
      </w:pPr>
    </w:p>
    <w:p w14:paraId="26F0A875" w14:textId="77777777" w:rsidR="004232FD" w:rsidRPr="00015C63" w:rsidRDefault="004232FD" w:rsidP="00D81640">
      <w:pPr>
        <w:pStyle w:val="Sinespaciado"/>
        <w:spacing w:after="120" w:line="360" w:lineRule="auto"/>
        <w:jc w:val="both"/>
        <w:rPr>
          <w:rFonts w:ascii="Arial" w:hAnsi="Arial" w:cs="Arial"/>
          <w:b/>
          <w:bCs/>
          <w:sz w:val="24"/>
          <w:szCs w:val="24"/>
        </w:rPr>
      </w:pPr>
      <w:r w:rsidRPr="00015C63">
        <w:rPr>
          <w:rFonts w:ascii="Arial" w:hAnsi="Arial" w:cs="Arial"/>
          <w:b/>
          <w:bCs/>
          <w:sz w:val="24"/>
          <w:szCs w:val="24"/>
        </w:rPr>
        <w:t>3.3 Root Fresh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797B64A5" w14:textId="3DCF9917" w:rsidR="004232FD" w:rsidRPr="00015C63" w:rsidRDefault="004232FD" w:rsidP="00D81640">
      <w:pPr>
        <w:pStyle w:val="Sinespaciado"/>
        <w:spacing w:after="120" w:line="360" w:lineRule="auto"/>
        <w:jc w:val="both"/>
        <w:rPr>
          <w:rFonts w:ascii="Arial" w:hAnsi="Arial" w:cs="Arial"/>
          <w:sz w:val="24"/>
          <w:szCs w:val="24"/>
        </w:rPr>
      </w:pPr>
      <w:r w:rsidRPr="00015C63">
        <w:rPr>
          <w:rFonts w:ascii="Arial" w:hAnsi="Arial" w:cs="Arial"/>
          <w:sz w:val="24"/>
          <w:szCs w:val="24"/>
        </w:rPr>
        <w:t>At 75 DAS, the maximum root fresh weig</w:t>
      </w:r>
      <w:r w:rsidRPr="00696089">
        <w:rPr>
          <w:rFonts w:ascii="Arial" w:hAnsi="Arial" w:cs="Arial"/>
          <w:sz w:val="24"/>
          <w:szCs w:val="24"/>
          <w:highlight w:val="green"/>
        </w:rPr>
        <w:t>ht</w:t>
      </w:r>
      <w:r w:rsidR="00D81640" w:rsidRPr="00696089">
        <w:rPr>
          <w:rFonts w:ascii="Arial" w:hAnsi="Arial" w:cs="Arial"/>
          <w:sz w:val="24"/>
          <w:szCs w:val="24"/>
          <w:highlight w:val="green"/>
        </w:rPr>
        <w:t xml:space="preserve"> </w:t>
      </w:r>
      <w:r w:rsidRPr="00696089">
        <w:rPr>
          <w:rFonts w:ascii="Arial" w:hAnsi="Arial" w:cs="Arial"/>
          <w:sz w:val="24"/>
          <w:szCs w:val="24"/>
          <w:highlight w:val="green"/>
        </w:rPr>
        <w:t>(2</w:t>
      </w:r>
      <w:r w:rsidRPr="00015C63">
        <w:rPr>
          <w:rFonts w:ascii="Arial" w:hAnsi="Arial" w:cs="Arial"/>
          <w:sz w:val="24"/>
          <w:szCs w:val="24"/>
        </w:rPr>
        <w:t>.14 g) was recorded in T6, which was at par with T</w:t>
      </w:r>
      <w:r w:rsidRPr="00015C63">
        <w:rPr>
          <w:rFonts w:ascii="Arial" w:hAnsi="Arial" w:cs="Arial"/>
          <w:sz w:val="24"/>
          <w:szCs w:val="24"/>
          <w:vertAlign w:val="subscript"/>
        </w:rPr>
        <w:t>4</w:t>
      </w:r>
      <w:r w:rsidRPr="00015C63">
        <w:rPr>
          <w:rFonts w:ascii="Arial" w:hAnsi="Arial" w:cs="Arial"/>
          <w:sz w:val="24"/>
          <w:szCs w:val="24"/>
        </w:rPr>
        <w:t xml:space="preserve"> and T</w:t>
      </w:r>
      <w:r w:rsidRPr="00015C63">
        <w:rPr>
          <w:rFonts w:ascii="Arial" w:hAnsi="Arial" w:cs="Arial"/>
          <w:sz w:val="24"/>
          <w:szCs w:val="24"/>
          <w:vertAlign w:val="subscript"/>
        </w:rPr>
        <w:t>5</w:t>
      </w:r>
      <w:r w:rsidRPr="00015C63">
        <w:rPr>
          <w:rFonts w:ascii="Arial" w:hAnsi="Arial" w:cs="Arial"/>
          <w:sz w:val="24"/>
          <w:szCs w:val="24"/>
        </w:rPr>
        <w:t xml:space="preserve"> but significantly superior over the rest</w:t>
      </w:r>
      <w:r w:rsidR="008663B8" w:rsidRPr="00015C63">
        <w:rPr>
          <w:rFonts w:ascii="Arial" w:hAnsi="Arial" w:cs="Arial"/>
          <w:sz w:val="24"/>
          <w:szCs w:val="24"/>
        </w:rPr>
        <w:t xml:space="preserve"> (</w:t>
      </w:r>
      <w:r w:rsidR="00696089" w:rsidRPr="00696089">
        <w:rPr>
          <w:rFonts w:ascii="Arial" w:hAnsi="Arial" w:cs="Arial"/>
          <w:sz w:val="24"/>
          <w:szCs w:val="24"/>
          <w:highlight w:val="green"/>
        </w:rPr>
        <w:t>Table 3</w:t>
      </w:r>
      <w:r w:rsidR="008663B8" w:rsidRPr="00015C63">
        <w:rPr>
          <w:rFonts w:ascii="Arial" w:hAnsi="Arial" w:cs="Arial"/>
          <w:sz w:val="24"/>
          <w:szCs w:val="24"/>
        </w:rPr>
        <w:t>).</w:t>
      </w:r>
      <w:r w:rsidRPr="00015C63">
        <w:rPr>
          <w:rFonts w:ascii="Arial" w:hAnsi="Arial" w:cs="Arial"/>
          <w:sz w:val="24"/>
          <w:szCs w:val="24"/>
        </w:rPr>
        <w:t xml:space="preserve"> </w:t>
      </w:r>
      <w:r w:rsidRPr="00AB5A00">
        <w:rPr>
          <w:rFonts w:ascii="Arial" w:hAnsi="Arial" w:cs="Arial"/>
          <w:sz w:val="24"/>
          <w:szCs w:val="24"/>
          <w:highlight w:val="cyan"/>
        </w:rPr>
        <w:t>Among herbicidal treatments, T</w:t>
      </w:r>
      <w:r w:rsidRPr="00AB5A00">
        <w:rPr>
          <w:rFonts w:ascii="Arial" w:hAnsi="Arial" w:cs="Arial"/>
          <w:sz w:val="24"/>
          <w:szCs w:val="24"/>
          <w:highlight w:val="cyan"/>
          <w:vertAlign w:val="subscript"/>
        </w:rPr>
        <w:t>4</w:t>
      </w:r>
      <w:r w:rsidRPr="00AB5A00">
        <w:rPr>
          <w:rFonts w:ascii="Arial" w:hAnsi="Arial" w:cs="Arial"/>
          <w:sz w:val="24"/>
          <w:szCs w:val="24"/>
          <w:highlight w:val="cyan"/>
        </w:rPr>
        <w:t xml:space="preserve"> showed higher root fresh weight, statistically better than T</w:t>
      </w:r>
      <w:r w:rsidRPr="00AB5A00">
        <w:rPr>
          <w:rFonts w:ascii="Arial" w:hAnsi="Arial" w:cs="Arial"/>
          <w:sz w:val="24"/>
          <w:szCs w:val="24"/>
          <w:highlight w:val="cyan"/>
          <w:vertAlign w:val="subscript"/>
        </w:rPr>
        <w:t>7</w:t>
      </w:r>
      <w:r w:rsidRPr="00AB5A00">
        <w:rPr>
          <w:rFonts w:ascii="Arial" w:hAnsi="Arial" w:cs="Arial"/>
          <w:sz w:val="24"/>
          <w:szCs w:val="24"/>
          <w:highlight w:val="cyan"/>
        </w:rPr>
        <w:t xml:space="preserve"> but similar to other treatments.</w:t>
      </w:r>
      <w:r w:rsidRPr="00015C63">
        <w:rPr>
          <w:rFonts w:ascii="Arial" w:hAnsi="Arial" w:cs="Arial"/>
          <w:sz w:val="24"/>
          <w:szCs w:val="24"/>
        </w:rPr>
        <w:t xml:space="preserve"> At 100 DAS, the highest root fresh weight (4.48 g) was again found in T6, followed by T</w:t>
      </w:r>
      <w:r w:rsidRPr="00015C63">
        <w:rPr>
          <w:rFonts w:ascii="Arial" w:hAnsi="Arial" w:cs="Arial"/>
          <w:sz w:val="24"/>
          <w:szCs w:val="24"/>
          <w:vertAlign w:val="subscript"/>
        </w:rPr>
        <w:t>4</w:t>
      </w:r>
      <w:r w:rsidRPr="00015C63">
        <w:rPr>
          <w:rFonts w:ascii="Arial" w:hAnsi="Arial" w:cs="Arial"/>
          <w:sz w:val="24"/>
          <w:szCs w:val="24"/>
        </w:rPr>
        <w:t>, which was significantly superior over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5</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Weed-free conditions promoted better root development by eliminating below-ground competition for moisture and nutrients. T</w:t>
      </w:r>
      <w:r w:rsidRPr="00015C63">
        <w:rPr>
          <w:rFonts w:ascii="Arial" w:hAnsi="Arial" w:cs="Arial"/>
          <w:sz w:val="24"/>
          <w:szCs w:val="24"/>
          <w:vertAlign w:val="subscript"/>
        </w:rPr>
        <w:t>4</w:t>
      </w:r>
      <w:r w:rsidRPr="00015C63">
        <w:rPr>
          <w:rFonts w:ascii="Arial" w:hAnsi="Arial" w:cs="Arial"/>
          <w:sz w:val="24"/>
          <w:szCs w:val="24"/>
        </w:rPr>
        <w:t xml:space="preserve"> also supported greater root biomass due to effective weed suppression and precise herbicide placement. These results align with </w:t>
      </w:r>
      <w:r w:rsidR="00A8365D" w:rsidRPr="00015C63">
        <w:rPr>
          <w:rFonts w:ascii="Arial" w:hAnsi="Arial" w:cs="Arial"/>
          <w:sz w:val="24"/>
          <w:szCs w:val="24"/>
        </w:rPr>
        <w:fldChar w:fldCharType="begin" w:fldLock="1"/>
      </w:r>
      <w:r w:rsidR="00844A48" w:rsidRPr="00015C63">
        <w:rPr>
          <w:rFonts w:ascii="Arial" w:hAnsi="Arial" w:cs="Arial"/>
          <w:sz w:val="24"/>
          <w:szCs w:val="24"/>
        </w:rPr>
        <w:instrText>ADDIN CSL_CITATION {"citationItems":[{"id":"ITEM-1","itemData":{"author":[{"dropping-particle":"","family":"Rana","given":"M.C.","non-dropping-particle":"","parse-names":false,"suffix":""},{"dropping-particle":"","family":"Nag","given":"Manu","non-dropping-particle":"","parse-names":false,"suffix":""},{"dropping-particle":"","family":"Rana","given":"S.S","non-dropping-particle":"","parse-names":false,"suffix":""},{"dropping-particle":"","family":"Sharma","given":"G.D.","non-dropping-particle":"","parse-names":false,"suffix":""}],"container-title":"Indian Journal of Agronomy","id":"ITEM-1","issue":"2","issued":{"date-parts":[["2013"]]},"page":"226-230","title":"Influence of post emergence herbicides on weeds and productivity of garden pea (Pisum sativum) under mid hill conditions of himachal pradesh","type":"article-journal","volume":"58"},"uris":["http://www.mendeley.com/documents/?uuid=b1d95acd-87f5-48b4-9990-54bda644e494"]}],"mendeley":{"formattedCitation":"(Rana et al., 2013)","manualFormatting":"Rana et al.( 2013)","plainTextFormattedCitation":"(Rana et al., 2013)","previouslyFormattedCitation":"(Rana et al., 2013)"},"properties":{"noteIndex":0},"schema":"https://github.com/citation-style-language/schema/raw/master/csl-citation.json"}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 xml:space="preserve">Rana </w:t>
      </w:r>
      <w:r w:rsidR="00A8365D" w:rsidRPr="00696089">
        <w:rPr>
          <w:rFonts w:ascii="Arial" w:hAnsi="Arial" w:cs="Arial"/>
          <w:i/>
          <w:noProof/>
          <w:sz w:val="24"/>
          <w:szCs w:val="24"/>
          <w:highlight w:val="green"/>
        </w:rPr>
        <w:t>et al</w:t>
      </w:r>
      <w:r w:rsidR="00A8365D" w:rsidRPr="00015C63">
        <w:rPr>
          <w:rFonts w:ascii="Arial" w:hAnsi="Arial" w:cs="Arial"/>
          <w:noProof/>
          <w:sz w:val="24"/>
          <w:szCs w:val="24"/>
        </w:rPr>
        <w:t>.( 2013)</w:t>
      </w:r>
      <w:r w:rsidR="00A8365D" w:rsidRPr="00015C63">
        <w:rPr>
          <w:rFonts w:ascii="Arial" w:hAnsi="Arial" w:cs="Arial"/>
          <w:sz w:val="24"/>
          <w:szCs w:val="24"/>
        </w:rPr>
        <w:fldChar w:fldCharType="end"/>
      </w:r>
      <w:r w:rsidRPr="00015C63">
        <w:rPr>
          <w:rFonts w:ascii="Arial" w:hAnsi="Arial" w:cs="Arial"/>
          <w:sz w:val="24"/>
          <w:szCs w:val="24"/>
        </w:rPr>
        <w:t>, who observed improved root biomass with imazethapyr application in legumes. In contrast, T</w:t>
      </w:r>
      <w:r w:rsidRPr="00015C63">
        <w:rPr>
          <w:rFonts w:ascii="Arial" w:hAnsi="Arial" w:cs="Arial"/>
          <w:sz w:val="24"/>
          <w:szCs w:val="24"/>
          <w:vertAlign w:val="subscript"/>
        </w:rPr>
        <w:t>7</w:t>
      </w:r>
      <w:r w:rsidRPr="00015C63">
        <w:rPr>
          <w:rFonts w:ascii="Arial" w:hAnsi="Arial" w:cs="Arial"/>
          <w:sz w:val="24"/>
          <w:szCs w:val="24"/>
        </w:rPr>
        <w:t xml:space="preserve"> exhibited the lowest values, as persistent weeds competed for underground resources, restricting root growth.</w:t>
      </w:r>
    </w:p>
    <w:p w14:paraId="0DD10D79" w14:textId="77777777" w:rsidR="004232FD" w:rsidRPr="00015C63" w:rsidRDefault="004232FD" w:rsidP="00D81640">
      <w:pPr>
        <w:pStyle w:val="Sinespaciado"/>
        <w:spacing w:after="120" w:line="360" w:lineRule="auto"/>
        <w:jc w:val="both"/>
        <w:rPr>
          <w:rFonts w:ascii="Arial" w:hAnsi="Arial" w:cs="Arial"/>
          <w:b/>
          <w:bCs/>
          <w:sz w:val="24"/>
          <w:szCs w:val="24"/>
        </w:rPr>
      </w:pPr>
      <w:r w:rsidRPr="00015C63">
        <w:rPr>
          <w:rFonts w:ascii="Arial" w:hAnsi="Arial" w:cs="Arial"/>
          <w:b/>
          <w:bCs/>
          <w:sz w:val="24"/>
          <w:szCs w:val="24"/>
        </w:rPr>
        <w:t>3.4 Root Dry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27FE946E" w14:textId="1FA144C9" w:rsidR="00277572" w:rsidRPr="00015C63" w:rsidRDefault="004232FD" w:rsidP="00D81640">
      <w:pPr>
        <w:pStyle w:val="Sinespaciado"/>
        <w:spacing w:after="120" w:line="360" w:lineRule="auto"/>
        <w:jc w:val="both"/>
        <w:rPr>
          <w:rFonts w:ascii="Arial" w:hAnsi="Arial" w:cs="Arial"/>
          <w:sz w:val="24"/>
          <w:szCs w:val="24"/>
        </w:rPr>
      </w:pPr>
      <w:r w:rsidRPr="00015C63">
        <w:rPr>
          <w:rFonts w:ascii="Arial" w:hAnsi="Arial" w:cs="Arial"/>
          <w:sz w:val="24"/>
          <w:szCs w:val="24"/>
        </w:rPr>
        <w:t>At 75 DAS, T</w:t>
      </w:r>
      <w:r w:rsidRPr="00015C63">
        <w:rPr>
          <w:rFonts w:ascii="Arial" w:hAnsi="Arial" w:cs="Arial"/>
          <w:sz w:val="24"/>
          <w:szCs w:val="24"/>
          <w:vertAlign w:val="subscript"/>
        </w:rPr>
        <w:t>6</w:t>
      </w:r>
      <w:r w:rsidRPr="00015C63">
        <w:rPr>
          <w:rFonts w:ascii="Arial" w:hAnsi="Arial" w:cs="Arial"/>
          <w:sz w:val="24"/>
          <w:szCs w:val="24"/>
        </w:rPr>
        <w:t xml:space="preserve"> produced the highest root dry weig</w:t>
      </w:r>
      <w:r w:rsidRPr="00595738">
        <w:rPr>
          <w:rFonts w:ascii="Arial" w:hAnsi="Arial" w:cs="Arial"/>
          <w:sz w:val="24"/>
          <w:szCs w:val="24"/>
          <w:highlight w:val="green"/>
        </w:rPr>
        <w:t>ht (</w:t>
      </w:r>
      <w:r w:rsidRPr="00015C63">
        <w:rPr>
          <w:rFonts w:ascii="Arial" w:hAnsi="Arial" w:cs="Arial"/>
          <w:sz w:val="24"/>
          <w:szCs w:val="24"/>
        </w:rPr>
        <w:t>1.26 g), statistically comparable with T</w:t>
      </w:r>
      <w:r w:rsidRPr="00015C63">
        <w:rPr>
          <w:rFonts w:ascii="Arial" w:hAnsi="Arial" w:cs="Arial"/>
          <w:sz w:val="24"/>
          <w:szCs w:val="24"/>
          <w:vertAlign w:val="subscript"/>
        </w:rPr>
        <w:t xml:space="preserve">4 </w:t>
      </w:r>
      <w:r w:rsidRPr="00015C63">
        <w:rPr>
          <w:rFonts w:ascii="Arial" w:hAnsi="Arial" w:cs="Arial"/>
          <w:sz w:val="24"/>
          <w:szCs w:val="24"/>
        </w:rPr>
        <w:t>but superior to other treatments</w:t>
      </w:r>
      <w:r w:rsidR="00595738">
        <w:rPr>
          <w:rFonts w:ascii="Arial" w:hAnsi="Arial" w:cs="Arial"/>
          <w:sz w:val="24"/>
          <w:szCs w:val="24"/>
        </w:rPr>
        <w:t xml:space="preserve"> </w:t>
      </w:r>
      <w:r w:rsidR="00595738" w:rsidRPr="00595738">
        <w:rPr>
          <w:rFonts w:ascii="Arial" w:hAnsi="Arial" w:cs="Arial"/>
          <w:sz w:val="24"/>
          <w:szCs w:val="24"/>
          <w:highlight w:val="green"/>
        </w:rPr>
        <w:t>(Table 3)</w:t>
      </w:r>
      <w:r w:rsidRPr="00015C63">
        <w:rPr>
          <w:rFonts w:ascii="Arial" w:hAnsi="Arial" w:cs="Arial"/>
          <w:sz w:val="24"/>
          <w:szCs w:val="24"/>
        </w:rPr>
        <w:t>. At 100 DAS, maximum root dry weight (1.76 g) was again recorded in T</w:t>
      </w:r>
      <w:r w:rsidRPr="00015C63">
        <w:rPr>
          <w:rFonts w:ascii="Arial" w:hAnsi="Arial" w:cs="Arial"/>
          <w:sz w:val="24"/>
          <w:szCs w:val="24"/>
          <w:vertAlign w:val="subscript"/>
        </w:rPr>
        <w:t>6</w:t>
      </w:r>
      <w:r w:rsidRPr="00015C63">
        <w:rPr>
          <w:rFonts w:ascii="Arial" w:hAnsi="Arial" w:cs="Arial"/>
          <w:sz w:val="24"/>
          <w:szCs w:val="24"/>
        </w:rPr>
        <w:t>, significantly higher than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 but statistically similar to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The higher dry weight in T</w:t>
      </w:r>
      <w:r w:rsidRPr="00015C63">
        <w:rPr>
          <w:rFonts w:ascii="Arial" w:hAnsi="Arial" w:cs="Arial"/>
          <w:sz w:val="24"/>
          <w:szCs w:val="24"/>
          <w:vertAlign w:val="subscript"/>
        </w:rPr>
        <w:t>6</w:t>
      </w:r>
      <w:r w:rsidRPr="00015C63">
        <w:rPr>
          <w:rFonts w:ascii="Arial" w:hAnsi="Arial" w:cs="Arial"/>
          <w:sz w:val="24"/>
          <w:szCs w:val="24"/>
        </w:rPr>
        <w:t xml:space="preserve"> was attributed to the absence of </w:t>
      </w:r>
      <w:proofErr w:type="gramStart"/>
      <w:r w:rsidRPr="00015C63">
        <w:rPr>
          <w:rFonts w:ascii="Arial" w:hAnsi="Arial" w:cs="Arial"/>
          <w:sz w:val="24"/>
          <w:szCs w:val="24"/>
        </w:rPr>
        <w:t>weed</w:t>
      </w:r>
      <w:r w:rsidRPr="00AB5A00">
        <w:rPr>
          <w:rFonts w:ascii="Arial" w:hAnsi="Arial" w:cs="Arial"/>
          <w:sz w:val="24"/>
          <w:szCs w:val="24"/>
          <w:highlight w:val="green"/>
        </w:rPr>
        <w:t>s w</w:t>
      </w:r>
      <w:r w:rsidRPr="00015C63">
        <w:rPr>
          <w:rFonts w:ascii="Arial" w:hAnsi="Arial" w:cs="Arial"/>
          <w:sz w:val="24"/>
          <w:szCs w:val="24"/>
        </w:rPr>
        <w:t>hich</w:t>
      </w:r>
      <w:proofErr w:type="gramEnd"/>
      <w:r w:rsidRPr="00015C63">
        <w:rPr>
          <w:rFonts w:ascii="Arial" w:hAnsi="Arial" w:cs="Arial"/>
          <w:sz w:val="24"/>
          <w:szCs w:val="24"/>
        </w:rPr>
        <w:t xml:space="preserve"> allowed optimum root biomass accumulation. </w:t>
      </w:r>
      <w:r w:rsidRPr="00AB5A00">
        <w:rPr>
          <w:rFonts w:ascii="Arial" w:hAnsi="Arial" w:cs="Arial"/>
          <w:sz w:val="24"/>
          <w:szCs w:val="24"/>
          <w:highlight w:val="cyan"/>
        </w:rPr>
        <w:t>Among herbicidal treatments, T</w:t>
      </w:r>
      <w:r w:rsidRPr="00AB5A00">
        <w:rPr>
          <w:rFonts w:ascii="Arial" w:hAnsi="Arial" w:cs="Arial"/>
          <w:sz w:val="24"/>
          <w:szCs w:val="24"/>
          <w:highlight w:val="cyan"/>
          <w:vertAlign w:val="subscript"/>
        </w:rPr>
        <w:t>4</w:t>
      </w:r>
      <w:r w:rsidRPr="00AB5A00">
        <w:rPr>
          <w:rFonts w:ascii="Arial" w:hAnsi="Arial" w:cs="Arial"/>
          <w:sz w:val="24"/>
          <w:szCs w:val="24"/>
          <w:highlight w:val="cyan"/>
        </w:rPr>
        <w:t xml:space="preserve"> again performed better due to the safe and effective placement of imazethapyr, supporting maximum resource absorption</w:t>
      </w:r>
      <w:r w:rsidRPr="00015C63">
        <w:rPr>
          <w:rFonts w:ascii="Arial" w:hAnsi="Arial" w:cs="Arial"/>
          <w:sz w:val="24"/>
          <w:szCs w:val="24"/>
        </w:rPr>
        <w:t xml:space="preserve">. Similar findings were reported by </w:t>
      </w:r>
      <w:r w:rsidR="00A8365D" w:rsidRPr="00015C63">
        <w:rPr>
          <w:rFonts w:ascii="Arial" w:hAnsi="Arial" w:cs="Arial"/>
          <w:sz w:val="24"/>
          <w:szCs w:val="24"/>
        </w:rPr>
        <w:fldChar w:fldCharType="begin" w:fldLock="1"/>
      </w:r>
      <w:r w:rsidR="00A8365D" w:rsidRPr="00015C63">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 (2024)","plainTextFormattedCitation":"(Thakur et al., 2024)","previouslyFormattedCitation":"(Thakur et al., 2024)"},"properties":{"noteIndex":0},"schema":"https://github.com/citation-style-language/schema/raw/master/csl-citation.json"}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 xml:space="preserve">Thakur </w:t>
      </w:r>
      <w:r w:rsidR="00A8365D" w:rsidRPr="00AB5A00">
        <w:rPr>
          <w:rFonts w:ascii="Arial" w:hAnsi="Arial" w:cs="Arial"/>
          <w:i/>
          <w:noProof/>
          <w:sz w:val="24"/>
          <w:szCs w:val="24"/>
          <w:highlight w:val="green"/>
        </w:rPr>
        <w:t>et al</w:t>
      </w:r>
      <w:r w:rsidR="00A8365D" w:rsidRPr="00015C63">
        <w:rPr>
          <w:rFonts w:ascii="Arial" w:hAnsi="Arial" w:cs="Arial"/>
          <w:noProof/>
          <w:sz w:val="24"/>
          <w:szCs w:val="24"/>
        </w:rPr>
        <w:t>. (2024)</w:t>
      </w:r>
      <w:r w:rsidR="00A8365D" w:rsidRPr="00015C63">
        <w:rPr>
          <w:rFonts w:ascii="Arial" w:hAnsi="Arial" w:cs="Arial"/>
          <w:sz w:val="24"/>
          <w:szCs w:val="24"/>
        </w:rPr>
        <w:fldChar w:fldCharType="end"/>
      </w:r>
      <w:r w:rsidRPr="00015C63">
        <w:rPr>
          <w:rFonts w:ascii="Arial" w:hAnsi="Arial" w:cs="Arial"/>
          <w:sz w:val="24"/>
          <w:szCs w:val="24"/>
        </w:rPr>
        <w:t xml:space="preserve">, who </w:t>
      </w:r>
      <w:r w:rsidRPr="00015C63">
        <w:rPr>
          <w:rFonts w:ascii="Arial" w:hAnsi="Arial" w:cs="Arial"/>
          <w:sz w:val="24"/>
          <w:szCs w:val="24"/>
        </w:rPr>
        <w:lastRenderedPageBreak/>
        <w:t>highlighted that timely and safe imazethapyr application enhanced root biomass in chickpea. On the contrary, T</w:t>
      </w:r>
      <w:r w:rsidRPr="00015C63">
        <w:rPr>
          <w:rFonts w:ascii="Arial" w:hAnsi="Arial" w:cs="Arial"/>
          <w:sz w:val="24"/>
          <w:szCs w:val="24"/>
          <w:vertAlign w:val="subscript"/>
        </w:rPr>
        <w:t>7</w:t>
      </w:r>
      <w:r w:rsidRPr="00015C63">
        <w:rPr>
          <w:rFonts w:ascii="Arial" w:hAnsi="Arial" w:cs="Arial"/>
          <w:sz w:val="24"/>
          <w:szCs w:val="24"/>
        </w:rPr>
        <w:t xml:space="preserve"> consistently showed the lowest root dry weight due to continuous weed interference, which restricted photosynthesis and assimilate partitioning to ro</w:t>
      </w:r>
      <w:r w:rsidRPr="00AB5A00">
        <w:rPr>
          <w:rFonts w:ascii="Arial" w:hAnsi="Arial" w:cs="Arial"/>
          <w:sz w:val="24"/>
          <w:szCs w:val="24"/>
          <w:highlight w:val="green"/>
        </w:rPr>
        <w:t>ots</w:t>
      </w:r>
      <w:r w:rsidR="008663B8" w:rsidRPr="00AB5A00">
        <w:rPr>
          <w:rFonts w:ascii="Arial" w:hAnsi="Arial" w:cs="Arial"/>
          <w:sz w:val="24"/>
          <w:szCs w:val="24"/>
          <w:highlight w:val="green"/>
        </w:rPr>
        <w:t>.</w:t>
      </w:r>
    </w:p>
    <w:p w14:paraId="6C90FFA6" w14:textId="47F30B22" w:rsidR="00CC794D" w:rsidRPr="00015C63" w:rsidRDefault="003C7F9D" w:rsidP="00A12814">
      <w:pPr>
        <w:spacing w:before="240" w:line="276" w:lineRule="auto"/>
        <w:jc w:val="both"/>
        <w:rPr>
          <w:rFonts w:ascii="Arial" w:hAnsi="Arial" w:cs="Arial"/>
          <w:b/>
          <w:bCs/>
        </w:rPr>
      </w:pPr>
      <w:r w:rsidRPr="00015C63">
        <w:rPr>
          <w:rFonts w:ascii="Arial" w:hAnsi="Arial" w:cs="Arial"/>
          <w:b/>
          <w:bCs/>
        </w:rPr>
        <w:t xml:space="preserve">Table </w:t>
      </w:r>
      <w:r w:rsidR="007A67EC" w:rsidRPr="007A67EC">
        <w:rPr>
          <w:rFonts w:ascii="Arial" w:hAnsi="Arial" w:cs="Arial"/>
          <w:b/>
          <w:bCs/>
          <w:highlight w:val="green"/>
        </w:rPr>
        <w:t>2</w:t>
      </w:r>
      <w:r w:rsidR="00EB5328" w:rsidRPr="00015C63">
        <w:rPr>
          <w:rFonts w:ascii="Arial" w:hAnsi="Arial" w:cs="Arial"/>
          <w:b/>
          <w:bCs/>
        </w:rPr>
        <w:t>.</w:t>
      </w:r>
      <w:r w:rsidR="00CC794D" w:rsidRPr="00015C63">
        <w:rPr>
          <w:rFonts w:ascii="Arial" w:hAnsi="Arial" w:cs="Arial"/>
          <w:b/>
          <w:bCs/>
        </w:rPr>
        <w:t xml:space="preserve"> Effect of herbicide and herbicide applicator devices on growth parameters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3513"/>
        <w:gridCol w:w="1080"/>
        <w:gridCol w:w="1170"/>
        <w:gridCol w:w="1710"/>
        <w:gridCol w:w="1368"/>
      </w:tblGrid>
      <w:tr w:rsidR="00C36D28" w:rsidRPr="00015C63" w14:paraId="614CA82C" w14:textId="77777777" w:rsidTr="00277572">
        <w:tc>
          <w:tcPr>
            <w:tcW w:w="3942" w:type="dxa"/>
            <w:gridSpan w:val="2"/>
            <w:vMerge w:val="restart"/>
            <w:tcBorders>
              <w:top w:val="single" w:sz="4" w:space="0" w:color="auto"/>
            </w:tcBorders>
            <w:vAlign w:val="center"/>
          </w:tcPr>
          <w:p w14:paraId="11AC6C48" w14:textId="77777777" w:rsidR="00C36D28" w:rsidRPr="00015C63" w:rsidRDefault="00C36D28" w:rsidP="00277572">
            <w:pPr>
              <w:pStyle w:val="Sinespaciado"/>
              <w:spacing w:line="276" w:lineRule="auto"/>
              <w:jc w:val="center"/>
              <w:rPr>
                <w:rFonts w:ascii="Arial" w:hAnsi="Arial" w:cs="Arial"/>
                <w:b/>
                <w:bCs/>
                <w:szCs w:val="22"/>
              </w:rPr>
            </w:pPr>
            <w:r w:rsidRPr="00015C63">
              <w:rPr>
                <w:rFonts w:ascii="Arial" w:hAnsi="Arial" w:cs="Arial"/>
                <w:b/>
                <w:bCs/>
                <w:szCs w:val="22"/>
              </w:rPr>
              <w:t>Treatment</w:t>
            </w:r>
          </w:p>
        </w:tc>
        <w:tc>
          <w:tcPr>
            <w:tcW w:w="2250" w:type="dxa"/>
            <w:gridSpan w:val="2"/>
            <w:tcBorders>
              <w:top w:val="single" w:sz="4" w:space="0" w:color="auto"/>
              <w:bottom w:val="single" w:sz="4" w:space="0" w:color="auto"/>
            </w:tcBorders>
            <w:vAlign w:val="center"/>
          </w:tcPr>
          <w:p w14:paraId="1EC2CC11" w14:textId="77777777" w:rsidR="00C36D28" w:rsidRPr="00015C63" w:rsidRDefault="00C36D28" w:rsidP="00277572">
            <w:pPr>
              <w:pStyle w:val="Sinespaciado"/>
              <w:spacing w:line="276" w:lineRule="auto"/>
              <w:jc w:val="center"/>
              <w:rPr>
                <w:rFonts w:ascii="Arial" w:hAnsi="Arial" w:cs="Arial"/>
                <w:b/>
                <w:bCs/>
                <w:szCs w:val="22"/>
              </w:rPr>
            </w:pPr>
            <w:r w:rsidRPr="00015C63">
              <w:rPr>
                <w:rFonts w:ascii="Arial" w:hAnsi="Arial" w:cs="Arial"/>
                <w:b/>
                <w:bCs/>
                <w:szCs w:val="22"/>
              </w:rPr>
              <w:t>Plant height (cm)</w:t>
            </w:r>
          </w:p>
        </w:tc>
        <w:tc>
          <w:tcPr>
            <w:tcW w:w="3078" w:type="dxa"/>
            <w:gridSpan w:val="2"/>
            <w:tcBorders>
              <w:top w:val="single" w:sz="4" w:space="0" w:color="auto"/>
              <w:bottom w:val="single" w:sz="4" w:space="0" w:color="auto"/>
            </w:tcBorders>
            <w:vAlign w:val="center"/>
          </w:tcPr>
          <w:p w14:paraId="321B6DB6" w14:textId="77777777" w:rsidR="00C36D28" w:rsidRPr="00015C63" w:rsidRDefault="00C36D28" w:rsidP="00277572">
            <w:pPr>
              <w:pStyle w:val="Sinespaciado"/>
              <w:spacing w:line="276" w:lineRule="auto"/>
              <w:jc w:val="center"/>
              <w:rPr>
                <w:rFonts w:ascii="Arial" w:hAnsi="Arial" w:cs="Arial"/>
                <w:b/>
                <w:bCs/>
                <w:szCs w:val="22"/>
              </w:rPr>
            </w:pPr>
            <w:r w:rsidRPr="00015C63">
              <w:rPr>
                <w:rFonts w:ascii="Arial" w:hAnsi="Arial" w:cs="Arial"/>
                <w:b/>
                <w:bCs/>
                <w:szCs w:val="22"/>
              </w:rPr>
              <w:t>Number of branches plant</w:t>
            </w:r>
            <w:r w:rsidRPr="00015C63">
              <w:rPr>
                <w:rFonts w:ascii="Arial" w:hAnsi="Arial" w:cs="Arial"/>
                <w:b/>
                <w:bCs/>
                <w:szCs w:val="22"/>
                <w:vertAlign w:val="superscript"/>
              </w:rPr>
              <w:t>-1</w:t>
            </w:r>
          </w:p>
        </w:tc>
      </w:tr>
      <w:tr w:rsidR="00C36D28" w:rsidRPr="00015C63" w14:paraId="23B90593" w14:textId="77777777" w:rsidTr="00277572">
        <w:trPr>
          <w:trHeight w:val="414"/>
        </w:trPr>
        <w:tc>
          <w:tcPr>
            <w:tcW w:w="3942" w:type="dxa"/>
            <w:gridSpan w:val="2"/>
            <w:vMerge/>
            <w:tcBorders>
              <w:bottom w:val="single" w:sz="4" w:space="0" w:color="auto"/>
            </w:tcBorders>
            <w:vAlign w:val="center"/>
          </w:tcPr>
          <w:p w14:paraId="54DC7DA5" w14:textId="77777777" w:rsidR="00C36D28" w:rsidRPr="00015C63" w:rsidRDefault="00C36D28" w:rsidP="00277572">
            <w:pPr>
              <w:pStyle w:val="Sinespaciado"/>
              <w:spacing w:line="276" w:lineRule="auto"/>
              <w:jc w:val="center"/>
              <w:rPr>
                <w:rFonts w:ascii="Arial" w:hAnsi="Arial" w:cs="Arial"/>
                <w:szCs w:val="22"/>
              </w:rPr>
            </w:pPr>
          </w:p>
        </w:tc>
        <w:tc>
          <w:tcPr>
            <w:tcW w:w="1080" w:type="dxa"/>
            <w:tcBorders>
              <w:top w:val="single" w:sz="4" w:space="0" w:color="auto"/>
              <w:bottom w:val="single" w:sz="4" w:space="0" w:color="auto"/>
            </w:tcBorders>
            <w:vAlign w:val="center"/>
          </w:tcPr>
          <w:p w14:paraId="29CCFEBB" w14:textId="77777777" w:rsidR="00C36D28"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75 DAS</w:t>
            </w:r>
          </w:p>
        </w:tc>
        <w:tc>
          <w:tcPr>
            <w:tcW w:w="1170" w:type="dxa"/>
            <w:tcBorders>
              <w:top w:val="single" w:sz="4" w:space="0" w:color="auto"/>
              <w:bottom w:val="single" w:sz="4" w:space="0" w:color="auto"/>
            </w:tcBorders>
            <w:vAlign w:val="center"/>
          </w:tcPr>
          <w:p w14:paraId="385512F7" w14:textId="77777777" w:rsidR="00C36D28"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c>
          <w:tcPr>
            <w:tcW w:w="1710" w:type="dxa"/>
            <w:tcBorders>
              <w:top w:val="single" w:sz="4" w:space="0" w:color="auto"/>
              <w:bottom w:val="single" w:sz="4" w:space="0" w:color="auto"/>
            </w:tcBorders>
            <w:vAlign w:val="center"/>
          </w:tcPr>
          <w:p w14:paraId="32C56F10" w14:textId="77777777" w:rsidR="00C36D28"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 xml:space="preserve">75 </w:t>
            </w:r>
            <w:r w:rsidR="00C36D28" w:rsidRPr="00015C63">
              <w:rPr>
                <w:rFonts w:ascii="Arial" w:hAnsi="Arial" w:cs="Arial"/>
                <w:b/>
                <w:bCs/>
                <w:szCs w:val="22"/>
              </w:rPr>
              <w:t>DAS</w:t>
            </w:r>
          </w:p>
        </w:tc>
        <w:tc>
          <w:tcPr>
            <w:tcW w:w="1368" w:type="dxa"/>
            <w:tcBorders>
              <w:top w:val="single" w:sz="4" w:space="0" w:color="auto"/>
              <w:bottom w:val="single" w:sz="4" w:space="0" w:color="auto"/>
            </w:tcBorders>
            <w:vAlign w:val="center"/>
          </w:tcPr>
          <w:p w14:paraId="5B4290C7" w14:textId="77777777" w:rsidR="00C36D28"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r>
      <w:tr w:rsidR="00494EF4" w:rsidRPr="00015C63" w14:paraId="11137318" w14:textId="77777777" w:rsidTr="00277572">
        <w:tc>
          <w:tcPr>
            <w:tcW w:w="429" w:type="dxa"/>
            <w:tcBorders>
              <w:top w:val="single" w:sz="4" w:space="0" w:color="auto"/>
            </w:tcBorders>
            <w:vAlign w:val="center"/>
          </w:tcPr>
          <w:p w14:paraId="0C17A5BB"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1</w:t>
            </w:r>
          </w:p>
        </w:tc>
        <w:tc>
          <w:tcPr>
            <w:tcW w:w="3513" w:type="dxa"/>
            <w:tcBorders>
              <w:top w:val="single" w:sz="4" w:space="0" w:color="auto"/>
            </w:tcBorders>
            <w:vAlign w:val="center"/>
          </w:tcPr>
          <w:p w14:paraId="023DBBCC" w14:textId="77777777" w:rsidR="00494EF4" w:rsidRPr="00015C63" w:rsidRDefault="00494EF4" w:rsidP="00277572">
            <w:pPr>
              <w:pStyle w:val="Sinespaciado"/>
              <w:spacing w:line="276" w:lineRule="auto"/>
              <w:rPr>
                <w:rFonts w:ascii="Arial" w:hAnsi="Arial" w:cs="Arial"/>
                <w:szCs w:val="22"/>
              </w:rPr>
            </w:pPr>
            <w:r w:rsidRPr="00015C63">
              <w:rPr>
                <w:rFonts w:ascii="Arial" w:eastAsia="Times New Roman" w:hAnsi="Arial" w:cs="Arial"/>
                <w:color w:val="000000" w:themeColor="text1"/>
                <w:szCs w:val="22"/>
                <w:lang w:eastAsia="en-IN"/>
              </w:rPr>
              <w:t xml:space="preserve">PE application of Pendimethalin @ 1 kg </w:t>
            </w:r>
            <w:proofErr w:type="spellStart"/>
            <w:r w:rsidRPr="00015C63">
              <w:rPr>
                <w:rFonts w:ascii="Arial" w:eastAsia="Times New Roman" w:hAnsi="Arial" w:cs="Arial"/>
                <w:color w:val="000000" w:themeColor="text1"/>
                <w:szCs w:val="22"/>
                <w:lang w:eastAsia="en-IN"/>
              </w:rPr>
              <w:t>a.i</w:t>
            </w:r>
            <w:proofErr w:type="spellEnd"/>
            <w:r w:rsidRPr="00015C63">
              <w:rPr>
                <w:rFonts w:ascii="Arial" w:eastAsia="Times New Roman" w:hAnsi="Arial" w:cs="Arial"/>
                <w:color w:val="000000" w:themeColor="text1"/>
                <w:szCs w:val="22"/>
                <w:lang w:eastAsia="en-IN"/>
              </w:rPr>
              <w:t>. ha</w:t>
            </w:r>
            <w:r w:rsidRPr="00015C63">
              <w:rPr>
                <w:rFonts w:ascii="Cambria Math" w:eastAsia="Times New Roman" w:hAnsi="Cambria Math" w:cs="Cambria Math"/>
                <w:color w:val="000000" w:themeColor="text1"/>
                <w:szCs w:val="22"/>
                <w:lang w:eastAsia="en-IN"/>
              </w:rPr>
              <w:t>⁻</w:t>
            </w:r>
            <w:r w:rsidRPr="00015C63">
              <w:rPr>
                <w:rFonts w:ascii="Arial" w:eastAsia="Times New Roman" w:hAnsi="Arial" w:cs="Arial"/>
                <w:color w:val="000000" w:themeColor="text1"/>
                <w:szCs w:val="22"/>
                <w:lang w:eastAsia="en-IN"/>
              </w:rPr>
              <w:t>¹</w:t>
            </w:r>
          </w:p>
        </w:tc>
        <w:tc>
          <w:tcPr>
            <w:tcW w:w="1080" w:type="dxa"/>
            <w:tcBorders>
              <w:top w:val="single" w:sz="4" w:space="0" w:color="auto"/>
            </w:tcBorders>
            <w:vAlign w:val="center"/>
          </w:tcPr>
          <w:p w14:paraId="155A31D1"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28.95b</w:t>
            </w:r>
          </w:p>
        </w:tc>
        <w:tc>
          <w:tcPr>
            <w:tcW w:w="1170" w:type="dxa"/>
            <w:tcBorders>
              <w:top w:val="single" w:sz="4" w:space="0" w:color="auto"/>
            </w:tcBorders>
            <w:vAlign w:val="center"/>
          </w:tcPr>
          <w:p w14:paraId="4035D4F4"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42.30a</w:t>
            </w:r>
          </w:p>
        </w:tc>
        <w:tc>
          <w:tcPr>
            <w:tcW w:w="1710" w:type="dxa"/>
            <w:tcBorders>
              <w:top w:val="single" w:sz="4" w:space="0" w:color="auto"/>
            </w:tcBorders>
            <w:vAlign w:val="center"/>
          </w:tcPr>
          <w:p w14:paraId="6C375DB1"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10.25a</w:t>
            </w:r>
          </w:p>
        </w:tc>
        <w:tc>
          <w:tcPr>
            <w:tcW w:w="1368" w:type="dxa"/>
            <w:tcBorders>
              <w:top w:val="single" w:sz="4" w:space="0" w:color="auto"/>
            </w:tcBorders>
            <w:vAlign w:val="center"/>
          </w:tcPr>
          <w:p w14:paraId="23125354"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14.03bc</w:t>
            </w:r>
          </w:p>
        </w:tc>
      </w:tr>
      <w:tr w:rsidR="00494EF4" w:rsidRPr="00015C63" w14:paraId="231DBE17" w14:textId="77777777" w:rsidTr="00277572">
        <w:tc>
          <w:tcPr>
            <w:tcW w:w="429" w:type="dxa"/>
            <w:vAlign w:val="center"/>
          </w:tcPr>
          <w:p w14:paraId="32330E53"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2</w:t>
            </w:r>
          </w:p>
        </w:tc>
        <w:tc>
          <w:tcPr>
            <w:tcW w:w="3513" w:type="dxa"/>
            <w:vAlign w:val="center"/>
          </w:tcPr>
          <w:p w14:paraId="6BB95F3D" w14:textId="77777777" w:rsidR="00494EF4" w:rsidRPr="00015C63" w:rsidRDefault="00494EF4" w:rsidP="00277572">
            <w:pPr>
              <w:spacing w:line="276" w:lineRule="auto"/>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 xml:space="preserve">fb </w:t>
            </w:r>
            <w:r w:rsidRPr="00015C63">
              <w:rPr>
                <w:rFonts w:ascii="Arial" w:eastAsia="Times New Roman" w:hAnsi="Arial" w:cs="Arial"/>
                <w:sz w:val="22"/>
                <w:szCs w:val="22"/>
                <w:lang w:eastAsia="en-IN"/>
              </w:rPr>
              <w:t xml:space="preserve">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¹</w:t>
            </w:r>
          </w:p>
        </w:tc>
        <w:tc>
          <w:tcPr>
            <w:tcW w:w="1080" w:type="dxa"/>
            <w:vAlign w:val="center"/>
          </w:tcPr>
          <w:p w14:paraId="4187A63D"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30.12b</w:t>
            </w:r>
          </w:p>
        </w:tc>
        <w:tc>
          <w:tcPr>
            <w:tcW w:w="1170" w:type="dxa"/>
            <w:vAlign w:val="center"/>
          </w:tcPr>
          <w:p w14:paraId="0C014E66"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43.40a</w:t>
            </w:r>
          </w:p>
        </w:tc>
        <w:tc>
          <w:tcPr>
            <w:tcW w:w="1710" w:type="dxa"/>
            <w:vAlign w:val="center"/>
          </w:tcPr>
          <w:p w14:paraId="29296989"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10.30a</w:t>
            </w:r>
          </w:p>
        </w:tc>
        <w:tc>
          <w:tcPr>
            <w:tcW w:w="1368" w:type="dxa"/>
            <w:vAlign w:val="center"/>
          </w:tcPr>
          <w:p w14:paraId="34C27560"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15.53ab</w:t>
            </w:r>
          </w:p>
        </w:tc>
      </w:tr>
      <w:tr w:rsidR="00494EF4" w:rsidRPr="00015C63" w14:paraId="0ABA9709" w14:textId="77777777" w:rsidTr="00277572">
        <w:tc>
          <w:tcPr>
            <w:tcW w:w="429" w:type="dxa"/>
            <w:vAlign w:val="center"/>
          </w:tcPr>
          <w:p w14:paraId="47124681"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3</w:t>
            </w:r>
          </w:p>
        </w:tc>
        <w:tc>
          <w:tcPr>
            <w:tcW w:w="3513" w:type="dxa"/>
            <w:vAlign w:val="center"/>
          </w:tcPr>
          <w:p w14:paraId="2327AE03" w14:textId="77777777" w:rsidR="00494EF4" w:rsidRPr="00015C63" w:rsidRDefault="00494EF4" w:rsidP="00277572">
            <w:pPr>
              <w:pStyle w:val="Sinespaciado"/>
              <w:spacing w:line="276" w:lineRule="auto"/>
              <w:rPr>
                <w:rFonts w:ascii="Arial" w:hAnsi="Arial" w:cs="Arial"/>
                <w:szCs w:val="22"/>
              </w:rPr>
            </w:pPr>
            <w:r w:rsidRPr="00015C63">
              <w:rPr>
                <w:rFonts w:ascii="Arial" w:hAnsi="Arial" w:cs="Arial"/>
                <w:szCs w:val="22"/>
              </w:rPr>
              <w:t>T</w:t>
            </w:r>
            <w:r w:rsidRPr="00015C63">
              <w:rPr>
                <w:rFonts w:ascii="Cambria Math" w:hAnsi="Cambria Math" w:cs="Cambria Math"/>
                <w:szCs w:val="22"/>
              </w:rPr>
              <w:t>₁</w:t>
            </w:r>
            <w:r w:rsidRPr="00015C63">
              <w:rPr>
                <w:rFonts w:ascii="Arial" w:hAnsi="Arial" w:cs="Arial"/>
                <w:szCs w:val="22"/>
              </w:rPr>
              <w:t xml:space="preserve"> </w:t>
            </w:r>
            <w:r w:rsidRPr="00015C63">
              <w:rPr>
                <w:rFonts w:ascii="Arial" w:hAnsi="Arial" w:cs="Arial"/>
                <w:i/>
                <w:iCs/>
                <w:szCs w:val="22"/>
              </w:rPr>
              <w:t>fb</w:t>
            </w:r>
            <w:r w:rsidRPr="00015C63">
              <w:rPr>
                <w:rFonts w:ascii="Arial" w:hAnsi="Arial" w:cs="Arial"/>
                <w:szCs w:val="22"/>
              </w:rPr>
              <w:t xml:space="preserve"> PoE application of Imazethapyr @ 60 g </w:t>
            </w:r>
            <w:proofErr w:type="spellStart"/>
            <w:r w:rsidRPr="00015C63">
              <w:rPr>
                <w:rFonts w:ascii="Arial" w:hAnsi="Arial" w:cs="Arial"/>
                <w:szCs w:val="22"/>
              </w:rPr>
              <w:t>a.i</w:t>
            </w:r>
            <w:proofErr w:type="spellEnd"/>
            <w:r w:rsidRPr="00015C63">
              <w:rPr>
                <w:rFonts w:ascii="Arial" w:hAnsi="Arial" w:cs="Arial"/>
                <w:szCs w:val="22"/>
              </w:rPr>
              <w:t>. ha</w:t>
            </w:r>
            <w:r w:rsidRPr="00015C63">
              <w:rPr>
                <w:rFonts w:ascii="Cambria Math" w:hAnsi="Cambria Math" w:cs="Cambria Math"/>
                <w:szCs w:val="22"/>
              </w:rPr>
              <w:t>⁻</w:t>
            </w:r>
            <w:r w:rsidRPr="00015C63">
              <w:rPr>
                <w:rFonts w:ascii="Arial" w:hAnsi="Arial" w:cs="Arial"/>
                <w:szCs w:val="22"/>
              </w:rPr>
              <w:t>¹ using spray hood</w:t>
            </w:r>
          </w:p>
        </w:tc>
        <w:tc>
          <w:tcPr>
            <w:tcW w:w="1080" w:type="dxa"/>
            <w:vAlign w:val="center"/>
          </w:tcPr>
          <w:p w14:paraId="444B7930"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31.53a</w:t>
            </w:r>
          </w:p>
        </w:tc>
        <w:tc>
          <w:tcPr>
            <w:tcW w:w="1170" w:type="dxa"/>
            <w:vAlign w:val="center"/>
          </w:tcPr>
          <w:p w14:paraId="1E7506F3"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44.67a</w:t>
            </w:r>
          </w:p>
        </w:tc>
        <w:tc>
          <w:tcPr>
            <w:tcW w:w="1710" w:type="dxa"/>
            <w:vAlign w:val="center"/>
          </w:tcPr>
          <w:p w14:paraId="0A9849F5"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10.51a</w:t>
            </w:r>
          </w:p>
        </w:tc>
        <w:tc>
          <w:tcPr>
            <w:tcW w:w="1368" w:type="dxa"/>
            <w:vAlign w:val="center"/>
          </w:tcPr>
          <w:p w14:paraId="0F59FFE4"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15.70ab</w:t>
            </w:r>
          </w:p>
        </w:tc>
      </w:tr>
      <w:tr w:rsidR="00494EF4" w:rsidRPr="00015C63" w14:paraId="75E5BE94" w14:textId="77777777" w:rsidTr="00277572">
        <w:tc>
          <w:tcPr>
            <w:tcW w:w="429" w:type="dxa"/>
            <w:vAlign w:val="center"/>
          </w:tcPr>
          <w:p w14:paraId="3340F981"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4</w:t>
            </w:r>
          </w:p>
        </w:tc>
        <w:tc>
          <w:tcPr>
            <w:tcW w:w="3513" w:type="dxa"/>
            <w:vAlign w:val="center"/>
          </w:tcPr>
          <w:p w14:paraId="5EB09D68" w14:textId="77777777" w:rsidR="00494EF4" w:rsidRPr="00015C63" w:rsidRDefault="00494EF4" w:rsidP="00277572">
            <w:pPr>
              <w:spacing w:line="276" w:lineRule="auto"/>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fb</w:t>
            </w:r>
            <w:r w:rsidRPr="00015C63">
              <w:rPr>
                <w:rFonts w:ascii="Arial" w:eastAsia="Times New Roman" w:hAnsi="Arial" w:cs="Arial"/>
                <w:sz w:val="22"/>
                <w:szCs w:val="22"/>
                <w:lang w:eastAsia="en-IN"/>
              </w:rPr>
              <w:t xml:space="preserve"> 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 xml:space="preserve">¹ using inter row herbicide applicator (IRHA) developed at R.S.M (P.G.) College, </w:t>
            </w:r>
            <w:proofErr w:type="spellStart"/>
            <w:r w:rsidRPr="00015C63">
              <w:rPr>
                <w:rFonts w:ascii="Arial" w:eastAsia="Times New Roman" w:hAnsi="Arial" w:cs="Arial"/>
                <w:sz w:val="22"/>
                <w:szCs w:val="22"/>
                <w:lang w:eastAsia="en-IN"/>
              </w:rPr>
              <w:t>Dhampur</w:t>
            </w:r>
            <w:proofErr w:type="spellEnd"/>
          </w:p>
        </w:tc>
        <w:tc>
          <w:tcPr>
            <w:tcW w:w="1080" w:type="dxa"/>
            <w:vAlign w:val="center"/>
          </w:tcPr>
          <w:p w14:paraId="38938CED"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33.00a</w:t>
            </w:r>
          </w:p>
        </w:tc>
        <w:tc>
          <w:tcPr>
            <w:tcW w:w="1170" w:type="dxa"/>
            <w:vAlign w:val="center"/>
          </w:tcPr>
          <w:p w14:paraId="0F923A64"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45.00a</w:t>
            </w:r>
          </w:p>
        </w:tc>
        <w:tc>
          <w:tcPr>
            <w:tcW w:w="1710" w:type="dxa"/>
            <w:vAlign w:val="center"/>
          </w:tcPr>
          <w:p w14:paraId="77D6BD15"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11.08a</w:t>
            </w:r>
          </w:p>
        </w:tc>
        <w:tc>
          <w:tcPr>
            <w:tcW w:w="1368" w:type="dxa"/>
            <w:vAlign w:val="center"/>
          </w:tcPr>
          <w:p w14:paraId="0420B5A9"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15.93ab</w:t>
            </w:r>
          </w:p>
        </w:tc>
      </w:tr>
      <w:tr w:rsidR="00494EF4" w:rsidRPr="00015C63" w14:paraId="4A2C270C" w14:textId="77777777" w:rsidTr="00277572">
        <w:tc>
          <w:tcPr>
            <w:tcW w:w="429" w:type="dxa"/>
            <w:vAlign w:val="center"/>
          </w:tcPr>
          <w:p w14:paraId="09CD17B9"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5</w:t>
            </w:r>
          </w:p>
        </w:tc>
        <w:tc>
          <w:tcPr>
            <w:tcW w:w="3513" w:type="dxa"/>
            <w:vAlign w:val="center"/>
          </w:tcPr>
          <w:p w14:paraId="1C13D3AC" w14:textId="77777777" w:rsidR="00494EF4" w:rsidRPr="00015C63" w:rsidRDefault="00494EF4" w:rsidP="00277572">
            <w:pPr>
              <w:pStyle w:val="Sinespaciado"/>
              <w:spacing w:line="276" w:lineRule="auto"/>
              <w:rPr>
                <w:rFonts w:ascii="Arial" w:hAnsi="Arial" w:cs="Arial"/>
                <w:szCs w:val="22"/>
              </w:rPr>
            </w:pPr>
            <w:r w:rsidRPr="00015C63">
              <w:rPr>
                <w:rFonts w:ascii="Arial" w:hAnsi="Arial" w:cs="Arial"/>
                <w:szCs w:val="22"/>
              </w:rPr>
              <w:t>Hand weeding @ 15 and 30 DAS</w:t>
            </w:r>
          </w:p>
        </w:tc>
        <w:tc>
          <w:tcPr>
            <w:tcW w:w="1080" w:type="dxa"/>
            <w:vAlign w:val="center"/>
          </w:tcPr>
          <w:p w14:paraId="3FAC418E"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32.15a</w:t>
            </w:r>
          </w:p>
        </w:tc>
        <w:tc>
          <w:tcPr>
            <w:tcW w:w="1170" w:type="dxa"/>
            <w:vAlign w:val="center"/>
          </w:tcPr>
          <w:p w14:paraId="4E5BB6C8"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44.90a</w:t>
            </w:r>
          </w:p>
        </w:tc>
        <w:tc>
          <w:tcPr>
            <w:tcW w:w="1710" w:type="dxa"/>
            <w:vAlign w:val="center"/>
          </w:tcPr>
          <w:p w14:paraId="2F7FFA76"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10.85a</w:t>
            </w:r>
          </w:p>
        </w:tc>
        <w:tc>
          <w:tcPr>
            <w:tcW w:w="1368" w:type="dxa"/>
            <w:vAlign w:val="center"/>
          </w:tcPr>
          <w:p w14:paraId="5BB8589B"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15.82ab</w:t>
            </w:r>
          </w:p>
        </w:tc>
      </w:tr>
      <w:tr w:rsidR="00494EF4" w:rsidRPr="00015C63" w14:paraId="734865EA" w14:textId="77777777" w:rsidTr="00277572">
        <w:tc>
          <w:tcPr>
            <w:tcW w:w="429" w:type="dxa"/>
            <w:vAlign w:val="center"/>
          </w:tcPr>
          <w:p w14:paraId="1AE2D10D"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6</w:t>
            </w:r>
          </w:p>
        </w:tc>
        <w:tc>
          <w:tcPr>
            <w:tcW w:w="3513" w:type="dxa"/>
            <w:vAlign w:val="center"/>
          </w:tcPr>
          <w:p w14:paraId="0A7AA376" w14:textId="77777777" w:rsidR="00494EF4" w:rsidRPr="00015C63" w:rsidRDefault="00494EF4" w:rsidP="00277572">
            <w:pPr>
              <w:pStyle w:val="Sinespaciado"/>
              <w:spacing w:line="276" w:lineRule="auto"/>
              <w:rPr>
                <w:rFonts w:ascii="Arial" w:hAnsi="Arial" w:cs="Arial"/>
                <w:szCs w:val="22"/>
              </w:rPr>
            </w:pPr>
            <w:r w:rsidRPr="00015C63">
              <w:rPr>
                <w:rFonts w:ascii="Arial" w:hAnsi="Arial" w:cs="Arial"/>
                <w:szCs w:val="22"/>
              </w:rPr>
              <w:t>Weed free</w:t>
            </w:r>
          </w:p>
        </w:tc>
        <w:tc>
          <w:tcPr>
            <w:tcW w:w="1080" w:type="dxa"/>
            <w:vAlign w:val="center"/>
          </w:tcPr>
          <w:p w14:paraId="1DDDA123"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34.10a</w:t>
            </w:r>
          </w:p>
        </w:tc>
        <w:tc>
          <w:tcPr>
            <w:tcW w:w="1170" w:type="dxa"/>
            <w:vAlign w:val="center"/>
          </w:tcPr>
          <w:p w14:paraId="5A7B8930"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45.31a</w:t>
            </w:r>
          </w:p>
        </w:tc>
        <w:tc>
          <w:tcPr>
            <w:tcW w:w="1710" w:type="dxa"/>
            <w:vAlign w:val="center"/>
          </w:tcPr>
          <w:p w14:paraId="504AEF99"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11.10a</w:t>
            </w:r>
          </w:p>
        </w:tc>
        <w:tc>
          <w:tcPr>
            <w:tcW w:w="1368" w:type="dxa"/>
            <w:vAlign w:val="center"/>
          </w:tcPr>
          <w:p w14:paraId="65D68F68"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16.32a</w:t>
            </w:r>
          </w:p>
        </w:tc>
      </w:tr>
      <w:tr w:rsidR="00494EF4" w:rsidRPr="00015C63" w14:paraId="582C9E2C" w14:textId="77777777" w:rsidTr="00277572">
        <w:tc>
          <w:tcPr>
            <w:tcW w:w="429" w:type="dxa"/>
            <w:tcBorders>
              <w:bottom w:val="single" w:sz="4" w:space="0" w:color="auto"/>
            </w:tcBorders>
            <w:vAlign w:val="center"/>
          </w:tcPr>
          <w:p w14:paraId="3B7AB9BE"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7</w:t>
            </w:r>
          </w:p>
        </w:tc>
        <w:tc>
          <w:tcPr>
            <w:tcW w:w="3513" w:type="dxa"/>
            <w:tcBorders>
              <w:bottom w:val="single" w:sz="4" w:space="0" w:color="auto"/>
            </w:tcBorders>
            <w:vAlign w:val="center"/>
          </w:tcPr>
          <w:p w14:paraId="6E34920D" w14:textId="77777777" w:rsidR="00494EF4" w:rsidRPr="00015C63" w:rsidRDefault="00494EF4" w:rsidP="00277572">
            <w:pPr>
              <w:pStyle w:val="Sinespaciado"/>
              <w:spacing w:line="276" w:lineRule="auto"/>
              <w:rPr>
                <w:rFonts w:ascii="Arial" w:hAnsi="Arial" w:cs="Arial"/>
                <w:szCs w:val="22"/>
              </w:rPr>
            </w:pPr>
            <w:r w:rsidRPr="00015C63">
              <w:rPr>
                <w:rFonts w:ascii="Arial" w:hAnsi="Arial" w:cs="Arial"/>
                <w:szCs w:val="22"/>
              </w:rPr>
              <w:t>Weedy check (control)</w:t>
            </w:r>
          </w:p>
        </w:tc>
        <w:tc>
          <w:tcPr>
            <w:tcW w:w="1080" w:type="dxa"/>
            <w:tcBorders>
              <w:bottom w:val="single" w:sz="4" w:space="0" w:color="auto"/>
            </w:tcBorders>
            <w:vAlign w:val="center"/>
          </w:tcPr>
          <w:p w14:paraId="71D3E95E"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24.40b</w:t>
            </w:r>
          </w:p>
        </w:tc>
        <w:tc>
          <w:tcPr>
            <w:tcW w:w="1170" w:type="dxa"/>
            <w:tcBorders>
              <w:bottom w:val="single" w:sz="4" w:space="0" w:color="auto"/>
            </w:tcBorders>
            <w:vAlign w:val="center"/>
          </w:tcPr>
          <w:p w14:paraId="69ACA3AC" w14:textId="77777777" w:rsidR="00494EF4" w:rsidRPr="00015C63" w:rsidRDefault="00494EF4" w:rsidP="00277572">
            <w:pPr>
              <w:pStyle w:val="Sinespaciado"/>
              <w:spacing w:line="276" w:lineRule="auto"/>
              <w:jc w:val="center"/>
              <w:rPr>
                <w:rFonts w:ascii="Arial" w:hAnsi="Arial" w:cs="Arial"/>
                <w:szCs w:val="22"/>
                <w:lang w:eastAsia="en-IN"/>
              </w:rPr>
            </w:pPr>
            <w:r w:rsidRPr="00015C63">
              <w:rPr>
                <w:rFonts w:ascii="Arial" w:hAnsi="Arial" w:cs="Arial"/>
                <w:szCs w:val="22"/>
                <w:lang w:eastAsia="en-IN"/>
              </w:rPr>
              <w:t>36.30b</w:t>
            </w:r>
          </w:p>
        </w:tc>
        <w:tc>
          <w:tcPr>
            <w:tcW w:w="1710" w:type="dxa"/>
            <w:tcBorders>
              <w:bottom w:val="single" w:sz="4" w:space="0" w:color="auto"/>
            </w:tcBorders>
            <w:vAlign w:val="center"/>
          </w:tcPr>
          <w:p w14:paraId="1F0FE650"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8.56b</w:t>
            </w:r>
          </w:p>
        </w:tc>
        <w:tc>
          <w:tcPr>
            <w:tcW w:w="1368" w:type="dxa"/>
            <w:tcBorders>
              <w:bottom w:val="single" w:sz="4" w:space="0" w:color="auto"/>
            </w:tcBorders>
            <w:vAlign w:val="center"/>
          </w:tcPr>
          <w:p w14:paraId="400342F6" w14:textId="77777777" w:rsidR="00494EF4" w:rsidRPr="00015C63" w:rsidRDefault="00494EF4" w:rsidP="00277572">
            <w:pPr>
              <w:pStyle w:val="Sinespaciado"/>
              <w:spacing w:line="276" w:lineRule="auto"/>
              <w:jc w:val="center"/>
              <w:rPr>
                <w:rFonts w:ascii="Arial" w:hAnsi="Arial" w:cs="Arial"/>
                <w:szCs w:val="22"/>
              </w:rPr>
            </w:pPr>
            <w:r w:rsidRPr="00015C63">
              <w:rPr>
                <w:rFonts w:ascii="Arial" w:eastAsia="Times New Roman" w:hAnsi="Arial" w:cs="Arial"/>
                <w:color w:val="000000"/>
                <w:szCs w:val="22"/>
                <w:lang w:eastAsia="en-IN"/>
              </w:rPr>
              <w:t>12.57c</w:t>
            </w:r>
          </w:p>
        </w:tc>
      </w:tr>
      <w:tr w:rsidR="00494EF4" w:rsidRPr="00015C63" w14:paraId="461DBF30" w14:textId="77777777" w:rsidTr="00277572">
        <w:tc>
          <w:tcPr>
            <w:tcW w:w="3942" w:type="dxa"/>
            <w:gridSpan w:val="2"/>
            <w:tcBorders>
              <w:top w:val="single" w:sz="4" w:space="0" w:color="auto"/>
            </w:tcBorders>
            <w:vAlign w:val="center"/>
          </w:tcPr>
          <w:p w14:paraId="42BCF0C6" w14:textId="77777777" w:rsidR="00494EF4" w:rsidRPr="00015C63" w:rsidRDefault="00494EF4" w:rsidP="00EB5328">
            <w:pPr>
              <w:pStyle w:val="Sinespaciado"/>
              <w:spacing w:line="276" w:lineRule="auto"/>
              <w:rPr>
                <w:rFonts w:ascii="Arial" w:hAnsi="Arial" w:cs="Arial"/>
                <w:szCs w:val="22"/>
              </w:rPr>
            </w:pPr>
            <w:proofErr w:type="spellStart"/>
            <w:r w:rsidRPr="00015C63">
              <w:rPr>
                <w:rFonts w:ascii="Arial" w:eastAsia="Times New Roman" w:hAnsi="Arial" w:cs="Arial"/>
                <w:b/>
                <w:bCs/>
                <w:color w:val="000000"/>
                <w:szCs w:val="22"/>
                <w:lang w:eastAsia="en-IN"/>
              </w:rPr>
              <w:t>SEm</w:t>
            </w:r>
            <w:proofErr w:type="spellEnd"/>
            <w:r w:rsidRPr="00015C63">
              <w:rPr>
                <w:rFonts w:ascii="Arial" w:eastAsia="Times New Roman" w:hAnsi="Arial" w:cs="Arial"/>
                <w:b/>
                <w:bCs/>
                <w:color w:val="000000"/>
                <w:szCs w:val="22"/>
                <w:lang w:eastAsia="en-IN"/>
              </w:rPr>
              <w:t>±</w:t>
            </w:r>
          </w:p>
        </w:tc>
        <w:tc>
          <w:tcPr>
            <w:tcW w:w="1080" w:type="dxa"/>
            <w:tcBorders>
              <w:top w:val="single" w:sz="4" w:space="0" w:color="auto"/>
            </w:tcBorders>
            <w:vAlign w:val="center"/>
          </w:tcPr>
          <w:p w14:paraId="656DC042" w14:textId="77777777" w:rsidR="00494EF4"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0.65</w:t>
            </w:r>
          </w:p>
        </w:tc>
        <w:tc>
          <w:tcPr>
            <w:tcW w:w="1170" w:type="dxa"/>
            <w:tcBorders>
              <w:top w:val="single" w:sz="4" w:space="0" w:color="auto"/>
            </w:tcBorders>
            <w:vAlign w:val="center"/>
          </w:tcPr>
          <w:p w14:paraId="3E758622" w14:textId="77777777" w:rsidR="00494EF4" w:rsidRPr="00015C63" w:rsidRDefault="00494EF4" w:rsidP="00277572">
            <w:pPr>
              <w:pStyle w:val="Sinespaciado"/>
              <w:spacing w:line="276" w:lineRule="auto"/>
              <w:jc w:val="center"/>
              <w:rPr>
                <w:rFonts w:ascii="Arial" w:hAnsi="Arial" w:cs="Arial"/>
                <w:b/>
                <w:bCs/>
                <w:szCs w:val="22"/>
                <w:lang w:eastAsia="en-IN"/>
              </w:rPr>
            </w:pPr>
            <w:r w:rsidRPr="00015C63">
              <w:rPr>
                <w:rFonts w:ascii="Arial" w:hAnsi="Arial" w:cs="Arial"/>
                <w:b/>
                <w:bCs/>
                <w:szCs w:val="22"/>
                <w:lang w:eastAsia="en-IN"/>
              </w:rPr>
              <w:t>1.86</w:t>
            </w:r>
          </w:p>
        </w:tc>
        <w:tc>
          <w:tcPr>
            <w:tcW w:w="1710" w:type="dxa"/>
            <w:tcBorders>
              <w:top w:val="single" w:sz="4" w:space="0" w:color="auto"/>
            </w:tcBorders>
            <w:vAlign w:val="center"/>
          </w:tcPr>
          <w:p w14:paraId="3DA79E3E" w14:textId="77777777" w:rsidR="00494EF4" w:rsidRPr="00015C63" w:rsidRDefault="00494EF4" w:rsidP="00277572">
            <w:pPr>
              <w:pStyle w:val="Sinespaciado"/>
              <w:spacing w:line="276" w:lineRule="auto"/>
              <w:jc w:val="center"/>
              <w:rPr>
                <w:rFonts w:ascii="Arial" w:hAnsi="Arial" w:cs="Arial"/>
                <w:b/>
                <w:bCs/>
                <w:szCs w:val="22"/>
                <w:lang w:eastAsia="en-IN"/>
              </w:rPr>
            </w:pPr>
            <w:r w:rsidRPr="00015C63">
              <w:rPr>
                <w:rFonts w:ascii="Arial" w:hAnsi="Arial" w:cs="Arial"/>
                <w:b/>
                <w:bCs/>
                <w:szCs w:val="22"/>
                <w:lang w:eastAsia="en-IN"/>
              </w:rPr>
              <w:t>1.79</w:t>
            </w:r>
          </w:p>
        </w:tc>
        <w:tc>
          <w:tcPr>
            <w:tcW w:w="1368" w:type="dxa"/>
            <w:tcBorders>
              <w:top w:val="single" w:sz="4" w:space="0" w:color="auto"/>
            </w:tcBorders>
            <w:vAlign w:val="center"/>
          </w:tcPr>
          <w:p w14:paraId="626E8CD5" w14:textId="77777777" w:rsidR="00494EF4" w:rsidRPr="00015C63" w:rsidRDefault="00494EF4" w:rsidP="00277572">
            <w:pPr>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0.49</w:t>
            </w:r>
          </w:p>
        </w:tc>
      </w:tr>
      <w:tr w:rsidR="00494EF4" w:rsidRPr="00015C63" w14:paraId="3BCC5598" w14:textId="77777777" w:rsidTr="00277572">
        <w:tc>
          <w:tcPr>
            <w:tcW w:w="3942" w:type="dxa"/>
            <w:gridSpan w:val="2"/>
            <w:tcBorders>
              <w:bottom w:val="single" w:sz="4" w:space="0" w:color="auto"/>
            </w:tcBorders>
            <w:vAlign w:val="center"/>
          </w:tcPr>
          <w:p w14:paraId="7E3C7F48" w14:textId="77777777" w:rsidR="00494EF4" w:rsidRPr="00015C63" w:rsidRDefault="00494EF4" w:rsidP="00EB5328">
            <w:pPr>
              <w:pStyle w:val="Sinespaciado"/>
              <w:spacing w:line="276" w:lineRule="auto"/>
              <w:rPr>
                <w:rFonts w:ascii="Arial" w:hAnsi="Arial" w:cs="Arial"/>
                <w:szCs w:val="22"/>
              </w:rPr>
            </w:pPr>
            <w:r w:rsidRPr="00015C63">
              <w:rPr>
                <w:rFonts w:ascii="Arial" w:eastAsia="Times New Roman" w:hAnsi="Arial" w:cs="Arial"/>
                <w:b/>
                <w:bCs/>
                <w:color w:val="000000"/>
                <w:szCs w:val="22"/>
                <w:lang w:eastAsia="en-IN"/>
              </w:rPr>
              <w:t>CD (0.05)</w:t>
            </w:r>
          </w:p>
        </w:tc>
        <w:tc>
          <w:tcPr>
            <w:tcW w:w="1080" w:type="dxa"/>
            <w:tcBorders>
              <w:bottom w:val="single" w:sz="4" w:space="0" w:color="auto"/>
            </w:tcBorders>
            <w:vAlign w:val="center"/>
          </w:tcPr>
          <w:p w14:paraId="71EBEE1B" w14:textId="77777777" w:rsidR="00494EF4" w:rsidRPr="00015C63" w:rsidRDefault="00494EF4" w:rsidP="00277572">
            <w:pPr>
              <w:pStyle w:val="Sinespaciado"/>
              <w:spacing w:line="276" w:lineRule="auto"/>
              <w:jc w:val="center"/>
              <w:rPr>
                <w:rFonts w:ascii="Arial" w:hAnsi="Arial" w:cs="Arial"/>
                <w:b/>
                <w:bCs/>
                <w:szCs w:val="22"/>
              </w:rPr>
            </w:pPr>
            <w:r w:rsidRPr="00015C63">
              <w:rPr>
                <w:rFonts w:ascii="Arial" w:hAnsi="Arial" w:cs="Arial"/>
                <w:b/>
                <w:bCs/>
                <w:szCs w:val="22"/>
              </w:rPr>
              <w:t>2.0</w:t>
            </w:r>
          </w:p>
        </w:tc>
        <w:tc>
          <w:tcPr>
            <w:tcW w:w="1170" w:type="dxa"/>
            <w:tcBorders>
              <w:bottom w:val="single" w:sz="4" w:space="0" w:color="auto"/>
            </w:tcBorders>
            <w:vAlign w:val="center"/>
          </w:tcPr>
          <w:p w14:paraId="031A72E1" w14:textId="77777777" w:rsidR="00494EF4" w:rsidRPr="00015C63" w:rsidRDefault="00494EF4" w:rsidP="00277572">
            <w:pPr>
              <w:pStyle w:val="Sinespaciado"/>
              <w:spacing w:line="276" w:lineRule="auto"/>
              <w:jc w:val="center"/>
              <w:rPr>
                <w:rFonts w:ascii="Arial" w:hAnsi="Arial" w:cs="Arial"/>
                <w:b/>
                <w:bCs/>
                <w:szCs w:val="22"/>
                <w:lang w:eastAsia="en-IN"/>
              </w:rPr>
            </w:pPr>
            <w:r w:rsidRPr="00015C63">
              <w:rPr>
                <w:rFonts w:ascii="Arial" w:hAnsi="Arial" w:cs="Arial"/>
                <w:b/>
                <w:bCs/>
                <w:szCs w:val="22"/>
                <w:lang w:eastAsia="en-IN"/>
              </w:rPr>
              <w:t>5.73</w:t>
            </w:r>
          </w:p>
        </w:tc>
        <w:tc>
          <w:tcPr>
            <w:tcW w:w="1710" w:type="dxa"/>
            <w:tcBorders>
              <w:bottom w:val="single" w:sz="4" w:space="0" w:color="auto"/>
            </w:tcBorders>
            <w:vAlign w:val="center"/>
          </w:tcPr>
          <w:p w14:paraId="28B5D8F6" w14:textId="77777777" w:rsidR="00494EF4" w:rsidRPr="00015C63" w:rsidRDefault="00494EF4" w:rsidP="00277572">
            <w:pPr>
              <w:pStyle w:val="Sinespaciado"/>
              <w:spacing w:line="276" w:lineRule="auto"/>
              <w:jc w:val="center"/>
              <w:rPr>
                <w:rFonts w:ascii="Arial" w:hAnsi="Arial" w:cs="Arial"/>
                <w:b/>
                <w:bCs/>
                <w:szCs w:val="22"/>
                <w:lang w:eastAsia="en-IN"/>
              </w:rPr>
            </w:pPr>
            <w:r w:rsidRPr="00015C63">
              <w:rPr>
                <w:rFonts w:ascii="Arial" w:hAnsi="Arial" w:cs="Arial"/>
                <w:b/>
                <w:bCs/>
                <w:szCs w:val="22"/>
                <w:lang w:eastAsia="en-IN"/>
              </w:rPr>
              <w:t>5.53</w:t>
            </w:r>
          </w:p>
        </w:tc>
        <w:tc>
          <w:tcPr>
            <w:tcW w:w="1368" w:type="dxa"/>
            <w:tcBorders>
              <w:bottom w:val="single" w:sz="4" w:space="0" w:color="auto"/>
            </w:tcBorders>
            <w:vAlign w:val="center"/>
          </w:tcPr>
          <w:p w14:paraId="63512A30" w14:textId="77777777" w:rsidR="00494EF4" w:rsidRPr="00015C63" w:rsidRDefault="00494EF4" w:rsidP="00277572">
            <w:pPr>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1.50</w:t>
            </w:r>
          </w:p>
        </w:tc>
      </w:tr>
    </w:tbl>
    <w:p w14:paraId="28FC801D" w14:textId="77777777" w:rsidR="00C36D28" w:rsidRPr="00015C63" w:rsidRDefault="00C36D28" w:rsidP="00DF2E7D">
      <w:pPr>
        <w:spacing w:after="120" w:line="360" w:lineRule="auto"/>
        <w:ind w:firstLine="720"/>
        <w:jc w:val="both"/>
        <w:rPr>
          <w:rFonts w:ascii="Arial" w:eastAsia="Times New Roman" w:hAnsi="Arial" w:cs="Arial"/>
          <w:b/>
          <w:bCs/>
          <w:lang w:eastAsia="en-IN"/>
        </w:rPr>
      </w:pPr>
    </w:p>
    <w:p w14:paraId="79CB8E7B" w14:textId="77777777" w:rsidR="00C36D28" w:rsidRPr="00015C63" w:rsidRDefault="00666789" w:rsidP="00A12814">
      <w:pPr>
        <w:spacing w:after="120" w:line="360" w:lineRule="auto"/>
        <w:jc w:val="both"/>
        <w:rPr>
          <w:rFonts w:ascii="Arial" w:eastAsia="Arial Unicode MS" w:hAnsi="Arial" w:cs="Arial"/>
          <w:b/>
          <w:bCs/>
        </w:rPr>
      </w:pPr>
      <w:r w:rsidRPr="00015C63">
        <w:rPr>
          <w:rFonts w:ascii="Arial" w:hAnsi="Arial" w:cs="Arial"/>
          <w:noProof/>
          <w:lang w:val="es-MX" w:eastAsia="es-MX"/>
        </w:rPr>
        <w:drawing>
          <wp:inline distT="0" distB="0" distL="0" distR="0" wp14:anchorId="4B978A9B" wp14:editId="0FAD2A9D">
            <wp:extent cx="5996763" cy="2743200"/>
            <wp:effectExtent l="38100" t="57150" r="42545" b="381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25FC7F" w14:textId="77777777" w:rsidR="00666789" w:rsidRPr="00015C63" w:rsidRDefault="003C7F9D" w:rsidP="00DF2E7D">
      <w:pPr>
        <w:spacing w:after="120" w:line="276" w:lineRule="auto"/>
        <w:jc w:val="both"/>
        <w:rPr>
          <w:rFonts w:ascii="Arial" w:hAnsi="Arial" w:cs="Arial"/>
          <w:b/>
          <w:bCs/>
        </w:rPr>
      </w:pPr>
      <w:r w:rsidRPr="00015C63">
        <w:rPr>
          <w:rFonts w:ascii="Arial" w:hAnsi="Arial" w:cs="Arial"/>
          <w:b/>
          <w:bCs/>
        </w:rPr>
        <w:lastRenderedPageBreak/>
        <w:t>Fig. 1</w:t>
      </w:r>
      <w:r w:rsidR="00666789" w:rsidRPr="00015C63">
        <w:rPr>
          <w:rFonts w:ascii="Arial" w:hAnsi="Arial" w:cs="Arial"/>
          <w:b/>
          <w:bCs/>
        </w:rPr>
        <w:t>. Effect of herbicide and herbicide applicator devices on growth parameters (plant height and number of branches)</w:t>
      </w:r>
    </w:p>
    <w:p w14:paraId="795458B1" w14:textId="77777777" w:rsidR="00666789" w:rsidRPr="00015C63" w:rsidRDefault="00666789" w:rsidP="00DF2E7D">
      <w:pPr>
        <w:spacing w:before="240" w:after="120" w:line="360" w:lineRule="auto"/>
        <w:ind w:firstLine="720"/>
        <w:jc w:val="both"/>
        <w:rPr>
          <w:rFonts w:ascii="Arial" w:eastAsia="Arial Unicode MS" w:hAnsi="Arial" w:cs="Arial"/>
        </w:rPr>
      </w:pPr>
      <w:r w:rsidRPr="00015C63">
        <w:rPr>
          <w:rFonts w:ascii="Arial" w:eastAsia="Arial Unicode MS" w:hAnsi="Arial" w:cs="Arial"/>
        </w:rPr>
        <w:t>.</w:t>
      </w:r>
    </w:p>
    <w:p w14:paraId="33DB8639" w14:textId="77777777" w:rsidR="00542484" w:rsidRPr="00015C63" w:rsidRDefault="00542484" w:rsidP="0026505B">
      <w:pPr>
        <w:spacing w:before="240" w:after="120" w:line="360" w:lineRule="auto"/>
        <w:jc w:val="both"/>
        <w:rPr>
          <w:rFonts w:ascii="Arial" w:eastAsia="Arial Unicode MS" w:hAnsi="Arial" w:cs="Arial"/>
        </w:rPr>
      </w:pPr>
      <w:r w:rsidRPr="00015C63">
        <w:rPr>
          <w:rFonts w:ascii="Arial" w:hAnsi="Arial" w:cs="Arial"/>
          <w:noProof/>
          <w:lang w:val="es-MX" w:eastAsia="es-MX"/>
        </w:rPr>
        <w:drawing>
          <wp:inline distT="0" distB="0" distL="0" distR="0" wp14:anchorId="01487566" wp14:editId="53CC6B8C">
            <wp:extent cx="5953125" cy="3333750"/>
            <wp:effectExtent l="38100" t="57150" r="47625" b="381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B8FF5E" w14:textId="77777777" w:rsidR="00542484" w:rsidRPr="00015C63" w:rsidRDefault="00542484" w:rsidP="00DF2E7D">
      <w:pPr>
        <w:spacing w:after="120" w:line="276" w:lineRule="auto"/>
        <w:jc w:val="both"/>
        <w:rPr>
          <w:rFonts w:ascii="Arial" w:hAnsi="Arial" w:cs="Arial"/>
          <w:b/>
          <w:bCs/>
        </w:rPr>
      </w:pPr>
      <w:r w:rsidRPr="00015C63">
        <w:rPr>
          <w:rFonts w:ascii="Arial" w:hAnsi="Arial" w:cs="Arial"/>
          <w:b/>
          <w:bCs/>
        </w:rPr>
        <w:t>Fig. 2. Effect of herbicide and herbicide applicator devices on growth parameters (root fresh weight and root dry weight)</w:t>
      </w:r>
    </w:p>
    <w:p w14:paraId="5F2977A3" w14:textId="529EDB02" w:rsidR="003C7F9D" w:rsidRPr="00015C63" w:rsidRDefault="003C7F9D" w:rsidP="00DF2E7D">
      <w:pPr>
        <w:spacing w:after="120" w:line="276" w:lineRule="auto"/>
        <w:jc w:val="both"/>
        <w:rPr>
          <w:rFonts w:ascii="Arial" w:hAnsi="Arial" w:cs="Arial"/>
          <w:b/>
          <w:bCs/>
        </w:rPr>
      </w:pPr>
      <w:r w:rsidRPr="00015C63">
        <w:rPr>
          <w:rFonts w:ascii="Arial" w:hAnsi="Arial" w:cs="Arial"/>
          <w:b/>
          <w:bCs/>
        </w:rPr>
        <w:t xml:space="preserve">Table </w:t>
      </w:r>
      <w:r w:rsidR="00696089" w:rsidRPr="00696089">
        <w:rPr>
          <w:rFonts w:ascii="Arial" w:hAnsi="Arial" w:cs="Arial"/>
          <w:b/>
          <w:bCs/>
          <w:highlight w:val="green"/>
        </w:rPr>
        <w:t>3</w:t>
      </w:r>
      <w:r w:rsidR="00E719CB" w:rsidRPr="00015C63">
        <w:rPr>
          <w:rFonts w:ascii="Arial" w:hAnsi="Arial" w:cs="Arial"/>
          <w:b/>
          <w:bCs/>
        </w:rPr>
        <w:t>.</w:t>
      </w:r>
      <w:r w:rsidRPr="00015C63">
        <w:rPr>
          <w:rFonts w:ascii="Arial" w:hAnsi="Arial" w:cs="Arial"/>
          <w:b/>
          <w:bCs/>
        </w:rPr>
        <w:t xml:space="preserve"> Effect of herbicide and herbicide applicator devices on growth parameters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3690"/>
        <w:gridCol w:w="1276"/>
        <w:gridCol w:w="1224"/>
        <w:gridCol w:w="1440"/>
        <w:gridCol w:w="1198"/>
      </w:tblGrid>
      <w:tr w:rsidR="00666789" w:rsidRPr="00015C63" w14:paraId="2E360891" w14:textId="77777777" w:rsidTr="00844A48">
        <w:tc>
          <w:tcPr>
            <w:tcW w:w="4142" w:type="dxa"/>
            <w:gridSpan w:val="2"/>
            <w:vMerge w:val="restart"/>
            <w:tcBorders>
              <w:top w:val="single" w:sz="8" w:space="0" w:color="auto"/>
            </w:tcBorders>
            <w:vAlign w:val="center"/>
          </w:tcPr>
          <w:p w14:paraId="54DF94C9"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Treatment</w:t>
            </w:r>
          </w:p>
        </w:tc>
        <w:tc>
          <w:tcPr>
            <w:tcW w:w="2500" w:type="dxa"/>
            <w:gridSpan w:val="2"/>
            <w:tcBorders>
              <w:top w:val="single" w:sz="8" w:space="0" w:color="auto"/>
              <w:bottom w:val="single" w:sz="8" w:space="0" w:color="auto"/>
            </w:tcBorders>
            <w:vAlign w:val="center"/>
          </w:tcPr>
          <w:p w14:paraId="205BC46E" w14:textId="77777777" w:rsidR="00666789" w:rsidRPr="00015C63" w:rsidRDefault="00666789" w:rsidP="00E719CB">
            <w:pPr>
              <w:pStyle w:val="Sinespaciado"/>
              <w:spacing w:line="276" w:lineRule="auto"/>
              <w:jc w:val="center"/>
              <w:rPr>
                <w:rFonts w:ascii="Arial" w:hAnsi="Arial" w:cs="Arial"/>
                <w:b/>
                <w:bCs/>
                <w:sz w:val="24"/>
                <w:szCs w:val="24"/>
              </w:rPr>
            </w:pPr>
            <w:r w:rsidRPr="00015C63">
              <w:rPr>
                <w:rFonts w:ascii="Arial" w:hAnsi="Arial" w:cs="Arial"/>
                <w:b/>
                <w:bCs/>
                <w:sz w:val="24"/>
                <w:szCs w:val="24"/>
              </w:rPr>
              <w:t>R</w:t>
            </w:r>
            <w:r w:rsidR="00E719CB" w:rsidRPr="00015C63">
              <w:rPr>
                <w:rFonts w:ascii="Arial" w:hAnsi="Arial" w:cs="Arial"/>
                <w:b/>
                <w:bCs/>
                <w:sz w:val="24"/>
                <w:szCs w:val="24"/>
              </w:rPr>
              <w:t xml:space="preserve">oot </w:t>
            </w:r>
            <w:r w:rsidR="00CC53A1" w:rsidRPr="00015C63">
              <w:rPr>
                <w:rFonts w:ascii="Arial" w:hAnsi="Arial" w:cs="Arial"/>
                <w:b/>
                <w:bCs/>
                <w:sz w:val="24"/>
                <w:szCs w:val="24"/>
              </w:rPr>
              <w:t>fresh weight</w:t>
            </w:r>
            <w:r w:rsidR="00844A48" w:rsidRPr="00015C63">
              <w:rPr>
                <w:rFonts w:ascii="Arial" w:hAnsi="Arial" w:cs="Arial"/>
                <w:b/>
                <w:bCs/>
                <w:sz w:val="24"/>
                <w:szCs w:val="24"/>
              </w:rPr>
              <w:t xml:space="preserve"> </w:t>
            </w:r>
            <w:r w:rsidRPr="00015C63">
              <w:rPr>
                <w:rFonts w:ascii="Arial" w:hAnsi="Arial" w:cs="Arial"/>
                <w:b/>
                <w:bCs/>
                <w:sz w:val="24"/>
                <w:szCs w:val="24"/>
              </w:rPr>
              <w:t>(g</w:t>
            </w:r>
            <w:r w:rsidR="00E719CB" w:rsidRPr="00015C63">
              <w:rPr>
                <w:rFonts w:ascii="Arial" w:hAnsi="Arial" w:cs="Arial"/>
                <w:b/>
                <w:bCs/>
                <w:sz w:val="24"/>
                <w:szCs w:val="24"/>
              </w:rPr>
              <w:t xml:space="preserve"> plant</w:t>
            </w:r>
            <w:r w:rsidR="00E719CB" w:rsidRPr="00015C63">
              <w:rPr>
                <w:rFonts w:ascii="Arial" w:hAnsi="Arial" w:cs="Arial"/>
                <w:b/>
                <w:bCs/>
                <w:sz w:val="24"/>
                <w:szCs w:val="24"/>
                <w:vertAlign w:val="superscript"/>
              </w:rPr>
              <w:noBreakHyphen/>
              <w:t>1</w:t>
            </w:r>
            <w:r w:rsidRPr="00015C63">
              <w:rPr>
                <w:rFonts w:ascii="Arial" w:hAnsi="Arial" w:cs="Arial"/>
                <w:b/>
                <w:bCs/>
                <w:sz w:val="24"/>
                <w:szCs w:val="24"/>
              </w:rPr>
              <w:t>)</w:t>
            </w:r>
          </w:p>
        </w:tc>
        <w:tc>
          <w:tcPr>
            <w:tcW w:w="2638" w:type="dxa"/>
            <w:gridSpan w:val="2"/>
            <w:tcBorders>
              <w:top w:val="single" w:sz="8" w:space="0" w:color="auto"/>
              <w:bottom w:val="single" w:sz="8" w:space="0" w:color="auto"/>
            </w:tcBorders>
            <w:vAlign w:val="center"/>
          </w:tcPr>
          <w:p w14:paraId="7B8B6887"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Root dry weight (g)</w:t>
            </w:r>
          </w:p>
        </w:tc>
      </w:tr>
      <w:tr w:rsidR="00666789" w:rsidRPr="00015C63" w14:paraId="29055A2E" w14:textId="77777777" w:rsidTr="00844A48">
        <w:tc>
          <w:tcPr>
            <w:tcW w:w="4142" w:type="dxa"/>
            <w:gridSpan w:val="2"/>
            <w:vMerge/>
            <w:tcBorders>
              <w:bottom w:val="single" w:sz="8" w:space="0" w:color="auto"/>
            </w:tcBorders>
          </w:tcPr>
          <w:p w14:paraId="69F37086" w14:textId="77777777" w:rsidR="00666789" w:rsidRPr="00015C63" w:rsidRDefault="00666789" w:rsidP="00DF2E7D">
            <w:pPr>
              <w:pStyle w:val="Sinespaciado"/>
              <w:spacing w:line="276" w:lineRule="auto"/>
              <w:jc w:val="both"/>
              <w:rPr>
                <w:rFonts w:ascii="Arial" w:hAnsi="Arial" w:cs="Arial"/>
                <w:sz w:val="24"/>
                <w:szCs w:val="24"/>
              </w:rPr>
            </w:pPr>
          </w:p>
        </w:tc>
        <w:tc>
          <w:tcPr>
            <w:tcW w:w="1276" w:type="dxa"/>
            <w:tcBorders>
              <w:top w:val="single" w:sz="8" w:space="0" w:color="auto"/>
              <w:bottom w:val="single" w:sz="8" w:space="0" w:color="auto"/>
            </w:tcBorders>
            <w:vAlign w:val="center"/>
          </w:tcPr>
          <w:p w14:paraId="3B30BA51"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75 DAS</w:t>
            </w:r>
          </w:p>
        </w:tc>
        <w:tc>
          <w:tcPr>
            <w:tcW w:w="1224" w:type="dxa"/>
            <w:tcBorders>
              <w:top w:val="single" w:sz="8" w:space="0" w:color="auto"/>
              <w:bottom w:val="single" w:sz="8" w:space="0" w:color="auto"/>
            </w:tcBorders>
            <w:vAlign w:val="center"/>
          </w:tcPr>
          <w:p w14:paraId="57689602"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100 DAS</w:t>
            </w:r>
          </w:p>
        </w:tc>
        <w:tc>
          <w:tcPr>
            <w:tcW w:w="1440" w:type="dxa"/>
            <w:tcBorders>
              <w:top w:val="single" w:sz="8" w:space="0" w:color="auto"/>
              <w:bottom w:val="single" w:sz="8" w:space="0" w:color="auto"/>
            </w:tcBorders>
            <w:vAlign w:val="center"/>
          </w:tcPr>
          <w:p w14:paraId="624FA9BC"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75 DAS</w:t>
            </w:r>
          </w:p>
        </w:tc>
        <w:tc>
          <w:tcPr>
            <w:tcW w:w="1198" w:type="dxa"/>
            <w:tcBorders>
              <w:top w:val="single" w:sz="8" w:space="0" w:color="auto"/>
              <w:bottom w:val="single" w:sz="8" w:space="0" w:color="auto"/>
            </w:tcBorders>
            <w:vAlign w:val="center"/>
          </w:tcPr>
          <w:p w14:paraId="252F776D" w14:textId="77777777" w:rsidR="00666789" w:rsidRPr="00015C63" w:rsidRDefault="00666789"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100 DAS</w:t>
            </w:r>
          </w:p>
        </w:tc>
      </w:tr>
      <w:tr w:rsidR="003C7F9D" w:rsidRPr="00015C63" w14:paraId="6AF0E447" w14:textId="77777777" w:rsidTr="00844A48">
        <w:tc>
          <w:tcPr>
            <w:tcW w:w="452" w:type="dxa"/>
            <w:tcBorders>
              <w:top w:val="single" w:sz="8" w:space="0" w:color="auto"/>
            </w:tcBorders>
            <w:vAlign w:val="center"/>
          </w:tcPr>
          <w:p w14:paraId="4D61586C"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1</w:t>
            </w:r>
          </w:p>
        </w:tc>
        <w:tc>
          <w:tcPr>
            <w:tcW w:w="3690" w:type="dxa"/>
            <w:tcBorders>
              <w:top w:val="single" w:sz="8" w:space="0" w:color="auto"/>
            </w:tcBorders>
            <w:vAlign w:val="center"/>
          </w:tcPr>
          <w:p w14:paraId="2A8A0C8A"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eastAsia="Times New Roman" w:hAnsi="Arial" w:cs="Arial"/>
                <w:color w:val="000000" w:themeColor="text1"/>
                <w:sz w:val="24"/>
                <w:szCs w:val="24"/>
                <w:lang w:eastAsia="en-IN"/>
              </w:rPr>
              <w:t xml:space="preserve">PE application of Pendimethalin @ 1 kg </w:t>
            </w:r>
            <w:proofErr w:type="spellStart"/>
            <w:r w:rsidRPr="00015C63">
              <w:rPr>
                <w:rFonts w:ascii="Arial" w:eastAsia="Times New Roman" w:hAnsi="Arial" w:cs="Arial"/>
                <w:color w:val="000000" w:themeColor="text1"/>
                <w:sz w:val="24"/>
                <w:szCs w:val="24"/>
                <w:lang w:eastAsia="en-IN"/>
              </w:rPr>
              <w:t>a.i</w:t>
            </w:r>
            <w:proofErr w:type="spellEnd"/>
            <w:r w:rsidRPr="00015C63">
              <w:rPr>
                <w:rFonts w:ascii="Arial" w:eastAsia="Times New Roman" w:hAnsi="Arial" w:cs="Arial"/>
                <w:color w:val="000000" w:themeColor="text1"/>
                <w:sz w:val="24"/>
                <w:szCs w:val="24"/>
                <w:lang w:eastAsia="en-IN"/>
              </w:rPr>
              <w:t>. ha</w:t>
            </w:r>
            <w:r w:rsidRPr="00015C63">
              <w:rPr>
                <w:rFonts w:ascii="Cambria Math" w:eastAsia="Times New Roman" w:hAnsi="Cambria Math" w:cs="Cambria Math"/>
                <w:color w:val="000000" w:themeColor="text1"/>
                <w:sz w:val="24"/>
                <w:szCs w:val="24"/>
                <w:lang w:eastAsia="en-IN"/>
              </w:rPr>
              <w:t>⁻</w:t>
            </w:r>
            <w:r w:rsidRPr="00015C63">
              <w:rPr>
                <w:rFonts w:ascii="Arial" w:eastAsia="Times New Roman" w:hAnsi="Arial" w:cs="Arial"/>
                <w:color w:val="000000" w:themeColor="text1"/>
                <w:sz w:val="24"/>
                <w:szCs w:val="24"/>
                <w:lang w:eastAsia="en-IN"/>
              </w:rPr>
              <w:t>¹</w:t>
            </w:r>
          </w:p>
        </w:tc>
        <w:tc>
          <w:tcPr>
            <w:tcW w:w="1276" w:type="dxa"/>
            <w:tcBorders>
              <w:top w:val="single" w:sz="8" w:space="0" w:color="auto"/>
            </w:tcBorders>
            <w:vAlign w:val="center"/>
          </w:tcPr>
          <w:p w14:paraId="0D0FD3CA"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1.62bc</w:t>
            </w:r>
          </w:p>
        </w:tc>
        <w:tc>
          <w:tcPr>
            <w:tcW w:w="1224" w:type="dxa"/>
            <w:tcBorders>
              <w:top w:val="single" w:sz="8" w:space="0" w:color="auto"/>
            </w:tcBorders>
            <w:vAlign w:val="center"/>
          </w:tcPr>
          <w:p w14:paraId="333CB51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3.23c</w:t>
            </w:r>
          </w:p>
        </w:tc>
        <w:tc>
          <w:tcPr>
            <w:tcW w:w="1440" w:type="dxa"/>
            <w:tcBorders>
              <w:top w:val="single" w:sz="8" w:space="0" w:color="auto"/>
            </w:tcBorders>
            <w:vAlign w:val="center"/>
          </w:tcPr>
          <w:p w14:paraId="3AFB07F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0.81c</w:t>
            </w:r>
          </w:p>
        </w:tc>
        <w:tc>
          <w:tcPr>
            <w:tcW w:w="1198" w:type="dxa"/>
            <w:tcBorders>
              <w:top w:val="single" w:sz="8" w:space="0" w:color="auto"/>
            </w:tcBorders>
            <w:vAlign w:val="center"/>
          </w:tcPr>
          <w:p w14:paraId="4B6E8BAA"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1.39bc</w:t>
            </w:r>
          </w:p>
        </w:tc>
      </w:tr>
      <w:tr w:rsidR="003C7F9D" w:rsidRPr="00015C63" w14:paraId="016E9AB3" w14:textId="77777777" w:rsidTr="00844A48">
        <w:tc>
          <w:tcPr>
            <w:tcW w:w="452" w:type="dxa"/>
            <w:vAlign w:val="center"/>
          </w:tcPr>
          <w:p w14:paraId="36726ABC"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2</w:t>
            </w:r>
          </w:p>
        </w:tc>
        <w:tc>
          <w:tcPr>
            <w:tcW w:w="3690" w:type="dxa"/>
            <w:vAlign w:val="center"/>
          </w:tcPr>
          <w:p w14:paraId="5E757A59" w14:textId="77777777" w:rsidR="003C7F9D" w:rsidRPr="00015C63" w:rsidRDefault="003C7F9D" w:rsidP="00DF2E7D">
            <w:pPr>
              <w:spacing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1276" w:type="dxa"/>
            <w:vAlign w:val="center"/>
          </w:tcPr>
          <w:p w14:paraId="5BE3902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1.65bc</w:t>
            </w:r>
          </w:p>
        </w:tc>
        <w:tc>
          <w:tcPr>
            <w:tcW w:w="1224" w:type="dxa"/>
            <w:vAlign w:val="center"/>
          </w:tcPr>
          <w:p w14:paraId="441F2B7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3.59bc</w:t>
            </w:r>
          </w:p>
        </w:tc>
        <w:tc>
          <w:tcPr>
            <w:tcW w:w="1440" w:type="dxa"/>
            <w:vAlign w:val="center"/>
          </w:tcPr>
          <w:p w14:paraId="7AD396F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0.82c</w:t>
            </w:r>
          </w:p>
        </w:tc>
        <w:tc>
          <w:tcPr>
            <w:tcW w:w="1198" w:type="dxa"/>
            <w:vAlign w:val="center"/>
          </w:tcPr>
          <w:p w14:paraId="2253BC61"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1.43bc</w:t>
            </w:r>
          </w:p>
        </w:tc>
      </w:tr>
      <w:tr w:rsidR="003C7F9D" w:rsidRPr="00015C63" w14:paraId="16D51E25" w14:textId="77777777" w:rsidTr="00844A48">
        <w:tc>
          <w:tcPr>
            <w:tcW w:w="452" w:type="dxa"/>
            <w:vAlign w:val="center"/>
          </w:tcPr>
          <w:p w14:paraId="0B31871E"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3</w:t>
            </w:r>
          </w:p>
        </w:tc>
        <w:tc>
          <w:tcPr>
            <w:tcW w:w="3690" w:type="dxa"/>
            <w:vAlign w:val="center"/>
          </w:tcPr>
          <w:p w14:paraId="06194552"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Cambria Math" w:hAnsi="Cambria Math" w:cs="Cambria Math"/>
                <w:sz w:val="24"/>
                <w:szCs w:val="24"/>
              </w:rPr>
              <w:t>₁</w:t>
            </w:r>
            <w:r w:rsidRPr="00015C63">
              <w:rPr>
                <w:rFonts w:ascii="Arial" w:hAnsi="Arial" w:cs="Arial"/>
                <w:sz w:val="24"/>
                <w:szCs w:val="24"/>
              </w:rPr>
              <w:t xml:space="preserve"> </w:t>
            </w:r>
            <w:r w:rsidRPr="00015C63">
              <w:rPr>
                <w:rFonts w:ascii="Arial" w:hAnsi="Arial" w:cs="Arial"/>
                <w:i/>
                <w:iCs/>
                <w:sz w:val="24"/>
                <w:szCs w:val="24"/>
              </w:rPr>
              <w:t>fb</w:t>
            </w:r>
            <w:r w:rsidRPr="00015C63">
              <w:rPr>
                <w:rFonts w:ascii="Arial" w:hAnsi="Arial" w:cs="Arial"/>
                <w:sz w:val="24"/>
                <w:szCs w:val="24"/>
              </w:rPr>
              <w:t xml:space="preserve"> PoE application of Imazethapyr @ 60 g </w:t>
            </w:r>
            <w:proofErr w:type="spellStart"/>
            <w:r w:rsidRPr="00015C63">
              <w:rPr>
                <w:rFonts w:ascii="Arial" w:hAnsi="Arial" w:cs="Arial"/>
                <w:sz w:val="24"/>
                <w:szCs w:val="24"/>
              </w:rPr>
              <w:t>a.i</w:t>
            </w:r>
            <w:proofErr w:type="spellEnd"/>
            <w:r w:rsidRPr="00015C63">
              <w:rPr>
                <w:rFonts w:ascii="Arial" w:hAnsi="Arial" w:cs="Arial"/>
                <w:sz w:val="24"/>
                <w:szCs w:val="24"/>
              </w:rPr>
              <w:t>. ha</w:t>
            </w:r>
            <w:r w:rsidRPr="00015C63">
              <w:rPr>
                <w:rFonts w:ascii="Cambria Math" w:hAnsi="Cambria Math" w:cs="Cambria Math"/>
                <w:sz w:val="24"/>
                <w:szCs w:val="24"/>
              </w:rPr>
              <w:t>⁻</w:t>
            </w:r>
            <w:r w:rsidRPr="00015C63">
              <w:rPr>
                <w:rFonts w:ascii="Arial" w:hAnsi="Arial" w:cs="Arial"/>
                <w:sz w:val="24"/>
                <w:szCs w:val="24"/>
              </w:rPr>
              <w:t>¹ using spray hood</w:t>
            </w:r>
          </w:p>
        </w:tc>
        <w:tc>
          <w:tcPr>
            <w:tcW w:w="1276" w:type="dxa"/>
            <w:vAlign w:val="center"/>
          </w:tcPr>
          <w:p w14:paraId="12851B58"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1.74b</w:t>
            </w:r>
          </w:p>
        </w:tc>
        <w:tc>
          <w:tcPr>
            <w:tcW w:w="1224" w:type="dxa"/>
            <w:vAlign w:val="center"/>
          </w:tcPr>
          <w:p w14:paraId="1776B1C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3.75bc</w:t>
            </w:r>
          </w:p>
        </w:tc>
        <w:tc>
          <w:tcPr>
            <w:tcW w:w="1440" w:type="dxa"/>
            <w:vAlign w:val="center"/>
          </w:tcPr>
          <w:p w14:paraId="3F90222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0.94bc</w:t>
            </w:r>
          </w:p>
        </w:tc>
        <w:tc>
          <w:tcPr>
            <w:tcW w:w="1198" w:type="dxa"/>
            <w:vAlign w:val="center"/>
          </w:tcPr>
          <w:p w14:paraId="177C4E5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1.50ab</w:t>
            </w:r>
          </w:p>
        </w:tc>
      </w:tr>
      <w:tr w:rsidR="003C7F9D" w:rsidRPr="00015C63" w14:paraId="31B81382" w14:textId="77777777" w:rsidTr="00844A48">
        <w:tc>
          <w:tcPr>
            <w:tcW w:w="452" w:type="dxa"/>
            <w:vAlign w:val="center"/>
          </w:tcPr>
          <w:p w14:paraId="08F22512"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4</w:t>
            </w:r>
          </w:p>
        </w:tc>
        <w:tc>
          <w:tcPr>
            <w:tcW w:w="3690" w:type="dxa"/>
            <w:vAlign w:val="center"/>
          </w:tcPr>
          <w:p w14:paraId="4C84DCC9" w14:textId="77777777" w:rsidR="003C7F9D" w:rsidRPr="00015C63" w:rsidRDefault="003C7F9D" w:rsidP="00DF2E7D">
            <w:pPr>
              <w:spacing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w:t>
            </w:r>
            <w:r w:rsidRPr="00015C63">
              <w:rPr>
                <w:rFonts w:ascii="Arial" w:eastAsia="Times New Roman" w:hAnsi="Arial" w:cs="Arial"/>
                <w:lang w:eastAsia="en-IN"/>
              </w:rPr>
              <w:lastRenderedPageBreak/>
              <w:t xml:space="preserve">applicator (IRHA) developed at R.S.M (P.G.) College, </w:t>
            </w:r>
            <w:proofErr w:type="spellStart"/>
            <w:r w:rsidRPr="00015C63">
              <w:rPr>
                <w:rFonts w:ascii="Arial" w:eastAsia="Times New Roman" w:hAnsi="Arial" w:cs="Arial"/>
                <w:lang w:eastAsia="en-IN"/>
              </w:rPr>
              <w:t>Dhampur</w:t>
            </w:r>
            <w:proofErr w:type="spellEnd"/>
          </w:p>
        </w:tc>
        <w:tc>
          <w:tcPr>
            <w:tcW w:w="1276" w:type="dxa"/>
            <w:vAlign w:val="center"/>
          </w:tcPr>
          <w:p w14:paraId="2016DC2B"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lastRenderedPageBreak/>
              <w:t>1.90ab</w:t>
            </w:r>
          </w:p>
        </w:tc>
        <w:tc>
          <w:tcPr>
            <w:tcW w:w="1224" w:type="dxa"/>
            <w:vAlign w:val="center"/>
          </w:tcPr>
          <w:p w14:paraId="28092C9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3.90ab</w:t>
            </w:r>
          </w:p>
        </w:tc>
        <w:tc>
          <w:tcPr>
            <w:tcW w:w="1440" w:type="dxa"/>
            <w:vAlign w:val="center"/>
          </w:tcPr>
          <w:p w14:paraId="0300AE4C"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1.15ab</w:t>
            </w:r>
          </w:p>
        </w:tc>
        <w:tc>
          <w:tcPr>
            <w:tcW w:w="1198" w:type="dxa"/>
            <w:vAlign w:val="center"/>
          </w:tcPr>
          <w:p w14:paraId="4C2B3C6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1.60ab</w:t>
            </w:r>
          </w:p>
        </w:tc>
      </w:tr>
      <w:tr w:rsidR="003C7F9D" w:rsidRPr="00015C63" w14:paraId="1279E58C" w14:textId="77777777" w:rsidTr="00844A48">
        <w:tc>
          <w:tcPr>
            <w:tcW w:w="452" w:type="dxa"/>
            <w:vAlign w:val="center"/>
          </w:tcPr>
          <w:p w14:paraId="7DD12A87"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5</w:t>
            </w:r>
          </w:p>
        </w:tc>
        <w:tc>
          <w:tcPr>
            <w:tcW w:w="3690" w:type="dxa"/>
            <w:vAlign w:val="center"/>
          </w:tcPr>
          <w:p w14:paraId="5C59881C"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Hand weeding @ 15 and 30 DAS</w:t>
            </w:r>
          </w:p>
        </w:tc>
        <w:tc>
          <w:tcPr>
            <w:tcW w:w="1276" w:type="dxa"/>
            <w:vAlign w:val="center"/>
          </w:tcPr>
          <w:p w14:paraId="71C778C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1.80ab</w:t>
            </w:r>
          </w:p>
        </w:tc>
        <w:tc>
          <w:tcPr>
            <w:tcW w:w="1224" w:type="dxa"/>
            <w:vAlign w:val="center"/>
          </w:tcPr>
          <w:p w14:paraId="0C72607D"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3.80bc</w:t>
            </w:r>
          </w:p>
        </w:tc>
        <w:tc>
          <w:tcPr>
            <w:tcW w:w="1440" w:type="dxa"/>
            <w:vAlign w:val="center"/>
          </w:tcPr>
          <w:p w14:paraId="1AEC5362"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0.96bc</w:t>
            </w:r>
          </w:p>
        </w:tc>
        <w:tc>
          <w:tcPr>
            <w:tcW w:w="1198" w:type="dxa"/>
            <w:vAlign w:val="center"/>
          </w:tcPr>
          <w:p w14:paraId="7747A46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1.58ab</w:t>
            </w:r>
          </w:p>
        </w:tc>
      </w:tr>
      <w:tr w:rsidR="003C7F9D" w:rsidRPr="00015C63" w14:paraId="7A7E21F9" w14:textId="77777777" w:rsidTr="00844A48">
        <w:tc>
          <w:tcPr>
            <w:tcW w:w="452" w:type="dxa"/>
            <w:vAlign w:val="center"/>
          </w:tcPr>
          <w:p w14:paraId="6967EA46"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6</w:t>
            </w:r>
          </w:p>
        </w:tc>
        <w:tc>
          <w:tcPr>
            <w:tcW w:w="3690" w:type="dxa"/>
            <w:vAlign w:val="center"/>
          </w:tcPr>
          <w:p w14:paraId="52936508"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Weed free</w:t>
            </w:r>
          </w:p>
        </w:tc>
        <w:tc>
          <w:tcPr>
            <w:tcW w:w="1276" w:type="dxa"/>
            <w:vAlign w:val="center"/>
          </w:tcPr>
          <w:p w14:paraId="7B97C96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2.14a</w:t>
            </w:r>
          </w:p>
        </w:tc>
        <w:tc>
          <w:tcPr>
            <w:tcW w:w="1224" w:type="dxa"/>
            <w:vAlign w:val="center"/>
          </w:tcPr>
          <w:p w14:paraId="091785E3"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4.48a</w:t>
            </w:r>
          </w:p>
        </w:tc>
        <w:tc>
          <w:tcPr>
            <w:tcW w:w="1440" w:type="dxa"/>
            <w:vAlign w:val="center"/>
          </w:tcPr>
          <w:p w14:paraId="667811E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1.26a</w:t>
            </w:r>
          </w:p>
        </w:tc>
        <w:tc>
          <w:tcPr>
            <w:tcW w:w="1198" w:type="dxa"/>
            <w:vAlign w:val="center"/>
          </w:tcPr>
          <w:p w14:paraId="2754C7B5"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1.76a</w:t>
            </w:r>
          </w:p>
        </w:tc>
      </w:tr>
      <w:tr w:rsidR="003C7F9D" w:rsidRPr="00015C63" w14:paraId="0B2CA368" w14:textId="77777777" w:rsidTr="00844A48">
        <w:tc>
          <w:tcPr>
            <w:tcW w:w="452" w:type="dxa"/>
            <w:tcBorders>
              <w:bottom w:val="single" w:sz="8" w:space="0" w:color="auto"/>
            </w:tcBorders>
            <w:vAlign w:val="center"/>
          </w:tcPr>
          <w:p w14:paraId="53EA48A3"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7</w:t>
            </w:r>
          </w:p>
        </w:tc>
        <w:tc>
          <w:tcPr>
            <w:tcW w:w="3690" w:type="dxa"/>
            <w:tcBorders>
              <w:bottom w:val="single" w:sz="8" w:space="0" w:color="auto"/>
            </w:tcBorders>
            <w:vAlign w:val="center"/>
          </w:tcPr>
          <w:p w14:paraId="5DF186BB"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Weedy check (control)</w:t>
            </w:r>
          </w:p>
        </w:tc>
        <w:tc>
          <w:tcPr>
            <w:tcW w:w="1276" w:type="dxa"/>
            <w:tcBorders>
              <w:bottom w:val="single" w:sz="8" w:space="0" w:color="auto"/>
            </w:tcBorders>
            <w:vAlign w:val="center"/>
          </w:tcPr>
          <w:p w14:paraId="15CA94E5"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1.30c</w:t>
            </w:r>
          </w:p>
        </w:tc>
        <w:tc>
          <w:tcPr>
            <w:tcW w:w="1224" w:type="dxa"/>
            <w:tcBorders>
              <w:bottom w:val="single" w:sz="8" w:space="0" w:color="auto"/>
            </w:tcBorders>
            <w:vAlign w:val="center"/>
          </w:tcPr>
          <w:p w14:paraId="17BECA51"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3.20c</w:t>
            </w:r>
          </w:p>
        </w:tc>
        <w:tc>
          <w:tcPr>
            <w:tcW w:w="1440" w:type="dxa"/>
            <w:tcBorders>
              <w:bottom w:val="single" w:sz="8" w:space="0" w:color="auto"/>
            </w:tcBorders>
            <w:vAlign w:val="center"/>
          </w:tcPr>
          <w:p w14:paraId="0D6456F4"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0.78c</w:t>
            </w:r>
          </w:p>
        </w:tc>
        <w:tc>
          <w:tcPr>
            <w:tcW w:w="1198" w:type="dxa"/>
            <w:tcBorders>
              <w:bottom w:val="single" w:sz="8" w:space="0" w:color="auto"/>
            </w:tcBorders>
            <w:vAlign w:val="center"/>
          </w:tcPr>
          <w:p w14:paraId="5D6873BB"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1.17c</w:t>
            </w:r>
          </w:p>
        </w:tc>
      </w:tr>
      <w:tr w:rsidR="003C7F9D" w:rsidRPr="00015C63" w14:paraId="432ED486" w14:textId="77777777" w:rsidTr="00844A48">
        <w:tc>
          <w:tcPr>
            <w:tcW w:w="4142" w:type="dxa"/>
            <w:gridSpan w:val="2"/>
            <w:tcBorders>
              <w:top w:val="single" w:sz="8" w:space="0" w:color="auto"/>
            </w:tcBorders>
          </w:tcPr>
          <w:p w14:paraId="4A85716C" w14:textId="77777777" w:rsidR="003C7F9D" w:rsidRPr="00015C63" w:rsidRDefault="003C7F9D" w:rsidP="00DF2E7D">
            <w:pPr>
              <w:pStyle w:val="Sinespaciado"/>
              <w:spacing w:line="276" w:lineRule="auto"/>
              <w:jc w:val="both"/>
              <w:rPr>
                <w:rFonts w:ascii="Arial" w:hAnsi="Arial" w:cs="Arial"/>
                <w:sz w:val="24"/>
                <w:szCs w:val="24"/>
              </w:rPr>
            </w:pPr>
            <w:proofErr w:type="spellStart"/>
            <w:r w:rsidRPr="00015C63">
              <w:rPr>
                <w:rFonts w:ascii="Arial" w:eastAsia="Times New Roman" w:hAnsi="Arial" w:cs="Arial"/>
                <w:b/>
                <w:bCs/>
                <w:color w:val="000000"/>
                <w:sz w:val="24"/>
                <w:szCs w:val="24"/>
                <w:lang w:eastAsia="en-IN"/>
              </w:rPr>
              <w:t>SEm</w:t>
            </w:r>
            <w:proofErr w:type="spellEnd"/>
            <w:r w:rsidRPr="00015C63">
              <w:rPr>
                <w:rFonts w:ascii="Arial" w:eastAsia="Times New Roman" w:hAnsi="Arial" w:cs="Arial"/>
                <w:b/>
                <w:bCs/>
                <w:color w:val="000000"/>
                <w:sz w:val="24"/>
                <w:szCs w:val="24"/>
                <w:lang w:eastAsia="en-IN"/>
              </w:rPr>
              <w:t>±</w:t>
            </w:r>
          </w:p>
        </w:tc>
        <w:tc>
          <w:tcPr>
            <w:tcW w:w="1276" w:type="dxa"/>
            <w:tcBorders>
              <w:top w:val="single" w:sz="8" w:space="0" w:color="auto"/>
            </w:tcBorders>
            <w:vAlign w:val="center"/>
          </w:tcPr>
          <w:p w14:paraId="7C5D0F40"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hAnsi="Arial" w:cs="Arial"/>
                <w:sz w:val="24"/>
                <w:szCs w:val="24"/>
              </w:rPr>
              <w:t>0.65</w:t>
            </w:r>
          </w:p>
        </w:tc>
        <w:tc>
          <w:tcPr>
            <w:tcW w:w="1224" w:type="dxa"/>
            <w:tcBorders>
              <w:top w:val="single" w:sz="8" w:space="0" w:color="auto"/>
            </w:tcBorders>
            <w:vAlign w:val="center"/>
          </w:tcPr>
          <w:p w14:paraId="191F1458"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0.12</w:t>
            </w:r>
          </w:p>
        </w:tc>
        <w:tc>
          <w:tcPr>
            <w:tcW w:w="1440" w:type="dxa"/>
            <w:tcBorders>
              <w:top w:val="single" w:sz="8" w:space="0" w:color="auto"/>
            </w:tcBorders>
            <w:vAlign w:val="center"/>
          </w:tcPr>
          <w:p w14:paraId="585C44D1"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0.08</w:t>
            </w:r>
          </w:p>
        </w:tc>
        <w:tc>
          <w:tcPr>
            <w:tcW w:w="1198" w:type="dxa"/>
            <w:tcBorders>
              <w:top w:val="single" w:sz="8" w:space="0" w:color="auto"/>
            </w:tcBorders>
            <w:vAlign w:val="center"/>
          </w:tcPr>
          <w:p w14:paraId="66C8DF63"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0.11</w:t>
            </w:r>
          </w:p>
        </w:tc>
      </w:tr>
      <w:tr w:rsidR="003C7F9D" w:rsidRPr="00015C63" w14:paraId="177BB3E4" w14:textId="77777777" w:rsidTr="00844A48">
        <w:tc>
          <w:tcPr>
            <w:tcW w:w="4142" w:type="dxa"/>
            <w:gridSpan w:val="2"/>
            <w:tcBorders>
              <w:bottom w:val="single" w:sz="8" w:space="0" w:color="auto"/>
            </w:tcBorders>
          </w:tcPr>
          <w:p w14:paraId="769BE04F" w14:textId="77777777" w:rsidR="003C7F9D" w:rsidRPr="00015C63" w:rsidRDefault="003C7F9D" w:rsidP="00DF2E7D">
            <w:pPr>
              <w:pStyle w:val="Sinespaciado"/>
              <w:spacing w:line="276" w:lineRule="auto"/>
              <w:jc w:val="both"/>
              <w:rPr>
                <w:rFonts w:ascii="Arial" w:hAnsi="Arial" w:cs="Arial"/>
                <w:sz w:val="24"/>
                <w:szCs w:val="24"/>
              </w:rPr>
            </w:pPr>
            <w:r w:rsidRPr="00015C63">
              <w:rPr>
                <w:rFonts w:ascii="Arial" w:eastAsia="Times New Roman" w:hAnsi="Arial" w:cs="Arial"/>
                <w:b/>
                <w:bCs/>
                <w:color w:val="000000"/>
                <w:sz w:val="24"/>
                <w:szCs w:val="24"/>
                <w:lang w:eastAsia="en-IN"/>
              </w:rPr>
              <w:t>CD (0.05)</w:t>
            </w:r>
          </w:p>
        </w:tc>
        <w:tc>
          <w:tcPr>
            <w:tcW w:w="1276" w:type="dxa"/>
            <w:tcBorders>
              <w:bottom w:val="single" w:sz="8" w:space="0" w:color="auto"/>
            </w:tcBorders>
            <w:vAlign w:val="center"/>
          </w:tcPr>
          <w:p w14:paraId="54F9296A" w14:textId="77777777" w:rsidR="003C7F9D" w:rsidRPr="00015C63" w:rsidRDefault="003C7F9D" w:rsidP="00DF2E7D">
            <w:pPr>
              <w:pStyle w:val="Sinespaciado"/>
              <w:spacing w:line="276" w:lineRule="auto"/>
              <w:jc w:val="both"/>
              <w:rPr>
                <w:rFonts w:ascii="Arial" w:hAnsi="Arial" w:cs="Arial"/>
                <w:b/>
                <w:bCs/>
                <w:sz w:val="24"/>
                <w:szCs w:val="24"/>
              </w:rPr>
            </w:pPr>
            <w:r w:rsidRPr="00015C63">
              <w:rPr>
                <w:rFonts w:ascii="Arial" w:hAnsi="Arial" w:cs="Arial"/>
                <w:b/>
                <w:bCs/>
                <w:sz w:val="24"/>
                <w:szCs w:val="24"/>
              </w:rPr>
              <w:t>2.0</w:t>
            </w:r>
          </w:p>
        </w:tc>
        <w:tc>
          <w:tcPr>
            <w:tcW w:w="1224" w:type="dxa"/>
            <w:tcBorders>
              <w:bottom w:val="single" w:sz="8" w:space="0" w:color="auto"/>
            </w:tcBorders>
            <w:vAlign w:val="center"/>
          </w:tcPr>
          <w:p w14:paraId="75B6A4F1"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0.38</w:t>
            </w:r>
          </w:p>
        </w:tc>
        <w:tc>
          <w:tcPr>
            <w:tcW w:w="1440" w:type="dxa"/>
            <w:tcBorders>
              <w:bottom w:val="single" w:sz="8" w:space="0" w:color="auto"/>
            </w:tcBorders>
            <w:vAlign w:val="center"/>
          </w:tcPr>
          <w:p w14:paraId="7AE29ECB"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0.24</w:t>
            </w:r>
          </w:p>
        </w:tc>
        <w:tc>
          <w:tcPr>
            <w:tcW w:w="1198" w:type="dxa"/>
            <w:tcBorders>
              <w:bottom w:val="single" w:sz="8" w:space="0" w:color="auto"/>
            </w:tcBorders>
            <w:vAlign w:val="center"/>
          </w:tcPr>
          <w:p w14:paraId="62F2CBA7"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0.33</w:t>
            </w:r>
          </w:p>
        </w:tc>
      </w:tr>
    </w:tbl>
    <w:p w14:paraId="7FB0ECB8" w14:textId="77777777" w:rsidR="004232FD" w:rsidRPr="00015C63" w:rsidRDefault="004232FD" w:rsidP="00DF2E7D">
      <w:pPr>
        <w:spacing w:after="120" w:line="360" w:lineRule="auto"/>
        <w:jc w:val="both"/>
        <w:rPr>
          <w:rFonts w:ascii="Arial" w:eastAsia="Arial Unicode MS" w:hAnsi="Arial" w:cs="Arial"/>
          <w:b/>
          <w:bCs/>
        </w:rPr>
      </w:pPr>
    </w:p>
    <w:p w14:paraId="41764634" w14:textId="77777777" w:rsidR="009573C2" w:rsidRPr="00015C63" w:rsidRDefault="00A90647" w:rsidP="00DF2E7D">
      <w:pPr>
        <w:spacing w:after="120" w:line="360" w:lineRule="auto"/>
        <w:jc w:val="both"/>
        <w:rPr>
          <w:rFonts w:ascii="Arial" w:eastAsia="Arial Unicode MS" w:hAnsi="Arial" w:cs="Arial"/>
          <w:b/>
          <w:bCs/>
        </w:rPr>
      </w:pPr>
      <w:r w:rsidRPr="00015C63">
        <w:rPr>
          <w:rFonts w:ascii="Arial" w:eastAsia="Arial Unicode MS" w:hAnsi="Arial" w:cs="Arial"/>
          <w:b/>
          <w:bCs/>
        </w:rPr>
        <w:t>4</w:t>
      </w:r>
      <w:r w:rsidR="009573C2" w:rsidRPr="00015C63">
        <w:rPr>
          <w:rFonts w:ascii="Arial" w:eastAsia="Arial Unicode MS" w:hAnsi="Arial" w:cs="Arial"/>
          <w:b/>
          <w:bCs/>
        </w:rPr>
        <w:t xml:space="preserve">. Conclusion </w:t>
      </w:r>
    </w:p>
    <w:p w14:paraId="7170205D" w14:textId="77777777" w:rsidR="00A372A7" w:rsidRPr="00015C63" w:rsidRDefault="00A372A7" w:rsidP="00DD6682">
      <w:pPr>
        <w:pStyle w:val="NormalWeb"/>
        <w:spacing w:line="360" w:lineRule="auto"/>
        <w:jc w:val="both"/>
        <w:rPr>
          <w:rFonts w:ascii="Arial" w:hAnsi="Arial" w:cs="Arial"/>
        </w:rPr>
      </w:pPr>
      <w:r w:rsidRPr="00015C63">
        <w:rPr>
          <w:rFonts w:ascii="Arial" w:hAnsi="Arial" w:cs="Arial"/>
        </w:rPr>
        <w:t xml:space="preserve">The present investigation revealed that effective weed management plays a pivotal role in enhancing the growth and </w:t>
      </w:r>
      <w:proofErr w:type="spellStart"/>
      <w:r w:rsidRPr="00015C63">
        <w:rPr>
          <w:rFonts w:ascii="Arial" w:hAnsi="Arial" w:cs="Arial"/>
        </w:rPr>
        <w:t>vigor</w:t>
      </w:r>
      <w:proofErr w:type="spellEnd"/>
      <w:r w:rsidRPr="00015C63">
        <w:rPr>
          <w:rFonts w:ascii="Arial" w:hAnsi="Arial" w:cs="Arial"/>
        </w:rPr>
        <w:t xml:space="preserve"> of chickpea. Among the tested treatments, the </w:t>
      </w:r>
      <w:r w:rsidRPr="00015C63">
        <w:rPr>
          <w:rStyle w:val="Textoennegrita"/>
          <w:rFonts w:ascii="Arial" w:hAnsi="Arial" w:cs="Arial"/>
        </w:rPr>
        <w:t>pre-emergence application of pendimethalin followed by post-emergence application of imazethapyr using an inter-row herbicide applicator (T</w:t>
      </w:r>
      <w:r w:rsidRPr="00015C63">
        <w:rPr>
          <w:rStyle w:val="Textoennegrita"/>
          <w:rFonts w:ascii="Cambria Math" w:hAnsi="Cambria Math" w:cs="Cambria Math"/>
        </w:rPr>
        <w:t>₄</w:t>
      </w:r>
      <w:r w:rsidRPr="00015C63">
        <w:rPr>
          <w:rStyle w:val="Textoennegrita"/>
          <w:rFonts w:ascii="Arial" w:hAnsi="Arial" w:cs="Arial"/>
        </w:rPr>
        <w:t>)</w:t>
      </w:r>
      <w:r w:rsidRPr="00015C63">
        <w:rPr>
          <w:rFonts w:ascii="Arial" w:hAnsi="Arial" w:cs="Arial"/>
        </w:rPr>
        <w:t xml:space="preserve"> proved most effective after the weed-free condition, ensuring better plant height, higher number of branches, and improved root biomass at successive growth stages. </w:t>
      </w:r>
    </w:p>
    <w:p w14:paraId="75968A11" w14:textId="77777777" w:rsidR="009573C2" w:rsidRPr="00015C63" w:rsidRDefault="009573C2" w:rsidP="00DD6682">
      <w:pPr>
        <w:spacing w:after="120" w:line="360" w:lineRule="auto"/>
        <w:jc w:val="both"/>
        <w:rPr>
          <w:rFonts w:ascii="Arial" w:eastAsia="Times New Roman" w:hAnsi="Arial" w:cs="Arial"/>
          <w:lang w:eastAsia="en-IN"/>
        </w:rPr>
      </w:pPr>
      <w:r w:rsidRPr="00015C63">
        <w:rPr>
          <w:rFonts w:ascii="Arial" w:eastAsia="Times New Roman" w:hAnsi="Arial" w:cs="Arial"/>
          <w:lang w:eastAsia="en-IN"/>
        </w:rPr>
        <w:t xml:space="preserve">.  </w:t>
      </w:r>
      <w:r w:rsidR="00844A48" w:rsidRPr="00015C63">
        <w:rPr>
          <w:rFonts w:ascii="Arial" w:eastAsia="Times New Roman" w:hAnsi="Arial" w:cs="Arial"/>
          <w:b/>
          <w:bCs/>
          <w:lang w:eastAsia="en-IN"/>
        </w:rPr>
        <w:t>References</w:t>
      </w:r>
    </w:p>
    <w:p w14:paraId="2B3B98CD"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eastAsia="Arial Unicode MS" w:hAnsi="Arial" w:cs="Arial"/>
          <w:b/>
          <w:bCs/>
        </w:rPr>
        <w:fldChar w:fldCharType="begin" w:fldLock="1"/>
      </w:r>
      <w:r w:rsidRPr="00015C63">
        <w:rPr>
          <w:rFonts w:ascii="Arial" w:eastAsia="Arial Unicode MS" w:hAnsi="Arial" w:cs="Arial"/>
          <w:b/>
          <w:bCs/>
        </w:rPr>
        <w:instrText xml:space="preserve">ADDIN Mendeley Bibliography CSL_BIBLIOGRAPHY </w:instrText>
      </w:r>
      <w:r w:rsidRPr="00015C63">
        <w:rPr>
          <w:rFonts w:ascii="Arial" w:eastAsia="Arial Unicode MS" w:hAnsi="Arial" w:cs="Arial"/>
          <w:b/>
          <w:bCs/>
        </w:rPr>
        <w:fldChar w:fldCharType="separate"/>
      </w:r>
      <w:r w:rsidRPr="00E012A1">
        <w:rPr>
          <w:rFonts w:ascii="Arial" w:hAnsi="Arial" w:cs="Arial"/>
          <w:noProof/>
          <w:highlight w:val="cyan"/>
        </w:rPr>
        <w:t>B.M.Chaudhary, J. J. P. R. D. (2005).</w:t>
      </w:r>
      <w:r w:rsidRPr="00015C63">
        <w:rPr>
          <w:rFonts w:ascii="Arial" w:hAnsi="Arial" w:cs="Arial"/>
          <w:noProof/>
        </w:rPr>
        <w:t xml:space="preserve"> Effect of weed management practices and seed rates on weeds and yield of chickpea. </w:t>
      </w:r>
      <w:r w:rsidRPr="00015C63">
        <w:rPr>
          <w:rFonts w:ascii="Arial" w:hAnsi="Arial" w:cs="Arial"/>
          <w:i/>
          <w:iCs/>
          <w:noProof/>
        </w:rPr>
        <w:t>Indian Journal of Weed Science</w:t>
      </w:r>
      <w:r w:rsidRPr="00015C63">
        <w:rPr>
          <w:rFonts w:ascii="Arial" w:hAnsi="Arial" w:cs="Arial"/>
          <w:noProof/>
        </w:rPr>
        <w:t xml:space="preserve">, </w:t>
      </w:r>
      <w:r w:rsidRPr="00015C63">
        <w:rPr>
          <w:rFonts w:ascii="Arial" w:hAnsi="Arial" w:cs="Arial"/>
          <w:i/>
          <w:iCs/>
          <w:noProof/>
        </w:rPr>
        <w:t>37</w:t>
      </w:r>
      <w:r w:rsidRPr="00015C63">
        <w:rPr>
          <w:rFonts w:ascii="Arial" w:hAnsi="Arial" w:cs="Arial"/>
          <w:noProof/>
        </w:rPr>
        <w:t>(1/2), 131–132.</w:t>
      </w:r>
    </w:p>
    <w:p w14:paraId="2861B63C" w14:textId="6C6E1E14"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DE</w:t>
      </w:r>
      <w:r w:rsidRPr="00015C63">
        <w:rPr>
          <w:rFonts w:ascii="Arial" w:hAnsi="Arial" w:cs="Arial"/>
          <w:noProof/>
        </w:rPr>
        <w:t>S</w:t>
      </w:r>
      <w:r w:rsidR="001D41CD">
        <w:rPr>
          <w:rFonts w:ascii="Arial" w:hAnsi="Arial" w:cs="Arial"/>
          <w:noProof/>
        </w:rPr>
        <w:t xml:space="preserve"> </w:t>
      </w:r>
      <w:r w:rsidR="001D41CD" w:rsidRPr="001D41CD">
        <w:rPr>
          <w:rFonts w:ascii="Arial" w:hAnsi="Arial" w:cs="Arial"/>
          <w:noProof/>
          <w:highlight w:val="green"/>
        </w:rPr>
        <w:t>(</w:t>
      </w:r>
      <w:r w:rsidR="001D41CD" w:rsidRPr="001D41CD">
        <w:rPr>
          <w:rFonts w:ascii="Arial" w:hAnsi="Arial" w:cs="Arial"/>
          <w:highlight w:val="green"/>
        </w:rPr>
        <w:t>Directorate of Economics and Statistics</w:t>
      </w:r>
      <w:r w:rsidR="001D41CD" w:rsidRPr="001D41CD">
        <w:rPr>
          <w:rFonts w:ascii="Arial" w:hAnsi="Arial" w:cs="Arial"/>
          <w:highlight w:val="green"/>
        </w:rPr>
        <w:t>)</w:t>
      </w:r>
      <w:r w:rsidRPr="00015C63">
        <w:rPr>
          <w:rFonts w:ascii="Arial" w:hAnsi="Arial" w:cs="Arial"/>
          <w:noProof/>
        </w:rPr>
        <w:t xml:space="preserve">. (2023). </w:t>
      </w:r>
      <w:r w:rsidRPr="00015C63">
        <w:rPr>
          <w:rFonts w:ascii="Arial" w:hAnsi="Arial" w:cs="Arial"/>
          <w:i/>
          <w:iCs/>
          <w:noProof/>
        </w:rPr>
        <w:t>Production of foodgrains oilseeds and other commercial crops</w:t>
      </w:r>
      <w:r w:rsidRPr="00015C63">
        <w:rPr>
          <w:rFonts w:ascii="Arial" w:hAnsi="Arial" w:cs="Arial"/>
          <w:noProof/>
        </w:rPr>
        <w:t>. Economics, Statistics and Evaluation Division Ministry of Agricultre &amp; Farmer Walfare Goverment of India. https://desagri.gov.in/statistics-type/advance-estimates/</w:t>
      </w:r>
    </w:p>
    <w:p w14:paraId="4798D36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FAO</w:t>
      </w:r>
      <w:r w:rsidRPr="00015C63">
        <w:rPr>
          <w:rFonts w:ascii="Arial" w:hAnsi="Arial" w:cs="Arial"/>
          <w:noProof/>
        </w:rPr>
        <w:t xml:space="preserve">STAT. (2023). </w:t>
      </w:r>
      <w:r w:rsidRPr="00015C63">
        <w:rPr>
          <w:rFonts w:ascii="Arial" w:hAnsi="Arial" w:cs="Arial"/>
          <w:i/>
          <w:iCs/>
          <w:noProof/>
        </w:rPr>
        <w:t>Crops and livestock Products</w:t>
      </w:r>
      <w:r w:rsidRPr="00015C63">
        <w:rPr>
          <w:rFonts w:ascii="Arial" w:hAnsi="Arial" w:cs="Arial"/>
          <w:noProof/>
        </w:rPr>
        <w:t>. Food and Agricultura Organization of the United Nation. https://www.fao.org/faostat/en/#data/QCL</w:t>
      </w:r>
    </w:p>
    <w:p w14:paraId="4CF29AFD"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Gair</w:t>
      </w:r>
      <w:r w:rsidRPr="00015C63">
        <w:rPr>
          <w:rFonts w:ascii="Arial" w:hAnsi="Arial" w:cs="Arial"/>
          <w:noProof/>
        </w:rPr>
        <w:t xml:space="preserve">ola, A., Kumar, S., Kumar, P., Jyoti, Prajapati, S. K., &amp; Kumar, V. (2024). Studies on the effect of chemical weed management on growth indices yield and quality of irrigated chickpea (Cicer arietinum L.). </w:t>
      </w:r>
      <w:r w:rsidRPr="00015C63">
        <w:rPr>
          <w:rFonts w:ascii="Arial" w:hAnsi="Arial" w:cs="Arial"/>
          <w:i/>
          <w:iCs/>
          <w:noProof/>
        </w:rPr>
        <w:t>International Journal of Plant &amp; Soil Science</w:t>
      </w:r>
      <w:r w:rsidRPr="00015C63">
        <w:rPr>
          <w:rFonts w:ascii="Arial" w:hAnsi="Arial" w:cs="Arial"/>
          <w:noProof/>
        </w:rPr>
        <w:t xml:space="preserve">, </w:t>
      </w:r>
      <w:r w:rsidRPr="00015C63">
        <w:rPr>
          <w:rFonts w:ascii="Arial" w:hAnsi="Arial" w:cs="Arial"/>
          <w:i/>
          <w:iCs/>
          <w:noProof/>
        </w:rPr>
        <w:t>36</w:t>
      </w:r>
      <w:r w:rsidRPr="00015C63">
        <w:rPr>
          <w:rFonts w:ascii="Arial" w:hAnsi="Arial" w:cs="Arial"/>
          <w:noProof/>
        </w:rPr>
        <w:t>(2), 248–257. https://doi.org/10.9734/ijpss/2024/v36i24387</w:t>
      </w:r>
    </w:p>
    <w:p w14:paraId="1230B8D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GUPTA,</w:t>
      </w:r>
      <w:r w:rsidRPr="00015C63">
        <w:rPr>
          <w:rFonts w:ascii="Arial" w:hAnsi="Arial" w:cs="Arial"/>
          <w:noProof/>
        </w:rPr>
        <w:t xml:space="preserve"> V., SINGH, M., KUMAR, J., KUMAR, A., &amp; SINGH, B. N. (2014). Performance of </w:t>
      </w:r>
      <w:r w:rsidRPr="00015C63">
        <w:rPr>
          <w:rFonts w:ascii="Arial" w:hAnsi="Arial" w:cs="Arial"/>
          <w:noProof/>
        </w:rPr>
        <w:lastRenderedPageBreak/>
        <w:t xml:space="preserve">different weed management treatments on heat use efficiency of chickpea crop (Cicer arietinum) under rainfed conditions of Jammu. </w:t>
      </w:r>
      <w:r w:rsidRPr="00015C63">
        <w:rPr>
          <w:rFonts w:ascii="Arial" w:hAnsi="Arial" w:cs="Arial"/>
          <w:i/>
          <w:iCs/>
          <w:noProof/>
        </w:rPr>
        <w:t>The Indian Journal of Agricultural Sciences</w:t>
      </w:r>
      <w:r w:rsidRPr="00015C63">
        <w:rPr>
          <w:rFonts w:ascii="Arial" w:hAnsi="Arial" w:cs="Arial"/>
          <w:noProof/>
        </w:rPr>
        <w:t xml:space="preserve">, </w:t>
      </w:r>
      <w:r w:rsidRPr="00015C63">
        <w:rPr>
          <w:rFonts w:ascii="Arial" w:hAnsi="Arial" w:cs="Arial"/>
          <w:i/>
          <w:iCs/>
          <w:noProof/>
        </w:rPr>
        <w:t>84</w:t>
      </w:r>
      <w:r w:rsidRPr="00015C63">
        <w:rPr>
          <w:rFonts w:ascii="Arial" w:hAnsi="Arial" w:cs="Arial"/>
          <w:noProof/>
        </w:rPr>
        <w:t>(9). https://doi.org/10.56093/ijas.v84i9.43445</w:t>
      </w:r>
    </w:p>
    <w:p w14:paraId="722F331E"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ICAR</w:t>
      </w:r>
      <w:r w:rsidRPr="00015C63">
        <w:rPr>
          <w:rFonts w:ascii="Arial" w:hAnsi="Arial" w:cs="Arial"/>
          <w:noProof/>
        </w:rPr>
        <w:t xml:space="preserve">-IIPR. (2022). </w:t>
      </w:r>
      <w:r w:rsidRPr="00015C63">
        <w:rPr>
          <w:rFonts w:ascii="Arial" w:hAnsi="Arial" w:cs="Arial"/>
          <w:i/>
          <w:iCs/>
          <w:noProof/>
        </w:rPr>
        <w:t>Chickpea crop / Annual report 2021-22</w:t>
      </w:r>
      <w:r w:rsidRPr="00015C63">
        <w:rPr>
          <w:rFonts w:ascii="Arial" w:hAnsi="Arial" w:cs="Arial"/>
          <w:noProof/>
        </w:rPr>
        <w:t>. Indian Institute of Pulses Research, Kanpur, India. https://www.icar-iipr.org.in/</w:t>
      </w:r>
    </w:p>
    <w:p w14:paraId="17C8F62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Jukant</w:t>
      </w:r>
      <w:r w:rsidRPr="00015C63">
        <w:rPr>
          <w:rFonts w:ascii="Arial" w:hAnsi="Arial" w:cs="Arial"/>
          <w:noProof/>
        </w:rPr>
        <w:t xml:space="preserve">i, A. K., Gaur, P. M., Gowda, C. L. L., &amp; Chibbar, R. N. (2012). Nutritional quality and health benefits of chickpea ( </w:t>
      </w:r>
      <w:r w:rsidRPr="001D41CD">
        <w:rPr>
          <w:rFonts w:ascii="Arial" w:hAnsi="Arial" w:cs="Arial"/>
          <w:i/>
          <w:noProof/>
          <w:highlight w:val="green"/>
        </w:rPr>
        <w:t>Cicer arietinum</w:t>
      </w:r>
      <w:r w:rsidRPr="00015C63">
        <w:rPr>
          <w:rFonts w:ascii="Arial" w:hAnsi="Arial" w:cs="Arial"/>
          <w:noProof/>
        </w:rPr>
        <w:t xml:space="preserve"> L.) a review. </w:t>
      </w:r>
      <w:r w:rsidRPr="00015C63">
        <w:rPr>
          <w:rFonts w:ascii="Arial" w:hAnsi="Arial" w:cs="Arial"/>
          <w:i/>
          <w:iCs/>
          <w:noProof/>
        </w:rPr>
        <w:t>British Journal of Nutrition</w:t>
      </w:r>
      <w:r w:rsidRPr="00015C63">
        <w:rPr>
          <w:rFonts w:ascii="Arial" w:hAnsi="Arial" w:cs="Arial"/>
          <w:noProof/>
        </w:rPr>
        <w:t xml:space="preserve">, </w:t>
      </w:r>
      <w:r w:rsidRPr="00015C63">
        <w:rPr>
          <w:rFonts w:ascii="Arial" w:hAnsi="Arial" w:cs="Arial"/>
          <w:i/>
          <w:iCs/>
          <w:noProof/>
        </w:rPr>
        <w:t>108</w:t>
      </w:r>
      <w:r w:rsidRPr="00015C63">
        <w:rPr>
          <w:rFonts w:ascii="Arial" w:hAnsi="Arial" w:cs="Arial"/>
          <w:noProof/>
        </w:rPr>
        <w:t>(S1), S11–S26. https://doi.org/10.1017/S0007114512000797</w:t>
      </w:r>
    </w:p>
    <w:p w14:paraId="1397A0D1"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Kashya</w:t>
      </w:r>
      <w:r w:rsidRPr="00015C63">
        <w:rPr>
          <w:rFonts w:ascii="Arial" w:hAnsi="Arial" w:cs="Arial"/>
          <w:noProof/>
        </w:rPr>
        <w:t xml:space="preserve">p, A. K., Kushwaha, H. S., &amp; Mishra, H. (2022). Effect of herbicides on weeds yield and economics of chickpea. </w:t>
      </w:r>
      <w:r w:rsidRPr="00015C63">
        <w:rPr>
          <w:rFonts w:ascii="Arial" w:hAnsi="Arial" w:cs="Arial"/>
          <w:i/>
          <w:iCs/>
          <w:noProof/>
        </w:rPr>
        <w:t>Indian Journal of Weed Science</w:t>
      </w:r>
      <w:r w:rsidRPr="00015C63">
        <w:rPr>
          <w:rFonts w:ascii="Arial" w:hAnsi="Arial" w:cs="Arial"/>
          <w:noProof/>
        </w:rPr>
        <w:t xml:space="preserve">, </w:t>
      </w:r>
      <w:r w:rsidRPr="00015C63">
        <w:rPr>
          <w:rFonts w:ascii="Arial" w:hAnsi="Arial" w:cs="Arial"/>
          <w:i/>
          <w:iCs/>
          <w:noProof/>
        </w:rPr>
        <w:t>54</w:t>
      </w:r>
      <w:r w:rsidRPr="00015C63">
        <w:rPr>
          <w:rFonts w:ascii="Arial" w:hAnsi="Arial" w:cs="Arial"/>
          <w:noProof/>
        </w:rPr>
        <w:t>(2), 182–186. https://doi.org/10.5958/0974-8164.2022.00033.8</w:t>
      </w:r>
    </w:p>
    <w:p w14:paraId="3B012E52"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highlight w:val="cyan"/>
        </w:rPr>
        <w:t xml:space="preserve">Khope D Kumar, S. and, &amp; Pannu, R. . (2011). Evaluation of post-emergence herbicides in chickpea (Cicer arietinum L). </w:t>
      </w:r>
      <w:r w:rsidRPr="00AB5A00">
        <w:rPr>
          <w:rFonts w:ascii="Arial" w:hAnsi="Arial" w:cs="Arial"/>
          <w:i/>
          <w:iCs/>
          <w:noProof/>
          <w:highlight w:val="cyan"/>
        </w:rPr>
        <w:t>Indian Journal Weed Science</w:t>
      </w:r>
      <w:r w:rsidRPr="00AB5A00">
        <w:rPr>
          <w:rFonts w:ascii="Arial" w:hAnsi="Arial" w:cs="Arial"/>
          <w:noProof/>
          <w:highlight w:val="cyan"/>
        </w:rPr>
        <w:t xml:space="preserve">, </w:t>
      </w:r>
      <w:r w:rsidRPr="00AB5A00">
        <w:rPr>
          <w:rFonts w:ascii="Arial" w:hAnsi="Arial" w:cs="Arial"/>
          <w:i/>
          <w:iCs/>
          <w:noProof/>
          <w:highlight w:val="cyan"/>
        </w:rPr>
        <w:t>43</w:t>
      </w:r>
      <w:r w:rsidRPr="00AB5A00">
        <w:rPr>
          <w:rFonts w:ascii="Arial" w:hAnsi="Arial" w:cs="Arial"/>
          <w:noProof/>
          <w:highlight w:val="cyan"/>
        </w:rPr>
        <w:t>(1/2), 92–93.</w:t>
      </w:r>
    </w:p>
    <w:p w14:paraId="375AC2B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Kh</w:t>
      </w:r>
      <w:r w:rsidRPr="00015C63">
        <w:rPr>
          <w:rFonts w:ascii="Arial" w:hAnsi="Arial" w:cs="Arial"/>
          <w:noProof/>
        </w:rPr>
        <w:t>ose, P. J., S., V. L., S., M., B., S. P., &amp; Pokharkar S P. (2021). Studies on chemical weed management in chickpea (</w:t>
      </w:r>
      <w:r w:rsidRPr="00A71639">
        <w:rPr>
          <w:rFonts w:ascii="Arial" w:hAnsi="Arial" w:cs="Arial"/>
          <w:i/>
          <w:noProof/>
          <w:highlight w:val="green"/>
        </w:rPr>
        <w:t>Cicer arietinum</w:t>
      </w:r>
      <w:r w:rsidRPr="00015C63">
        <w:rPr>
          <w:rFonts w:ascii="Arial" w:hAnsi="Arial" w:cs="Arial"/>
          <w:noProof/>
        </w:rPr>
        <w:t xml:space="preserve"> L.) a review. </w:t>
      </w:r>
      <w:r w:rsidRPr="00015C63">
        <w:rPr>
          <w:rFonts w:ascii="Arial" w:hAnsi="Arial" w:cs="Arial"/>
          <w:i/>
          <w:iCs/>
          <w:noProof/>
        </w:rPr>
        <w:t>The Pharma Innovation Journal</w:t>
      </w:r>
      <w:r w:rsidRPr="00015C63">
        <w:rPr>
          <w:rFonts w:ascii="Arial" w:hAnsi="Arial" w:cs="Arial"/>
          <w:noProof/>
        </w:rPr>
        <w:t xml:space="preserve">, </w:t>
      </w:r>
      <w:r w:rsidRPr="00015C63">
        <w:rPr>
          <w:rFonts w:ascii="Arial" w:hAnsi="Arial" w:cs="Arial"/>
          <w:i/>
          <w:iCs/>
          <w:noProof/>
        </w:rPr>
        <w:t>10</w:t>
      </w:r>
      <w:r w:rsidRPr="00015C63">
        <w:rPr>
          <w:rFonts w:ascii="Arial" w:hAnsi="Arial" w:cs="Arial"/>
          <w:noProof/>
        </w:rPr>
        <w:t>(6), 808–812.</w:t>
      </w:r>
    </w:p>
    <w:p w14:paraId="2FEC2EBC"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Kuma</w:t>
      </w:r>
      <w:r w:rsidRPr="00015C63">
        <w:rPr>
          <w:rFonts w:ascii="Arial" w:hAnsi="Arial" w:cs="Arial"/>
          <w:noProof/>
        </w:rPr>
        <w:t>r, R., Kumar, V., Prasad, S. ., &amp; Verma, S. K. (2019). Effect of chemical on weed management practices on irrigated field pea (</w:t>
      </w:r>
      <w:r w:rsidRPr="00E012A1">
        <w:rPr>
          <w:rFonts w:ascii="Arial" w:hAnsi="Arial" w:cs="Arial"/>
          <w:i/>
          <w:noProof/>
          <w:highlight w:val="green"/>
        </w:rPr>
        <w:t>Pisum sativum</w:t>
      </w:r>
      <w:r w:rsidRPr="00015C63">
        <w:rPr>
          <w:rFonts w:ascii="Arial" w:hAnsi="Arial" w:cs="Arial"/>
          <w:noProof/>
        </w:rPr>
        <w:t xml:space="preserve"> L.) crop yield and yield attributes. </w:t>
      </w:r>
      <w:r w:rsidRPr="00015C63">
        <w:rPr>
          <w:rFonts w:ascii="Arial" w:hAnsi="Arial" w:cs="Arial"/>
          <w:i/>
          <w:iCs/>
          <w:noProof/>
        </w:rPr>
        <w:t>International Journal of Chemical Studies</w:t>
      </w:r>
      <w:r w:rsidRPr="00015C63">
        <w:rPr>
          <w:rFonts w:ascii="Arial" w:hAnsi="Arial" w:cs="Arial"/>
          <w:noProof/>
        </w:rPr>
        <w:t xml:space="preserve">, </w:t>
      </w:r>
      <w:r w:rsidRPr="00015C63">
        <w:rPr>
          <w:rFonts w:ascii="Arial" w:hAnsi="Arial" w:cs="Arial"/>
          <w:i/>
          <w:iCs/>
          <w:noProof/>
        </w:rPr>
        <w:t>7</w:t>
      </w:r>
      <w:r w:rsidRPr="00015C63">
        <w:rPr>
          <w:rFonts w:ascii="Arial" w:hAnsi="Arial" w:cs="Arial"/>
          <w:noProof/>
        </w:rPr>
        <w:t>(2), 843--847.</w:t>
      </w:r>
    </w:p>
    <w:p w14:paraId="12C9B6BF" w14:textId="25D21EE3"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Kumar</w:t>
      </w:r>
      <w:r w:rsidRPr="00015C63">
        <w:rPr>
          <w:rFonts w:ascii="Arial" w:hAnsi="Arial" w:cs="Arial"/>
          <w:noProof/>
        </w:rPr>
        <w:t xml:space="preserve">, S. (2025). </w:t>
      </w:r>
      <w:r w:rsidRPr="00015C63">
        <w:rPr>
          <w:rFonts w:ascii="Arial" w:hAnsi="Arial" w:cs="Arial"/>
          <w:i/>
          <w:iCs/>
          <w:noProof/>
        </w:rPr>
        <w:t>Agronomyn simplified</w:t>
      </w:r>
      <w:r w:rsidRPr="00015C63">
        <w:rPr>
          <w:rFonts w:ascii="Arial" w:hAnsi="Arial" w:cs="Arial"/>
          <w:noProof/>
        </w:rPr>
        <w:t>. Kushal Publication and Distributors Varanasi.</w:t>
      </w:r>
      <w:r w:rsidR="00670C78">
        <w:rPr>
          <w:rFonts w:ascii="Arial" w:hAnsi="Arial" w:cs="Arial"/>
          <w:noProof/>
        </w:rPr>
        <w:t xml:space="preserve"> </w:t>
      </w:r>
      <w:r w:rsidR="00670C78" w:rsidRPr="00670C78">
        <w:rPr>
          <w:rFonts w:ascii="Arial" w:hAnsi="Arial" w:cs="Arial"/>
          <w:noProof/>
          <w:highlight w:val="cyan"/>
        </w:rPr>
        <w:t>INCOMPLETE REFERENCE</w:t>
      </w:r>
    </w:p>
    <w:p w14:paraId="5F7465B2" w14:textId="26A10752"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Lucas,</w:t>
      </w:r>
      <w:r w:rsidRPr="00015C63">
        <w:rPr>
          <w:rFonts w:ascii="Arial" w:hAnsi="Arial" w:cs="Arial"/>
          <w:noProof/>
        </w:rPr>
        <w:t xml:space="preserve"> L., &amp; Fuller, D. Q. (2014). Chickpea Origins and Development. In </w:t>
      </w:r>
      <w:r w:rsidRPr="00015C63">
        <w:rPr>
          <w:rFonts w:ascii="Arial" w:hAnsi="Arial" w:cs="Arial"/>
          <w:i/>
          <w:iCs/>
          <w:noProof/>
        </w:rPr>
        <w:t>Encyclopedia of Global Archaeology</w:t>
      </w:r>
      <w:r w:rsidRPr="00015C63">
        <w:rPr>
          <w:rFonts w:ascii="Arial" w:hAnsi="Arial" w:cs="Arial"/>
          <w:noProof/>
        </w:rPr>
        <w:t xml:space="preserve"> (pp. 1384–1387). Springer New York</w:t>
      </w:r>
      <w:r w:rsidR="00670C78">
        <w:rPr>
          <w:rFonts w:ascii="Arial" w:hAnsi="Arial" w:cs="Arial"/>
          <w:noProof/>
        </w:rPr>
        <w:t xml:space="preserve">, </w:t>
      </w:r>
      <w:r w:rsidR="00670C78" w:rsidRPr="00670C78">
        <w:rPr>
          <w:rFonts w:ascii="Arial" w:hAnsi="Arial" w:cs="Arial"/>
          <w:noProof/>
          <w:highlight w:val="green"/>
        </w:rPr>
        <w:t>USA</w:t>
      </w:r>
      <w:r w:rsidRPr="00015C63">
        <w:rPr>
          <w:rFonts w:ascii="Arial" w:hAnsi="Arial" w:cs="Arial"/>
          <w:noProof/>
        </w:rPr>
        <w:t>. https://doi.org/10.1007/978-1-4419-0465-2_2324</w:t>
      </w:r>
    </w:p>
    <w:p w14:paraId="0F6E533B"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Madura</w:t>
      </w:r>
      <w:r w:rsidRPr="00015C63">
        <w:rPr>
          <w:rFonts w:ascii="Arial" w:hAnsi="Arial" w:cs="Arial"/>
          <w:noProof/>
        </w:rPr>
        <w:t>pperumage, A., Tang, L., Thavarajah, P., Bridges, W., Shipe, E., Vandemark, G., &amp; Thavarajah, D. (2021). Chickpea (</w:t>
      </w:r>
      <w:r w:rsidRPr="001D41CD">
        <w:rPr>
          <w:rFonts w:ascii="Arial" w:hAnsi="Arial" w:cs="Arial"/>
          <w:i/>
          <w:noProof/>
          <w:highlight w:val="green"/>
        </w:rPr>
        <w:t>Cicer arietinum</w:t>
      </w:r>
      <w:r w:rsidRPr="00015C63">
        <w:rPr>
          <w:rFonts w:ascii="Arial" w:hAnsi="Arial" w:cs="Arial"/>
          <w:noProof/>
        </w:rPr>
        <w:t xml:space="preserve"> L.) as a source of essential fatty acids – a biofortification approach. </w:t>
      </w:r>
      <w:r w:rsidRPr="00015C63">
        <w:rPr>
          <w:rFonts w:ascii="Arial" w:hAnsi="Arial" w:cs="Arial"/>
          <w:i/>
          <w:iCs/>
          <w:noProof/>
        </w:rPr>
        <w:t>Frontiers in Plant Science</w:t>
      </w:r>
      <w:r w:rsidRPr="00015C63">
        <w:rPr>
          <w:rFonts w:ascii="Arial" w:hAnsi="Arial" w:cs="Arial"/>
          <w:noProof/>
        </w:rPr>
        <w:t xml:space="preserve">, </w:t>
      </w:r>
      <w:r w:rsidRPr="00015C63">
        <w:rPr>
          <w:rFonts w:ascii="Arial" w:hAnsi="Arial" w:cs="Arial"/>
          <w:i/>
          <w:iCs/>
          <w:noProof/>
        </w:rPr>
        <w:t>12</w:t>
      </w:r>
      <w:r w:rsidRPr="00015C63">
        <w:rPr>
          <w:rFonts w:ascii="Arial" w:hAnsi="Arial" w:cs="Arial"/>
          <w:noProof/>
        </w:rPr>
        <w:t>. https://doi.org/10.3389/fpls.2021.734980</w:t>
      </w:r>
    </w:p>
    <w:p w14:paraId="167BB1B0"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Mah</w:t>
      </w:r>
      <w:r w:rsidRPr="00015C63">
        <w:rPr>
          <w:rFonts w:ascii="Arial" w:hAnsi="Arial" w:cs="Arial"/>
          <w:noProof/>
        </w:rPr>
        <w:t xml:space="preserve">to, R. K., Chandana, B. S., Singh, R. K., Talukdar, A., Swarnalakshmi, K., Suman, A., </w:t>
      </w:r>
      <w:r w:rsidRPr="00015C63">
        <w:rPr>
          <w:rFonts w:ascii="Arial" w:hAnsi="Arial" w:cs="Arial"/>
          <w:noProof/>
        </w:rPr>
        <w:lastRenderedPageBreak/>
        <w:t xml:space="preserve">Vaishali, Dey, D., &amp; Kumar, R. (2025). Uncovering potentials of an association panel subset for nitrogen fixation and sustainable chickpea productivity. </w:t>
      </w:r>
      <w:r w:rsidRPr="00015C63">
        <w:rPr>
          <w:rFonts w:ascii="Arial" w:hAnsi="Arial" w:cs="Arial"/>
          <w:i/>
          <w:iCs/>
          <w:noProof/>
        </w:rPr>
        <w:t>BMC Plant Biology</w:t>
      </w:r>
      <w:r w:rsidRPr="00015C63">
        <w:rPr>
          <w:rFonts w:ascii="Arial" w:hAnsi="Arial" w:cs="Arial"/>
          <w:noProof/>
        </w:rPr>
        <w:t xml:space="preserve">, </w:t>
      </w:r>
      <w:r w:rsidRPr="00015C63">
        <w:rPr>
          <w:rFonts w:ascii="Arial" w:hAnsi="Arial" w:cs="Arial"/>
          <w:i/>
          <w:iCs/>
          <w:noProof/>
        </w:rPr>
        <w:t>25</w:t>
      </w:r>
      <w:r w:rsidRPr="00015C63">
        <w:rPr>
          <w:rFonts w:ascii="Arial" w:hAnsi="Arial" w:cs="Arial"/>
          <w:noProof/>
        </w:rPr>
        <w:t>(1), 693. https://doi.org/10.1186/s12870-025-06244-z</w:t>
      </w:r>
    </w:p>
    <w:p w14:paraId="225C69B5" w14:textId="77777777" w:rsidR="00844A48" w:rsidRPr="00AB5A00"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 xml:space="preserve">Merga, B., &amp; Haji, J. (2019). Economic importance of chickpea production value and world trade. </w:t>
      </w:r>
      <w:r w:rsidRPr="00AB5A00">
        <w:rPr>
          <w:rFonts w:ascii="Arial" w:hAnsi="Arial" w:cs="Arial"/>
          <w:i/>
          <w:iCs/>
          <w:noProof/>
        </w:rPr>
        <w:t>Cogent Food &amp; Agriculture</w:t>
      </w:r>
      <w:r w:rsidRPr="00AB5A00">
        <w:rPr>
          <w:rFonts w:ascii="Arial" w:hAnsi="Arial" w:cs="Arial"/>
          <w:noProof/>
        </w:rPr>
        <w:t xml:space="preserve">, </w:t>
      </w:r>
      <w:r w:rsidRPr="00AB5A00">
        <w:rPr>
          <w:rFonts w:ascii="Arial" w:hAnsi="Arial" w:cs="Arial"/>
          <w:i/>
          <w:iCs/>
          <w:noProof/>
        </w:rPr>
        <w:t>5</w:t>
      </w:r>
      <w:r w:rsidRPr="00AB5A00">
        <w:rPr>
          <w:rFonts w:ascii="Arial" w:hAnsi="Arial" w:cs="Arial"/>
          <w:noProof/>
        </w:rPr>
        <w:t>(1), 1615718. https://doi.org/10.1080/23311932.2019.1615718</w:t>
      </w:r>
    </w:p>
    <w:p w14:paraId="4E500425" w14:textId="77777777" w:rsidR="00844A48" w:rsidRPr="00AB5A00"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 xml:space="preserve">Mohammed, Y. A., Miller, Z., Hubbel, K., &amp; Chen, C. (2020). Variety and weed management effects on organic chickpea stand establishment and seed yield. </w:t>
      </w:r>
      <w:r w:rsidRPr="00AB5A00">
        <w:rPr>
          <w:rFonts w:ascii="Arial" w:hAnsi="Arial" w:cs="Arial"/>
          <w:i/>
          <w:iCs/>
          <w:noProof/>
        </w:rPr>
        <w:t>Agrosystems, Geosciences &amp; Environment</w:t>
      </w:r>
      <w:r w:rsidRPr="00AB5A00">
        <w:rPr>
          <w:rFonts w:ascii="Arial" w:hAnsi="Arial" w:cs="Arial"/>
          <w:noProof/>
        </w:rPr>
        <w:t xml:space="preserve">, </w:t>
      </w:r>
      <w:r w:rsidRPr="00AB5A00">
        <w:rPr>
          <w:rFonts w:ascii="Arial" w:hAnsi="Arial" w:cs="Arial"/>
          <w:i/>
          <w:iCs/>
          <w:noProof/>
        </w:rPr>
        <w:t>3</w:t>
      </w:r>
      <w:r w:rsidRPr="00AB5A00">
        <w:rPr>
          <w:rFonts w:ascii="Arial" w:hAnsi="Arial" w:cs="Arial"/>
          <w:noProof/>
        </w:rPr>
        <w:t>(1). https://doi.org/10.1002/agg2.20035</w:t>
      </w:r>
    </w:p>
    <w:p w14:paraId="6EBBCC8A" w14:textId="77777777" w:rsidR="00844A48" w:rsidRPr="00AB5A00"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 xml:space="preserve">Nagar, R., Singh, A., Dayma, J., Sharma, D., Rana, B. B., &amp; Choudhary, R. (2025). Evaluation of herbicide efficacy on weed dynamics and yield of chickpea (Cicer arietinum L.). </w:t>
      </w:r>
      <w:r w:rsidRPr="00AB5A00">
        <w:rPr>
          <w:rFonts w:ascii="Arial" w:hAnsi="Arial" w:cs="Arial"/>
          <w:i/>
          <w:iCs/>
          <w:noProof/>
        </w:rPr>
        <w:t>Journal of Experimental Agriculture International</w:t>
      </w:r>
      <w:r w:rsidRPr="00AB5A00">
        <w:rPr>
          <w:rFonts w:ascii="Arial" w:hAnsi="Arial" w:cs="Arial"/>
          <w:noProof/>
        </w:rPr>
        <w:t xml:space="preserve">, </w:t>
      </w:r>
      <w:r w:rsidRPr="00AB5A00">
        <w:rPr>
          <w:rFonts w:ascii="Arial" w:hAnsi="Arial" w:cs="Arial"/>
          <w:i/>
          <w:iCs/>
          <w:noProof/>
        </w:rPr>
        <w:t>47</w:t>
      </w:r>
      <w:r w:rsidRPr="00AB5A00">
        <w:rPr>
          <w:rFonts w:ascii="Arial" w:hAnsi="Arial" w:cs="Arial"/>
          <w:noProof/>
        </w:rPr>
        <w:t>(2), 34–42. https://doi.org/10.9734/jeai/2025/v47i23263</w:t>
      </w:r>
    </w:p>
    <w:p w14:paraId="35A2C6D0" w14:textId="77777777" w:rsidR="00844A48" w:rsidRPr="00AB5A00"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 xml:space="preserve">Nath, C. P., Singh, R. G., Choudhary, V. K., Datta, D., Nandan, R., &amp; Singh, S. S. (2024). Challenges and alternatives of herbicide based weed managment. </w:t>
      </w:r>
      <w:r w:rsidRPr="00AB5A00">
        <w:rPr>
          <w:rFonts w:ascii="Arial" w:hAnsi="Arial" w:cs="Arial"/>
          <w:i/>
          <w:iCs/>
          <w:noProof/>
        </w:rPr>
        <w:t>Agronomy</w:t>
      </w:r>
      <w:r w:rsidRPr="00AB5A00">
        <w:rPr>
          <w:rFonts w:ascii="Arial" w:hAnsi="Arial" w:cs="Arial"/>
          <w:noProof/>
        </w:rPr>
        <w:t xml:space="preserve">, </w:t>
      </w:r>
      <w:r w:rsidRPr="00AB5A00">
        <w:rPr>
          <w:rFonts w:ascii="Arial" w:hAnsi="Arial" w:cs="Arial"/>
          <w:i/>
          <w:iCs/>
          <w:noProof/>
        </w:rPr>
        <w:t>14</w:t>
      </w:r>
      <w:r w:rsidRPr="00AB5A00">
        <w:rPr>
          <w:rFonts w:ascii="Arial" w:hAnsi="Arial" w:cs="Arial"/>
          <w:noProof/>
        </w:rPr>
        <w:t>(1), 126. https://doi.org/10.3390/agronomy14010126</w:t>
      </w:r>
    </w:p>
    <w:p w14:paraId="40B1FCFE" w14:textId="77777777" w:rsidR="00844A48" w:rsidRPr="00AB5A00"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 xml:space="preserve">Nepali, A., Verma, A., Singh, J. K., Verma, D., &amp; Pooja. (2022). effect of different pre- and post-emergence herbicides for weed management in chickpea. </w:t>
      </w:r>
      <w:r w:rsidRPr="00AB5A00">
        <w:rPr>
          <w:rFonts w:ascii="Arial" w:hAnsi="Arial" w:cs="Arial"/>
          <w:i/>
          <w:iCs/>
          <w:noProof/>
        </w:rPr>
        <w:t>Indian Journal of Weed Science</w:t>
      </w:r>
      <w:r w:rsidRPr="00AB5A00">
        <w:rPr>
          <w:rFonts w:ascii="Arial" w:hAnsi="Arial" w:cs="Arial"/>
          <w:noProof/>
        </w:rPr>
        <w:t xml:space="preserve">, </w:t>
      </w:r>
      <w:r w:rsidRPr="00AB5A00">
        <w:rPr>
          <w:rFonts w:ascii="Arial" w:hAnsi="Arial" w:cs="Arial"/>
          <w:i/>
          <w:iCs/>
          <w:noProof/>
        </w:rPr>
        <w:t>54</w:t>
      </w:r>
      <w:r w:rsidRPr="00AB5A00">
        <w:rPr>
          <w:rFonts w:ascii="Arial" w:hAnsi="Arial" w:cs="Arial"/>
          <w:noProof/>
        </w:rPr>
        <w:t>(3), 314–317. https://doi.org/10.5958/0974-8164.2022.00056.9</w:t>
      </w:r>
    </w:p>
    <w:p w14:paraId="0743778A"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Ran</w:t>
      </w:r>
      <w:r w:rsidRPr="00015C63">
        <w:rPr>
          <w:rFonts w:ascii="Arial" w:hAnsi="Arial" w:cs="Arial"/>
          <w:noProof/>
        </w:rPr>
        <w:t>a, M. C., Nag, M., Rana, S. ., &amp; Sharma, G. D. (2013). Influence of post emergence herbicides on weeds and productivity of garden pea (</w:t>
      </w:r>
      <w:r w:rsidRPr="008C4581">
        <w:rPr>
          <w:rFonts w:ascii="Arial" w:hAnsi="Arial" w:cs="Arial"/>
          <w:i/>
          <w:noProof/>
          <w:highlight w:val="green"/>
        </w:rPr>
        <w:t>Pisum sativum</w:t>
      </w:r>
      <w:r w:rsidRPr="00015C63">
        <w:rPr>
          <w:rFonts w:ascii="Arial" w:hAnsi="Arial" w:cs="Arial"/>
          <w:noProof/>
        </w:rPr>
        <w:t xml:space="preserve">) under mid hill conditions of himachal pradesh. </w:t>
      </w:r>
      <w:r w:rsidRPr="00015C63">
        <w:rPr>
          <w:rFonts w:ascii="Arial" w:hAnsi="Arial" w:cs="Arial"/>
          <w:i/>
          <w:iCs/>
          <w:noProof/>
        </w:rPr>
        <w:t>Indian Journal of Agronomy</w:t>
      </w:r>
      <w:r w:rsidRPr="00015C63">
        <w:rPr>
          <w:rFonts w:ascii="Arial" w:hAnsi="Arial" w:cs="Arial"/>
          <w:noProof/>
        </w:rPr>
        <w:t xml:space="preserve">, </w:t>
      </w:r>
      <w:r w:rsidRPr="00015C63">
        <w:rPr>
          <w:rFonts w:ascii="Arial" w:hAnsi="Arial" w:cs="Arial"/>
          <w:i/>
          <w:iCs/>
          <w:noProof/>
        </w:rPr>
        <w:t>58</w:t>
      </w:r>
      <w:r w:rsidRPr="00015C63">
        <w:rPr>
          <w:rFonts w:ascii="Arial" w:hAnsi="Arial" w:cs="Arial"/>
          <w:noProof/>
        </w:rPr>
        <w:t>(2), 226–230.</w:t>
      </w:r>
    </w:p>
    <w:p w14:paraId="424DA5C0"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highlight w:val="cyan"/>
        </w:rPr>
        <w:t xml:space="preserve">Rosalind A Bueckert, Dil Thavarajah, Pushparajah Thavarajah, J. P. (2011). Phytic acid and mineral micronutrients in field-grown chickpea (Cicer arietinum L.) cultivars from western canada. </w:t>
      </w:r>
      <w:r w:rsidRPr="00AB5A00">
        <w:rPr>
          <w:rFonts w:ascii="Arial" w:hAnsi="Arial" w:cs="Arial"/>
          <w:i/>
          <w:iCs/>
          <w:noProof/>
          <w:highlight w:val="cyan"/>
        </w:rPr>
        <w:t>European Food Research and Technology</w:t>
      </w:r>
      <w:r w:rsidRPr="00AB5A00">
        <w:rPr>
          <w:rFonts w:ascii="Arial" w:hAnsi="Arial" w:cs="Arial"/>
          <w:noProof/>
          <w:highlight w:val="cyan"/>
        </w:rPr>
        <w:t xml:space="preserve">, </w:t>
      </w:r>
      <w:r w:rsidRPr="00AB5A00">
        <w:rPr>
          <w:rFonts w:ascii="Arial" w:hAnsi="Arial" w:cs="Arial"/>
          <w:i/>
          <w:iCs/>
          <w:noProof/>
          <w:highlight w:val="cyan"/>
        </w:rPr>
        <w:t>233</w:t>
      </w:r>
      <w:r w:rsidRPr="00AB5A00">
        <w:rPr>
          <w:rFonts w:ascii="Arial" w:hAnsi="Arial" w:cs="Arial"/>
          <w:noProof/>
          <w:highlight w:val="cyan"/>
        </w:rPr>
        <w:t>(2).</w:t>
      </w:r>
    </w:p>
    <w:p w14:paraId="37DC8E91" w14:textId="43419951"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Seth</w:t>
      </w:r>
      <w:r w:rsidRPr="00015C63">
        <w:rPr>
          <w:rFonts w:ascii="Arial" w:hAnsi="Arial" w:cs="Arial"/>
          <w:noProof/>
        </w:rPr>
        <w:t xml:space="preserve">i, I. B., Singh, H., Kumar, S., Jajoria, M., Jat, L. K., Braod, N. K., Muralia, S., &amp; Mali, H. R. (2021). Effect of post emergence herbicides in chickpea. </w:t>
      </w:r>
      <w:r w:rsidRPr="00015C63">
        <w:rPr>
          <w:rFonts w:ascii="Arial" w:hAnsi="Arial" w:cs="Arial"/>
          <w:i/>
          <w:iCs/>
          <w:noProof/>
        </w:rPr>
        <w:t>Indian Journal of Weed Scienc</w:t>
      </w:r>
      <w:r w:rsidRPr="00E012A1">
        <w:rPr>
          <w:rFonts w:ascii="Arial" w:hAnsi="Arial" w:cs="Arial"/>
          <w:i/>
          <w:iCs/>
          <w:noProof/>
          <w:highlight w:val="green"/>
        </w:rPr>
        <w:t>e</w:t>
      </w:r>
      <w:r w:rsidR="00E012A1" w:rsidRPr="00E012A1">
        <w:rPr>
          <w:rFonts w:ascii="Arial" w:hAnsi="Arial" w:cs="Arial"/>
          <w:i/>
          <w:iCs/>
          <w:noProof/>
          <w:highlight w:val="green"/>
        </w:rPr>
        <w:t xml:space="preserve"> </w:t>
      </w:r>
      <w:r w:rsidRPr="00E012A1">
        <w:rPr>
          <w:rFonts w:ascii="Arial" w:hAnsi="Arial" w:cs="Arial"/>
          <w:i/>
          <w:iCs/>
          <w:noProof/>
          <w:highlight w:val="green"/>
        </w:rPr>
        <w:t>J</w:t>
      </w:r>
      <w:r w:rsidRPr="00015C63">
        <w:rPr>
          <w:rFonts w:ascii="Arial" w:hAnsi="Arial" w:cs="Arial"/>
          <w:noProof/>
        </w:rPr>
        <w:t xml:space="preserve">, </w:t>
      </w:r>
      <w:r w:rsidRPr="00015C63">
        <w:rPr>
          <w:rFonts w:ascii="Arial" w:hAnsi="Arial" w:cs="Arial"/>
          <w:i/>
          <w:iCs/>
          <w:noProof/>
        </w:rPr>
        <w:t>53</w:t>
      </w:r>
      <w:r w:rsidRPr="00015C63">
        <w:rPr>
          <w:rFonts w:ascii="Arial" w:hAnsi="Arial" w:cs="Arial"/>
          <w:noProof/>
        </w:rPr>
        <w:t>(1), 49–53. https://doi.org/10.5958/0974-8164.2021.00006.X</w:t>
      </w:r>
    </w:p>
    <w:p w14:paraId="2356260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Singh,</w:t>
      </w:r>
      <w:r w:rsidRPr="00015C63">
        <w:rPr>
          <w:rFonts w:ascii="Arial" w:hAnsi="Arial" w:cs="Arial"/>
          <w:noProof/>
        </w:rPr>
        <w:t xml:space="preserve"> A., Rana, S. S., &amp; Bala, A. (2020). Weed management strategies in chickpea </w:t>
      </w:r>
      <w:r w:rsidRPr="00015C63">
        <w:rPr>
          <w:rFonts w:ascii="Arial" w:hAnsi="Arial" w:cs="Arial"/>
          <w:noProof/>
        </w:rPr>
        <w:lastRenderedPageBreak/>
        <w:t xml:space="preserve">(Cicer arietinum) a review. </w:t>
      </w:r>
      <w:r w:rsidRPr="00015C63">
        <w:rPr>
          <w:rFonts w:ascii="Arial" w:hAnsi="Arial" w:cs="Arial"/>
          <w:i/>
          <w:iCs/>
          <w:noProof/>
        </w:rPr>
        <w:t>Agricultural Reviews</w:t>
      </w:r>
      <w:r w:rsidRPr="00015C63">
        <w:rPr>
          <w:rFonts w:ascii="Arial" w:hAnsi="Arial" w:cs="Arial"/>
          <w:noProof/>
        </w:rPr>
        <w:t xml:space="preserve">, </w:t>
      </w:r>
      <w:r w:rsidRPr="00015C63">
        <w:rPr>
          <w:rFonts w:ascii="Arial" w:hAnsi="Arial" w:cs="Arial"/>
          <w:i/>
          <w:iCs/>
          <w:noProof/>
        </w:rPr>
        <w:t>41</w:t>
      </w:r>
      <w:r w:rsidRPr="00015C63">
        <w:rPr>
          <w:rFonts w:ascii="Arial" w:hAnsi="Arial" w:cs="Arial"/>
          <w:noProof/>
        </w:rPr>
        <w:t>(2), 153–159. https://doi.org/10.18805/ag.R-1996</w:t>
      </w:r>
    </w:p>
    <w:p w14:paraId="3AFD636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Singh, M., Kumar, R., Kumar, S., &amp; Kumar, V. (2016). Critical period for weed control in field pea. </w:t>
      </w:r>
      <w:r w:rsidRPr="00015C63">
        <w:rPr>
          <w:rFonts w:ascii="Arial" w:hAnsi="Arial" w:cs="Arial"/>
          <w:i/>
          <w:iCs/>
          <w:noProof/>
        </w:rPr>
        <w:t>Legume Research - An International Journal</w:t>
      </w:r>
      <w:r w:rsidRPr="00015C63">
        <w:rPr>
          <w:rFonts w:ascii="Arial" w:hAnsi="Arial" w:cs="Arial"/>
          <w:noProof/>
        </w:rPr>
        <w:t xml:space="preserve">, </w:t>
      </w:r>
      <w:r w:rsidRPr="00015C63">
        <w:rPr>
          <w:rFonts w:ascii="Arial" w:hAnsi="Arial" w:cs="Arial"/>
          <w:i/>
          <w:iCs/>
          <w:noProof/>
        </w:rPr>
        <w:t>39</w:t>
      </w:r>
      <w:r w:rsidRPr="00015C63">
        <w:rPr>
          <w:rFonts w:ascii="Arial" w:hAnsi="Arial" w:cs="Arial"/>
          <w:noProof/>
        </w:rPr>
        <w:t>(1), 46–90. https://doi.org/10.18805/lr.v0iOF.6787</w:t>
      </w:r>
    </w:p>
    <w:p w14:paraId="25DA9114" w14:textId="52AA1D33"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Sonu,</w:t>
      </w:r>
      <w:r w:rsidRPr="00015C63">
        <w:rPr>
          <w:rFonts w:ascii="Arial" w:hAnsi="Arial" w:cs="Arial"/>
          <w:noProof/>
        </w:rPr>
        <w:t xml:space="preserve"> K. (2024). </w:t>
      </w:r>
      <w:r w:rsidRPr="00015C63">
        <w:rPr>
          <w:rFonts w:ascii="Arial" w:hAnsi="Arial" w:cs="Arial"/>
          <w:i/>
          <w:iCs/>
          <w:noProof/>
        </w:rPr>
        <w:t>Effect of herbicides and herbicide application devices on chickpea (Cicer arietinum)</w:t>
      </w:r>
      <w:r w:rsidRPr="00015C63">
        <w:rPr>
          <w:rFonts w:ascii="Arial" w:hAnsi="Arial" w:cs="Arial"/>
          <w:noProof/>
        </w:rPr>
        <w:t>. R.S.M. PG (COLLEGE).</w:t>
      </w:r>
      <w:r w:rsidR="00A71639">
        <w:rPr>
          <w:rFonts w:ascii="Arial" w:hAnsi="Arial" w:cs="Arial"/>
          <w:noProof/>
        </w:rPr>
        <w:t xml:space="preserve"> </w:t>
      </w:r>
      <w:r w:rsidR="00A71639" w:rsidRPr="00A71639">
        <w:rPr>
          <w:rFonts w:ascii="Arial" w:hAnsi="Arial" w:cs="Arial"/>
          <w:noProof/>
          <w:highlight w:val="cyan"/>
        </w:rPr>
        <w:t>INCOMPLETE REFERENCE</w:t>
      </w:r>
    </w:p>
    <w:p w14:paraId="4CFC640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Sriniv</w:t>
      </w:r>
      <w:r w:rsidRPr="00015C63">
        <w:rPr>
          <w:rFonts w:ascii="Arial" w:hAnsi="Arial" w:cs="Arial"/>
          <w:noProof/>
        </w:rPr>
        <w:t>as, V. M., &amp; Singh, S. (2022). Effect of planting methods and zinc on growth and yield of chick pea (</w:t>
      </w:r>
      <w:r w:rsidRPr="00670C78">
        <w:rPr>
          <w:rFonts w:ascii="Arial" w:hAnsi="Arial" w:cs="Arial"/>
          <w:i/>
          <w:noProof/>
          <w:highlight w:val="green"/>
        </w:rPr>
        <w:t>Cicer arietinum</w:t>
      </w:r>
      <w:r w:rsidRPr="00015C63">
        <w:rPr>
          <w:rFonts w:ascii="Arial" w:hAnsi="Arial" w:cs="Arial"/>
          <w:noProof/>
        </w:rPr>
        <w:t xml:space="preserve"> L.). </w:t>
      </w:r>
      <w:r w:rsidRPr="00015C63">
        <w:rPr>
          <w:rFonts w:ascii="Arial" w:hAnsi="Arial" w:cs="Arial"/>
          <w:i/>
          <w:iCs/>
          <w:noProof/>
        </w:rPr>
        <w:t>The Pharma Innovation Journal</w:t>
      </w:r>
      <w:r w:rsidRPr="00015C63">
        <w:rPr>
          <w:rFonts w:ascii="Arial" w:hAnsi="Arial" w:cs="Arial"/>
          <w:noProof/>
        </w:rPr>
        <w:t xml:space="preserve">, </w:t>
      </w:r>
      <w:r w:rsidRPr="00015C63">
        <w:rPr>
          <w:rFonts w:ascii="Arial" w:hAnsi="Arial" w:cs="Arial"/>
          <w:i/>
          <w:iCs/>
          <w:noProof/>
        </w:rPr>
        <w:t>5</w:t>
      </w:r>
      <w:r w:rsidRPr="00015C63">
        <w:rPr>
          <w:rFonts w:ascii="Arial" w:hAnsi="Arial" w:cs="Arial"/>
          <w:noProof/>
        </w:rPr>
        <w:t>(11), 1715–1718.</w:t>
      </w:r>
    </w:p>
    <w:p w14:paraId="0995A654"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Tha</w:t>
      </w:r>
      <w:r w:rsidRPr="00015C63">
        <w:rPr>
          <w:rFonts w:ascii="Arial" w:hAnsi="Arial" w:cs="Arial"/>
          <w:noProof/>
        </w:rPr>
        <w:t xml:space="preserve">kur, P., Dhankar, A., Sharma, S., Karki, P., Rana, M. K., Shukla, K., &amp; Diksha. (2024). Impact of weed management Options on weed dynamics and Yield of chickpea (Cicer arietinum L.). </w:t>
      </w:r>
      <w:r w:rsidRPr="00015C63">
        <w:rPr>
          <w:rFonts w:ascii="Arial" w:hAnsi="Arial" w:cs="Arial"/>
          <w:i/>
          <w:iCs/>
          <w:noProof/>
        </w:rPr>
        <w:t>International Journal of Plant &amp; Soil Science</w:t>
      </w:r>
      <w:r w:rsidRPr="00015C63">
        <w:rPr>
          <w:rFonts w:ascii="Arial" w:hAnsi="Arial" w:cs="Arial"/>
          <w:noProof/>
        </w:rPr>
        <w:t xml:space="preserve">, </w:t>
      </w:r>
      <w:r w:rsidRPr="00015C63">
        <w:rPr>
          <w:rFonts w:ascii="Arial" w:hAnsi="Arial" w:cs="Arial"/>
          <w:i/>
          <w:iCs/>
          <w:noProof/>
        </w:rPr>
        <w:t>36</w:t>
      </w:r>
      <w:r w:rsidRPr="00015C63">
        <w:rPr>
          <w:rFonts w:ascii="Arial" w:hAnsi="Arial" w:cs="Arial"/>
          <w:noProof/>
        </w:rPr>
        <w:t>(9), 130–142. https://doi.org/10.9734/ijpss/2024/v36i94959</w:t>
      </w:r>
    </w:p>
    <w:p w14:paraId="4D1A92D2"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AB5A00">
        <w:rPr>
          <w:rFonts w:ascii="Arial" w:hAnsi="Arial" w:cs="Arial"/>
          <w:noProof/>
        </w:rPr>
        <w:t>Vars</w:t>
      </w:r>
      <w:r w:rsidRPr="00015C63">
        <w:rPr>
          <w:rFonts w:ascii="Arial" w:hAnsi="Arial" w:cs="Arial"/>
          <w:noProof/>
        </w:rPr>
        <w:t xml:space="preserve">hney, R. K., Song, C., Saxena, R. K., Azam, S., Yu, S., Sharpe, A. G., Cannon, S., Baek, J., Rosen, B. D., Tar’an, B., Millan, T., Zhang, X., Ramsay, L. D., Iwata, A., Wang, Y., Nelson, W., Farmer, A. D., Gaur, P. M., Soderlund, C., … Cook, D. R. (2013). Draft genome sequence of chickpea (Cicer arietinum) provides a resource for trait improvement. </w:t>
      </w:r>
      <w:r w:rsidRPr="00015C63">
        <w:rPr>
          <w:rFonts w:ascii="Arial" w:hAnsi="Arial" w:cs="Arial"/>
          <w:i/>
          <w:iCs/>
          <w:noProof/>
        </w:rPr>
        <w:t>Nature Biotechnology</w:t>
      </w:r>
      <w:r w:rsidRPr="00015C63">
        <w:rPr>
          <w:rFonts w:ascii="Arial" w:hAnsi="Arial" w:cs="Arial"/>
          <w:noProof/>
        </w:rPr>
        <w:t xml:space="preserve">, </w:t>
      </w:r>
      <w:r w:rsidRPr="00015C63">
        <w:rPr>
          <w:rFonts w:ascii="Arial" w:hAnsi="Arial" w:cs="Arial"/>
          <w:i/>
          <w:iCs/>
          <w:noProof/>
        </w:rPr>
        <w:t>31</w:t>
      </w:r>
      <w:r w:rsidRPr="00015C63">
        <w:rPr>
          <w:rFonts w:ascii="Arial" w:hAnsi="Arial" w:cs="Arial"/>
          <w:noProof/>
        </w:rPr>
        <w:t>(3), 240–246. https://doi.org/10.1038/nbt.2491</w:t>
      </w:r>
    </w:p>
    <w:p w14:paraId="0F7F65DF" w14:textId="77777777" w:rsidR="0092329D" w:rsidRPr="003A6ED5" w:rsidRDefault="00844A48" w:rsidP="00844A48">
      <w:pPr>
        <w:spacing w:after="120" w:line="360" w:lineRule="auto"/>
        <w:jc w:val="both"/>
        <w:rPr>
          <w:rFonts w:ascii="Arial" w:hAnsi="Arial" w:cs="Arial"/>
        </w:rPr>
      </w:pPr>
      <w:r w:rsidRPr="00015C63">
        <w:rPr>
          <w:rFonts w:ascii="Arial" w:eastAsia="Arial Unicode MS" w:hAnsi="Arial" w:cs="Arial"/>
          <w:b/>
          <w:bCs/>
        </w:rPr>
        <w:fldChar w:fldCharType="end"/>
      </w:r>
    </w:p>
    <w:p w14:paraId="2573DEDA" w14:textId="77777777" w:rsidR="0092329D" w:rsidRPr="003A6ED5" w:rsidRDefault="0092329D" w:rsidP="00DF2E7D">
      <w:pPr>
        <w:jc w:val="both"/>
        <w:rPr>
          <w:rFonts w:ascii="Arial" w:hAnsi="Arial" w:cs="Arial"/>
        </w:rPr>
      </w:pPr>
      <w:bookmarkStart w:id="1" w:name="_GoBack"/>
      <w:bookmarkEnd w:id="1"/>
    </w:p>
    <w:p w14:paraId="69390591" w14:textId="77777777" w:rsidR="0092329D" w:rsidRPr="003A6ED5" w:rsidRDefault="0092329D" w:rsidP="00DF2E7D">
      <w:pPr>
        <w:jc w:val="both"/>
        <w:rPr>
          <w:rFonts w:ascii="Arial" w:hAnsi="Arial" w:cs="Arial"/>
        </w:rPr>
      </w:pPr>
    </w:p>
    <w:sectPr w:rsidR="0092329D" w:rsidRPr="003A6ED5">
      <w:headerReference w:type="even" r:id="rId10"/>
      <w:headerReference w:type="default" r:id="rId11"/>
      <w:footerReference w:type="even" r:id="rId12"/>
      <w:footerReference w:type="default" r:id="rId13"/>
      <w:headerReference w:type="first" r:id="rId14"/>
      <w:footerReference w:type="first" r:id="rId15"/>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68B7" w14:textId="77777777" w:rsidR="00104D35" w:rsidRDefault="00104D35">
      <w:pPr>
        <w:spacing w:after="0" w:line="240" w:lineRule="auto"/>
      </w:pPr>
      <w:r>
        <w:separator/>
      </w:r>
    </w:p>
    <w:p w14:paraId="5D770B19" w14:textId="77777777" w:rsidR="00104D35" w:rsidRDefault="00104D35"/>
    <w:p w14:paraId="3AF19706" w14:textId="77777777" w:rsidR="00104D35" w:rsidRDefault="00104D35"/>
  </w:endnote>
  <w:endnote w:type="continuationSeparator" w:id="0">
    <w:p w14:paraId="44751A7C" w14:textId="77777777" w:rsidR="00104D35" w:rsidRDefault="00104D35">
      <w:pPr>
        <w:spacing w:after="0" w:line="240" w:lineRule="auto"/>
      </w:pPr>
      <w:r>
        <w:continuationSeparator/>
      </w:r>
    </w:p>
    <w:p w14:paraId="5B85D0C6" w14:textId="77777777" w:rsidR="00104D35" w:rsidRDefault="00104D35"/>
    <w:p w14:paraId="37A731F1" w14:textId="77777777" w:rsidR="00104D35" w:rsidRDefault="00104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F6427" w14:textId="77777777" w:rsidR="00FA577B" w:rsidRDefault="00FA57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35894"/>
      <w:docPartObj>
        <w:docPartGallery w:val="Page Numbers (Bottom of Page)"/>
        <w:docPartUnique/>
      </w:docPartObj>
    </w:sdtPr>
    <w:sdtEndPr>
      <w:rPr>
        <w:noProof/>
      </w:rPr>
    </w:sdtEndPr>
    <w:sdtContent>
      <w:p w14:paraId="6D76359C" w14:textId="2AA4EC2F" w:rsidR="00B13D2E" w:rsidRDefault="00B13D2E">
        <w:pPr>
          <w:pStyle w:val="Piedepgina"/>
        </w:pPr>
        <w:r>
          <w:fldChar w:fldCharType="begin"/>
        </w:r>
        <w:r>
          <w:instrText xml:space="preserve"> PAGE   \* MERGEFORMAT </w:instrText>
        </w:r>
        <w:r>
          <w:fldChar w:fldCharType="separate"/>
        </w:r>
        <w:r w:rsidR="00AB5A00">
          <w:rPr>
            <w:noProof/>
          </w:rPr>
          <w:t>13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B4E7" w14:textId="77777777" w:rsidR="00FA577B" w:rsidRDefault="00FA57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9F76" w14:textId="77777777" w:rsidR="00104D35" w:rsidRDefault="00104D35">
      <w:pPr>
        <w:spacing w:after="0" w:line="240" w:lineRule="auto"/>
      </w:pPr>
      <w:r>
        <w:separator/>
      </w:r>
    </w:p>
    <w:p w14:paraId="5CD44A48" w14:textId="77777777" w:rsidR="00104D35" w:rsidRDefault="00104D35"/>
    <w:p w14:paraId="573292E2" w14:textId="77777777" w:rsidR="00104D35" w:rsidRDefault="00104D35"/>
  </w:footnote>
  <w:footnote w:type="continuationSeparator" w:id="0">
    <w:p w14:paraId="24FD2A49" w14:textId="77777777" w:rsidR="00104D35" w:rsidRDefault="00104D35">
      <w:pPr>
        <w:spacing w:after="0" w:line="240" w:lineRule="auto"/>
      </w:pPr>
      <w:r>
        <w:continuationSeparator/>
      </w:r>
    </w:p>
    <w:p w14:paraId="1F4BF475" w14:textId="77777777" w:rsidR="00104D35" w:rsidRDefault="00104D35"/>
    <w:p w14:paraId="3FEE0059" w14:textId="77777777" w:rsidR="00104D35" w:rsidRDefault="00104D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DED8" w14:textId="3F8E96EA" w:rsidR="00FA577B" w:rsidRDefault="00104D35">
    <w:pPr>
      <w:pStyle w:val="Encabezado"/>
    </w:pPr>
    <w:r>
      <w:rPr>
        <w:noProof/>
      </w:rPr>
      <w:pict w14:anchorId="6B9B4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9" o:spid="_x0000_s2050" type="#_x0000_t136" style="position:absolute;margin-left:0;margin-top:0;width:606.65pt;height:67.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8793" w14:textId="0DA5EA84" w:rsidR="00FA577B" w:rsidRDefault="00104D35">
    <w:pPr>
      <w:pStyle w:val="Encabezado"/>
    </w:pPr>
    <w:r>
      <w:rPr>
        <w:noProof/>
      </w:rPr>
      <w:pict w14:anchorId="7B80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30" o:spid="_x0000_s2051" type="#_x0000_t136" style="position:absolute;margin-left:0;margin-top:0;width:606.65pt;height:67.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D83E" w14:textId="22ACC039" w:rsidR="00FA577B" w:rsidRDefault="00104D35">
    <w:pPr>
      <w:pStyle w:val="Encabezado"/>
    </w:pPr>
    <w:r>
      <w:rPr>
        <w:noProof/>
      </w:rPr>
      <w:pict w14:anchorId="7F029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8" o:spid="_x0000_s2049" type="#_x0000_t136" style="position:absolute;margin-left:0;margin-top:0;width:606.65pt;height:67.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8263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48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5E4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0E7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1016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AE0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7E6E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C4DA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126"/>
    <w:multiLevelType w:val="multilevel"/>
    <w:tmpl w:val="7A7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310BF"/>
    <w:multiLevelType w:val="multilevel"/>
    <w:tmpl w:val="5EC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60A5E"/>
    <w:multiLevelType w:val="hybridMultilevel"/>
    <w:tmpl w:val="AF14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7746C9"/>
    <w:multiLevelType w:val="multilevel"/>
    <w:tmpl w:val="8CF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83510"/>
    <w:multiLevelType w:val="hybridMultilevel"/>
    <w:tmpl w:val="BE6E19F6"/>
    <w:lvl w:ilvl="0" w:tplc="A50A105A">
      <w:start w:val="1"/>
      <w:numFmt w:val="bullet"/>
      <w:pStyle w:val="Listaconvietas"/>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013B"/>
    <w:multiLevelType w:val="multilevel"/>
    <w:tmpl w:val="E03E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61EC0"/>
    <w:multiLevelType w:val="multilevel"/>
    <w:tmpl w:val="EB9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01CF9"/>
    <w:multiLevelType w:val="hybridMultilevel"/>
    <w:tmpl w:val="2F4A75D8"/>
    <w:lvl w:ilvl="0" w:tplc="62A25D7A">
      <w:start w:val="1"/>
      <w:numFmt w:val="decimal"/>
      <w:pStyle w:val="Listaconnmero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77748"/>
    <w:multiLevelType w:val="multilevel"/>
    <w:tmpl w:val="9DA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256AE"/>
    <w:multiLevelType w:val="multilevel"/>
    <w:tmpl w:val="10F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6"/>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1"/>
  </w:num>
  <w:num w:numId="17">
    <w:abstractNumId w:val="14"/>
  </w:num>
  <w:num w:numId="18">
    <w:abstractNumId w:val="10"/>
  </w:num>
  <w:num w:numId="19">
    <w:abstractNumId w:val="22"/>
  </w:num>
  <w:num w:numId="20">
    <w:abstractNumId w:val="23"/>
  </w:num>
  <w:num w:numId="21">
    <w:abstractNumId w:val="11"/>
  </w:num>
  <w:num w:numId="22">
    <w:abstractNumId w:val="20"/>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A6"/>
    <w:rsid w:val="00015C63"/>
    <w:rsid w:val="00030F4B"/>
    <w:rsid w:val="0004363E"/>
    <w:rsid w:val="00046DA8"/>
    <w:rsid w:val="000750CC"/>
    <w:rsid w:val="000A4733"/>
    <w:rsid w:val="000F2B25"/>
    <w:rsid w:val="000F6525"/>
    <w:rsid w:val="00104D35"/>
    <w:rsid w:val="00140F55"/>
    <w:rsid w:val="0014666B"/>
    <w:rsid w:val="00180446"/>
    <w:rsid w:val="00183A1F"/>
    <w:rsid w:val="00184BDE"/>
    <w:rsid w:val="001A3F59"/>
    <w:rsid w:val="001D41CD"/>
    <w:rsid w:val="00244323"/>
    <w:rsid w:val="00260CE3"/>
    <w:rsid w:val="0026450D"/>
    <w:rsid w:val="0026505B"/>
    <w:rsid w:val="002706E7"/>
    <w:rsid w:val="00277572"/>
    <w:rsid w:val="00283780"/>
    <w:rsid w:val="002C2D6A"/>
    <w:rsid w:val="002D16B0"/>
    <w:rsid w:val="00306B29"/>
    <w:rsid w:val="0031085A"/>
    <w:rsid w:val="0032299D"/>
    <w:rsid w:val="00366E1A"/>
    <w:rsid w:val="00382F6A"/>
    <w:rsid w:val="003A4939"/>
    <w:rsid w:val="003A6ED5"/>
    <w:rsid w:val="003C7F9D"/>
    <w:rsid w:val="003E34F2"/>
    <w:rsid w:val="00405A57"/>
    <w:rsid w:val="00415547"/>
    <w:rsid w:val="004232FD"/>
    <w:rsid w:val="00432A25"/>
    <w:rsid w:val="00442C7B"/>
    <w:rsid w:val="00473B65"/>
    <w:rsid w:val="0048083F"/>
    <w:rsid w:val="00484160"/>
    <w:rsid w:val="00490172"/>
    <w:rsid w:val="004920F2"/>
    <w:rsid w:val="00494EF4"/>
    <w:rsid w:val="004A400B"/>
    <w:rsid w:val="005224E1"/>
    <w:rsid w:val="00531210"/>
    <w:rsid w:val="00542484"/>
    <w:rsid w:val="005559DE"/>
    <w:rsid w:val="00595738"/>
    <w:rsid w:val="005A2E00"/>
    <w:rsid w:val="005A6D53"/>
    <w:rsid w:val="005D1F20"/>
    <w:rsid w:val="0062034F"/>
    <w:rsid w:val="006211E6"/>
    <w:rsid w:val="00626A5B"/>
    <w:rsid w:val="006438AC"/>
    <w:rsid w:val="00666789"/>
    <w:rsid w:val="00666D1E"/>
    <w:rsid w:val="00670C78"/>
    <w:rsid w:val="00691794"/>
    <w:rsid w:val="00696089"/>
    <w:rsid w:val="006A1999"/>
    <w:rsid w:val="006D7B1E"/>
    <w:rsid w:val="0072623E"/>
    <w:rsid w:val="0072792D"/>
    <w:rsid w:val="0074173C"/>
    <w:rsid w:val="00761287"/>
    <w:rsid w:val="00767895"/>
    <w:rsid w:val="00777AE3"/>
    <w:rsid w:val="007908D2"/>
    <w:rsid w:val="007A67EC"/>
    <w:rsid w:val="007A6E6F"/>
    <w:rsid w:val="007B06E9"/>
    <w:rsid w:val="0081445D"/>
    <w:rsid w:val="00822893"/>
    <w:rsid w:val="00844A48"/>
    <w:rsid w:val="00846E07"/>
    <w:rsid w:val="00853F60"/>
    <w:rsid w:val="008663B8"/>
    <w:rsid w:val="00866F48"/>
    <w:rsid w:val="00883986"/>
    <w:rsid w:val="00892AA6"/>
    <w:rsid w:val="008C4581"/>
    <w:rsid w:val="008D7A2F"/>
    <w:rsid w:val="008E07EB"/>
    <w:rsid w:val="00907147"/>
    <w:rsid w:val="0092329D"/>
    <w:rsid w:val="00933D2C"/>
    <w:rsid w:val="00942FA6"/>
    <w:rsid w:val="0095286B"/>
    <w:rsid w:val="00953025"/>
    <w:rsid w:val="009573C2"/>
    <w:rsid w:val="009C092D"/>
    <w:rsid w:val="00A10F8F"/>
    <w:rsid w:val="00A12814"/>
    <w:rsid w:val="00A12B75"/>
    <w:rsid w:val="00A171EA"/>
    <w:rsid w:val="00A372A7"/>
    <w:rsid w:val="00A61D3A"/>
    <w:rsid w:val="00A62D64"/>
    <w:rsid w:val="00A71639"/>
    <w:rsid w:val="00A76AF1"/>
    <w:rsid w:val="00A82115"/>
    <w:rsid w:val="00A8365D"/>
    <w:rsid w:val="00A90647"/>
    <w:rsid w:val="00AA54DB"/>
    <w:rsid w:val="00AB5A00"/>
    <w:rsid w:val="00AB7D3A"/>
    <w:rsid w:val="00AD4DF9"/>
    <w:rsid w:val="00AF5C5E"/>
    <w:rsid w:val="00AF6189"/>
    <w:rsid w:val="00B00AC4"/>
    <w:rsid w:val="00B030A9"/>
    <w:rsid w:val="00B11E3B"/>
    <w:rsid w:val="00B13D2E"/>
    <w:rsid w:val="00B34C6C"/>
    <w:rsid w:val="00B7596A"/>
    <w:rsid w:val="00B769A7"/>
    <w:rsid w:val="00B76FC9"/>
    <w:rsid w:val="00BA7416"/>
    <w:rsid w:val="00BB2A6B"/>
    <w:rsid w:val="00BC6882"/>
    <w:rsid w:val="00C36D28"/>
    <w:rsid w:val="00C6302C"/>
    <w:rsid w:val="00C81D7E"/>
    <w:rsid w:val="00CA2D00"/>
    <w:rsid w:val="00CB41FA"/>
    <w:rsid w:val="00CB6AF7"/>
    <w:rsid w:val="00CC198A"/>
    <w:rsid w:val="00CC53A1"/>
    <w:rsid w:val="00CC794D"/>
    <w:rsid w:val="00CE700F"/>
    <w:rsid w:val="00D005C1"/>
    <w:rsid w:val="00D53626"/>
    <w:rsid w:val="00D6479D"/>
    <w:rsid w:val="00D81640"/>
    <w:rsid w:val="00D83A01"/>
    <w:rsid w:val="00DB3AD1"/>
    <w:rsid w:val="00DB4F2A"/>
    <w:rsid w:val="00DC5FE1"/>
    <w:rsid w:val="00DC6F70"/>
    <w:rsid w:val="00DD6682"/>
    <w:rsid w:val="00DE7DDF"/>
    <w:rsid w:val="00DF2E7D"/>
    <w:rsid w:val="00E012A1"/>
    <w:rsid w:val="00E54D1A"/>
    <w:rsid w:val="00E719CB"/>
    <w:rsid w:val="00E755CF"/>
    <w:rsid w:val="00E76FC0"/>
    <w:rsid w:val="00E8662C"/>
    <w:rsid w:val="00E90B49"/>
    <w:rsid w:val="00EB5328"/>
    <w:rsid w:val="00F178FE"/>
    <w:rsid w:val="00F33952"/>
    <w:rsid w:val="00F678E0"/>
    <w:rsid w:val="00F82132"/>
    <w:rsid w:val="00FA577B"/>
    <w:rsid w:val="00FC4634"/>
    <w:rsid w:val="00FE0C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9A2511"/>
  <w15:chartTrackingRefBased/>
  <w15:docId w15:val="{E2E866FB-86DF-4E1C-9E4B-98F9DDB4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4F"/>
  </w:style>
  <w:style w:type="paragraph" w:styleId="Ttulo1">
    <w:name w:val="heading 1"/>
    <w:basedOn w:val="Normal"/>
    <w:next w:val="Normal"/>
    <w:link w:val="Ttulo1C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Ttulo2">
    <w:name w:val="heading 2"/>
    <w:basedOn w:val="Normal"/>
    <w:next w:val="Normal"/>
    <w:link w:val="Ttulo2C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Ttulo3">
    <w:name w:val="heading 3"/>
    <w:basedOn w:val="Normal"/>
    <w:next w:val="Normal"/>
    <w:link w:val="Ttulo3C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Ttulo4">
    <w:name w:val="heading 4"/>
    <w:basedOn w:val="Normal"/>
    <w:next w:val="Normal"/>
    <w:link w:val="Ttulo4C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Ttulo5">
    <w:name w:val="heading 5"/>
    <w:basedOn w:val="Normal"/>
    <w:next w:val="Normal"/>
    <w:link w:val="Ttulo5C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Ttulo6">
    <w:name w:val="heading 6"/>
    <w:basedOn w:val="Normal"/>
    <w:next w:val="Normal"/>
    <w:link w:val="Ttulo6C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Ttulo7">
    <w:name w:val="heading 7"/>
    <w:basedOn w:val="Normal"/>
    <w:next w:val="Normal"/>
    <w:link w:val="Ttulo7C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Ttulo8">
    <w:name w:val="heading 8"/>
    <w:basedOn w:val="Normal"/>
    <w:next w:val="Normal"/>
    <w:link w:val="Ttulo8C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Ttulo9">
    <w:name w:val="heading 9"/>
    <w:basedOn w:val="Normal"/>
    <w:next w:val="Normal"/>
    <w:link w:val="Ttulo9C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1"/>
    <w:qFormat/>
    <w:pPr>
      <w:numPr>
        <w:ilvl w:val="1"/>
      </w:numPr>
      <w:spacing w:after="300" w:line="240" w:lineRule="auto"/>
      <w:contextualSpacing/>
    </w:pPr>
    <w:rPr>
      <w:rFonts w:eastAsiaTheme="minorEastAsia"/>
      <w:sz w:val="32"/>
    </w:rPr>
  </w:style>
  <w:style w:type="character" w:customStyle="1" w:styleId="SubttuloCar">
    <w:name w:val="Subtítulo Car"/>
    <w:basedOn w:val="Fuentedeprrafopredeter"/>
    <w:link w:val="Subttulo"/>
    <w:uiPriority w:val="1"/>
    <w:rsid w:val="00A171EA"/>
    <w:rPr>
      <w:rFonts w:eastAsiaTheme="minorEastAsia"/>
      <w:sz w:val="32"/>
    </w:rPr>
  </w:style>
  <w:style w:type="paragraph" w:styleId="Ttulo">
    <w:name w:val="Title"/>
    <w:basedOn w:val="Normal"/>
    <w:link w:val="TtuloCar"/>
    <w:uiPriority w:val="2"/>
    <w:qFormat/>
    <w:pPr>
      <w:spacing w:line="240" w:lineRule="auto"/>
      <w:contextualSpacing/>
    </w:pPr>
    <w:rPr>
      <w:rFonts w:asciiTheme="majorHAnsi" w:eastAsiaTheme="majorEastAsia" w:hAnsiTheme="majorHAnsi" w:cstheme="majorBidi"/>
      <w:kern w:val="28"/>
      <w:sz w:val="56"/>
      <w:szCs w:val="56"/>
    </w:rPr>
  </w:style>
  <w:style w:type="character" w:customStyle="1" w:styleId="TtuloCar">
    <w:name w:val="Título Car"/>
    <w:basedOn w:val="Fuentedeprrafopredeter"/>
    <w:link w:val="Ttulo"/>
    <w:uiPriority w:val="2"/>
    <w:rsid w:val="00A171EA"/>
    <w:rPr>
      <w:rFonts w:asciiTheme="majorHAnsi" w:eastAsiaTheme="majorEastAsia" w:hAnsiTheme="majorHAnsi" w:cstheme="majorBidi"/>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sz w:val="42"/>
      <w:szCs w:val="32"/>
    </w:rPr>
  </w:style>
  <w:style w:type="paragraph" w:styleId="Listaconnmeros">
    <w:name w:val="List Number"/>
    <w:basedOn w:val="Normal"/>
    <w:uiPriority w:val="13"/>
    <w:qFormat/>
    <w:pPr>
      <w:numPr>
        <w:numId w:val="16"/>
      </w:numPr>
    </w:pPr>
  </w:style>
  <w:style w:type="paragraph" w:styleId="Citadestacada">
    <w:name w:val="Intense Quote"/>
    <w:basedOn w:val="Normal"/>
    <w:next w:val="Normal"/>
    <w:link w:val="CitadestacadaCar"/>
    <w:uiPriority w:val="30"/>
    <w:semiHidden/>
    <w:unhideWhenUsed/>
    <w:qFormat/>
    <w:pPr>
      <w:spacing w:before="240"/>
      <w:ind w:left="490" w:right="490"/>
      <w:contextualSpacing/>
    </w:pPr>
    <w:rPr>
      <w:i/>
      <w:iCs/>
      <w:sz w:val="30"/>
    </w:rPr>
  </w:style>
  <w:style w:type="paragraph" w:styleId="Cita">
    <w:name w:val="Quote"/>
    <w:basedOn w:val="Normal"/>
    <w:next w:val="Normal"/>
    <w:link w:val="CitaCar"/>
    <w:uiPriority w:val="29"/>
    <w:qFormat/>
    <w:pPr>
      <w:spacing w:before="240"/>
      <w:ind w:left="490" w:right="490"/>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Listaconvietas">
    <w:name w:val="List Bullet"/>
    <w:basedOn w:val="Normal"/>
    <w:uiPriority w:val="12"/>
    <w:qFormat/>
    <w:pPr>
      <w:numPr>
        <w:numId w:val="15"/>
      </w:numPr>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Ttulo5Car">
    <w:name w:val="Título 5 Car"/>
    <w:basedOn w:val="Fuentedeprrafopredeter"/>
    <w:link w:val="Ttulo5"/>
    <w:uiPriority w:val="9"/>
    <w:semiHidden/>
    <w:rPr>
      <w:rFonts w:asciiTheme="majorHAnsi" w:eastAsiaTheme="majorEastAsia" w:hAnsiTheme="majorHAnsi" w:cstheme="majorBidi"/>
      <w:b/>
      <w:color w:val="595959" w:themeColor="text1" w:themeTint="A6"/>
      <w:sz w:val="30"/>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i/>
      <w:color w:val="595959" w:themeColor="text1" w:themeTint="A6"/>
      <w:sz w:val="3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color w:val="595959" w:themeColor="text1" w:themeTint="A6"/>
      <w:sz w:val="30"/>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color w:val="595959" w:themeColor="text1" w:themeTint="A6"/>
      <w:sz w:val="30"/>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b/>
      <w:iCs/>
      <w:color w:val="595959" w:themeColor="text1" w:themeTint="A6"/>
      <w:sz w:val="26"/>
      <w:szCs w:val="21"/>
    </w:rPr>
  </w:style>
  <w:style w:type="character" w:styleId="nfasissutil">
    <w:name w:val="Subtle Emphasis"/>
    <w:basedOn w:val="Fuentedeprrafopredeter"/>
    <w:uiPriority w:val="19"/>
    <w:semiHidden/>
    <w:unhideWhenUsed/>
    <w:qFormat/>
    <w:rPr>
      <w:i/>
      <w:iCs/>
      <w:color w:val="000000" w:themeColor="text1"/>
    </w:rPr>
  </w:style>
  <w:style w:type="character" w:styleId="nfasis">
    <w:name w:val="Emphasis"/>
    <w:basedOn w:val="Fuentedeprrafopredeter"/>
    <w:uiPriority w:val="20"/>
    <w:unhideWhenUsed/>
    <w:qFormat/>
    <w:rPr>
      <w:b/>
      <w:i/>
      <w:iCs/>
    </w:rPr>
  </w:style>
  <w:style w:type="character" w:styleId="nfasisintenso">
    <w:name w:val="Intense Emphasis"/>
    <w:basedOn w:val="Fuentedeprrafopredeter"/>
    <w:uiPriority w:val="21"/>
    <w:semiHidden/>
    <w:unhideWhenUsed/>
    <w:qFormat/>
    <w:rPr>
      <w:b/>
      <w:iCs/>
      <w:caps/>
      <w:smallCaps w:val="0"/>
      <w:color w:val="000000" w:themeColor="text1"/>
    </w:rPr>
  </w:style>
  <w:style w:type="character" w:styleId="Referenciasutil">
    <w:name w:val="Subtle Reference"/>
    <w:basedOn w:val="Fuentedeprrafopredeter"/>
    <w:uiPriority w:val="31"/>
    <w:semiHidden/>
    <w:unhideWhenUsed/>
    <w:qFormat/>
    <w:rPr>
      <w:caps/>
      <w:smallCaps w:val="0"/>
      <w:color w:val="000000" w:themeColor="text1"/>
    </w:rPr>
  </w:style>
  <w:style w:type="character" w:styleId="Referenciaintensa">
    <w:name w:val="Intense Reference"/>
    <w:basedOn w:val="Fuentedeprrafopredeter"/>
    <w:uiPriority w:val="32"/>
    <w:semiHidden/>
    <w:unhideWhenUsed/>
    <w:qFormat/>
    <w:rPr>
      <w:b/>
      <w:bCs/>
      <w:i/>
      <w:caps/>
      <w:smallCaps w:val="0"/>
      <w:color w:val="000000" w:themeColor="text1"/>
      <w:spacing w:val="0"/>
    </w:rPr>
  </w:style>
  <w:style w:type="character" w:styleId="Ttulodellibro">
    <w:name w:val="Book Title"/>
    <w:basedOn w:val="Fuentedeprrafopredeter"/>
    <w:uiPriority w:val="33"/>
    <w:semiHidden/>
    <w:unhideWhenUsed/>
    <w:qFormat/>
    <w:rPr>
      <w:b w:val="0"/>
      <w:bCs/>
      <w:i w:val="0"/>
      <w:iCs/>
      <w:spacing w:val="0"/>
      <w:u w:val="single"/>
    </w:rPr>
  </w:style>
  <w:style w:type="paragraph" w:styleId="Descripcin">
    <w:name w:val="caption"/>
    <w:basedOn w:val="Normal"/>
    <w:next w:val="Normal"/>
    <w:uiPriority w:val="35"/>
    <w:semiHidden/>
    <w:unhideWhenUsed/>
    <w:qFormat/>
    <w:rsid w:val="00DC5FE1"/>
    <w:pPr>
      <w:spacing w:after="200" w:line="240" w:lineRule="auto"/>
    </w:pPr>
    <w:rPr>
      <w:i/>
      <w:iCs/>
      <w:sz w:val="22"/>
      <w:szCs w:val="18"/>
    </w:rPr>
  </w:style>
  <w:style w:type="character" w:styleId="Textodelmarcadordeposicin">
    <w:name w:val="Placeholder Text"/>
    <w:basedOn w:val="Fuentedeprrafopredeter"/>
    <w:uiPriority w:val="99"/>
    <w:semiHidden/>
    <w:rsid w:val="00415547"/>
    <w:rPr>
      <w:color w:val="000000" w:themeColor="text1"/>
    </w:rPr>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paragraph" w:styleId="TtuloTDC">
    <w:name w:val="TOC Heading"/>
    <w:basedOn w:val="Ttulo1"/>
    <w:next w:val="Normal"/>
    <w:uiPriority w:val="39"/>
    <w:semiHidden/>
    <w:unhideWhenUsed/>
    <w:qFormat/>
    <w:pPr>
      <w:outlineLvl w:val="9"/>
    </w:pPr>
  </w:style>
  <w:style w:type="table" w:customStyle="1" w:styleId="ReportTable">
    <w:name w:val="Report Table"/>
    <w:basedOn w:val="Tablanormal"/>
    <w:uiPriority w:val="99"/>
    <w:rsid w:val="00953025"/>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CitadestacadaCar">
    <w:name w:val="Cita destacada Car"/>
    <w:basedOn w:val="Fuentedeprrafopredeter"/>
    <w:link w:val="Citadestacada"/>
    <w:uiPriority w:val="30"/>
    <w:semiHidden/>
    <w:rPr>
      <w:i/>
      <w:iCs/>
      <w:sz w:val="30"/>
    </w:rPr>
  </w:style>
  <w:style w:type="character" w:customStyle="1" w:styleId="Ttulo2Car">
    <w:name w:val="Título 2 Car"/>
    <w:basedOn w:val="Fuentedeprrafopredeter"/>
    <w:link w:val="Ttulo2"/>
    <w:uiPriority w:val="9"/>
    <w:rPr>
      <w:rFonts w:asciiTheme="majorHAnsi" w:eastAsiaTheme="majorEastAsia" w:hAnsiTheme="majorHAnsi" w:cstheme="majorBidi"/>
      <w:sz w:val="36"/>
      <w:szCs w:val="26"/>
    </w:rPr>
  </w:style>
  <w:style w:type="paragraph" w:styleId="Encabezado">
    <w:name w:val="header"/>
    <w:basedOn w:val="Normal"/>
    <w:link w:val="EncabezadoCar"/>
    <w:uiPriority w:val="99"/>
    <w:qFormat/>
    <w:pPr>
      <w:spacing w:after="0" w:line="240" w:lineRule="auto"/>
    </w:p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30"/>
    </w:rPr>
  </w:style>
  <w:style w:type="character" w:customStyle="1" w:styleId="EncabezadoCar">
    <w:name w:val="Encabezado Car"/>
    <w:basedOn w:val="Fuentedeprrafopredeter"/>
    <w:link w:val="Encabezado"/>
    <w:uiPriority w:val="99"/>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30"/>
    </w:rPr>
  </w:style>
  <w:style w:type="paragraph" w:styleId="Textodeglobo">
    <w:name w:val="Balloon Text"/>
    <w:basedOn w:val="Normal"/>
    <w:link w:val="TextodegloboCar"/>
    <w:uiPriority w:val="99"/>
    <w:semiHidden/>
    <w:unhideWhenUsed/>
    <w:rsid w:val="00DC5FE1"/>
    <w:pPr>
      <w:spacing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DC5FE1"/>
    <w:rPr>
      <w:rFonts w:ascii="Segoe UI" w:hAnsi="Segoe UI" w:cs="Segoe UI"/>
      <w:sz w:val="22"/>
      <w:szCs w:val="18"/>
    </w:rPr>
  </w:style>
  <w:style w:type="paragraph" w:styleId="Textoindependiente3">
    <w:name w:val="Body Text 3"/>
    <w:basedOn w:val="Normal"/>
    <w:link w:val="Textoindependiente3Car"/>
    <w:uiPriority w:val="99"/>
    <w:semiHidden/>
    <w:unhideWhenUsed/>
    <w:rsid w:val="00DC5FE1"/>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DC5FE1"/>
    <w:rPr>
      <w:sz w:val="22"/>
      <w:szCs w:val="16"/>
    </w:rPr>
  </w:style>
  <w:style w:type="paragraph" w:styleId="Sangra3detindependiente">
    <w:name w:val="Body Text Indent 3"/>
    <w:basedOn w:val="Normal"/>
    <w:link w:val="Sangra3detindependienteCar"/>
    <w:uiPriority w:val="99"/>
    <w:semiHidden/>
    <w:unhideWhenUsed/>
    <w:rsid w:val="00DC5FE1"/>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DC5FE1"/>
    <w:rPr>
      <w:sz w:val="22"/>
      <w:szCs w:val="16"/>
    </w:rPr>
  </w:style>
  <w:style w:type="character" w:styleId="Refdecomentario">
    <w:name w:val="annotation reference"/>
    <w:basedOn w:val="Fuentedeprrafopredeter"/>
    <w:uiPriority w:val="99"/>
    <w:semiHidden/>
    <w:unhideWhenUsed/>
    <w:rsid w:val="00DC5FE1"/>
    <w:rPr>
      <w:sz w:val="22"/>
      <w:szCs w:val="16"/>
    </w:rPr>
  </w:style>
  <w:style w:type="paragraph" w:styleId="Textocomentario">
    <w:name w:val="annotation text"/>
    <w:basedOn w:val="Normal"/>
    <w:link w:val="TextocomentarioCar"/>
    <w:uiPriority w:val="99"/>
    <w:semiHidden/>
    <w:unhideWhenUsed/>
    <w:rsid w:val="00DC5FE1"/>
    <w:pPr>
      <w:spacing w:line="240" w:lineRule="auto"/>
    </w:pPr>
    <w:rPr>
      <w:sz w:val="22"/>
      <w:szCs w:val="20"/>
    </w:rPr>
  </w:style>
  <w:style w:type="character" w:customStyle="1" w:styleId="TextocomentarioCar">
    <w:name w:val="Texto comentario Car"/>
    <w:basedOn w:val="Fuentedeprrafopredeter"/>
    <w:link w:val="Textocomentario"/>
    <w:uiPriority w:val="99"/>
    <w:semiHidden/>
    <w:rsid w:val="00DC5FE1"/>
    <w:rPr>
      <w:sz w:val="22"/>
      <w:szCs w:val="20"/>
    </w:rPr>
  </w:style>
  <w:style w:type="paragraph" w:styleId="Asuntodelcomentario">
    <w:name w:val="annotation subject"/>
    <w:basedOn w:val="Textocomentario"/>
    <w:next w:val="Textocomentario"/>
    <w:link w:val="AsuntodelcomentarioCar"/>
    <w:uiPriority w:val="99"/>
    <w:semiHidden/>
    <w:unhideWhenUsed/>
    <w:rsid w:val="00DC5FE1"/>
    <w:rPr>
      <w:b/>
      <w:bCs/>
    </w:rPr>
  </w:style>
  <w:style w:type="character" w:customStyle="1" w:styleId="AsuntodelcomentarioCar">
    <w:name w:val="Asunto del comentario Car"/>
    <w:basedOn w:val="TextocomentarioCar"/>
    <w:link w:val="Asuntodelcomentario"/>
    <w:uiPriority w:val="99"/>
    <w:semiHidden/>
    <w:rsid w:val="00DC5FE1"/>
    <w:rPr>
      <w:b/>
      <w:bCs/>
      <w:sz w:val="22"/>
      <w:szCs w:val="20"/>
    </w:rPr>
  </w:style>
  <w:style w:type="paragraph" w:styleId="Textonotaalfinal">
    <w:name w:val="endnote text"/>
    <w:basedOn w:val="Normal"/>
    <w:link w:val="TextonotaalfinalCar"/>
    <w:uiPriority w:val="99"/>
    <w:semiHidden/>
    <w:unhideWhenUsed/>
    <w:rsid w:val="00DC5FE1"/>
    <w:pPr>
      <w:spacing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DC5FE1"/>
    <w:rPr>
      <w:sz w:val="22"/>
      <w:szCs w:val="20"/>
    </w:rPr>
  </w:style>
  <w:style w:type="paragraph" w:styleId="Remitedesobre">
    <w:name w:val="envelope return"/>
    <w:basedOn w:val="Normal"/>
    <w:uiPriority w:val="99"/>
    <w:semiHidden/>
    <w:unhideWhenUsed/>
    <w:rsid w:val="00DC5FE1"/>
    <w:pPr>
      <w:spacing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iPriority w:val="99"/>
    <w:semiHidden/>
    <w:unhideWhenUsed/>
    <w:rsid w:val="00DC5FE1"/>
    <w:pPr>
      <w:spacing w:after="0" w:line="240" w:lineRule="auto"/>
    </w:pPr>
    <w:rPr>
      <w:sz w:val="22"/>
      <w:szCs w:val="20"/>
    </w:rPr>
  </w:style>
  <w:style w:type="character" w:customStyle="1" w:styleId="TextonotapieCar">
    <w:name w:val="Texto nota pie Car"/>
    <w:basedOn w:val="Fuentedeprrafopredeter"/>
    <w:link w:val="Textonotapie"/>
    <w:uiPriority w:val="99"/>
    <w:semiHidden/>
    <w:rsid w:val="00DC5FE1"/>
    <w:rPr>
      <w:sz w:val="22"/>
      <w:szCs w:val="20"/>
    </w:rPr>
  </w:style>
  <w:style w:type="character" w:styleId="Hipervnculo">
    <w:name w:val="Hyperlink"/>
    <w:basedOn w:val="Fuentedeprrafopredeter"/>
    <w:uiPriority w:val="99"/>
    <w:unhideWhenUsed/>
    <w:rsid w:val="00415547"/>
    <w:rPr>
      <w:color w:val="53777A" w:themeColor="accent1"/>
      <w:u w:val="single"/>
    </w:rPr>
  </w:style>
  <w:style w:type="paragraph" w:styleId="Textomacro">
    <w:name w:val="macro"/>
    <w:link w:val="TextomacroCar"/>
    <w:uiPriority w:val="99"/>
    <w:semiHidden/>
    <w:unhideWhenUsed/>
    <w:rsid w:val="004155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415547"/>
    <w:rPr>
      <w:rFonts w:ascii="Consolas" w:hAnsi="Consolas"/>
      <w:sz w:val="22"/>
      <w:szCs w:val="20"/>
    </w:rPr>
  </w:style>
  <w:style w:type="paragraph" w:styleId="NormalWeb">
    <w:name w:val="Normal (Web)"/>
    <w:basedOn w:val="Normal"/>
    <w:link w:val="NormalWebCar"/>
    <w:uiPriority w:val="99"/>
    <w:unhideWhenUsed/>
    <w:rsid w:val="00FC4634"/>
    <w:pPr>
      <w:spacing w:before="100" w:beforeAutospacing="1" w:after="100" w:afterAutospacing="1" w:line="240" w:lineRule="auto"/>
    </w:pPr>
    <w:rPr>
      <w:rFonts w:ascii="Times New Roman" w:eastAsia="Times New Roman" w:hAnsi="Times New Roman" w:cs="Times New Roman"/>
      <w:color w:val="auto"/>
      <w:lang w:val="en-IN" w:eastAsia="en-IN" w:bidi="hi-IN"/>
    </w:rPr>
  </w:style>
  <w:style w:type="character" w:styleId="Textoennegrita">
    <w:name w:val="Strong"/>
    <w:basedOn w:val="Fuentedeprrafopredeter"/>
    <w:uiPriority w:val="22"/>
    <w:qFormat/>
    <w:rsid w:val="00FC4634"/>
    <w:rPr>
      <w:b/>
      <w:bCs/>
    </w:rPr>
  </w:style>
  <w:style w:type="character" w:customStyle="1" w:styleId="katex-mathml">
    <w:name w:val="katex-mathml"/>
    <w:basedOn w:val="Fuentedeprrafopredeter"/>
    <w:rsid w:val="0032299D"/>
  </w:style>
  <w:style w:type="character" w:customStyle="1" w:styleId="mord">
    <w:name w:val="mord"/>
    <w:basedOn w:val="Fuentedeprrafopredeter"/>
    <w:rsid w:val="0032299D"/>
  </w:style>
  <w:style w:type="character" w:customStyle="1" w:styleId="mrel">
    <w:name w:val="mrel"/>
    <w:basedOn w:val="Fuentedeprrafopredeter"/>
    <w:rsid w:val="0032299D"/>
  </w:style>
  <w:style w:type="character" w:customStyle="1" w:styleId="mbin">
    <w:name w:val="mbin"/>
    <w:basedOn w:val="Fuentedeprrafopredeter"/>
    <w:rsid w:val="0032299D"/>
  </w:style>
  <w:style w:type="character" w:customStyle="1" w:styleId="vlist-s">
    <w:name w:val="vlist-s"/>
    <w:basedOn w:val="Fuentedeprrafopredeter"/>
    <w:rsid w:val="0032299D"/>
  </w:style>
  <w:style w:type="paragraph" w:styleId="Sinespaciado">
    <w:name w:val="No Spacing"/>
    <w:link w:val="SinespaciadoCar"/>
    <w:uiPriority w:val="1"/>
    <w:qFormat/>
    <w:rsid w:val="00382F6A"/>
    <w:pPr>
      <w:spacing w:after="0" w:line="240" w:lineRule="auto"/>
    </w:pPr>
    <w:rPr>
      <w:color w:val="auto"/>
      <w:kern w:val="2"/>
      <w:sz w:val="22"/>
      <w:szCs w:val="28"/>
      <w:lang w:val="en-IN" w:eastAsia="en-US" w:bidi="th-TH"/>
      <w14:ligatures w14:val="standardContextual"/>
    </w:rPr>
  </w:style>
  <w:style w:type="character" w:customStyle="1" w:styleId="SinespaciadoCar">
    <w:name w:val="Sin espaciado Car"/>
    <w:basedOn w:val="Fuentedeprrafopredeter"/>
    <w:link w:val="Sinespaciado"/>
    <w:uiPriority w:val="1"/>
    <w:rsid w:val="00494EF4"/>
    <w:rPr>
      <w:color w:val="auto"/>
      <w:kern w:val="2"/>
      <w:sz w:val="22"/>
      <w:szCs w:val="28"/>
      <w:lang w:val="en-IN" w:eastAsia="en-US" w:bidi="th-TH"/>
      <w14:ligatures w14:val="standardContextual"/>
    </w:rPr>
  </w:style>
  <w:style w:type="paragraph" w:styleId="Prrafodelista">
    <w:name w:val="List Paragraph"/>
    <w:basedOn w:val="Normal"/>
    <w:uiPriority w:val="34"/>
    <w:unhideWhenUsed/>
    <w:qFormat/>
    <w:rsid w:val="00DF2E7D"/>
    <w:pPr>
      <w:ind w:left="720"/>
      <w:contextualSpacing/>
    </w:pPr>
  </w:style>
  <w:style w:type="character" w:customStyle="1" w:styleId="NormalWebCar">
    <w:name w:val="Normal (Web) Car"/>
    <w:basedOn w:val="Fuentedeprrafopredeter"/>
    <w:link w:val="NormalWeb"/>
    <w:uiPriority w:val="99"/>
    <w:locked/>
    <w:rsid w:val="0026450D"/>
    <w:rPr>
      <w:rFonts w:ascii="Times New Roman" w:eastAsia="Times New Roman" w:hAnsi="Times New Roman" w:cs="Times New Roman"/>
      <w:color w:val="auto"/>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500700438">
      <w:bodyDiv w:val="1"/>
      <w:marLeft w:val="0"/>
      <w:marRight w:val="0"/>
      <w:marTop w:val="0"/>
      <w:marBottom w:val="0"/>
      <w:divBdr>
        <w:top w:val="none" w:sz="0" w:space="0" w:color="auto"/>
        <w:left w:val="none" w:sz="0" w:space="0" w:color="auto"/>
        <w:bottom w:val="none" w:sz="0" w:space="0" w:color="auto"/>
        <w:right w:val="none" w:sz="0" w:space="0" w:color="auto"/>
      </w:divBdr>
    </w:div>
    <w:div w:id="770509325">
      <w:bodyDiv w:val="1"/>
      <w:marLeft w:val="0"/>
      <w:marRight w:val="0"/>
      <w:marTop w:val="0"/>
      <w:marBottom w:val="0"/>
      <w:divBdr>
        <w:top w:val="none" w:sz="0" w:space="0" w:color="auto"/>
        <w:left w:val="none" w:sz="0" w:space="0" w:color="auto"/>
        <w:bottom w:val="none" w:sz="0" w:space="0" w:color="auto"/>
        <w:right w:val="none" w:sz="0" w:space="0" w:color="auto"/>
      </w:divBdr>
    </w:div>
    <w:div w:id="1338927801">
      <w:bodyDiv w:val="1"/>
      <w:marLeft w:val="0"/>
      <w:marRight w:val="0"/>
      <w:marTop w:val="0"/>
      <w:marBottom w:val="0"/>
      <w:divBdr>
        <w:top w:val="none" w:sz="0" w:space="0" w:color="auto"/>
        <w:left w:val="none" w:sz="0" w:space="0" w:color="auto"/>
        <w:bottom w:val="none" w:sz="0" w:space="0" w:color="auto"/>
        <w:right w:val="none" w:sz="0" w:space="0" w:color="auto"/>
      </w:divBdr>
    </w:div>
    <w:div w:id="1472821886">
      <w:bodyDiv w:val="1"/>
      <w:marLeft w:val="0"/>
      <w:marRight w:val="0"/>
      <w:marTop w:val="0"/>
      <w:marBottom w:val="0"/>
      <w:divBdr>
        <w:top w:val="none" w:sz="0" w:space="0" w:color="auto"/>
        <w:left w:val="none" w:sz="0" w:space="0" w:color="auto"/>
        <w:bottom w:val="none" w:sz="0" w:space="0" w:color="auto"/>
        <w:right w:val="none" w:sz="0" w:space="0" w:color="auto"/>
      </w:divBdr>
    </w:div>
    <w:div w:id="1509128694">
      <w:bodyDiv w:val="1"/>
      <w:marLeft w:val="0"/>
      <w:marRight w:val="0"/>
      <w:marTop w:val="0"/>
      <w:marBottom w:val="0"/>
      <w:divBdr>
        <w:top w:val="none" w:sz="0" w:space="0" w:color="auto"/>
        <w:left w:val="none" w:sz="0" w:space="0" w:color="auto"/>
        <w:bottom w:val="none" w:sz="0" w:space="0" w:color="auto"/>
        <w:right w:val="none" w:sz="0" w:space="0" w:color="auto"/>
      </w:divBdr>
    </w:div>
    <w:div w:id="1838417454">
      <w:bodyDiv w:val="1"/>
      <w:marLeft w:val="0"/>
      <w:marRight w:val="0"/>
      <w:marTop w:val="0"/>
      <w:marBottom w:val="0"/>
      <w:divBdr>
        <w:top w:val="none" w:sz="0" w:space="0" w:color="auto"/>
        <w:left w:val="none" w:sz="0" w:space="0" w:color="auto"/>
        <w:bottom w:val="none" w:sz="0" w:space="0" w:color="auto"/>
        <w:right w:val="none" w:sz="0" w:space="0" w:color="auto"/>
      </w:divBdr>
    </w:div>
    <w:div w:id="20660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2010\AppData\Roaming\Microsoft\Templates\Research%20paper.dotx" TargetMode="Externa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lgerian" panose="04020705040A02060702" pitchFamily="82" charset="0"/>
                <a:ea typeface="+mn-ea"/>
                <a:cs typeface="+mn-cs"/>
              </a:defRPr>
            </a:pPr>
            <a:r>
              <a:rPr lang="en-IN">
                <a:solidFill>
                  <a:sysClr val="windowText" lastClr="000000"/>
                </a:solidFill>
                <a:latin typeface="Algerian" panose="04020705040A02060702" pitchFamily="82" charset="0"/>
              </a:rPr>
              <a:t>Growth parameters</a:t>
            </a:r>
          </a:p>
        </c:rich>
      </c:tx>
      <c:layout>
        <c:manualLayout>
          <c:xMode val="edge"/>
          <c:yMode val="edge"/>
          <c:x val="0.31368096074321639"/>
          <c:y val="0"/>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lgerian" panose="04020705040A02060702" pitchFamily="82" charset="0"/>
              <a:ea typeface="+mn-ea"/>
              <a:cs typeface="+mn-cs"/>
            </a:defRPr>
          </a:pPr>
          <a:endParaRPr lang="es-MX"/>
        </a:p>
      </c:txPr>
    </c:title>
    <c:autoTitleDeleted val="0"/>
    <c:plotArea>
      <c:layout>
        <c:manualLayout>
          <c:layoutTarget val="inner"/>
          <c:xMode val="edge"/>
          <c:yMode val="edge"/>
          <c:x val="0.10833135066749749"/>
          <c:y val="9.2592592592592587E-2"/>
          <c:w val="0.8652897524500085"/>
          <c:h val="0.66459025955088946"/>
        </c:manualLayout>
      </c:layout>
      <c:barChart>
        <c:barDir val="col"/>
        <c:grouping val="clustered"/>
        <c:varyColors val="0"/>
        <c:ser>
          <c:idx val="0"/>
          <c:order val="0"/>
          <c:tx>
            <c:strRef>
              <c:f>Sheet1!$C$3:$C$4</c:f>
              <c:strCache>
                <c:ptCount val="2"/>
                <c:pt idx="0">
                  <c:v>Plant height (cm)</c:v>
                </c:pt>
                <c:pt idx="1">
                  <c:v>75 DAS</c:v>
                </c:pt>
              </c:strCache>
            </c:strRef>
          </c:tx>
          <c:spPr>
            <a:solidFill>
              <a:srgbClr val="FF66CC"/>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Sheet1!$C$5:$C$11</c:f>
              <c:numCache>
                <c:formatCode>General</c:formatCode>
                <c:ptCount val="7"/>
                <c:pt idx="0">
                  <c:v>28.95</c:v>
                </c:pt>
                <c:pt idx="1">
                  <c:v>30.12</c:v>
                </c:pt>
                <c:pt idx="2">
                  <c:v>31.53</c:v>
                </c:pt>
                <c:pt idx="3">
                  <c:v>33</c:v>
                </c:pt>
                <c:pt idx="4">
                  <c:v>32.15</c:v>
                </c:pt>
                <c:pt idx="5">
                  <c:v>34.1</c:v>
                </c:pt>
                <c:pt idx="6">
                  <c:v>24.4</c:v>
                </c:pt>
              </c:numCache>
            </c:numRef>
          </c:val>
          <c:extLst>
            <c:ext xmlns:c16="http://schemas.microsoft.com/office/drawing/2014/chart" uri="{C3380CC4-5D6E-409C-BE32-E72D297353CC}">
              <c16:uniqueId val="{00000000-3929-413C-A863-02BFFBB03E8E}"/>
            </c:ext>
          </c:extLst>
        </c:ser>
        <c:ser>
          <c:idx val="1"/>
          <c:order val="1"/>
          <c:tx>
            <c:strRef>
              <c:f>Sheet1!$D$3:$D$4</c:f>
              <c:strCache>
                <c:ptCount val="2"/>
                <c:pt idx="0">
                  <c:v>Plant height (cm)</c:v>
                </c:pt>
                <c:pt idx="1">
                  <c:v>100 DAS</c:v>
                </c:pt>
              </c:strCache>
            </c:strRef>
          </c:tx>
          <c:spPr>
            <a:solidFill>
              <a:srgbClr val="92D05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Sheet1!$D$5:$D$11</c:f>
              <c:numCache>
                <c:formatCode>General</c:formatCode>
                <c:ptCount val="7"/>
                <c:pt idx="0">
                  <c:v>42.3</c:v>
                </c:pt>
                <c:pt idx="1">
                  <c:v>43.4</c:v>
                </c:pt>
                <c:pt idx="2">
                  <c:v>44.67</c:v>
                </c:pt>
                <c:pt idx="3">
                  <c:v>45</c:v>
                </c:pt>
                <c:pt idx="4">
                  <c:v>44.9</c:v>
                </c:pt>
                <c:pt idx="5">
                  <c:v>45.31</c:v>
                </c:pt>
                <c:pt idx="6">
                  <c:v>36.299999999999997</c:v>
                </c:pt>
              </c:numCache>
            </c:numRef>
          </c:val>
          <c:extLst>
            <c:ext xmlns:c16="http://schemas.microsoft.com/office/drawing/2014/chart" uri="{C3380CC4-5D6E-409C-BE32-E72D297353CC}">
              <c16:uniqueId val="{00000001-3929-413C-A863-02BFFBB03E8E}"/>
            </c:ext>
          </c:extLst>
        </c:ser>
        <c:ser>
          <c:idx val="2"/>
          <c:order val="2"/>
          <c:tx>
            <c:strRef>
              <c:f>Sheet1!$E$3:$E$4</c:f>
              <c:strCache>
                <c:ptCount val="2"/>
                <c:pt idx="0">
                  <c:v>Number of branches plant-1</c:v>
                </c:pt>
                <c:pt idx="1">
                  <c:v>75 DAS</c:v>
                </c:pt>
              </c:strCache>
            </c:strRef>
          </c:tx>
          <c:spPr>
            <a:solidFill>
              <a:srgbClr val="00B0F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Sheet1!$E$5:$E$11</c:f>
              <c:numCache>
                <c:formatCode>General</c:formatCode>
                <c:ptCount val="7"/>
                <c:pt idx="0">
                  <c:v>10.25</c:v>
                </c:pt>
                <c:pt idx="1">
                  <c:v>10.3</c:v>
                </c:pt>
                <c:pt idx="2">
                  <c:v>10.51</c:v>
                </c:pt>
                <c:pt idx="3">
                  <c:v>11.08</c:v>
                </c:pt>
                <c:pt idx="4">
                  <c:v>10.85</c:v>
                </c:pt>
                <c:pt idx="5">
                  <c:v>11.1</c:v>
                </c:pt>
                <c:pt idx="6">
                  <c:v>8.56</c:v>
                </c:pt>
              </c:numCache>
            </c:numRef>
          </c:val>
          <c:extLst>
            <c:ext xmlns:c16="http://schemas.microsoft.com/office/drawing/2014/chart" uri="{C3380CC4-5D6E-409C-BE32-E72D297353CC}">
              <c16:uniqueId val="{00000002-3929-413C-A863-02BFFBB03E8E}"/>
            </c:ext>
          </c:extLst>
        </c:ser>
        <c:ser>
          <c:idx val="3"/>
          <c:order val="3"/>
          <c:tx>
            <c:strRef>
              <c:f>Sheet1!$F$3:$F$4</c:f>
              <c:strCache>
                <c:ptCount val="2"/>
                <c:pt idx="0">
                  <c:v>Number of branches plant-1</c:v>
                </c:pt>
                <c:pt idx="1">
                  <c:v>100 DAS</c:v>
                </c:pt>
              </c:strCache>
            </c:strRef>
          </c:tx>
          <c:spPr>
            <a:solidFill>
              <a:srgbClr val="FFFF0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Sheet1!$F$5:$F$11</c:f>
              <c:numCache>
                <c:formatCode>General</c:formatCode>
                <c:ptCount val="7"/>
                <c:pt idx="0">
                  <c:v>14.03</c:v>
                </c:pt>
                <c:pt idx="1">
                  <c:v>15.53</c:v>
                </c:pt>
                <c:pt idx="2">
                  <c:v>15.7</c:v>
                </c:pt>
                <c:pt idx="3">
                  <c:v>15.93</c:v>
                </c:pt>
                <c:pt idx="4">
                  <c:v>15.82</c:v>
                </c:pt>
                <c:pt idx="5">
                  <c:v>16.32</c:v>
                </c:pt>
                <c:pt idx="6">
                  <c:v>12.57</c:v>
                </c:pt>
              </c:numCache>
            </c:numRef>
          </c:val>
          <c:extLst>
            <c:ext xmlns:c16="http://schemas.microsoft.com/office/drawing/2014/chart" uri="{C3380CC4-5D6E-409C-BE32-E72D297353CC}">
              <c16:uniqueId val="{00000003-3929-413C-A863-02BFFBB03E8E}"/>
            </c:ext>
          </c:extLst>
        </c:ser>
        <c:dLbls>
          <c:showLegendKey val="0"/>
          <c:showVal val="0"/>
          <c:showCatName val="0"/>
          <c:showSerName val="0"/>
          <c:showPercent val="0"/>
          <c:showBubbleSize val="0"/>
        </c:dLbls>
        <c:gapWidth val="219"/>
        <c:overlap val="-27"/>
        <c:axId val="1632272736"/>
        <c:axId val="1632271904"/>
      </c:barChart>
      <c:catAx>
        <c:axId val="163227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632271904"/>
        <c:crosses val="autoZero"/>
        <c:auto val="1"/>
        <c:lblAlgn val="ctr"/>
        <c:lblOffset val="100"/>
        <c:noMultiLvlLbl val="0"/>
      </c:catAx>
      <c:valAx>
        <c:axId val="1632271904"/>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sz="800" b="1">
                    <a:solidFill>
                      <a:sysClr val="windowText" lastClr="000000"/>
                    </a:solidFill>
                    <a:latin typeface="Arial" panose="020B0604020202020204" pitchFamily="34" charset="0"/>
                    <a:cs typeface="Arial" panose="020B0604020202020204" pitchFamily="34" charset="0"/>
                  </a:rPr>
                  <a:t>Plant</a:t>
                </a:r>
                <a:r>
                  <a:rPr lang="en-IN" sz="800" b="1" baseline="0">
                    <a:solidFill>
                      <a:sysClr val="windowText" lastClr="000000"/>
                    </a:solidFill>
                    <a:latin typeface="Arial" panose="020B0604020202020204" pitchFamily="34" charset="0"/>
                    <a:cs typeface="Arial" panose="020B0604020202020204" pitchFamily="34" charset="0"/>
                  </a:rPr>
                  <a:t> height (cm) / Number of branches </a:t>
                </a:r>
                <a:r>
                  <a:rPr lang="en-US" sz="800" b="1" i="0" u="none" strike="noStrike" baseline="0">
                    <a:effectLst/>
                    <a:latin typeface="Arial" panose="020B0604020202020204" pitchFamily="34" charset="0"/>
                    <a:cs typeface="Arial" panose="020B0604020202020204" pitchFamily="34" charset="0"/>
                  </a:rPr>
                  <a:t>plant⁻¹</a:t>
                </a:r>
                <a:r>
                  <a:rPr lang="en-IN" sz="800" b="1" baseline="0">
                    <a:solidFill>
                      <a:sysClr val="windowText" lastClr="000000"/>
                    </a:solidFill>
                    <a:latin typeface="Arial" panose="020B0604020202020204" pitchFamily="34" charset="0"/>
                    <a:cs typeface="Arial" panose="020B0604020202020204" pitchFamily="34" charset="0"/>
                  </a:rPr>
                  <a:t> </a:t>
                </a:r>
                <a:endParaRPr lang="en-IN"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1.3007798485620952E-2"/>
              <c:y val="4.1666666666666664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63227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blipFill>
      <a:blip xmlns:r="http://schemas.openxmlformats.org/officeDocument/2006/relationships" r:embed="rId3"/>
      <a:tile tx="0" ty="0" sx="100000" sy="100000" flip="none" algn="tl"/>
    </a:blipFill>
    <a:ln w="9525" cap="flat" cmpd="sng" algn="ctr">
      <a:gradFill>
        <a:gsLst>
          <a:gs pos="15000">
            <a:schemeClr val="accent1">
              <a:lumMod val="5000"/>
              <a:lumOff val="95000"/>
            </a:schemeClr>
          </a:gs>
          <a:gs pos="74000">
            <a:schemeClr val="accent1">
              <a:lumMod val="45000"/>
              <a:lumOff val="55000"/>
            </a:schemeClr>
          </a:gs>
          <a:gs pos="48000">
            <a:schemeClr val="accent2"/>
          </a:gs>
          <a:gs pos="100000">
            <a:schemeClr val="accent1">
              <a:lumMod val="30000"/>
              <a:lumOff val="70000"/>
            </a:schemeClr>
          </a:gs>
        </a:gsLst>
        <a:lin ang="5400000" scaled="1"/>
      </a:gradFill>
      <a:round/>
    </a:ln>
    <a:effectLst/>
    <a:scene3d>
      <a:camera prst="orthographicFront"/>
      <a:lightRig rig="threePt" dir="t"/>
    </a:scene3d>
    <a:sp3d>
      <a:bevelT prst="angle"/>
    </a:sp3d>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solidFill>
                  <a:sysClr val="windowText" lastClr="000000"/>
                </a:solidFill>
              </a:rPr>
              <a:t>Growth parameter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Sheet1!$M$12:$M$13</c:f>
              <c:strCache>
                <c:ptCount val="2"/>
                <c:pt idx="0">
                  <c:v>Root fresh weight (g)</c:v>
                </c:pt>
                <c:pt idx="1">
                  <c:v>75 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Sheet1!$M$14:$M$20</c:f>
              <c:numCache>
                <c:formatCode>General</c:formatCode>
                <c:ptCount val="7"/>
                <c:pt idx="0">
                  <c:v>1.62</c:v>
                </c:pt>
                <c:pt idx="1">
                  <c:v>1.65</c:v>
                </c:pt>
                <c:pt idx="2">
                  <c:v>1.74</c:v>
                </c:pt>
                <c:pt idx="3">
                  <c:v>1.9</c:v>
                </c:pt>
                <c:pt idx="4">
                  <c:v>1.8</c:v>
                </c:pt>
                <c:pt idx="5">
                  <c:v>2.14</c:v>
                </c:pt>
                <c:pt idx="6">
                  <c:v>1.3</c:v>
                </c:pt>
              </c:numCache>
            </c:numRef>
          </c:val>
          <c:extLst>
            <c:ext xmlns:c16="http://schemas.microsoft.com/office/drawing/2014/chart" uri="{C3380CC4-5D6E-409C-BE32-E72D297353CC}">
              <c16:uniqueId val="{00000000-5830-4B4E-BC11-654D9EEE5986}"/>
            </c:ext>
          </c:extLst>
        </c:ser>
        <c:ser>
          <c:idx val="1"/>
          <c:order val="1"/>
          <c:tx>
            <c:strRef>
              <c:f>Sheet1!$N$12:$N$13</c:f>
              <c:strCache>
                <c:ptCount val="2"/>
                <c:pt idx="0">
                  <c:v>Root fresh weight (g)</c:v>
                </c:pt>
                <c:pt idx="1">
                  <c:v>100 DAS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Sheet1!$N$14:$N$20</c:f>
              <c:numCache>
                <c:formatCode>General</c:formatCode>
                <c:ptCount val="7"/>
                <c:pt idx="0">
                  <c:v>3.23</c:v>
                </c:pt>
                <c:pt idx="1">
                  <c:v>3.59</c:v>
                </c:pt>
                <c:pt idx="2">
                  <c:v>3.75</c:v>
                </c:pt>
                <c:pt idx="3">
                  <c:v>3.9</c:v>
                </c:pt>
                <c:pt idx="4">
                  <c:v>3.8</c:v>
                </c:pt>
                <c:pt idx="5">
                  <c:v>4.4800000000000004</c:v>
                </c:pt>
                <c:pt idx="6">
                  <c:v>3.2</c:v>
                </c:pt>
              </c:numCache>
            </c:numRef>
          </c:val>
          <c:extLst>
            <c:ext xmlns:c16="http://schemas.microsoft.com/office/drawing/2014/chart" uri="{C3380CC4-5D6E-409C-BE32-E72D297353CC}">
              <c16:uniqueId val="{00000001-5830-4B4E-BC11-654D9EEE5986}"/>
            </c:ext>
          </c:extLst>
        </c:ser>
        <c:ser>
          <c:idx val="2"/>
          <c:order val="2"/>
          <c:tx>
            <c:strRef>
              <c:f>Sheet1!$O$12:$O$13</c:f>
              <c:strCache>
                <c:ptCount val="2"/>
                <c:pt idx="0">
                  <c:v>Root dry weight (g)</c:v>
                </c:pt>
                <c:pt idx="1">
                  <c:v>75 DAS</c:v>
                </c:pt>
              </c:strCache>
            </c:strRef>
          </c:tx>
          <c:spPr>
            <a:solidFill>
              <a:srgbClr val="92D050"/>
            </a:soli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Sheet1!$O$14:$O$20</c:f>
              <c:numCache>
                <c:formatCode>General</c:formatCode>
                <c:ptCount val="7"/>
                <c:pt idx="0">
                  <c:v>0.81</c:v>
                </c:pt>
                <c:pt idx="1">
                  <c:v>0.82</c:v>
                </c:pt>
                <c:pt idx="2">
                  <c:v>0.94</c:v>
                </c:pt>
                <c:pt idx="3">
                  <c:v>1.1499999999999999</c:v>
                </c:pt>
                <c:pt idx="4">
                  <c:v>0.96</c:v>
                </c:pt>
                <c:pt idx="5">
                  <c:v>1.26</c:v>
                </c:pt>
                <c:pt idx="6">
                  <c:v>0.78</c:v>
                </c:pt>
              </c:numCache>
            </c:numRef>
          </c:val>
          <c:extLst>
            <c:ext xmlns:c16="http://schemas.microsoft.com/office/drawing/2014/chart" uri="{C3380CC4-5D6E-409C-BE32-E72D297353CC}">
              <c16:uniqueId val="{00000002-5830-4B4E-BC11-654D9EEE5986}"/>
            </c:ext>
          </c:extLst>
        </c:ser>
        <c:ser>
          <c:idx val="3"/>
          <c:order val="3"/>
          <c:tx>
            <c:strRef>
              <c:f>Sheet1!$P$12:$P$13</c:f>
              <c:strCache>
                <c:ptCount val="2"/>
                <c:pt idx="0">
                  <c:v>Root dry weight (g)</c:v>
                </c:pt>
                <c:pt idx="1">
                  <c:v>100 DAS</c:v>
                </c:pt>
              </c:strCache>
            </c:strRef>
          </c:tx>
          <c:spPr>
            <a:solidFill>
              <a:srgbClr val="FF0000"/>
            </a:soli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Sheet1!$P$14:$P$20</c:f>
              <c:numCache>
                <c:formatCode>General</c:formatCode>
                <c:ptCount val="7"/>
                <c:pt idx="0">
                  <c:v>1.39</c:v>
                </c:pt>
                <c:pt idx="1">
                  <c:v>1.43</c:v>
                </c:pt>
                <c:pt idx="2">
                  <c:v>1.5</c:v>
                </c:pt>
                <c:pt idx="3">
                  <c:v>1.6</c:v>
                </c:pt>
                <c:pt idx="4">
                  <c:v>1.58</c:v>
                </c:pt>
                <c:pt idx="5">
                  <c:v>1.76</c:v>
                </c:pt>
                <c:pt idx="6">
                  <c:v>1.17</c:v>
                </c:pt>
              </c:numCache>
            </c:numRef>
          </c:val>
          <c:extLst>
            <c:ext xmlns:c16="http://schemas.microsoft.com/office/drawing/2014/chart" uri="{C3380CC4-5D6E-409C-BE32-E72D297353CC}">
              <c16:uniqueId val="{00000003-5830-4B4E-BC11-654D9EEE5986}"/>
            </c:ext>
          </c:extLst>
        </c:ser>
        <c:dLbls>
          <c:showLegendKey val="0"/>
          <c:showVal val="0"/>
          <c:showCatName val="0"/>
          <c:showSerName val="0"/>
          <c:showPercent val="0"/>
          <c:showBubbleSize val="0"/>
        </c:dLbls>
        <c:gapWidth val="100"/>
        <c:overlap val="-24"/>
        <c:axId val="1759964224"/>
        <c:axId val="1759952160"/>
      </c:barChart>
      <c:catAx>
        <c:axId val="175996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759952160"/>
        <c:crosses val="autoZero"/>
        <c:auto val="1"/>
        <c:lblAlgn val="ctr"/>
        <c:lblOffset val="100"/>
        <c:noMultiLvlLbl val="0"/>
      </c:catAx>
      <c:valAx>
        <c:axId val="1759952160"/>
        <c:scaling>
          <c:orientation val="minMax"/>
        </c:scaling>
        <c:delete val="0"/>
        <c:axPos val="l"/>
        <c:majorGridlines>
          <c:spPr>
            <a:ln w="9525" cap="flat" cmpd="sng" algn="ctr">
              <a:solidFill>
                <a:sysClr val="windowText" lastClr="000000"/>
              </a:solidFill>
              <a:round/>
              <a:headEnd type="triangle"/>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800">
                    <a:solidFill>
                      <a:sysClr val="windowText" lastClr="000000"/>
                    </a:solidFill>
                    <a:latin typeface="Arial Black" panose="020B0A04020102020204" pitchFamily="34" charset="0"/>
                  </a:rPr>
                  <a:t>Root fresh weight (g </a:t>
                </a:r>
                <a:r>
                  <a:rPr lang="en-US" sz="900" b="1" i="0" u="none" strike="noStrike" baseline="0">
                    <a:solidFill>
                      <a:sysClr val="windowText" lastClr="000000"/>
                    </a:solidFill>
                    <a:effectLst/>
                    <a:latin typeface="Arial Black" panose="020B0A04020102020204" pitchFamily="34" charset="0"/>
                  </a:rPr>
                  <a:t>plant⁻¹</a:t>
                </a:r>
                <a:r>
                  <a:rPr lang="en-IN" sz="800">
                    <a:solidFill>
                      <a:sysClr val="windowText" lastClr="000000"/>
                    </a:solidFill>
                    <a:latin typeface="Arial Black" panose="020B0A04020102020204" pitchFamily="34" charset="0"/>
                  </a:rPr>
                  <a:t>) /</a:t>
                </a:r>
              </a:p>
              <a:p>
                <a:pPr>
                  <a:defRPr/>
                </a:pPr>
                <a:r>
                  <a:rPr lang="en-IN" sz="800">
                    <a:solidFill>
                      <a:sysClr val="windowText" lastClr="000000"/>
                    </a:solidFill>
                    <a:latin typeface="Arial Black" panose="020B0A04020102020204" pitchFamily="34" charset="0"/>
                  </a:rPr>
                  <a:t> Root dry weight (g </a:t>
                </a:r>
                <a:r>
                  <a:rPr lang="en-US" sz="900" b="1" i="0" u="none" strike="noStrike" baseline="0">
                    <a:solidFill>
                      <a:sysClr val="windowText" lastClr="000000"/>
                    </a:solidFill>
                    <a:effectLst/>
                    <a:latin typeface="Arial Black" panose="020B0A04020102020204" pitchFamily="34" charset="0"/>
                  </a:rPr>
                  <a:t>plant⁻¹</a:t>
                </a:r>
                <a:r>
                  <a:rPr lang="en-IN" sz="800">
                    <a:solidFill>
                      <a:sysClr val="windowText" lastClr="000000"/>
                    </a:solidFill>
                    <a:latin typeface="Arial Black" panose="020B0A04020102020204" pitchFamily="34" charset="0"/>
                  </a:rPr>
                  <a:t>) </a:t>
                </a:r>
              </a:p>
            </c:rich>
          </c:tx>
          <c:layout>
            <c:manualLayout>
              <c:xMode val="edge"/>
              <c:yMode val="edge"/>
              <c:x val="1.7066666666666667E-2"/>
              <c:y val="0.1886857142857143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75996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gradFill>
      <a:gsLst>
        <a:gs pos="56750">
          <a:schemeClr val="bg1"/>
        </a:gs>
        <a:gs pos="39500">
          <a:srgbClr val="D6E6F5"/>
        </a:gs>
        <a:gs pos="5000">
          <a:schemeClr val="accent1">
            <a:lumMod val="5000"/>
            <a:lumOff val="95000"/>
          </a:schemeClr>
        </a:gs>
        <a:gs pos="74000">
          <a:schemeClr val="bg1"/>
        </a:gs>
        <a:gs pos="0">
          <a:schemeClr val="accent2"/>
        </a:gs>
        <a:gs pos="100000">
          <a:schemeClr val="bg1"/>
        </a:gs>
      </a:gsLst>
      <a:lin ang="5400000" scaled="1"/>
    </a:gradFill>
    <a:ln w="9525" cap="flat" cmpd="sng" algn="ctr">
      <a:solidFill>
        <a:schemeClr val="tx2">
          <a:lumMod val="15000"/>
          <a:lumOff val="85000"/>
        </a:schemeClr>
      </a:solidFill>
      <a:round/>
    </a:ln>
    <a:effectLst/>
    <a:scene3d>
      <a:camera prst="orthographicFront"/>
      <a:lightRig rig="threePt" dir="t"/>
    </a:scene3d>
    <a:sp3d>
      <a:bevelT w="152400" h="50800" prst="softRound"/>
    </a:sp3d>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467678"/>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907D-44DD-4808-A204-E53409D5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paper</Template>
  <TotalTime>96</TotalTime>
  <Pages>14</Pages>
  <Words>16235</Words>
  <Characters>89293</Characters>
  <Application>Microsoft Office Word</Application>
  <DocSecurity>0</DocSecurity>
  <Lines>744</Lines>
  <Paragraphs>210</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Abstract</vt:lpstr>
      <vt:lpstr>    Crop Management</vt:lpstr>
    </vt:vector>
  </TitlesOfParts>
  <Company/>
  <LinksUpToDate>false</LinksUpToDate>
  <CharactersWithSpaces>105318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GUILLERMO FUENTES</cp:lastModifiedBy>
  <cp:revision>19</cp:revision>
  <dcterms:created xsi:type="dcterms:W3CDTF">2025-10-06T14:27:00Z</dcterms:created>
  <dcterms:modified xsi:type="dcterms:W3CDTF">2025-10-06T16:13:00Z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y fmtid="{D5CDD505-2E9C-101B-9397-08002B2CF9AE}" pid="3" name="Mendeley Document_1">
    <vt:lpwstr>True</vt:lpwstr>
  </property>
  <property fmtid="{D5CDD505-2E9C-101B-9397-08002B2CF9AE}" pid="4" name="Mendeley Unique User Id_1">
    <vt:lpwstr>165f0103-fe0d-386d-bd6e-838ca386112d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