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5E488" w14:textId="5F26BFBA" w:rsidR="00A275F6" w:rsidRDefault="00A428EB" w:rsidP="00A275F6">
      <w:pPr>
        <w:spacing w:after="120" w:line="360" w:lineRule="auto"/>
        <w:jc w:val="center"/>
        <w:rPr>
          <w:rFonts w:ascii="Arial" w:hAnsi="Arial" w:cs="Arial"/>
          <w:b/>
          <w:sz w:val="24"/>
        </w:rPr>
      </w:pPr>
      <w:r w:rsidRPr="005970FA">
        <w:rPr>
          <w:rFonts w:ascii="Arial" w:hAnsi="Arial" w:cs="Arial"/>
          <w:b/>
          <w:sz w:val="24"/>
        </w:rPr>
        <w:t>Effect of integrated</w:t>
      </w:r>
      <w:r w:rsidR="00060F56">
        <w:rPr>
          <w:rFonts w:ascii="Arial" w:hAnsi="Arial" w:cs="Arial"/>
          <w:b/>
          <w:sz w:val="24"/>
        </w:rPr>
        <w:t xml:space="preserve"> nitrogen management on growth and y</w:t>
      </w:r>
      <w:r w:rsidR="008879E6" w:rsidRPr="005970FA">
        <w:rPr>
          <w:rFonts w:ascii="Arial" w:hAnsi="Arial" w:cs="Arial"/>
          <w:b/>
          <w:sz w:val="24"/>
        </w:rPr>
        <w:t>ield attributes</w:t>
      </w:r>
      <w:r w:rsidR="00060F56">
        <w:rPr>
          <w:rFonts w:ascii="Arial" w:hAnsi="Arial" w:cs="Arial"/>
          <w:b/>
          <w:sz w:val="24"/>
        </w:rPr>
        <w:t xml:space="preserve"> of w</w:t>
      </w:r>
      <w:r w:rsidRPr="005970FA">
        <w:rPr>
          <w:rFonts w:ascii="Arial" w:hAnsi="Arial" w:cs="Arial"/>
          <w:b/>
          <w:sz w:val="24"/>
        </w:rPr>
        <w:t>heat (</w:t>
      </w:r>
      <w:proofErr w:type="spellStart"/>
      <w:r w:rsidRPr="005970FA">
        <w:rPr>
          <w:rFonts w:ascii="Arial" w:hAnsi="Arial" w:cs="Arial"/>
          <w:b/>
          <w:i/>
          <w:sz w:val="24"/>
        </w:rPr>
        <w:t>Triticum</w:t>
      </w:r>
      <w:proofErr w:type="spellEnd"/>
      <w:r w:rsidRPr="005970FA">
        <w:rPr>
          <w:rFonts w:ascii="Arial" w:hAnsi="Arial" w:cs="Arial"/>
          <w:b/>
          <w:i/>
          <w:sz w:val="24"/>
        </w:rPr>
        <w:t xml:space="preserve"> </w:t>
      </w:r>
      <w:proofErr w:type="spellStart"/>
      <w:r w:rsidRPr="005970FA">
        <w:rPr>
          <w:rFonts w:ascii="Arial" w:hAnsi="Arial" w:cs="Arial"/>
          <w:b/>
          <w:i/>
          <w:sz w:val="24"/>
        </w:rPr>
        <w:t>aestivum</w:t>
      </w:r>
      <w:proofErr w:type="spellEnd"/>
      <w:r w:rsidR="00060F56">
        <w:rPr>
          <w:rFonts w:ascii="Arial" w:hAnsi="Arial" w:cs="Arial"/>
          <w:b/>
          <w:sz w:val="24"/>
        </w:rPr>
        <w:t xml:space="preserve"> L.) under late sown c</w:t>
      </w:r>
      <w:r w:rsidR="00F42D7D" w:rsidRPr="005970FA">
        <w:rPr>
          <w:rFonts w:ascii="Arial" w:hAnsi="Arial" w:cs="Arial"/>
          <w:b/>
          <w:sz w:val="24"/>
        </w:rPr>
        <w:t>ondition</w:t>
      </w:r>
    </w:p>
    <w:p w14:paraId="61E71EA4" w14:textId="77777777" w:rsidR="006816DE" w:rsidRDefault="006816DE" w:rsidP="00A275F6">
      <w:pPr>
        <w:spacing w:after="120" w:line="360" w:lineRule="auto"/>
        <w:jc w:val="center"/>
        <w:rPr>
          <w:rFonts w:ascii="Arial" w:hAnsi="Arial" w:cs="Arial"/>
          <w:b/>
          <w:sz w:val="24"/>
        </w:rPr>
      </w:pPr>
    </w:p>
    <w:p w14:paraId="004669D3" w14:textId="77777777" w:rsidR="002B26BC" w:rsidRPr="00060F56" w:rsidRDefault="002B26BC" w:rsidP="00060F56">
      <w:pPr>
        <w:pStyle w:val="BodyText2"/>
      </w:pPr>
    </w:p>
    <w:p w14:paraId="28567961"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Abstract</w:t>
      </w:r>
    </w:p>
    <w:p w14:paraId="187B3AC9" w14:textId="77777777" w:rsidR="00C45B28" w:rsidRPr="00F42D7D" w:rsidRDefault="00A428EB" w:rsidP="00F42D7D">
      <w:pPr>
        <w:spacing w:after="120" w:line="360" w:lineRule="auto"/>
        <w:ind w:firstLine="720"/>
        <w:jc w:val="both"/>
        <w:rPr>
          <w:rFonts w:ascii="Arial" w:hAnsi="Arial" w:cs="Arial"/>
          <w:sz w:val="24"/>
        </w:rPr>
      </w:pPr>
      <w:commentRangeStart w:id="0"/>
      <w:r w:rsidRPr="00F42D7D">
        <w:rPr>
          <w:rFonts w:ascii="Arial" w:hAnsi="Arial" w:cs="Arial"/>
          <w:sz w:val="24"/>
        </w:rPr>
        <w:t>A field experiment</w:t>
      </w:r>
      <w:r w:rsidR="00476B47" w:rsidRPr="00F42D7D">
        <w:rPr>
          <w:rFonts w:ascii="Arial" w:hAnsi="Arial" w:cs="Arial"/>
          <w:sz w:val="24"/>
        </w:rPr>
        <w:t xml:space="preserve"> </w:t>
      </w:r>
      <w:r w:rsidRPr="00F42D7D">
        <w:rPr>
          <w:rFonts w:ascii="Arial" w:hAnsi="Arial" w:cs="Arial"/>
          <w:sz w:val="24"/>
        </w:rPr>
        <w:t xml:space="preserve">conducted during the </w:t>
      </w:r>
      <w:proofErr w:type="spellStart"/>
      <w:r w:rsidRPr="00750AAB">
        <w:rPr>
          <w:rFonts w:ascii="Arial" w:hAnsi="Arial" w:cs="Arial"/>
          <w:i/>
          <w:sz w:val="24"/>
        </w:rPr>
        <w:t>rabi</w:t>
      </w:r>
      <w:proofErr w:type="spellEnd"/>
      <w:r w:rsidRPr="00F42D7D">
        <w:rPr>
          <w:rFonts w:ascii="Arial" w:hAnsi="Arial" w:cs="Arial"/>
          <w:sz w:val="24"/>
        </w:rPr>
        <w:t xml:space="preserve"> season 2024–25 at the Agronomy Research Farm, R.S.M. (P.G.) College, </w:t>
      </w:r>
      <w:proofErr w:type="spellStart"/>
      <w:r w:rsidRPr="00F42D7D">
        <w:rPr>
          <w:rFonts w:ascii="Arial" w:hAnsi="Arial" w:cs="Arial"/>
          <w:sz w:val="24"/>
        </w:rPr>
        <w:t>Dhampur</w:t>
      </w:r>
      <w:proofErr w:type="spellEnd"/>
      <w:r w:rsidRPr="00F42D7D">
        <w:rPr>
          <w:rFonts w:ascii="Arial" w:hAnsi="Arial" w:cs="Arial"/>
          <w:sz w:val="24"/>
        </w:rPr>
        <w:t xml:space="preserve"> (</w:t>
      </w:r>
      <w:proofErr w:type="spellStart"/>
      <w:r w:rsidRPr="00F42D7D">
        <w:rPr>
          <w:rFonts w:ascii="Arial" w:hAnsi="Arial" w:cs="Arial"/>
          <w:sz w:val="24"/>
        </w:rPr>
        <w:t>Bijnor</w:t>
      </w:r>
      <w:proofErr w:type="spellEnd"/>
      <w:r w:rsidRPr="00F42D7D">
        <w:rPr>
          <w:rFonts w:ascii="Arial" w:hAnsi="Arial" w:cs="Arial"/>
          <w:sz w:val="24"/>
        </w:rPr>
        <w:t>), Uttar Pradesh, to evalua</w:t>
      </w:r>
      <w:r w:rsidR="00A15F95" w:rsidRPr="00F42D7D">
        <w:rPr>
          <w:rFonts w:ascii="Arial" w:hAnsi="Arial" w:cs="Arial"/>
          <w:sz w:val="24"/>
        </w:rPr>
        <w:t xml:space="preserve">te </w:t>
      </w:r>
      <w:r w:rsidR="00476B47" w:rsidRPr="00F42D7D">
        <w:rPr>
          <w:rFonts w:ascii="Arial" w:hAnsi="Arial" w:cs="Arial"/>
          <w:sz w:val="24"/>
        </w:rPr>
        <w:t>the impact of integrated nitrogen management on wheat growth and yield attributes. The study included seven treatments, control</w:t>
      </w:r>
      <w:r w:rsidR="008406D6" w:rsidRPr="00F42D7D">
        <w:rPr>
          <w:rFonts w:ascii="Arial" w:hAnsi="Arial" w:cs="Arial"/>
          <w:sz w:val="24"/>
        </w:rPr>
        <w:t xml:space="preserve"> (T</w:t>
      </w:r>
      <w:r w:rsidR="008406D6" w:rsidRPr="001C767D">
        <w:rPr>
          <w:rFonts w:ascii="Arial" w:hAnsi="Arial" w:cs="Arial"/>
          <w:sz w:val="24"/>
          <w:vertAlign w:val="subscript"/>
        </w:rPr>
        <w:t>1</w:t>
      </w:r>
      <w:r w:rsidR="008406D6" w:rsidRPr="00F42D7D">
        <w:rPr>
          <w:rFonts w:ascii="Arial" w:hAnsi="Arial" w:cs="Arial"/>
          <w:sz w:val="24"/>
        </w:rPr>
        <w:t>),</w:t>
      </w:r>
      <w:r w:rsidR="00476B47" w:rsidRPr="00F42D7D">
        <w:rPr>
          <w:rFonts w:ascii="Arial" w:hAnsi="Arial" w:cs="Arial"/>
          <w:sz w:val="24"/>
        </w:rPr>
        <w:t xml:space="preserve"> 100% recommended dose of fertilizer RDF: 150-60-60 NPK kg ha</w:t>
      </w:r>
      <w:r w:rsidR="00476B47" w:rsidRPr="00F42D7D">
        <w:rPr>
          <w:rFonts w:ascii="Cambria Math" w:hAnsi="Cambria Math" w:cs="Cambria Math"/>
          <w:sz w:val="24"/>
        </w:rPr>
        <w:t>⁻</w:t>
      </w:r>
      <w:r w:rsidR="00476B47" w:rsidRPr="00F42D7D">
        <w:rPr>
          <w:rFonts w:ascii="Arial" w:hAnsi="Arial" w:cs="Arial"/>
          <w:sz w:val="24"/>
        </w:rPr>
        <w:t xml:space="preserve">¹ </w:t>
      </w:r>
      <w:r w:rsidR="008406D6" w:rsidRPr="00F42D7D">
        <w:rPr>
          <w:rFonts w:ascii="Arial" w:hAnsi="Arial" w:cs="Arial"/>
          <w:sz w:val="24"/>
        </w:rPr>
        <w:t>(T</w:t>
      </w:r>
      <w:r w:rsidR="008406D6" w:rsidRPr="001C767D">
        <w:rPr>
          <w:rFonts w:ascii="Arial" w:hAnsi="Arial" w:cs="Arial"/>
          <w:sz w:val="24"/>
          <w:vertAlign w:val="subscript"/>
        </w:rPr>
        <w:t>2</w:t>
      </w:r>
      <w:r w:rsidR="00476B47" w:rsidRPr="00F42D7D">
        <w:rPr>
          <w:rFonts w:ascii="Arial" w:hAnsi="Arial" w:cs="Arial"/>
          <w:sz w:val="24"/>
        </w:rPr>
        <w:t xml:space="preserve">), 80% RDN through urea </w:t>
      </w:r>
      <w:r w:rsidR="008406D6" w:rsidRPr="00F42D7D">
        <w:rPr>
          <w:rFonts w:ascii="Arial" w:hAnsi="Arial" w:cs="Arial"/>
          <w:sz w:val="24"/>
        </w:rPr>
        <w:t>+ 20 RDN through poultry manure (T</w:t>
      </w:r>
      <w:r w:rsidR="008406D6" w:rsidRPr="001C767D">
        <w:rPr>
          <w:rFonts w:ascii="Arial" w:hAnsi="Arial" w:cs="Arial"/>
          <w:sz w:val="24"/>
          <w:vertAlign w:val="subscript"/>
        </w:rPr>
        <w:t>3</w:t>
      </w:r>
      <w:r w:rsidR="008406D6" w:rsidRPr="00F42D7D">
        <w:rPr>
          <w:rFonts w:ascii="Arial" w:hAnsi="Arial" w:cs="Arial"/>
          <w:sz w:val="24"/>
        </w:rPr>
        <w:t xml:space="preserve">), 80% RDN through urea + 20 RDN through </w:t>
      </w:r>
      <w:r w:rsidR="008879E6">
        <w:rPr>
          <w:rFonts w:ascii="Arial" w:hAnsi="Arial" w:cs="Arial"/>
          <w:sz w:val="24"/>
        </w:rPr>
        <w:t xml:space="preserve">vermicompost </w:t>
      </w:r>
      <w:r w:rsidR="009D4EE8" w:rsidRPr="00F42D7D">
        <w:rPr>
          <w:rFonts w:ascii="Arial" w:hAnsi="Arial" w:cs="Arial"/>
          <w:sz w:val="24"/>
        </w:rPr>
        <w:t>(T</w:t>
      </w:r>
      <w:r w:rsidR="009D4EE8" w:rsidRPr="001C767D">
        <w:rPr>
          <w:rFonts w:ascii="Arial" w:hAnsi="Arial" w:cs="Arial"/>
          <w:sz w:val="24"/>
          <w:vertAlign w:val="subscript"/>
        </w:rPr>
        <w:t>4</w:t>
      </w:r>
      <w:r w:rsidR="009D4EE8" w:rsidRPr="00F42D7D">
        <w:rPr>
          <w:rFonts w:ascii="Arial" w:hAnsi="Arial" w:cs="Arial"/>
          <w:sz w:val="24"/>
        </w:rPr>
        <w:t>), 80% RDN through urea + 20 RDN through farmyard manure (T</w:t>
      </w:r>
      <w:r w:rsidR="009D4EE8" w:rsidRPr="001C767D">
        <w:rPr>
          <w:rFonts w:ascii="Arial" w:hAnsi="Arial" w:cs="Arial"/>
          <w:sz w:val="24"/>
          <w:vertAlign w:val="subscript"/>
        </w:rPr>
        <w:t>5</w:t>
      </w:r>
      <w:r w:rsidR="009D4EE8" w:rsidRPr="00F42D7D">
        <w:rPr>
          <w:rFonts w:ascii="Arial" w:hAnsi="Arial" w:cs="Arial"/>
          <w:sz w:val="24"/>
        </w:rPr>
        <w:t>), 80% RDN through urea + 20 RDN through mustard cake (T</w:t>
      </w:r>
      <w:r w:rsidR="009D4EE8" w:rsidRPr="001C767D">
        <w:rPr>
          <w:rFonts w:ascii="Arial" w:hAnsi="Arial" w:cs="Arial"/>
          <w:sz w:val="24"/>
          <w:vertAlign w:val="subscript"/>
        </w:rPr>
        <w:t>6</w:t>
      </w:r>
      <w:r w:rsidR="009D4EE8" w:rsidRPr="00F42D7D">
        <w:rPr>
          <w:rFonts w:ascii="Arial" w:hAnsi="Arial" w:cs="Arial"/>
          <w:sz w:val="24"/>
        </w:rPr>
        <w:t xml:space="preserve">), 80% RDN through urea + </w:t>
      </w:r>
      <w:r w:rsidR="008A7DDD">
        <w:rPr>
          <w:rFonts w:ascii="Arial" w:hAnsi="Arial" w:cs="Arial"/>
          <w:sz w:val="24"/>
        </w:rPr>
        <w:t>20 RDN through goat manure (T</w:t>
      </w:r>
      <w:r w:rsidR="008A7DDD" w:rsidRPr="001C767D">
        <w:rPr>
          <w:rFonts w:ascii="Arial" w:hAnsi="Arial" w:cs="Arial"/>
          <w:sz w:val="24"/>
          <w:vertAlign w:val="subscript"/>
        </w:rPr>
        <w:t>7</w:t>
      </w:r>
      <w:r w:rsidR="008A7DDD">
        <w:rPr>
          <w:rFonts w:ascii="Arial" w:hAnsi="Arial" w:cs="Arial"/>
          <w:sz w:val="24"/>
        </w:rPr>
        <w:t>)</w:t>
      </w:r>
      <w:r w:rsidR="009D4EE8" w:rsidRPr="00F42D7D">
        <w:rPr>
          <w:rFonts w:ascii="Arial" w:hAnsi="Arial" w:cs="Arial"/>
          <w:sz w:val="24"/>
        </w:rPr>
        <w:t xml:space="preserve"> </w:t>
      </w:r>
      <w:r w:rsidR="008A7DDD" w:rsidRPr="00F42D7D">
        <w:rPr>
          <w:rFonts w:ascii="Arial" w:hAnsi="Arial" w:cs="Arial"/>
          <w:sz w:val="24"/>
        </w:rPr>
        <w:t>arranged</w:t>
      </w:r>
      <w:r w:rsidR="006F1C50" w:rsidRPr="00F42D7D">
        <w:rPr>
          <w:rFonts w:ascii="Arial" w:hAnsi="Arial" w:cs="Arial"/>
          <w:sz w:val="24"/>
        </w:rPr>
        <w:t xml:space="preserve"> in a randomized block design with three replications. The results revealed that maximum plant height, number of leaves, fresh weight and dry weight of plant were observed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The yield attributes i.e. spike length, awns length, filled grain and unfilled grain maximum found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xml:space="preserve">). </w:t>
      </w:r>
      <w:r w:rsidR="008879E6" w:rsidRPr="00CC3BAC">
        <w:rPr>
          <w:rFonts w:ascii="Arial" w:hAnsi="Arial" w:cs="Arial"/>
          <w:sz w:val="24"/>
        </w:rPr>
        <w:t>These findings suggest that integrating FYM with chemical nitrogen not only improves crop performance and productivity but also contributes to better soil health, making it a sustainable nutrient management practice for wheat cultivation.</w:t>
      </w:r>
      <w:commentRangeEnd w:id="0"/>
      <w:r w:rsidR="00AA24F4">
        <w:rPr>
          <w:rStyle w:val="CommentReference"/>
        </w:rPr>
        <w:commentReference w:id="0"/>
      </w:r>
    </w:p>
    <w:p w14:paraId="4A8AE9E4" w14:textId="77777777" w:rsidR="006F1C50" w:rsidRPr="00F42D7D" w:rsidRDefault="00C45B28" w:rsidP="00F42D7D">
      <w:pPr>
        <w:spacing w:after="120" w:line="360" w:lineRule="auto"/>
        <w:jc w:val="both"/>
        <w:rPr>
          <w:rFonts w:ascii="Arial" w:hAnsi="Arial" w:cs="Arial"/>
          <w:sz w:val="24"/>
        </w:rPr>
      </w:pPr>
      <w:r w:rsidRPr="005C2660">
        <w:rPr>
          <w:rFonts w:ascii="Arial" w:hAnsi="Arial" w:cs="Arial"/>
          <w:b/>
          <w:sz w:val="24"/>
        </w:rPr>
        <w:t>Keywords:</w:t>
      </w:r>
      <w:r w:rsidRPr="00F42D7D">
        <w:rPr>
          <w:rFonts w:ascii="Arial" w:hAnsi="Arial" w:cs="Arial"/>
          <w:sz w:val="24"/>
        </w:rPr>
        <w:t xml:space="preserve"> </w:t>
      </w:r>
      <w:r w:rsidR="006F1C50" w:rsidRPr="00F42D7D">
        <w:rPr>
          <w:rFonts w:ascii="Arial" w:hAnsi="Arial" w:cs="Arial"/>
          <w:sz w:val="24"/>
        </w:rPr>
        <w:t xml:space="preserve"> </w:t>
      </w:r>
      <w:bookmarkStart w:id="1" w:name="_GoBack"/>
      <w:r w:rsidR="00E23050">
        <w:rPr>
          <w:rFonts w:ascii="Arial" w:hAnsi="Arial" w:cs="Arial"/>
          <w:sz w:val="24"/>
        </w:rPr>
        <w:t>Wheat, Integrated nitrogen management, Yi</w:t>
      </w:r>
      <w:r w:rsidR="00750AAB">
        <w:rPr>
          <w:rFonts w:ascii="Arial" w:hAnsi="Arial" w:cs="Arial"/>
          <w:sz w:val="24"/>
        </w:rPr>
        <w:t>eld attributes, Farmyard manure</w:t>
      </w:r>
      <w:bookmarkEnd w:id="1"/>
    </w:p>
    <w:p w14:paraId="4E3BA47F" w14:textId="77777777" w:rsidR="00A428EB" w:rsidRPr="00F42D7D" w:rsidRDefault="00A428EB" w:rsidP="00F42D7D">
      <w:pPr>
        <w:spacing w:after="120" w:line="360" w:lineRule="auto"/>
        <w:jc w:val="both"/>
        <w:rPr>
          <w:rFonts w:ascii="Arial" w:hAnsi="Arial" w:cs="Arial"/>
          <w:b/>
          <w:sz w:val="24"/>
        </w:rPr>
      </w:pPr>
      <w:commentRangeStart w:id="2"/>
      <w:r w:rsidRPr="00F42D7D">
        <w:rPr>
          <w:rFonts w:ascii="Arial" w:hAnsi="Arial" w:cs="Arial"/>
          <w:b/>
          <w:sz w:val="24"/>
        </w:rPr>
        <w:t xml:space="preserve">Introduction </w:t>
      </w:r>
      <w:commentRangeEnd w:id="2"/>
      <w:r w:rsidR="00AA24F4">
        <w:rPr>
          <w:rStyle w:val="CommentReference"/>
        </w:rPr>
        <w:commentReference w:id="2"/>
      </w:r>
    </w:p>
    <w:p w14:paraId="61227FB7" w14:textId="77777777" w:rsidR="00695E75" w:rsidRPr="00F42D7D" w:rsidRDefault="00695E75" w:rsidP="00F42D7D">
      <w:pPr>
        <w:spacing w:after="120" w:line="360" w:lineRule="auto"/>
        <w:ind w:firstLine="720"/>
        <w:jc w:val="both"/>
        <w:rPr>
          <w:rFonts w:ascii="Arial" w:hAnsi="Arial" w:cs="Arial"/>
          <w:sz w:val="24"/>
        </w:rPr>
      </w:pPr>
      <w:r w:rsidRPr="00F42D7D">
        <w:rPr>
          <w:rFonts w:ascii="Arial" w:hAnsi="Arial" w:cs="Arial"/>
          <w:color w:val="000000"/>
          <w:sz w:val="24"/>
          <w:szCs w:val="24"/>
        </w:rPr>
        <w:t>Wheat (</w:t>
      </w:r>
      <w:proofErr w:type="spellStart"/>
      <w:r w:rsidRPr="00F42D7D">
        <w:rPr>
          <w:rFonts w:ascii="Arial" w:hAnsi="Arial" w:cs="Arial"/>
          <w:i/>
          <w:iCs/>
          <w:color w:val="000000"/>
          <w:sz w:val="24"/>
          <w:szCs w:val="24"/>
        </w:rPr>
        <w:t>Triticum</w:t>
      </w:r>
      <w:proofErr w:type="spellEnd"/>
      <w:r w:rsidRPr="00F42D7D">
        <w:rPr>
          <w:rFonts w:ascii="Arial" w:hAnsi="Arial" w:cs="Arial"/>
          <w:i/>
          <w:iCs/>
          <w:color w:val="000000"/>
          <w:sz w:val="24"/>
          <w:szCs w:val="24"/>
        </w:rPr>
        <w:t xml:space="preserve"> </w:t>
      </w:r>
      <w:proofErr w:type="spellStart"/>
      <w:r w:rsidRPr="00F42D7D">
        <w:rPr>
          <w:rFonts w:ascii="Arial" w:hAnsi="Arial" w:cs="Arial"/>
          <w:i/>
          <w:iCs/>
          <w:color w:val="000000"/>
          <w:sz w:val="24"/>
          <w:szCs w:val="24"/>
        </w:rPr>
        <w:t>aestivum</w:t>
      </w:r>
      <w:proofErr w:type="spellEnd"/>
      <w:r w:rsidRPr="00F42D7D">
        <w:rPr>
          <w:rFonts w:ascii="Arial" w:hAnsi="Arial" w:cs="Arial"/>
          <w:color w:val="000000"/>
          <w:sz w:val="24"/>
          <w:szCs w:val="24"/>
        </w:rPr>
        <w:t xml:space="preserve"> L.) is one of the most important staple food crops of the world and is rightly known as the “</w:t>
      </w:r>
      <w:r w:rsidRPr="00F42D7D">
        <w:rPr>
          <w:rFonts w:ascii="Arial" w:hAnsi="Arial" w:cs="Arial"/>
          <w:b/>
          <w:color w:val="000000"/>
          <w:sz w:val="24"/>
          <w:szCs w:val="24"/>
        </w:rPr>
        <w:t>King of Cereals</w:t>
      </w:r>
      <w:r w:rsidRPr="00F42D7D">
        <w:rPr>
          <w:rFonts w:ascii="Arial" w:hAnsi="Arial" w:cs="Arial"/>
          <w:color w:val="000000"/>
          <w:sz w:val="24"/>
          <w:szCs w:val="24"/>
        </w:rPr>
        <w:t>” due to its wide adaptability under diverse agro-climatic and soil conditions, its vast acreage, and its vital role in global food security</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970161">
        <w:rPr>
          <w:rFonts w:ascii="Arial" w:hAnsi="Arial" w:cs="Arial"/>
          <w:color w:val="000000"/>
          <w:sz w:val="24"/>
          <w:szCs w:val="24"/>
        </w:rPr>
        <w:instrText>ADDIN CSL_CITATION {"citationItems":[{"id":"ITEM-1","itemData":{"DOI":"10.9734/cjast/2023/v42i474314","ISSN":"2457-1024","abstract":"This split-plot experiment conducted during the rabi seasons of 2020-21 and 2021-22 at the Agricultural Research Farm, Institute of Agricultural Sciences, Banaras Hindu University, Varanasi, delved into the intricate relationships between crop establishment methods and irrigation scheduling on wheat crop height and soil nutrient content. Employing a split-plot design with three main plot treatments—Conventional, Zero tillage, and Raised bed method—and five sub-plot treatments based on irrigation scheduling using maximum allowable depletion (MAD) of available soil water, the study revealed that raised bed sowing significantly enhanced plant height, with the peak observed under the Crown Root Initiation (CRI) + 30% depletion of available soil moisture (DASM) treatment at all observation stages. Notably, despite these pronounced effects on plant growth, the chosen crop establishment methods and irrigation schedules did not result in any significant differences in the available nitrogen, phosphorus, and potassium (NPK) in the soil after the wheat harvest. This nuanced exploration of agricultural practices emphasizes the complexity of nutrient dynamics in soil-plant systems and underscores the necessity for further research to refine nutrient management strategies and promote sustainable wheat cultivation practices.","author":[{"dropping-particle":"","family":"Kumar","given":"Ajay","non-dropping-particle":"","parse-names":false,"suffix":""},{"dropping-particle":"","family":"Singh","given":"R. K.","non-dropping-particle":"","parse-names":false,"suffix":""},{"dropping-particle":"","family":"Singh","given":"J. K.","non-dropping-particle":"","parse-names":false,"suffix":""},{"dropping-particle":"","family":"Aakash","given":"","non-dropping-particle":"","parse-names":false,"suffix":""},{"dropping-particle":"","family":"Kumari","given":"Sadhana","non-dropping-particle":"","parse-names":false,"suffix":""},{"dropping-particle":"","family":"Chandel","given":"Shiv Kant Singh","non-dropping-particle":"","parse-names":false,"suffix":""},{"dropping-particle":"","family":"Jyothsna","given":"Koyi","non-dropping-particle":"","parse-names":false,"suffix":""},{"dropping-particle":"","family":"Solanki","given":"Amit","non-dropping-particle":"","parse-names":false,"suffix":""}],"container-title":"Current Journal of Applied Science and Technology","id":"ITEM-1","issue":"47","issued":{"date-parts":[["2023","12","13"]]},"page":"32-42","title":"Effect of crop establishment methods and irrigation scheduling on growth and soil nutrient status of wheat","type":"article-journal","volume":"42"},"uris":["http://www.mendeley.com/documents/?uuid=018419f0-f8e2-4fa0-b1f2-76d831a0520f"]}],"mendeley":{"formattedCitation":"(Kumar et al., 2023)","plainTextFormattedCitation":"(Kumar et al., 2023)","previouslyFormattedCitation":"(Kumar et al., 2023)"},"properties":{"noteIndex":0},"schema":"https://github.com/citation-style-language/schema/raw/master/csl-citation.json"}</w:instrText>
      </w:r>
      <w:r w:rsidR="00970161">
        <w:rPr>
          <w:rFonts w:ascii="Arial" w:hAnsi="Arial" w:cs="Arial"/>
          <w:color w:val="000000"/>
          <w:sz w:val="24"/>
          <w:szCs w:val="24"/>
        </w:rPr>
        <w:fldChar w:fldCharType="separate"/>
      </w:r>
      <w:r w:rsidR="00970161" w:rsidRPr="00970161">
        <w:rPr>
          <w:rFonts w:ascii="Arial" w:hAnsi="Arial" w:cs="Arial"/>
          <w:noProof/>
          <w:color w:val="000000"/>
          <w:sz w:val="24"/>
          <w:szCs w:val="24"/>
        </w:rPr>
        <w:t>(Kumar et al., 2023)</w:t>
      </w:r>
      <w:r w:rsidR="00970161">
        <w:rPr>
          <w:rFonts w:ascii="Arial" w:hAnsi="Arial" w:cs="Arial"/>
          <w:color w:val="000000"/>
          <w:sz w:val="24"/>
          <w:szCs w:val="24"/>
        </w:rPr>
        <w:fldChar w:fldCharType="end"/>
      </w:r>
      <w:r w:rsidRPr="00F42D7D">
        <w:rPr>
          <w:rFonts w:ascii="Arial" w:hAnsi="Arial" w:cs="Arial"/>
          <w:color w:val="000000"/>
          <w:sz w:val="24"/>
          <w:szCs w:val="24"/>
        </w:rPr>
        <w:t xml:space="preserve">. It belongs to the family </w:t>
      </w:r>
      <w:proofErr w:type="spellStart"/>
      <w:r w:rsidRPr="00F42D7D">
        <w:rPr>
          <w:rFonts w:ascii="Arial" w:hAnsi="Arial" w:cs="Arial"/>
          <w:color w:val="000000"/>
          <w:sz w:val="24"/>
          <w:szCs w:val="24"/>
        </w:rPr>
        <w:t>Poaceae</w:t>
      </w:r>
      <w:proofErr w:type="spellEnd"/>
      <w:r w:rsidRPr="00F42D7D">
        <w:rPr>
          <w:rFonts w:ascii="Arial" w:hAnsi="Arial" w:cs="Arial"/>
          <w:color w:val="000000"/>
          <w:sz w:val="24"/>
          <w:szCs w:val="24"/>
        </w:rPr>
        <w:t xml:space="preserve"> and has historically been regarded as a symbol of the Green Revolution, contributing significantly to self-sufficiency in food production </w:t>
      </w:r>
      <w:r w:rsidRPr="00F42D7D">
        <w:rPr>
          <w:rFonts w:ascii="Arial" w:hAnsi="Arial" w:cs="Arial"/>
          <w:color w:val="000000"/>
          <w:sz w:val="24"/>
          <w:szCs w:val="24"/>
        </w:rPr>
        <w:fldChar w:fldCharType="begin" w:fldLock="1"/>
      </w:r>
      <w:r w:rsidR="00932EE7">
        <w:rPr>
          <w:rFonts w:ascii="Arial" w:hAnsi="Arial" w:cs="Arial"/>
          <w:color w:val="000000"/>
          <w:sz w:val="24"/>
          <w:szCs w:val="24"/>
        </w:rPr>
        <w:instrText>ADDIN CSL_CITATION {"citationItems":[{"id":"ITEM-1","itemData":{"author":[{"dropping-particle":"","family":"Alam","given":"S. M.","non-dropping-particle":"","parse-names":false,"suffix":""}],"container-title":"African Journal of Agricultural Research","id":"ITEM-1","issue":"47","issued":{"date-parts":[["2013"]]},"page":"6068-6072","title":"Growth and yield potential of wheat as affected by management practices","type":"article-journal","volume":"8"},"uris":["http://www.mendeley.com/documents/?uuid=e489ba70-9d48-4667-8713-7539d7f9e936"]}],"mendeley":{"formattedCitation":"(Alam, 2013)","plainTextFormattedCitation":"(Alam, 2013)","previouslyFormattedCitation":"(Alam, 2013)"},"properties":{"noteIndex":0},"schema":"https://github.com/citation-style-language/schema/raw/master/csl-citation.json"}</w:instrText>
      </w:r>
      <w:r w:rsidRPr="00F42D7D">
        <w:rPr>
          <w:rFonts w:ascii="Arial" w:hAnsi="Arial" w:cs="Arial"/>
          <w:color w:val="000000"/>
          <w:sz w:val="24"/>
          <w:szCs w:val="24"/>
        </w:rPr>
        <w:fldChar w:fldCharType="separate"/>
      </w:r>
      <w:r w:rsidR="00750AAB" w:rsidRPr="00750AAB">
        <w:rPr>
          <w:rFonts w:ascii="Arial" w:hAnsi="Arial" w:cs="Arial"/>
          <w:noProof/>
          <w:color w:val="000000"/>
          <w:sz w:val="24"/>
          <w:szCs w:val="24"/>
        </w:rPr>
        <w:t>(Alam, 2013)</w:t>
      </w:r>
      <w:r w:rsidRPr="00F42D7D">
        <w:rPr>
          <w:rFonts w:ascii="Arial" w:hAnsi="Arial" w:cs="Arial"/>
          <w:color w:val="000000"/>
          <w:sz w:val="24"/>
          <w:szCs w:val="24"/>
        </w:rPr>
        <w:fldChar w:fldCharType="end"/>
      </w:r>
      <w:r w:rsidRPr="00F42D7D">
        <w:rPr>
          <w:rFonts w:ascii="Arial" w:hAnsi="Arial" w:cs="Arial"/>
          <w:color w:val="000000"/>
          <w:sz w:val="24"/>
          <w:szCs w:val="24"/>
        </w:rPr>
        <w:t xml:space="preserve">. Wheat is not only a dietary staple but also forms the base of several processed food items such as </w:t>
      </w:r>
      <w:r w:rsidRPr="00F42D7D">
        <w:rPr>
          <w:rFonts w:ascii="Arial" w:hAnsi="Arial" w:cs="Arial"/>
          <w:color w:val="000000"/>
          <w:sz w:val="24"/>
          <w:szCs w:val="24"/>
        </w:rPr>
        <w:lastRenderedPageBreak/>
        <w:t>bread, noodles, cakes, pastries, and baby food products</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0774C5">
        <w:rPr>
          <w:rFonts w:ascii="Arial" w:hAnsi="Arial" w:cs="Arial"/>
          <w:color w:val="000000"/>
          <w:sz w:val="24"/>
          <w:szCs w:val="24"/>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Science","id":"ITEM-1","issued":{"date-parts":[["2022","8","6"]]},"page":"362-367","title":"Influence of different sowing dates and nutrient management on yield attributes and yield of wheat (Triticum aestivum L.)","type":"article-journal"},"uris":["http://www.mendeley.com/documents/?uuid=939af76f-8034-4dce-8dad-5d2ed97131bb"]}],"mendeley":{"formattedCitation":"(Bhayal, Kewat, et al., 2022)","plainTextFormattedCitation":"(Bhayal, Kewat, et al., 2022)","previouslyFormattedCitation":"(Bhayal, Kewat, et al., 2022)"},"properties":{"noteIndex":0},"schema":"https://github.com/citation-style-language/schema/raw/master/csl-citation.json"}</w:instrText>
      </w:r>
      <w:r w:rsidR="00970161">
        <w:rPr>
          <w:rFonts w:ascii="Arial" w:hAnsi="Arial" w:cs="Arial"/>
          <w:color w:val="000000"/>
          <w:sz w:val="24"/>
          <w:szCs w:val="24"/>
        </w:rPr>
        <w:fldChar w:fldCharType="separate"/>
      </w:r>
      <w:r w:rsidR="000774C5" w:rsidRPr="000774C5">
        <w:rPr>
          <w:rFonts w:ascii="Arial" w:hAnsi="Arial" w:cs="Arial"/>
          <w:noProof/>
          <w:color w:val="000000"/>
          <w:sz w:val="24"/>
          <w:szCs w:val="24"/>
        </w:rPr>
        <w:t>(Bhayal, Kewat, et al., 2022)</w:t>
      </w:r>
      <w:r w:rsidR="00970161">
        <w:rPr>
          <w:rFonts w:ascii="Arial" w:hAnsi="Arial" w:cs="Arial"/>
          <w:color w:val="000000"/>
          <w:sz w:val="24"/>
          <w:szCs w:val="24"/>
        </w:rPr>
        <w:fldChar w:fldCharType="end"/>
      </w:r>
      <w:r w:rsidRPr="00F42D7D">
        <w:rPr>
          <w:rFonts w:ascii="Arial" w:hAnsi="Arial" w:cs="Arial"/>
          <w:color w:val="000000"/>
          <w:sz w:val="24"/>
          <w:szCs w:val="24"/>
        </w:rPr>
        <w:t xml:space="preserve">. Nutritionally, wheat is rich in carbohydrates (78%) and provides proteins (14%), fats (2%), minerals (2.5%), along with essential vitamins such as thiamine, and minerals including zinc, iron, selenium, and magnesium, making it an indispensable part of human </w:t>
      </w:r>
      <w:r w:rsidRPr="00F42D7D">
        <w:rPr>
          <w:rFonts w:ascii="Arial" w:hAnsi="Arial" w:cs="Arial"/>
          <w:sz w:val="24"/>
          <w:szCs w:val="24"/>
        </w:rPr>
        <w:t xml:space="preserve">diet </w:t>
      </w:r>
      <w:r w:rsidRPr="00F42D7D">
        <w:rPr>
          <w:rFonts w:ascii="Arial" w:hAnsi="Arial" w:cs="Arial"/>
          <w:sz w:val="24"/>
          <w:szCs w:val="24"/>
        </w:rPr>
        <w:fldChar w:fldCharType="begin" w:fldLock="1"/>
      </w:r>
      <w:r w:rsidR="0057438D">
        <w:rPr>
          <w:rFonts w:ascii="Arial" w:hAnsi="Arial" w:cs="Arial"/>
          <w:sz w:val="24"/>
          <w:szCs w:val="24"/>
        </w:rPr>
        <w:instrText>ADDIN CSL_CITATION {"citationItems":[{"id":"ITEM-1","itemData":{"DOI":"10.5772/intechopen.104659","author":[{"dropping-particle":"","family":"Iqbal","given":"Muhammad Javid.","non-dropping-particle":"","parse-names":false,"suffix":""},{"dropping-particle":"","family":"Shams","given":"Nauree","non-dropping-particle":"","parse-names":false,"suffix":""},{"dropping-particle":"","family":"Fatima","given":"Kalsoom","non-dropping-particle":"","parse-names":false,"suffix":""}],"container-title":"Wheat","id":"ITEM-1","issued":{"date-parts":[["2022","11"]]},"publisher":"IntechOpen","title":"Nutritional Quality of Wheat","type":"chapter"},"uris":["http://www.mendeley.com/documents/?uuid=4d02d092-5ea0-4dcc-8db1-9f88726004e2","http://www.mendeley.com/documents/?uuid=c302f528-d388-47ec-adff-7d29bb9848f1"]}],"mendeley":{"formattedCitation":"(M. J. Iqbal et al., 2022)","manualFormatting":" Iqbal et al., (2022)","plainTextFormattedCitation":"(M. J. Iqbal et al., 2022)","previouslyFormattedCitation":"(M. J. Iqbal et al., 2022)"},"properties":{"noteIndex":0},"schema":"https://github.com/citation-style-language/schema/raw/master/csl-citation.json"}</w:instrText>
      </w:r>
      <w:r w:rsidRPr="00F42D7D">
        <w:rPr>
          <w:rFonts w:ascii="Arial" w:hAnsi="Arial" w:cs="Arial"/>
          <w:sz w:val="24"/>
          <w:szCs w:val="24"/>
        </w:rPr>
        <w:fldChar w:fldCharType="separate"/>
      </w:r>
      <w:r w:rsidR="0057438D">
        <w:rPr>
          <w:rFonts w:ascii="Arial" w:hAnsi="Arial" w:cs="Arial"/>
          <w:noProof/>
          <w:sz w:val="24"/>
          <w:szCs w:val="24"/>
        </w:rPr>
        <w:t xml:space="preserve"> </w:t>
      </w:r>
      <w:r w:rsidR="00290B6C" w:rsidRPr="00290B6C">
        <w:rPr>
          <w:rFonts w:ascii="Arial" w:hAnsi="Arial" w:cs="Arial"/>
          <w:noProof/>
          <w:sz w:val="24"/>
          <w:szCs w:val="24"/>
        </w:rPr>
        <w:t xml:space="preserve">Iqbal </w:t>
      </w:r>
      <w:r w:rsidR="00290B6C" w:rsidRPr="0057438D">
        <w:rPr>
          <w:rFonts w:ascii="Arial" w:hAnsi="Arial" w:cs="Arial"/>
          <w:i/>
          <w:noProof/>
          <w:sz w:val="24"/>
          <w:szCs w:val="24"/>
        </w:rPr>
        <w:t>et al</w:t>
      </w:r>
      <w:r w:rsidR="00290B6C" w:rsidRPr="00290B6C">
        <w:rPr>
          <w:rFonts w:ascii="Arial" w:hAnsi="Arial" w:cs="Arial"/>
          <w:noProof/>
          <w:sz w:val="24"/>
          <w:szCs w:val="24"/>
        </w:rPr>
        <w:t xml:space="preserve">., </w:t>
      </w:r>
      <w:r w:rsidR="0057438D">
        <w:rPr>
          <w:rFonts w:ascii="Arial" w:hAnsi="Arial" w:cs="Arial"/>
          <w:noProof/>
          <w:sz w:val="24"/>
          <w:szCs w:val="24"/>
        </w:rPr>
        <w:t>(</w:t>
      </w:r>
      <w:r w:rsidR="00290B6C" w:rsidRPr="00290B6C">
        <w:rPr>
          <w:rFonts w:ascii="Arial" w:hAnsi="Arial" w:cs="Arial"/>
          <w:noProof/>
          <w:sz w:val="24"/>
          <w:szCs w:val="24"/>
        </w:rPr>
        <w:t>2022)</w:t>
      </w:r>
      <w:r w:rsidRPr="00F42D7D">
        <w:rPr>
          <w:rFonts w:ascii="Arial" w:hAnsi="Arial" w:cs="Arial"/>
          <w:sz w:val="24"/>
          <w:szCs w:val="24"/>
        </w:rPr>
        <w:fldChar w:fldCharType="end"/>
      </w:r>
      <w:r w:rsidR="00C45B28" w:rsidRPr="00F42D7D">
        <w:rPr>
          <w:rFonts w:ascii="Arial" w:hAnsi="Arial" w:cs="Arial"/>
          <w:sz w:val="24"/>
        </w:rPr>
        <w:t xml:space="preserve"> </w:t>
      </w:r>
      <w:r w:rsidRPr="00F42D7D">
        <w:rPr>
          <w:rFonts w:ascii="Arial" w:hAnsi="Arial" w:cs="Arial"/>
          <w:color w:val="000000"/>
          <w:sz w:val="24"/>
          <w:szCs w:val="24"/>
        </w:rPr>
        <w:t xml:space="preserve">Globally, wheat production during 2024-25 </w:t>
      </w:r>
      <w:r w:rsidRPr="00F42D7D">
        <w:rPr>
          <w:rFonts w:ascii="Arial" w:hAnsi="Arial" w:cs="Arial"/>
          <w:color w:val="333333"/>
          <w:sz w:val="24"/>
          <w:szCs w:val="24"/>
          <w:shd w:val="clear" w:color="auto" w:fill="FFFFFF"/>
        </w:rPr>
        <w:t>is estimated at record</w:t>
      </w:r>
      <w:r w:rsidR="00E778DA">
        <w:rPr>
          <w:rFonts w:ascii="Arial" w:hAnsi="Arial" w:cs="Arial"/>
          <w:color w:val="000000"/>
          <w:sz w:val="24"/>
          <w:szCs w:val="24"/>
        </w:rPr>
        <w:t xml:space="preserve"> </w:t>
      </w:r>
      <w:r w:rsidRPr="00F42D7D">
        <w:rPr>
          <w:rFonts w:ascii="Arial" w:hAnsi="Arial" w:cs="Arial"/>
          <w:bCs/>
          <w:color w:val="1B1B1B"/>
          <w:sz w:val="24"/>
          <w:szCs w:val="24"/>
          <w:shd w:val="clear" w:color="auto" w:fill="FFFFFF"/>
        </w:rPr>
        <w:t>799.9 Million </w:t>
      </w:r>
      <w:r w:rsidRPr="00F42D7D">
        <w:rPr>
          <w:rFonts w:ascii="Arial" w:hAnsi="Arial" w:cs="Arial"/>
          <w:i/>
          <w:iCs/>
          <w:color w:val="1B1B1B"/>
          <w:sz w:val="24"/>
          <w:szCs w:val="24"/>
          <w:shd w:val="clear" w:color="auto" w:fill="FFFFFF"/>
        </w:rPr>
        <w:t xml:space="preserve">metric tons </w:t>
      </w:r>
      <w:r w:rsidRPr="00F42D7D">
        <w:rPr>
          <w:rFonts w:ascii="Arial" w:hAnsi="Arial" w:cs="Arial"/>
          <w:i/>
          <w:iCs/>
          <w:color w:val="1B1B1B"/>
          <w:sz w:val="24"/>
          <w:szCs w:val="24"/>
          <w:shd w:val="clear" w:color="auto" w:fill="FFFFFF"/>
        </w:rPr>
        <w:fldChar w:fldCharType="begin" w:fldLock="1"/>
      </w:r>
      <w:r w:rsidR="00290B6C">
        <w:rPr>
          <w:rFonts w:ascii="Arial" w:hAnsi="Arial" w:cs="Arial"/>
          <w:i/>
          <w:iCs/>
          <w:color w:val="1B1B1B"/>
          <w:sz w:val="24"/>
          <w:szCs w:val="24"/>
          <w:shd w:val="clear" w:color="auto" w:fill="FFFFFF"/>
        </w:rPr>
        <w:instrText>ADDIN CSL_CITATION {"citationItems":[{"id":"ITEM-1","itemData":{"author":[{"dropping-particle":"","family":"USDA","given":"","non-dropping-particle":"","parse-names":false,"suffix":""}],"container-title":"Foreign Agricultural Service (FAS) iUnited States Department of Agriculture's (USDA)","id":"ITEM-1","issued":{"date-parts":[["2025"]]},"title":"Top wheat producing countries","type":"webpage"},"uris":["http://www.mendeley.com/documents/?uuid=fff32155-d992-4853-8b3e-889c8274a79c","http://www.mendeley.com/documents/?uuid=a261beca-81e8-4bdd-ad78-76ee769296ae"]}],"mendeley":{"formattedCitation":"(USDA, 2025)","plainTextFormattedCitation":"(USDA, 2025)","previouslyFormattedCitation":"(USDA, 2025)"},"properties":{"noteIndex":0},"schema":"https://github.com/citation-style-language/schema/raw/master/csl-citation.json"}</w:instrText>
      </w:r>
      <w:r w:rsidRPr="00F42D7D">
        <w:rPr>
          <w:rFonts w:ascii="Arial" w:hAnsi="Arial" w:cs="Arial"/>
          <w:i/>
          <w:iCs/>
          <w:color w:val="1B1B1B"/>
          <w:sz w:val="24"/>
          <w:szCs w:val="24"/>
          <w:shd w:val="clear" w:color="auto" w:fill="FFFFFF"/>
        </w:rPr>
        <w:fldChar w:fldCharType="separate"/>
      </w:r>
      <w:r w:rsidRPr="00F42D7D">
        <w:rPr>
          <w:rFonts w:ascii="Arial" w:hAnsi="Arial" w:cs="Arial"/>
          <w:iCs/>
          <w:noProof/>
          <w:color w:val="1B1B1B"/>
          <w:sz w:val="24"/>
          <w:szCs w:val="24"/>
          <w:shd w:val="clear" w:color="auto" w:fill="FFFFFF"/>
        </w:rPr>
        <w:t>(USDA, 2025)</w:t>
      </w:r>
      <w:r w:rsidRPr="00F42D7D">
        <w:rPr>
          <w:rFonts w:ascii="Arial" w:hAnsi="Arial" w:cs="Arial"/>
          <w:i/>
          <w:iCs/>
          <w:color w:val="1B1B1B"/>
          <w:sz w:val="24"/>
          <w:szCs w:val="24"/>
          <w:shd w:val="clear" w:color="auto" w:fill="FFFFFF"/>
        </w:rPr>
        <w:fldChar w:fldCharType="end"/>
      </w:r>
      <w:r w:rsidRPr="00F42D7D">
        <w:rPr>
          <w:rFonts w:ascii="Arial" w:hAnsi="Arial" w:cs="Arial"/>
          <w:color w:val="000000"/>
          <w:sz w:val="24"/>
          <w:szCs w:val="24"/>
        </w:rPr>
        <w:t>. In India,</w:t>
      </w:r>
      <w:r w:rsidRPr="00F42D7D">
        <w:rPr>
          <w:rFonts w:ascii="Arial" w:hAnsi="Arial" w:cs="Arial"/>
          <w:color w:val="333333"/>
          <w:sz w:val="24"/>
          <w:szCs w:val="24"/>
          <w:shd w:val="clear" w:color="auto" w:fill="FFFFFF"/>
        </w:rPr>
        <w:t xml:space="preserve"> Wheat production during 2023-24 is estimated at record 1132.92 LMT (lakh metric ton). It is higher by 27.38 </w:t>
      </w:r>
      <w:smartTag w:uri="urn:schemas-microsoft-com:office:smarttags" w:element="stockticker">
        <w:r w:rsidRPr="00F42D7D">
          <w:rPr>
            <w:rFonts w:ascii="Arial" w:hAnsi="Arial" w:cs="Arial"/>
            <w:color w:val="333333"/>
            <w:sz w:val="24"/>
            <w:szCs w:val="24"/>
            <w:shd w:val="clear" w:color="auto" w:fill="FFFFFF"/>
          </w:rPr>
          <w:t>LMT</w:t>
        </w:r>
      </w:smartTag>
      <w:r w:rsidRPr="00F42D7D">
        <w:rPr>
          <w:rFonts w:ascii="Arial" w:hAnsi="Arial" w:cs="Arial"/>
          <w:color w:val="333333"/>
          <w:sz w:val="24"/>
          <w:szCs w:val="24"/>
          <w:shd w:val="clear" w:color="auto" w:fill="FFFFFF"/>
        </w:rPr>
        <w:t xml:space="preserve"> than previous year’s wheat production of 1105.54 </w:t>
      </w:r>
      <w:smartTag w:uri="urn:schemas-microsoft-com:office:smarttags" w:element="stockticker">
        <w:r w:rsidRPr="00F42D7D">
          <w:rPr>
            <w:rFonts w:ascii="Arial" w:hAnsi="Arial" w:cs="Arial"/>
            <w:color w:val="333333"/>
            <w:sz w:val="24"/>
            <w:szCs w:val="24"/>
            <w:shd w:val="clear" w:color="auto" w:fill="FFFFFF"/>
          </w:rPr>
          <w:t>LMT</w:t>
        </w:r>
      </w:smartTag>
      <w:r w:rsidRPr="00F42D7D">
        <w:rPr>
          <w:rFonts w:ascii="Arial" w:hAnsi="Arial" w:cs="Arial"/>
          <w:color w:val="000000"/>
          <w:sz w:val="24"/>
          <w:szCs w:val="24"/>
        </w:rPr>
        <w:t xml:space="preserve"> </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Welfare","given":"Farmers","non-dropping-particle":"","parse-names":false,"suffix":""},{"dropping-particle":"","family":"Crop","given":"Weekly","non-dropping-particle":"","parse-names":false,"suffix":""},{"dropping-particle":"","family":"Watch","given":"Weather","non-dropping-particle":"","parse-names":false,"suffix":""}],"id":"ITEM-1","issued":{"date-parts":[["2024"]]},"page":"24-25","title":"Department of Agriculture and Farmers ’ Welfare releases Final Estimates of major agricultural crops for 2023-24 Record Foodgrains production of 3322 . 98 LMT Record Rice production of 1378 . 25 LMT Record Wheat production of 1132 . 92 LMT Record producti","type":"article-journal"},"uris":["http://www.mendeley.com/documents/?uuid=ae9ef289-d23c-423c-a22b-56162963ebe7","http://www.mendeley.com/documents/?uuid=1679678f-c90c-4320-b0ec-fc0eee555da5"]}],"mendeley":{"formattedCitation":"(Welfare et al., 2024)","plainTextFormattedCitation":"(Welfare et al., 2024)","previouslyFormattedCitation":"(Welfare et al.,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(Welfare et al., 2024)</w:t>
      </w:r>
      <w:r w:rsidRPr="00F42D7D">
        <w:rPr>
          <w:rFonts w:ascii="Arial" w:hAnsi="Arial" w:cs="Arial"/>
          <w:color w:val="000000"/>
          <w:sz w:val="24"/>
          <w:szCs w:val="24"/>
        </w:rPr>
        <w:fldChar w:fldCharType="end"/>
      </w:r>
      <w:r w:rsidRPr="00F42D7D">
        <w:rPr>
          <w:rFonts w:ascii="Arial" w:hAnsi="Arial" w:cs="Arial"/>
          <w:color w:val="000000"/>
          <w:sz w:val="24"/>
          <w:szCs w:val="24"/>
        </w:rPr>
        <w:t xml:space="preserve"> India ranks second among wheat-producing nations, accounting for about 13% of the global wheat production in 2022</w:t>
      </w:r>
      <w:r w:rsidRPr="00F42D7D">
        <w:rPr>
          <w:rFonts w:ascii="Arial" w:hAnsi="Arial" w:cs="Arial"/>
          <w:sz w:val="24"/>
          <w:szCs w:val="24"/>
        </w:rPr>
        <w:t xml:space="preserve"> </w:t>
      </w:r>
      <w:r w:rsidRPr="00F42D7D">
        <w:rPr>
          <w:rFonts w:ascii="Arial" w:hAnsi="Arial" w:cs="Arial"/>
          <w:sz w:val="24"/>
          <w:szCs w:val="24"/>
        </w:rPr>
        <w:fldChar w:fldCharType="begin" w:fldLock="1"/>
      </w:r>
      <w:r w:rsidR="00290B6C">
        <w:rPr>
          <w:rFonts w:ascii="Arial" w:hAnsi="Arial" w:cs="Arial"/>
          <w:sz w:val="24"/>
          <w:szCs w:val="24"/>
        </w:rPr>
        <w:instrText>ADDIN CSL_CITATION {"citationItems":[{"id":"ITEM-1","itemData":{"abstract":"Food and Agriculture Organization of the United Nations","author":[{"dropping-particle":"","family":"FAO","given":"","non-dropping-particle":"","parse-names":false,"suffix":""}],"container-title":"Agricultural production statistics 2000–2021","id":"ITEM-1","issued":{"date-parts":[["2023"]]},"page":"1-16","title":"Agricultural production statistics 2000–2022. FAOSTAT Analytical Briefs, No. 79. Rome. https://doi.org/10.4060/cc9205en. Date accessed: 20th Npvember 2024.","type":"article-journal"},"uris":["http://www.mendeley.com/documents/?uuid=f2d49e43-0952-417d-b1ad-523252fde0a3","http://www.mendeley.com/documents/?uuid=a30e119a-c733-480e-830b-586f10721838"]}],"mendeley":{"formattedCitation":"(FAO, 2023)","plainTextFormattedCitation":"(FAO, 2023)","previouslyFormattedCitation":"(FAO, 2023)"},"properties":{"noteIndex":0},"schema":"https://github.com/citation-style-language/schema/raw/master/csl-citation.json"}</w:instrText>
      </w:r>
      <w:r w:rsidRPr="00F42D7D">
        <w:rPr>
          <w:rFonts w:ascii="Arial" w:hAnsi="Arial" w:cs="Arial"/>
          <w:sz w:val="24"/>
          <w:szCs w:val="24"/>
        </w:rPr>
        <w:fldChar w:fldCharType="separate"/>
      </w:r>
      <w:r w:rsidRPr="00F42D7D">
        <w:rPr>
          <w:rFonts w:ascii="Arial" w:hAnsi="Arial" w:cs="Arial"/>
          <w:noProof/>
          <w:sz w:val="24"/>
          <w:szCs w:val="24"/>
        </w:rPr>
        <w:t>(FAO, 2023)</w:t>
      </w:r>
      <w:r w:rsidRPr="00F42D7D">
        <w:rPr>
          <w:rFonts w:ascii="Arial" w:hAnsi="Arial" w:cs="Arial"/>
          <w:sz w:val="24"/>
          <w:szCs w:val="24"/>
        </w:rPr>
        <w:fldChar w:fldCharType="end"/>
      </w:r>
      <w:r w:rsidRPr="00F42D7D">
        <w:rPr>
          <w:rFonts w:ascii="Arial" w:hAnsi="Arial" w:cs="Arial"/>
          <w:sz w:val="24"/>
          <w:szCs w:val="24"/>
        </w:rPr>
        <w:t>. Within India, Uttar Pradesh is the leading wheat-growing state with about 35.34 Million ton production of wheat</w:t>
      </w:r>
      <w:r w:rsidRPr="00F42D7D">
        <w:rPr>
          <w:rFonts w:ascii="Arial" w:hAnsi="Arial" w:cs="Arial"/>
          <w:color w:val="000000"/>
          <w:sz w:val="24"/>
          <w:szCs w:val="24"/>
        </w:rPr>
        <w:t>.</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{"citationItems":[{"id":"ITEM-1","itemData":{"author":[{"dropping-particle":"","family":"GOI","given":"","non-dropping-particle":"","parse-names":false,"suffix":""}],"id":"ITEM-1","issued":{"date-parts":[["2024"]]},"page":"43","title":"Economic Survey 2024-25 Statistical appendix","type":"article"},"uris":["http://www.mendeley.com/documents/?uuid=5b02a2c4-6b5a-4f5d-aa8c-73379275fe1e","http://www.mendeley.com/documents/?uuid=e525d5a2-d69b-43d3-a4dd-5440dc320356"]}],"mendeley":{"formattedCitation":"(GOI, 2024)","plainTextFormattedCitation":"(GOI, 2024)","previouslyFormattedCitation":"(GOI,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(GOI, 2024)</w:t>
      </w:r>
      <w:r w:rsidRPr="00F42D7D">
        <w:rPr>
          <w:rFonts w:ascii="Arial" w:hAnsi="Arial" w:cs="Arial"/>
          <w:color w:val="000000"/>
          <w:sz w:val="24"/>
          <w:szCs w:val="24"/>
        </w:rPr>
        <w:fldChar w:fldCharType="end"/>
      </w:r>
    </w:p>
    <w:p w14:paraId="038A78AF" w14:textId="77777777" w:rsidR="00970161" w:rsidRPr="005970FA" w:rsidRDefault="00695E75" w:rsidP="00970161">
      <w:pPr>
        <w:spacing w:after="120" w:line="360" w:lineRule="auto"/>
        <w:jc w:val="both"/>
        <w:rPr>
          <w:rFonts w:ascii="Arial" w:hAnsi="Arial" w:cs="Arial"/>
          <w:b/>
          <w:sz w:val="24"/>
        </w:rPr>
      </w:pPr>
      <w:r w:rsidRPr="00F42D7D">
        <w:rPr>
          <w:rFonts w:ascii="Arial" w:hAnsi="Arial" w:cs="Arial"/>
          <w:sz w:val="24"/>
        </w:rPr>
        <w:t>In India, Uttar Pradesh leads wheat cultivation, accounting for 9.65 million hectares (36.6% of India’s wheat area) and 26.87 million tons (39.3% of production), though its productivity of 2785 kg/ha lags behind Punjab (4300 kg ha</w:t>
      </w:r>
      <w:r w:rsidRPr="00F42D7D">
        <w:rPr>
          <w:rFonts w:ascii="Arial" w:hAnsi="Arial" w:cs="Arial"/>
          <w:sz w:val="24"/>
          <w:vertAlign w:val="superscript"/>
        </w:rPr>
        <w:t>-1</w:t>
      </w:r>
      <w:r w:rsidRPr="00F42D7D">
        <w:rPr>
          <w:rFonts w:ascii="Arial" w:hAnsi="Arial" w:cs="Arial"/>
          <w:sz w:val="24"/>
        </w:rPr>
        <w:t>) and Haryana (4000 kg ha</w:t>
      </w:r>
      <w:r w:rsidRPr="00F42D7D">
        <w:rPr>
          <w:rFonts w:ascii="Arial" w:hAnsi="Arial" w:cs="Arial"/>
          <w:sz w:val="24"/>
          <w:vertAlign w:val="superscript"/>
        </w:rPr>
        <w:t>-1</w:t>
      </w:r>
      <w:r w:rsidRPr="00F42D7D">
        <w:rPr>
          <w:rFonts w:ascii="Arial" w:hAnsi="Arial" w:cs="Arial"/>
          <w:sz w:val="24"/>
        </w:rPr>
        <w:t>)</w:t>
      </w:r>
      <w:r w:rsidRPr="00F42D7D">
        <w:rPr>
          <w:rFonts w:ascii="Arial" w:hAnsi="Arial" w:cs="Arial"/>
          <w:color w:val="FF0000"/>
          <w:sz w:val="24"/>
        </w:rPr>
        <w:t xml:space="preserve"> </w:t>
      </w:r>
      <w:r w:rsidRPr="00F42D7D">
        <w:rPr>
          <w:rFonts w:ascii="Arial" w:hAnsi="Arial" w:cs="Arial"/>
          <w:sz w:val="24"/>
        </w:rPr>
        <w:t>(</w:t>
      </w:r>
      <w:r w:rsidRPr="00F42D7D">
        <w:rPr>
          <w:rFonts w:ascii="Arial" w:hAnsi="Arial" w:cs="Arial"/>
          <w:color w:val="000000" w:themeColor="text1"/>
          <w:sz w:val="24"/>
        </w:rPr>
        <w:fldChar w:fldCharType="begin" w:fldLock="1"/>
      </w:r>
      <w:r w:rsidR="00906CD0">
        <w:rPr>
          <w:rFonts w:ascii="Arial" w:hAnsi="Arial" w:cs="Arial"/>
          <w:color w:val="000000" w:themeColor="text1"/>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et al., 2022)","plainTextFormattedCitation":"(Kumar &amp; Tripathi, 2022)","previouslyFormattedCitation":"(Kumar &amp; Tripathi, 2022)"},"properties":{"noteIndex":0},"schema":"https://github.com/citation-style-language/schema/raw/master/csl-citation.json"}</w:instrText>
      </w:r>
      <w:r w:rsidRPr="00F42D7D">
        <w:rPr>
          <w:rFonts w:ascii="Arial" w:hAnsi="Arial" w:cs="Arial"/>
          <w:color w:val="000000" w:themeColor="text1"/>
          <w:sz w:val="24"/>
        </w:rPr>
        <w:fldChar w:fldCharType="separate"/>
      </w:r>
      <w:r w:rsidRPr="00F42D7D">
        <w:rPr>
          <w:rFonts w:ascii="Arial" w:hAnsi="Arial" w:cs="Arial"/>
          <w:noProof/>
          <w:color w:val="000000" w:themeColor="text1"/>
          <w:sz w:val="24"/>
        </w:rPr>
        <w:t xml:space="preserve">Kumar </w:t>
      </w:r>
      <w:r w:rsidRPr="0057438D">
        <w:rPr>
          <w:rFonts w:ascii="Arial" w:hAnsi="Arial" w:cs="Arial"/>
          <w:i/>
          <w:noProof/>
          <w:color w:val="000000" w:themeColor="text1"/>
          <w:sz w:val="24"/>
        </w:rPr>
        <w:t>et al</w:t>
      </w:r>
      <w:r w:rsidRPr="00F42D7D">
        <w:rPr>
          <w:rFonts w:ascii="Arial" w:hAnsi="Arial" w:cs="Arial"/>
          <w:noProof/>
          <w:color w:val="000000" w:themeColor="text1"/>
          <w:sz w:val="24"/>
        </w:rPr>
        <w:t>., 2022)</w:t>
      </w:r>
      <w:r w:rsidRPr="00F42D7D">
        <w:rPr>
          <w:rFonts w:ascii="Arial" w:hAnsi="Arial" w:cs="Arial"/>
          <w:color w:val="000000" w:themeColor="text1"/>
          <w:sz w:val="24"/>
        </w:rPr>
        <w:fldChar w:fldCharType="end"/>
      </w:r>
      <w:r w:rsidRPr="00F42D7D">
        <w:rPr>
          <w:rFonts w:ascii="Arial" w:hAnsi="Arial" w:cs="Arial"/>
          <w:color w:val="000000" w:themeColor="text1"/>
          <w:sz w:val="24"/>
        </w:rPr>
        <w:t xml:space="preserve"> </w:t>
      </w:r>
      <w:r w:rsidRPr="00F42D7D">
        <w:rPr>
          <w:rFonts w:ascii="Arial" w:hAnsi="Arial" w:cs="Arial"/>
          <w:sz w:val="24"/>
        </w:rPr>
        <w:t>The wheat production is distributed in three agro-climatic zones, viz. western Uttar Prad</w:t>
      </w:r>
      <w:r w:rsidR="00C610EC">
        <w:rPr>
          <w:rFonts w:ascii="Arial" w:hAnsi="Arial" w:cs="Arial"/>
          <w:sz w:val="24"/>
        </w:rPr>
        <w:t xml:space="preserve">esh (3.29 million ha), eastern. </w:t>
      </w:r>
      <w:r w:rsidRPr="00F42D7D">
        <w:rPr>
          <w:rFonts w:ascii="Arial" w:hAnsi="Arial" w:cs="Arial"/>
          <w:sz w:val="24"/>
        </w:rPr>
        <w:t>UP (5.24 million ha) and central Uttar Pradesh (0.68 million ha). The area is 9.2 million ha, with a production of 24.5 million tons and productivity of 2.7 tons ha</w:t>
      </w:r>
      <w:r w:rsidRPr="00F42D7D">
        <w:rPr>
          <w:rFonts w:ascii="Arial" w:hAnsi="Arial" w:cs="Arial"/>
          <w:sz w:val="24"/>
          <w:vertAlign w:val="superscript"/>
        </w:rPr>
        <w:t>-1</w:t>
      </w:r>
      <w:r w:rsidRPr="00F42D7D">
        <w:rPr>
          <w:rFonts w:ascii="Arial" w:hAnsi="Arial" w:cs="Arial"/>
          <w:sz w:val="24"/>
        </w:rPr>
        <w:t xml:space="preserve"> (</w:t>
      </w:r>
      <w:r w:rsidRPr="00F42D7D">
        <w:rPr>
          <w:rFonts w:ascii="Arial" w:hAnsi="Arial" w:cs="Arial"/>
          <w:sz w:val="24"/>
        </w:rPr>
        <w:fldChar w:fldCharType="begin" w:fldLock="1"/>
      </w:r>
      <w:r w:rsidR="000774C5">
        <w:rPr>
          <w:rFonts w:ascii="Arial" w:hAnsi="Arial" w:cs="Arial"/>
          <w:sz w:val="24"/>
        </w:rPr>
        <w:instrText>ADDIN CSL_CITATION {"citationItems":[{"id":"ITEM-1","itemData":{"author":[{"dropping-particle":"","family":"Singh","given":"Hanumant","non-dropping-particle":"","parse-names":false,"suffix":""},{"dropping-particle":"","family":"Ingle","given":"Sushma R","non-dropping-particle":"","parse-names":false,"suffix":""},{"dropping-particle":"","family":"Pratap","given":"Tej","non-dropping-particle":"","parse-names":false,"suffix":""},{"dropping-particle":"","family":"Raizada","given":"","non-dropping-particle":"","parse-names":false,"suffix":""},{"dropping-particle":"","family":"Singh","given":"Sumit","non-dropping-particle":"","parse-names":false,"suffix":""},{"dropping-particle":"","family":"Parihar","given":"Prashant Kumar","non-dropping-particle":"","parse-names":false,"suffix":""},{"dropping-particle":"","family":"Singh","given":"Rajneesh","non-dropping-particle":"","parse-names":false,"suffix":""},{"dropping-particle":"","family":"AKS","given":"","non-dropping-particle":"","parse-names":false,"suffix":""}],"container-title":"The Pharma Innovation Journal","id":"ITEM-1","issue":"5","issued":{"date-parts":[["2020"]]},"page":"299-301","title":"Effect of integrated nutrient management on nitrogen content, uptake and quality of wheat (Triticum aestivum L.) under partially reclaimed sodic soil","type":"article-journal","volume":"9"},"uris":["http://www.mendeley.com/documents/?uuid=6fe0bb57-d0e8-4ee9-81d8-4a45f9586709"]}],"mendeley":{"formattedCitation":"(H. Singh et al., 2020)","manualFormatting":"Singh et al., 2020)","plainTextFormattedCitation":"(H. Singh et al., 2020)","previouslyFormattedCitation":"(Singh et al., 2020)"},"properties":{"noteIndex":0},"schema":"https://github.com/citation-style-language/schema/raw/master/csl-citation.json"}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Singh et al., 2020)</w:t>
      </w:r>
      <w:r w:rsidRPr="00F42D7D">
        <w:rPr>
          <w:rFonts w:ascii="Arial" w:hAnsi="Arial" w:cs="Arial"/>
          <w:sz w:val="24"/>
        </w:rPr>
        <w:fldChar w:fldCharType="end"/>
      </w:r>
      <w:r w:rsidRPr="00F42D7D">
        <w:rPr>
          <w:rFonts w:ascii="Arial" w:hAnsi="Arial" w:cs="Arial"/>
          <w:color w:val="00B050"/>
          <w:sz w:val="24"/>
        </w:rPr>
        <w:t>.</w:t>
      </w:r>
      <w:r w:rsidRPr="00F42D7D">
        <w:rPr>
          <w:rFonts w:ascii="Arial" w:hAnsi="Arial" w:cs="Arial"/>
          <w:color w:val="FF0000"/>
          <w:sz w:val="24"/>
        </w:rPr>
        <w:t xml:space="preserve"> </w:t>
      </w:r>
      <w:r w:rsidRPr="00F42D7D">
        <w:rPr>
          <w:rFonts w:ascii="Arial" w:hAnsi="Arial" w:cs="Arial"/>
          <w:sz w:val="24"/>
        </w:rPr>
        <w:t xml:space="preserve">Uttar Pradesh ranks first in wheat producing states with 33949.68 Tones. The state alone contributes more than 25% of India’s total wheat </w:t>
      </w:r>
      <w:commentRangeStart w:id="3"/>
      <w:r w:rsidRPr="00F42D7D">
        <w:rPr>
          <w:rFonts w:ascii="Arial" w:hAnsi="Arial" w:cs="Arial"/>
          <w:sz w:val="24"/>
        </w:rPr>
        <w:t>production</w:t>
      </w:r>
      <w:commentRangeEnd w:id="3"/>
      <w:r w:rsidR="00AA24F4">
        <w:rPr>
          <w:rStyle w:val="CommentReference"/>
        </w:rPr>
        <w:commentReference w:id="3"/>
      </w:r>
      <w:r w:rsidRPr="00F42D7D">
        <w:rPr>
          <w:rFonts w:ascii="Arial" w:hAnsi="Arial" w:cs="Arial"/>
          <w:sz w:val="24"/>
        </w:rPr>
        <w:t xml:space="preserve">. India's most important </w:t>
      </w:r>
      <w:r w:rsidRPr="00F42D7D">
        <w:rPr>
          <w:rFonts w:ascii="Arial" w:hAnsi="Arial" w:cs="Arial"/>
          <w:i/>
          <w:sz w:val="24"/>
        </w:rPr>
        <w:t>R</w:t>
      </w:r>
      <w:r w:rsidRPr="00F42D7D">
        <w:rPr>
          <w:rFonts w:ascii="Arial" w:hAnsi="Arial" w:cs="Arial"/>
          <w:sz w:val="24"/>
        </w:rPr>
        <w:t xml:space="preserve">abi food crop is wheat, and increasing its productivity has been crucial to the nation's ability to produce enough food grains on its own. </w:t>
      </w:r>
      <w:commentRangeStart w:id="4"/>
      <w:r w:rsidR="00EB6CD5">
        <w:rPr>
          <w:rFonts w:ascii="Arial" w:hAnsi="Arial" w:cs="Arial"/>
          <w:sz w:val="24"/>
        </w:rPr>
        <w:t>C</w:t>
      </w:r>
      <w:r w:rsidR="00EB6CD5" w:rsidRPr="00EB6CD5">
        <w:rPr>
          <w:rFonts w:ascii="Arial" w:hAnsi="Arial" w:cs="Arial"/>
          <w:sz w:val="24"/>
        </w:rPr>
        <w:t>areful</w:t>
      </w:r>
      <w:commentRangeEnd w:id="4"/>
      <w:r w:rsidR="00AA24F4">
        <w:rPr>
          <w:rStyle w:val="CommentReference"/>
        </w:rPr>
        <w:commentReference w:id="4"/>
      </w:r>
      <w:r w:rsidR="00EB6CD5" w:rsidRPr="00EB6CD5">
        <w:rPr>
          <w:rFonts w:ascii="Arial" w:hAnsi="Arial" w:cs="Arial"/>
          <w:sz w:val="24"/>
        </w:rPr>
        <w:t xml:space="preserve"> management of nitrogen because on the one hand, it is the most imperative element for proper growth and development of plants and so the other is the global challenge of feeding world’s ever increasing population that would be impossible without nitrogen fertilizer since it increases the production and profitability of every individual farmer</w:t>
      </w:r>
      <w:r w:rsidR="00EB6CD5">
        <w:rPr>
          <w:rFonts w:ascii="Arial" w:hAnsi="Arial" w:cs="Arial"/>
          <w:sz w:val="24"/>
        </w:rPr>
        <w:t xml:space="preserve"> </w:t>
      </w:r>
      <w:r w:rsidR="00EB6CD5">
        <w:rPr>
          <w:rFonts w:ascii="Arial" w:hAnsi="Arial" w:cs="Arial"/>
          <w:sz w:val="24"/>
        </w:rPr>
        <w:fldChar w:fldCharType="begin" w:fldLock="1"/>
      </w:r>
      <w:r w:rsidR="000774C5">
        <w:rPr>
          <w:rFonts w:ascii="Arial" w:hAnsi="Arial" w:cs="Arial"/>
          <w:sz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Scheduling","type":"article-journal","volume":"14"},"uris":["http://www.mendeley.com/documents/?uuid=66e19fd6-77b3-483c-a0bb-9a2f12e1a414"]}],"mendeley":{"formattedCitation":"(Aakash et al., 2022)","plainTextFormattedCitation":"(Aakash et al., 2022)","previouslyFormattedCitation":"(Aakash et al., 2022)"},"properties":{"noteIndex":0},"schema":"https://github.com/citation-style-language/schema/raw/master/csl-citation.json"}</w:instrText>
      </w:r>
      <w:r w:rsidR="00EB6CD5">
        <w:rPr>
          <w:rFonts w:ascii="Arial" w:hAnsi="Arial" w:cs="Arial"/>
          <w:sz w:val="24"/>
        </w:rPr>
        <w:fldChar w:fldCharType="separate"/>
      </w:r>
      <w:r w:rsidR="00EB6CD5" w:rsidRPr="00EB6CD5">
        <w:rPr>
          <w:rFonts w:ascii="Arial" w:hAnsi="Arial" w:cs="Arial"/>
          <w:noProof/>
          <w:sz w:val="24"/>
        </w:rPr>
        <w:t>(Aakash et al., 2022)</w:t>
      </w:r>
      <w:r w:rsidR="00EB6CD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A</w:t>
      </w:r>
      <w:r w:rsidR="00EB6CD5" w:rsidRPr="00EB6CD5">
        <w:rPr>
          <w:rFonts w:ascii="Arial" w:hAnsi="Arial" w:cs="Arial"/>
          <w:sz w:val="24"/>
        </w:rPr>
        <w:t>dequate supp</w:t>
      </w:r>
      <w:r w:rsidR="00EB6CD5">
        <w:rPr>
          <w:rFonts w:ascii="Arial" w:hAnsi="Arial" w:cs="Arial"/>
          <w:sz w:val="24"/>
        </w:rPr>
        <w:t>ly of macro</w:t>
      </w:r>
      <w:r w:rsidR="00EB6CD5" w:rsidRPr="00EB6CD5">
        <w:rPr>
          <w:rFonts w:ascii="Arial" w:hAnsi="Arial" w:cs="Arial"/>
          <w:sz w:val="24"/>
        </w:rPr>
        <w:t xml:space="preserve"> nutrients via foliar spray which promotes faster crop growth</w:t>
      </w:r>
      <w:r w:rsidR="000774C5">
        <w:rPr>
          <w:rFonts w:ascii="Arial" w:hAnsi="Arial" w:cs="Arial"/>
          <w:sz w:val="24"/>
        </w:rPr>
        <w:t xml:space="preserve"> </w:t>
      </w:r>
      <w:r w:rsidR="000774C5">
        <w:rPr>
          <w:rFonts w:ascii="Arial" w:hAnsi="Arial" w:cs="Arial"/>
          <w:sz w:val="24"/>
        </w:rPr>
        <w:fldChar w:fldCharType="begin" w:fldLock="1"/>
      </w:r>
      <w:r w:rsidR="000774C5">
        <w:rPr>
          <w:rFonts w:ascii="Arial" w:hAnsi="Arial" w:cs="Arial"/>
          <w:sz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An International Journal","id":"ITEM-1","issue":"2","issued":{"date-parts":[["2022","1","10"]]},"page":"174-181","title":"Impact of Foliar Spray of NPK and Zn on Soybean for Growth, Yield, Quality, Energetics and Carbon Footprint under Dryland Condition at Indore","type":"article-journal","volume":"45"},"uris":["http://www.mendeley.com/documents/?uuid=ecaab3dd-21c7-483b-b61f-17aa82075473"]}],"mendeley":{"formattedCitation":"(Bhayal, Aakash, et al., 2022)","manualFormatting":"(Bhayal et al., 2022)","plainTextFormattedCitation":"(Bhayal, Aakash, et al., 2022)","previouslyFormattedCitation":"(Bhayal, Aakash, et al., 2022)"},"properties":{"noteIndex":0},"schema":"https://github.com/citation-style-language/schema/raw/master/csl-citation.json"}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 xml:space="preserve">(Bhayal </w:t>
      </w:r>
      <w:r w:rsidR="000774C5" w:rsidRPr="000774C5">
        <w:rPr>
          <w:rFonts w:ascii="Arial" w:hAnsi="Arial" w:cs="Arial"/>
          <w:noProof/>
          <w:sz w:val="24"/>
        </w:rPr>
        <w:t>et al., 2022)</w:t>
      </w:r>
      <w:r w:rsidR="000774C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w:t>
      </w:r>
      <w:r w:rsidR="000774C5" w:rsidRPr="000774C5">
        <w:rPr>
          <w:rFonts w:ascii="Arial" w:hAnsi="Arial" w:cs="Arial"/>
          <w:sz w:val="24"/>
        </w:rPr>
        <w:t>Appropriate nitrogen fertilization plays a key role to increase the yield and quality</w:t>
      </w:r>
      <w:r w:rsidR="000774C5">
        <w:rPr>
          <w:rFonts w:ascii="Arial" w:hAnsi="Arial" w:cs="Arial"/>
          <w:sz w:val="24"/>
        </w:rPr>
        <w:t xml:space="preserve"> of crop </w:t>
      </w:r>
      <w:r w:rsidR="000774C5">
        <w:rPr>
          <w:rFonts w:ascii="Arial" w:hAnsi="Arial" w:cs="Arial"/>
          <w:sz w:val="24"/>
        </w:rPr>
        <w:fldChar w:fldCharType="begin" w:fldLock="1"/>
      </w:r>
      <w:r w:rsidR="000774C5">
        <w:rPr>
          <w:rFonts w:ascii="Arial" w:hAnsi="Arial" w:cs="Arial"/>
          <w:sz w:val="24"/>
        </w:rPr>
        <w:instrText>ADDIN CSL_CITATION {"citationItems":[{"id":"ITEM-1","itemData":{"DOI":"10.23910/1.2021.2229","ISSN":"09763988","abstract":"A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grass.","author":[{"dropping-particle":"","family":"Singh","given":"Shiv Raj","non-dropping-particle":"","parse-names":false,"suffix":""},{"dropping-particle":"","family":"Singh","given":"Manoj Kumar","non-dropping-particle":"","parse-names":false,"suffix":""},{"dropping-particle":"","family":"Aakash","given":"","non-dropping-particle":"","parse-names":false,"suffix":""},{"dropping-particle":"","family":"Meena","given":"Kamlesh","non-dropping-particle":"","parse-names":false,"suffix":""},{"dropping-particle":"","family":"Vishwakarma","given":"S. P.","non-dropping-particle":"","parse-names":false,"suffix":""}],"container-title":"International Journal of Bio-resource and Stress Management","id":"ITEM-1","issue":"3","issued":{"date-parts":[["2021","6","30"]]},"page":"199-204","title":"Effect of Different NPK Levels on Fodder Production of Sudan Grass (Sorghum bicolor var. Sudanese)","type":"article-journal","volume":"12"},"uris":["http://www.mendeley.com/documents/?uuid=5ef85a1e-d4d4-4ee5-b510-7bc5c20041c4"]}],"mendeley":{"formattedCitation":"(S. R. Singh et al., 2021)","manualFormatting":"(Singh et al., 2021)","plainTextFormattedCitation":"(S. R. Singh et al., 2021)"},"properties":{"noteIndex":0},"schema":"https://github.com/citation-style-language/schema/raw/master/csl-citation.json"}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w:t>
      </w:r>
      <w:r w:rsidR="000774C5" w:rsidRPr="000774C5">
        <w:rPr>
          <w:rFonts w:ascii="Arial" w:hAnsi="Arial" w:cs="Arial"/>
          <w:noProof/>
          <w:sz w:val="24"/>
        </w:rPr>
        <w:t>Singh et al., 2021)</w:t>
      </w:r>
      <w:r w:rsidR="000774C5">
        <w:rPr>
          <w:rFonts w:ascii="Arial" w:hAnsi="Arial" w:cs="Arial"/>
          <w:sz w:val="24"/>
        </w:rPr>
        <w:fldChar w:fldCharType="end"/>
      </w:r>
      <w:r w:rsidR="000774C5">
        <w:rPr>
          <w:rFonts w:ascii="Arial" w:hAnsi="Arial" w:cs="Arial"/>
          <w:sz w:val="24"/>
        </w:rPr>
        <w:t xml:space="preserve">. </w:t>
      </w:r>
      <w:r w:rsidRPr="00F42D7D">
        <w:rPr>
          <w:rFonts w:ascii="Arial" w:hAnsi="Arial" w:cs="Arial"/>
          <w:sz w:val="24"/>
        </w:rPr>
        <w:t xml:space="preserve">Fertile  and  productive  soils  in  all  respects  are  rarely  found  in  nature.  To  this  fact, most  soils  are  far  from  being  ideally  fertile  and  should  therefore,  be  improved  not  only  by adding  nutrients,  but  also  by  other  soil  amendments,  like  organic  </w:t>
      </w:r>
      <w:r w:rsidRPr="00F42D7D">
        <w:rPr>
          <w:rFonts w:ascii="Arial" w:hAnsi="Arial" w:cs="Arial"/>
          <w:sz w:val="24"/>
        </w:rPr>
        <w:lastRenderedPageBreak/>
        <w:t xml:space="preserve">matter  for  maintaining  the activity of soil </w:t>
      </w:r>
      <w:commentRangeStart w:id="5"/>
      <w:r w:rsidRPr="00F42D7D">
        <w:rPr>
          <w:rFonts w:ascii="Arial" w:hAnsi="Arial" w:cs="Arial"/>
          <w:sz w:val="24"/>
        </w:rPr>
        <w:t>life</w:t>
      </w:r>
      <w:commentRangeEnd w:id="5"/>
      <w:r w:rsidR="00AA24F4">
        <w:rPr>
          <w:rStyle w:val="CommentReference"/>
        </w:rPr>
        <w:commentReference w:id="5"/>
      </w:r>
      <w:r w:rsidRPr="00F42D7D">
        <w:rPr>
          <w:rFonts w:ascii="Arial" w:hAnsi="Arial" w:cs="Arial"/>
          <w:sz w:val="24"/>
        </w:rPr>
        <w:t>.</w:t>
      </w:r>
      <w:r w:rsidRPr="00F42D7D">
        <w:rPr>
          <w:rFonts w:ascii="Arial" w:hAnsi="Arial" w:cs="Arial"/>
          <w:sz w:val="24"/>
          <w:shd w:val="clear" w:color="auto" w:fill="FFFFFF"/>
        </w:rPr>
        <w:t xml:space="preserve"> The major  components  of  organic  integrated  nutrient  management  system  involves  the  variable nutrient release patterns compost vermicompost, crop residue  along with natural soil reserves</w:t>
      </w:r>
      <w:r w:rsidR="00EB6CD5">
        <w:rPr>
          <w:rFonts w:ascii="Arial" w:hAnsi="Arial" w:cs="Arial"/>
          <w:sz w:val="24"/>
          <w:shd w:val="clear" w:color="auto" w:fill="FFFFFF"/>
        </w:rPr>
        <w:t xml:space="preserve"> </w:t>
      </w:r>
      <w:r w:rsidR="00970161">
        <w:rPr>
          <w:rFonts w:ascii="Arial" w:hAnsi="Arial" w:cs="Arial"/>
          <w:sz w:val="24"/>
          <w:shd w:val="clear" w:color="auto" w:fill="FFFFFF"/>
        </w:rPr>
        <w:fldChar w:fldCharType="begin" w:fldLock="1"/>
      </w:r>
      <w:r w:rsidR="000774C5">
        <w:rPr>
          <w:rFonts w:ascii="Arial" w:hAnsi="Arial" w:cs="Arial"/>
          <w:sz w:val="24"/>
          <w:shd w:val="clear" w:color="auto" w:fill="FFFFFF"/>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Hayal","given":"D.","non-dropping-particle":"","parse-names":false,"suffix":""}],"container-title":"Annals of Agricultural Research","id":"ITEM-1","issue":"2","issued":{"date-parts":[["2023"]]},"page":"190-196","title":"Effect of integrated nutrient management on growth, yield attributes and yield of green pea in humid subtropical climate of Indo-gangetic Plains Publisher","type":"article-journal","volume":"44"},"uris":["http://www.mendeley.com/documents/?uuid=78d58cbd-8bb5-47b4-8d71-6ecf7ce837cd"]}],"mendeley":{"formattedCitation":"(Aakash et al., 2023)","plainTextFormattedCitation":"(Aakash et al., 2023)","previouslyFormattedCitation":"(Aakash et al., 2023)"},"properties":{"noteIndex":0},"schema":"https://github.com/citation-style-language/schema/raw/master/csl-citation.json"}</w:instrText>
      </w:r>
      <w:r w:rsidR="00970161">
        <w:rPr>
          <w:rFonts w:ascii="Arial" w:hAnsi="Arial" w:cs="Arial"/>
          <w:sz w:val="24"/>
          <w:shd w:val="clear" w:color="auto" w:fill="FFFFFF"/>
        </w:rPr>
        <w:fldChar w:fldCharType="separate"/>
      </w:r>
      <w:r w:rsidR="00EB6CD5" w:rsidRPr="00EB6CD5">
        <w:rPr>
          <w:rFonts w:ascii="Arial" w:hAnsi="Arial" w:cs="Arial"/>
          <w:noProof/>
          <w:sz w:val="24"/>
          <w:shd w:val="clear" w:color="auto" w:fill="FFFFFF"/>
        </w:rPr>
        <w:t>(Aakash et al., 2023)</w:t>
      </w:r>
      <w:r w:rsidR="00970161">
        <w:rPr>
          <w:rFonts w:ascii="Arial" w:hAnsi="Arial" w:cs="Arial"/>
          <w:sz w:val="24"/>
          <w:shd w:val="clear" w:color="auto" w:fill="FFFFFF"/>
        </w:rPr>
        <w:fldChar w:fldCharType="end"/>
      </w:r>
      <w:r w:rsidRPr="00F42D7D">
        <w:rPr>
          <w:rFonts w:ascii="Arial" w:hAnsi="Arial" w:cs="Arial"/>
          <w:sz w:val="24"/>
          <w:shd w:val="clear" w:color="auto" w:fill="FFFFFF"/>
        </w:rPr>
        <w:t>.</w:t>
      </w:r>
      <w:r w:rsidRPr="00F42D7D">
        <w:rPr>
          <w:rFonts w:ascii="Arial" w:hAnsi="Arial" w:cs="Arial"/>
          <w:sz w:val="24"/>
        </w:rPr>
        <w:t xml:space="preserve"> Global warming is caused to change the climate in terms of increased frequency of extreme weather events, increased air temperature and </w:t>
      </w:r>
      <w:proofErr w:type="spellStart"/>
      <w:r w:rsidRPr="00F42D7D">
        <w:rPr>
          <w:rFonts w:ascii="Arial" w:hAnsi="Arial" w:cs="Arial"/>
          <w:sz w:val="24"/>
        </w:rPr>
        <w:t>vapour</w:t>
      </w:r>
      <w:proofErr w:type="spellEnd"/>
      <w:r w:rsidRPr="00F42D7D">
        <w:rPr>
          <w:rFonts w:ascii="Arial" w:hAnsi="Arial" w:cs="Arial"/>
          <w:sz w:val="24"/>
        </w:rPr>
        <w:t xml:space="preserve"> pressure deficit of air and spatial and temporal change in rainfall and relative humidity. These changes have adverse impact on production and productivity of wheat grown in subtropical and tropical regions of the world. Among the climatic factors, temperature plays significant role in physiological, chemical and biological processes of plants (</w:t>
      </w:r>
      <w:r w:rsidRPr="00F42D7D">
        <w:rPr>
          <w:rFonts w:ascii="Arial" w:hAnsi="Arial" w:cs="Arial"/>
          <w:sz w:val="24"/>
        </w:rPr>
        <w:fldChar w:fldCharType="begin" w:fldLock="1"/>
      </w:r>
      <w:r w:rsidRPr="00F42D7D">
        <w:rPr>
          <w:rFonts w:ascii="Arial" w:hAnsi="Arial" w:cs="Arial"/>
          <w:sz w:val="24"/>
        </w:rPr>
        <w:instrText>ADDIN CSL_CITATION {"citationItems":[{"id":"ITEM-1","itemData":{"author":[{"dropping-particle":"","family":"Prajapat","given":"","non-dropping-particle":"","parse-names":false,"suffix":""},{"dropping-particle":"","family":"L.","given":"A.","non-dropping-particle":"","parse-names":false,"suffix":""},{"dropping-particle":"","family":"Saxena","given":"","non-dropping-particle":"","parse-names":false,"suffix":""},{"dropping-particle":"","family":"R.","given":"","non-dropping-particle":"","parse-names":false,"suffix":""}],"container-title":"International Journal of Chemical Studies","id":"ITEM-1","issue":"5","issued":{"date-parts":[["2018"]]},"page":"17-22","title":"Thermal requirements of wheat (Triticum aestivum L.) cultivars under different growing environments","type":"article-journal","volume":"6"},"uris":["http://www.mendeley.com/documents/?uuid=1e332b66-cca7-4265-a365-c8abcc6576e2"]}],"mendeley":{"formattedCitation":"(Prajapat et al., 2018)","manualFormatting":"Prajapat et al., 2018)","plainTextFormattedCitation":"(Prajapat et al., 2018)","previouslyFormattedCitation":"(Prajapat et al., 2018)"},"properties":{"noteIndex":0},"schema":"https://github.com/citation-style-language/schema/raw/master/csl-citation.json"}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 xml:space="preserve">Prajapat </w:t>
      </w:r>
      <w:r w:rsidRPr="0057438D">
        <w:rPr>
          <w:rFonts w:ascii="Arial" w:hAnsi="Arial" w:cs="Arial"/>
          <w:i/>
          <w:noProof/>
          <w:sz w:val="24"/>
        </w:rPr>
        <w:t>et al</w:t>
      </w:r>
      <w:r w:rsidRPr="00F42D7D">
        <w:rPr>
          <w:rFonts w:ascii="Arial" w:hAnsi="Arial" w:cs="Arial"/>
          <w:noProof/>
          <w:sz w:val="24"/>
        </w:rPr>
        <w:t>., 2018)</w:t>
      </w:r>
      <w:r w:rsidRPr="00F42D7D">
        <w:rPr>
          <w:rFonts w:ascii="Arial" w:hAnsi="Arial" w:cs="Arial"/>
          <w:sz w:val="24"/>
        </w:rPr>
        <w:fldChar w:fldCharType="end"/>
      </w:r>
      <w:r w:rsidR="008879E6">
        <w:rPr>
          <w:rFonts w:ascii="Arial" w:hAnsi="Arial" w:cs="Arial"/>
          <w:sz w:val="24"/>
        </w:rPr>
        <w:t xml:space="preserve">. </w:t>
      </w:r>
      <w:r w:rsidRPr="00F42D7D">
        <w:rPr>
          <w:rFonts w:ascii="Arial" w:hAnsi="Arial" w:cs="Arial"/>
          <w:sz w:val="24"/>
        </w:rPr>
        <w:t xml:space="preserve">Due to intensive cropping, where food grain production and fertilizer </w:t>
      </w:r>
      <w:r w:rsidRPr="0078554C">
        <w:rPr>
          <w:rFonts w:ascii="Arial" w:hAnsi="Arial" w:cs="Arial"/>
          <w:sz w:val="24"/>
        </w:rPr>
        <w:t xml:space="preserve">application </w:t>
      </w:r>
      <w:r w:rsidR="00750AAB" w:rsidRPr="0078554C">
        <w:rPr>
          <w:rFonts w:ascii="Arial" w:hAnsi="Arial" w:cs="Arial"/>
          <w:sz w:val="24"/>
        </w:rPr>
        <w:t>run</w:t>
      </w:r>
      <w:r w:rsidRPr="0078554C">
        <w:rPr>
          <w:rFonts w:ascii="Arial" w:hAnsi="Arial" w:cs="Arial"/>
          <w:sz w:val="24"/>
        </w:rPr>
        <w:t xml:space="preserve"> parallel, soil is degrading day by day with respect to soil fertility and productivity. Meanwhile,</w:t>
      </w:r>
      <w:r w:rsidRPr="00F42D7D">
        <w:rPr>
          <w:rFonts w:ascii="Arial" w:hAnsi="Arial" w:cs="Arial"/>
          <w:sz w:val="24"/>
        </w:rPr>
        <w:t xml:space="preserve"> agriculture becomes more intensive and chemical dependent, therefore soil toxicities and nutrient imbalance threaten sustainable </w:t>
      </w:r>
      <w:commentRangeStart w:id="6"/>
      <w:r w:rsidRPr="00F42D7D">
        <w:rPr>
          <w:rFonts w:ascii="Arial" w:hAnsi="Arial" w:cs="Arial"/>
          <w:sz w:val="24"/>
        </w:rPr>
        <w:t>production</w:t>
      </w:r>
      <w:commentRangeEnd w:id="6"/>
      <w:r w:rsidR="00AA24F4">
        <w:rPr>
          <w:rStyle w:val="CommentReference"/>
        </w:rPr>
        <w:commentReference w:id="6"/>
      </w:r>
      <w:r w:rsidRPr="00F42D7D">
        <w:rPr>
          <w:rFonts w:ascii="Arial" w:hAnsi="Arial" w:cs="Arial"/>
          <w:sz w:val="24"/>
        </w:rPr>
        <w:t xml:space="preserve">. Therefore, we have to consider about the low-cost and easily available alternative source of nutrients, which not only supply the nutrients to the soil but also develop the physic - chemical properties of the soil. Thus, demand for fertilizers can be lowered by supplementing the nutrients through organic </w:t>
      </w:r>
      <w:commentRangeStart w:id="7"/>
      <w:r w:rsidRPr="00F42D7D">
        <w:rPr>
          <w:rFonts w:ascii="Arial" w:hAnsi="Arial" w:cs="Arial"/>
          <w:sz w:val="24"/>
        </w:rPr>
        <w:t>manures</w:t>
      </w:r>
      <w:commentRangeEnd w:id="7"/>
      <w:r w:rsidR="00AA24F4">
        <w:rPr>
          <w:rStyle w:val="CommentReference"/>
        </w:rPr>
        <w:commentReference w:id="7"/>
      </w:r>
      <w:r w:rsidRPr="00F42D7D">
        <w:rPr>
          <w:rFonts w:ascii="Arial" w:hAnsi="Arial" w:cs="Arial"/>
          <w:sz w:val="24"/>
        </w:rPr>
        <w:t xml:space="preserve">. To overcome the problem of nutrient deficiency and to Increase wheat yield, the farmers are using chemical fertilizers. However, the chemical fertilizers are costly and the small farmers cannot afford to use these fertilizers in appropriate amount and balanced </w:t>
      </w:r>
      <w:commentRangeStart w:id="8"/>
      <w:r w:rsidRPr="00F42D7D">
        <w:rPr>
          <w:rFonts w:ascii="Arial" w:hAnsi="Arial" w:cs="Arial"/>
          <w:sz w:val="24"/>
        </w:rPr>
        <w:t>proportion</w:t>
      </w:r>
      <w:commentRangeEnd w:id="8"/>
      <w:r w:rsidR="00AA24F4">
        <w:rPr>
          <w:rStyle w:val="CommentReference"/>
        </w:rPr>
        <w:commentReference w:id="8"/>
      </w:r>
      <w:r w:rsidRPr="00F42D7D">
        <w:rPr>
          <w:rFonts w:ascii="Arial" w:hAnsi="Arial" w:cs="Arial"/>
          <w:sz w:val="24"/>
        </w:rPr>
        <w:t xml:space="preserve">. Under such condition integrated use of chemical und organic fertilizer can play an important role to maintain soil fertility and crop productivity. Nitrogen is one of the most </w:t>
      </w:r>
      <w:r w:rsidRPr="00970161">
        <w:rPr>
          <w:rFonts w:ascii="Arial" w:hAnsi="Arial" w:cs="Arial"/>
          <w:sz w:val="24"/>
        </w:rPr>
        <w:t xml:space="preserve">important nutrients applied to crop for higher yield and quality, but its balanced use is a key point for healthy environment and higher land effectiveness, which can be attain through integrated nitrogen management  </w:t>
      </w:r>
      <w:r w:rsidRPr="00970161">
        <w:rPr>
          <w:rFonts w:ascii="Arial" w:hAnsi="Arial" w:cs="Arial"/>
          <w:sz w:val="24"/>
        </w:rPr>
        <w:fldChar w:fldCharType="begin" w:fldLock="1"/>
      </w:r>
      <w:r w:rsidR="00750AAB" w:rsidRPr="00970161">
        <w:rPr>
          <w:rFonts w:ascii="Arial" w:hAnsi="Arial" w:cs="Arial"/>
          <w:sz w:val="24"/>
        </w:rPr>
        <w:instrText>ADDIN CSL_CITATION {"citationItems":[{"id":"ITEM-1","itemData":{"author":[{"dropping-particle":"","family":"Iqbal","given":"M. M.","non-dropping-particle":"","parse-names":false,"suffix":""}],"container-title":"Journal of Agricultural Science and Technology","id":"ITEM-1","issue":"6","issued":{"date-parts":[["2012"]]},"page":"751-762","title":"Integrated nitrogen management for sustainable crop production","type":"article-journal","volume":"150"},"uris":["http://www.mendeley.com/documents/?uuid=c86d5a05-5147-4973-9902-66cd7f30fa28"]}],"mendeley":{"formattedCitation":"(M. M. Iqbal, 2012)","manualFormatting":"(Iqbal, 2012)","plainTextFormattedCitation":"(M. M. Iqbal, 2012)","previouslyFormattedCitation":"(M. M. Iqbal, 2012)"},"properties":{"noteIndex":0},"schema":"https://github.com/citation-style-language/schema/raw/master/csl-citation.json"}</w:instrText>
      </w:r>
      <w:r w:rsidRPr="00970161">
        <w:rPr>
          <w:rFonts w:ascii="Arial" w:hAnsi="Arial" w:cs="Arial"/>
          <w:sz w:val="24"/>
        </w:rPr>
        <w:fldChar w:fldCharType="separate"/>
      </w:r>
      <w:r w:rsidR="00750AAB" w:rsidRPr="00970161">
        <w:rPr>
          <w:rFonts w:ascii="Arial" w:hAnsi="Arial" w:cs="Arial"/>
          <w:noProof/>
          <w:sz w:val="24"/>
        </w:rPr>
        <w:t>(</w:t>
      </w:r>
      <w:r w:rsidR="00290B6C" w:rsidRPr="00970161">
        <w:rPr>
          <w:rFonts w:ascii="Arial" w:hAnsi="Arial" w:cs="Arial"/>
          <w:noProof/>
          <w:sz w:val="24"/>
        </w:rPr>
        <w:t>Iqbal, 2012)</w:t>
      </w:r>
      <w:r w:rsidRPr="00970161">
        <w:rPr>
          <w:rFonts w:ascii="Arial" w:hAnsi="Arial" w:cs="Arial"/>
          <w:sz w:val="24"/>
        </w:rPr>
        <w:fldChar w:fldCharType="end"/>
      </w:r>
      <w:r w:rsidRPr="00970161">
        <w:rPr>
          <w:rFonts w:ascii="Arial" w:hAnsi="Arial" w:cs="Arial"/>
          <w:color w:val="00B050"/>
          <w:sz w:val="24"/>
        </w:rPr>
        <w:t>.</w:t>
      </w:r>
      <w:r w:rsidR="00970161" w:rsidRPr="00970161">
        <w:rPr>
          <w:rFonts w:ascii="Arial" w:hAnsi="Arial" w:cs="Arial"/>
          <w:color w:val="00B050"/>
          <w:sz w:val="24"/>
        </w:rPr>
        <w:t xml:space="preserve"> </w:t>
      </w:r>
      <w:r w:rsidR="00970161" w:rsidRPr="00970161">
        <w:rPr>
          <w:rFonts w:ascii="Arial" w:hAnsi="Arial" w:cs="Arial"/>
          <w:sz w:val="24"/>
        </w:rPr>
        <w:t>The experiment was aimed to test the effect of integrated nitrogen management on growth and yield attributes of wheat under late sown condition.</w:t>
      </w:r>
    </w:p>
    <w:p w14:paraId="724485F2" w14:textId="77777777" w:rsidR="00695E75" w:rsidRPr="00F42D7D" w:rsidRDefault="00695E75" w:rsidP="00F42D7D">
      <w:pPr>
        <w:spacing w:after="120" w:line="360" w:lineRule="auto"/>
        <w:jc w:val="both"/>
        <w:rPr>
          <w:rFonts w:ascii="Arial" w:hAnsi="Arial" w:cs="Arial"/>
          <w:sz w:val="24"/>
          <w:szCs w:val="24"/>
        </w:rPr>
      </w:pPr>
      <w:r w:rsidRPr="00F42D7D">
        <w:rPr>
          <w:rFonts w:ascii="Arial" w:hAnsi="Arial" w:cs="Arial"/>
          <w:b/>
          <w:sz w:val="24"/>
          <w:szCs w:val="24"/>
        </w:rPr>
        <w:t>Material and Methods</w:t>
      </w:r>
    </w:p>
    <w:p w14:paraId="49D393D8" w14:textId="77777777" w:rsidR="00A428EB" w:rsidRPr="00F42D7D" w:rsidRDefault="008A7DDD" w:rsidP="00F42D7D">
      <w:pPr>
        <w:spacing w:after="120" w:line="360" w:lineRule="auto"/>
        <w:ind w:firstLine="720"/>
        <w:jc w:val="both"/>
        <w:rPr>
          <w:rFonts w:ascii="Arial" w:hAnsi="Arial" w:cs="Arial"/>
          <w:sz w:val="24"/>
          <w:szCs w:val="24"/>
        </w:rPr>
      </w:pPr>
      <w:r>
        <w:rPr>
          <w:rFonts w:ascii="Arial" w:hAnsi="Arial" w:cs="Arial"/>
          <w:sz w:val="24"/>
          <w:szCs w:val="24"/>
        </w:rPr>
        <w:t>A</w:t>
      </w:r>
      <w:r w:rsidRPr="008A7DDD">
        <w:rPr>
          <w:rFonts w:ascii="Arial" w:hAnsi="Arial" w:cs="Arial"/>
          <w:sz w:val="24"/>
          <w:szCs w:val="24"/>
        </w:rPr>
        <w:t xml:space="preserve"> </w:t>
      </w:r>
      <w:r w:rsidR="00C45B28" w:rsidRPr="00F42D7D">
        <w:rPr>
          <w:rFonts w:ascii="Arial" w:hAnsi="Arial" w:cs="Arial"/>
          <w:sz w:val="24"/>
          <w:szCs w:val="24"/>
        </w:rPr>
        <w:t>field experiment</w:t>
      </w:r>
      <w:r w:rsidRPr="008A7DDD">
        <w:rPr>
          <w:rFonts w:ascii="Arial" w:hAnsi="Arial" w:cs="Arial"/>
          <w:sz w:val="24"/>
          <w:szCs w:val="24"/>
        </w:rPr>
        <w:t xml:space="preserve"> </w:t>
      </w:r>
      <w:r w:rsidRPr="00F42D7D">
        <w:rPr>
          <w:rFonts w:ascii="Arial" w:hAnsi="Arial" w:cs="Arial"/>
          <w:sz w:val="24"/>
          <w:szCs w:val="24"/>
        </w:rPr>
        <w:t>was conducted</w:t>
      </w:r>
      <w:r w:rsidR="00C45B28" w:rsidRPr="00F42D7D">
        <w:rPr>
          <w:rFonts w:ascii="Arial" w:hAnsi="Arial" w:cs="Arial"/>
          <w:sz w:val="24"/>
          <w:szCs w:val="24"/>
        </w:rPr>
        <w:t xml:space="preserve"> during the </w:t>
      </w:r>
      <w:proofErr w:type="spellStart"/>
      <w:r w:rsidR="00C45B28" w:rsidRPr="008A7DDD">
        <w:rPr>
          <w:rFonts w:ascii="Arial" w:hAnsi="Arial" w:cs="Arial"/>
          <w:i/>
          <w:sz w:val="24"/>
          <w:szCs w:val="24"/>
        </w:rPr>
        <w:t>rabi</w:t>
      </w:r>
      <w:proofErr w:type="spellEnd"/>
      <w:r w:rsidR="00C45B28" w:rsidRPr="00F42D7D">
        <w:rPr>
          <w:rFonts w:ascii="Arial" w:hAnsi="Arial" w:cs="Arial"/>
          <w:sz w:val="24"/>
          <w:szCs w:val="24"/>
        </w:rPr>
        <w:t xml:space="preserve"> season, spanning from December 2024 to April 2025. T</w:t>
      </w:r>
      <w:r>
        <w:rPr>
          <w:rFonts w:ascii="Arial" w:hAnsi="Arial" w:cs="Arial"/>
          <w:sz w:val="24"/>
          <w:szCs w:val="24"/>
        </w:rPr>
        <w:t>he trial took place in Agronomy</w:t>
      </w:r>
      <w:r w:rsidR="00C45B28" w:rsidRPr="00F42D7D">
        <w:rPr>
          <w:rFonts w:ascii="Arial" w:hAnsi="Arial" w:cs="Arial"/>
          <w:sz w:val="24"/>
          <w:szCs w:val="24"/>
        </w:rPr>
        <w:t xml:space="preserve"> Research Farm located, R.S.M. College Research farm in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w:t>
      </w:r>
      <w:proofErr w:type="spellStart"/>
      <w:r w:rsidR="00C45B28" w:rsidRPr="00F42D7D">
        <w:rPr>
          <w:rFonts w:ascii="Arial" w:hAnsi="Arial" w:cs="Arial"/>
          <w:sz w:val="24"/>
          <w:szCs w:val="24"/>
        </w:rPr>
        <w:t>Bijnor</w:t>
      </w:r>
      <w:proofErr w:type="spellEnd"/>
      <w:r w:rsidR="00C45B28" w:rsidRPr="00F42D7D">
        <w:rPr>
          <w:rFonts w:ascii="Arial" w:hAnsi="Arial" w:cs="Arial"/>
          <w:sz w:val="24"/>
          <w:szCs w:val="24"/>
        </w:rPr>
        <w:t xml:space="preserve">). This farm is positioned approximately 1 kilometer east of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town, situated along the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 </w:t>
      </w:r>
      <w:r w:rsidR="00C45B28" w:rsidRPr="00F42D7D">
        <w:rPr>
          <w:rFonts w:ascii="Arial" w:hAnsi="Arial" w:cs="Arial"/>
          <w:sz w:val="24"/>
          <w:szCs w:val="24"/>
        </w:rPr>
        <w:lastRenderedPageBreak/>
        <w:t>Moradabad road. The farm stands at an elevation of 286 meters above mean sea level (MSL) and is situated at coordinates 29.021°N latitude and 78.508°E longitude. The location benefits from a range of amenities and resources. Throughout the crop duration, notable climatic indicators such as maximum and minimum temperatures, rainfall distribution, relative humidity, and sunshine hours were monitored. In December the lowest temperature observed was 2.6°C, while the highest temperature of 38.4°C was documented in April. The month of February saw the highest average relative humidity at 92%. These data provide insights into the varying weather conditions experienced during the crucial crop cultivation period</w:t>
      </w:r>
      <w:r w:rsidR="00C45B28" w:rsidRPr="00F42D7D">
        <w:rPr>
          <w:rFonts w:ascii="Arial" w:hAnsi="Arial" w:cs="Arial"/>
          <w:sz w:val="24"/>
        </w:rPr>
        <w:t xml:space="preserve">. </w:t>
      </w:r>
      <w:r w:rsidR="00C45B28" w:rsidRPr="00F42D7D">
        <w:rPr>
          <w:rFonts w:ascii="Arial" w:hAnsi="Arial" w:cs="Arial"/>
          <w:sz w:val="24"/>
          <w:szCs w:val="24"/>
        </w:rPr>
        <w:t xml:space="preserve">Plant growth observations were systematically recorded to assess the effect of different treatments on wheat. For </w:t>
      </w:r>
      <w:r w:rsidR="00E61790" w:rsidRPr="00F42D7D">
        <w:rPr>
          <w:rFonts w:ascii="Arial" w:hAnsi="Arial" w:cs="Arial"/>
          <w:sz w:val="24"/>
        </w:rPr>
        <w:t>Plant height recorded with the help of meter scale of selected plant from the surface of the soil to the tip of plant</w:t>
      </w:r>
      <w:r w:rsidR="00E61790" w:rsidRPr="00F42D7D">
        <w:rPr>
          <w:rFonts w:ascii="Arial" w:hAnsi="Arial" w:cs="Arial"/>
          <w:color w:val="FF0000"/>
          <w:sz w:val="24"/>
        </w:rPr>
        <w:t xml:space="preserve"> </w:t>
      </w:r>
      <w:r w:rsidRPr="008A7DDD">
        <w:rPr>
          <w:rFonts w:ascii="Arial" w:hAnsi="Arial" w:cs="Arial"/>
          <w:sz w:val="24"/>
        </w:rPr>
        <w:t>and</w:t>
      </w:r>
      <w:r>
        <w:rPr>
          <w:rFonts w:ascii="Arial" w:hAnsi="Arial" w:cs="Arial"/>
          <w:color w:val="FF0000"/>
          <w:sz w:val="24"/>
        </w:rPr>
        <w:t xml:space="preserve"> </w:t>
      </w:r>
      <w:r>
        <w:rPr>
          <w:rFonts w:ascii="Arial" w:hAnsi="Arial" w:cs="Arial"/>
          <w:sz w:val="24"/>
          <w:szCs w:val="24"/>
        </w:rPr>
        <w:t>t</w:t>
      </w:r>
      <w:r w:rsidR="00C45B28" w:rsidRPr="00F42D7D">
        <w:rPr>
          <w:rFonts w:ascii="Arial" w:hAnsi="Arial" w:cs="Arial"/>
          <w:sz w:val="24"/>
          <w:szCs w:val="24"/>
        </w:rPr>
        <w:t xml:space="preserve">he number of leaves was determined by counting all leaves on these five tagged plants at the same growth intervals. Fresh weight of plants was estimated through destructive sampling, in which samples from one-meter row length were cut at the same growth intervals. These samples were immediately weighed using an electronic balance and expressed in grams. The same samples were further used for dry weight estimation. After sun drying, they were oven-dried at 68 ± 2 °C until constant weight was achieved. The oven-dried samples were then weighed, and average dry matter accumulation per meter row length was recorded for further analysis. The spike length and awn length was measured in centimeters using a scale, and the average spike and awn length was calculated. For filled and unfilled grains counted from each spike within the net plots, and their mean values were used for statistical evaluation. The data obtained from growth and yield attribute were subjected to analysis of variance (ANOVA) using Statistical Tool for Agricultural Research (STAR) software (version STAR 2.0.1, IRRI, Los </w:t>
      </w:r>
      <w:proofErr w:type="spellStart"/>
      <w:r w:rsidR="00C45B28" w:rsidRPr="00F42D7D">
        <w:rPr>
          <w:rFonts w:ascii="Arial" w:hAnsi="Arial" w:cs="Arial"/>
          <w:sz w:val="24"/>
          <w:szCs w:val="24"/>
        </w:rPr>
        <w:t>Baños</w:t>
      </w:r>
      <w:proofErr w:type="spellEnd"/>
      <w:r w:rsidR="00C45B28" w:rsidRPr="00F42D7D">
        <w:rPr>
          <w:rFonts w:ascii="Arial" w:hAnsi="Arial" w:cs="Arial"/>
          <w:sz w:val="24"/>
          <w:szCs w:val="24"/>
        </w:rPr>
        <w:t>, Philippines), while the significance of differences between treatment mean values was determined using the Least significant difference (LSD) test at 5% level.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5B28" w14:paraId="06C67F08" w14:textId="77777777" w:rsidTr="008B4F5D">
        <w:trPr>
          <w:jc w:val="center"/>
        </w:trPr>
        <w:tc>
          <w:tcPr>
            <w:tcW w:w="9243" w:type="dxa"/>
          </w:tcPr>
          <w:p w14:paraId="54DB93EB" w14:textId="77777777" w:rsidR="00C45B28" w:rsidRDefault="00C45B28" w:rsidP="008B4F5D">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7A771AC" wp14:editId="0DC0A35C">
                  <wp:extent cx="5626379" cy="3717985"/>
                  <wp:effectExtent l="76200" t="76200" r="127000" b="130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1-WA006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1716" cy="3747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45B28" w14:paraId="1FBA7153" w14:textId="77777777" w:rsidTr="008B4F5D">
        <w:trPr>
          <w:jc w:val="center"/>
        </w:trPr>
        <w:tc>
          <w:tcPr>
            <w:tcW w:w="9243" w:type="dxa"/>
            <w:shd w:val="clear" w:color="auto" w:fill="FFFF00"/>
            <w:vAlign w:val="center"/>
          </w:tcPr>
          <w:p w14:paraId="08041586" w14:textId="15594380" w:rsidR="00C45B28" w:rsidRPr="00C45B28" w:rsidRDefault="00123958" w:rsidP="00C45B28">
            <w:pPr>
              <w:pStyle w:val="NoSpacing"/>
              <w:jc w:val="center"/>
              <w:rPr>
                <w:rFonts w:ascii="Arial" w:hAnsi="Arial" w:cs="Arial"/>
                <w:b/>
                <w:noProof/>
              </w:rPr>
            </w:pPr>
            <w:r>
              <w:rPr>
                <w:rFonts w:ascii="Arial" w:hAnsi="Arial" w:cs="Arial"/>
                <w:b/>
                <w:sz w:val="24"/>
              </w:rPr>
              <w:t>Picture</w:t>
            </w:r>
            <w:r w:rsidR="0071043C">
              <w:rPr>
                <w:rFonts w:ascii="Arial" w:hAnsi="Arial" w:cs="Arial"/>
                <w:b/>
                <w:sz w:val="24"/>
              </w:rPr>
              <w:t xml:space="preserve"> 1-</w:t>
            </w:r>
            <w:r w:rsidR="00C45B28" w:rsidRPr="00C45B28">
              <w:rPr>
                <w:rFonts w:ascii="Arial" w:hAnsi="Arial" w:cs="Arial"/>
                <w:b/>
                <w:sz w:val="24"/>
              </w:rPr>
              <w:t>View of experiment</w:t>
            </w:r>
          </w:p>
        </w:tc>
      </w:tr>
    </w:tbl>
    <w:p w14:paraId="4E9A471B"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 Result and Discussion</w:t>
      </w:r>
    </w:p>
    <w:p w14:paraId="0FA6BB5E"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3.1 Growth parameters</w:t>
      </w:r>
    </w:p>
    <w:p w14:paraId="0A6EAF7D" w14:textId="2A87E9A7" w:rsidR="0010157B" w:rsidRPr="00F42D7D" w:rsidRDefault="0010157B" w:rsidP="00494729">
      <w:pPr>
        <w:spacing w:after="120" w:line="360" w:lineRule="auto"/>
        <w:ind w:firstLine="720"/>
        <w:jc w:val="both"/>
        <w:rPr>
          <w:rFonts w:ascii="Arial" w:hAnsi="Arial" w:cs="Arial"/>
          <w:w w:val="105"/>
          <w:sz w:val="24"/>
          <w:szCs w:val="24"/>
        </w:rPr>
      </w:pPr>
      <w:r w:rsidRPr="00F42D7D">
        <w:rPr>
          <w:rFonts w:ascii="Arial" w:hAnsi="Arial" w:cs="Arial"/>
          <w:w w:val="105"/>
          <w:sz w:val="24"/>
          <w:szCs w:val="24"/>
        </w:rPr>
        <w:t>Data pertaining to</w:t>
      </w:r>
      <w:r w:rsidRPr="00F42D7D">
        <w:rPr>
          <w:rFonts w:ascii="Arial" w:hAnsi="Arial" w:cs="Arial"/>
          <w:spacing w:val="-4"/>
          <w:w w:val="105"/>
          <w:sz w:val="24"/>
          <w:szCs w:val="24"/>
        </w:rPr>
        <w:t xml:space="preserve"> </w:t>
      </w:r>
      <w:r w:rsidRPr="00F42D7D">
        <w:rPr>
          <w:rFonts w:ascii="Arial" w:hAnsi="Arial" w:cs="Arial"/>
          <w:w w:val="105"/>
          <w:sz w:val="24"/>
          <w:szCs w:val="24"/>
        </w:rPr>
        <w:t>the effect of integrated nitrogen management on plant height at 60, 90 DAS are give</w:t>
      </w:r>
      <w:r w:rsidR="00836FFE">
        <w:rPr>
          <w:rFonts w:ascii="Arial" w:hAnsi="Arial" w:cs="Arial"/>
          <w:w w:val="105"/>
          <w:sz w:val="24"/>
          <w:szCs w:val="24"/>
        </w:rPr>
        <w:t>n in Table 1. All growth parameters</w:t>
      </w:r>
      <w:r w:rsidRPr="00F42D7D">
        <w:rPr>
          <w:rFonts w:ascii="Arial" w:hAnsi="Arial" w:cs="Arial"/>
          <w:w w:val="105"/>
          <w:sz w:val="24"/>
          <w:szCs w:val="24"/>
        </w:rPr>
        <w:t xml:space="preserve"> of wheat varied significantly with integrated nitrogen management practices at all the observed stage of crop growth.</w:t>
      </w:r>
    </w:p>
    <w:p w14:paraId="534EF393" w14:textId="77777777" w:rsidR="0010157B" w:rsidRPr="00F42D7D" w:rsidRDefault="0010157B" w:rsidP="00F42D7D">
      <w:pPr>
        <w:spacing w:after="120" w:line="360" w:lineRule="auto"/>
        <w:jc w:val="both"/>
        <w:rPr>
          <w:rFonts w:ascii="Arial" w:hAnsi="Arial" w:cs="Arial"/>
          <w:b/>
          <w:w w:val="105"/>
          <w:sz w:val="24"/>
          <w:szCs w:val="24"/>
        </w:rPr>
      </w:pPr>
      <w:r w:rsidRPr="00F42D7D">
        <w:rPr>
          <w:rFonts w:ascii="Arial" w:hAnsi="Arial" w:cs="Arial"/>
          <w:b/>
          <w:w w:val="105"/>
          <w:sz w:val="24"/>
          <w:szCs w:val="24"/>
        </w:rPr>
        <w:t xml:space="preserve">3.1.1 Plant height </w:t>
      </w:r>
    </w:p>
    <w:p w14:paraId="16E32BD7" w14:textId="77777777" w:rsidR="00436543" w:rsidRPr="00436543" w:rsidRDefault="00FE08EB" w:rsidP="00436543">
      <w:pPr>
        <w:spacing w:after="120" w:line="360" w:lineRule="auto"/>
        <w:ind w:firstLine="360"/>
        <w:jc w:val="both"/>
        <w:rPr>
          <w:rFonts w:ascii="Arial" w:hAnsi="Arial" w:cs="Arial"/>
          <w:sz w:val="24"/>
          <w:szCs w:val="24"/>
        </w:rPr>
      </w:pPr>
      <w:r>
        <w:rPr>
          <w:rFonts w:ascii="Arial" w:hAnsi="Arial" w:cs="Arial"/>
          <w:sz w:val="24"/>
          <w:szCs w:val="24"/>
        </w:rPr>
        <w:t>T</w:t>
      </w:r>
      <w:r w:rsidR="00836FFE">
        <w:rPr>
          <w:rFonts w:ascii="Arial" w:hAnsi="Arial" w:cs="Arial"/>
          <w:sz w:val="24"/>
          <w:szCs w:val="24"/>
        </w:rPr>
        <w:t xml:space="preserve">he </w:t>
      </w:r>
      <w:r w:rsidR="00836FFE" w:rsidRPr="00436543">
        <w:rPr>
          <w:rFonts w:ascii="Arial" w:hAnsi="Arial" w:cs="Arial"/>
          <w:sz w:val="24"/>
          <w:szCs w:val="24"/>
        </w:rPr>
        <w:t>maximum pl</w:t>
      </w:r>
      <w:r w:rsidR="00836FFE">
        <w:rPr>
          <w:rFonts w:ascii="Arial" w:hAnsi="Arial" w:cs="Arial"/>
          <w:sz w:val="24"/>
          <w:szCs w:val="24"/>
        </w:rPr>
        <w:t xml:space="preserve">ant height (46.8, 81.2, </w:t>
      </w:r>
      <w:r w:rsidR="00836FFE" w:rsidRPr="00436543">
        <w:rPr>
          <w:rFonts w:ascii="Arial" w:hAnsi="Arial" w:cs="Arial"/>
          <w:sz w:val="24"/>
          <w:szCs w:val="24"/>
        </w:rPr>
        <w:t>cm, respectively)</w:t>
      </w:r>
      <w:r w:rsidR="00436543" w:rsidRPr="00436543">
        <w:rPr>
          <w:rFonts w:ascii="Arial" w:hAnsi="Arial" w:cs="Arial"/>
          <w:sz w:val="24"/>
          <w:szCs w:val="24"/>
        </w:rPr>
        <w:t xml:space="preserve"> </w:t>
      </w:r>
      <w:r w:rsidRPr="00436543">
        <w:rPr>
          <w:rFonts w:ascii="Arial" w:hAnsi="Arial" w:cs="Arial"/>
          <w:sz w:val="24"/>
          <w:szCs w:val="24"/>
        </w:rPr>
        <w:t xml:space="preserve">resulted in the </w:t>
      </w:r>
      <w:r w:rsidR="00436543" w:rsidRPr="00436543">
        <w:rPr>
          <w:rFonts w:ascii="Arial" w:hAnsi="Arial" w:cs="Arial"/>
          <w:sz w:val="24"/>
          <w:szCs w:val="24"/>
        </w:rPr>
        <w:t>application of 80% RDN through urea + 20% through FYM (T</w:t>
      </w:r>
      <w:r w:rsidR="00436543" w:rsidRPr="00436543">
        <w:rPr>
          <w:rFonts w:ascii="Cambria Math" w:hAnsi="Cambria Math" w:cs="Cambria Math"/>
          <w:sz w:val="24"/>
          <w:szCs w:val="24"/>
        </w:rPr>
        <w:t>₅</w:t>
      </w:r>
      <w:r w:rsidR="00436543" w:rsidRPr="00436543">
        <w:rPr>
          <w:rFonts w:ascii="Arial" w:hAnsi="Arial" w:cs="Arial"/>
          <w:sz w:val="24"/>
          <w:szCs w:val="24"/>
        </w:rPr>
        <w:t>)</w:t>
      </w:r>
      <w:r>
        <w:rPr>
          <w:rFonts w:ascii="Arial" w:hAnsi="Arial" w:cs="Arial"/>
          <w:sz w:val="24"/>
          <w:szCs w:val="24"/>
        </w:rPr>
        <w:t xml:space="preserve"> at 60 and 90 DAS</w:t>
      </w:r>
      <w:r w:rsidR="00436543" w:rsidRPr="00436543">
        <w:rPr>
          <w:rFonts w:ascii="Arial" w:hAnsi="Arial" w:cs="Arial"/>
          <w:sz w:val="24"/>
          <w:szCs w:val="24"/>
        </w:rPr>
        <w:t>, which was statistically at par with other treatments except control (T</w:t>
      </w:r>
      <w:r w:rsidR="00436543" w:rsidRPr="00436543">
        <w:rPr>
          <w:rFonts w:ascii="Cambria Math" w:hAnsi="Cambria Math" w:cs="Cambria Math"/>
          <w:sz w:val="24"/>
          <w:szCs w:val="24"/>
        </w:rPr>
        <w:t>₁</w:t>
      </w:r>
      <w:r w:rsidR="00436543" w:rsidRPr="00436543">
        <w:rPr>
          <w:rFonts w:ascii="Arial" w:hAnsi="Arial" w:cs="Arial"/>
          <w:sz w:val="24"/>
          <w:szCs w:val="24"/>
        </w:rPr>
        <w:t xml:space="preserve">). This increase may be attributed to the combined effect of fast-acting urea during the initial crop stages and the slow release of nutrients from FYM, ensuring prolonged nitrogen availability in later stages along with improved soil aeration, structure, and microbial activity that enhanced nutrient uptake efficiency. Similar findings were reported by </w:t>
      </w:r>
      <w:r w:rsidR="00906CD0">
        <w:rPr>
          <w:rFonts w:ascii="Arial" w:hAnsi="Arial" w:cs="Arial"/>
          <w:sz w:val="24"/>
          <w:szCs w:val="24"/>
        </w:rPr>
        <w:fldChar w:fldCharType="begin" w:fldLock="1"/>
      </w:r>
      <w:r w:rsidR="00932EE7">
        <w:rPr>
          <w:rFonts w:ascii="Arial" w:hAnsi="Arial" w:cs="Arial"/>
          <w:sz w:val="24"/>
          <w:szCs w:val="24"/>
        </w:rPr>
        <w:instrText>ADDIN CSL_CITATION {"citationItems":[{"id":"ITEM-1","itemData":{"author":[{"dropping-particle":"","family":"Patel","given":"Tejalben G","non-dropping-particle":"","parse-names":false,"suffix":""},{"dropping-particle":"","family":"Patel","given":"Dr. Khushvadan C","non-dropping-particle":"","parse-names":false,"suffix":""},{"dropping-particle":"","family":"Patel","given":"Vimal","non-dropping-particle":"","parse-names":false,"suffix":""}],"container-title":"International Journal of Chemical Studies","id":"ITEM-1","issue":"4","issued":{"date-parts":[["2017"]]},"page":"1366-1369","title":"Effect of integrated nutrient management on yield attributes and yield of wheat (Triticum aestivum L.)","type":"article-journal","volume":"5"},"uris":["http://www.mendeley.com/documents/?uuid=22bba2b0-d1b8-4eea-b247-99827defc754"]}],"mendeley":{"formattedCitation":"(Patel et al., 2017)","manualFormatting":"Patel et al., (2017)","plainTextFormattedCitation":"(Patel et al., 2017)","previouslyFormattedCitation":"(Patel et al., 2017)"},"properties":{"noteIndex":0},"schema":"https://github.com/citation-style-language/schema/raw/master/csl-citation.json"}</w:instrText>
      </w:r>
      <w:r w:rsidR="00906CD0">
        <w:rPr>
          <w:rFonts w:ascii="Arial" w:hAnsi="Arial" w:cs="Arial"/>
          <w:sz w:val="24"/>
          <w:szCs w:val="24"/>
        </w:rPr>
        <w:fldChar w:fldCharType="separate"/>
      </w:r>
      <w:r w:rsidR="005970FA" w:rsidRPr="005970FA">
        <w:rPr>
          <w:rFonts w:ascii="Arial" w:hAnsi="Arial" w:cs="Arial"/>
          <w:noProof/>
          <w:sz w:val="24"/>
          <w:szCs w:val="24"/>
        </w:rPr>
        <w:t xml:space="preserve">Patel </w:t>
      </w:r>
      <w:r w:rsidR="005970FA" w:rsidRPr="00E778DA">
        <w:rPr>
          <w:rFonts w:ascii="Arial" w:hAnsi="Arial" w:cs="Arial"/>
          <w:i/>
          <w:noProof/>
          <w:sz w:val="24"/>
          <w:szCs w:val="24"/>
        </w:rPr>
        <w:t>et al</w:t>
      </w:r>
      <w:r w:rsidR="005970FA" w:rsidRPr="005970FA">
        <w:rPr>
          <w:rFonts w:ascii="Arial" w:hAnsi="Arial" w:cs="Arial"/>
          <w:noProof/>
          <w:sz w:val="24"/>
          <w:szCs w:val="24"/>
        </w:rPr>
        <w:t xml:space="preserve">., </w:t>
      </w:r>
      <w:r w:rsidR="00750AAB">
        <w:rPr>
          <w:rFonts w:ascii="Arial" w:hAnsi="Arial" w:cs="Arial"/>
          <w:noProof/>
          <w:sz w:val="24"/>
          <w:szCs w:val="24"/>
        </w:rPr>
        <w:t>(</w:t>
      </w:r>
      <w:r w:rsidR="005970FA" w:rsidRPr="005970FA">
        <w:rPr>
          <w:rFonts w:ascii="Arial" w:hAnsi="Arial" w:cs="Arial"/>
          <w:noProof/>
          <w:sz w:val="24"/>
          <w:szCs w:val="24"/>
        </w:rPr>
        <w:t>2017)</w:t>
      </w:r>
      <w:r w:rsidR="00906CD0">
        <w:rPr>
          <w:rFonts w:ascii="Arial" w:hAnsi="Arial" w:cs="Arial"/>
          <w:sz w:val="24"/>
          <w:szCs w:val="24"/>
        </w:rPr>
        <w:fldChar w:fldCharType="end"/>
      </w:r>
      <w:r w:rsidR="00436543" w:rsidRPr="00436543">
        <w:rPr>
          <w:rFonts w:ascii="Arial" w:hAnsi="Arial" w:cs="Arial"/>
          <w:sz w:val="24"/>
          <w:szCs w:val="24"/>
        </w:rPr>
        <w:t xml:space="preserve">, </w:t>
      </w:r>
      <w:r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author":[{"dropping-particle":"","family":"Rathwa","given":"G.P.","non-dropping-particle":"","parse-names":false,"suffix":""},{"dropping-particle":"","family":"Mevada","given":"D.K.","non-dropping-particle":"","parse-names":false,"suffix":""},{"dropping-particle":"","family":"Ombase","given":"C.K.","non-dropping-particle":"","parse-names":false,"suffix":""},{"dropping-particle":"","family":"Dodiya","given":"J.C.","non-dropping-particle":"","parse-names":false,"suffix":""},{"dropping-particle":"","family":"Bhadu","given":"","non-dropping-particle":"","parse-names":false,"suffix":""},{"dropping-particle":"","family":"Purabiya","given":"S.V.","non-dropping-particle":"","parse-names":false,"suffix":""},{"dropping-particle":"","family":"Saiyad","given":"M.M.","non-dropping-particle":"","parse-names":false,"suffix":""}],"container-title":"Journal of Pure and Applied Microbiology","id":"ITEM-1","issue":"2","issued":{"date-parts":[["2018"]]},"page":"905-911","title":"Integrated nitrogen management through different sources on growth and yield of wheat (Triticum aestivum L.)","type":"article-journal","volume":"12"},"uris":["http://www.mendeley.com/documents/?uuid=1b3280ad-5397-421a-9ba4-5d8510ed98ae"]}],"mendeley":{"formattedCitation":"(Rathwa et al., 2018)","manualFormatting":"Rathwa et al., (2018)","plainTextFormattedCitation":"(Rathwa et al., 2018)","previouslyFormattedCitation":"(Rathwa et al., 2018)"},"properties":{"noteIndex":0},"schema":"https://github.com/citation-style-language/schema/raw/master/csl-citation.json"}</w:instrText>
      </w:r>
      <w:r w:rsidRPr="0057438D">
        <w:rPr>
          <w:rFonts w:ascii="Arial" w:hAnsi="Arial" w:cs="Arial"/>
          <w:sz w:val="24"/>
          <w:szCs w:val="24"/>
        </w:rPr>
        <w:fldChar w:fldCharType="separate"/>
      </w:r>
      <w:r w:rsidRPr="0057438D">
        <w:rPr>
          <w:rFonts w:ascii="Arial" w:hAnsi="Arial" w:cs="Arial"/>
          <w:noProof/>
          <w:sz w:val="24"/>
          <w:szCs w:val="24"/>
        </w:rPr>
        <w:t xml:space="preserve">Rathwa </w:t>
      </w:r>
      <w:r w:rsidRPr="00E778DA">
        <w:rPr>
          <w:rFonts w:ascii="Arial" w:hAnsi="Arial" w:cs="Arial"/>
          <w:noProof/>
          <w:sz w:val="24"/>
          <w:szCs w:val="24"/>
        </w:rPr>
        <w:t>et al</w:t>
      </w:r>
      <w:r w:rsidRPr="0057438D">
        <w:rPr>
          <w:rFonts w:ascii="Arial" w:hAnsi="Arial" w:cs="Arial"/>
          <w:noProof/>
          <w:sz w:val="24"/>
          <w:szCs w:val="24"/>
        </w:rPr>
        <w:t xml:space="preserve">., </w:t>
      </w:r>
      <w:r w:rsidR="0078554C" w:rsidRPr="0057438D">
        <w:rPr>
          <w:rFonts w:ascii="Arial" w:hAnsi="Arial" w:cs="Arial"/>
          <w:noProof/>
          <w:sz w:val="24"/>
          <w:szCs w:val="24"/>
        </w:rPr>
        <w:t>(</w:t>
      </w:r>
      <w:r w:rsidRPr="0057438D">
        <w:rPr>
          <w:rFonts w:ascii="Arial" w:hAnsi="Arial" w:cs="Arial"/>
          <w:noProof/>
          <w:sz w:val="24"/>
          <w:szCs w:val="24"/>
        </w:rPr>
        <w:t>2018)</w:t>
      </w:r>
      <w:r w:rsidRPr="0057438D">
        <w:rPr>
          <w:rFonts w:ascii="Arial" w:hAnsi="Arial" w:cs="Arial"/>
          <w:sz w:val="24"/>
          <w:szCs w:val="24"/>
        </w:rPr>
        <w:fldChar w:fldCharType="end"/>
      </w:r>
      <w:r w:rsidR="00436543" w:rsidRPr="0057438D">
        <w:rPr>
          <w:rFonts w:ascii="Arial" w:hAnsi="Arial" w:cs="Arial"/>
          <w:sz w:val="24"/>
          <w:szCs w:val="24"/>
        </w:rPr>
        <w:t xml:space="preserve">,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{"citationItems":[{"id":"ITEM-1","itemData":{"DOI":"10.9734/ijpss/2022/v34i232515","ISSN":"2320-7035","abstract":"Field experiments were conducted to studies effect of integrated nutrient management on growth parameters, yield components and yield of wheat during rabi season of 2020-21 and 2021-22 at students instructional farm, Chandra Shekhar Azad University of Agriculture &amp; Technology, Kanpur. The experiment consist of 10 treatments combinations in randomized block design with three replications consisted of different combination of inorganic fertilizer, organic manure and biofertilizer. Wheat variety HD-2967 was grown with the recommended agronomic practices. On the basis of results emanated from investigation it can be concluded that among the growth parameters maximum plant height at maturity was 109.25 cm and 110.12, maximum number of effective tillers is 352.67 and 355.72 and maximum spike length is 13.55 cm and 13.79 cm are associated with the treatment T10 [100%NPK + FYM + S30+ Zn5 +Azotobacter + PSB] during the both years of experimentation. Similarly, among the yield components and productivity parameters maximum values in relation to number of spikelet ear-1, grain ear-1, 1000 grain wt. (gm), grain yield (q ha-1) and straw yield (q ha-1) were found in the treatment T10 [100%NPK+FYM+S30+Zn5+Azotobacter+ PSB].","author":[{"dropping-particle":"","family":"Verma","given":"Himani","non-dropping-particle":"","parse-names":false,"suffix":""},{"dropping-particle":"","family":"Pathak","given":"R. K.","non-dropping-particle":"","parse-names":false,"suffix":""},{"dropping-particle":"","family":"Kumar","given":"Anil","non-dropping-particle":"","parse-names":false,"suffix":""},{"dropping-particle":"","family":"Sachan","given":"Ravindra","non-dropping-particle":"","parse-names":false,"suffix":""},{"dropping-particle":"","family":"Pandey","given":"Hanuman Prasad","non-dropping-particle":"","parse-names":false,"suffix":""},{"dropping-particle":"","family":"Tiwari","given":"Abhishek","non-dropping-particle":"","parse-names":false,"suffix":""},{"dropping-particle":"","family":"Yadav","given":"Abhishek Singh","non-dropping-particle":"","parse-names":false,"suffix":""}],"container-title":"International Journal of Plant &amp; Soil Science","id":"ITEM-1","issue":"23","issued":{"date-parts":[["2022","11","5"]]},"page":"1050-1057","title":"Effect of Integrated Nutrient Management on Growth Parameters, Yield Components and Yield of Wheat (Triticum aestivum L.) under Central Plain Zone of Uttar Pradesh","type":"article-journal","volume":"34"},"uris":["http://www.mendeley.com/documents/?uuid=69fcde71-6f67-4599-8428-0f4f4df1e842"]}],"mendeley":{"formattedCitation":"(Verma et al., 2022)","manualFormatting":"Verma et al., (2022)","plainTextFormattedCitation":"(Verma et al., 2022)","previouslyFormattedCitation":"(Verma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Verma </w:t>
      </w:r>
      <w:r w:rsidR="00906CD0" w:rsidRPr="00E778DA">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 xml:space="preserve">, and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{"citationItems":[{"id":"ITEM-1","itemData":{"DOI":"10.9734/ijpss/2022/v34i2231457","ISSN":"2320-7035","abstract":"An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author":[{"dropping-particle":"","family":"Patyal","given":"Anjali","non-dropping-particle":"","parse-names":false,"suffix":""},{"dropping-particle":"","family":"Shekhar","given":"Chandra","non-dropping-particle":"","parse-names":false,"suffix":""},{"dropping-particle":"","family":"Sachan","given":"Ravindra","non-dropping-particle":"","parse-names":false,"suffix":""},{"dropping-particle":"","family":"Kumar","given":"Deepak","non-dropping-particle":"","parse-names":false,"suffix":""},{"dropping-particle":"","family":"Yadav","given":"Ankit","non-dropping-particle":"","parse-names":false,"suffix":""},{"dropping-particle":"","family":"Kumar","given":"Gyanendra","non-dropping-particle":"","parse-names":false,"suffix":""}],"container-title":"International Journal of Plant &amp; Soil Science","id":"ITEM-1","issued":{"date-parts":[["2022","8","24"]]},"page":"962-967","title":"Effect of integrated nutrient management (INM) on growth parameters and yield of wheat (Triticum aestivum L.)","type":"article-journal"},"uris":["http://www.mendeley.com/documents/?uuid=c9f06561-d0aa-4c0d-8424-68ccb3305246"]}],"mendeley":{"formattedCitation":"(Patyal et al., 2022)","manualFormatting":"Patyal et al., (2022)","plainTextFormattedCitation":"(Patyal et al., 2022)","previouslyFormattedCitation":"(Patyal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Patyal </w:t>
      </w:r>
      <w:r w:rsidR="00906CD0" w:rsidRPr="0057438D">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w:t>
      </w:r>
      <w:r w:rsidR="00436543" w:rsidRPr="00436543">
        <w:rPr>
          <w:rFonts w:ascii="Arial" w:hAnsi="Arial" w:cs="Arial"/>
          <w:sz w:val="24"/>
          <w:szCs w:val="24"/>
        </w:rPr>
        <w:t xml:space="preserve"> who observed that integrated nutrient management practices with FYM </w:t>
      </w:r>
      <w:r w:rsidR="00436543" w:rsidRPr="00436543">
        <w:rPr>
          <w:rFonts w:ascii="Arial" w:hAnsi="Arial" w:cs="Arial"/>
          <w:sz w:val="24"/>
          <w:szCs w:val="24"/>
        </w:rPr>
        <w:lastRenderedPageBreak/>
        <w:t>significantly improved plant height due to better nutrient synchronization, enhanced nutrient-use efficiency, and improved soil health compared to sole RDF application.</w:t>
      </w:r>
      <w:r w:rsidR="00906CD0">
        <w:rPr>
          <w:rFonts w:ascii="Arial" w:hAnsi="Arial" w:cs="Arial"/>
          <w:sz w:val="24"/>
          <w:szCs w:val="24"/>
        </w:rPr>
        <w:t xml:space="preserve"> </w:t>
      </w:r>
    </w:p>
    <w:p w14:paraId="24159DFD" w14:textId="77777777" w:rsidR="00906CD0" w:rsidRDefault="0010157B" w:rsidP="00906CD0">
      <w:pPr>
        <w:spacing w:after="120" w:line="360" w:lineRule="auto"/>
        <w:jc w:val="both"/>
        <w:rPr>
          <w:rFonts w:ascii="Arial" w:hAnsi="Arial" w:cs="Arial"/>
          <w:b/>
          <w:sz w:val="24"/>
          <w:szCs w:val="24"/>
        </w:rPr>
      </w:pPr>
      <w:r w:rsidRPr="00436543">
        <w:rPr>
          <w:rFonts w:ascii="Arial" w:hAnsi="Arial" w:cs="Arial"/>
          <w:b/>
          <w:sz w:val="24"/>
          <w:szCs w:val="24"/>
        </w:rPr>
        <w:t xml:space="preserve">3.1.2 Number of levees </w:t>
      </w:r>
    </w:p>
    <w:p w14:paraId="6C5AC64E" w14:textId="77777777" w:rsidR="0010157B" w:rsidRPr="00F42D7D" w:rsidRDefault="00906CD0" w:rsidP="00906CD0">
      <w:pPr>
        <w:spacing w:after="120" w:line="360" w:lineRule="auto"/>
        <w:ind w:firstLine="720"/>
        <w:jc w:val="both"/>
        <w:rPr>
          <w:rFonts w:ascii="Arial" w:hAnsi="Arial" w:cs="Arial"/>
          <w:b/>
          <w:sz w:val="24"/>
          <w:szCs w:val="24"/>
        </w:rPr>
      </w:pPr>
      <w:r w:rsidRPr="00906CD0">
        <w:rPr>
          <w:rFonts w:ascii="Arial" w:hAnsi="Arial" w:cs="Arial"/>
          <w:sz w:val="24"/>
        </w:rPr>
        <w:t>At 60 DAS, the maximum number of leaves was recorded under 80% RDN through urea + 20% through FYM (T</w:t>
      </w:r>
      <w:r w:rsidRPr="00906CD0">
        <w:rPr>
          <w:rFonts w:ascii="Cambria Math" w:hAnsi="Cambria Math" w:cs="Cambria Math"/>
          <w:sz w:val="24"/>
        </w:rPr>
        <w:t>₅</w:t>
      </w:r>
      <w:r w:rsidRPr="00906CD0">
        <w:rPr>
          <w:rFonts w:ascii="Arial" w:hAnsi="Arial" w:cs="Arial"/>
          <w:sz w:val="24"/>
        </w:rPr>
        <w:t>), which was at par with 80% RDN through urea + 20% RDN through mustard cake (T</w:t>
      </w:r>
      <w:r w:rsidRPr="00906CD0">
        <w:rPr>
          <w:rFonts w:ascii="Cambria Math" w:hAnsi="Cambria Math" w:cs="Cambria Math"/>
          <w:sz w:val="24"/>
        </w:rPr>
        <w:t>₆</w:t>
      </w:r>
      <w:r w:rsidRPr="00906CD0">
        <w:rPr>
          <w:rFonts w:ascii="Arial" w:hAnsi="Arial" w:cs="Arial"/>
          <w:sz w:val="24"/>
        </w:rPr>
        <w:t>) but significantly superior to other treatments, while at 90 DAS, the highest number of leaves was again noted in T</w:t>
      </w:r>
      <w:r w:rsidRPr="00906CD0">
        <w:rPr>
          <w:rFonts w:ascii="Cambria Math" w:hAnsi="Cambria Math" w:cs="Cambria Math"/>
          <w:sz w:val="24"/>
        </w:rPr>
        <w:t>₅</w:t>
      </w:r>
      <w:r w:rsidRPr="00906CD0">
        <w:rPr>
          <w:rFonts w:ascii="Arial" w:hAnsi="Arial" w:cs="Arial"/>
          <w:sz w:val="24"/>
        </w:rPr>
        <w:t>, remaining at par with all treatments except control (T</w:t>
      </w:r>
      <w:r w:rsidRPr="00906CD0">
        <w:rPr>
          <w:rFonts w:ascii="Cambria Math" w:hAnsi="Cambria Math" w:cs="Cambria Math"/>
          <w:sz w:val="24"/>
        </w:rPr>
        <w:t>₁</w:t>
      </w:r>
      <w:r w:rsidRPr="00906CD0">
        <w:rPr>
          <w:rFonts w:ascii="Arial" w:hAnsi="Arial" w:cs="Arial"/>
          <w:sz w:val="24"/>
        </w:rPr>
        <w:t>) and 100% RDN (150 kg ha</w:t>
      </w:r>
      <w:r w:rsidRPr="00906CD0">
        <w:rPr>
          <w:rFonts w:ascii="Cambria Math" w:hAnsi="Cambria Math" w:cs="Cambria Math"/>
          <w:sz w:val="24"/>
        </w:rPr>
        <w:t>⁻</w:t>
      </w:r>
      <w:r w:rsidRPr="00906CD0">
        <w:rPr>
          <w:rFonts w:ascii="Arial" w:hAnsi="Arial" w:cs="Arial"/>
          <w:sz w:val="24"/>
        </w:rPr>
        <w:t xml:space="preserve">¹).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the continuous supply of nitrogen from urea and FYM, which enhanced cell division, leaf expansion, and canopy size, along with improved soil moisture retention and nutrient availability. Similar findings were reported by Singh et al. (2018) with 100% RDF + vermicompost, and by </w:t>
      </w:r>
      <w:r w:rsidR="005970FA">
        <w:rPr>
          <w:rFonts w:ascii="Arial" w:hAnsi="Arial" w:cs="Arial"/>
          <w:sz w:val="24"/>
        </w:rPr>
        <w:fldChar w:fldCharType="begin" w:fldLock="1"/>
      </w:r>
      <w:r w:rsidR="00750AAB">
        <w:rPr>
          <w:rFonts w:ascii="Arial" w:hAnsi="Arial" w:cs="Arial"/>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&amp; Tripathi (2022)","plainTextFormattedCitation":"(Kumar &amp; Tripathi, 2022)","previouslyFormattedCitation":"(Kumar &amp; Tripathi, 2022)"},"properties":{"noteIndex":0},"schema":"https://github.com/citation-style-language/schema/raw/master/csl-citation.json"}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K</w:t>
      </w:r>
      <w:r w:rsidR="00750AAB">
        <w:rPr>
          <w:rFonts w:ascii="Arial" w:hAnsi="Arial" w:cs="Arial"/>
          <w:noProof/>
          <w:sz w:val="24"/>
        </w:rPr>
        <w:t>umar &amp; Tripathi (</w:t>
      </w:r>
      <w:r w:rsidR="005970FA" w:rsidRPr="005970FA">
        <w:rPr>
          <w:rFonts w:ascii="Arial" w:hAnsi="Arial" w:cs="Arial"/>
          <w:noProof/>
          <w:sz w:val="24"/>
        </w:rPr>
        <w:t>2022)</w:t>
      </w:r>
      <w:r w:rsidR="005970FA">
        <w:rPr>
          <w:rFonts w:ascii="Arial" w:hAnsi="Arial" w:cs="Arial"/>
          <w:sz w:val="24"/>
        </w:rPr>
        <w:fldChar w:fldCharType="end"/>
      </w:r>
      <w:r w:rsidRPr="00906CD0">
        <w:rPr>
          <w:rFonts w:ascii="Arial" w:hAnsi="Arial" w:cs="Arial"/>
          <w:sz w:val="24"/>
        </w:rPr>
        <w:t>, who emphasized the synergistic effect of chemical fertilizers and FYM in sustaining nutrient supply and promoting greater canopy development, indicating that leaf number was directly influenced by improved nutrient balance and soil environment under integrated nutrient management</w:t>
      </w:r>
      <w:r w:rsidRPr="00906CD0">
        <w:t>.</w:t>
      </w:r>
    </w:p>
    <w:p w14:paraId="71767E8B" w14:textId="77777777" w:rsidR="0010157B" w:rsidRPr="00F42D7D" w:rsidRDefault="0010157B" w:rsidP="00F42D7D">
      <w:pPr>
        <w:spacing w:after="120" w:line="360" w:lineRule="auto"/>
        <w:jc w:val="both"/>
        <w:rPr>
          <w:rFonts w:ascii="Arial" w:hAnsi="Arial" w:cs="Arial"/>
          <w:b/>
          <w:sz w:val="24"/>
          <w:szCs w:val="24"/>
        </w:rPr>
      </w:pPr>
      <w:r w:rsidRPr="00F42D7D">
        <w:rPr>
          <w:rFonts w:ascii="Arial" w:hAnsi="Arial" w:cs="Arial"/>
          <w:b/>
          <w:sz w:val="24"/>
          <w:szCs w:val="24"/>
        </w:rPr>
        <w:t xml:space="preserve">3.1.3 Plant fresh weight </w:t>
      </w:r>
    </w:p>
    <w:p w14:paraId="69E17D06" w14:textId="77777777" w:rsidR="00906CD0" w:rsidRPr="00906CD0" w:rsidRDefault="00906CD0" w:rsidP="00906CD0">
      <w:pPr>
        <w:spacing w:after="120" w:line="360" w:lineRule="auto"/>
        <w:ind w:firstLine="720"/>
        <w:jc w:val="both"/>
        <w:rPr>
          <w:rFonts w:ascii="Arial" w:hAnsi="Arial" w:cs="Arial"/>
          <w:sz w:val="24"/>
        </w:rPr>
      </w:pPr>
      <w:r w:rsidRPr="00906CD0">
        <w:rPr>
          <w:rFonts w:ascii="Arial" w:hAnsi="Arial" w:cs="Arial"/>
          <w:sz w:val="24"/>
        </w:rPr>
        <w:t>At 60 DAS, application of 80% RDN through urea + 20% through FYM (T</w:t>
      </w:r>
      <w:r w:rsidRPr="00906CD0">
        <w:rPr>
          <w:rFonts w:ascii="Cambria Math" w:hAnsi="Cambria Math" w:cs="Cambria Math"/>
          <w:sz w:val="24"/>
        </w:rPr>
        <w:t>₅</w:t>
      </w:r>
      <w:r w:rsidRPr="00906CD0">
        <w:rPr>
          <w:rFonts w:ascii="Arial" w:hAnsi="Arial" w:cs="Arial"/>
          <w:sz w:val="24"/>
        </w:rPr>
        <w:t>) resulted in the maximum fresh weight (325.7 g m</w:t>
      </w:r>
      <w:r w:rsidRPr="00906CD0">
        <w:rPr>
          <w:rFonts w:ascii="Cambria Math" w:hAnsi="Cambria Math" w:cs="Cambria Math"/>
          <w:sz w:val="24"/>
        </w:rPr>
        <w:t>⁻</w:t>
      </w:r>
      <w:r w:rsidRPr="00906CD0">
        <w:rPr>
          <w:rFonts w:ascii="Arial" w:hAnsi="Arial" w:cs="Arial"/>
          <w:sz w:val="24"/>
        </w:rPr>
        <w:t>¹ row length), which was statistically at par with all treatments except control (T</w:t>
      </w:r>
      <w:r w:rsidRPr="00906CD0">
        <w:rPr>
          <w:rFonts w:ascii="Cambria Math" w:hAnsi="Cambria Math" w:cs="Cambria Math"/>
          <w:sz w:val="24"/>
        </w:rPr>
        <w:t>₁</w:t>
      </w:r>
      <w:r w:rsidRPr="00906CD0">
        <w:rPr>
          <w:rFonts w:ascii="Arial" w:hAnsi="Arial" w:cs="Arial"/>
          <w:sz w:val="24"/>
        </w:rPr>
        <w:t xml:space="preserve">), while at 90 DAS, the highest fresh weight was again recorded under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being comparable with </w:t>
      </w:r>
      <w:r w:rsidR="00430523">
        <w:rPr>
          <w:rFonts w:ascii="Arial" w:hAnsi="Arial" w:cs="Arial"/>
          <w:sz w:val="24"/>
        </w:rPr>
        <w:t>80% RDN through urea + 20% RDN through vermicompost (</w:t>
      </w:r>
      <w:r w:rsidRPr="00906CD0">
        <w:rPr>
          <w:rFonts w:ascii="Arial" w:hAnsi="Arial" w:cs="Arial"/>
          <w:sz w:val="24"/>
        </w:rPr>
        <w:t>T</w:t>
      </w:r>
      <w:r w:rsidRPr="00906CD0">
        <w:rPr>
          <w:rFonts w:ascii="Cambria Math" w:hAnsi="Cambria Math" w:cs="Cambria Math"/>
          <w:sz w:val="24"/>
        </w:rPr>
        <w:t>₄</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poultry manure (</w:t>
      </w:r>
      <w:r w:rsidRPr="00906CD0">
        <w:rPr>
          <w:rFonts w:ascii="Arial" w:hAnsi="Arial" w:cs="Arial"/>
          <w:sz w:val="24"/>
        </w:rPr>
        <w:t>T</w:t>
      </w:r>
      <w:r w:rsidRPr="00906CD0">
        <w:rPr>
          <w:rFonts w:ascii="Cambria Math" w:hAnsi="Cambria Math" w:cs="Cambria Math"/>
          <w:sz w:val="24"/>
        </w:rPr>
        <w:t>₃</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mustard cake (</w:t>
      </w:r>
      <w:r w:rsidRPr="00906CD0">
        <w:rPr>
          <w:rFonts w:ascii="Arial" w:hAnsi="Arial" w:cs="Arial"/>
          <w:sz w:val="24"/>
        </w:rPr>
        <w:t>T</w:t>
      </w:r>
      <w:r w:rsidRPr="00906CD0">
        <w:rPr>
          <w:rFonts w:ascii="Cambria Math" w:hAnsi="Cambria Math" w:cs="Cambria Math"/>
          <w:sz w:val="24"/>
        </w:rPr>
        <w:t>₆</w:t>
      </w:r>
      <w:r w:rsidR="00430523">
        <w:rPr>
          <w:rFonts w:ascii="Cambria Math" w:hAnsi="Cambria Math" w:cs="Cambria Math"/>
          <w:sz w:val="24"/>
        </w:rPr>
        <w:t>)</w:t>
      </w:r>
      <w:r w:rsidRPr="00906CD0">
        <w:rPr>
          <w:rFonts w:ascii="Arial" w:hAnsi="Arial" w:cs="Arial"/>
          <w:sz w:val="24"/>
        </w:rPr>
        <w:t xml:space="preserve">, and </w:t>
      </w:r>
      <w:r w:rsidR="00430523">
        <w:rPr>
          <w:rFonts w:ascii="Arial" w:hAnsi="Arial" w:cs="Arial"/>
          <w:sz w:val="24"/>
        </w:rPr>
        <w:t>80% RDN through urea + 20% RDN through goat manure (</w:t>
      </w:r>
      <w:r w:rsidRPr="00906CD0">
        <w:rPr>
          <w:rFonts w:ascii="Arial" w:hAnsi="Arial" w:cs="Arial"/>
          <w:sz w:val="24"/>
        </w:rPr>
        <w:t>T</w:t>
      </w:r>
      <w:r w:rsidRPr="00906CD0">
        <w:rPr>
          <w:rFonts w:ascii="Cambria Math" w:hAnsi="Cambria Math" w:cs="Cambria Math"/>
          <w:sz w:val="24"/>
        </w:rPr>
        <w:t>₇</w:t>
      </w:r>
      <w:r w:rsidR="00430523">
        <w:rPr>
          <w:rFonts w:ascii="Cambria Math" w:hAnsi="Cambria Math" w:cs="Cambria Math"/>
          <w:sz w:val="24"/>
        </w:rPr>
        <w:t>)</w:t>
      </w:r>
      <w:r w:rsidRPr="00906CD0">
        <w:rPr>
          <w:rFonts w:ascii="Arial" w:hAnsi="Arial" w:cs="Arial"/>
          <w:sz w:val="24"/>
        </w:rPr>
        <w:t xml:space="preserve"> but significantly superior to the remaining treatments.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greater vegetative biomass supported by continuous nutrient availability, enhanced photosynthetic efficiency, and improved soil moisture-holding capacity due to FYM, which maintained plant turgor and fresh weight. Similar findings were reported by </w:t>
      </w:r>
      <w:r w:rsidR="005970FA">
        <w:rPr>
          <w:rFonts w:ascii="Arial" w:hAnsi="Arial" w:cs="Arial"/>
          <w:sz w:val="24"/>
        </w:rPr>
        <w:fldChar w:fldCharType="begin" w:fldLock="1"/>
      </w:r>
      <w:r w:rsidR="000D2E2A">
        <w:rPr>
          <w:rFonts w:ascii="Arial" w:hAnsi="Arial" w:cs="Arial"/>
          <w:sz w:val="24"/>
        </w:rPr>
        <w:instrText>ADDIN CSL_CITATION {"citationItems":[{"id":"ITEM-1","itemData":{"author":[{"dropping-particle":"","family":"Panigrahi","given":"Tulika","non-dropping-particle":"","parse-names":false,"suffix":""},{"dropping-particle":"","family":"Singh","given":"Subhash","non-dropping-particle":"","parse-names":false,"suffix":""},{"dropping-particle":"","family":"Bijoy","given":"Kumar Mondal","non-dropping-particle":"","parse-names":false,"suffix":""},{"dropping-particle":"","family":"MK","given":"Arsad","non-dropping-particle":"","parse-names":false,"suffix":""},{"dropping-particle":"","family":"Gupta","given":"Aditya Vardhan Kashive","non-dropping-particle":"","parse-names":false,"suffix":""},{"dropping-particle":"","family":"Ashutosh","given":"","non-dropping-particle":"","parse-names":false,"suffix":""}],"container-title":"The Pharma Innovation Journal","id":"ITEM-1","issue":"7","issued":{"date-parts":[["2022"]]},"page":"2598–2601","title":"Influence of integrated nutrient management on yield and nutrient uptake of wheat crop (Triticum aestivum L.)","type":"article-journal","volume":"11"},"uris":["http://www.mendeley.com/documents/?uuid=06f63208-e852-408c-bf5b-5175b5d2a267"]}],"mendeley":{"formattedCitation":"(Panigrahi et al., 2022)","plainTextFormattedCitation":"(Panigrahi et al., 2022)","previouslyFormattedCitation":"(Panigrahi et al., 2022)"},"properties":{"noteIndex":0},"schema":"https://github.com/citation-style-language/schema/raw/master/csl-citation.json"}</w:instrText>
      </w:r>
      <w:r w:rsidR="005970FA">
        <w:rPr>
          <w:rFonts w:ascii="Arial" w:hAnsi="Arial" w:cs="Arial"/>
          <w:sz w:val="24"/>
        </w:rPr>
        <w:fldChar w:fldCharType="separate"/>
      </w:r>
      <w:r w:rsidR="006827E2" w:rsidRPr="006827E2">
        <w:rPr>
          <w:rFonts w:ascii="Arial" w:hAnsi="Arial" w:cs="Arial"/>
          <w:noProof/>
          <w:sz w:val="24"/>
        </w:rPr>
        <w:t>(Panigrahi et al., 2022)</w:t>
      </w:r>
      <w:r w:rsidR="005970FA">
        <w:rPr>
          <w:rFonts w:ascii="Arial" w:hAnsi="Arial" w:cs="Arial"/>
          <w:sz w:val="24"/>
        </w:rPr>
        <w:fldChar w:fldCharType="end"/>
      </w:r>
      <w:r w:rsidRPr="00906CD0">
        <w:rPr>
          <w:rFonts w:ascii="Arial" w:hAnsi="Arial" w:cs="Arial"/>
          <w:sz w:val="24"/>
        </w:rPr>
        <w:t xml:space="preserve"> and </w:t>
      </w:r>
      <w:r w:rsidR="005970FA">
        <w:rPr>
          <w:rFonts w:ascii="Arial" w:hAnsi="Arial" w:cs="Arial"/>
          <w:sz w:val="24"/>
        </w:rPr>
        <w:fldChar w:fldCharType="begin" w:fldLock="1"/>
      </w:r>
      <w:r w:rsidR="005970FA">
        <w:rPr>
          <w:rFonts w:ascii="Arial" w:hAnsi="Arial" w:cs="Arial"/>
          <w:sz w:val="24"/>
        </w:rPr>
        <w:instrText>ADDIN CSL_CITATION {"citationItems":[{"id":"ITEM-1","itemData":{"author":[{"dropping-particle":"","family":"Kaur","given":"R","non-dropping-particle":"","parse-names":false,"suffix":""},{"dropping-particle":"","family":"Kumar","given":"S.","non-dropping-particle":"","parse-names":false,"suffix":""},{"dropping-particle":"","family":"Kaur","given":"","non-dropping-particle":"","parse-names":false,"suffix":""}],"container-title":"International Journal of Chemical Studies","id":"ITEM-1","issue":"4","issued":{"date-parts":[["2018"]]},"page":"1800–1803","title":"Effect of integrated nutrient management on growth and yield of wheat (Triticum aestivum L.) under irrigated conditions","type":"article-journal","volume":"6"},"uris":["http://www.mendeley.com/documents/?uuid=b4a0022a-0fbf-4720-b139-2fd29385c3c1"]}],"mendeley":{"formattedCitation":"(Kaur et al., 2018)","plainTextFormattedCitation":"(Kaur et al., 2018)","previouslyFormattedCitation":"(Kaur et al., 2018)"},"properties":{"noteIndex":0},"schema":"https://github.com/citation-style-language/schema/raw/master/csl-citation.json"}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 xml:space="preserve">(Kaur </w:t>
      </w:r>
      <w:r w:rsidR="005970FA" w:rsidRPr="0057438D">
        <w:rPr>
          <w:rFonts w:ascii="Arial" w:hAnsi="Arial" w:cs="Arial"/>
          <w:i/>
          <w:noProof/>
          <w:sz w:val="24"/>
        </w:rPr>
        <w:t>et al.</w:t>
      </w:r>
      <w:r w:rsidR="005970FA" w:rsidRPr="005970FA">
        <w:rPr>
          <w:rFonts w:ascii="Arial" w:hAnsi="Arial" w:cs="Arial"/>
          <w:noProof/>
          <w:sz w:val="24"/>
        </w:rPr>
        <w:t>, 2018)</w:t>
      </w:r>
      <w:r w:rsidR="005970FA">
        <w:rPr>
          <w:rFonts w:ascii="Arial" w:hAnsi="Arial" w:cs="Arial"/>
          <w:sz w:val="24"/>
        </w:rPr>
        <w:fldChar w:fldCharType="end"/>
      </w:r>
      <w:r w:rsidRPr="00906CD0">
        <w:rPr>
          <w:rFonts w:ascii="Arial" w:hAnsi="Arial" w:cs="Arial"/>
          <w:sz w:val="24"/>
        </w:rPr>
        <w:t xml:space="preserve">, who observed increased fresh biomass under integrated nutrient management practices, </w:t>
      </w:r>
      <w:r w:rsidRPr="00906CD0">
        <w:rPr>
          <w:rFonts w:ascii="Arial" w:hAnsi="Arial" w:cs="Arial"/>
          <w:sz w:val="24"/>
        </w:rPr>
        <w:lastRenderedPageBreak/>
        <w:t>attributing the results to synergistic effects of organic amendments with inorganic fertilizers that enhanced nutrient supply, nitrogen mineralization, and chlorophyll synthesis.</w:t>
      </w:r>
    </w:p>
    <w:p w14:paraId="0A8649FE" w14:textId="24F85649" w:rsidR="0054336D" w:rsidRPr="00B01144" w:rsidRDefault="0054336D" w:rsidP="00B01144">
      <w:pPr>
        <w:spacing w:after="0"/>
        <w:jc w:val="both"/>
        <w:rPr>
          <w:rFonts w:ascii="Arial" w:hAnsi="Arial" w:cs="Arial"/>
          <w:b/>
          <w:szCs w:val="24"/>
        </w:rPr>
      </w:pPr>
      <w:r w:rsidRPr="00B01144">
        <w:rPr>
          <w:rFonts w:ascii="Arial" w:hAnsi="Arial" w:cs="Arial"/>
          <w:b/>
          <w:szCs w:val="24"/>
        </w:rPr>
        <w:t xml:space="preserve">Table 1 Effect of integrated nitrogen management on </w:t>
      </w:r>
      <w:r w:rsidR="00B01144" w:rsidRPr="00B01144">
        <w:rPr>
          <w:rFonts w:ascii="Arial" w:hAnsi="Arial" w:cs="Arial"/>
          <w:b/>
          <w:szCs w:val="24"/>
        </w:rPr>
        <w:t>Plant height and No. of leaves</w:t>
      </w:r>
    </w:p>
    <w:tbl>
      <w:tblPr>
        <w:tblW w:w="7923" w:type="dxa"/>
        <w:jc w:val="center"/>
        <w:tblLook w:val="04A0" w:firstRow="1" w:lastRow="0" w:firstColumn="1" w:lastColumn="0" w:noHBand="0" w:noVBand="1"/>
      </w:tblPr>
      <w:tblGrid>
        <w:gridCol w:w="2013"/>
        <w:gridCol w:w="1476"/>
        <w:gridCol w:w="1479"/>
        <w:gridCol w:w="1476"/>
        <w:gridCol w:w="1479"/>
      </w:tblGrid>
      <w:tr w:rsidR="00F8444D" w:rsidRPr="00F42D7D" w14:paraId="31EEF924" w14:textId="77777777" w:rsidTr="00F8444D">
        <w:trPr>
          <w:trHeight w:val="183"/>
          <w:jc w:val="center"/>
        </w:trPr>
        <w:tc>
          <w:tcPr>
            <w:tcW w:w="2013" w:type="dxa"/>
            <w:tcBorders>
              <w:top w:val="single" w:sz="18" w:space="0" w:color="auto"/>
              <w:bottom w:val="single" w:sz="18" w:space="0" w:color="auto"/>
            </w:tcBorders>
            <w:noWrap/>
            <w:hideMark/>
          </w:tcPr>
          <w:p w14:paraId="5CD13D9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Treatment</w:t>
            </w:r>
          </w:p>
        </w:tc>
        <w:tc>
          <w:tcPr>
            <w:tcW w:w="2955" w:type="dxa"/>
            <w:gridSpan w:val="2"/>
            <w:tcBorders>
              <w:top w:val="single" w:sz="18" w:space="0" w:color="auto"/>
              <w:bottom w:val="single" w:sz="18" w:space="0" w:color="auto"/>
            </w:tcBorders>
            <w:noWrap/>
            <w:hideMark/>
          </w:tcPr>
          <w:p w14:paraId="623472B1"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Plant height (cm)</w:t>
            </w:r>
          </w:p>
        </w:tc>
        <w:tc>
          <w:tcPr>
            <w:tcW w:w="2955" w:type="dxa"/>
            <w:gridSpan w:val="2"/>
            <w:tcBorders>
              <w:top w:val="single" w:sz="18" w:space="0" w:color="auto"/>
              <w:bottom w:val="single" w:sz="18" w:space="0" w:color="auto"/>
            </w:tcBorders>
            <w:noWrap/>
            <w:hideMark/>
          </w:tcPr>
          <w:p w14:paraId="1120C9E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Number of leaves  plant</w:t>
            </w:r>
            <w:r w:rsidRPr="00F42D7D">
              <w:rPr>
                <w:rFonts w:ascii="Arial" w:hAnsi="Arial" w:cs="Arial"/>
                <w:b/>
                <w:vertAlign w:val="superscript"/>
              </w:rPr>
              <w:t>-1</w:t>
            </w:r>
          </w:p>
        </w:tc>
      </w:tr>
      <w:tr w:rsidR="00F8444D" w:rsidRPr="00F42D7D" w14:paraId="54D5B789" w14:textId="77777777" w:rsidTr="00F8444D">
        <w:trPr>
          <w:trHeight w:val="183"/>
          <w:jc w:val="center"/>
        </w:trPr>
        <w:tc>
          <w:tcPr>
            <w:tcW w:w="2013" w:type="dxa"/>
            <w:tcBorders>
              <w:top w:val="single" w:sz="18" w:space="0" w:color="auto"/>
              <w:bottom w:val="single" w:sz="18" w:space="0" w:color="auto"/>
            </w:tcBorders>
            <w:noWrap/>
            <w:vAlign w:val="center"/>
            <w:hideMark/>
          </w:tcPr>
          <w:p w14:paraId="37D89978" w14:textId="77777777" w:rsidR="00F8444D" w:rsidRPr="00F42D7D" w:rsidRDefault="00F8444D" w:rsidP="00F42D7D">
            <w:pPr>
              <w:pStyle w:val="NoSpacing"/>
              <w:spacing w:line="276" w:lineRule="auto"/>
              <w:jc w:val="center"/>
              <w:rPr>
                <w:rFonts w:ascii="Arial" w:hAnsi="Arial" w:cs="Arial"/>
              </w:rPr>
            </w:pPr>
          </w:p>
        </w:tc>
        <w:tc>
          <w:tcPr>
            <w:tcW w:w="1476" w:type="dxa"/>
            <w:tcBorders>
              <w:top w:val="single" w:sz="18" w:space="0" w:color="auto"/>
              <w:bottom w:val="single" w:sz="18" w:space="0" w:color="auto"/>
            </w:tcBorders>
            <w:noWrap/>
            <w:vAlign w:val="center"/>
            <w:hideMark/>
          </w:tcPr>
          <w:p w14:paraId="0B845DB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700B4BF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c>
          <w:tcPr>
            <w:tcW w:w="1476" w:type="dxa"/>
            <w:tcBorders>
              <w:top w:val="single" w:sz="18" w:space="0" w:color="auto"/>
              <w:bottom w:val="single" w:sz="18" w:space="0" w:color="auto"/>
            </w:tcBorders>
            <w:noWrap/>
            <w:vAlign w:val="center"/>
            <w:hideMark/>
          </w:tcPr>
          <w:p w14:paraId="7C6EBF9C"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3FB9C560"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r>
      <w:tr w:rsidR="00F8444D" w:rsidRPr="00F42D7D" w14:paraId="0FEDA18D" w14:textId="77777777" w:rsidTr="00F8444D">
        <w:trPr>
          <w:trHeight w:val="183"/>
          <w:jc w:val="center"/>
        </w:trPr>
        <w:tc>
          <w:tcPr>
            <w:tcW w:w="2013" w:type="dxa"/>
            <w:tcBorders>
              <w:top w:val="single" w:sz="18" w:space="0" w:color="auto"/>
            </w:tcBorders>
            <w:noWrap/>
            <w:vAlign w:val="center"/>
            <w:hideMark/>
          </w:tcPr>
          <w:p w14:paraId="25EEDD6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₁</w:t>
            </w:r>
          </w:p>
        </w:tc>
        <w:tc>
          <w:tcPr>
            <w:tcW w:w="1476" w:type="dxa"/>
            <w:tcBorders>
              <w:top w:val="single" w:sz="18" w:space="0" w:color="auto"/>
            </w:tcBorders>
            <w:noWrap/>
            <w:vAlign w:val="center"/>
            <w:hideMark/>
          </w:tcPr>
          <w:p w14:paraId="57B1BCEC"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25.2</w:t>
            </w:r>
            <w:r>
              <w:rPr>
                <w:rFonts w:ascii="Arial" w:hAnsi="Arial" w:cs="Arial"/>
              </w:rPr>
              <w:t>b</w:t>
            </w:r>
          </w:p>
        </w:tc>
        <w:tc>
          <w:tcPr>
            <w:tcW w:w="1479" w:type="dxa"/>
            <w:tcBorders>
              <w:top w:val="single" w:sz="18" w:space="0" w:color="auto"/>
            </w:tcBorders>
            <w:noWrap/>
            <w:vAlign w:val="center"/>
            <w:hideMark/>
          </w:tcPr>
          <w:p w14:paraId="58A97C2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56.2</w:t>
            </w:r>
            <w:r>
              <w:rPr>
                <w:rFonts w:ascii="Arial" w:hAnsi="Arial" w:cs="Arial"/>
              </w:rPr>
              <w:t>b</w:t>
            </w:r>
          </w:p>
        </w:tc>
        <w:tc>
          <w:tcPr>
            <w:tcW w:w="1476" w:type="dxa"/>
            <w:tcBorders>
              <w:top w:val="single" w:sz="18" w:space="0" w:color="auto"/>
            </w:tcBorders>
            <w:noWrap/>
            <w:vAlign w:val="center"/>
            <w:hideMark/>
          </w:tcPr>
          <w:p w14:paraId="790CDC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7.4</w:t>
            </w:r>
            <w:r>
              <w:rPr>
                <w:rFonts w:ascii="Arial" w:hAnsi="Arial" w:cs="Arial"/>
              </w:rPr>
              <w:t xml:space="preserve"> c</w:t>
            </w:r>
          </w:p>
        </w:tc>
        <w:tc>
          <w:tcPr>
            <w:tcW w:w="1479" w:type="dxa"/>
            <w:tcBorders>
              <w:top w:val="single" w:sz="18" w:space="0" w:color="auto"/>
            </w:tcBorders>
            <w:noWrap/>
            <w:vAlign w:val="center"/>
            <w:hideMark/>
          </w:tcPr>
          <w:p w14:paraId="7D826F1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3.5</w:t>
            </w:r>
            <w:r>
              <w:rPr>
                <w:rFonts w:ascii="Arial" w:hAnsi="Arial" w:cs="Arial"/>
              </w:rPr>
              <w:t>c</w:t>
            </w:r>
          </w:p>
        </w:tc>
      </w:tr>
      <w:tr w:rsidR="00F8444D" w:rsidRPr="00F42D7D" w14:paraId="10238B9B" w14:textId="77777777" w:rsidTr="00F8444D">
        <w:trPr>
          <w:trHeight w:val="183"/>
          <w:jc w:val="center"/>
        </w:trPr>
        <w:tc>
          <w:tcPr>
            <w:tcW w:w="2013" w:type="dxa"/>
            <w:noWrap/>
            <w:vAlign w:val="center"/>
            <w:hideMark/>
          </w:tcPr>
          <w:p w14:paraId="2A5B54F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₂</w:t>
            </w:r>
          </w:p>
        </w:tc>
        <w:tc>
          <w:tcPr>
            <w:tcW w:w="1476" w:type="dxa"/>
            <w:noWrap/>
            <w:vAlign w:val="center"/>
            <w:hideMark/>
          </w:tcPr>
          <w:p w14:paraId="0CD88C0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41.8</w:t>
            </w:r>
            <w:r>
              <w:rPr>
                <w:rFonts w:ascii="Arial" w:hAnsi="Arial" w:cs="Arial"/>
              </w:rPr>
              <w:t>a</w:t>
            </w:r>
          </w:p>
        </w:tc>
        <w:tc>
          <w:tcPr>
            <w:tcW w:w="1479" w:type="dxa"/>
            <w:noWrap/>
            <w:vAlign w:val="center"/>
            <w:hideMark/>
          </w:tcPr>
          <w:p w14:paraId="6A800C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76.0</w:t>
            </w:r>
            <w:r>
              <w:rPr>
                <w:rFonts w:ascii="Arial" w:hAnsi="Arial" w:cs="Arial"/>
              </w:rPr>
              <w:t>a</w:t>
            </w:r>
          </w:p>
        </w:tc>
        <w:tc>
          <w:tcPr>
            <w:tcW w:w="1476" w:type="dxa"/>
            <w:noWrap/>
            <w:vAlign w:val="center"/>
            <w:hideMark/>
          </w:tcPr>
          <w:p w14:paraId="4D707504"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10.9</w:t>
            </w:r>
            <w:r>
              <w:rPr>
                <w:rFonts w:ascii="Arial" w:hAnsi="Arial" w:cs="Arial"/>
              </w:rPr>
              <w:t>b</w:t>
            </w:r>
          </w:p>
        </w:tc>
        <w:tc>
          <w:tcPr>
            <w:tcW w:w="1479" w:type="dxa"/>
            <w:noWrap/>
            <w:vAlign w:val="center"/>
            <w:hideMark/>
          </w:tcPr>
          <w:p w14:paraId="6E460B1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4.0</w:t>
            </w:r>
            <w:r>
              <w:rPr>
                <w:rFonts w:ascii="Arial" w:hAnsi="Arial" w:cs="Arial"/>
              </w:rPr>
              <w:t>c</w:t>
            </w:r>
          </w:p>
        </w:tc>
      </w:tr>
      <w:tr w:rsidR="00F8444D" w:rsidRPr="00F42D7D" w14:paraId="4640A4E3" w14:textId="77777777" w:rsidTr="00F8444D">
        <w:trPr>
          <w:trHeight w:val="183"/>
          <w:jc w:val="center"/>
        </w:trPr>
        <w:tc>
          <w:tcPr>
            <w:tcW w:w="2013" w:type="dxa"/>
            <w:noWrap/>
            <w:vAlign w:val="center"/>
            <w:hideMark/>
          </w:tcPr>
          <w:p w14:paraId="3EAF79AC" w14:textId="77777777" w:rsidR="00F8444D" w:rsidRPr="00F42D7D" w:rsidRDefault="00F8444D" w:rsidP="00F42D7D">
            <w:pPr>
              <w:pStyle w:val="NoSpacing"/>
              <w:spacing w:line="276" w:lineRule="auto"/>
              <w:jc w:val="center"/>
              <w:rPr>
                <w:rFonts w:ascii="Arial" w:hAnsi="Arial" w:cs="Arial"/>
                <w:b/>
              </w:rPr>
            </w:pPr>
            <w:r>
              <w:rPr>
                <w:rFonts w:ascii="Arial" w:hAnsi="Arial" w:cs="Arial"/>
                <w:b/>
              </w:rPr>
              <w:t xml:space="preserve"> </w:t>
            </w:r>
            <w:r w:rsidRPr="00F42D7D">
              <w:rPr>
                <w:rFonts w:ascii="Arial" w:hAnsi="Arial" w:cs="Arial"/>
                <w:b/>
              </w:rPr>
              <w:t>T</w:t>
            </w:r>
            <w:r w:rsidRPr="00F42D7D">
              <w:rPr>
                <w:rFonts w:ascii="Cambria Math" w:hAnsi="Cambria Math" w:cs="Cambria Math"/>
                <w:b/>
              </w:rPr>
              <w:t>₃</w:t>
            </w:r>
          </w:p>
        </w:tc>
        <w:tc>
          <w:tcPr>
            <w:tcW w:w="1476" w:type="dxa"/>
            <w:noWrap/>
            <w:vAlign w:val="center"/>
            <w:hideMark/>
          </w:tcPr>
          <w:p w14:paraId="6CDB967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42.8</w:t>
            </w:r>
            <w:r>
              <w:rPr>
                <w:rFonts w:ascii="Arial" w:hAnsi="Arial" w:cs="Arial"/>
              </w:rPr>
              <w:t>a</w:t>
            </w:r>
          </w:p>
        </w:tc>
        <w:tc>
          <w:tcPr>
            <w:tcW w:w="1479" w:type="dxa"/>
            <w:noWrap/>
            <w:vAlign w:val="center"/>
            <w:hideMark/>
          </w:tcPr>
          <w:p w14:paraId="3F2780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77.4</w:t>
            </w:r>
            <w:r>
              <w:rPr>
                <w:rFonts w:ascii="Arial" w:hAnsi="Arial" w:cs="Arial"/>
              </w:rPr>
              <w:t>a</w:t>
            </w:r>
          </w:p>
        </w:tc>
        <w:tc>
          <w:tcPr>
            <w:tcW w:w="1476" w:type="dxa"/>
            <w:noWrap/>
            <w:vAlign w:val="center"/>
            <w:hideMark/>
          </w:tcPr>
          <w:p w14:paraId="69884679"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11.9</w:t>
            </w:r>
            <w:r>
              <w:rPr>
                <w:rFonts w:ascii="Arial" w:hAnsi="Arial" w:cs="Arial"/>
              </w:rPr>
              <w:t>b</w:t>
            </w:r>
          </w:p>
        </w:tc>
        <w:tc>
          <w:tcPr>
            <w:tcW w:w="1479" w:type="dxa"/>
            <w:noWrap/>
            <w:vAlign w:val="center"/>
            <w:hideMark/>
          </w:tcPr>
          <w:p w14:paraId="2C04912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4.3</w:t>
            </w:r>
            <w:r>
              <w:rPr>
                <w:rFonts w:ascii="Arial" w:hAnsi="Arial" w:cs="Arial"/>
              </w:rPr>
              <w:t>b</w:t>
            </w:r>
          </w:p>
        </w:tc>
      </w:tr>
      <w:tr w:rsidR="00F8444D" w:rsidRPr="00F42D7D" w14:paraId="54186FC5" w14:textId="77777777" w:rsidTr="00F8444D">
        <w:trPr>
          <w:trHeight w:val="183"/>
          <w:jc w:val="center"/>
        </w:trPr>
        <w:tc>
          <w:tcPr>
            <w:tcW w:w="2013" w:type="dxa"/>
            <w:noWrap/>
            <w:vAlign w:val="center"/>
            <w:hideMark/>
          </w:tcPr>
          <w:p w14:paraId="390262A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₄</w:t>
            </w:r>
          </w:p>
        </w:tc>
        <w:tc>
          <w:tcPr>
            <w:tcW w:w="1476" w:type="dxa"/>
            <w:noWrap/>
            <w:vAlign w:val="center"/>
            <w:hideMark/>
          </w:tcPr>
          <w:p w14:paraId="2B8F270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44.6</w:t>
            </w:r>
            <w:r>
              <w:rPr>
                <w:rFonts w:ascii="Arial" w:hAnsi="Arial" w:cs="Arial"/>
              </w:rPr>
              <w:t>a</w:t>
            </w:r>
          </w:p>
        </w:tc>
        <w:tc>
          <w:tcPr>
            <w:tcW w:w="1479" w:type="dxa"/>
            <w:noWrap/>
            <w:vAlign w:val="center"/>
            <w:hideMark/>
          </w:tcPr>
          <w:p w14:paraId="2DD96EF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78.8</w:t>
            </w:r>
            <w:r>
              <w:rPr>
                <w:rFonts w:ascii="Arial" w:hAnsi="Arial" w:cs="Arial"/>
              </w:rPr>
              <w:t>a</w:t>
            </w:r>
          </w:p>
        </w:tc>
        <w:tc>
          <w:tcPr>
            <w:tcW w:w="1476" w:type="dxa"/>
            <w:noWrap/>
            <w:vAlign w:val="center"/>
            <w:hideMark/>
          </w:tcPr>
          <w:p w14:paraId="0982EC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11.7</w:t>
            </w:r>
            <w:r>
              <w:rPr>
                <w:rFonts w:ascii="Arial" w:hAnsi="Arial" w:cs="Arial"/>
              </w:rPr>
              <w:t>b</w:t>
            </w:r>
          </w:p>
        </w:tc>
        <w:tc>
          <w:tcPr>
            <w:tcW w:w="1479" w:type="dxa"/>
            <w:noWrap/>
            <w:vAlign w:val="center"/>
            <w:hideMark/>
          </w:tcPr>
          <w:p w14:paraId="7EC12E4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w:t>
            </w:r>
            <w:r>
              <w:rPr>
                <w:rFonts w:ascii="Arial" w:hAnsi="Arial" w:cs="Arial"/>
              </w:rPr>
              <w:t>b</w:t>
            </w:r>
          </w:p>
        </w:tc>
      </w:tr>
      <w:tr w:rsidR="00F8444D" w:rsidRPr="00F42D7D" w14:paraId="49EAE239" w14:textId="77777777" w:rsidTr="00F8444D">
        <w:trPr>
          <w:trHeight w:val="183"/>
          <w:jc w:val="center"/>
        </w:trPr>
        <w:tc>
          <w:tcPr>
            <w:tcW w:w="2013" w:type="dxa"/>
            <w:noWrap/>
            <w:vAlign w:val="center"/>
            <w:hideMark/>
          </w:tcPr>
          <w:p w14:paraId="4884B1A8"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₅</w:t>
            </w:r>
          </w:p>
        </w:tc>
        <w:tc>
          <w:tcPr>
            <w:tcW w:w="1476" w:type="dxa"/>
            <w:noWrap/>
            <w:vAlign w:val="center"/>
            <w:hideMark/>
          </w:tcPr>
          <w:p w14:paraId="25A052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46.8</w:t>
            </w:r>
            <w:r>
              <w:rPr>
                <w:rFonts w:ascii="Arial" w:hAnsi="Arial" w:cs="Arial"/>
              </w:rPr>
              <w:t>a</w:t>
            </w:r>
          </w:p>
        </w:tc>
        <w:tc>
          <w:tcPr>
            <w:tcW w:w="1479" w:type="dxa"/>
            <w:noWrap/>
            <w:vAlign w:val="center"/>
            <w:hideMark/>
          </w:tcPr>
          <w:p w14:paraId="129345A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81.2</w:t>
            </w:r>
            <w:r>
              <w:rPr>
                <w:rFonts w:ascii="Arial" w:hAnsi="Arial" w:cs="Arial"/>
              </w:rPr>
              <w:t>a</w:t>
            </w:r>
          </w:p>
        </w:tc>
        <w:tc>
          <w:tcPr>
            <w:tcW w:w="1476" w:type="dxa"/>
            <w:noWrap/>
            <w:vAlign w:val="center"/>
            <w:hideMark/>
          </w:tcPr>
          <w:p w14:paraId="36E2D5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14.5</w:t>
            </w:r>
            <w:r>
              <w:rPr>
                <w:rFonts w:ascii="Arial" w:hAnsi="Arial" w:cs="Arial"/>
              </w:rPr>
              <w:t>a</w:t>
            </w:r>
          </w:p>
        </w:tc>
        <w:tc>
          <w:tcPr>
            <w:tcW w:w="1479" w:type="dxa"/>
            <w:noWrap/>
            <w:vAlign w:val="center"/>
            <w:hideMark/>
          </w:tcPr>
          <w:p w14:paraId="372963E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4.9</w:t>
            </w:r>
            <w:r>
              <w:rPr>
                <w:rFonts w:ascii="Arial" w:hAnsi="Arial" w:cs="Arial"/>
              </w:rPr>
              <w:t>a</w:t>
            </w:r>
          </w:p>
        </w:tc>
      </w:tr>
      <w:tr w:rsidR="00F8444D" w:rsidRPr="00F42D7D" w14:paraId="64682735" w14:textId="77777777" w:rsidTr="00F8444D">
        <w:trPr>
          <w:trHeight w:val="183"/>
          <w:jc w:val="center"/>
        </w:trPr>
        <w:tc>
          <w:tcPr>
            <w:tcW w:w="2013" w:type="dxa"/>
            <w:noWrap/>
            <w:vAlign w:val="center"/>
            <w:hideMark/>
          </w:tcPr>
          <w:p w14:paraId="52F572D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₆</w:t>
            </w:r>
          </w:p>
        </w:tc>
        <w:tc>
          <w:tcPr>
            <w:tcW w:w="1476" w:type="dxa"/>
            <w:noWrap/>
            <w:vAlign w:val="center"/>
            <w:hideMark/>
          </w:tcPr>
          <w:p w14:paraId="2D4426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46.2</w:t>
            </w:r>
            <w:r>
              <w:rPr>
                <w:rFonts w:ascii="Arial" w:hAnsi="Arial" w:cs="Arial"/>
              </w:rPr>
              <w:t>a</w:t>
            </w:r>
          </w:p>
        </w:tc>
        <w:tc>
          <w:tcPr>
            <w:tcW w:w="1479" w:type="dxa"/>
            <w:noWrap/>
            <w:vAlign w:val="center"/>
            <w:hideMark/>
          </w:tcPr>
          <w:p w14:paraId="2A8DBDD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80.4</w:t>
            </w:r>
            <w:r>
              <w:rPr>
                <w:rFonts w:ascii="Arial" w:hAnsi="Arial" w:cs="Arial"/>
              </w:rPr>
              <w:t>a</w:t>
            </w:r>
          </w:p>
        </w:tc>
        <w:tc>
          <w:tcPr>
            <w:tcW w:w="1476" w:type="dxa"/>
            <w:noWrap/>
            <w:vAlign w:val="center"/>
            <w:hideMark/>
          </w:tcPr>
          <w:p w14:paraId="1AB934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14.1</w:t>
            </w:r>
            <w:r>
              <w:rPr>
                <w:rFonts w:ascii="Arial" w:hAnsi="Arial" w:cs="Arial"/>
              </w:rPr>
              <w:t>a</w:t>
            </w:r>
          </w:p>
        </w:tc>
        <w:tc>
          <w:tcPr>
            <w:tcW w:w="1479" w:type="dxa"/>
            <w:noWrap/>
            <w:vAlign w:val="center"/>
            <w:hideMark/>
          </w:tcPr>
          <w:p w14:paraId="4E27B56E"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4.8</w:t>
            </w:r>
            <w:r>
              <w:rPr>
                <w:rFonts w:ascii="Arial" w:hAnsi="Arial" w:cs="Arial"/>
              </w:rPr>
              <w:t>a</w:t>
            </w:r>
          </w:p>
        </w:tc>
      </w:tr>
      <w:tr w:rsidR="00F8444D" w:rsidRPr="00F42D7D" w14:paraId="0BC53418" w14:textId="77777777" w:rsidTr="00F8444D">
        <w:trPr>
          <w:trHeight w:val="183"/>
          <w:jc w:val="center"/>
        </w:trPr>
        <w:tc>
          <w:tcPr>
            <w:tcW w:w="2013" w:type="dxa"/>
            <w:tcBorders>
              <w:bottom w:val="single" w:sz="18" w:space="0" w:color="auto"/>
            </w:tcBorders>
            <w:noWrap/>
            <w:vAlign w:val="center"/>
            <w:hideMark/>
          </w:tcPr>
          <w:p w14:paraId="0AB50BD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₇</w:t>
            </w:r>
          </w:p>
        </w:tc>
        <w:tc>
          <w:tcPr>
            <w:tcW w:w="1476" w:type="dxa"/>
            <w:tcBorders>
              <w:bottom w:val="single" w:sz="18" w:space="0" w:color="auto"/>
            </w:tcBorders>
            <w:noWrap/>
            <w:vAlign w:val="center"/>
            <w:hideMark/>
          </w:tcPr>
          <w:p w14:paraId="5E9362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45.6</w:t>
            </w:r>
            <w:r>
              <w:rPr>
                <w:rFonts w:ascii="Arial" w:hAnsi="Arial" w:cs="Arial"/>
              </w:rPr>
              <w:t>a</w:t>
            </w:r>
          </w:p>
        </w:tc>
        <w:tc>
          <w:tcPr>
            <w:tcW w:w="1479" w:type="dxa"/>
            <w:tcBorders>
              <w:bottom w:val="single" w:sz="18" w:space="0" w:color="auto"/>
            </w:tcBorders>
            <w:noWrap/>
            <w:vAlign w:val="center"/>
            <w:hideMark/>
          </w:tcPr>
          <w:p w14:paraId="5745720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78.9</w:t>
            </w:r>
            <w:r>
              <w:rPr>
                <w:rFonts w:ascii="Arial" w:hAnsi="Arial" w:cs="Arial"/>
              </w:rPr>
              <w:t>a</w:t>
            </w:r>
          </w:p>
        </w:tc>
        <w:tc>
          <w:tcPr>
            <w:tcW w:w="1476" w:type="dxa"/>
            <w:tcBorders>
              <w:bottom w:val="single" w:sz="18" w:space="0" w:color="auto"/>
            </w:tcBorders>
            <w:noWrap/>
            <w:vAlign w:val="center"/>
            <w:hideMark/>
          </w:tcPr>
          <w:p w14:paraId="1E33A4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11.6</w:t>
            </w:r>
            <w:r>
              <w:rPr>
                <w:rFonts w:ascii="Arial" w:hAnsi="Arial" w:cs="Arial"/>
              </w:rPr>
              <w:t>b</w:t>
            </w:r>
          </w:p>
        </w:tc>
        <w:tc>
          <w:tcPr>
            <w:tcW w:w="1479" w:type="dxa"/>
            <w:tcBorders>
              <w:bottom w:val="single" w:sz="18" w:space="0" w:color="auto"/>
            </w:tcBorders>
            <w:noWrap/>
            <w:vAlign w:val="center"/>
            <w:hideMark/>
          </w:tcPr>
          <w:p w14:paraId="3E48D94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w:t>
            </w:r>
            <w:r>
              <w:rPr>
                <w:rFonts w:ascii="Arial" w:hAnsi="Arial" w:cs="Arial"/>
              </w:rPr>
              <w:t>a</w:t>
            </w:r>
          </w:p>
        </w:tc>
      </w:tr>
      <w:tr w:rsidR="00F8444D" w:rsidRPr="00F42D7D" w14:paraId="7879B4B7" w14:textId="77777777" w:rsidTr="00F8444D">
        <w:trPr>
          <w:trHeight w:val="183"/>
          <w:jc w:val="center"/>
        </w:trPr>
        <w:tc>
          <w:tcPr>
            <w:tcW w:w="2013" w:type="dxa"/>
            <w:tcBorders>
              <w:top w:val="single" w:sz="18" w:space="0" w:color="auto"/>
              <w:bottom w:val="single" w:sz="18" w:space="0" w:color="auto"/>
            </w:tcBorders>
            <w:noWrap/>
            <w:vAlign w:val="center"/>
          </w:tcPr>
          <w:p w14:paraId="276C3D62" w14:textId="77777777" w:rsidR="00F8444D" w:rsidRPr="00F42D7D" w:rsidRDefault="00F8444D" w:rsidP="00F42D7D">
            <w:pPr>
              <w:pStyle w:val="NoSpacing"/>
              <w:spacing w:line="276" w:lineRule="auto"/>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1476" w:type="dxa"/>
            <w:tcBorders>
              <w:top w:val="single" w:sz="18" w:space="0" w:color="auto"/>
              <w:bottom w:val="single" w:sz="18" w:space="0" w:color="auto"/>
            </w:tcBorders>
            <w:noWrap/>
            <w:vAlign w:val="center"/>
          </w:tcPr>
          <w:p w14:paraId="7E7BA912" w14:textId="77777777" w:rsidR="00F8444D" w:rsidRPr="00F42D7D" w:rsidRDefault="00F8444D" w:rsidP="00F42D7D">
            <w:pPr>
              <w:pStyle w:val="NoSpacing"/>
              <w:spacing w:line="276" w:lineRule="auto"/>
              <w:jc w:val="center"/>
              <w:rPr>
                <w:rFonts w:ascii="Arial" w:hAnsi="Arial" w:cs="Arial"/>
              </w:rPr>
            </w:pPr>
            <w:r>
              <w:rPr>
                <w:rFonts w:ascii="Arial" w:hAnsi="Arial" w:cs="Arial"/>
              </w:rPr>
              <w:t>1.9</w:t>
            </w:r>
          </w:p>
        </w:tc>
        <w:tc>
          <w:tcPr>
            <w:tcW w:w="1479" w:type="dxa"/>
            <w:tcBorders>
              <w:top w:val="single" w:sz="18" w:space="0" w:color="auto"/>
              <w:bottom w:val="single" w:sz="18" w:space="0" w:color="auto"/>
            </w:tcBorders>
            <w:noWrap/>
            <w:vAlign w:val="center"/>
          </w:tcPr>
          <w:p w14:paraId="69121AE3" w14:textId="77777777" w:rsidR="00F8444D" w:rsidRPr="00F42D7D" w:rsidRDefault="00F8444D" w:rsidP="00F42D7D">
            <w:pPr>
              <w:pStyle w:val="NoSpacing"/>
              <w:spacing w:line="276" w:lineRule="auto"/>
              <w:jc w:val="center"/>
              <w:rPr>
                <w:rFonts w:ascii="Arial" w:hAnsi="Arial" w:cs="Arial"/>
              </w:rPr>
            </w:pPr>
            <w:r>
              <w:rPr>
                <w:rFonts w:ascii="Arial" w:hAnsi="Arial" w:cs="Arial"/>
              </w:rPr>
              <w:t>3.6</w:t>
            </w:r>
          </w:p>
        </w:tc>
        <w:tc>
          <w:tcPr>
            <w:tcW w:w="1476" w:type="dxa"/>
            <w:tcBorders>
              <w:top w:val="single" w:sz="18" w:space="0" w:color="auto"/>
              <w:bottom w:val="single" w:sz="18" w:space="0" w:color="auto"/>
            </w:tcBorders>
            <w:noWrap/>
            <w:vAlign w:val="center"/>
          </w:tcPr>
          <w:p w14:paraId="769E6056" w14:textId="77777777" w:rsidR="00F8444D" w:rsidRPr="00F42D7D" w:rsidRDefault="00F8444D" w:rsidP="00F42D7D">
            <w:pPr>
              <w:pStyle w:val="NoSpacing"/>
              <w:spacing w:line="276" w:lineRule="auto"/>
              <w:jc w:val="center"/>
              <w:rPr>
                <w:rFonts w:ascii="Arial" w:hAnsi="Arial" w:cs="Arial"/>
              </w:rPr>
            </w:pPr>
            <w:r>
              <w:rPr>
                <w:rFonts w:ascii="Arial" w:hAnsi="Arial" w:cs="Arial"/>
              </w:rPr>
              <w:t>0.8</w:t>
            </w:r>
          </w:p>
        </w:tc>
        <w:tc>
          <w:tcPr>
            <w:tcW w:w="1479" w:type="dxa"/>
            <w:tcBorders>
              <w:top w:val="single" w:sz="18" w:space="0" w:color="auto"/>
              <w:bottom w:val="single" w:sz="18" w:space="0" w:color="auto"/>
            </w:tcBorders>
            <w:noWrap/>
            <w:vAlign w:val="center"/>
          </w:tcPr>
          <w:p w14:paraId="34E2B655" w14:textId="77777777" w:rsidR="00F8444D" w:rsidRPr="00F42D7D" w:rsidRDefault="00F8444D" w:rsidP="00F42D7D">
            <w:pPr>
              <w:pStyle w:val="NoSpacing"/>
              <w:spacing w:line="276" w:lineRule="auto"/>
              <w:jc w:val="center"/>
              <w:rPr>
                <w:rFonts w:ascii="Arial" w:hAnsi="Arial" w:cs="Arial"/>
              </w:rPr>
            </w:pPr>
            <w:r>
              <w:rPr>
                <w:rFonts w:ascii="Arial" w:hAnsi="Arial" w:cs="Arial"/>
              </w:rPr>
              <w:t>0.2</w:t>
            </w:r>
          </w:p>
        </w:tc>
      </w:tr>
      <w:tr w:rsidR="00F8444D" w:rsidRPr="00F42D7D" w14:paraId="66B12D28" w14:textId="77777777" w:rsidTr="00F8444D">
        <w:trPr>
          <w:trHeight w:val="183"/>
          <w:jc w:val="center"/>
        </w:trPr>
        <w:tc>
          <w:tcPr>
            <w:tcW w:w="2013" w:type="dxa"/>
            <w:tcBorders>
              <w:top w:val="single" w:sz="18" w:space="0" w:color="auto"/>
              <w:bottom w:val="single" w:sz="18" w:space="0" w:color="auto"/>
            </w:tcBorders>
            <w:noWrap/>
            <w:vAlign w:val="center"/>
          </w:tcPr>
          <w:p w14:paraId="7016C883" w14:textId="77777777" w:rsidR="00F8444D" w:rsidRPr="00F42D7D" w:rsidRDefault="00F8444D" w:rsidP="00F42D7D">
            <w:pPr>
              <w:pStyle w:val="NoSpacing"/>
              <w:spacing w:line="276" w:lineRule="auto"/>
              <w:jc w:val="center"/>
              <w:rPr>
                <w:rFonts w:ascii="Arial" w:hAnsi="Arial" w:cs="Arial"/>
                <w:b/>
              </w:rPr>
            </w:pPr>
            <w:r w:rsidRPr="004E7214">
              <w:rPr>
                <w:rFonts w:ascii="Arial" w:hAnsi="Arial" w:cs="Arial"/>
                <w:b/>
              </w:rPr>
              <w:t>CD (0.05)</w:t>
            </w:r>
          </w:p>
        </w:tc>
        <w:tc>
          <w:tcPr>
            <w:tcW w:w="1476" w:type="dxa"/>
            <w:tcBorders>
              <w:top w:val="single" w:sz="18" w:space="0" w:color="auto"/>
              <w:bottom w:val="single" w:sz="18" w:space="0" w:color="auto"/>
            </w:tcBorders>
            <w:noWrap/>
            <w:vAlign w:val="center"/>
          </w:tcPr>
          <w:p w14:paraId="3517497E" w14:textId="77777777" w:rsidR="00F8444D" w:rsidRPr="00F42D7D" w:rsidRDefault="00F8444D" w:rsidP="00F42D7D">
            <w:pPr>
              <w:pStyle w:val="NoSpacing"/>
              <w:spacing w:line="276" w:lineRule="auto"/>
              <w:jc w:val="center"/>
              <w:rPr>
                <w:rFonts w:ascii="Arial" w:hAnsi="Arial" w:cs="Arial"/>
              </w:rPr>
            </w:pPr>
            <w:r>
              <w:rPr>
                <w:rFonts w:ascii="Arial" w:hAnsi="Arial" w:cs="Arial"/>
              </w:rPr>
              <w:t>6.0</w:t>
            </w:r>
          </w:p>
        </w:tc>
        <w:tc>
          <w:tcPr>
            <w:tcW w:w="1479" w:type="dxa"/>
            <w:tcBorders>
              <w:top w:val="single" w:sz="18" w:space="0" w:color="auto"/>
              <w:bottom w:val="single" w:sz="18" w:space="0" w:color="auto"/>
            </w:tcBorders>
            <w:noWrap/>
            <w:vAlign w:val="center"/>
          </w:tcPr>
          <w:p w14:paraId="596B4302" w14:textId="77777777" w:rsidR="00F8444D" w:rsidRPr="00F42D7D" w:rsidRDefault="00F8444D" w:rsidP="00F42D7D">
            <w:pPr>
              <w:pStyle w:val="NoSpacing"/>
              <w:spacing w:line="276" w:lineRule="auto"/>
              <w:jc w:val="center"/>
              <w:rPr>
                <w:rFonts w:ascii="Arial" w:hAnsi="Arial" w:cs="Arial"/>
              </w:rPr>
            </w:pPr>
            <w:r>
              <w:rPr>
                <w:rFonts w:ascii="Arial" w:hAnsi="Arial" w:cs="Arial"/>
              </w:rPr>
              <w:t>11.0</w:t>
            </w:r>
          </w:p>
        </w:tc>
        <w:tc>
          <w:tcPr>
            <w:tcW w:w="1476" w:type="dxa"/>
            <w:tcBorders>
              <w:top w:val="single" w:sz="18" w:space="0" w:color="auto"/>
              <w:bottom w:val="single" w:sz="18" w:space="0" w:color="auto"/>
            </w:tcBorders>
            <w:noWrap/>
            <w:vAlign w:val="center"/>
          </w:tcPr>
          <w:p w14:paraId="02F69493" w14:textId="77777777" w:rsidR="00F8444D" w:rsidRPr="00F42D7D" w:rsidRDefault="00F8444D" w:rsidP="00F42D7D">
            <w:pPr>
              <w:pStyle w:val="NoSpacing"/>
              <w:spacing w:line="276" w:lineRule="auto"/>
              <w:jc w:val="center"/>
              <w:rPr>
                <w:rFonts w:ascii="Arial" w:hAnsi="Arial" w:cs="Arial"/>
              </w:rPr>
            </w:pPr>
            <w:r>
              <w:rPr>
                <w:rFonts w:ascii="Arial" w:hAnsi="Arial" w:cs="Arial"/>
              </w:rPr>
              <w:t>2.6</w:t>
            </w:r>
          </w:p>
        </w:tc>
        <w:tc>
          <w:tcPr>
            <w:tcW w:w="1479" w:type="dxa"/>
            <w:tcBorders>
              <w:top w:val="single" w:sz="18" w:space="0" w:color="auto"/>
              <w:bottom w:val="single" w:sz="18" w:space="0" w:color="auto"/>
            </w:tcBorders>
            <w:noWrap/>
            <w:vAlign w:val="center"/>
          </w:tcPr>
          <w:p w14:paraId="48AE6DA5" w14:textId="77777777" w:rsidR="00F8444D" w:rsidRPr="00F42D7D" w:rsidRDefault="00F8444D" w:rsidP="00F42D7D">
            <w:pPr>
              <w:pStyle w:val="NoSpacing"/>
              <w:spacing w:line="276" w:lineRule="auto"/>
              <w:jc w:val="center"/>
              <w:rPr>
                <w:rFonts w:ascii="Arial" w:hAnsi="Arial" w:cs="Arial"/>
              </w:rPr>
            </w:pPr>
            <w:r>
              <w:rPr>
                <w:rFonts w:ascii="Arial" w:hAnsi="Arial" w:cs="Arial"/>
              </w:rPr>
              <w:t>0.6</w:t>
            </w:r>
          </w:p>
        </w:tc>
      </w:tr>
    </w:tbl>
    <w:p w14:paraId="361E3CAF" w14:textId="0231CEBD" w:rsidR="00F8444D" w:rsidRPr="00B01144" w:rsidRDefault="0057438D" w:rsidP="002A5F0B">
      <w:pPr>
        <w:spacing w:before="240" w:after="0" w:line="360" w:lineRule="auto"/>
        <w:jc w:val="both"/>
        <w:rPr>
          <w:rFonts w:ascii="Arial" w:hAnsi="Arial" w:cs="Arial"/>
          <w:b/>
          <w:szCs w:val="24"/>
        </w:rPr>
      </w:pPr>
      <w:r w:rsidRPr="00B01144">
        <w:rPr>
          <w:rFonts w:ascii="Arial" w:hAnsi="Arial" w:cs="Arial"/>
          <w:b/>
          <w:szCs w:val="24"/>
        </w:rPr>
        <w:t>Table 2</w:t>
      </w:r>
      <w:r w:rsidR="002A5F0B" w:rsidRPr="00B01144">
        <w:rPr>
          <w:rFonts w:ascii="Arial" w:hAnsi="Arial" w:cs="Arial"/>
          <w:b/>
          <w:szCs w:val="24"/>
        </w:rPr>
        <w:t xml:space="preserve"> Effect of integrated nitrogen management on </w:t>
      </w:r>
      <w:r w:rsidR="00B01144" w:rsidRPr="00B01144">
        <w:rPr>
          <w:rFonts w:ascii="Arial" w:hAnsi="Arial" w:cs="Arial"/>
          <w:b/>
          <w:szCs w:val="24"/>
        </w:rPr>
        <w:t xml:space="preserve">Plant fresh weight and Plant dry weight </w:t>
      </w:r>
    </w:p>
    <w:tbl>
      <w:tblPr>
        <w:tblW w:w="7953" w:type="dxa"/>
        <w:jc w:val="center"/>
        <w:tblLook w:val="04A0" w:firstRow="1" w:lastRow="0" w:firstColumn="1" w:lastColumn="0" w:noHBand="0" w:noVBand="1"/>
      </w:tblPr>
      <w:tblGrid>
        <w:gridCol w:w="2073"/>
        <w:gridCol w:w="1440"/>
        <w:gridCol w:w="1440"/>
        <w:gridCol w:w="1530"/>
        <w:gridCol w:w="1470"/>
      </w:tblGrid>
      <w:tr w:rsidR="00D211B0" w:rsidRPr="00D211B0" w14:paraId="2116DEFA" w14:textId="77777777" w:rsidTr="00D211B0">
        <w:trPr>
          <w:trHeight w:val="352"/>
          <w:jc w:val="center"/>
        </w:trPr>
        <w:tc>
          <w:tcPr>
            <w:tcW w:w="2073" w:type="dxa"/>
            <w:tcBorders>
              <w:top w:val="single" w:sz="18" w:space="0" w:color="auto"/>
              <w:bottom w:val="single" w:sz="18" w:space="0" w:color="auto"/>
            </w:tcBorders>
            <w:vAlign w:val="center"/>
          </w:tcPr>
          <w:p w14:paraId="410AE7A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Treatment</w:t>
            </w:r>
          </w:p>
        </w:tc>
        <w:tc>
          <w:tcPr>
            <w:tcW w:w="2880" w:type="dxa"/>
            <w:gridSpan w:val="2"/>
            <w:tcBorders>
              <w:top w:val="single" w:sz="18" w:space="0" w:color="auto"/>
              <w:bottom w:val="single" w:sz="18" w:space="0" w:color="auto"/>
            </w:tcBorders>
            <w:noWrap/>
            <w:vAlign w:val="center"/>
            <w:hideMark/>
          </w:tcPr>
          <w:p w14:paraId="5A65E8F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fresh Weight (g m</w:t>
            </w:r>
            <w:r w:rsidRPr="00D211B0">
              <w:rPr>
                <w:rFonts w:ascii="Arial" w:hAnsi="Arial" w:cs="Arial"/>
                <w:b/>
                <w:vertAlign w:val="superscript"/>
              </w:rPr>
              <w:t>-1</w:t>
            </w:r>
            <w:r w:rsidRPr="00D211B0">
              <w:rPr>
                <w:rFonts w:ascii="Arial" w:hAnsi="Arial" w:cs="Arial"/>
                <w:b/>
              </w:rPr>
              <w:t xml:space="preserve"> row length )</w:t>
            </w:r>
          </w:p>
        </w:tc>
        <w:tc>
          <w:tcPr>
            <w:tcW w:w="3000" w:type="dxa"/>
            <w:gridSpan w:val="2"/>
            <w:tcBorders>
              <w:top w:val="single" w:sz="18" w:space="0" w:color="auto"/>
              <w:bottom w:val="single" w:sz="18" w:space="0" w:color="auto"/>
            </w:tcBorders>
            <w:noWrap/>
            <w:vAlign w:val="center"/>
            <w:hideMark/>
          </w:tcPr>
          <w:p w14:paraId="12A6B91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dry weight (g m</w:t>
            </w:r>
            <w:r w:rsidRPr="00D211B0">
              <w:rPr>
                <w:rFonts w:ascii="Arial" w:hAnsi="Arial" w:cs="Arial"/>
                <w:b/>
                <w:vertAlign w:val="superscript"/>
              </w:rPr>
              <w:t>-1</w:t>
            </w:r>
            <w:r w:rsidRPr="00D211B0">
              <w:rPr>
                <w:rFonts w:ascii="Arial" w:hAnsi="Arial" w:cs="Arial"/>
                <w:b/>
              </w:rPr>
              <w:t xml:space="preserve"> row length)</w:t>
            </w:r>
          </w:p>
        </w:tc>
      </w:tr>
      <w:tr w:rsidR="00D211B0" w:rsidRPr="00D211B0" w14:paraId="7EDAA1C4" w14:textId="77777777" w:rsidTr="00D211B0">
        <w:trPr>
          <w:trHeight w:val="352"/>
          <w:jc w:val="center"/>
        </w:trPr>
        <w:tc>
          <w:tcPr>
            <w:tcW w:w="2073" w:type="dxa"/>
            <w:tcBorders>
              <w:top w:val="single" w:sz="18" w:space="0" w:color="auto"/>
              <w:bottom w:val="single" w:sz="18" w:space="0" w:color="auto"/>
            </w:tcBorders>
            <w:vAlign w:val="center"/>
          </w:tcPr>
          <w:p w14:paraId="0574E4D5" w14:textId="77777777" w:rsidR="00D211B0" w:rsidRPr="00D211B0" w:rsidRDefault="00D211B0" w:rsidP="00D211B0">
            <w:pPr>
              <w:pStyle w:val="NoSpacing"/>
              <w:spacing w:line="276" w:lineRule="auto"/>
              <w:jc w:val="center"/>
              <w:rPr>
                <w:rFonts w:ascii="Arial" w:hAnsi="Arial" w:cs="Arial"/>
              </w:rPr>
            </w:pPr>
          </w:p>
        </w:tc>
        <w:tc>
          <w:tcPr>
            <w:tcW w:w="1440" w:type="dxa"/>
            <w:tcBorders>
              <w:top w:val="single" w:sz="18" w:space="0" w:color="auto"/>
              <w:bottom w:val="single" w:sz="18" w:space="0" w:color="auto"/>
            </w:tcBorders>
            <w:noWrap/>
            <w:vAlign w:val="center"/>
            <w:hideMark/>
          </w:tcPr>
          <w:p w14:paraId="707B61D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40" w:type="dxa"/>
            <w:tcBorders>
              <w:top w:val="single" w:sz="18" w:space="0" w:color="auto"/>
              <w:bottom w:val="single" w:sz="18" w:space="0" w:color="auto"/>
            </w:tcBorders>
            <w:noWrap/>
            <w:vAlign w:val="center"/>
            <w:hideMark/>
          </w:tcPr>
          <w:p w14:paraId="48658A96"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c>
          <w:tcPr>
            <w:tcW w:w="1530" w:type="dxa"/>
            <w:tcBorders>
              <w:top w:val="single" w:sz="18" w:space="0" w:color="auto"/>
              <w:bottom w:val="single" w:sz="18" w:space="0" w:color="auto"/>
            </w:tcBorders>
            <w:noWrap/>
            <w:vAlign w:val="center"/>
            <w:hideMark/>
          </w:tcPr>
          <w:p w14:paraId="7A8284B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70" w:type="dxa"/>
            <w:tcBorders>
              <w:top w:val="single" w:sz="18" w:space="0" w:color="auto"/>
              <w:bottom w:val="single" w:sz="18" w:space="0" w:color="auto"/>
            </w:tcBorders>
            <w:noWrap/>
            <w:vAlign w:val="center"/>
            <w:hideMark/>
          </w:tcPr>
          <w:p w14:paraId="7C2A53B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r>
      <w:tr w:rsidR="00D211B0" w:rsidRPr="00D211B0" w14:paraId="0758DBA7" w14:textId="77777777" w:rsidTr="00D211B0">
        <w:trPr>
          <w:trHeight w:val="352"/>
          <w:jc w:val="center"/>
        </w:trPr>
        <w:tc>
          <w:tcPr>
            <w:tcW w:w="2073" w:type="dxa"/>
            <w:tcBorders>
              <w:top w:val="single" w:sz="18" w:space="0" w:color="auto"/>
            </w:tcBorders>
            <w:vAlign w:val="center"/>
          </w:tcPr>
          <w:p w14:paraId="247CDA02"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₁</w:t>
            </w:r>
          </w:p>
        </w:tc>
        <w:tc>
          <w:tcPr>
            <w:tcW w:w="1440" w:type="dxa"/>
            <w:tcBorders>
              <w:top w:val="single" w:sz="18" w:space="0" w:color="auto"/>
            </w:tcBorders>
            <w:noWrap/>
            <w:vAlign w:val="center"/>
            <w:hideMark/>
          </w:tcPr>
          <w:p w14:paraId="64C457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94.0b</w:t>
            </w:r>
          </w:p>
        </w:tc>
        <w:tc>
          <w:tcPr>
            <w:tcW w:w="1440" w:type="dxa"/>
            <w:tcBorders>
              <w:top w:val="single" w:sz="18" w:space="0" w:color="auto"/>
            </w:tcBorders>
            <w:noWrap/>
            <w:vAlign w:val="center"/>
            <w:hideMark/>
          </w:tcPr>
          <w:p w14:paraId="5B6405E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354.7c</w:t>
            </w:r>
          </w:p>
        </w:tc>
        <w:tc>
          <w:tcPr>
            <w:tcW w:w="1530" w:type="dxa"/>
            <w:tcBorders>
              <w:top w:val="single" w:sz="18" w:space="0" w:color="auto"/>
            </w:tcBorders>
            <w:noWrap/>
            <w:vAlign w:val="center"/>
            <w:hideMark/>
          </w:tcPr>
          <w:p w14:paraId="27432D0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25.3b</w:t>
            </w:r>
          </w:p>
        </w:tc>
        <w:tc>
          <w:tcPr>
            <w:tcW w:w="1470" w:type="dxa"/>
            <w:tcBorders>
              <w:top w:val="single" w:sz="18" w:space="0" w:color="auto"/>
            </w:tcBorders>
            <w:noWrap/>
            <w:vAlign w:val="center"/>
            <w:hideMark/>
          </w:tcPr>
          <w:p w14:paraId="57237B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160.7b</w:t>
            </w:r>
          </w:p>
        </w:tc>
      </w:tr>
      <w:tr w:rsidR="00D211B0" w:rsidRPr="00D211B0" w14:paraId="7B39656F" w14:textId="77777777" w:rsidTr="00D211B0">
        <w:trPr>
          <w:trHeight w:val="352"/>
          <w:jc w:val="center"/>
        </w:trPr>
        <w:tc>
          <w:tcPr>
            <w:tcW w:w="2073" w:type="dxa"/>
            <w:vAlign w:val="center"/>
          </w:tcPr>
          <w:p w14:paraId="76EF4C5D"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₂</w:t>
            </w:r>
          </w:p>
        </w:tc>
        <w:tc>
          <w:tcPr>
            <w:tcW w:w="1440" w:type="dxa"/>
            <w:noWrap/>
            <w:vAlign w:val="center"/>
            <w:hideMark/>
          </w:tcPr>
          <w:p w14:paraId="55517C8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267.0a</w:t>
            </w:r>
          </w:p>
        </w:tc>
        <w:tc>
          <w:tcPr>
            <w:tcW w:w="1440" w:type="dxa"/>
            <w:noWrap/>
            <w:vAlign w:val="center"/>
            <w:hideMark/>
          </w:tcPr>
          <w:p w14:paraId="3224154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506.0bc</w:t>
            </w:r>
          </w:p>
        </w:tc>
        <w:tc>
          <w:tcPr>
            <w:tcW w:w="1530" w:type="dxa"/>
            <w:noWrap/>
            <w:vAlign w:val="center"/>
            <w:hideMark/>
          </w:tcPr>
          <w:p w14:paraId="2D51E9E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69.7a</w:t>
            </w:r>
          </w:p>
        </w:tc>
        <w:tc>
          <w:tcPr>
            <w:tcW w:w="1470" w:type="dxa"/>
            <w:noWrap/>
            <w:vAlign w:val="center"/>
            <w:hideMark/>
          </w:tcPr>
          <w:p w14:paraId="3A877F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243.3ab</w:t>
            </w:r>
          </w:p>
        </w:tc>
      </w:tr>
      <w:tr w:rsidR="00D211B0" w:rsidRPr="00D211B0" w14:paraId="5B59E12F" w14:textId="77777777" w:rsidTr="00D211B0">
        <w:trPr>
          <w:trHeight w:val="352"/>
          <w:jc w:val="center"/>
        </w:trPr>
        <w:tc>
          <w:tcPr>
            <w:tcW w:w="2073" w:type="dxa"/>
            <w:vAlign w:val="center"/>
          </w:tcPr>
          <w:p w14:paraId="63F55AD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₃</w:t>
            </w:r>
          </w:p>
        </w:tc>
        <w:tc>
          <w:tcPr>
            <w:tcW w:w="1440" w:type="dxa"/>
            <w:noWrap/>
            <w:vAlign w:val="center"/>
            <w:hideMark/>
          </w:tcPr>
          <w:p w14:paraId="56ABE71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280.0aa</w:t>
            </w:r>
          </w:p>
        </w:tc>
        <w:tc>
          <w:tcPr>
            <w:tcW w:w="1440" w:type="dxa"/>
            <w:noWrap/>
            <w:vAlign w:val="center"/>
            <w:hideMark/>
          </w:tcPr>
          <w:p w14:paraId="1BCE360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654.7ab</w:t>
            </w:r>
          </w:p>
        </w:tc>
        <w:tc>
          <w:tcPr>
            <w:tcW w:w="1530" w:type="dxa"/>
            <w:noWrap/>
            <w:vAlign w:val="center"/>
            <w:hideMark/>
          </w:tcPr>
          <w:p w14:paraId="50FB72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72.0a</w:t>
            </w:r>
          </w:p>
        </w:tc>
        <w:tc>
          <w:tcPr>
            <w:tcW w:w="1470" w:type="dxa"/>
            <w:noWrap/>
            <w:vAlign w:val="center"/>
            <w:hideMark/>
          </w:tcPr>
          <w:p w14:paraId="597793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273.7a</w:t>
            </w:r>
          </w:p>
        </w:tc>
      </w:tr>
      <w:tr w:rsidR="00D211B0" w:rsidRPr="00D211B0" w14:paraId="63CD74F6" w14:textId="77777777" w:rsidTr="00D211B0">
        <w:trPr>
          <w:trHeight w:val="352"/>
          <w:jc w:val="center"/>
        </w:trPr>
        <w:tc>
          <w:tcPr>
            <w:tcW w:w="2073" w:type="dxa"/>
            <w:vAlign w:val="center"/>
          </w:tcPr>
          <w:p w14:paraId="2220B279"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₄</w:t>
            </w:r>
          </w:p>
        </w:tc>
        <w:tc>
          <w:tcPr>
            <w:tcW w:w="1440" w:type="dxa"/>
            <w:noWrap/>
            <w:vAlign w:val="center"/>
            <w:hideMark/>
          </w:tcPr>
          <w:p w14:paraId="5B6BA31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287.7a</w:t>
            </w:r>
          </w:p>
        </w:tc>
        <w:tc>
          <w:tcPr>
            <w:tcW w:w="1440" w:type="dxa"/>
            <w:noWrap/>
            <w:vAlign w:val="center"/>
            <w:hideMark/>
          </w:tcPr>
          <w:p w14:paraId="4B5CD97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692.0ab</w:t>
            </w:r>
          </w:p>
        </w:tc>
        <w:tc>
          <w:tcPr>
            <w:tcW w:w="1530" w:type="dxa"/>
            <w:noWrap/>
            <w:vAlign w:val="center"/>
            <w:hideMark/>
          </w:tcPr>
          <w:p w14:paraId="440E71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75.3a</w:t>
            </w:r>
          </w:p>
        </w:tc>
        <w:tc>
          <w:tcPr>
            <w:tcW w:w="1470" w:type="dxa"/>
            <w:noWrap/>
            <w:vAlign w:val="center"/>
            <w:hideMark/>
          </w:tcPr>
          <w:p w14:paraId="79379148"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281.3a</w:t>
            </w:r>
          </w:p>
        </w:tc>
      </w:tr>
      <w:tr w:rsidR="00D211B0" w:rsidRPr="00D211B0" w14:paraId="02BF1817" w14:textId="77777777" w:rsidTr="00D211B0">
        <w:trPr>
          <w:trHeight w:val="352"/>
          <w:jc w:val="center"/>
        </w:trPr>
        <w:tc>
          <w:tcPr>
            <w:tcW w:w="2073" w:type="dxa"/>
            <w:vAlign w:val="center"/>
          </w:tcPr>
          <w:p w14:paraId="5C0CDA4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₅</w:t>
            </w:r>
          </w:p>
        </w:tc>
        <w:tc>
          <w:tcPr>
            <w:tcW w:w="1440" w:type="dxa"/>
            <w:noWrap/>
            <w:vAlign w:val="center"/>
            <w:hideMark/>
          </w:tcPr>
          <w:p w14:paraId="741FD37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325.7a</w:t>
            </w:r>
          </w:p>
        </w:tc>
        <w:tc>
          <w:tcPr>
            <w:tcW w:w="1440" w:type="dxa"/>
            <w:noWrap/>
            <w:vAlign w:val="center"/>
            <w:hideMark/>
          </w:tcPr>
          <w:p w14:paraId="0400D3CE"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773.7a</w:t>
            </w:r>
          </w:p>
        </w:tc>
        <w:tc>
          <w:tcPr>
            <w:tcW w:w="1530" w:type="dxa"/>
            <w:noWrap/>
            <w:vAlign w:val="center"/>
            <w:hideMark/>
          </w:tcPr>
          <w:p w14:paraId="2ECA29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86.0a</w:t>
            </w:r>
          </w:p>
        </w:tc>
        <w:tc>
          <w:tcPr>
            <w:tcW w:w="1470" w:type="dxa"/>
            <w:noWrap/>
            <w:vAlign w:val="center"/>
            <w:hideMark/>
          </w:tcPr>
          <w:p w14:paraId="1C9E5F6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333.0a</w:t>
            </w:r>
          </w:p>
        </w:tc>
      </w:tr>
      <w:tr w:rsidR="00D211B0" w:rsidRPr="00D211B0" w14:paraId="1D89AF04" w14:textId="77777777" w:rsidTr="00D211B0">
        <w:trPr>
          <w:trHeight w:val="352"/>
          <w:jc w:val="center"/>
        </w:trPr>
        <w:tc>
          <w:tcPr>
            <w:tcW w:w="2073" w:type="dxa"/>
            <w:vAlign w:val="center"/>
          </w:tcPr>
          <w:p w14:paraId="780BCEC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₆</w:t>
            </w:r>
          </w:p>
        </w:tc>
        <w:tc>
          <w:tcPr>
            <w:tcW w:w="1440" w:type="dxa"/>
            <w:noWrap/>
            <w:vAlign w:val="center"/>
            <w:hideMark/>
          </w:tcPr>
          <w:p w14:paraId="7808400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315.7a</w:t>
            </w:r>
          </w:p>
        </w:tc>
        <w:tc>
          <w:tcPr>
            <w:tcW w:w="1440" w:type="dxa"/>
            <w:noWrap/>
            <w:vAlign w:val="center"/>
            <w:hideMark/>
          </w:tcPr>
          <w:p w14:paraId="6F8DED1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764.0a</w:t>
            </w:r>
          </w:p>
        </w:tc>
        <w:tc>
          <w:tcPr>
            <w:tcW w:w="1530" w:type="dxa"/>
            <w:noWrap/>
            <w:vAlign w:val="center"/>
            <w:hideMark/>
          </w:tcPr>
          <w:p w14:paraId="32CD786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85.3a</w:t>
            </w:r>
          </w:p>
        </w:tc>
        <w:tc>
          <w:tcPr>
            <w:tcW w:w="1470" w:type="dxa"/>
            <w:noWrap/>
            <w:vAlign w:val="center"/>
            <w:hideMark/>
          </w:tcPr>
          <w:p w14:paraId="0F8FDF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310.7a</w:t>
            </w:r>
          </w:p>
        </w:tc>
      </w:tr>
      <w:tr w:rsidR="00D211B0" w:rsidRPr="00D211B0" w14:paraId="12F1120A" w14:textId="77777777" w:rsidTr="00D211B0">
        <w:trPr>
          <w:trHeight w:val="352"/>
          <w:jc w:val="center"/>
        </w:trPr>
        <w:tc>
          <w:tcPr>
            <w:tcW w:w="2073" w:type="dxa"/>
            <w:tcBorders>
              <w:bottom w:val="single" w:sz="18" w:space="0" w:color="auto"/>
            </w:tcBorders>
            <w:vAlign w:val="center"/>
          </w:tcPr>
          <w:p w14:paraId="460BE360"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₇</w:t>
            </w:r>
          </w:p>
        </w:tc>
        <w:tc>
          <w:tcPr>
            <w:tcW w:w="1440" w:type="dxa"/>
            <w:tcBorders>
              <w:bottom w:val="single" w:sz="18" w:space="0" w:color="auto"/>
            </w:tcBorders>
            <w:noWrap/>
            <w:vAlign w:val="center"/>
            <w:hideMark/>
          </w:tcPr>
          <w:p w14:paraId="511EB92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292.0a</w:t>
            </w:r>
          </w:p>
        </w:tc>
        <w:tc>
          <w:tcPr>
            <w:tcW w:w="1440" w:type="dxa"/>
            <w:tcBorders>
              <w:bottom w:val="single" w:sz="18" w:space="0" w:color="auto"/>
            </w:tcBorders>
            <w:noWrap/>
            <w:vAlign w:val="center"/>
            <w:hideMark/>
          </w:tcPr>
          <w:p w14:paraId="22B31BB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739.0a</w:t>
            </w:r>
          </w:p>
        </w:tc>
        <w:tc>
          <w:tcPr>
            <w:tcW w:w="1530" w:type="dxa"/>
            <w:tcBorders>
              <w:bottom w:val="single" w:sz="18" w:space="0" w:color="auto"/>
            </w:tcBorders>
            <w:noWrap/>
            <w:vAlign w:val="center"/>
            <w:hideMark/>
          </w:tcPr>
          <w:p w14:paraId="4C3AF493"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80.0a</w:t>
            </w:r>
          </w:p>
        </w:tc>
        <w:tc>
          <w:tcPr>
            <w:tcW w:w="1470" w:type="dxa"/>
            <w:tcBorders>
              <w:bottom w:val="single" w:sz="18" w:space="0" w:color="auto"/>
            </w:tcBorders>
            <w:noWrap/>
            <w:vAlign w:val="center"/>
            <w:hideMark/>
          </w:tcPr>
          <w:p w14:paraId="0CC594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291.3a</w:t>
            </w:r>
          </w:p>
        </w:tc>
      </w:tr>
      <w:tr w:rsidR="00D211B0" w:rsidRPr="00D211B0" w14:paraId="7A1E176A" w14:textId="77777777" w:rsidTr="00D211B0">
        <w:trPr>
          <w:trHeight w:val="352"/>
          <w:jc w:val="center"/>
        </w:trPr>
        <w:tc>
          <w:tcPr>
            <w:tcW w:w="2073" w:type="dxa"/>
            <w:tcBorders>
              <w:top w:val="single" w:sz="18" w:space="0" w:color="auto"/>
              <w:bottom w:val="single" w:sz="18" w:space="0" w:color="auto"/>
            </w:tcBorders>
            <w:vAlign w:val="center"/>
          </w:tcPr>
          <w:p w14:paraId="454DCD98" w14:textId="77777777" w:rsidR="00D211B0" w:rsidRPr="00D211B0" w:rsidRDefault="00D211B0" w:rsidP="00D211B0">
            <w:pPr>
              <w:pStyle w:val="NoSpacing"/>
              <w:spacing w:line="276" w:lineRule="auto"/>
              <w:jc w:val="center"/>
              <w:rPr>
                <w:rFonts w:ascii="Arial" w:hAnsi="Arial" w:cs="Arial"/>
                <w:b/>
              </w:rPr>
            </w:pPr>
            <w:proofErr w:type="spellStart"/>
            <w:r w:rsidRPr="00D211B0">
              <w:rPr>
                <w:rFonts w:ascii="Arial" w:eastAsia="Times New Roman" w:hAnsi="Arial" w:cs="Arial"/>
                <w:b/>
                <w:color w:val="000000"/>
              </w:rPr>
              <w:t>SEm</w:t>
            </w:r>
            <w:proofErr w:type="spellEnd"/>
            <w:r w:rsidRPr="00D211B0">
              <w:rPr>
                <w:rFonts w:ascii="Arial" w:eastAsia="Times New Roman" w:hAnsi="Arial" w:cs="Arial"/>
                <w:b/>
                <w:color w:val="000000"/>
              </w:rPr>
              <w:t>±</w:t>
            </w:r>
          </w:p>
        </w:tc>
        <w:tc>
          <w:tcPr>
            <w:tcW w:w="1440" w:type="dxa"/>
            <w:tcBorders>
              <w:top w:val="single" w:sz="18" w:space="0" w:color="auto"/>
              <w:bottom w:val="single" w:sz="18" w:space="0" w:color="auto"/>
            </w:tcBorders>
            <w:noWrap/>
            <w:vAlign w:val="center"/>
          </w:tcPr>
          <w:p w14:paraId="54D51064"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22.7</w:t>
            </w:r>
          </w:p>
        </w:tc>
        <w:tc>
          <w:tcPr>
            <w:tcW w:w="1440" w:type="dxa"/>
            <w:tcBorders>
              <w:top w:val="single" w:sz="18" w:space="0" w:color="auto"/>
              <w:bottom w:val="single" w:sz="18" w:space="0" w:color="auto"/>
            </w:tcBorders>
            <w:noWrap/>
            <w:vAlign w:val="center"/>
          </w:tcPr>
          <w:p w14:paraId="0CE2B3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68.5</w:t>
            </w:r>
          </w:p>
        </w:tc>
        <w:tc>
          <w:tcPr>
            <w:tcW w:w="1530" w:type="dxa"/>
            <w:tcBorders>
              <w:top w:val="single" w:sz="18" w:space="0" w:color="auto"/>
              <w:bottom w:val="single" w:sz="18" w:space="0" w:color="auto"/>
            </w:tcBorders>
            <w:noWrap/>
            <w:vAlign w:val="center"/>
          </w:tcPr>
          <w:p w14:paraId="7018B9C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30.4</w:t>
            </w:r>
          </w:p>
        </w:tc>
        <w:tc>
          <w:tcPr>
            <w:tcW w:w="1470" w:type="dxa"/>
            <w:tcBorders>
              <w:top w:val="single" w:sz="18" w:space="0" w:color="auto"/>
              <w:bottom w:val="single" w:sz="18" w:space="0" w:color="auto"/>
            </w:tcBorders>
            <w:noWrap/>
            <w:vAlign w:val="center"/>
          </w:tcPr>
          <w:p w14:paraId="7F9B0BBC"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95.36</w:t>
            </w:r>
          </w:p>
        </w:tc>
      </w:tr>
      <w:tr w:rsidR="00D211B0" w:rsidRPr="00D211B0" w14:paraId="2FF0C4FB" w14:textId="77777777" w:rsidTr="00D211B0">
        <w:trPr>
          <w:trHeight w:val="352"/>
          <w:jc w:val="center"/>
        </w:trPr>
        <w:tc>
          <w:tcPr>
            <w:tcW w:w="2073" w:type="dxa"/>
            <w:tcBorders>
              <w:top w:val="single" w:sz="18" w:space="0" w:color="auto"/>
              <w:bottom w:val="single" w:sz="18" w:space="0" w:color="auto"/>
            </w:tcBorders>
            <w:vAlign w:val="center"/>
          </w:tcPr>
          <w:p w14:paraId="6F7541E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CD (0.05)</w:t>
            </w:r>
          </w:p>
        </w:tc>
        <w:tc>
          <w:tcPr>
            <w:tcW w:w="1440" w:type="dxa"/>
            <w:tcBorders>
              <w:top w:val="single" w:sz="18" w:space="0" w:color="auto"/>
              <w:bottom w:val="single" w:sz="18" w:space="0" w:color="auto"/>
            </w:tcBorders>
            <w:noWrap/>
            <w:vAlign w:val="center"/>
          </w:tcPr>
          <w:p w14:paraId="006E39A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70.0</w:t>
            </w:r>
          </w:p>
        </w:tc>
        <w:tc>
          <w:tcPr>
            <w:tcW w:w="1440" w:type="dxa"/>
            <w:tcBorders>
              <w:top w:val="single" w:sz="18" w:space="0" w:color="auto"/>
              <w:bottom w:val="single" w:sz="18" w:space="0" w:color="auto"/>
            </w:tcBorders>
            <w:noWrap/>
            <w:vAlign w:val="center"/>
          </w:tcPr>
          <w:p w14:paraId="1FA5689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211.1</w:t>
            </w:r>
          </w:p>
        </w:tc>
        <w:tc>
          <w:tcPr>
            <w:tcW w:w="1530" w:type="dxa"/>
            <w:tcBorders>
              <w:top w:val="single" w:sz="18" w:space="0" w:color="auto"/>
              <w:bottom w:val="single" w:sz="18" w:space="0" w:color="auto"/>
            </w:tcBorders>
            <w:noWrap/>
            <w:vAlign w:val="center"/>
          </w:tcPr>
          <w:p w14:paraId="27AA754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w:t>
            </w:r>
          </w:p>
        </w:tc>
        <w:tc>
          <w:tcPr>
            <w:tcW w:w="1470" w:type="dxa"/>
            <w:tcBorders>
              <w:top w:val="single" w:sz="18" w:space="0" w:color="auto"/>
              <w:bottom w:val="single" w:sz="18" w:space="0" w:color="auto"/>
            </w:tcBorders>
            <w:noWrap/>
            <w:vAlign w:val="center"/>
          </w:tcPr>
          <w:p w14:paraId="5161CC8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49.2</w:t>
            </w:r>
          </w:p>
        </w:tc>
      </w:tr>
    </w:tbl>
    <w:p w14:paraId="42C19020" w14:textId="77777777" w:rsidR="00B01144" w:rsidRPr="00F42D7D" w:rsidRDefault="00B01144" w:rsidP="00B01144">
      <w:pPr>
        <w:spacing w:before="240" w:after="120" w:line="360" w:lineRule="auto"/>
        <w:jc w:val="both"/>
        <w:rPr>
          <w:rFonts w:ascii="Arial" w:hAnsi="Arial" w:cs="Arial"/>
          <w:b/>
          <w:sz w:val="24"/>
          <w:szCs w:val="24"/>
        </w:rPr>
      </w:pPr>
      <w:r>
        <w:rPr>
          <w:rFonts w:ascii="Arial" w:hAnsi="Arial" w:cs="Arial"/>
          <w:b/>
          <w:sz w:val="24"/>
          <w:szCs w:val="24"/>
        </w:rPr>
        <w:t>3.</w:t>
      </w:r>
      <w:r w:rsidRPr="00F42D7D">
        <w:rPr>
          <w:rFonts w:ascii="Arial" w:hAnsi="Arial" w:cs="Arial"/>
          <w:b/>
          <w:sz w:val="24"/>
          <w:szCs w:val="24"/>
        </w:rPr>
        <w:t>1.4 Plant dry weight</w:t>
      </w:r>
    </w:p>
    <w:p w14:paraId="16C2E548" w14:textId="77777777" w:rsidR="00F8444D" w:rsidRPr="00B01144" w:rsidRDefault="00B01144" w:rsidP="00B01144">
      <w:pPr>
        <w:spacing w:after="120" w:line="360" w:lineRule="auto"/>
        <w:ind w:firstLine="720"/>
        <w:jc w:val="both"/>
        <w:rPr>
          <w:rFonts w:ascii="Arial" w:hAnsi="Arial" w:cs="Arial"/>
          <w:b/>
          <w:sz w:val="28"/>
          <w:szCs w:val="24"/>
        </w:rPr>
      </w:pPr>
      <w:r w:rsidRPr="00650190">
        <w:rPr>
          <w:rFonts w:ascii="Arial" w:hAnsi="Arial" w:cs="Arial"/>
          <w:sz w:val="24"/>
        </w:rPr>
        <w:t>Application of 80% RDN through urea + 20% through FYM (T</w:t>
      </w:r>
      <w:r w:rsidRPr="00650190">
        <w:rPr>
          <w:rFonts w:ascii="Cambria Math" w:hAnsi="Cambria Math" w:cs="Cambria Math"/>
          <w:sz w:val="24"/>
        </w:rPr>
        <w:t>₅</w:t>
      </w:r>
      <w:r w:rsidRPr="00650190">
        <w:rPr>
          <w:rFonts w:ascii="Arial" w:hAnsi="Arial" w:cs="Arial"/>
          <w:sz w:val="24"/>
        </w:rPr>
        <w:t xml:space="preserve">) resulted in the highest dry matter accumulation at all growth stages, which may be ascribed to the combined effect of readily available nitrogen from urea in the early phase and the prolonged nutrient release from FYM during later stages. The superiority of </w:t>
      </w:r>
      <w:r>
        <w:rPr>
          <w:rFonts w:ascii="Arial" w:hAnsi="Arial" w:cs="Arial"/>
          <w:sz w:val="24"/>
        </w:rPr>
        <w:t>80% RDN through urea + 20% RDN through FYM (</w:t>
      </w:r>
      <w:r w:rsidRPr="00650190">
        <w:rPr>
          <w:rFonts w:ascii="Arial" w:hAnsi="Arial" w:cs="Arial"/>
          <w:sz w:val="24"/>
        </w:rPr>
        <w:t>T</w:t>
      </w:r>
      <w:r w:rsidRPr="00650190">
        <w:rPr>
          <w:rFonts w:ascii="Cambria Math" w:hAnsi="Cambria Math" w:cs="Cambria Math"/>
          <w:sz w:val="24"/>
        </w:rPr>
        <w:t>₅</w:t>
      </w:r>
      <w:r>
        <w:rPr>
          <w:rFonts w:ascii="Cambria Math" w:hAnsi="Cambria Math" w:cs="Cambria Math"/>
          <w:sz w:val="24"/>
        </w:rPr>
        <w:t>)</w:t>
      </w:r>
      <w:r w:rsidRPr="00650190">
        <w:rPr>
          <w:rFonts w:ascii="Arial" w:hAnsi="Arial" w:cs="Arial"/>
          <w:sz w:val="24"/>
        </w:rPr>
        <w:t xml:space="preserve"> was further supported by its maximum plant height, number of leaves, and leaf area, which collectively </w:t>
      </w:r>
      <w:r w:rsidRPr="00650190">
        <w:rPr>
          <w:rFonts w:ascii="Arial" w:hAnsi="Arial" w:cs="Arial"/>
          <w:sz w:val="24"/>
        </w:rPr>
        <w:lastRenderedPageBreak/>
        <w:t xml:space="preserve">contributed to greater photosynthate production and translocation into structural and storage tissues, thereby enhancing biomass accumulation. Similar findings were </w:t>
      </w:r>
      <w:r w:rsidRPr="00D211B0">
        <w:rPr>
          <w:rFonts w:ascii="Arial" w:hAnsi="Arial" w:cs="Arial"/>
          <w:sz w:val="24"/>
        </w:rPr>
        <w:t xml:space="preserve">reported by </w:t>
      </w:r>
      <w:r w:rsidRPr="00D211B0">
        <w:rPr>
          <w:rFonts w:ascii="Arial" w:hAnsi="Arial" w:cs="Arial"/>
          <w:sz w:val="24"/>
        </w:rPr>
        <w:fldChar w:fldCharType="begin" w:fldLock="1"/>
      </w:r>
      <w:r>
        <w:rPr>
          <w:rFonts w:ascii="Arial" w:hAnsi="Arial" w:cs="Arial"/>
          <w:sz w:val="24"/>
        </w:rPr>
        <w:instrText>ADDIN CSL_CITATION {"citationItems":[{"id":"ITEM-1","itemData":{"DOI":"10.33545/2618060X.2025.v8.i5e.2922","ISSN":"2618060X","author":[{"dropping-particle":"","family":"Kumar","given":"Ankur","non-dropping-particle":"","parse-names":false,"suffix":""},{"dropping-particle":"","family":"Kumar","given":"Manoj.","non-dropping-particle":"","parse-names":false,"suffix":""}],"container-title":"International Journal of Research in Agronomy","id":"ITEM-1","issue":"5","issued":{"date-parts":[["2025","5","1"]]},"page":"375-382","title":"Effects of integrated nutrient management on wheat growth and yield under late-sown conditions","type":"article-journal","volume":"8"},"uris":["http://www.mendeley.com/documents/?uuid=95a872af-af70-4da3-ad62-27cb29f0bdd8"]}],"mendeley":{"formattedCitation":"(Kumar &amp; Kumar, 2025)","manualFormatting":"Kumar &amp; Kumar, (2025)","plainTextFormattedCitation":"(Kumar &amp; Kumar, 2025)","previouslyFormattedCitation":"(Kumar &amp; Kumar, 2025)"},"properties":{"noteIndex":0},"schema":"https://github.com/citation-style-language/schema/raw/master/csl-citation.json"}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Kumar &amp; Kumar, (2025)</w:t>
      </w:r>
      <w:r w:rsidRPr="00D211B0">
        <w:rPr>
          <w:rFonts w:ascii="Arial" w:hAnsi="Arial" w:cs="Arial"/>
          <w:sz w:val="24"/>
        </w:rPr>
        <w:fldChar w:fldCharType="end"/>
      </w:r>
      <w:r w:rsidRPr="00D211B0">
        <w:rPr>
          <w:rFonts w:ascii="Arial" w:hAnsi="Arial" w:cs="Arial"/>
          <w:sz w:val="24"/>
        </w:rPr>
        <w:t xml:space="preserve">,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ingh","given":"","non-dropping-particle":"","parse-names":false,"suffix":""},{"dropping-particle":"","family":"R.","given":"","non-dropping-particle":"","parse-names":false,"suffix":""},{"dropping-particle":"","family":"Singh","given":"","non-dropping-particle":"","parse-names":false,"suffix":""},{"dropping-particle":"","family":"V.","given":"","non-dropping-particle":"","parse-names":false,"suffix":""}],"container-title":"International Journal of Agricultural Sciences","id":"ITEM-1","issued":{"date-parts":[["2016"]]},"page":"856–860","title":"Effect of farmyard manure and inorganic fertilizers on growth, dry matter accumulation and yield of wheat (Triticum aestivum L.)","type":"article-journal","volume":"8(5)"},"uris":["http://www.mendeley.com/documents/?uuid=7a5cea7c-2b12-4a8f-b2f8-7eff416662b4"]}],"mendeley":{"formattedCitation":"(Singh et al., 2016)","manualFormatting":"Singh et al., (2016)","plainTextFormattedCitation":"(Singh et al., 2016)","previouslyFormattedCitation":"(Singh et al., 2016)"},"properties":{"noteIndex":0},"schema":"https://github.com/citation-style-language/schema/raw/master/csl-citation.json"}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Singh et al., (2016)</w:t>
      </w:r>
      <w:r w:rsidRPr="00D211B0">
        <w:rPr>
          <w:rFonts w:ascii="Arial" w:hAnsi="Arial" w:cs="Arial"/>
          <w:sz w:val="24"/>
        </w:rPr>
        <w:fldChar w:fldCharType="end"/>
      </w:r>
      <w:r w:rsidRPr="00D211B0">
        <w:rPr>
          <w:rFonts w:ascii="Arial" w:hAnsi="Arial" w:cs="Arial"/>
          <w:sz w:val="24"/>
        </w:rPr>
        <w:t xml:space="preserve">, and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2024)","manualFormatting":"Sharma et al., (2024)","plainTextFormattedCitation":"(Sharma et al., 2024)","previouslyFormattedCitation":"(Sharma et al., 2024)"},"properties":{"noteIndex":0},"schema":"https://github.com/citation-style-language/schema/raw/master/csl-citation.json"}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 xml:space="preserve">Sharma </w:t>
      </w:r>
      <w:r w:rsidRPr="0057438D">
        <w:rPr>
          <w:rFonts w:ascii="Arial" w:hAnsi="Arial" w:cs="Arial"/>
          <w:i/>
          <w:noProof/>
          <w:sz w:val="24"/>
        </w:rPr>
        <w:t>et al</w:t>
      </w:r>
      <w:r w:rsidRPr="00D211B0">
        <w:rPr>
          <w:rFonts w:ascii="Arial" w:hAnsi="Arial" w:cs="Arial"/>
          <w:noProof/>
          <w:sz w:val="24"/>
        </w:rPr>
        <w:t>., (2024)</w:t>
      </w:r>
      <w:r w:rsidRPr="00D211B0">
        <w:rPr>
          <w:rFonts w:ascii="Arial" w:hAnsi="Arial" w:cs="Arial"/>
          <w:sz w:val="24"/>
        </w:rPr>
        <w:fldChar w:fldCharType="end"/>
      </w:r>
      <w:r w:rsidRPr="00D211B0">
        <w:rPr>
          <w:rFonts w:ascii="Arial" w:hAnsi="Arial" w:cs="Arial"/>
          <w:sz w:val="24"/>
        </w:rPr>
        <w:t>,</w:t>
      </w:r>
      <w:r w:rsidRPr="00650190">
        <w:rPr>
          <w:rFonts w:ascii="Arial" w:hAnsi="Arial" w:cs="Arial"/>
          <w:sz w:val="24"/>
        </w:rPr>
        <w:t xml:space="preserve"> who observed higher dry matter production under integrated nutrient management due to improved soil aeration, microbial activity, nutrient availability, and sustained crop growth compared to sole RDF application.</w:t>
      </w:r>
    </w:p>
    <w:p w14:paraId="4DE2C3D6" w14:textId="77777777" w:rsidR="00A74F9B" w:rsidRDefault="00F8444D" w:rsidP="00B01144">
      <w:pPr>
        <w:spacing w:after="0"/>
        <w:ind w:left="180" w:hanging="180"/>
        <w:jc w:val="center"/>
        <w:rPr>
          <w:rFonts w:ascii="Arial" w:eastAsia="Arial Unicode MS" w:hAnsi="Arial" w:cs="Arial"/>
          <w:b/>
          <w:color w:val="000000" w:themeColor="text1"/>
          <w:lang w:val="en-IN"/>
        </w:rPr>
      </w:pPr>
      <w:r>
        <w:rPr>
          <w:noProof/>
        </w:rPr>
        <w:drawing>
          <wp:inline distT="0" distB="0" distL="0" distR="0" wp14:anchorId="3247CC07" wp14:editId="076AE696">
            <wp:extent cx="5339751" cy="3200400"/>
            <wp:effectExtent l="19050" t="19050" r="1333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7FC9ED" w14:textId="77777777" w:rsidR="002A5F0B" w:rsidRDefault="002A5F0B" w:rsidP="002A5F0B">
      <w:pPr>
        <w:spacing w:after="0"/>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 xml:space="preserve">Figure 1 </w:t>
      </w:r>
      <w:r w:rsidRPr="00CF73FF">
        <w:rPr>
          <w:rFonts w:ascii="Arial" w:eastAsia="Arial Unicode MS" w:hAnsi="Arial" w:cs="Arial"/>
          <w:b/>
          <w:color w:val="000000" w:themeColor="text1"/>
          <w:lang w:val="en-IN"/>
        </w:rPr>
        <w:t xml:space="preserve">Plant height and No. of leaves as </w:t>
      </w:r>
      <w:r>
        <w:rPr>
          <w:rFonts w:ascii="Arial" w:eastAsia="Arial Unicode MS" w:hAnsi="Arial" w:cs="Arial"/>
          <w:b/>
          <w:color w:val="000000" w:themeColor="text1"/>
          <w:lang w:val="en-IN"/>
        </w:rPr>
        <w:t xml:space="preserve">integrated nitrogen management </w:t>
      </w:r>
    </w:p>
    <w:p w14:paraId="34725321" w14:textId="77777777" w:rsidR="002A5F0B" w:rsidRDefault="002A5F0B" w:rsidP="00A74F9B">
      <w:pPr>
        <w:spacing w:after="0"/>
        <w:ind w:left="180" w:hanging="180"/>
        <w:jc w:val="both"/>
        <w:rPr>
          <w:rFonts w:ascii="Arial" w:eastAsia="Arial Unicode MS" w:hAnsi="Arial" w:cs="Arial"/>
          <w:b/>
          <w:color w:val="000000" w:themeColor="text1"/>
          <w:lang w:val="en-IN"/>
        </w:rPr>
      </w:pPr>
    </w:p>
    <w:p w14:paraId="20EBDE26" w14:textId="77777777" w:rsidR="00A74F9B" w:rsidRDefault="00A74F9B" w:rsidP="00F42D7D">
      <w:pPr>
        <w:spacing w:after="0"/>
        <w:ind w:left="180" w:hanging="180"/>
        <w:jc w:val="center"/>
        <w:rPr>
          <w:rFonts w:ascii="Times New Roman" w:hAnsi="Times New Roman" w:cs="Times New Roman"/>
          <w:b/>
          <w:noProof/>
          <w:sz w:val="24"/>
        </w:rPr>
      </w:pPr>
      <w:r>
        <w:rPr>
          <w:noProof/>
        </w:rPr>
        <w:drawing>
          <wp:inline distT="0" distB="0" distL="0" distR="0" wp14:anchorId="2B1CCB41" wp14:editId="0AAE5063">
            <wp:extent cx="5382883" cy="3183147"/>
            <wp:effectExtent l="19050" t="19050" r="279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B62462" w14:textId="77777777" w:rsidR="00A30502" w:rsidRPr="002A5F0B" w:rsidRDefault="00F42D7D" w:rsidP="002A5F0B">
      <w:pPr>
        <w:spacing w:after="0"/>
        <w:rPr>
          <w:rFonts w:ascii="Times New Roman" w:hAnsi="Times New Roman" w:cs="Times New Roman"/>
          <w:b/>
          <w:noProof/>
          <w:sz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2</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Plant fresh and dry weights</w:t>
      </w:r>
      <w:r w:rsidRPr="00CF73FF">
        <w:rPr>
          <w:rFonts w:ascii="Arial" w:eastAsia="Arial Unicode MS" w:hAnsi="Arial" w:cs="Arial"/>
          <w:b/>
          <w:color w:val="000000" w:themeColor="text1"/>
          <w:lang w:val="en-IN"/>
        </w:rPr>
        <w:t xml:space="preserve"> as</w:t>
      </w:r>
      <w:r>
        <w:rPr>
          <w:rFonts w:ascii="Arial" w:eastAsia="Arial Unicode MS" w:hAnsi="Arial" w:cs="Arial"/>
          <w:b/>
          <w:color w:val="000000" w:themeColor="text1"/>
          <w:lang w:val="en-IN"/>
        </w:rPr>
        <w:t xml:space="preserve"> integrated nitrogen management</w:t>
      </w:r>
    </w:p>
    <w:p w14:paraId="4D9E8F81" w14:textId="77777777" w:rsidR="0054336D" w:rsidRPr="00F42D7D" w:rsidRDefault="00B25A3F" w:rsidP="002A5F0B">
      <w:pPr>
        <w:spacing w:before="240" w:after="120"/>
        <w:jc w:val="both"/>
        <w:rPr>
          <w:rFonts w:ascii="Arial" w:hAnsi="Arial" w:cs="Arial"/>
          <w:b/>
          <w:noProof/>
          <w:sz w:val="24"/>
        </w:rPr>
      </w:pPr>
      <w:r w:rsidRPr="00F42D7D">
        <w:rPr>
          <w:rFonts w:ascii="Arial" w:hAnsi="Arial" w:cs="Arial"/>
          <w:b/>
          <w:noProof/>
          <w:sz w:val="24"/>
        </w:rPr>
        <w:lastRenderedPageBreak/>
        <w:t>3.2 Yield attributes</w:t>
      </w:r>
    </w:p>
    <w:p w14:paraId="56F421C7" w14:textId="77777777" w:rsidR="00B25A3F" w:rsidRPr="00F42D7D" w:rsidRDefault="00B45514" w:rsidP="00F42D7D">
      <w:pPr>
        <w:pStyle w:val="BodyText"/>
        <w:spacing w:after="120" w:line="360" w:lineRule="auto"/>
        <w:jc w:val="both"/>
        <w:rPr>
          <w:rFonts w:ascii="Arial" w:hAnsi="Arial" w:cs="Arial"/>
          <w:b/>
          <w:sz w:val="24"/>
          <w:szCs w:val="24"/>
        </w:rPr>
      </w:pPr>
      <w:r>
        <w:rPr>
          <w:rFonts w:ascii="Arial" w:hAnsi="Arial" w:cs="Arial"/>
          <w:b/>
          <w:sz w:val="24"/>
          <w:szCs w:val="24"/>
        </w:rPr>
        <w:t>3.2.1</w:t>
      </w:r>
      <w:r w:rsidR="00B25A3F" w:rsidRPr="00F42D7D">
        <w:rPr>
          <w:rFonts w:ascii="Arial" w:hAnsi="Arial" w:cs="Arial"/>
          <w:b/>
          <w:sz w:val="24"/>
          <w:szCs w:val="24"/>
        </w:rPr>
        <w:t xml:space="preserve"> Number of filled grain</w:t>
      </w:r>
    </w:p>
    <w:p w14:paraId="6EC0A7EE" w14:textId="77777777" w:rsidR="00B25A3F" w:rsidRPr="00650190" w:rsidRDefault="00B25A3F" w:rsidP="00F42D7D">
      <w:pPr>
        <w:pStyle w:val="BodyText"/>
        <w:spacing w:after="120" w:line="360" w:lineRule="auto"/>
        <w:jc w:val="both"/>
        <w:rPr>
          <w:rFonts w:ascii="Arial" w:hAnsi="Arial" w:cs="Arial"/>
          <w:sz w:val="28"/>
          <w:szCs w:val="24"/>
        </w:rPr>
      </w:pPr>
      <w:r w:rsidRPr="00F42D7D">
        <w:rPr>
          <w:rFonts w:ascii="Arial" w:hAnsi="Arial" w:cs="Arial"/>
          <w:b/>
          <w:sz w:val="24"/>
          <w:szCs w:val="24"/>
        </w:rPr>
        <w:tab/>
      </w:r>
      <w:r w:rsidR="00650190" w:rsidRPr="00650190">
        <w:rPr>
          <w:rFonts w:ascii="Arial" w:hAnsi="Arial" w:cs="Arial"/>
          <w:sz w:val="24"/>
        </w:rPr>
        <w:t>The maximum number of filled grains per spike was recorded under 80% RDN through urea + 20% FYM (T</w:t>
      </w:r>
      <w:r w:rsidR="00650190" w:rsidRPr="00650190">
        <w:rPr>
          <w:rFonts w:ascii="Cambria Math" w:hAnsi="Cambria Math" w:cs="Cambria Math"/>
          <w:sz w:val="24"/>
        </w:rPr>
        <w:t>₅</w:t>
      </w:r>
      <w:r w:rsidR="00650190" w:rsidRPr="00650190">
        <w:rPr>
          <w:rFonts w:ascii="Arial" w:hAnsi="Arial" w:cs="Arial"/>
          <w:sz w:val="24"/>
        </w:rPr>
        <w:t xml:space="preserve">), which was at </w:t>
      </w:r>
      <w:r w:rsidR="00430523" w:rsidRPr="00650190">
        <w:rPr>
          <w:rFonts w:ascii="Arial" w:hAnsi="Arial" w:cs="Arial"/>
          <w:sz w:val="24"/>
        </w:rPr>
        <w:t>par,</w:t>
      </w:r>
      <w:r w:rsidR="00650190" w:rsidRPr="00650190">
        <w:rPr>
          <w:rFonts w:ascii="Arial" w:hAnsi="Arial" w:cs="Arial"/>
          <w:sz w:val="24"/>
        </w:rPr>
        <w:t xml:space="preserve"> with all treatments except control (T</w:t>
      </w:r>
      <w:r w:rsidR="00650190" w:rsidRPr="00650190">
        <w:rPr>
          <w:rFonts w:ascii="Cambria Math" w:hAnsi="Cambria Math" w:cs="Cambria Math"/>
          <w:sz w:val="24"/>
        </w:rPr>
        <w:t>₁</w:t>
      </w:r>
      <w:r w:rsidR="00650190" w:rsidRPr="00650190">
        <w:rPr>
          <w:rFonts w:ascii="Arial" w:hAnsi="Arial" w:cs="Arial"/>
          <w:sz w:val="24"/>
        </w:rPr>
        <w:t xml:space="preserve">). The superiority of </w:t>
      </w:r>
      <w:r w:rsidR="00430523">
        <w:rPr>
          <w:rFonts w:ascii="Arial" w:hAnsi="Arial" w:cs="Arial"/>
          <w:sz w:val="24"/>
        </w:rPr>
        <w:t>80% RDN through urea + 20% RDN through FYM (</w:t>
      </w:r>
      <w:r w:rsidR="00650190" w:rsidRPr="00650190">
        <w:rPr>
          <w:rFonts w:ascii="Arial" w:hAnsi="Arial" w:cs="Arial"/>
          <w:sz w:val="24"/>
        </w:rPr>
        <w:t>T</w:t>
      </w:r>
      <w:r w:rsidR="00650190" w:rsidRPr="00650190">
        <w:rPr>
          <w:rFonts w:ascii="Cambria Math" w:hAnsi="Cambria Math" w:cs="Cambria Math"/>
          <w:sz w:val="24"/>
        </w:rPr>
        <w:t>₅</w:t>
      </w:r>
      <w:r w:rsidR="00430523">
        <w:rPr>
          <w:rFonts w:ascii="Cambria Math" w:hAnsi="Cambria Math" w:cs="Cambria Math"/>
          <w:sz w:val="24"/>
        </w:rPr>
        <w:t>)</w:t>
      </w:r>
      <w:r w:rsidR="00650190" w:rsidRPr="00650190">
        <w:rPr>
          <w:rFonts w:ascii="Arial" w:hAnsi="Arial" w:cs="Arial"/>
          <w:sz w:val="24"/>
        </w:rPr>
        <w:t xml:space="preserve"> may be ascribed to the continuous nitrogen supply from urea and FYM, which enhanced photosynthesis, efficient assimilate </w:t>
      </w:r>
      <w:r w:rsidR="005970FA" w:rsidRPr="00650190">
        <w:rPr>
          <w:rFonts w:ascii="Arial" w:hAnsi="Arial" w:cs="Arial"/>
          <w:sz w:val="24"/>
        </w:rPr>
        <w:t>translocation</w:t>
      </w:r>
      <w:r w:rsidR="00650190" w:rsidRPr="00650190">
        <w:rPr>
          <w:rFonts w:ascii="Arial" w:hAnsi="Arial" w:cs="Arial"/>
          <w:sz w:val="24"/>
        </w:rPr>
        <w:t xml:space="preserve"> and nutrient uptake during grain filling, while organic matter from FYM further improved microbial activity and soil fertility. Similar results were reported by </w:t>
      </w:r>
      <w:r w:rsidR="005970FA">
        <w:rPr>
          <w:rFonts w:ascii="Arial" w:hAnsi="Arial" w:cs="Arial"/>
          <w:sz w:val="24"/>
        </w:rPr>
        <w:fldChar w:fldCharType="begin" w:fldLock="1"/>
      </w:r>
      <w:r w:rsidR="00C97D6A">
        <w:rPr>
          <w:rFonts w:ascii="Arial" w:hAnsi="Arial" w:cs="Arial"/>
          <w:sz w:val="24"/>
        </w:rPr>
        <w:instrText>ADDIN CSL_CITATION {"citationItems":[{"id":"ITEM-1","itemData":{"DOI":"10.47856/ijaast.2021.v08i1.014","ISSN":"23481358","author":[{"dropping-particle":"","family":"Fazily","given":"Tamim","non-dropping-particle":"","parse-names":false,"suffix":""}],"container-title":"International Journal of Advances in Agricultural Science and Technology","id":"ITEM-1","issue":"1","issued":{"date-parts":[["2021","1","30"]]},"page":"106-118","title":"Effect of integrated nutrient management on growth, yield attributes and yield of wheat","type":"article-journal","volume":"8"},"uris":["http://www.mendeley.com/documents/?uuid=4900e30b-0a0b-47e2-b4ea-86071b7c5ca5"]}],"mendeley":{"formattedCitation":"(Fazily, 2021)","plainTextFormattedCitation":"(Fazily, 2021)","previouslyFormattedCitation":"(Fazily, 2021)"},"properties":{"noteIndex":0},"schema":"https://github.com/citation-style-language/schema/raw/master/csl-citation.json"}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(Fazily, 2021)</w:t>
      </w:r>
      <w:r w:rsidR="005970FA">
        <w:rPr>
          <w:rFonts w:ascii="Arial" w:hAnsi="Arial" w:cs="Arial"/>
          <w:sz w:val="24"/>
        </w:rPr>
        <w:fldChar w:fldCharType="end"/>
      </w:r>
      <w:r w:rsidR="00650190" w:rsidRPr="00650190">
        <w:rPr>
          <w:rFonts w:ascii="Arial" w:hAnsi="Arial" w:cs="Arial"/>
          <w:sz w:val="24"/>
        </w:rPr>
        <w:t>, who observed significantly higher filled grains under RDF + FYM and 150% RDF + FYM treatments due to improved nutrient supply, spike fertility, photosynthetic activity, and carbohydrate accumulation in developing grains.</w:t>
      </w:r>
    </w:p>
    <w:p w14:paraId="6FF75117" w14:textId="3E141327" w:rsidR="008638D2" w:rsidRPr="00E85980" w:rsidRDefault="001C767D" w:rsidP="00E85980">
      <w:pPr>
        <w:spacing w:after="0" w:line="360" w:lineRule="auto"/>
        <w:rPr>
          <w:rFonts w:ascii="Arial" w:eastAsia="Arial Unicode MS" w:hAnsi="Arial" w:cs="Arial"/>
          <w:b/>
          <w:color w:val="000000" w:themeColor="text1"/>
          <w:szCs w:val="24"/>
        </w:rPr>
      </w:pPr>
      <w:r>
        <w:rPr>
          <w:rFonts w:ascii="Arial" w:eastAsia="Arial Unicode MS" w:hAnsi="Arial" w:cs="Arial"/>
          <w:b/>
          <w:color w:val="000000" w:themeColor="text1"/>
          <w:szCs w:val="24"/>
        </w:rPr>
        <w:t xml:space="preserve">Table </w:t>
      </w:r>
      <w:r w:rsidR="0071043C">
        <w:rPr>
          <w:rFonts w:ascii="Arial" w:eastAsia="Arial Unicode MS" w:hAnsi="Arial" w:cs="Arial"/>
          <w:b/>
          <w:color w:val="000000" w:themeColor="text1"/>
          <w:szCs w:val="24"/>
        </w:rPr>
        <w:t>3</w:t>
      </w:r>
      <w:r w:rsidR="00E85980" w:rsidRPr="00AE4765">
        <w:rPr>
          <w:rFonts w:ascii="Arial" w:eastAsia="Arial Unicode MS" w:hAnsi="Arial" w:cs="Arial"/>
          <w:b/>
          <w:color w:val="000000" w:themeColor="text1"/>
          <w:szCs w:val="24"/>
        </w:rPr>
        <w:t xml:space="preserve"> Effect of </w:t>
      </w:r>
      <w:r w:rsidR="00E85980">
        <w:rPr>
          <w:rFonts w:ascii="Arial" w:eastAsia="Arial Unicode MS" w:hAnsi="Arial" w:cs="Arial"/>
          <w:b/>
          <w:color w:val="000000" w:themeColor="text1"/>
          <w:szCs w:val="24"/>
        </w:rPr>
        <w:t>integrated nitrogen management on plant yield attributes</w:t>
      </w:r>
    </w:p>
    <w:tbl>
      <w:tblPr>
        <w:tblW w:w="8863" w:type="dxa"/>
        <w:jc w:val="center"/>
        <w:tblLook w:val="04A0" w:firstRow="1" w:lastRow="0" w:firstColumn="1" w:lastColumn="0" w:noHBand="0" w:noVBand="1"/>
      </w:tblPr>
      <w:tblGrid>
        <w:gridCol w:w="1680"/>
        <w:gridCol w:w="2918"/>
        <w:gridCol w:w="2156"/>
        <w:gridCol w:w="2109"/>
      </w:tblGrid>
      <w:tr w:rsidR="008638D2" w:rsidRPr="00E85980" w14:paraId="4A4192ED" w14:textId="77777777" w:rsidTr="0057438D">
        <w:trPr>
          <w:trHeight w:val="51"/>
          <w:jc w:val="center"/>
        </w:trPr>
        <w:tc>
          <w:tcPr>
            <w:tcW w:w="1680" w:type="dxa"/>
            <w:tcBorders>
              <w:top w:val="single" w:sz="18" w:space="0" w:color="auto"/>
              <w:bottom w:val="single" w:sz="18" w:space="0" w:color="auto"/>
            </w:tcBorders>
            <w:noWrap/>
            <w:vAlign w:val="center"/>
            <w:hideMark/>
          </w:tcPr>
          <w:p w14:paraId="7DEED477" w14:textId="77777777" w:rsidR="008638D2" w:rsidRPr="00E85980" w:rsidRDefault="008638D2" w:rsidP="001E5BD1">
            <w:pPr>
              <w:pStyle w:val="NoSpacing"/>
              <w:jc w:val="center"/>
              <w:rPr>
                <w:rFonts w:ascii="Arial" w:hAnsi="Arial" w:cs="Arial"/>
                <w:b/>
              </w:rPr>
            </w:pPr>
            <w:r w:rsidRPr="00E85980">
              <w:rPr>
                <w:rFonts w:ascii="Arial" w:hAnsi="Arial" w:cs="Arial"/>
                <w:b/>
              </w:rPr>
              <w:t>Treatment</w:t>
            </w:r>
          </w:p>
        </w:tc>
        <w:tc>
          <w:tcPr>
            <w:tcW w:w="2918" w:type="dxa"/>
            <w:tcBorders>
              <w:top w:val="single" w:sz="18" w:space="0" w:color="auto"/>
              <w:bottom w:val="single" w:sz="18" w:space="0" w:color="auto"/>
            </w:tcBorders>
          </w:tcPr>
          <w:p w14:paraId="4E59D5D6" w14:textId="77777777" w:rsidR="008638D2" w:rsidRPr="00E85980" w:rsidRDefault="008638D2" w:rsidP="001E5BD1">
            <w:pPr>
              <w:pStyle w:val="NoSpacing"/>
              <w:jc w:val="center"/>
              <w:rPr>
                <w:rFonts w:ascii="Arial" w:hAnsi="Arial" w:cs="Arial"/>
                <w:b/>
              </w:rPr>
            </w:pPr>
          </w:p>
        </w:tc>
        <w:tc>
          <w:tcPr>
            <w:tcW w:w="2156" w:type="dxa"/>
            <w:tcBorders>
              <w:top w:val="single" w:sz="18" w:space="0" w:color="auto"/>
              <w:bottom w:val="single" w:sz="18" w:space="0" w:color="auto"/>
            </w:tcBorders>
            <w:noWrap/>
            <w:vAlign w:val="center"/>
            <w:hideMark/>
          </w:tcPr>
          <w:p w14:paraId="676D4F47" w14:textId="77777777" w:rsidR="008638D2" w:rsidRPr="00E85980" w:rsidRDefault="008638D2" w:rsidP="001E5BD1">
            <w:pPr>
              <w:pStyle w:val="NoSpacing"/>
              <w:jc w:val="center"/>
              <w:rPr>
                <w:rFonts w:ascii="Arial" w:hAnsi="Arial" w:cs="Arial"/>
                <w:b/>
              </w:rPr>
            </w:pPr>
            <w:r w:rsidRPr="00E85980">
              <w:rPr>
                <w:rFonts w:ascii="Arial" w:hAnsi="Arial" w:cs="Arial"/>
                <w:b/>
              </w:rPr>
              <w:t>Number of filled grain spike</w:t>
            </w:r>
            <w:r w:rsidRPr="00E85980">
              <w:rPr>
                <w:rFonts w:ascii="Arial" w:hAnsi="Arial" w:cs="Arial"/>
                <w:b/>
                <w:vertAlign w:val="superscript"/>
              </w:rPr>
              <w:t>-1</w:t>
            </w:r>
          </w:p>
        </w:tc>
        <w:tc>
          <w:tcPr>
            <w:tcW w:w="2109" w:type="dxa"/>
            <w:tcBorders>
              <w:top w:val="single" w:sz="18" w:space="0" w:color="auto"/>
              <w:bottom w:val="single" w:sz="18" w:space="0" w:color="auto"/>
            </w:tcBorders>
            <w:noWrap/>
            <w:vAlign w:val="center"/>
            <w:hideMark/>
          </w:tcPr>
          <w:p w14:paraId="67873D25" w14:textId="77777777" w:rsidR="008638D2" w:rsidRPr="001C767D" w:rsidRDefault="008638D2" w:rsidP="001E5BD1">
            <w:pPr>
              <w:pStyle w:val="NoSpacing"/>
              <w:jc w:val="center"/>
              <w:rPr>
                <w:rFonts w:ascii="Arial" w:hAnsi="Arial" w:cs="Arial"/>
                <w:b/>
                <w:vertAlign w:val="superscript"/>
              </w:rPr>
            </w:pPr>
            <w:r w:rsidRPr="00E85980">
              <w:rPr>
                <w:rFonts w:ascii="Arial" w:hAnsi="Arial" w:cs="Arial"/>
                <w:b/>
              </w:rPr>
              <w:t>Number of unfilled grain</w:t>
            </w:r>
            <w:r>
              <w:rPr>
                <w:rFonts w:ascii="Arial" w:hAnsi="Arial" w:cs="Arial"/>
                <w:b/>
              </w:rPr>
              <w:t xml:space="preserve"> spike</w:t>
            </w:r>
            <w:r>
              <w:rPr>
                <w:rFonts w:ascii="Arial" w:hAnsi="Arial" w:cs="Arial"/>
                <w:b/>
                <w:vertAlign w:val="superscript"/>
              </w:rPr>
              <w:t>-1</w:t>
            </w:r>
          </w:p>
        </w:tc>
      </w:tr>
      <w:tr w:rsidR="008638D2" w:rsidRPr="00E85980" w14:paraId="463DC1EF" w14:textId="77777777" w:rsidTr="0057438D">
        <w:trPr>
          <w:trHeight w:val="468"/>
          <w:jc w:val="center"/>
        </w:trPr>
        <w:tc>
          <w:tcPr>
            <w:tcW w:w="1680" w:type="dxa"/>
            <w:tcBorders>
              <w:top w:val="single" w:sz="18" w:space="0" w:color="auto"/>
            </w:tcBorders>
            <w:noWrap/>
            <w:vAlign w:val="center"/>
            <w:hideMark/>
          </w:tcPr>
          <w:p w14:paraId="50AE69CF"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₁</w:t>
            </w:r>
          </w:p>
        </w:tc>
        <w:tc>
          <w:tcPr>
            <w:tcW w:w="2918" w:type="dxa"/>
            <w:tcBorders>
              <w:top w:val="single" w:sz="18" w:space="0" w:color="auto"/>
            </w:tcBorders>
          </w:tcPr>
          <w:p w14:paraId="4E1E10A0" w14:textId="77777777" w:rsidR="008638D2" w:rsidRPr="00E85980" w:rsidRDefault="008638D2" w:rsidP="00E778DA">
            <w:pPr>
              <w:pStyle w:val="NoSpacing"/>
              <w:spacing w:line="276" w:lineRule="auto"/>
              <w:rPr>
                <w:rFonts w:ascii="Arial" w:hAnsi="Arial" w:cs="Arial"/>
              </w:rPr>
            </w:pPr>
            <w:r>
              <w:rPr>
                <w:rFonts w:ascii="Arial" w:hAnsi="Arial" w:cs="Arial"/>
              </w:rPr>
              <w:t>Control</w:t>
            </w:r>
          </w:p>
        </w:tc>
        <w:tc>
          <w:tcPr>
            <w:tcW w:w="2156" w:type="dxa"/>
            <w:tcBorders>
              <w:top w:val="single" w:sz="18" w:space="0" w:color="auto"/>
            </w:tcBorders>
            <w:noWrap/>
            <w:vAlign w:val="center"/>
            <w:hideMark/>
          </w:tcPr>
          <w:p w14:paraId="7270AF93" w14:textId="77777777" w:rsidR="008638D2" w:rsidRPr="00E85980" w:rsidRDefault="008638D2" w:rsidP="001E5BD1">
            <w:pPr>
              <w:pStyle w:val="NoSpacing"/>
              <w:jc w:val="center"/>
              <w:rPr>
                <w:rFonts w:ascii="Arial" w:hAnsi="Arial" w:cs="Arial"/>
              </w:rPr>
            </w:pPr>
            <w:r w:rsidRPr="00E85980">
              <w:rPr>
                <w:rFonts w:ascii="Arial" w:hAnsi="Arial" w:cs="Arial"/>
              </w:rPr>
              <w:t>17.0</w:t>
            </w:r>
            <w:r>
              <w:rPr>
                <w:rFonts w:ascii="Arial" w:hAnsi="Arial" w:cs="Arial"/>
              </w:rPr>
              <w:t>b</w:t>
            </w:r>
          </w:p>
        </w:tc>
        <w:tc>
          <w:tcPr>
            <w:tcW w:w="2109" w:type="dxa"/>
            <w:tcBorders>
              <w:top w:val="single" w:sz="18" w:space="0" w:color="auto"/>
            </w:tcBorders>
            <w:noWrap/>
            <w:vAlign w:val="center"/>
            <w:hideMark/>
          </w:tcPr>
          <w:p w14:paraId="680C985B" w14:textId="77777777" w:rsidR="008638D2" w:rsidRPr="00E85980" w:rsidRDefault="008638D2" w:rsidP="001E5BD1">
            <w:pPr>
              <w:pStyle w:val="NoSpacing"/>
              <w:jc w:val="center"/>
              <w:rPr>
                <w:rFonts w:ascii="Arial" w:hAnsi="Arial" w:cs="Arial"/>
              </w:rPr>
            </w:pPr>
            <w:r w:rsidRPr="00E85980">
              <w:rPr>
                <w:rFonts w:ascii="Arial" w:hAnsi="Arial" w:cs="Arial"/>
              </w:rPr>
              <w:t>8.9</w:t>
            </w:r>
            <w:r>
              <w:rPr>
                <w:rFonts w:ascii="Arial" w:hAnsi="Arial" w:cs="Arial"/>
              </w:rPr>
              <w:t>a</w:t>
            </w:r>
          </w:p>
        </w:tc>
      </w:tr>
      <w:tr w:rsidR="008638D2" w:rsidRPr="00E85980" w14:paraId="45308F65" w14:textId="77777777" w:rsidTr="0057438D">
        <w:trPr>
          <w:trHeight w:val="531"/>
          <w:jc w:val="center"/>
        </w:trPr>
        <w:tc>
          <w:tcPr>
            <w:tcW w:w="1680" w:type="dxa"/>
            <w:noWrap/>
            <w:vAlign w:val="center"/>
            <w:hideMark/>
          </w:tcPr>
          <w:p w14:paraId="4A45D6B9"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₂</w:t>
            </w:r>
          </w:p>
        </w:tc>
        <w:tc>
          <w:tcPr>
            <w:tcW w:w="2918" w:type="dxa"/>
          </w:tcPr>
          <w:p w14:paraId="744B5C6F" w14:textId="77777777" w:rsidR="008638D2" w:rsidRPr="00E85980" w:rsidRDefault="008638D2" w:rsidP="00E778DA">
            <w:pPr>
              <w:pStyle w:val="NoSpacing"/>
              <w:spacing w:line="276" w:lineRule="auto"/>
              <w:rPr>
                <w:rFonts w:ascii="Arial" w:hAnsi="Arial" w:cs="Arial"/>
              </w:rPr>
            </w:pPr>
            <w:r>
              <w:rPr>
                <w:rFonts w:ascii="Arial" w:hAnsi="Arial" w:cs="Arial"/>
              </w:rPr>
              <w:t>100% RDN (150 kg N ha-1</w:t>
            </w:r>
          </w:p>
        </w:tc>
        <w:tc>
          <w:tcPr>
            <w:tcW w:w="2156" w:type="dxa"/>
            <w:noWrap/>
            <w:vAlign w:val="center"/>
            <w:hideMark/>
          </w:tcPr>
          <w:p w14:paraId="0A25F761" w14:textId="77777777" w:rsidR="008638D2" w:rsidRPr="00E85980" w:rsidRDefault="008638D2" w:rsidP="001E5BD1">
            <w:pPr>
              <w:pStyle w:val="NoSpacing"/>
              <w:jc w:val="center"/>
              <w:rPr>
                <w:rFonts w:ascii="Arial" w:hAnsi="Arial" w:cs="Arial"/>
              </w:rPr>
            </w:pPr>
            <w:r w:rsidRPr="00E85980">
              <w:rPr>
                <w:rFonts w:ascii="Arial" w:hAnsi="Arial" w:cs="Arial"/>
              </w:rPr>
              <w:t>40.6</w:t>
            </w:r>
            <w:r>
              <w:rPr>
                <w:rFonts w:ascii="Arial" w:hAnsi="Arial" w:cs="Arial"/>
              </w:rPr>
              <w:t>a</w:t>
            </w:r>
          </w:p>
        </w:tc>
        <w:tc>
          <w:tcPr>
            <w:tcW w:w="2109" w:type="dxa"/>
            <w:noWrap/>
            <w:vAlign w:val="center"/>
            <w:hideMark/>
          </w:tcPr>
          <w:p w14:paraId="6D8FEAD3" w14:textId="77777777" w:rsidR="008638D2" w:rsidRPr="00E85980" w:rsidRDefault="008638D2" w:rsidP="001E5BD1">
            <w:pPr>
              <w:pStyle w:val="NoSpacing"/>
              <w:jc w:val="center"/>
              <w:rPr>
                <w:rFonts w:ascii="Arial" w:hAnsi="Arial" w:cs="Arial"/>
              </w:rPr>
            </w:pPr>
            <w:r w:rsidRPr="00E85980">
              <w:rPr>
                <w:rFonts w:ascii="Arial" w:hAnsi="Arial" w:cs="Arial"/>
              </w:rPr>
              <w:t>6.7</w:t>
            </w:r>
            <w:r>
              <w:rPr>
                <w:rFonts w:ascii="Arial" w:hAnsi="Arial" w:cs="Arial"/>
              </w:rPr>
              <w:t>b</w:t>
            </w:r>
          </w:p>
        </w:tc>
      </w:tr>
      <w:tr w:rsidR="008638D2" w:rsidRPr="00E85980" w14:paraId="161A30F1" w14:textId="77777777" w:rsidTr="0057438D">
        <w:trPr>
          <w:trHeight w:val="51"/>
          <w:jc w:val="center"/>
        </w:trPr>
        <w:tc>
          <w:tcPr>
            <w:tcW w:w="1680" w:type="dxa"/>
            <w:noWrap/>
            <w:vAlign w:val="center"/>
            <w:hideMark/>
          </w:tcPr>
          <w:p w14:paraId="72FA018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₃</w:t>
            </w:r>
          </w:p>
        </w:tc>
        <w:tc>
          <w:tcPr>
            <w:tcW w:w="2918" w:type="dxa"/>
          </w:tcPr>
          <w:p w14:paraId="7C18E709"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poultry manure</w:t>
            </w:r>
          </w:p>
        </w:tc>
        <w:tc>
          <w:tcPr>
            <w:tcW w:w="2156" w:type="dxa"/>
            <w:noWrap/>
            <w:vAlign w:val="center"/>
            <w:hideMark/>
          </w:tcPr>
          <w:p w14:paraId="62644C90" w14:textId="77777777" w:rsidR="008638D2" w:rsidRPr="00E85980" w:rsidRDefault="008638D2" w:rsidP="001E5BD1">
            <w:pPr>
              <w:pStyle w:val="NoSpacing"/>
              <w:jc w:val="center"/>
              <w:rPr>
                <w:rFonts w:ascii="Arial" w:hAnsi="Arial" w:cs="Arial"/>
              </w:rPr>
            </w:pPr>
            <w:r w:rsidRPr="00E85980">
              <w:rPr>
                <w:rFonts w:ascii="Arial" w:hAnsi="Arial" w:cs="Arial"/>
              </w:rPr>
              <w:t>41.6</w:t>
            </w:r>
            <w:r>
              <w:rPr>
                <w:rFonts w:ascii="Arial" w:hAnsi="Arial" w:cs="Arial"/>
              </w:rPr>
              <w:t>a</w:t>
            </w:r>
          </w:p>
        </w:tc>
        <w:tc>
          <w:tcPr>
            <w:tcW w:w="2109" w:type="dxa"/>
            <w:noWrap/>
            <w:vAlign w:val="center"/>
            <w:hideMark/>
          </w:tcPr>
          <w:p w14:paraId="3CDA19BD" w14:textId="77777777" w:rsidR="008638D2" w:rsidRPr="00E85980" w:rsidRDefault="008638D2" w:rsidP="001E5BD1">
            <w:pPr>
              <w:pStyle w:val="NoSpacing"/>
              <w:jc w:val="center"/>
              <w:rPr>
                <w:rFonts w:ascii="Arial" w:hAnsi="Arial" w:cs="Arial"/>
              </w:rPr>
            </w:pPr>
            <w:r w:rsidRPr="00E85980">
              <w:rPr>
                <w:rFonts w:ascii="Arial" w:hAnsi="Arial" w:cs="Arial"/>
              </w:rPr>
              <w:t>6.6</w:t>
            </w:r>
            <w:r>
              <w:rPr>
                <w:rFonts w:ascii="Arial" w:hAnsi="Arial" w:cs="Arial"/>
              </w:rPr>
              <w:t>b</w:t>
            </w:r>
          </w:p>
        </w:tc>
      </w:tr>
      <w:tr w:rsidR="008638D2" w:rsidRPr="00E85980" w14:paraId="207CD655" w14:textId="77777777" w:rsidTr="0057438D">
        <w:trPr>
          <w:trHeight w:val="51"/>
          <w:jc w:val="center"/>
        </w:trPr>
        <w:tc>
          <w:tcPr>
            <w:tcW w:w="1680" w:type="dxa"/>
            <w:noWrap/>
            <w:vAlign w:val="center"/>
            <w:hideMark/>
          </w:tcPr>
          <w:p w14:paraId="05D459C2"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₄</w:t>
            </w:r>
          </w:p>
        </w:tc>
        <w:tc>
          <w:tcPr>
            <w:tcW w:w="2918" w:type="dxa"/>
          </w:tcPr>
          <w:p w14:paraId="3E84108A" w14:textId="77777777" w:rsidR="008638D2" w:rsidRPr="0078554C" w:rsidRDefault="008638D2" w:rsidP="00E778DA">
            <w:pPr>
              <w:pStyle w:val="NoSpacing"/>
              <w:spacing w:line="276" w:lineRule="auto"/>
              <w:rPr>
                <w:rFonts w:ascii="Arial" w:hAnsi="Arial" w:cs="Arial"/>
                <w:b/>
              </w:rPr>
            </w:pPr>
            <w:r>
              <w:rPr>
                <w:rFonts w:ascii="Arial" w:hAnsi="Arial" w:cs="Arial"/>
              </w:rPr>
              <w:t xml:space="preserve">80% RDN through urea + 20% RDN through vermicompost </w:t>
            </w:r>
          </w:p>
        </w:tc>
        <w:tc>
          <w:tcPr>
            <w:tcW w:w="2156" w:type="dxa"/>
            <w:noWrap/>
            <w:vAlign w:val="center"/>
            <w:hideMark/>
          </w:tcPr>
          <w:p w14:paraId="6B7B4649" w14:textId="77777777" w:rsidR="008638D2" w:rsidRPr="00E85980" w:rsidRDefault="008638D2" w:rsidP="001E5BD1">
            <w:pPr>
              <w:pStyle w:val="NoSpacing"/>
              <w:jc w:val="center"/>
              <w:rPr>
                <w:rFonts w:ascii="Arial" w:hAnsi="Arial" w:cs="Arial"/>
              </w:rPr>
            </w:pPr>
            <w:r w:rsidRPr="00E85980">
              <w:rPr>
                <w:rFonts w:ascii="Arial" w:hAnsi="Arial" w:cs="Arial"/>
              </w:rPr>
              <w:t>42.4</w:t>
            </w:r>
            <w:r>
              <w:rPr>
                <w:rFonts w:ascii="Arial" w:hAnsi="Arial" w:cs="Arial"/>
              </w:rPr>
              <w:t>a</w:t>
            </w:r>
          </w:p>
        </w:tc>
        <w:tc>
          <w:tcPr>
            <w:tcW w:w="2109" w:type="dxa"/>
            <w:noWrap/>
            <w:vAlign w:val="center"/>
            <w:hideMark/>
          </w:tcPr>
          <w:p w14:paraId="73445BA6" w14:textId="77777777" w:rsidR="008638D2" w:rsidRPr="00E85980" w:rsidRDefault="008638D2" w:rsidP="001E5BD1">
            <w:pPr>
              <w:pStyle w:val="NoSpacing"/>
              <w:jc w:val="center"/>
              <w:rPr>
                <w:rFonts w:ascii="Arial" w:hAnsi="Arial" w:cs="Arial"/>
              </w:rPr>
            </w:pPr>
            <w:r w:rsidRPr="00E85980">
              <w:rPr>
                <w:rFonts w:ascii="Arial" w:hAnsi="Arial" w:cs="Arial"/>
              </w:rPr>
              <w:t>6.4</w:t>
            </w:r>
            <w:r>
              <w:rPr>
                <w:rFonts w:ascii="Arial" w:hAnsi="Arial" w:cs="Arial"/>
              </w:rPr>
              <w:t>b</w:t>
            </w:r>
          </w:p>
        </w:tc>
      </w:tr>
      <w:tr w:rsidR="008638D2" w:rsidRPr="00E85980" w14:paraId="5A3B02F1" w14:textId="77777777" w:rsidTr="0057438D">
        <w:trPr>
          <w:trHeight w:val="51"/>
          <w:jc w:val="center"/>
        </w:trPr>
        <w:tc>
          <w:tcPr>
            <w:tcW w:w="1680" w:type="dxa"/>
            <w:noWrap/>
            <w:vAlign w:val="center"/>
            <w:hideMark/>
          </w:tcPr>
          <w:p w14:paraId="70374B6D"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₅</w:t>
            </w:r>
          </w:p>
        </w:tc>
        <w:tc>
          <w:tcPr>
            <w:tcW w:w="2918" w:type="dxa"/>
          </w:tcPr>
          <w:p w14:paraId="1455788E"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FYM</w:t>
            </w:r>
          </w:p>
        </w:tc>
        <w:tc>
          <w:tcPr>
            <w:tcW w:w="2156" w:type="dxa"/>
            <w:noWrap/>
            <w:vAlign w:val="center"/>
            <w:hideMark/>
          </w:tcPr>
          <w:p w14:paraId="2DFE9F0D" w14:textId="77777777" w:rsidR="008638D2" w:rsidRPr="00E85980" w:rsidRDefault="008638D2" w:rsidP="001E5BD1">
            <w:pPr>
              <w:pStyle w:val="NoSpacing"/>
              <w:jc w:val="center"/>
              <w:rPr>
                <w:rFonts w:ascii="Arial" w:hAnsi="Arial" w:cs="Arial"/>
              </w:rPr>
            </w:pPr>
            <w:r w:rsidRPr="00E85980">
              <w:rPr>
                <w:rFonts w:ascii="Arial" w:hAnsi="Arial" w:cs="Arial"/>
              </w:rPr>
              <w:t>45.3</w:t>
            </w:r>
            <w:r>
              <w:rPr>
                <w:rFonts w:ascii="Arial" w:hAnsi="Arial" w:cs="Arial"/>
              </w:rPr>
              <w:t>a</w:t>
            </w:r>
          </w:p>
        </w:tc>
        <w:tc>
          <w:tcPr>
            <w:tcW w:w="2109" w:type="dxa"/>
            <w:noWrap/>
            <w:vAlign w:val="center"/>
            <w:hideMark/>
          </w:tcPr>
          <w:p w14:paraId="1C2889CB" w14:textId="77777777" w:rsidR="008638D2" w:rsidRPr="00E85980" w:rsidRDefault="008638D2" w:rsidP="001E5BD1">
            <w:pPr>
              <w:pStyle w:val="NoSpacing"/>
              <w:jc w:val="center"/>
              <w:rPr>
                <w:rFonts w:ascii="Arial" w:hAnsi="Arial" w:cs="Arial"/>
              </w:rPr>
            </w:pPr>
            <w:r w:rsidRPr="00E85980">
              <w:rPr>
                <w:rFonts w:ascii="Arial" w:hAnsi="Arial" w:cs="Arial"/>
              </w:rPr>
              <w:t>5.6</w:t>
            </w:r>
            <w:r>
              <w:rPr>
                <w:rFonts w:ascii="Arial" w:hAnsi="Arial" w:cs="Arial"/>
              </w:rPr>
              <w:t>b</w:t>
            </w:r>
          </w:p>
        </w:tc>
      </w:tr>
      <w:tr w:rsidR="008638D2" w:rsidRPr="00E85980" w14:paraId="3100416B" w14:textId="77777777" w:rsidTr="0057438D">
        <w:trPr>
          <w:trHeight w:val="51"/>
          <w:jc w:val="center"/>
        </w:trPr>
        <w:tc>
          <w:tcPr>
            <w:tcW w:w="1680" w:type="dxa"/>
            <w:noWrap/>
            <w:vAlign w:val="center"/>
            <w:hideMark/>
          </w:tcPr>
          <w:p w14:paraId="24ECBB5B"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₆</w:t>
            </w:r>
          </w:p>
        </w:tc>
        <w:tc>
          <w:tcPr>
            <w:tcW w:w="2918" w:type="dxa"/>
          </w:tcPr>
          <w:p w14:paraId="28DC69C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mustard cake </w:t>
            </w:r>
          </w:p>
        </w:tc>
        <w:tc>
          <w:tcPr>
            <w:tcW w:w="2156" w:type="dxa"/>
            <w:noWrap/>
            <w:vAlign w:val="center"/>
            <w:hideMark/>
          </w:tcPr>
          <w:p w14:paraId="2AD3ABD9" w14:textId="77777777" w:rsidR="008638D2" w:rsidRPr="00E85980" w:rsidRDefault="008638D2" w:rsidP="001E5BD1">
            <w:pPr>
              <w:pStyle w:val="NoSpacing"/>
              <w:jc w:val="center"/>
              <w:rPr>
                <w:rFonts w:ascii="Arial" w:hAnsi="Arial" w:cs="Arial"/>
              </w:rPr>
            </w:pPr>
            <w:r w:rsidRPr="00E85980">
              <w:rPr>
                <w:rFonts w:ascii="Arial" w:hAnsi="Arial" w:cs="Arial"/>
              </w:rPr>
              <w:t>44.9</w:t>
            </w:r>
            <w:r>
              <w:rPr>
                <w:rFonts w:ascii="Arial" w:hAnsi="Arial" w:cs="Arial"/>
              </w:rPr>
              <w:t>a</w:t>
            </w:r>
          </w:p>
        </w:tc>
        <w:tc>
          <w:tcPr>
            <w:tcW w:w="2109" w:type="dxa"/>
            <w:noWrap/>
            <w:vAlign w:val="center"/>
            <w:hideMark/>
          </w:tcPr>
          <w:p w14:paraId="15747D86" w14:textId="77777777" w:rsidR="008638D2" w:rsidRPr="00E85980" w:rsidRDefault="008638D2" w:rsidP="001E5BD1">
            <w:pPr>
              <w:pStyle w:val="NoSpacing"/>
              <w:jc w:val="center"/>
              <w:rPr>
                <w:rFonts w:ascii="Arial" w:hAnsi="Arial" w:cs="Arial"/>
              </w:rPr>
            </w:pPr>
            <w:r w:rsidRPr="00E85980">
              <w:rPr>
                <w:rFonts w:ascii="Arial" w:hAnsi="Arial" w:cs="Arial"/>
              </w:rPr>
              <w:t>5.7</w:t>
            </w:r>
            <w:r>
              <w:rPr>
                <w:rFonts w:ascii="Arial" w:hAnsi="Arial" w:cs="Arial"/>
              </w:rPr>
              <w:t>b</w:t>
            </w:r>
          </w:p>
        </w:tc>
      </w:tr>
      <w:tr w:rsidR="008638D2" w:rsidRPr="00E85980" w14:paraId="2B0E6184" w14:textId="77777777" w:rsidTr="0057438D">
        <w:trPr>
          <w:trHeight w:val="51"/>
          <w:jc w:val="center"/>
        </w:trPr>
        <w:tc>
          <w:tcPr>
            <w:tcW w:w="1680" w:type="dxa"/>
            <w:tcBorders>
              <w:bottom w:val="single" w:sz="18" w:space="0" w:color="auto"/>
            </w:tcBorders>
            <w:noWrap/>
            <w:vAlign w:val="center"/>
            <w:hideMark/>
          </w:tcPr>
          <w:p w14:paraId="71DA612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₇</w:t>
            </w:r>
          </w:p>
        </w:tc>
        <w:tc>
          <w:tcPr>
            <w:tcW w:w="2918" w:type="dxa"/>
            <w:tcBorders>
              <w:bottom w:val="single" w:sz="18" w:space="0" w:color="auto"/>
            </w:tcBorders>
          </w:tcPr>
          <w:p w14:paraId="61CD6F8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goat manure </w:t>
            </w:r>
          </w:p>
        </w:tc>
        <w:tc>
          <w:tcPr>
            <w:tcW w:w="2156" w:type="dxa"/>
            <w:tcBorders>
              <w:bottom w:val="single" w:sz="18" w:space="0" w:color="auto"/>
            </w:tcBorders>
            <w:noWrap/>
            <w:vAlign w:val="center"/>
            <w:hideMark/>
          </w:tcPr>
          <w:p w14:paraId="213D6D89" w14:textId="77777777" w:rsidR="008638D2" w:rsidRPr="00E85980" w:rsidRDefault="008638D2" w:rsidP="001E5BD1">
            <w:pPr>
              <w:pStyle w:val="NoSpacing"/>
              <w:jc w:val="center"/>
              <w:rPr>
                <w:rFonts w:ascii="Arial" w:hAnsi="Arial" w:cs="Arial"/>
              </w:rPr>
            </w:pPr>
            <w:r w:rsidRPr="00E85980">
              <w:rPr>
                <w:rFonts w:ascii="Arial" w:hAnsi="Arial" w:cs="Arial"/>
              </w:rPr>
              <w:t>43.0</w:t>
            </w:r>
            <w:r>
              <w:rPr>
                <w:rFonts w:ascii="Arial" w:hAnsi="Arial" w:cs="Arial"/>
              </w:rPr>
              <w:t>a</w:t>
            </w:r>
          </w:p>
        </w:tc>
        <w:tc>
          <w:tcPr>
            <w:tcW w:w="2109" w:type="dxa"/>
            <w:tcBorders>
              <w:bottom w:val="single" w:sz="18" w:space="0" w:color="auto"/>
            </w:tcBorders>
            <w:noWrap/>
            <w:vAlign w:val="center"/>
            <w:hideMark/>
          </w:tcPr>
          <w:p w14:paraId="4C9FD72B" w14:textId="77777777" w:rsidR="008638D2" w:rsidRPr="00E85980" w:rsidRDefault="008638D2" w:rsidP="001E5BD1">
            <w:pPr>
              <w:pStyle w:val="NoSpacing"/>
              <w:jc w:val="center"/>
              <w:rPr>
                <w:rFonts w:ascii="Arial" w:hAnsi="Arial" w:cs="Arial"/>
              </w:rPr>
            </w:pPr>
            <w:r w:rsidRPr="00E85980">
              <w:rPr>
                <w:rFonts w:ascii="Arial" w:hAnsi="Arial" w:cs="Arial"/>
              </w:rPr>
              <w:t>5.8</w:t>
            </w:r>
            <w:r>
              <w:rPr>
                <w:rFonts w:ascii="Arial" w:hAnsi="Arial" w:cs="Arial"/>
              </w:rPr>
              <w:t>b</w:t>
            </w:r>
          </w:p>
        </w:tc>
      </w:tr>
      <w:tr w:rsidR="008638D2" w:rsidRPr="00E85980" w14:paraId="3CC6386C" w14:textId="77777777" w:rsidTr="0057438D">
        <w:trPr>
          <w:trHeight w:val="51"/>
          <w:jc w:val="center"/>
        </w:trPr>
        <w:tc>
          <w:tcPr>
            <w:tcW w:w="1680" w:type="dxa"/>
            <w:tcBorders>
              <w:top w:val="single" w:sz="18" w:space="0" w:color="auto"/>
              <w:bottom w:val="single" w:sz="18" w:space="0" w:color="auto"/>
            </w:tcBorders>
            <w:noWrap/>
            <w:vAlign w:val="center"/>
          </w:tcPr>
          <w:p w14:paraId="61BFD713" w14:textId="77777777" w:rsidR="008638D2" w:rsidRPr="004E7214" w:rsidRDefault="008638D2" w:rsidP="001E5BD1">
            <w:pPr>
              <w:pStyle w:val="NoSpacing"/>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2918" w:type="dxa"/>
            <w:tcBorders>
              <w:top w:val="single" w:sz="18" w:space="0" w:color="auto"/>
              <w:bottom w:val="single" w:sz="18" w:space="0" w:color="auto"/>
            </w:tcBorders>
          </w:tcPr>
          <w:p w14:paraId="17AAD0BE"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0F16BE87" w14:textId="77777777" w:rsidR="008638D2" w:rsidRPr="00E85980" w:rsidRDefault="008638D2" w:rsidP="001E5BD1">
            <w:pPr>
              <w:pStyle w:val="NoSpacing"/>
              <w:jc w:val="center"/>
              <w:rPr>
                <w:rFonts w:ascii="Arial" w:hAnsi="Arial" w:cs="Arial"/>
              </w:rPr>
            </w:pPr>
            <w:r>
              <w:rPr>
                <w:rFonts w:ascii="Arial" w:hAnsi="Arial" w:cs="Arial"/>
              </w:rPr>
              <w:t>1.9</w:t>
            </w:r>
          </w:p>
        </w:tc>
        <w:tc>
          <w:tcPr>
            <w:tcW w:w="2109" w:type="dxa"/>
            <w:tcBorders>
              <w:top w:val="single" w:sz="18" w:space="0" w:color="auto"/>
              <w:bottom w:val="single" w:sz="18" w:space="0" w:color="auto"/>
            </w:tcBorders>
            <w:noWrap/>
            <w:vAlign w:val="center"/>
          </w:tcPr>
          <w:p w14:paraId="7697E8AD" w14:textId="77777777" w:rsidR="008638D2" w:rsidRPr="00E85980" w:rsidRDefault="008638D2" w:rsidP="001E5BD1">
            <w:pPr>
              <w:pStyle w:val="NoSpacing"/>
              <w:jc w:val="center"/>
              <w:rPr>
                <w:rFonts w:ascii="Arial" w:hAnsi="Arial" w:cs="Arial"/>
              </w:rPr>
            </w:pPr>
            <w:r>
              <w:rPr>
                <w:rFonts w:ascii="Arial" w:hAnsi="Arial" w:cs="Arial"/>
              </w:rPr>
              <w:t>0.6</w:t>
            </w:r>
          </w:p>
        </w:tc>
      </w:tr>
      <w:tr w:rsidR="008638D2" w:rsidRPr="00E85980" w14:paraId="45A060D4" w14:textId="77777777" w:rsidTr="0057438D">
        <w:trPr>
          <w:trHeight w:val="51"/>
          <w:jc w:val="center"/>
        </w:trPr>
        <w:tc>
          <w:tcPr>
            <w:tcW w:w="1680" w:type="dxa"/>
            <w:tcBorders>
              <w:top w:val="single" w:sz="18" w:space="0" w:color="auto"/>
              <w:bottom w:val="single" w:sz="18" w:space="0" w:color="auto"/>
            </w:tcBorders>
            <w:noWrap/>
            <w:vAlign w:val="center"/>
          </w:tcPr>
          <w:p w14:paraId="1B6F5F94" w14:textId="77777777" w:rsidR="008638D2" w:rsidRPr="004E7214" w:rsidRDefault="008638D2" w:rsidP="001E5BD1">
            <w:pPr>
              <w:pStyle w:val="NoSpacing"/>
              <w:jc w:val="center"/>
              <w:rPr>
                <w:rFonts w:ascii="Arial" w:hAnsi="Arial" w:cs="Arial"/>
                <w:b/>
              </w:rPr>
            </w:pPr>
            <w:r w:rsidRPr="004E7214">
              <w:rPr>
                <w:rFonts w:ascii="Arial" w:hAnsi="Arial" w:cs="Arial"/>
                <w:b/>
              </w:rPr>
              <w:t>CD (0.05)</w:t>
            </w:r>
          </w:p>
        </w:tc>
        <w:tc>
          <w:tcPr>
            <w:tcW w:w="2918" w:type="dxa"/>
            <w:tcBorders>
              <w:top w:val="single" w:sz="18" w:space="0" w:color="auto"/>
              <w:bottom w:val="single" w:sz="18" w:space="0" w:color="auto"/>
            </w:tcBorders>
          </w:tcPr>
          <w:p w14:paraId="1AB26A2A"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499F85FA" w14:textId="77777777" w:rsidR="008638D2" w:rsidRPr="00E85980" w:rsidRDefault="008638D2" w:rsidP="001E5BD1">
            <w:pPr>
              <w:pStyle w:val="NoSpacing"/>
              <w:jc w:val="center"/>
              <w:rPr>
                <w:rFonts w:ascii="Arial" w:hAnsi="Arial" w:cs="Arial"/>
              </w:rPr>
            </w:pPr>
            <w:r>
              <w:rPr>
                <w:rFonts w:ascii="Arial" w:hAnsi="Arial" w:cs="Arial"/>
              </w:rPr>
              <w:t>5.7</w:t>
            </w:r>
          </w:p>
        </w:tc>
        <w:tc>
          <w:tcPr>
            <w:tcW w:w="2109" w:type="dxa"/>
            <w:tcBorders>
              <w:top w:val="single" w:sz="18" w:space="0" w:color="auto"/>
              <w:bottom w:val="single" w:sz="18" w:space="0" w:color="auto"/>
            </w:tcBorders>
            <w:noWrap/>
            <w:vAlign w:val="center"/>
          </w:tcPr>
          <w:p w14:paraId="07E3B4EB" w14:textId="77777777" w:rsidR="008638D2" w:rsidRPr="00E85980" w:rsidRDefault="008638D2" w:rsidP="001E5BD1">
            <w:pPr>
              <w:pStyle w:val="NoSpacing"/>
              <w:jc w:val="center"/>
              <w:rPr>
                <w:rFonts w:ascii="Arial" w:hAnsi="Arial" w:cs="Arial"/>
              </w:rPr>
            </w:pPr>
            <w:r>
              <w:rPr>
                <w:rFonts w:ascii="Arial" w:hAnsi="Arial" w:cs="Arial"/>
              </w:rPr>
              <w:t>1.9</w:t>
            </w:r>
          </w:p>
        </w:tc>
      </w:tr>
    </w:tbl>
    <w:p w14:paraId="34AF8D77" w14:textId="77777777" w:rsidR="008638D2" w:rsidRPr="00F42D7D" w:rsidRDefault="008638D2" w:rsidP="008638D2">
      <w:pPr>
        <w:pStyle w:val="BodyText"/>
        <w:spacing w:before="240" w:after="120" w:line="360" w:lineRule="auto"/>
        <w:jc w:val="both"/>
        <w:rPr>
          <w:rFonts w:ascii="Arial" w:hAnsi="Arial" w:cs="Arial"/>
          <w:b/>
          <w:sz w:val="24"/>
          <w:szCs w:val="24"/>
        </w:rPr>
      </w:pPr>
      <w:r>
        <w:rPr>
          <w:rFonts w:ascii="Arial" w:hAnsi="Arial" w:cs="Arial"/>
          <w:b/>
          <w:sz w:val="24"/>
          <w:szCs w:val="24"/>
        </w:rPr>
        <w:t>3.2.2</w:t>
      </w:r>
      <w:r w:rsidRPr="00F42D7D">
        <w:rPr>
          <w:rFonts w:ascii="Arial" w:hAnsi="Arial" w:cs="Arial"/>
          <w:b/>
          <w:sz w:val="24"/>
          <w:szCs w:val="24"/>
        </w:rPr>
        <w:t xml:space="preserve"> Number of unfilled grain</w:t>
      </w:r>
    </w:p>
    <w:p w14:paraId="4DD2F003" w14:textId="77777777" w:rsidR="008638D2" w:rsidRDefault="008638D2" w:rsidP="008638D2">
      <w:pPr>
        <w:spacing w:after="120" w:line="360" w:lineRule="auto"/>
        <w:ind w:firstLine="720"/>
        <w:jc w:val="both"/>
        <w:rPr>
          <w:rFonts w:ascii="Arial" w:hAnsi="Arial" w:cs="Arial"/>
          <w:sz w:val="28"/>
        </w:rPr>
      </w:pPr>
      <w:r w:rsidRPr="00650190">
        <w:rPr>
          <w:rFonts w:ascii="Arial" w:hAnsi="Arial" w:cs="Arial"/>
          <w:sz w:val="24"/>
        </w:rPr>
        <w:t>The lowest number of unfilled grains per spike (5.6) was recorded under 80% RDN through urea + 20% FYM (T</w:t>
      </w:r>
      <w:r w:rsidRPr="00650190">
        <w:rPr>
          <w:rFonts w:ascii="Cambria Math" w:hAnsi="Cambria Math" w:cs="Cambria Math"/>
          <w:sz w:val="24"/>
        </w:rPr>
        <w:t>₅</w:t>
      </w:r>
      <w:r w:rsidRPr="00650190">
        <w:rPr>
          <w:rFonts w:ascii="Arial" w:hAnsi="Arial" w:cs="Arial"/>
          <w:sz w:val="24"/>
        </w:rPr>
        <w:t xml:space="preserve">), which was at par with all treatments except </w:t>
      </w:r>
      <w:r w:rsidRPr="00650190">
        <w:rPr>
          <w:rFonts w:ascii="Arial" w:hAnsi="Arial" w:cs="Arial"/>
          <w:sz w:val="24"/>
        </w:rPr>
        <w:lastRenderedPageBreak/>
        <w:t>control (T</w:t>
      </w:r>
      <w:r w:rsidRPr="00650190">
        <w:rPr>
          <w:rFonts w:ascii="Cambria Math" w:hAnsi="Cambria Math" w:cs="Cambria Math"/>
          <w:sz w:val="24"/>
        </w:rPr>
        <w:t>₁</w:t>
      </w:r>
      <w:r w:rsidRPr="00650190">
        <w:rPr>
          <w:rFonts w:ascii="Arial" w:hAnsi="Arial" w:cs="Arial"/>
          <w:sz w:val="24"/>
        </w:rPr>
        <w:t xml:space="preserve">), indicating better fertilization and grain setting. This may be attributed to the combined effect of urea and FYM, which ensured balanced nutrient availability during reproductive and grain-filling stages, thereby reducing spikelet abortion, minimizing grain sterility, and improving grain-filling efficiency. Similar findings were reported by </w:t>
      </w:r>
      <w:r>
        <w:rPr>
          <w:rFonts w:ascii="Arial" w:hAnsi="Arial" w:cs="Arial"/>
          <w:sz w:val="24"/>
        </w:rPr>
        <w:fldChar w:fldCharType="begin" w:fldLock="1"/>
      </w:r>
      <w:r>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2024)","plainTextFormattedCitation":"(Sharma et al., 2024)","previouslyFormattedCitation":"(Sharma et al., 2024)"},"properties":{"noteIndex":0},"schema":"https://github.com/citation-style-language/schema/raw/master/csl-citation.json"}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 xml:space="preserve">(Sharma </w:t>
      </w:r>
      <w:r w:rsidRPr="000B4021">
        <w:rPr>
          <w:rFonts w:ascii="Arial" w:hAnsi="Arial" w:cs="Arial"/>
          <w:i/>
          <w:noProof/>
          <w:sz w:val="24"/>
        </w:rPr>
        <w:t>et al</w:t>
      </w:r>
      <w:r w:rsidRPr="00C97D6A">
        <w:rPr>
          <w:rFonts w:ascii="Arial" w:hAnsi="Arial" w:cs="Arial"/>
          <w:noProof/>
          <w:sz w:val="24"/>
        </w:rPr>
        <w:t>., 2024)</w:t>
      </w:r>
      <w:r>
        <w:rPr>
          <w:rFonts w:ascii="Arial" w:hAnsi="Arial" w:cs="Arial"/>
          <w:sz w:val="24"/>
        </w:rPr>
        <w:fldChar w:fldCharType="end"/>
      </w:r>
      <w:r w:rsidR="000B4021">
        <w:rPr>
          <w:rFonts w:ascii="Arial" w:hAnsi="Arial" w:cs="Arial"/>
          <w:sz w:val="24"/>
        </w:rPr>
        <w:t xml:space="preserve"> </w:t>
      </w:r>
      <w:r w:rsidRPr="00650190">
        <w:rPr>
          <w:rFonts w:ascii="Arial" w:hAnsi="Arial" w:cs="Arial"/>
          <w:sz w:val="24"/>
        </w:rPr>
        <w:t xml:space="preserve">and </w:t>
      </w:r>
      <w:r>
        <w:rPr>
          <w:rFonts w:ascii="Arial" w:hAnsi="Arial" w:cs="Arial"/>
          <w:sz w:val="24"/>
        </w:rPr>
        <w:fldChar w:fldCharType="begin" w:fldLock="1"/>
      </w:r>
      <w:r>
        <w:rPr>
          <w:rFonts w:ascii="Arial" w:hAnsi="Arial" w:cs="Arial"/>
          <w:sz w:val="24"/>
        </w:rPr>
        <w:instrText>ADDIN CSL_CITATION {"citationItems":[{"id":"ITEM-1","itemData":{"DOI":"10.31254/phyto.2022.11209","abstract":"A field experiment was conducted during rabi season 2020-21 at the Research Farm of Kulbhaskar Ashram Post Graduate College, Prayagraj, UP to study the effect of integrated use of vermicompost, FYM and chemical fertilizers on soil properties and productivity of wheat in alluvial soil. The experiment consisted of eight treatment combinations viz., T1- Absolute control, T2- 25% RDF + 75% N through FYM, T3-50% RDF + 50% N through FYM, T4-75% RDF + 25% N through FYM, T5- 25% RDF + 75% N through vermicompost, T6-50% RDF + 50% N through vermicompost, T7-75% RDF + 25% N through vermicompost, T8-50% N through FYM + 50% N through vermicompost with three replications in Randomized Block Design (RBD). The results of experiment showed higher grain and straw yield obtained with the application of 50% RDF + 50% N through vermicompost. Maximum plant height, number of grains/spike, test weight and protein content was recorded in treatment T6 (50% RDF + 50% N through vermicompost). The data revealed that maximum harvest index (42.97%) was observed in treatment T7 (75% RDF + 25% N through vermicompost). The soil properties in respect of pH, ECe, organic carbon and available N, P &amp; K were noticed with the treatment T6 (50% RDF + 50% N through vermicompost).","author":[{"dropping-particle":"","family":"Ahmad","given":"Meraj","non-dropping-particle":"","parse-names":false,"suffix":""},{"dropping-particle":"","family":"Tripathi","given":"S K","non-dropping-particle":"","parse-names":false,"suffix":""}],"container-title":"The Journal of Phytopharmacology","id":"ITEM-1","issue":"2","issued":{"date-parts":[["2022","4","10"]]},"page":"101-106","publisher":"BioMed Research Publishers","title":"Effect of integrated use of vermicompost, FYM and chemical fertilizers on Soil properties and productivity of wheat (Triticum aestivum L.) in alluvial soil","type":"article-journal","volume":"11"},"uris":["http://www.mendeley.com/documents/?uuid=317e2225-1a65-3470-8086-7df851067b02"]}],"mendeley":{"formattedCitation":"(Ahmad &amp; Tripathi, 2022)","plainTextFormattedCitation":"(Ahmad &amp; Tripathi, 2022)","previouslyFormattedCitation":"(Ahmad &amp; Tripathi, 2022)"},"properties":{"noteIndex":0},"schema":"https://github.com/citation-style-language/schema/raw/master/csl-citation.json"}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(Ahmad &amp; Tripathi, 2022)</w:t>
      </w:r>
      <w:r>
        <w:rPr>
          <w:rFonts w:ascii="Arial" w:hAnsi="Arial" w:cs="Arial"/>
          <w:sz w:val="24"/>
        </w:rPr>
        <w:fldChar w:fldCharType="end"/>
      </w:r>
      <w:r w:rsidRPr="00650190">
        <w:rPr>
          <w:rFonts w:ascii="Arial" w:hAnsi="Arial" w:cs="Arial"/>
          <w:sz w:val="24"/>
        </w:rPr>
        <w:t>, who observed fewer unfilled grains under integrated nutrient management with organic amendments due to improved nutrient translocation, source–sink balance, and enhanced reproductive efficiency.</w:t>
      </w:r>
    </w:p>
    <w:p w14:paraId="304E7E81" w14:textId="77777777" w:rsidR="008638D2" w:rsidRDefault="008638D2" w:rsidP="008638D2">
      <w:pPr>
        <w:spacing w:after="0"/>
        <w:jc w:val="both"/>
        <w:rPr>
          <w:rFonts w:ascii="Arial" w:eastAsia="Arial Unicode MS" w:hAnsi="Arial" w:cs="Arial"/>
          <w:color w:val="000000" w:themeColor="text1"/>
          <w:sz w:val="24"/>
          <w:szCs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3</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Yield attributes as effect of integr</w:t>
      </w:r>
      <w:r w:rsidR="00970161">
        <w:rPr>
          <w:rFonts w:ascii="Arial" w:eastAsia="Arial Unicode MS" w:hAnsi="Arial" w:cs="Arial"/>
          <w:b/>
          <w:color w:val="000000" w:themeColor="text1"/>
          <w:lang w:val="en-IN"/>
        </w:rPr>
        <w:t>ated nitrogen management</w:t>
      </w:r>
    </w:p>
    <w:p w14:paraId="4E57E56B" w14:textId="77777777" w:rsidR="008638D2" w:rsidRPr="008638D2" w:rsidRDefault="008638D2" w:rsidP="008638D2">
      <w:pPr>
        <w:spacing w:after="120" w:line="360" w:lineRule="auto"/>
        <w:jc w:val="center"/>
        <w:rPr>
          <w:rFonts w:ascii="Arial" w:hAnsi="Arial" w:cs="Arial"/>
          <w:sz w:val="28"/>
        </w:rPr>
      </w:pPr>
      <w:r>
        <w:rPr>
          <w:noProof/>
        </w:rPr>
        <w:drawing>
          <wp:inline distT="0" distB="0" distL="0" distR="0" wp14:anchorId="5C4E9C49" wp14:editId="4ECE90CF">
            <wp:extent cx="5391509" cy="3071004"/>
            <wp:effectExtent l="19050" t="1905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090973" w14:textId="77777777" w:rsidR="008638D2" w:rsidRPr="00CC3BAC" w:rsidRDefault="00CC3BAC" w:rsidP="00CC3BAC">
      <w:pPr>
        <w:spacing w:before="240" w:line="360" w:lineRule="auto"/>
        <w:jc w:val="both"/>
        <w:rPr>
          <w:rFonts w:ascii="Arial" w:eastAsia="Arial Unicode MS" w:hAnsi="Arial" w:cs="Arial"/>
          <w:b/>
          <w:color w:val="000000" w:themeColor="text1"/>
          <w:sz w:val="24"/>
          <w:szCs w:val="24"/>
        </w:rPr>
      </w:pPr>
      <w:r>
        <w:rPr>
          <w:rFonts w:ascii="Arial" w:eastAsia="Arial Unicode MS" w:hAnsi="Arial" w:cs="Arial"/>
          <w:b/>
          <w:color w:val="000000" w:themeColor="text1"/>
          <w:sz w:val="24"/>
          <w:szCs w:val="24"/>
        </w:rPr>
        <w:t xml:space="preserve">4. </w:t>
      </w:r>
      <w:r w:rsidR="001C1811" w:rsidRPr="00CC3BAC">
        <w:rPr>
          <w:rFonts w:ascii="Arial" w:eastAsia="Arial Unicode MS" w:hAnsi="Arial" w:cs="Arial"/>
          <w:b/>
          <w:color w:val="000000" w:themeColor="text1"/>
          <w:sz w:val="24"/>
          <w:szCs w:val="24"/>
        </w:rPr>
        <w:t>Conclusion</w:t>
      </w:r>
    </w:p>
    <w:p w14:paraId="7EBC3081" w14:textId="77777777" w:rsidR="00D211B0" w:rsidRDefault="00CC3BAC" w:rsidP="00D211B0">
      <w:pPr>
        <w:spacing w:before="240" w:line="360" w:lineRule="auto"/>
        <w:ind w:firstLine="360"/>
        <w:jc w:val="both"/>
        <w:rPr>
          <w:rFonts w:ascii="Arial" w:eastAsia="Arial Unicode MS" w:hAnsi="Arial" w:cs="Arial"/>
          <w:b/>
          <w:color w:val="000000" w:themeColor="text1"/>
          <w:sz w:val="28"/>
          <w:szCs w:val="24"/>
        </w:rPr>
      </w:pPr>
      <w:r w:rsidRPr="00D211B0">
        <w:rPr>
          <w:rFonts w:ascii="Arial" w:hAnsi="Arial" w:cs="Arial"/>
          <w:sz w:val="24"/>
          <w:szCs w:val="24"/>
        </w:rPr>
        <w:t>The research distinctly showed that integrated nitrogen management, particularly</w:t>
      </w:r>
      <w:r w:rsidRPr="00D211B0">
        <w:rPr>
          <w:rFonts w:ascii="Arial" w:hAnsi="Arial" w:cs="Arial"/>
          <w:sz w:val="24"/>
        </w:rPr>
        <w:t xml:space="preserve"> the application of 80% RDN through urea + 20% FYM (T</w:t>
      </w:r>
      <w:r w:rsidRPr="00D211B0">
        <w:rPr>
          <w:rFonts w:ascii="Cambria Math" w:hAnsi="Cambria Math" w:cs="Cambria Math"/>
          <w:sz w:val="24"/>
        </w:rPr>
        <w:t>₅</w:t>
      </w:r>
      <w:r w:rsidRPr="00D211B0">
        <w:rPr>
          <w:rFonts w:ascii="Arial" w:hAnsi="Arial" w:cs="Arial"/>
          <w:sz w:val="24"/>
        </w:rPr>
        <w:t>), was most effective in enhancing growth and yield attributes of wheat. This treatment continuous recorded the highest plant height, number o</w:t>
      </w:r>
      <w:r w:rsidR="00F8444D" w:rsidRPr="00D211B0">
        <w:rPr>
          <w:rFonts w:ascii="Arial" w:hAnsi="Arial" w:cs="Arial"/>
          <w:sz w:val="24"/>
        </w:rPr>
        <w:t>f leaves, fresh and dry biomass</w:t>
      </w:r>
      <w:r w:rsidRPr="00D211B0">
        <w:rPr>
          <w:rFonts w:ascii="Arial" w:hAnsi="Arial" w:cs="Arial"/>
          <w:sz w:val="24"/>
        </w:rPr>
        <w:t xml:space="preserve"> </w:t>
      </w:r>
      <w:r w:rsidR="00F8444D" w:rsidRPr="00D211B0">
        <w:rPr>
          <w:rFonts w:ascii="Arial" w:hAnsi="Arial" w:cs="Arial"/>
          <w:sz w:val="24"/>
        </w:rPr>
        <w:t xml:space="preserve">and </w:t>
      </w:r>
      <w:r w:rsidRPr="00D211B0">
        <w:rPr>
          <w:rFonts w:ascii="Arial" w:hAnsi="Arial" w:cs="Arial"/>
          <w:sz w:val="24"/>
        </w:rPr>
        <w:t>number of filled grains, along with the lowest number of unfilled grains. The superiority of T</w:t>
      </w:r>
      <w:r w:rsidRPr="00D211B0">
        <w:rPr>
          <w:rFonts w:ascii="Cambria Math" w:hAnsi="Cambria Math" w:cs="Cambria Math"/>
          <w:sz w:val="24"/>
        </w:rPr>
        <w:t>₅</w:t>
      </w:r>
      <w:r w:rsidRPr="00D211B0">
        <w:rPr>
          <w:rFonts w:ascii="Arial" w:hAnsi="Arial" w:cs="Arial"/>
          <w:sz w:val="24"/>
        </w:rPr>
        <w:t xml:space="preserve"> can be attributed to the combined effect of fast-acting urea and the slow, sustained nutrient release from FYM, which ensured continuous nutrient availa</w:t>
      </w:r>
      <w:r w:rsidR="008879E6" w:rsidRPr="00D211B0">
        <w:rPr>
          <w:rFonts w:ascii="Arial" w:hAnsi="Arial" w:cs="Arial"/>
          <w:sz w:val="24"/>
        </w:rPr>
        <w:t>bility for plant</w:t>
      </w:r>
      <w:r w:rsidRPr="00D211B0">
        <w:rPr>
          <w:rFonts w:ascii="Arial" w:hAnsi="Arial" w:cs="Arial"/>
          <w:sz w:val="24"/>
        </w:rPr>
        <w:t xml:space="preserve">. In addition, FYM improved soil structure, organic carbon, microbial activity, and nutrient-use efficiency, thereby enhancing </w:t>
      </w:r>
      <w:r w:rsidR="006827E2" w:rsidRPr="00D211B0">
        <w:rPr>
          <w:rFonts w:ascii="Arial" w:hAnsi="Arial" w:cs="Arial"/>
          <w:sz w:val="24"/>
        </w:rPr>
        <w:t>photosynthesis;</w:t>
      </w:r>
      <w:r w:rsidRPr="00D211B0">
        <w:rPr>
          <w:rFonts w:ascii="Arial" w:hAnsi="Arial" w:cs="Arial"/>
          <w:sz w:val="24"/>
        </w:rPr>
        <w:t xml:space="preserve"> assimilate translocation, and reproductive success. These findings suggest that integrating FYM with </w:t>
      </w:r>
      <w:r w:rsidRPr="00D211B0">
        <w:rPr>
          <w:rFonts w:ascii="Arial" w:hAnsi="Arial" w:cs="Arial"/>
          <w:sz w:val="24"/>
        </w:rPr>
        <w:lastRenderedPageBreak/>
        <w:t>chemical nitrogen not only improves crop performance and productivity but also contributes to better soil health, making it a sustainable nutrient management practice for wheat cultivation.</w:t>
      </w:r>
    </w:p>
    <w:p w14:paraId="149DB9C1" w14:textId="6776B116" w:rsidR="00C610EC" w:rsidRPr="00D211B0" w:rsidRDefault="00D211B0" w:rsidP="00D211B0">
      <w:pPr>
        <w:spacing w:before="240" w:line="360" w:lineRule="auto"/>
        <w:jc w:val="both"/>
        <w:rPr>
          <w:rFonts w:ascii="Arial" w:eastAsia="Arial Unicode MS" w:hAnsi="Arial" w:cs="Arial"/>
          <w:b/>
          <w:color w:val="000000" w:themeColor="text1"/>
          <w:sz w:val="28"/>
          <w:szCs w:val="24"/>
        </w:rPr>
      </w:pPr>
      <w:r>
        <w:rPr>
          <w:rFonts w:ascii="Arial" w:eastAsia="Arial Unicode MS" w:hAnsi="Arial" w:cs="Arial"/>
          <w:b/>
          <w:color w:val="000000" w:themeColor="text1"/>
          <w:sz w:val="28"/>
          <w:szCs w:val="24"/>
        </w:rPr>
        <w:t xml:space="preserve">5. </w:t>
      </w:r>
      <w:r w:rsidR="005F6C4E">
        <w:rPr>
          <w:rFonts w:ascii="Arial" w:eastAsia="Times New Roman" w:hAnsi="Arial" w:cs="Arial"/>
          <w:b/>
          <w:sz w:val="24"/>
          <w:szCs w:val="24"/>
        </w:rPr>
        <w:t>References</w:t>
      </w:r>
    </w:p>
    <w:p w14:paraId="01EBE261" w14:textId="77777777" w:rsidR="000774C5" w:rsidRPr="000774C5" w:rsidRDefault="00327AC9"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Pr>
          <w:rFonts w:ascii="Arial" w:eastAsia="Times New Roman" w:hAnsi="Arial" w:cs="Arial"/>
          <w:b/>
          <w:sz w:val="24"/>
          <w:szCs w:val="24"/>
        </w:rPr>
        <w:fldChar w:fldCharType="begin" w:fldLock="1"/>
      </w:r>
      <w:r>
        <w:rPr>
          <w:rFonts w:ascii="Arial" w:eastAsia="Times New Roman" w:hAnsi="Arial" w:cs="Arial"/>
          <w:b/>
          <w:sz w:val="24"/>
          <w:szCs w:val="24"/>
        </w:rPr>
        <w:instrText xml:space="preserve">ADDIN Mendeley Bibliography CSL_BIBLIOGRAPHY </w:instrText>
      </w:r>
      <w:r>
        <w:rPr>
          <w:rFonts w:ascii="Arial" w:eastAsia="Times New Roman" w:hAnsi="Arial" w:cs="Arial"/>
          <w:b/>
          <w:sz w:val="24"/>
          <w:szCs w:val="24"/>
        </w:rPr>
        <w:fldChar w:fldCharType="separate"/>
      </w:r>
      <w:r w:rsidR="000774C5" w:rsidRPr="000774C5">
        <w:rPr>
          <w:rFonts w:ascii="Arial" w:hAnsi="Arial" w:cs="Arial"/>
          <w:noProof/>
          <w:sz w:val="24"/>
          <w:szCs w:val="24"/>
        </w:rPr>
        <w:t xml:space="preserve">Aakash, Singh, M. K., Saikia, N., Bhayal, L., &amp; Hayal, D. (2023). Effect of integrated nutrient management on growth, yield attributes and yield of green pea in humid subtropical climate of Indo-gangetic Plains Publisher. </w:t>
      </w:r>
      <w:r w:rsidR="000774C5" w:rsidRPr="000774C5">
        <w:rPr>
          <w:rFonts w:ascii="Arial" w:hAnsi="Arial" w:cs="Arial"/>
          <w:i/>
          <w:iCs/>
          <w:noProof/>
          <w:sz w:val="24"/>
          <w:szCs w:val="24"/>
        </w:rPr>
        <w:t>Annals of Agricultural Research</w:t>
      </w:r>
      <w:r w:rsidR="000774C5" w:rsidRPr="000774C5">
        <w:rPr>
          <w:rFonts w:ascii="Arial" w:hAnsi="Arial" w:cs="Arial"/>
          <w:noProof/>
          <w:sz w:val="24"/>
          <w:szCs w:val="24"/>
        </w:rPr>
        <w:t xml:space="preserve">, </w:t>
      </w:r>
      <w:r w:rsidR="000774C5" w:rsidRPr="000774C5">
        <w:rPr>
          <w:rFonts w:ascii="Arial" w:hAnsi="Arial" w:cs="Arial"/>
          <w:i/>
          <w:iCs/>
          <w:noProof/>
          <w:sz w:val="24"/>
          <w:szCs w:val="24"/>
        </w:rPr>
        <w:t>44</w:t>
      </w:r>
      <w:r w:rsidR="000774C5" w:rsidRPr="000774C5">
        <w:rPr>
          <w:rFonts w:ascii="Arial" w:hAnsi="Arial" w:cs="Arial"/>
          <w:noProof/>
          <w:sz w:val="24"/>
          <w:szCs w:val="24"/>
        </w:rPr>
        <w:t>(2), 190–196.</w:t>
      </w:r>
    </w:p>
    <w:p w14:paraId="51585EB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0774C5">
        <w:rPr>
          <w:rFonts w:ascii="Arial" w:hAnsi="Arial" w:cs="Arial"/>
          <w:i/>
          <w:iCs/>
          <w:noProof/>
          <w:sz w:val="24"/>
          <w:szCs w:val="24"/>
        </w:rPr>
        <w:t>Sustainability</w:t>
      </w:r>
      <w:r w:rsidRPr="000774C5">
        <w:rPr>
          <w:rFonts w:ascii="Arial" w:hAnsi="Arial" w:cs="Arial"/>
          <w:noProof/>
          <w:sz w:val="24"/>
          <w:szCs w:val="24"/>
        </w:rPr>
        <w:t xml:space="preserve">, </w:t>
      </w:r>
      <w:r w:rsidRPr="000774C5">
        <w:rPr>
          <w:rFonts w:ascii="Arial" w:hAnsi="Arial" w:cs="Arial"/>
          <w:i/>
          <w:iCs/>
          <w:noProof/>
          <w:sz w:val="24"/>
          <w:szCs w:val="24"/>
        </w:rPr>
        <w:t>14</w:t>
      </w:r>
      <w:r w:rsidRPr="000774C5">
        <w:rPr>
          <w:rFonts w:ascii="Arial" w:hAnsi="Arial" w:cs="Arial"/>
          <w:noProof/>
          <w:sz w:val="24"/>
          <w:szCs w:val="24"/>
        </w:rPr>
        <w:t>(5), 3116. https://doi.org/10.3390/su14053116</w:t>
      </w:r>
    </w:p>
    <w:p w14:paraId="46370E51"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Ahmad, M., &amp; Tripathi, S. K. (2022). Effect of integrated use of vermicompost, FYM and chemical fertilizers on Soil properties and productivity of wheat (Triticum aestivum L.) in alluvial soil. </w:t>
      </w:r>
      <w:r w:rsidRPr="000774C5">
        <w:rPr>
          <w:rFonts w:ascii="Arial" w:hAnsi="Arial" w:cs="Arial"/>
          <w:i/>
          <w:iCs/>
          <w:noProof/>
          <w:sz w:val="24"/>
          <w:szCs w:val="24"/>
        </w:rPr>
        <w:t>The Journal of Phytopharmacology</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(2), 101–106. https://doi.org/10.31254/phyto.2022.11209</w:t>
      </w:r>
    </w:p>
    <w:p w14:paraId="492D16DC"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Alam, S. M. (2013). Growth and yield potential of wheat as affected by management practices. </w:t>
      </w:r>
      <w:r w:rsidRPr="000774C5">
        <w:rPr>
          <w:rFonts w:ascii="Arial" w:hAnsi="Arial" w:cs="Arial"/>
          <w:i/>
          <w:iCs/>
          <w:noProof/>
          <w:sz w:val="24"/>
          <w:szCs w:val="24"/>
        </w:rPr>
        <w:t>African Journal of Agricultural Research</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(47), 6068–6072.</w:t>
      </w:r>
    </w:p>
    <w:p w14:paraId="61D2E32A"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Bhayal, L., Aakash, Jain, M. P., Bhayal, D., &amp; Meena, K. (2022). Impact of Foliar Spray of NPK and Zn on Soybean for Growth, Yield, Quality, Energetics and Carbon Footprint under Dryland Condition at Indore. </w:t>
      </w:r>
      <w:r w:rsidRPr="000774C5">
        <w:rPr>
          <w:rFonts w:ascii="Arial" w:hAnsi="Arial" w:cs="Arial"/>
          <w:i/>
          <w:iCs/>
          <w:noProof/>
          <w:sz w:val="24"/>
          <w:szCs w:val="24"/>
        </w:rPr>
        <w:t>Legume Research An International Journal</w:t>
      </w:r>
      <w:r w:rsidRPr="000774C5">
        <w:rPr>
          <w:rFonts w:ascii="Arial" w:hAnsi="Arial" w:cs="Arial"/>
          <w:noProof/>
          <w:sz w:val="24"/>
          <w:szCs w:val="24"/>
        </w:rPr>
        <w:t xml:space="preserve">, </w:t>
      </w:r>
      <w:r w:rsidRPr="000774C5">
        <w:rPr>
          <w:rFonts w:ascii="Arial" w:hAnsi="Arial" w:cs="Arial"/>
          <w:i/>
          <w:iCs/>
          <w:noProof/>
          <w:sz w:val="24"/>
          <w:szCs w:val="24"/>
        </w:rPr>
        <w:t>45</w:t>
      </w:r>
      <w:r w:rsidRPr="000774C5">
        <w:rPr>
          <w:rFonts w:ascii="Arial" w:hAnsi="Arial" w:cs="Arial"/>
          <w:noProof/>
          <w:sz w:val="24"/>
          <w:szCs w:val="24"/>
        </w:rPr>
        <w:t>(2), 174–181. https://doi.org/10.18805/LR-4748</w:t>
      </w:r>
    </w:p>
    <w:p w14:paraId="7261BC03"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Bhayal, L., Kewat, M. L., Bhayal, D., Aakash, ., Jha, A. K., &amp; Badkul, A. J. (2022). Influence of different sowing dates and nutrient management on yield attributes and yield of wheat (Triticum aestivum L.).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362–367. https://doi.org/10.9734/ijpss/2022/v34i2231385</w:t>
      </w:r>
    </w:p>
    <w:p w14:paraId="2A76C5AA"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FAO. (2023). Agricultural production statistics 2000–2022. FAOSTAT Analytical Briefs, No. 79. Rome. https://doi.org/10.4060/cc9205en. Date accessed: 20th </w:t>
      </w:r>
      <w:r w:rsidRPr="000774C5">
        <w:rPr>
          <w:rFonts w:ascii="Arial" w:hAnsi="Arial" w:cs="Arial"/>
          <w:noProof/>
          <w:sz w:val="24"/>
          <w:szCs w:val="24"/>
        </w:rPr>
        <w:lastRenderedPageBreak/>
        <w:t xml:space="preserve">Npvember 2024. </w:t>
      </w:r>
      <w:r w:rsidRPr="000774C5">
        <w:rPr>
          <w:rFonts w:ascii="Arial" w:hAnsi="Arial" w:cs="Arial"/>
          <w:i/>
          <w:iCs/>
          <w:noProof/>
          <w:sz w:val="24"/>
          <w:szCs w:val="24"/>
        </w:rPr>
        <w:t>Agricultural Production Statistics 2000–2021</w:t>
      </w:r>
      <w:r w:rsidRPr="000774C5">
        <w:rPr>
          <w:rFonts w:ascii="Arial" w:hAnsi="Arial" w:cs="Arial"/>
          <w:noProof/>
          <w:sz w:val="24"/>
          <w:szCs w:val="24"/>
        </w:rPr>
        <w:t>, 1–16.</w:t>
      </w:r>
    </w:p>
    <w:p w14:paraId="2989C6E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Fazily, T. (2021). Effect of integrated nutrient management on growth, yield attributes and yield of wheat. </w:t>
      </w:r>
      <w:r w:rsidRPr="000774C5">
        <w:rPr>
          <w:rFonts w:ascii="Arial" w:hAnsi="Arial" w:cs="Arial"/>
          <w:i/>
          <w:iCs/>
          <w:noProof/>
          <w:sz w:val="24"/>
          <w:szCs w:val="24"/>
        </w:rPr>
        <w:t>International Journal of Advances in Agricultural Science and Technology</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(1), 106–118. https://doi.org/10.47856/ijaast.2021.v08i1.014</w:t>
      </w:r>
    </w:p>
    <w:p w14:paraId="25A14678"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GOI. (2024). </w:t>
      </w:r>
      <w:r w:rsidRPr="000774C5">
        <w:rPr>
          <w:rFonts w:ascii="Arial" w:hAnsi="Arial" w:cs="Arial"/>
          <w:i/>
          <w:iCs/>
          <w:noProof/>
          <w:sz w:val="24"/>
          <w:szCs w:val="24"/>
        </w:rPr>
        <w:t>Economic Survey 2024-25 Statistical appendix</w:t>
      </w:r>
      <w:r w:rsidRPr="000774C5">
        <w:rPr>
          <w:rFonts w:ascii="Arial" w:hAnsi="Arial" w:cs="Arial"/>
          <w:noProof/>
          <w:sz w:val="24"/>
          <w:szCs w:val="24"/>
        </w:rPr>
        <w:t xml:space="preserve"> (p. 43).</w:t>
      </w:r>
    </w:p>
    <w:p w14:paraId="3719314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Iqbal, M. J., Shams, N., &amp; Fatima, K. (2022). Nutritional Quality of Wheat. In </w:t>
      </w:r>
      <w:r w:rsidRPr="000774C5">
        <w:rPr>
          <w:rFonts w:ascii="Arial" w:hAnsi="Arial" w:cs="Arial"/>
          <w:i/>
          <w:iCs/>
          <w:noProof/>
          <w:sz w:val="24"/>
          <w:szCs w:val="24"/>
        </w:rPr>
        <w:t>Wheat</w:t>
      </w:r>
      <w:r w:rsidRPr="000774C5">
        <w:rPr>
          <w:rFonts w:ascii="Arial" w:hAnsi="Arial" w:cs="Arial"/>
          <w:noProof/>
          <w:sz w:val="24"/>
          <w:szCs w:val="24"/>
        </w:rPr>
        <w:t>. IntechOpen. https://doi.org/10.5772/intechopen.104659</w:t>
      </w:r>
    </w:p>
    <w:p w14:paraId="5C852A4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Iqbal, M. M. (2012). Integrated nitrogen management for sustainable crop production. </w:t>
      </w:r>
      <w:r w:rsidRPr="000774C5">
        <w:rPr>
          <w:rFonts w:ascii="Arial" w:hAnsi="Arial" w:cs="Arial"/>
          <w:i/>
          <w:iCs/>
          <w:noProof/>
          <w:sz w:val="24"/>
          <w:szCs w:val="24"/>
        </w:rPr>
        <w:t>Journal of Agricultural Science and Technology</w:t>
      </w:r>
      <w:r w:rsidRPr="000774C5">
        <w:rPr>
          <w:rFonts w:ascii="Arial" w:hAnsi="Arial" w:cs="Arial"/>
          <w:noProof/>
          <w:sz w:val="24"/>
          <w:szCs w:val="24"/>
        </w:rPr>
        <w:t xml:space="preserve">, </w:t>
      </w:r>
      <w:r w:rsidRPr="000774C5">
        <w:rPr>
          <w:rFonts w:ascii="Arial" w:hAnsi="Arial" w:cs="Arial"/>
          <w:i/>
          <w:iCs/>
          <w:noProof/>
          <w:sz w:val="24"/>
          <w:szCs w:val="24"/>
        </w:rPr>
        <w:t>150</w:t>
      </w:r>
      <w:r w:rsidRPr="000774C5">
        <w:rPr>
          <w:rFonts w:ascii="Arial" w:hAnsi="Arial" w:cs="Arial"/>
          <w:noProof/>
          <w:sz w:val="24"/>
          <w:szCs w:val="24"/>
        </w:rPr>
        <w:t>(6), 751–762.</w:t>
      </w:r>
    </w:p>
    <w:p w14:paraId="7BB4587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Kaur, R., Kumar, S., &amp; Kaur. (2018). Effect of integrated nutrient management on growth and yield of wheat (Triticum aestivum L.) under irrigated conditions.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6</w:t>
      </w:r>
      <w:r w:rsidRPr="000774C5">
        <w:rPr>
          <w:rFonts w:ascii="Arial" w:hAnsi="Arial" w:cs="Arial"/>
          <w:noProof/>
          <w:sz w:val="24"/>
          <w:szCs w:val="24"/>
        </w:rPr>
        <w:t>(4), 1800–1803.</w:t>
      </w:r>
    </w:p>
    <w:p w14:paraId="50B373B3"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&amp; Kumar, M. (2025). Effects of integrated nutrient management on wheat growth and yield under late-sown conditions. </w:t>
      </w:r>
      <w:r w:rsidRPr="000774C5">
        <w:rPr>
          <w:rFonts w:ascii="Arial" w:hAnsi="Arial" w:cs="Arial"/>
          <w:i/>
          <w:iCs/>
          <w:noProof/>
          <w:sz w:val="24"/>
          <w:szCs w:val="24"/>
        </w:rPr>
        <w:t>International Journal of Research in Agronomy</w:t>
      </w:r>
      <w:r w:rsidRPr="000774C5">
        <w:rPr>
          <w:rFonts w:ascii="Arial" w:hAnsi="Arial" w:cs="Arial"/>
          <w:noProof/>
          <w:sz w:val="24"/>
          <w:szCs w:val="24"/>
        </w:rPr>
        <w:t xml:space="preserve">, </w:t>
      </w:r>
      <w:r w:rsidRPr="000774C5">
        <w:rPr>
          <w:rFonts w:ascii="Arial" w:hAnsi="Arial" w:cs="Arial"/>
          <w:i/>
          <w:iCs/>
          <w:noProof/>
          <w:sz w:val="24"/>
          <w:szCs w:val="24"/>
        </w:rPr>
        <w:t>8</w:t>
      </w:r>
      <w:r w:rsidRPr="000774C5">
        <w:rPr>
          <w:rFonts w:ascii="Arial" w:hAnsi="Arial" w:cs="Arial"/>
          <w:noProof/>
          <w:sz w:val="24"/>
          <w:szCs w:val="24"/>
        </w:rPr>
        <w:t>(5), 375–382. https://doi.org/10.33545/2618060X.2025.v8.i5e.2922</w:t>
      </w:r>
    </w:p>
    <w:p w14:paraId="0F6A6E2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Singh, R. K., Singh, J. K., Aakash, Kumari, S., Chandel, S. K. S., Jyothsna, K., &amp; Solanki, A. (2023). Effect of crop establishment methods and irrigation scheduling on growth and soil nutrient status of wheat. </w:t>
      </w:r>
      <w:r w:rsidRPr="000774C5">
        <w:rPr>
          <w:rFonts w:ascii="Arial" w:hAnsi="Arial" w:cs="Arial"/>
          <w:i/>
          <w:iCs/>
          <w:noProof/>
          <w:sz w:val="24"/>
          <w:szCs w:val="24"/>
        </w:rPr>
        <w:t>Current Journal of Applied Science and Technology</w:t>
      </w:r>
      <w:r w:rsidRPr="000774C5">
        <w:rPr>
          <w:rFonts w:ascii="Arial" w:hAnsi="Arial" w:cs="Arial"/>
          <w:noProof/>
          <w:sz w:val="24"/>
          <w:szCs w:val="24"/>
        </w:rPr>
        <w:t xml:space="preserve">, </w:t>
      </w:r>
      <w:r w:rsidRPr="000774C5">
        <w:rPr>
          <w:rFonts w:ascii="Arial" w:hAnsi="Arial" w:cs="Arial"/>
          <w:i/>
          <w:iCs/>
          <w:noProof/>
          <w:sz w:val="24"/>
          <w:szCs w:val="24"/>
        </w:rPr>
        <w:t>42</w:t>
      </w:r>
      <w:r w:rsidRPr="000774C5">
        <w:rPr>
          <w:rFonts w:ascii="Arial" w:hAnsi="Arial" w:cs="Arial"/>
          <w:noProof/>
          <w:sz w:val="24"/>
          <w:szCs w:val="24"/>
        </w:rPr>
        <w:t>(47), 32–42. https://doi.org/10.9734/cjast/2023/v42i474314</w:t>
      </w:r>
    </w:p>
    <w:p w14:paraId="01116727"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Kumar, A., &amp; Tripathi, S. K. (2022). Effect of Integrated use of Organic, Inorganic and BioFertilizers on Soil Fertility and Productivity of Wheat (Triticum aestivum L.). </w:t>
      </w:r>
      <w:r w:rsidRPr="000774C5">
        <w:rPr>
          <w:rFonts w:ascii="Arial" w:hAnsi="Arial" w:cs="Arial"/>
          <w:i/>
          <w:iCs/>
          <w:noProof/>
          <w:sz w:val="24"/>
          <w:szCs w:val="24"/>
        </w:rPr>
        <w:t>The Journal of Phytopharmacology</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(2), 92–96.</w:t>
      </w:r>
    </w:p>
    <w:p w14:paraId="13AEFC7E"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Panigrahi, T., Singh, S., Bijoy, K. M., MK, A., Gupta, A. V. K., &amp; Ashutosh. (2022). Influence of integrated nutrient management on yield and nutrient uptake of wheat crop (Triticum aestivum L.). </w:t>
      </w:r>
      <w:r w:rsidRPr="000774C5">
        <w:rPr>
          <w:rFonts w:ascii="Arial" w:hAnsi="Arial" w:cs="Arial"/>
          <w:i/>
          <w:iCs/>
          <w:noProof/>
          <w:sz w:val="24"/>
          <w:szCs w:val="24"/>
        </w:rPr>
        <w:t>The Pharma Innovation Journal</w:t>
      </w:r>
      <w:r w:rsidRPr="000774C5">
        <w:rPr>
          <w:rFonts w:ascii="Arial" w:hAnsi="Arial" w:cs="Arial"/>
          <w:noProof/>
          <w:sz w:val="24"/>
          <w:szCs w:val="24"/>
        </w:rPr>
        <w:t xml:space="preserve">, </w:t>
      </w:r>
      <w:r w:rsidRPr="000774C5">
        <w:rPr>
          <w:rFonts w:ascii="Arial" w:hAnsi="Arial" w:cs="Arial"/>
          <w:i/>
          <w:iCs/>
          <w:noProof/>
          <w:sz w:val="24"/>
          <w:szCs w:val="24"/>
        </w:rPr>
        <w:t>11</w:t>
      </w:r>
      <w:r w:rsidRPr="000774C5">
        <w:rPr>
          <w:rFonts w:ascii="Arial" w:hAnsi="Arial" w:cs="Arial"/>
          <w:noProof/>
          <w:sz w:val="24"/>
          <w:szCs w:val="24"/>
        </w:rPr>
        <w:t>(7), 2598–2601.</w:t>
      </w:r>
    </w:p>
    <w:p w14:paraId="3B191F87"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lastRenderedPageBreak/>
        <w:t xml:space="preserve">Patel, T. G., Patel, D. K. C., &amp; Patel, V. (2017). Effect of integrated nutrient management on yield attributes and yield of wheat (Triticum aestivum L.).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5</w:t>
      </w:r>
      <w:r w:rsidRPr="000774C5">
        <w:rPr>
          <w:rFonts w:ascii="Arial" w:hAnsi="Arial" w:cs="Arial"/>
          <w:noProof/>
          <w:sz w:val="24"/>
          <w:szCs w:val="24"/>
        </w:rPr>
        <w:t>(4), 1366–1369.</w:t>
      </w:r>
    </w:p>
    <w:p w14:paraId="4DDB546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Patyal, A., Shekhar, C., Sachan, R., Kumar, D., Yadav, A., &amp; Kumar, G. (2022). Effect of integrated nutrient management (INM) on growth parameters and yield of wheat (Triticum aestivum L.).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962–967. https://doi.org/10.9734/ijpss/2022/v34i2231457</w:t>
      </w:r>
    </w:p>
    <w:p w14:paraId="7241A0D2"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Prajapat, L., A., Saxena, &amp; R. (2018). Thermal requirements of wheat (Triticum aestivum L.) cultivars under different growing environments. </w:t>
      </w:r>
      <w:r w:rsidRPr="000774C5">
        <w:rPr>
          <w:rFonts w:ascii="Arial" w:hAnsi="Arial" w:cs="Arial"/>
          <w:i/>
          <w:iCs/>
          <w:noProof/>
          <w:sz w:val="24"/>
          <w:szCs w:val="24"/>
        </w:rPr>
        <w:t>International Journal of Chemical Studies</w:t>
      </w:r>
      <w:r w:rsidRPr="000774C5">
        <w:rPr>
          <w:rFonts w:ascii="Arial" w:hAnsi="Arial" w:cs="Arial"/>
          <w:noProof/>
          <w:sz w:val="24"/>
          <w:szCs w:val="24"/>
        </w:rPr>
        <w:t xml:space="preserve">, </w:t>
      </w:r>
      <w:r w:rsidRPr="000774C5">
        <w:rPr>
          <w:rFonts w:ascii="Arial" w:hAnsi="Arial" w:cs="Arial"/>
          <w:i/>
          <w:iCs/>
          <w:noProof/>
          <w:sz w:val="24"/>
          <w:szCs w:val="24"/>
        </w:rPr>
        <w:t>6</w:t>
      </w:r>
      <w:r w:rsidRPr="000774C5">
        <w:rPr>
          <w:rFonts w:ascii="Arial" w:hAnsi="Arial" w:cs="Arial"/>
          <w:noProof/>
          <w:sz w:val="24"/>
          <w:szCs w:val="24"/>
        </w:rPr>
        <w:t>(5), 17–22.</w:t>
      </w:r>
    </w:p>
    <w:p w14:paraId="5AC39B5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Rathwa, G. P., Mevada, D. K., Ombase, C. K., Dodiya, J. C., Bhadu, Purabiya, S. V., &amp; Saiyad, M. M. (2018). Integrated nitrogen management through different sources on growth and yield of wheat (Triticum aestivum L.). </w:t>
      </w:r>
      <w:r w:rsidRPr="000774C5">
        <w:rPr>
          <w:rFonts w:ascii="Arial" w:hAnsi="Arial" w:cs="Arial"/>
          <w:i/>
          <w:iCs/>
          <w:noProof/>
          <w:sz w:val="24"/>
          <w:szCs w:val="24"/>
        </w:rPr>
        <w:t>Journal of Pure and Applied Microbiology</w:t>
      </w:r>
      <w:r w:rsidRPr="000774C5">
        <w:rPr>
          <w:rFonts w:ascii="Arial" w:hAnsi="Arial" w:cs="Arial"/>
          <w:noProof/>
          <w:sz w:val="24"/>
          <w:szCs w:val="24"/>
        </w:rPr>
        <w:t xml:space="preserve">, </w:t>
      </w:r>
      <w:r w:rsidRPr="000774C5">
        <w:rPr>
          <w:rFonts w:ascii="Arial" w:hAnsi="Arial" w:cs="Arial"/>
          <w:i/>
          <w:iCs/>
          <w:noProof/>
          <w:sz w:val="24"/>
          <w:szCs w:val="24"/>
        </w:rPr>
        <w:t>12</w:t>
      </w:r>
      <w:r w:rsidRPr="000774C5">
        <w:rPr>
          <w:rFonts w:ascii="Arial" w:hAnsi="Arial" w:cs="Arial"/>
          <w:noProof/>
          <w:sz w:val="24"/>
          <w:szCs w:val="24"/>
        </w:rPr>
        <w:t>(2), 905–911.</w:t>
      </w:r>
    </w:p>
    <w:p w14:paraId="1D2B269C"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Sharma, A., Singh, I., Behl,K., R., Mehla, P., O., Tomar, V., &amp; Yadav, G. (2024). Effect of integrated nutrient management on growth yield and economics of late sown wheat (Triticum aestivum L.). </w:t>
      </w:r>
      <w:r w:rsidRPr="000774C5">
        <w:rPr>
          <w:rFonts w:ascii="Arial" w:hAnsi="Arial" w:cs="Arial"/>
          <w:i/>
          <w:iCs/>
          <w:noProof/>
          <w:sz w:val="24"/>
          <w:szCs w:val="24"/>
        </w:rPr>
        <w:t>International Journal of Research in Agronomy</w:t>
      </w:r>
      <w:r w:rsidRPr="000774C5">
        <w:rPr>
          <w:rFonts w:ascii="Arial" w:hAnsi="Arial" w:cs="Arial"/>
          <w:noProof/>
          <w:sz w:val="24"/>
          <w:szCs w:val="24"/>
        </w:rPr>
        <w:t xml:space="preserve">, </w:t>
      </w:r>
      <w:r w:rsidRPr="000774C5">
        <w:rPr>
          <w:rFonts w:ascii="Arial" w:hAnsi="Arial" w:cs="Arial"/>
          <w:i/>
          <w:iCs/>
          <w:noProof/>
          <w:sz w:val="24"/>
          <w:szCs w:val="24"/>
        </w:rPr>
        <w:t>7</w:t>
      </w:r>
      <w:r w:rsidRPr="000774C5">
        <w:rPr>
          <w:rFonts w:ascii="Arial" w:hAnsi="Arial" w:cs="Arial"/>
          <w:noProof/>
          <w:sz w:val="24"/>
          <w:szCs w:val="24"/>
        </w:rPr>
        <w:t>(7), 202–205.</w:t>
      </w:r>
    </w:p>
    <w:p w14:paraId="1B74E586"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H., Ingle, S. R., Pratap, T., Raizada, Singh, S., Parihar, P. K., Singh, R., &amp; AKS. (2020). Effect of integrated nutrient management on nitrogen content, uptake and quality of wheat (Triticum aestivum L.) under partially reclaimed sodic soil. </w:t>
      </w:r>
      <w:r w:rsidRPr="000774C5">
        <w:rPr>
          <w:rFonts w:ascii="Arial" w:hAnsi="Arial" w:cs="Arial"/>
          <w:i/>
          <w:iCs/>
          <w:noProof/>
          <w:sz w:val="24"/>
          <w:szCs w:val="24"/>
        </w:rPr>
        <w:t>The Pharma Innovation Journal</w:t>
      </w:r>
      <w:r w:rsidRPr="000774C5">
        <w:rPr>
          <w:rFonts w:ascii="Arial" w:hAnsi="Arial" w:cs="Arial"/>
          <w:noProof/>
          <w:sz w:val="24"/>
          <w:szCs w:val="24"/>
        </w:rPr>
        <w:t xml:space="preserve">, </w:t>
      </w:r>
      <w:r w:rsidRPr="000774C5">
        <w:rPr>
          <w:rFonts w:ascii="Arial" w:hAnsi="Arial" w:cs="Arial"/>
          <w:i/>
          <w:iCs/>
          <w:noProof/>
          <w:sz w:val="24"/>
          <w:szCs w:val="24"/>
        </w:rPr>
        <w:t>9</w:t>
      </w:r>
      <w:r w:rsidRPr="000774C5">
        <w:rPr>
          <w:rFonts w:ascii="Arial" w:hAnsi="Arial" w:cs="Arial"/>
          <w:noProof/>
          <w:sz w:val="24"/>
          <w:szCs w:val="24"/>
        </w:rPr>
        <w:t>(5), 299–301.</w:t>
      </w:r>
    </w:p>
    <w:p w14:paraId="6E95F7A8"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R., Singh, &amp; V. (2016). Effect of farmyard manure and inorganic fertilizers on growth, dry matter accumulation and yield of wheat (Triticum aestivum L.). </w:t>
      </w:r>
      <w:r w:rsidRPr="000774C5">
        <w:rPr>
          <w:rFonts w:ascii="Arial" w:hAnsi="Arial" w:cs="Arial"/>
          <w:i/>
          <w:iCs/>
          <w:noProof/>
          <w:sz w:val="24"/>
          <w:szCs w:val="24"/>
        </w:rPr>
        <w:t>International Journal of Agricultural Sciences</w:t>
      </w:r>
      <w:r w:rsidRPr="000774C5">
        <w:rPr>
          <w:rFonts w:ascii="Arial" w:hAnsi="Arial" w:cs="Arial"/>
          <w:noProof/>
          <w:sz w:val="24"/>
          <w:szCs w:val="24"/>
        </w:rPr>
        <w:t xml:space="preserve">, </w:t>
      </w:r>
      <w:r w:rsidRPr="000774C5">
        <w:rPr>
          <w:rFonts w:ascii="Arial" w:hAnsi="Arial" w:cs="Arial"/>
          <w:i/>
          <w:iCs/>
          <w:noProof/>
          <w:sz w:val="24"/>
          <w:szCs w:val="24"/>
        </w:rPr>
        <w:t>8(5)</w:t>
      </w:r>
      <w:r w:rsidRPr="000774C5">
        <w:rPr>
          <w:rFonts w:ascii="Arial" w:hAnsi="Arial" w:cs="Arial"/>
          <w:noProof/>
          <w:sz w:val="24"/>
          <w:szCs w:val="24"/>
        </w:rPr>
        <w:t>, 856–860.</w:t>
      </w:r>
    </w:p>
    <w:p w14:paraId="0A4AC7CB"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Singh, S. R., Singh, M. K., Aakash, Meena, K., &amp; Vishwakarma, S. P. (2021). Effect of Different NPK Levels on Fodder Production of Sudan Grass (Sorghum bicolor var. Sudanese). </w:t>
      </w:r>
      <w:r w:rsidRPr="000774C5">
        <w:rPr>
          <w:rFonts w:ascii="Arial" w:hAnsi="Arial" w:cs="Arial"/>
          <w:i/>
          <w:iCs/>
          <w:noProof/>
          <w:sz w:val="24"/>
          <w:szCs w:val="24"/>
        </w:rPr>
        <w:t>International Journal of Bio-Resource and Stress Management</w:t>
      </w:r>
      <w:r w:rsidRPr="000774C5">
        <w:rPr>
          <w:rFonts w:ascii="Arial" w:hAnsi="Arial" w:cs="Arial"/>
          <w:noProof/>
          <w:sz w:val="24"/>
          <w:szCs w:val="24"/>
        </w:rPr>
        <w:t xml:space="preserve">, </w:t>
      </w:r>
      <w:r w:rsidRPr="000774C5">
        <w:rPr>
          <w:rFonts w:ascii="Arial" w:hAnsi="Arial" w:cs="Arial"/>
          <w:i/>
          <w:iCs/>
          <w:noProof/>
          <w:sz w:val="24"/>
          <w:szCs w:val="24"/>
        </w:rPr>
        <w:t>12</w:t>
      </w:r>
      <w:r w:rsidRPr="000774C5">
        <w:rPr>
          <w:rFonts w:ascii="Arial" w:hAnsi="Arial" w:cs="Arial"/>
          <w:noProof/>
          <w:sz w:val="24"/>
          <w:szCs w:val="24"/>
        </w:rPr>
        <w:t>(3), 199–204. https://doi.org/10.23910/1.2021.2229</w:t>
      </w:r>
    </w:p>
    <w:p w14:paraId="71DF6F9D"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lastRenderedPageBreak/>
        <w:t xml:space="preserve">USDA. (2025). </w:t>
      </w:r>
      <w:r w:rsidRPr="000774C5">
        <w:rPr>
          <w:rFonts w:ascii="Arial" w:hAnsi="Arial" w:cs="Arial"/>
          <w:i/>
          <w:iCs/>
          <w:noProof/>
          <w:sz w:val="24"/>
          <w:szCs w:val="24"/>
        </w:rPr>
        <w:t>Top wheat producing countries</w:t>
      </w:r>
      <w:r w:rsidRPr="000774C5">
        <w:rPr>
          <w:rFonts w:ascii="Arial" w:hAnsi="Arial" w:cs="Arial"/>
          <w:noProof/>
          <w:sz w:val="24"/>
          <w:szCs w:val="24"/>
        </w:rPr>
        <w:t>. Foreign Agricultural Service (FAS) IUnited States Department of Agriculture’s (USDA).</w:t>
      </w:r>
    </w:p>
    <w:p w14:paraId="23C9D512"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0774C5">
        <w:rPr>
          <w:rFonts w:ascii="Arial" w:hAnsi="Arial" w:cs="Arial"/>
          <w:noProof/>
          <w:sz w:val="24"/>
          <w:szCs w:val="24"/>
        </w:rPr>
        <w:t xml:space="preserve">Verma, H., Pathak, R. K., Kumar, A., Sachan, R., Pandey, H. P., Tiwari, A., &amp; Yadav, A. S. (2022). Effect of Integrated Nutrient Management on Growth Parameters, Yield Components and Yield of Wheat (Triticum aestivum L.) under Central Plain Zone of Uttar Pradesh. </w:t>
      </w:r>
      <w:r w:rsidRPr="000774C5">
        <w:rPr>
          <w:rFonts w:ascii="Arial" w:hAnsi="Arial" w:cs="Arial"/>
          <w:i/>
          <w:iCs/>
          <w:noProof/>
          <w:sz w:val="24"/>
          <w:szCs w:val="24"/>
        </w:rPr>
        <w:t>International Journal of Plant &amp; Soil Science</w:t>
      </w:r>
      <w:r w:rsidRPr="000774C5">
        <w:rPr>
          <w:rFonts w:ascii="Arial" w:hAnsi="Arial" w:cs="Arial"/>
          <w:noProof/>
          <w:sz w:val="24"/>
          <w:szCs w:val="24"/>
        </w:rPr>
        <w:t xml:space="preserve">, </w:t>
      </w:r>
      <w:r w:rsidRPr="000774C5">
        <w:rPr>
          <w:rFonts w:ascii="Arial" w:hAnsi="Arial" w:cs="Arial"/>
          <w:i/>
          <w:iCs/>
          <w:noProof/>
          <w:sz w:val="24"/>
          <w:szCs w:val="24"/>
        </w:rPr>
        <w:t>34</w:t>
      </w:r>
      <w:r w:rsidRPr="000774C5">
        <w:rPr>
          <w:rFonts w:ascii="Arial" w:hAnsi="Arial" w:cs="Arial"/>
          <w:noProof/>
          <w:sz w:val="24"/>
          <w:szCs w:val="24"/>
        </w:rPr>
        <w:t>(23), 1050–1057. https://doi.org/10.9734/ijpss/2022/v34i232515</w:t>
      </w:r>
    </w:p>
    <w:p w14:paraId="10FFD0E9" w14:textId="77777777" w:rsidR="000774C5" w:rsidRPr="000774C5" w:rsidRDefault="000774C5" w:rsidP="00B01144">
      <w:pPr>
        <w:widowControl w:val="0"/>
        <w:autoSpaceDE w:val="0"/>
        <w:autoSpaceDN w:val="0"/>
        <w:adjustRightInd w:val="0"/>
        <w:spacing w:before="240" w:after="120" w:line="360" w:lineRule="auto"/>
        <w:ind w:left="480" w:hanging="480"/>
        <w:jc w:val="both"/>
        <w:rPr>
          <w:rFonts w:ascii="Arial" w:hAnsi="Arial" w:cs="Arial"/>
          <w:noProof/>
          <w:sz w:val="24"/>
        </w:rPr>
      </w:pPr>
      <w:r w:rsidRPr="000774C5">
        <w:rPr>
          <w:rFonts w:ascii="Arial" w:hAnsi="Arial" w:cs="Arial"/>
          <w:noProof/>
          <w:sz w:val="24"/>
          <w:szCs w:val="24"/>
        </w:rPr>
        <w:t xml:space="preserve">Welfare, F., Crop, W., &amp; Watch, W. (2024). </w:t>
      </w:r>
      <w:r w:rsidRPr="000774C5">
        <w:rPr>
          <w:rFonts w:ascii="Arial" w:hAnsi="Arial" w:cs="Arial"/>
          <w:i/>
          <w:iCs/>
          <w:noProof/>
          <w:sz w:val="24"/>
          <w:szCs w:val="24"/>
        </w:rPr>
        <w:t>Department of Agriculture and Farmers ’ Welfare releases Final Estimates of major agricultural crops for 2023-24 Record Foodgrains production of 3322 . 98 LMT Record Rice production of 1378 . 25 LMT Record Wheat production of 1132 . 92 LMT Record producti</w:t>
      </w:r>
      <w:r w:rsidRPr="000774C5">
        <w:rPr>
          <w:rFonts w:ascii="Arial" w:hAnsi="Arial" w:cs="Arial"/>
          <w:noProof/>
          <w:sz w:val="24"/>
          <w:szCs w:val="24"/>
        </w:rPr>
        <w:t>. 24–25.</w:t>
      </w:r>
    </w:p>
    <w:p w14:paraId="40FE250E" w14:textId="77777777" w:rsidR="00C610EC" w:rsidRPr="00C610EC" w:rsidRDefault="00327AC9" w:rsidP="00B01144">
      <w:pPr>
        <w:widowControl w:val="0"/>
        <w:autoSpaceDE w:val="0"/>
        <w:autoSpaceDN w:val="0"/>
        <w:adjustRightInd w:val="0"/>
        <w:spacing w:before="240" w:after="120" w:line="360" w:lineRule="auto"/>
        <w:ind w:left="480" w:hanging="480"/>
        <w:jc w:val="both"/>
        <w:rPr>
          <w:rFonts w:ascii="Arial" w:eastAsia="Times New Roman" w:hAnsi="Arial" w:cs="Arial"/>
          <w:b/>
          <w:sz w:val="24"/>
          <w:szCs w:val="24"/>
        </w:rPr>
      </w:pPr>
      <w:r>
        <w:rPr>
          <w:rFonts w:ascii="Arial" w:eastAsia="Times New Roman" w:hAnsi="Arial" w:cs="Arial"/>
          <w:b/>
          <w:sz w:val="24"/>
          <w:szCs w:val="24"/>
        </w:rPr>
        <w:fldChar w:fldCharType="end"/>
      </w:r>
    </w:p>
    <w:p w14:paraId="70E05C94" w14:textId="77777777" w:rsidR="001C1811" w:rsidRPr="001C1811" w:rsidRDefault="001C1811" w:rsidP="001C1811">
      <w:pPr>
        <w:spacing w:before="240" w:after="0" w:line="360" w:lineRule="auto"/>
        <w:ind w:left="270"/>
        <w:jc w:val="both"/>
        <w:rPr>
          <w:rFonts w:ascii="Arial" w:eastAsia="Arial Unicode MS" w:hAnsi="Arial" w:cs="Arial"/>
          <w:b/>
          <w:color w:val="000000" w:themeColor="text1"/>
          <w:sz w:val="28"/>
          <w:szCs w:val="24"/>
        </w:rPr>
      </w:pPr>
    </w:p>
    <w:p w14:paraId="6A4C9971" w14:textId="77777777" w:rsidR="001C1811" w:rsidRPr="00E85980" w:rsidRDefault="001C1811" w:rsidP="001C1811">
      <w:pPr>
        <w:spacing w:before="240"/>
        <w:rPr>
          <w:rFonts w:ascii="Times New Roman" w:hAnsi="Times New Roman" w:cs="Times New Roman"/>
          <w:sz w:val="28"/>
        </w:rPr>
      </w:pPr>
    </w:p>
    <w:sectPr w:rsidR="001C1811" w:rsidRPr="00E85980" w:rsidSect="005B3FA2">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 w:date="2025-09-23T03:28:00Z" w:initials="A">
    <w:p w14:paraId="7A83D179" w14:textId="16FED303" w:rsidR="00AA24F4" w:rsidRPr="00AA24F4" w:rsidRDefault="00AA24F4">
      <w:pPr>
        <w:pStyle w:val="CommentText"/>
        <w:rPr>
          <w:rFonts w:cs="Arial"/>
          <w:lang w:bidi="ar-IQ"/>
        </w:rPr>
      </w:pPr>
      <w:r>
        <w:rPr>
          <w:rStyle w:val="CommentReference"/>
        </w:rPr>
        <w:annotationRef/>
      </w:r>
      <w:r w:rsidRPr="00AA24F4">
        <w:rPr>
          <w:rFonts w:cs="Arial"/>
          <w:lang w:bidi="ar-IQ"/>
        </w:rPr>
        <w:t>The conclusion needs to be abbreviated.</w:t>
      </w:r>
    </w:p>
  </w:comment>
  <w:comment w:id="2" w:author="A" w:date="2025-09-23T03:29:00Z" w:initials="A">
    <w:p w14:paraId="0167AE55" w14:textId="7D65F4BB" w:rsidR="00AA24F4" w:rsidRPr="00AA24F4" w:rsidRDefault="00AA24F4">
      <w:pPr>
        <w:pStyle w:val="CommentText"/>
        <w:rPr>
          <w:rFonts w:cs="Arial" w:hint="cs"/>
          <w:rtl/>
          <w:lang w:bidi="ar-IQ"/>
        </w:rPr>
      </w:pPr>
      <w:r>
        <w:rPr>
          <w:rStyle w:val="CommentReference"/>
        </w:rPr>
        <w:annotationRef/>
      </w:r>
      <w:r w:rsidRPr="00AA24F4">
        <w:rPr>
          <w:rFonts w:cs="Arial"/>
          <w:lang w:bidi="ar-IQ"/>
        </w:rPr>
        <w:t>The introduction is very long and needs to be shortened.</w:t>
      </w:r>
    </w:p>
  </w:comment>
  <w:comment w:id="3" w:author="A" w:date="2025-09-23T03:30:00Z" w:initials="A">
    <w:p w14:paraId="4B6A9B60" w14:textId="238EA1B5" w:rsidR="00AA24F4" w:rsidRDefault="00AA24F4">
      <w:pPr>
        <w:pStyle w:val="CommentText"/>
      </w:pPr>
      <w:r>
        <w:rPr>
          <w:rStyle w:val="CommentReference"/>
        </w:rPr>
        <w:annotationRef/>
      </w:r>
      <w:r w:rsidRPr="00AA24F4">
        <w:t>reference</w:t>
      </w:r>
    </w:p>
  </w:comment>
  <w:comment w:id="4" w:author="A" w:date="2025-09-23T03:30:00Z" w:initials="A">
    <w:p w14:paraId="31DE66EF" w14:textId="3A3E8DAF" w:rsidR="00AA24F4" w:rsidRDefault="00AA24F4">
      <w:pPr>
        <w:pStyle w:val="CommentText"/>
      </w:pPr>
      <w:r>
        <w:rPr>
          <w:rStyle w:val="CommentReference"/>
        </w:rPr>
        <w:annotationRef/>
      </w:r>
      <w:r w:rsidRPr="00AA24F4">
        <w:t>reference</w:t>
      </w:r>
    </w:p>
  </w:comment>
  <w:comment w:id="5" w:author="A" w:date="2025-09-23T03:31:00Z" w:initials="A">
    <w:p w14:paraId="0CCE4CA4" w14:textId="09D9F9DD" w:rsidR="00AA24F4" w:rsidRDefault="00AA24F4">
      <w:pPr>
        <w:pStyle w:val="CommentText"/>
      </w:pPr>
      <w:r>
        <w:rPr>
          <w:rStyle w:val="CommentReference"/>
        </w:rPr>
        <w:annotationRef/>
      </w:r>
      <w:r w:rsidRPr="00AA24F4">
        <w:t>reference</w:t>
      </w:r>
    </w:p>
  </w:comment>
  <w:comment w:id="6" w:author="A" w:date="2025-09-23T03:31:00Z" w:initials="A">
    <w:p w14:paraId="0A534B56" w14:textId="1A5936AD" w:rsidR="00AA24F4" w:rsidRDefault="00AA24F4">
      <w:pPr>
        <w:pStyle w:val="CommentText"/>
      </w:pPr>
      <w:r>
        <w:rPr>
          <w:rStyle w:val="CommentReference"/>
        </w:rPr>
        <w:annotationRef/>
      </w:r>
      <w:r w:rsidRPr="00AA24F4">
        <w:t>reference</w:t>
      </w:r>
    </w:p>
  </w:comment>
  <w:comment w:id="7" w:author="A" w:date="2025-09-23T03:31:00Z" w:initials="A">
    <w:p w14:paraId="6B933F98" w14:textId="4CEBA964" w:rsidR="00AA24F4" w:rsidRDefault="00AA24F4">
      <w:pPr>
        <w:pStyle w:val="CommentText"/>
      </w:pPr>
      <w:r>
        <w:rPr>
          <w:rStyle w:val="CommentReference"/>
        </w:rPr>
        <w:annotationRef/>
      </w:r>
      <w:r w:rsidRPr="00AA24F4">
        <w:t>reference</w:t>
      </w:r>
    </w:p>
  </w:comment>
  <w:comment w:id="8" w:author="A" w:date="2025-09-23T03:31:00Z" w:initials="A">
    <w:p w14:paraId="07CE3600" w14:textId="06700DB6" w:rsidR="00AA24F4" w:rsidRDefault="00AA24F4">
      <w:pPr>
        <w:pStyle w:val="CommentText"/>
      </w:pPr>
      <w:r>
        <w:rPr>
          <w:rStyle w:val="CommentReference"/>
        </w:rPr>
        <w:annotationRef/>
      </w:r>
      <w:r w:rsidRPr="00AA24F4">
        <w:t>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83D179" w15:done="0"/>
  <w15:commentEx w15:paraId="0167AE55" w15:done="0"/>
  <w15:commentEx w15:paraId="4B6A9B60" w15:done="0"/>
  <w15:commentEx w15:paraId="31DE66EF" w15:done="0"/>
  <w15:commentEx w15:paraId="0CCE4CA4" w15:done="0"/>
  <w15:commentEx w15:paraId="0A534B56" w15:done="0"/>
  <w15:commentEx w15:paraId="6B933F98" w15:done="0"/>
  <w15:commentEx w15:paraId="07CE360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7701B" w14:textId="77777777" w:rsidR="00F12CC7" w:rsidRDefault="00F12CC7" w:rsidP="00E84C42">
      <w:pPr>
        <w:spacing w:after="0" w:line="240" w:lineRule="auto"/>
      </w:pPr>
      <w:r>
        <w:separator/>
      </w:r>
    </w:p>
  </w:endnote>
  <w:endnote w:type="continuationSeparator" w:id="0">
    <w:p w14:paraId="3F9F43DD" w14:textId="77777777" w:rsidR="00F12CC7" w:rsidRDefault="00F12CC7" w:rsidP="00E8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7775" w14:textId="77777777" w:rsidR="00E84C42" w:rsidRDefault="00E84C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FD3F" w14:textId="77777777" w:rsidR="00E84C42" w:rsidRDefault="00E84C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BFBA2" w14:textId="77777777" w:rsidR="00E84C42" w:rsidRDefault="00E84C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D2945" w14:textId="77777777" w:rsidR="00F12CC7" w:rsidRDefault="00F12CC7" w:rsidP="00E84C42">
      <w:pPr>
        <w:spacing w:after="0" w:line="240" w:lineRule="auto"/>
      </w:pPr>
      <w:r>
        <w:separator/>
      </w:r>
    </w:p>
  </w:footnote>
  <w:footnote w:type="continuationSeparator" w:id="0">
    <w:p w14:paraId="667A036D" w14:textId="77777777" w:rsidR="00F12CC7" w:rsidRDefault="00F12CC7" w:rsidP="00E8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A821" w14:textId="25515F40" w:rsidR="00E84C42" w:rsidRDefault="00F12CC7">
    <w:pPr>
      <w:pStyle w:val="Header"/>
    </w:pPr>
    <w:r>
      <w:rPr>
        <w:noProof/>
      </w:rPr>
      <w:pict w14:anchorId="281E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FD821" w14:textId="1FFF6822" w:rsidR="00E84C42" w:rsidRDefault="00F12CC7">
    <w:pPr>
      <w:pStyle w:val="Header"/>
    </w:pPr>
    <w:r>
      <w:rPr>
        <w:noProof/>
      </w:rPr>
      <w:pict w14:anchorId="79933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3057E" w14:textId="082DCA3E" w:rsidR="00E84C42" w:rsidRDefault="00F12CC7">
    <w:pPr>
      <w:pStyle w:val="Header"/>
    </w:pPr>
    <w:r>
      <w:rPr>
        <w:noProof/>
      </w:rPr>
      <w:pict w14:anchorId="68B87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506B3"/>
    <w:multiLevelType w:val="hybridMultilevel"/>
    <w:tmpl w:val="CEFAF78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04333"/>
    <w:multiLevelType w:val="hybridMultilevel"/>
    <w:tmpl w:val="C3203C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F3B3B"/>
    <w:multiLevelType w:val="multilevel"/>
    <w:tmpl w:val="E70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872AB"/>
    <w:multiLevelType w:val="multilevel"/>
    <w:tmpl w:val="BE52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67"/>
    <w:rsid w:val="0001629F"/>
    <w:rsid w:val="00060495"/>
    <w:rsid w:val="00060F56"/>
    <w:rsid w:val="000774C5"/>
    <w:rsid w:val="000934AB"/>
    <w:rsid w:val="000B4021"/>
    <w:rsid w:val="000B6387"/>
    <w:rsid w:val="000D2E2A"/>
    <w:rsid w:val="000E3C3B"/>
    <w:rsid w:val="0010157B"/>
    <w:rsid w:val="0010496F"/>
    <w:rsid w:val="00105820"/>
    <w:rsid w:val="00106F55"/>
    <w:rsid w:val="001108A5"/>
    <w:rsid w:val="00123958"/>
    <w:rsid w:val="0013303F"/>
    <w:rsid w:val="0019688B"/>
    <w:rsid w:val="001C1811"/>
    <w:rsid w:val="001C767D"/>
    <w:rsid w:val="001D6073"/>
    <w:rsid w:val="00254886"/>
    <w:rsid w:val="00290B6C"/>
    <w:rsid w:val="00296F47"/>
    <w:rsid w:val="0029703C"/>
    <w:rsid w:val="002A5F0B"/>
    <w:rsid w:val="002B26BC"/>
    <w:rsid w:val="00327AC9"/>
    <w:rsid w:val="003727DC"/>
    <w:rsid w:val="003B2376"/>
    <w:rsid w:val="00430523"/>
    <w:rsid w:val="00436543"/>
    <w:rsid w:val="00461CEB"/>
    <w:rsid w:val="00476B47"/>
    <w:rsid w:val="00494729"/>
    <w:rsid w:val="004B4639"/>
    <w:rsid w:val="004E7214"/>
    <w:rsid w:val="0054336D"/>
    <w:rsid w:val="0057438D"/>
    <w:rsid w:val="005827F3"/>
    <w:rsid w:val="00595146"/>
    <w:rsid w:val="005970FA"/>
    <w:rsid w:val="005B3FA2"/>
    <w:rsid w:val="005C2660"/>
    <w:rsid w:val="005D42E2"/>
    <w:rsid w:val="005E7F20"/>
    <w:rsid w:val="005F6C4E"/>
    <w:rsid w:val="006266FD"/>
    <w:rsid w:val="00634114"/>
    <w:rsid w:val="00650190"/>
    <w:rsid w:val="006816DE"/>
    <w:rsid w:val="006827E2"/>
    <w:rsid w:val="006839B6"/>
    <w:rsid w:val="00695E75"/>
    <w:rsid w:val="006B49D3"/>
    <w:rsid w:val="006F1C50"/>
    <w:rsid w:val="0071043C"/>
    <w:rsid w:val="0071569B"/>
    <w:rsid w:val="00750AAB"/>
    <w:rsid w:val="0078554C"/>
    <w:rsid w:val="00792958"/>
    <w:rsid w:val="00836FFE"/>
    <w:rsid w:val="008406D6"/>
    <w:rsid w:val="008638D2"/>
    <w:rsid w:val="008737FC"/>
    <w:rsid w:val="008834FB"/>
    <w:rsid w:val="008879E6"/>
    <w:rsid w:val="008A7DDD"/>
    <w:rsid w:val="008B4F5D"/>
    <w:rsid w:val="008C66C1"/>
    <w:rsid w:val="00906500"/>
    <w:rsid w:val="00906CD0"/>
    <w:rsid w:val="009270C1"/>
    <w:rsid w:val="00932EE7"/>
    <w:rsid w:val="00957EE0"/>
    <w:rsid w:val="00970161"/>
    <w:rsid w:val="009744F3"/>
    <w:rsid w:val="009D4EE8"/>
    <w:rsid w:val="009F2D3E"/>
    <w:rsid w:val="00A15F95"/>
    <w:rsid w:val="00A275F6"/>
    <w:rsid w:val="00A30502"/>
    <w:rsid w:val="00A37FE3"/>
    <w:rsid w:val="00A428EB"/>
    <w:rsid w:val="00A65281"/>
    <w:rsid w:val="00A74F9B"/>
    <w:rsid w:val="00AA24F4"/>
    <w:rsid w:val="00B01144"/>
    <w:rsid w:val="00B25A3F"/>
    <w:rsid w:val="00B45514"/>
    <w:rsid w:val="00B92ACE"/>
    <w:rsid w:val="00C45B28"/>
    <w:rsid w:val="00C610EC"/>
    <w:rsid w:val="00C61804"/>
    <w:rsid w:val="00C97D6A"/>
    <w:rsid w:val="00CA4E48"/>
    <w:rsid w:val="00CB0FAC"/>
    <w:rsid w:val="00CC3BAC"/>
    <w:rsid w:val="00D211B0"/>
    <w:rsid w:val="00D53667"/>
    <w:rsid w:val="00D62D8E"/>
    <w:rsid w:val="00DA413D"/>
    <w:rsid w:val="00E11890"/>
    <w:rsid w:val="00E11955"/>
    <w:rsid w:val="00E23050"/>
    <w:rsid w:val="00E61790"/>
    <w:rsid w:val="00E71A83"/>
    <w:rsid w:val="00E778DA"/>
    <w:rsid w:val="00E82CC4"/>
    <w:rsid w:val="00E84C42"/>
    <w:rsid w:val="00E85980"/>
    <w:rsid w:val="00EB6CD5"/>
    <w:rsid w:val="00F027D8"/>
    <w:rsid w:val="00F12CC7"/>
    <w:rsid w:val="00F42D7D"/>
    <w:rsid w:val="00F8444D"/>
    <w:rsid w:val="00F86A6C"/>
    <w:rsid w:val="00FB2613"/>
    <w:rsid w:val="00FB53D1"/>
    <w:rsid w:val="00FE08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3904DC1"/>
  <w15:docId w15:val="{8EC3F449-F745-4B06-B29E-10459980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28EB"/>
    <w:rPr>
      <w:i/>
      <w:iCs/>
    </w:rPr>
  </w:style>
  <w:style w:type="paragraph" w:styleId="NormalWeb">
    <w:name w:val="Normal (Web)"/>
    <w:basedOn w:val="Normal"/>
    <w:uiPriority w:val="99"/>
    <w:unhideWhenUsed/>
    <w:rsid w:val="005B3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57B"/>
    <w:rPr>
      <w:b/>
      <w:bCs/>
    </w:rPr>
  </w:style>
  <w:style w:type="table" w:styleId="TableGrid">
    <w:name w:val="Table Grid"/>
    <w:basedOn w:val="TableNormal"/>
    <w:uiPriority w:val="59"/>
    <w:rsid w:val="0019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A83"/>
    <w:pPr>
      <w:spacing w:after="0" w:line="240" w:lineRule="auto"/>
    </w:pPr>
  </w:style>
  <w:style w:type="paragraph" w:styleId="BalloonText">
    <w:name w:val="Balloon Text"/>
    <w:basedOn w:val="Normal"/>
    <w:link w:val="BalloonTextChar"/>
    <w:uiPriority w:val="99"/>
    <w:semiHidden/>
    <w:unhideWhenUsed/>
    <w:rsid w:val="0029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03C"/>
    <w:rPr>
      <w:rFonts w:ascii="Tahoma" w:hAnsi="Tahoma" w:cs="Tahoma"/>
      <w:sz w:val="16"/>
      <w:szCs w:val="16"/>
    </w:rPr>
  </w:style>
  <w:style w:type="paragraph" w:styleId="BodyText">
    <w:name w:val="Body Text"/>
    <w:basedOn w:val="Normal"/>
    <w:link w:val="BodyTextChar"/>
    <w:uiPriority w:val="1"/>
    <w:qFormat/>
    <w:rsid w:val="00B25A3F"/>
    <w:pPr>
      <w:widowControl w:val="0"/>
      <w:autoSpaceDE w:val="0"/>
      <w:autoSpaceDN w:val="0"/>
      <w:spacing w:after="0" w:line="240" w:lineRule="auto"/>
    </w:pPr>
    <w:rPr>
      <w:rFonts w:ascii="Arial MT" w:eastAsia="Arial MT" w:hAnsi="Arial MT" w:cs="Arial MT"/>
      <w:sz w:val="23"/>
      <w:szCs w:val="23"/>
    </w:rPr>
  </w:style>
  <w:style w:type="character" w:customStyle="1" w:styleId="BodyTextChar">
    <w:name w:val="Body Text Char"/>
    <w:basedOn w:val="DefaultParagraphFont"/>
    <w:link w:val="BodyText"/>
    <w:uiPriority w:val="1"/>
    <w:rsid w:val="00B25A3F"/>
    <w:rPr>
      <w:rFonts w:ascii="Arial MT" w:eastAsia="Arial MT" w:hAnsi="Arial MT" w:cs="Arial MT"/>
      <w:sz w:val="23"/>
      <w:szCs w:val="23"/>
    </w:rPr>
  </w:style>
  <w:style w:type="paragraph" w:styleId="ListParagraph">
    <w:name w:val="List Paragraph"/>
    <w:basedOn w:val="Normal"/>
    <w:uiPriority w:val="34"/>
    <w:qFormat/>
    <w:rsid w:val="001C1811"/>
    <w:pPr>
      <w:ind w:left="720"/>
      <w:contextualSpacing/>
    </w:pPr>
  </w:style>
  <w:style w:type="paragraph" w:styleId="BodyText2">
    <w:name w:val="Body Text 2"/>
    <w:basedOn w:val="Normal"/>
    <w:link w:val="BodyText2Char"/>
    <w:uiPriority w:val="99"/>
    <w:unhideWhenUsed/>
    <w:rsid w:val="00060F56"/>
    <w:pPr>
      <w:spacing w:after="120" w:line="360" w:lineRule="auto"/>
      <w:jc w:val="center"/>
    </w:pPr>
    <w:rPr>
      <w:rFonts w:ascii="Arial" w:hAnsi="Arial" w:cs="Arial"/>
      <w:bCs/>
      <w:sz w:val="24"/>
    </w:rPr>
  </w:style>
  <w:style w:type="character" w:customStyle="1" w:styleId="BodyText2Char">
    <w:name w:val="Body Text 2 Char"/>
    <w:basedOn w:val="DefaultParagraphFont"/>
    <w:link w:val="BodyText2"/>
    <w:uiPriority w:val="99"/>
    <w:rsid w:val="00060F56"/>
    <w:rPr>
      <w:rFonts w:ascii="Arial" w:hAnsi="Arial" w:cs="Arial"/>
      <w:bCs/>
      <w:sz w:val="24"/>
    </w:rPr>
  </w:style>
  <w:style w:type="character" w:styleId="Hyperlink">
    <w:name w:val="Hyperlink"/>
    <w:basedOn w:val="DefaultParagraphFont"/>
    <w:uiPriority w:val="99"/>
    <w:unhideWhenUsed/>
    <w:rsid w:val="009F2D3E"/>
    <w:rPr>
      <w:color w:val="0000FF" w:themeColor="hyperlink"/>
      <w:u w:val="single"/>
    </w:rPr>
  </w:style>
  <w:style w:type="paragraph" w:styleId="Header">
    <w:name w:val="header"/>
    <w:basedOn w:val="Normal"/>
    <w:link w:val="HeaderChar"/>
    <w:uiPriority w:val="99"/>
    <w:unhideWhenUsed/>
    <w:rsid w:val="00E8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42"/>
  </w:style>
  <w:style w:type="paragraph" w:styleId="Footer">
    <w:name w:val="footer"/>
    <w:basedOn w:val="Normal"/>
    <w:link w:val="FooterChar"/>
    <w:uiPriority w:val="99"/>
    <w:unhideWhenUsed/>
    <w:rsid w:val="00E8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42"/>
  </w:style>
  <w:style w:type="character" w:styleId="CommentReference">
    <w:name w:val="annotation reference"/>
    <w:basedOn w:val="DefaultParagraphFont"/>
    <w:uiPriority w:val="99"/>
    <w:semiHidden/>
    <w:unhideWhenUsed/>
    <w:rsid w:val="00AA24F4"/>
    <w:rPr>
      <w:sz w:val="16"/>
      <w:szCs w:val="16"/>
    </w:rPr>
  </w:style>
  <w:style w:type="paragraph" w:styleId="CommentText">
    <w:name w:val="annotation text"/>
    <w:basedOn w:val="Normal"/>
    <w:link w:val="CommentTextChar"/>
    <w:uiPriority w:val="99"/>
    <w:semiHidden/>
    <w:unhideWhenUsed/>
    <w:rsid w:val="00AA24F4"/>
    <w:pPr>
      <w:spacing w:line="240" w:lineRule="auto"/>
    </w:pPr>
    <w:rPr>
      <w:sz w:val="20"/>
      <w:szCs w:val="20"/>
    </w:rPr>
  </w:style>
  <w:style w:type="character" w:customStyle="1" w:styleId="CommentTextChar">
    <w:name w:val="Comment Text Char"/>
    <w:basedOn w:val="DefaultParagraphFont"/>
    <w:link w:val="CommentText"/>
    <w:uiPriority w:val="99"/>
    <w:semiHidden/>
    <w:rsid w:val="00AA24F4"/>
    <w:rPr>
      <w:sz w:val="20"/>
      <w:szCs w:val="20"/>
    </w:rPr>
  </w:style>
  <w:style w:type="paragraph" w:styleId="CommentSubject">
    <w:name w:val="annotation subject"/>
    <w:basedOn w:val="CommentText"/>
    <w:next w:val="CommentText"/>
    <w:link w:val="CommentSubjectChar"/>
    <w:uiPriority w:val="99"/>
    <w:semiHidden/>
    <w:unhideWhenUsed/>
    <w:rsid w:val="00AA24F4"/>
    <w:rPr>
      <w:b/>
      <w:bCs/>
    </w:rPr>
  </w:style>
  <w:style w:type="character" w:customStyle="1" w:styleId="CommentSubjectChar">
    <w:name w:val="Comment Subject Char"/>
    <w:basedOn w:val="CommentTextChar"/>
    <w:link w:val="CommentSubject"/>
    <w:uiPriority w:val="99"/>
    <w:semiHidden/>
    <w:rsid w:val="00AA2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027">
      <w:bodyDiv w:val="1"/>
      <w:marLeft w:val="0"/>
      <w:marRight w:val="0"/>
      <w:marTop w:val="0"/>
      <w:marBottom w:val="0"/>
      <w:divBdr>
        <w:top w:val="none" w:sz="0" w:space="0" w:color="auto"/>
        <w:left w:val="none" w:sz="0" w:space="0" w:color="auto"/>
        <w:bottom w:val="none" w:sz="0" w:space="0" w:color="auto"/>
        <w:right w:val="none" w:sz="0" w:space="0" w:color="auto"/>
      </w:divBdr>
    </w:div>
    <w:div w:id="174736393">
      <w:bodyDiv w:val="1"/>
      <w:marLeft w:val="0"/>
      <w:marRight w:val="0"/>
      <w:marTop w:val="0"/>
      <w:marBottom w:val="0"/>
      <w:divBdr>
        <w:top w:val="none" w:sz="0" w:space="0" w:color="auto"/>
        <w:left w:val="none" w:sz="0" w:space="0" w:color="auto"/>
        <w:bottom w:val="none" w:sz="0" w:space="0" w:color="auto"/>
        <w:right w:val="none" w:sz="0" w:space="0" w:color="auto"/>
      </w:divBdr>
      <w:divsChild>
        <w:div w:id="878395947">
          <w:marLeft w:val="0"/>
          <w:marRight w:val="0"/>
          <w:marTop w:val="0"/>
          <w:marBottom w:val="0"/>
          <w:divBdr>
            <w:top w:val="none" w:sz="0" w:space="0" w:color="auto"/>
            <w:left w:val="none" w:sz="0" w:space="0" w:color="auto"/>
            <w:bottom w:val="none" w:sz="0" w:space="0" w:color="auto"/>
            <w:right w:val="none" w:sz="0" w:space="0" w:color="auto"/>
          </w:divBdr>
          <w:divsChild>
            <w:div w:id="860826965">
              <w:marLeft w:val="0"/>
              <w:marRight w:val="0"/>
              <w:marTop w:val="0"/>
              <w:marBottom w:val="0"/>
              <w:divBdr>
                <w:top w:val="none" w:sz="0" w:space="0" w:color="auto"/>
                <w:left w:val="none" w:sz="0" w:space="0" w:color="auto"/>
                <w:bottom w:val="none" w:sz="0" w:space="0" w:color="auto"/>
                <w:right w:val="none" w:sz="0" w:space="0" w:color="auto"/>
              </w:divBdr>
              <w:divsChild>
                <w:div w:id="1663393666">
                  <w:marLeft w:val="0"/>
                  <w:marRight w:val="0"/>
                  <w:marTop w:val="0"/>
                  <w:marBottom w:val="0"/>
                  <w:divBdr>
                    <w:top w:val="none" w:sz="0" w:space="0" w:color="auto"/>
                    <w:left w:val="none" w:sz="0" w:space="0" w:color="auto"/>
                    <w:bottom w:val="none" w:sz="0" w:space="0" w:color="auto"/>
                    <w:right w:val="none" w:sz="0" w:space="0" w:color="auto"/>
                  </w:divBdr>
                  <w:divsChild>
                    <w:div w:id="122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60997">
      <w:bodyDiv w:val="1"/>
      <w:marLeft w:val="0"/>
      <w:marRight w:val="0"/>
      <w:marTop w:val="0"/>
      <w:marBottom w:val="0"/>
      <w:divBdr>
        <w:top w:val="none" w:sz="0" w:space="0" w:color="auto"/>
        <w:left w:val="none" w:sz="0" w:space="0" w:color="auto"/>
        <w:bottom w:val="none" w:sz="0" w:space="0" w:color="auto"/>
        <w:right w:val="none" w:sz="0" w:space="0" w:color="auto"/>
      </w:divBdr>
    </w:div>
    <w:div w:id="673916164">
      <w:bodyDiv w:val="1"/>
      <w:marLeft w:val="0"/>
      <w:marRight w:val="0"/>
      <w:marTop w:val="0"/>
      <w:marBottom w:val="0"/>
      <w:divBdr>
        <w:top w:val="none" w:sz="0" w:space="0" w:color="auto"/>
        <w:left w:val="none" w:sz="0" w:space="0" w:color="auto"/>
        <w:bottom w:val="none" w:sz="0" w:space="0" w:color="auto"/>
        <w:right w:val="none" w:sz="0" w:space="0" w:color="auto"/>
      </w:divBdr>
    </w:div>
    <w:div w:id="1064792735">
      <w:bodyDiv w:val="1"/>
      <w:marLeft w:val="0"/>
      <w:marRight w:val="0"/>
      <w:marTop w:val="0"/>
      <w:marBottom w:val="0"/>
      <w:divBdr>
        <w:top w:val="none" w:sz="0" w:space="0" w:color="auto"/>
        <w:left w:val="none" w:sz="0" w:space="0" w:color="auto"/>
        <w:bottom w:val="none" w:sz="0" w:space="0" w:color="auto"/>
        <w:right w:val="none" w:sz="0" w:space="0" w:color="auto"/>
      </w:divBdr>
    </w:div>
    <w:div w:id="1095174620">
      <w:bodyDiv w:val="1"/>
      <w:marLeft w:val="0"/>
      <w:marRight w:val="0"/>
      <w:marTop w:val="0"/>
      <w:marBottom w:val="0"/>
      <w:divBdr>
        <w:top w:val="none" w:sz="0" w:space="0" w:color="auto"/>
        <w:left w:val="none" w:sz="0" w:space="0" w:color="auto"/>
        <w:bottom w:val="none" w:sz="0" w:space="0" w:color="auto"/>
        <w:right w:val="none" w:sz="0" w:space="0" w:color="auto"/>
      </w:divBdr>
    </w:div>
    <w:div w:id="1141338271">
      <w:bodyDiv w:val="1"/>
      <w:marLeft w:val="0"/>
      <w:marRight w:val="0"/>
      <w:marTop w:val="0"/>
      <w:marBottom w:val="0"/>
      <w:divBdr>
        <w:top w:val="none" w:sz="0" w:space="0" w:color="auto"/>
        <w:left w:val="none" w:sz="0" w:space="0" w:color="auto"/>
        <w:bottom w:val="none" w:sz="0" w:space="0" w:color="auto"/>
        <w:right w:val="none" w:sz="0" w:space="0" w:color="auto"/>
      </w:divBdr>
    </w:div>
    <w:div w:id="1720469922">
      <w:bodyDiv w:val="1"/>
      <w:marLeft w:val="0"/>
      <w:marRight w:val="0"/>
      <w:marTop w:val="0"/>
      <w:marBottom w:val="0"/>
      <w:divBdr>
        <w:top w:val="none" w:sz="0" w:space="0" w:color="auto"/>
        <w:left w:val="none" w:sz="0" w:space="0" w:color="auto"/>
        <w:bottom w:val="none" w:sz="0" w:space="0" w:color="auto"/>
        <w:right w:val="none" w:sz="0" w:space="0" w:color="auto"/>
      </w:divBdr>
    </w:div>
    <w:div w:id="1721511956">
      <w:bodyDiv w:val="1"/>
      <w:marLeft w:val="0"/>
      <w:marRight w:val="0"/>
      <w:marTop w:val="0"/>
      <w:marBottom w:val="0"/>
      <w:divBdr>
        <w:top w:val="none" w:sz="0" w:space="0" w:color="auto"/>
        <w:left w:val="none" w:sz="0" w:space="0" w:color="auto"/>
        <w:bottom w:val="none" w:sz="0" w:space="0" w:color="auto"/>
        <w:right w:val="none" w:sz="0" w:space="0" w:color="auto"/>
      </w:divBdr>
    </w:div>
    <w:div w:id="1751611951">
      <w:bodyDiv w:val="1"/>
      <w:marLeft w:val="0"/>
      <w:marRight w:val="0"/>
      <w:marTop w:val="0"/>
      <w:marBottom w:val="0"/>
      <w:divBdr>
        <w:top w:val="none" w:sz="0" w:space="0" w:color="auto"/>
        <w:left w:val="none" w:sz="0" w:space="0" w:color="auto"/>
        <w:bottom w:val="none" w:sz="0" w:space="0" w:color="auto"/>
        <w:right w:val="none" w:sz="0" w:space="0" w:color="auto"/>
      </w:divBdr>
    </w:div>
    <w:div w:id="1888367776">
      <w:bodyDiv w:val="1"/>
      <w:marLeft w:val="0"/>
      <w:marRight w:val="0"/>
      <w:marTop w:val="0"/>
      <w:marBottom w:val="0"/>
      <w:divBdr>
        <w:top w:val="none" w:sz="0" w:space="0" w:color="auto"/>
        <w:left w:val="none" w:sz="0" w:space="0" w:color="auto"/>
        <w:bottom w:val="none" w:sz="0" w:space="0" w:color="auto"/>
        <w:right w:val="none" w:sz="0" w:space="0" w:color="auto"/>
      </w:divBdr>
    </w:div>
    <w:div w:id="2118911069">
      <w:bodyDiv w:val="1"/>
      <w:marLeft w:val="0"/>
      <w:marRight w:val="0"/>
      <w:marTop w:val="0"/>
      <w:marBottom w:val="0"/>
      <w:divBdr>
        <w:top w:val="none" w:sz="0" w:space="0" w:color="auto"/>
        <w:left w:val="none" w:sz="0" w:space="0" w:color="auto"/>
        <w:bottom w:val="none" w:sz="0" w:space="0" w:color="auto"/>
        <w:right w:val="none" w:sz="0" w:space="0" w:color="auto"/>
      </w:divBdr>
    </w:div>
    <w:div w:id="2142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3.jpeg"/><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4.jpeg"/><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1" Type="http://schemas.openxmlformats.org/officeDocument/2006/relationships/oleObject" Target="file:///D:\Harshit%20Work\Harshit%20Analysis%20exel%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Growth</a:t>
            </a:r>
            <a:r>
              <a:rPr lang="en-US" baseline="0"/>
              <a:t> parameter </a:t>
            </a:r>
            <a:endParaRPr lang="en-US"/>
          </a:p>
        </c:rich>
      </c:tx>
      <c:overlay val="0"/>
    </c:title>
    <c:autoTitleDeleted val="0"/>
    <c:plotArea>
      <c:layout>
        <c:manualLayout>
          <c:layoutTarget val="inner"/>
          <c:xMode val="edge"/>
          <c:yMode val="edge"/>
          <c:x val="6.0980451178762475E-2"/>
          <c:y val="0.15487868901802151"/>
          <c:w val="0.9143704674009282"/>
          <c:h val="0.57051282796292535"/>
        </c:manualLayout>
      </c:layout>
      <c:barChart>
        <c:barDir val="col"/>
        <c:grouping val="clustered"/>
        <c:varyColors val="0"/>
        <c:ser>
          <c:idx val="0"/>
          <c:order val="0"/>
          <c:tx>
            <c:strRef>
              <c:f>Sheet3!$B$2:$B$3</c:f>
              <c:strCache>
                <c:ptCount val="1"/>
                <c:pt idx="0">
                  <c:v>Plant height (cm)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Sheet3!$B$4:$B$10</c:f>
              <c:numCache>
                <c:formatCode>0.0</c:formatCode>
                <c:ptCount val="7"/>
                <c:pt idx="0" formatCode="General">
                  <c:v>25.2</c:v>
                </c:pt>
                <c:pt idx="1">
                  <c:v>41.833333333333336</c:v>
                </c:pt>
                <c:pt idx="2">
                  <c:v>42.833333333333336</c:v>
                </c:pt>
                <c:pt idx="3">
                  <c:v>44.633333333333333</c:v>
                </c:pt>
                <c:pt idx="4">
                  <c:v>46.833333333333336</c:v>
                </c:pt>
                <c:pt idx="5">
                  <c:v>46.233333333333341</c:v>
                </c:pt>
                <c:pt idx="6">
                  <c:v>45.566666666666663</c:v>
                </c:pt>
              </c:numCache>
            </c:numRef>
          </c:val>
          <c:extLst>
            <c:ext xmlns:c16="http://schemas.microsoft.com/office/drawing/2014/chart" uri="{C3380CC4-5D6E-409C-BE32-E72D297353CC}">
              <c16:uniqueId val="{00000000-FE76-4E8D-B62D-A4250BEB8FF0}"/>
            </c:ext>
          </c:extLst>
        </c:ser>
        <c:ser>
          <c:idx val="1"/>
          <c:order val="1"/>
          <c:tx>
            <c:strRef>
              <c:f>Sheet3!$C$2:$C$3</c:f>
              <c:strCache>
                <c:ptCount val="1"/>
                <c:pt idx="0">
                  <c:v>Plant height (cm)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Sheet3!$C$4:$C$10</c:f>
              <c:numCache>
                <c:formatCode>0.0</c:formatCode>
                <c:ptCount val="7"/>
                <c:pt idx="0" formatCode="General">
                  <c:v>56.20000000000001</c:v>
                </c:pt>
                <c:pt idx="1">
                  <c:v>76</c:v>
                </c:pt>
                <c:pt idx="2">
                  <c:v>77.433333333333323</c:v>
                </c:pt>
                <c:pt idx="3">
                  <c:v>78.8</c:v>
                </c:pt>
                <c:pt idx="4">
                  <c:v>81.233333333333334</c:v>
                </c:pt>
                <c:pt idx="5">
                  <c:v>80.400000000000006</c:v>
                </c:pt>
                <c:pt idx="6">
                  <c:v>78.86666666666666</c:v>
                </c:pt>
              </c:numCache>
            </c:numRef>
          </c:val>
          <c:extLst>
            <c:ext xmlns:c16="http://schemas.microsoft.com/office/drawing/2014/chart" uri="{C3380CC4-5D6E-409C-BE32-E72D297353CC}">
              <c16:uniqueId val="{00000001-FE76-4E8D-B62D-A4250BEB8FF0}"/>
            </c:ext>
          </c:extLst>
        </c:ser>
        <c:ser>
          <c:idx val="2"/>
          <c:order val="2"/>
          <c:tx>
            <c:strRef>
              <c:f>Sheet3!$D$2:$D$3</c:f>
              <c:strCache>
                <c:ptCount val="1"/>
                <c:pt idx="0">
                  <c:v>Number of leaves  plant⁻¹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Sheet3!$D$4:$D$10</c:f>
              <c:numCache>
                <c:formatCode>General</c:formatCode>
                <c:ptCount val="7"/>
                <c:pt idx="0">
                  <c:v>7.4</c:v>
                </c:pt>
                <c:pt idx="1">
                  <c:v>10.9</c:v>
                </c:pt>
                <c:pt idx="2">
                  <c:v>11.9</c:v>
                </c:pt>
                <c:pt idx="3">
                  <c:v>11.7</c:v>
                </c:pt>
                <c:pt idx="4">
                  <c:v>14.5</c:v>
                </c:pt>
                <c:pt idx="5">
                  <c:v>14.1</c:v>
                </c:pt>
                <c:pt idx="6">
                  <c:v>11.6</c:v>
                </c:pt>
              </c:numCache>
            </c:numRef>
          </c:val>
          <c:extLst>
            <c:ext xmlns:c16="http://schemas.microsoft.com/office/drawing/2014/chart" uri="{C3380CC4-5D6E-409C-BE32-E72D297353CC}">
              <c16:uniqueId val="{00000002-FE76-4E8D-B62D-A4250BEB8FF0}"/>
            </c:ext>
          </c:extLst>
        </c:ser>
        <c:ser>
          <c:idx val="3"/>
          <c:order val="3"/>
          <c:tx>
            <c:strRef>
              <c:f>Sheet3!$E$2:$E$3</c:f>
              <c:strCache>
                <c:ptCount val="1"/>
                <c:pt idx="0">
                  <c:v>Number of leaves  plant⁻¹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Sheet3!$E$4:$E$10</c:f>
              <c:numCache>
                <c:formatCode>0.0</c:formatCode>
                <c:ptCount val="7"/>
                <c:pt idx="0">
                  <c:v>3.5333333333333337</c:v>
                </c:pt>
                <c:pt idx="1">
                  <c:v>4</c:v>
                </c:pt>
                <c:pt idx="2">
                  <c:v>4.3</c:v>
                </c:pt>
                <c:pt idx="3">
                  <c:v>4.4666666666666668</c:v>
                </c:pt>
                <c:pt idx="4">
                  <c:v>4.8666666666666663</c:v>
                </c:pt>
                <c:pt idx="5">
                  <c:v>4.8</c:v>
                </c:pt>
                <c:pt idx="6">
                  <c:v>4.6000000000000005</c:v>
                </c:pt>
              </c:numCache>
            </c:numRef>
          </c:val>
          <c:extLst>
            <c:ext xmlns:c16="http://schemas.microsoft.com/office/drawing/2014/chart" uri="{C3380CC4-5D6E-409C-BE32-E72D297353CC}">
              <c16:uniqueId val="{00000003-FE76-4E8D-B62D-A4250BEB8FF0}"/>
            </c:ext>
          </c:extLst>
        </c:ser>
        <c:dLbls>
          <c:showLegendKey val="0"/>
          <c:showVal val="0"/>
          <c:showCatName val="0"/>
          <c:showSerName val="0"/>
          <c:showPercent val="0"/>
          <c:showBubbleSize val="0"/>
        </c:dLbls>
        <c:gapWidth val="75"/>
        <c:overlap val="-25"/>
        <c:axId val="287818880"/>
        <c:axId val="290358784"/>
      </c:barChart>
      <c:catAx>
        <c:axId val="287818880"/>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ar-IQ"/>
          </a:p>
        </c:txPr>
        <c:crossAx val="290358784"/>
        <c:crosses val="autoZero"/>
        <c:auto val="1"/>
        <c:lblAlgn val="ctr"/>
        <c:lblOffset val="100"/>
        <c:noMultiLvlLbl val="0"/>
      </c:catAx>
      <c:valAx>
        <c:axId val="290358784"/>
        <c:scaling>
          <c:orientation val="minMax"/>
        </c:scaling>
        <c:delete val="0"/>
        <c:axPos val="l"/>
        <c:majorGridlines/>
        <c:numFmt formatCode="General"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ar-IQ"/>
          </a:p>
        </c:txPr>
        <c:crossAx val="287818880"/>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8.0055336832895882E-2"/>
          <c:y val="0.83148585593467483"/>
          <c:w val="0.86211154855643046"/>
          <c:h val="0.14073636628754738"/>
        </c:manualLayout>
      </c:layout>
      <c:overlay val="0"/>
      <c:txPr>
        <a:bodyPr/>
        <a:lstStyle/>
        <a:p>
          <a:pPr>
            <a:defRPr sz="1000" b="1">
              <a:latin typeface="Arial" pitchFamily="34" charset="0"/>
              <a:cs typeface="Arial" pitchFamily="34" charset="0"/>
            </a:defRPr>
          </a:pPr>
          <a:endParaRPr lang="ar-IQ"/>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9185320513232"/>
          <c:y val="7.7108874048971737E-2"/>
          <c:w val="0.81252631527814712"/>
          <c:h val="0.60215550409458829"/>
        </c:manualLayout>
      </c:layout>
      <c:barChart>
        <c:barDir val="col"/>
        <c:grouping val="clustered"/>
        <c:varyColors val="0"/>
        <c:ser>
          <c:idx val="0"/>
          <c:order val="0"/>
          <c:tx>
            <c:strRef>
              <c:f>Sheet3!$F$2:$F$3</c:f>
              <c:strCache>
                <c:ptCount val="1"/>
                <c:pt idx="0">
                  <c:v>Plant fresh Weight (g m⁻¹ row length ) 60 DAS</c:v>
                </c:pt>
              </c:strCache>
            </c:strRef>
          </c:tx>
          <c:spPr>
            <a:solidFill>
              <a:srgbClr val="66FF66"/>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Sheet3!$F$4:$F$10</c:f>
              <c:numCache>
                <c:formatCode>0.0</c:formatCode>
                <c:ptCount val="7"/>
                <c:pt idx="0">
                  <c:v>94</c:v>
                </c:pt>
                <c:pt idx="1">
                  <c:v>267</c:v>
                </c:pt>
                <c:pt idx="2">
                  <c:v>280</c:v>
                </c:pt>
                <c:pt idx="3">
                  <c:v>287.66666666666669</c:v>
                </c:pt>
                <c:pt idx="4">
                  <c:v>325.66666666666669</c:v>
                </c:pt>
                <c:pt idx="5">
                  <c:v>315.66666666666669</c:v>
                </c:pt>
                <c:pt idx="6">
                  <c:v>292</c:v>
                </c:pt>
              </c:numCache>
            </c:numRef>
          </c:val>
          <c:extLst>
            <c:ext xmlns:c16="http://schemas.microsoft.com/office/drawing/2014/chart" uri="{C3380CC4-5D6E-409C-BE32-E72D297353CC}">
              <c16:uniqueId val="{00000000-7318-4C6A-8FF3-C369AB7DE9E1}"/>
            </c:ext>
          </c:extLst>
        </c:ser>
        <c:ser>
          <c:idx val="1"/>
          <c:order val="1"/>
          <c:tx>
            <c:strRef>
              <c:f>Sheet3!$G$2:$G$3</c:f>
              <c:strCache>
                <c:ptCount val="1"/>
                <c:pt idx="0">
                  <c:v>Plant fresh Weight (g m⁻¹ row length ) 90 DAS</c:v>
                </c:pt>
              </c:strCache>
            </c:strRef>
          </c:tx>
          <c:spPr>
            <a:solidFill>
              <a:srgbClr val="FFC00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Sheet3!$G$4:$G$10</c:f>
              <c:numCache>
                <c:formatCode>0.0</c:formatCode>
                <c:ptCount val="7"/>
                <c:pt idx="0">
                  <c:v>354.66666666666669</c:v>
                </c:pt>
                <c:pt idx="1">
                  <c:v>506</c:v>
                </c:pt>
                <c:pt idx="2">
                  <c:v>654.66666666666663</c:v>
                </c:pt>
                <c:pt idx="3">
                  <c:v>692</c:v>
                </c:pt>
                <c:pt idx="4">
                  <c:v>773.66666666666663</c:v>
                </c:pt>
                <c:pt idx="5">
                  <c:v>764</c:v>
                </c:pt>
                <c:pt idx="6">
                  <c:v>739</c:v>
                </c:pt>
              </c:numCache>
            </c:numRef>
          </c:val>
          <c:extLst>
            <c:ext xmlns:c16="http://schemas.microsoft.com/office/drawing/2014/chart" uri="{C3380CC4-5D6E-409C-BE32-E72D297353CC}">
              <c16:uniqueId val="{00000001-7318-4C6A-8FF3-C369AB7DE9E1}"/>
            </c:ext>
          </c:extLst>
        </c:ser>
        <c:ser>
          <c:idx val="2"/>
          <c:order val="2"/>
          <c:tx>
            <c:strRef>
              <c:f>Sheet3!$H$2:$H$3</c:f>
              <c:strCache>
                <c:ptCount val="1"/>
                <c:pt idx="0">
                  <c:v>Plant dry weight (g m⁻¹ row length)  60 DAS</c:v>
                </c:pt>
              </c:strCache>
            </c:strRef>
          </c:tx>
          <c:spPr>
            <a:solidFill>
              <a:srgbClr val="00B05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Sheet3!$H$4:$H$10</c:f>
              <c:numCache>
                <c:formatCode>0.0</c:formatCode>
                <c:ptCount val="7"/>
                <c:pt idx="0">
                  <c:v>25.333333333333332</c:v>
                </c:pt>
                <c:pt idx="1">
                  <c:v>69.666666666666671</c:v>
                </c:pt>
                <c:pt idx="2">
                  <c:v>72</c:v>
                </c:pt>
                <c:pt idx="3">
                  <c:v>75.333333333333329</c:v>
                </c:pt>
                <c:pt idx="4">
                  <c:v>86</c:v>
                </c:pt>
                <c:pt idx="5">
                  <c:v>85.3</c:v>
                </c:pt>
                <c:pt idx="6">
                  <c:v>80</c:v>
                </c:pt>
              </c:numCache>
            </c:numRef>
          </c:val>
          <c:extLst>
            <c:ext xmlns:c16="http://schemas.microsoft.com/office/drawing/2014/chart" uri="{C3380CC4-5D6E-409C-BE32-E72D297353CC}">
              <c16:uniqueId val="{00000002-7318-4C6A-8FF3-C369AB7DE9E1}"/>
            </c:ext>
          </c:extLst>
        </c:ser>
        <c:ser>
          <c:idx val="3"/>
          <c:order val="3"/>
          <c:tx>
            <c:strRef>
              <c:f>Sheet3!$I$2:$I$3</c:f>
              <c:strCache>
                <c:ptCount val="1"/>
                <c:pt idx="0">
                  <c:v>Plant dry weight (g m⁻¹ row length)  90 DAS</c:v>
                </c:pt>
              </c:strCache>
            </c:strRef>
          </c:tx>
          <c:spPr>
            <a:solidFill>
              <a:srgbClr val="00B0F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Sheet3!$I$4:$I$10</c:f>
              <c:numCache>
                <c:formatCode>0.0</c:formatCode>
                <c:ptCount val="7"/>
                <c:pt idx="0">
                  <c:v>160.66666666666666</c:v>
                </c:pt>
                <c:pt idx="1">
                  <c:v>243.33333333333334</c:v>
                </c:pt>
                <c:pt idx="2">
                  <c:v>273.66666666666669</c:v>
                </c:pt>
                <c:pt idx="3">
                  <c:v>281.33333333333331</c:v>
                </c:pt>
                <c:pt idx="4">
                  <c:v>333</c:v>
                </c:pt>
                <c:pt idx="5">
                  <c:v>310.66666666666669</c:v>
                </c:pt>
                <c:pt idx="6">
                  <c:v>291.33333333333331</c:v>
                </c:pt>
              </c:numCache>
            </c:numRef>
          </c:val>
          <c:extLst>
            <c:ext xmlns:c16="http://schemas.microsoft.com/office/drawing/2014/chart" uri="{C3380CC4-5D6E-409C-BE32-E72D297353CC}">
              <c16:uniqueId val="{00000003-7318-4C6A-8FF3-C369AB7DE9E1}"/>
            </c:ext>
          </c:extLst>
        </c:ser>
        <c:dLbls>
          <c:showLegendKey val="0"/>
          <c:showVal val="0"/>
          <c:showCatName val="0"/>
          <c:showSerName val="0"/>
          <c:showPercent val="0"/>
          <c:showBubbleSize val="0"/>
        </c:dLbls>
        <c:gapWidth val="75"/>
        <c:overlap val="-25"/>
        <c:axId val="389130112"/>
        <c:axId val="390710016"/>
      </c:barChart>
      <c:catAx>
        <c:axId val="389130112"/>
        <c:scaling>
          <c:orientation val="minMax"/>
        </c:scaling>
        <c:delete val="0"/>
        <c:axPos val="b"/>
        <c:numFmt formatCode="General" sourceLinked="0"/>
        <c:majorTickMark val="none"/>
        <c:minorTickMark val="none"/>
        <c:tickLblPos val="nextTo"/>
        <c:txPr>
          <a:bodyPr/>
          <a:lstStyle/>
          <a:p>
            <a:pPr>
              <a:defRPr b="1">
                <a:latin typeface="Arial Black" pitchFamily="34" charset="0"/>
              </a:defRPr>
            </a:pPr>
            <a:endParaRPr lang="ar-IQ"/>
          </a:p>
        </c:txPr>
        <c:crossAx val="390710016"/>
        <c:crosses val="autoZero"/>
        <c:auto val="1"/>
        <c:lblAlgn val="ctr"/>
        <c:lblOffset val="100"/>
        <c:noMultiLvlLbl val="0"/>
      </c:catAx>
      <c:valAx>
        <c:axId val="390710016"/>
        <c:scaling>
          <c:orientation val="minMax"/>
        </c:scaling>
        <c:delete val="0"/>
        <c:axPos val="l"/>
        <c:majorGridlines>
          <c:spPr>
            <a:ln w="15875">
              <a:solidFill>
                <a:schemeClr val="tx1"/>
              </a:solidFill>
            </a:ln>
          </c:spPr>
        </c:majorGridlines>
        <c:numFmt formatCode="General" sourceLinked="0"/>
        <c:majorTickMark val="none"/>
        <c:minorTickMark val="none"/>
        <c:tickLblPos val="nextTo"/>
        <c:spPr>
          <a:ln w="6350">
            <a:noFill/>
          </a:ln>
        </c:spPr>
        <c:txPr>
          <a:bodyPr/>
          <a:lstStyle/>
          <a:p>
            <a:pPr>
              <a:defRPr b="1">
                <a:latin typeface="Arial" pitchFamily="34" charset="0"/>
                <a:cs typeface="Arial" pitchFamily="34" charset="0"/>
              </a:defRPr>
            </a:pPr>
            <a:endParaRPr lang="ar-IQ"/>
          </a:p>
        </c:txPr>
        <c:crossAx val="389130112"/>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0.17929598923429924"/>
          <c:y val="0.76717211894904891"/>
          <c:w val="0.64140802153140153"/>
          <c:h val="0.21220932434992018"/>
        </c:manualLayout>
      </c:layout>
      <c:overlay val="0"/>
      <c:txPr>
        <a:bodyPr/>
        <a:lstStyle/>
        <a:p>
          <a:pPr>
            <a:defRPr sz="1000" b="1">
              <a:latin typeface="Arial" pitchFamily="34" charset="0"/>
              <a:cs typeface="Arial" pitchFamily="34" charset="0"/>
            </a:defRPr>
          </a:pPr>
          <a:endParaRPr lang="ar-IQ"/>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7083924062817"/>
          <c:y val="0.17036223116946653"/>
          <c:w val="0.82332612754687329"/>
          <c:h val="0.67833078799658864"/>
        </c:manualLayout>
      </c:layout>
      <c:barChart>
        <c:barDir val="col"/>
        <c:grouping val="clustered"/>
        <c:varyColors val="0"/>
        <c:ser>
          <c:idx val="2"/>
          <c:order val="0"/>
          <c:tx>
            <c:strRef>
              <c:f>Sheet3!$AB$2</c:f>
              <c:strCache>
                <c:ptCount val="1"/>
                <c:pt idx="0">
                  <c:v>Number of filled grain spike-1</c:v>
                </c:pt>
              </c:strCache>
            </c:strRef>
          </c:tx>
          <c:spPr>
            <a:solidFill>
              <a:srgbClr val="FF00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Sheet3!$AB$3:$AB$9</c:f>
              <c:numCache>
                <c:formatCode>0.0</c:formatCode>
                <c:ptCount val="7"/>
                <c:pt idx="0">
                  <c:v>17</c:v>
                </c:pt>
                <c:pt idx="1">
                  <c:v>40.566666666666663</c:v>
                </c:pt>
                <c:pt idx="2">
                  <c:v>41.6</c:v>
                </c:pt>
                <c:pt idx="3">
                  <c:v>42.433333333333337</c:v>
                </c:pt>
                <c:pt idx="4">
                  <c:v>45.266666666666673</c:v>
                </c:pt>
                <c:pt idx="5">
                  <c:v>44.9</c:v>
                </c:pt>
                <c:pt idx="6">
                  <c:v>43.033333333333331</c:v>
                </c:pt>
              </c:numCache>
            </c:numRef>
          </c:val>
          <c:extLst>
            <c:ext xmlns:c16="http://schemas.microsoft.com/office/drawing/2014/chart" uri="{C3380CC4-5D6E-409C-BE32-E72D297353CC}">
              <c16:uniqueId val="{00000000-5249-46A2-B876-DD74EE3C4452}"/>
            </c:ext>
          </c:extLst>
        </c:ser>
        <c:ser>
          <c:idx val="3"/>
          <c:order val="1"/>
          <c:tx>
            <c:strRef>
              <c:f>Sheet3!$AC$2</c:f>
              <c:strCache>
                <c:ptCount val="1"/>
                <c:pt idx="0">
                  <c:v>Number of unfilled grain </c:v>
                </c:pt>
              </c:strCache>
            </c:strRef>
          </c:tx>
          <c:spPr>
            <a:solidFill>
              <a:srgbClr val="FFFF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Sheet3!$AC$3:$AC$9</c:f>
              <c:numCache>
                <c:formatCode>0.0</c:formatCode>
                <c:ptCount val="7"/>
                <c:pt idx="0">
                  <c:v>8.9333333333333336</c:v>
                </c:pt>
                <c:pt idx="1">
                  <c:v>6.666666666666667</c:v>
                </c:pt>
                <c:pt idx="2">
                  <c:v>6.6000000000000005</c:v>
                </c:pt>
                <c:pt idx="3">
                  <c:v>6.3999999999999995</c:v>
                </c:pt>
                <c:pt idx="4">
                  <c:v>5.6000000000000005</c:v>
                </c:pt>
                <c:pt idx="5">
                  <c:v>5.666666666666667</c:v>
                </c:pt>
                <c:pt idx="6">
                  <c:v>5.833333333333333</c:v>
                </c:pt>
              </c:numCache>
            </c:numRef>
          </c:val>
          <c:extLst>
            <c:ext xmlns:c16="http://schemas.microsoft.com/office/drawing/2014/chart" uri="{C3380CC4-5D6E-409C-BE32-E72D297353CC}">
              <c16:uniqueId val="{00000001-5249-46A2-B876-DD74EE3C4452}"/>
            </c:ext>
          </c:extLst>
        </c:ser>
        <c:dLbls>
          <c:showLegendKey val="0"/>
          <c:showVal val="0"/>
          <c:showCatName val="0"/>
          <c:showSerName val="0"/>
          <c:showPercent val="0"/>
          <c:showBubbleSize val="0"/>
        </c:dLbls>
        <c:gapWidth val="75"/>
        <c:overlap val="-25"/>
        <c:axId val="444799616"/>
        <c:axId val="447734912"/>
      </c:barChart>
      <c:catAx>
        <c:axId val="444799616"/>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ar-IQ"/>
          </a:p>
        </c:txPr>
        <c:crossAx val="447734912"/>
        <c:crosses val="autoZero"/>
        <c:auto val="1"/>
        <c:lblAlgn val="ctr"/>
        <c:lblOffset val="100"/>
        <c:noMultiLvlLbl val="0"/>
      </c:catAx>
      <c:valAx>
        <c:axId val="447734912"/>
        <c:scaling>
          <c:orientation val="minMax"/>
        </c:scaling>
        <c:delete val="0"/>
        <c:axPos val="l"/>
        <c:majorGridlines>
          <c:spPr>
            <a:ln w="15875">
              <a:solidFill>
                <a:schemeClr val="tx1"/>
              </a:solidFill>
            </a:ln>
          </c:spPr>
        </c:majorGridlines>
        <c:numFmt formatCode="0.0"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ar-IQ"/>
          </a:p>
        </c:txPr>
        <c:crossAx val="444799616"/>
        <c:crosses val="autoZero"/>
        <c:crossBetween val="between"/>
      </c:valAx>
    </c:plotArea>
    <c:legend>
      <c:legendPos val="t"/>
      <c:layout>
        <c:manualLayout>
          <c:xMode val="edge"/>
          <c:yMode val="edge"/>
          <c:x val="0.13290822504387012"/>
          <c:y val="7.3887489504617973E-2"/>
          <c:w val="0.76463487694272791"/>
          <c:h val="5.9152568145606488E-2"/>
        </c:manualLayout>
      </c:layout>
      <c:overlay val="0"/>
      <c:txPr>
        <a:bodyPr/>
        <a:lstStyle/>
        <a:p>
          <a:pPr>
            <a:defRPr sz="1200" b="1">
              <a:latin typeface="Arial" pitchFamily="34" charset="0"/>
              <a:cs typeface="Arial" pitchFamily="34" charset="0"/>
            </a:defRPr>
          </a:pPr>
          <a:endParaRPr lang="ar-IQ"/>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85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96F45-5F78-46DC-ADDB-103A6911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Pages>
  <Words>10954</Words>
  <Characters>62441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47</cp:revision>
  <dcterms:created xsi:type="dcterms:W3CDTF">2025-09-20T06:39:00Z</dcterms:created>
  <dcterms:modified xsi:type="dcterms:W3CDTF">2025-09-23T10:36:00Z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b370379b-b4c6-3456-b510-591f716d37f9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