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E90A9" w14:textId="77777777" w:rsidR="00B310DF" w:rsidRPr="00D7481B" w:rsidRDefault="00F54ABF" w:rsidP="00D7481B">
      <w:pPr>
        <w:jc w:val="center"/>
        <w:rPr>
          <w:rFonts w:ascii="Times New Roman" w:hAnsi="Times New Roman" w:cs="Times New Roman"/>
          <w:b/>
        </w:rPr>
      </w:pPr>
      <w:r w:rsidRPr="00D7481B">
        <w:rPr>
          <w:rFonts w:ascii="Times New Roman" w:hAnsi="Times New Roman" w:cs="Times New Roman"/>
          <w:b/>
        </w:rPr>
        <w:t>ANTI-MULLERIAN HORMONE AND OTHER REPRODUCTIVE HORMONE CHARACTERISTICS IN PRIMARY AND SECONDARY INFERTILITY</w:t>
      </w:r>
    </w:p>
    <w:p w14:paraId="2B907897" w14:textId="77777777" w:rsidR="00D7481B" w:rsidRDefault="00D7481B"/>
    <w:p w14:paraId="57468E11" w14:textId="77777777" w:rsidR="009B304A" w:rsidRDefault="009B304A">
      <w:pPr>
        <w:rPr>
          <w:rFonts w:ascii="Times New Roman" w:hAnsi="Times New Roman" w:cs="Times New Roman"/>
          <w:b/>
          <w:sz w:val="24"/>
          <w:szCs w:val="24"/>
        </w:rPr>
      </w:pPr>
      <w:bookmarkStart w:id="0" w:name="_GoBack"/>
      <w:bookmarkEnd w:id="0"/>
    </w:p>
    <w:p w14:paraId="0233ACFC" w14:textId="501BD851" w:rsidR="008C504B" w:rsidRPr="008C504B" w:rsidRDefault="008C504B">
      <w:pPr>
        <w:rPr>
          <w:rFonts w:ascii="Times New Roman" w:hAnsi="Times New Roman" w:cs="Times New Roman"/>
          <w:b/>
          <w:sz w:val="24"/>
          <w:szCs w:val="24"/>
        </w:rPr>
      </w:pPr>
      <w:r w:rsidRPr="008C504B">
        <w:rPr>
          <w:rFonts w:ascii="Times New Roman" w:hAnsi="Times New Roman" w:cs="Times New Roman"/>
          <w:b/>
          <w:sz w:val="24"/>
          <w:szCs w:val="24"/>
        </w:rPr>
        <w:t>ABSTRACT</w:t>
      </w:r>
    </w:p>
    <w:p w14:paraId="137FF892" w14:textId="77777777" w:rsidR="00BC60C1" w:rsidRPr="00BC60C1" w:rsidRDefault="00BC60C1" w:rsidP="00BC60C1">
      <w:pPr>
        <w:jc w:val="both"/>
        <w:rPr>
          <w:rFonts w:ascii="Times New Roman" w:hAnsi="Times New Roman" w:cs="Times New Roman"/>
          <w:b/>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In Nigeria and</w:t>
      </w:r>
      <w:r w:rsidRPr="00BC60C1">
        <w:rPr>
          <w:rFonts w:ascii="Times New Roman" w:hAnsi="Times New Roman" w:cs="Times New Roman"/>
          <w:sz w:val="24"/>
          <w:szCs w:val="24"/>
        </w:rPr>
        <w:t xml:space="preserve"> Africa</w:t>
      </w:r>
      <w:r>
        <w:rPr>
          <w:rFonts w:ascii="Times New Roman" w:hAnsi="Times New Roman" w:cs="Times New Roman"/>
          <w:sz w:val="24"/>
          <w:szCs w:val="24"/>
        </w:rPr>
        <w:t xml:space="preserve"> in general</w:t>
      </w:r>
      <w:r w:rsidRPr="00BC60C1">
        <w:rPr>
          <w:rFonts w:ascii="Times New Roman" w:hAnsi="Times New Roman" w:cs="Times New Roman"/>
          <w:sz w:val="24"/>
          <w:szCs w:val="24"/>
        </w:rPr>
        <w:t xml:space="preserve">, secondary infertility is diagnosed more </w:t>
      </w:r>
      <w:r>
        <w:rPr>
          <w:rFonts w:ascii="Times New Roman" w:hAnsi="Times New Roman" w:cs="Times New Roman"/>
          <w:sz w:val="24"/>
          <w:szCs w:val="24"/>
        </w:rPr>
        <w:t>commonly</w:t>
      </w:r>
      <w:r w:rsidRPr="00BC60C1">
        <w:rPr>
          <w:rFonts w:ascii="Times New Roman" w:hAnsi="Times New Roman" w:cs="Times New Roman"/>
          <w:sz w:val="24"/>
          <w:szCs w:val="24"/>
        </w:rPr>
        <w:t xml:space="preserve"> than primary infertility</w:t>
      </w:r>
      <w:r>
        <w:rPr>
          <w:rFonts w:ascii="Times New Roman" w:hAnsi="Times New Roman" w:cs="Times New Roman"/>
          <w:sz w:val="24"/>
          <w:szCs w:val="24"/>
        </w:rPr>
        <w:t xml:space="preserve">. </w:t>
      </w:r>
      <w:r w:rsidRPr="00BC60C1">
        <w:rPr>
          <w:rFonts w:ascii="Times New Roman" w:hAnsi="Times New Roman" w:cs="Times New Roman"/>
          <w:sz w:val="24"/>
          <w:szCs w:val="24"/>
        </w:rPr>
        <w:t>The</w:t>
      </w:r>
      <w:r>
        <w:rPr>
          <w:rFonts w:ascii="Times New Roman" w:hAnsi="Times New Roman" w:cs="Times New Roman"/>
          <w:sz w:val="24"/>
          <w:szCs w:val="24"/>
        </w:rPr>
        <w:t>re are</w:t>
      </w:r>
      <w:r w:rsidRPr="00BC60C1">
        <w:rPr>
          <w:rFonts w:ascii="Times New Roman" w:hAnsi="Times New Roman" w:cs="Times New Roman"/>
          <w:sz w:val="24"/>
          <w:szCs w:val="24"/>
        </w:rPr>
        <w:t xml:space="preserve"> </w:t>
      </w:r>
      <w:r>
        <w:rPr>
          <w:rFonts w:ascii="Times New Roman" w:hAnsi="Times New Roman" w:cs="Times New Roman"/>
          <w:sz w:val="24"/>
          <w:szCs w:val="24"/>
        </w:rPr>
        <w:t xml:space="preserve">several </w:t>
      </w:r>
      <w:r w:rsidRPr="00BC60C1">
        <w:rPr>
          <w:rFonts w:ascii="Times New Roman" w:hAnsi="Times New Roman" w:cs="Times New Roman"/>
          <w:sz w:val="24"/>
          <w:szCs w:val="24"/>
        </w:rPr>
        <w:t>identifiable causes of female infertility</w:t>
      </w:r>
      <w:r>
        <w:rPr>
          <w:rFonts w:ascii="Times New Roman" w:hAnsi="Times New Roman" w:cs="Times New Roman"/>
          <w:sz w:val="24"/>
          <w:szCs w:val="24"/>
        </w:rPr>
        <w:t xml:space="preserve"> in the continent.</w:t>
      </w:r>
    </w:p>
    <w:p w14:paraId="2F6FB549" w14:textId="77777777" w:rsidR="00BC60C1" w:rsidRDefault="00BC60C1" w:rsidP="00BC60C1">
      <w:pPr>
        <w:jc w:val="both"/>
        <w:rPr>
          <w:rFonts w:ascii="Times New Roman" w:hAnsi="Times New Roman" w:cs="Times New Roman"/>
          <w:sz w:val="24"/>
          <w:szCs w:val="24"/>
        </w:rPr>
      </w:pPr>
      <w:r w:rsidRPr="00BC60C1">
        <w:rPr>
          <w:rFonts w:ascii="Times New Roman" w:hAnsi="Times New Roman" w:cs="Times New Roman"/>
          <w:b/>
          <w:sz w:val="24"/>
          <w:szCs w:val="24"/>
        </w:rPr>
        <w:t>Aim &amp; Objective</w:t>
      </w:r>
      <w:r>
        <w:rPr>
          <w:rFonts w:ascii="Times New Roman" w:hAnsi="Times New Roman" w:cs="Times New Roman"/>
          <w:sz w:val="24"/>
          <w:szCs w:val="24"/>
        </w:rPr>
        <w:t>:</w:t>
      </w:r>
      <w:r w:rsidR="00440390">
        <w:rPr>
          <w:rFonts w:ascii="Times New Roman" w:hAnsi="Times New Roman" w:cs="Times New Roman"/>
          <w:sz w:val="24"/>
          <w:szCs w:val="24"/>
        </w:rPr>
        <w:t xml:space="preserve"> </w:t>
      </w:r>
      <w:r w:rsidR="00440390" w:rsidRPr="00440390">
        <w:rPr>
          <w:rFonts w:ascii="Times New Roman" w:hAnsi="Times New Roman" w:cs="Times New Roman"/>
          <w:sz w:val="24"/>
          <w:szCs w:val="24"/>
        </w:rPr>
        <w:t xml:space="preserve">To compare the serum </w:t>
      </w:r>
      <w:r w:rsidR="00440390">
        <w:rPr>
          <w:rFonts w:ascii="Times New Roman" w:hAnsi="Times New Roman" w:cs="Times New Roman"/>
          <w:sz w:val="24"/>
          <w:szCs w:val="24"/>
        </w:rPr>
        <w:t>Anti-mullerian (</w:t>
      </w:r>
      <w:r w:rsidR="00440390" w:rsidRPr="00440390">
        <w:rPr>
          <w:rFonts w:ascii="Times New Roman" w:hAnsi="Times New Roman" w:cs="Times New Roman"/>
          <w:sz w:val="24"/>
          <w:szCs w:val="24"/>
        </w:rPr>
        <w:t>AMH</w:t>
      </w:r>
      <w:r w:rsidR="00440390">
        <w:rPr>
          <w:rFonts w:ascii="Times New Roman" w:hAnsi="Times New Roman" w:cs="Times New Roman"/>
          <w:sz w:val="24"/>
          <w:szCs w:val="24"/>
        </w:rPr>
        <w:t>)</w:t>
      </w:r>
      <w:r w:rsidR="00440390" w:rsidRPr="00440390">
        <w:rPr>
          <w:rFonts w:ascii="Times New Roman" w:hAnsi="Times New Roman" w:cs="Times New Roman"/>
          <w:sz w:val="24"/>
          <w:szCs w:val="24"/>
        </w:rPr>
        <w:t xml:space="preserve"> levels </w:t>
      </w:r>
      <w:r w:rsidR="00440390">
        <w:rPr>
          <w:rFonts w:ascii="Times New Roman" w:hAnsi="Times New Roman" w:cs="Times New Roman"/>
          <w:sz w:val="24"/>
          <w:szCs w:val="24"/>
        </w:rPr>
        <w:t>and other reproductive hormones such as</w:t>
      </w:r>
      <w:r w:rsidR="00440390" w:rsidRPr="00440390">
        <w:rPr>
          <w:rFonts w:ascii="Times New Roman" w:hAnsi="Times New Roman" w:cs="Times New Roman"/>
          <w:sz w:val="24"/>
          <w:szCs w:val="24"/>
        </w:rPr>
        <w:t xml:space="preserve"> follicle stimulating hormone (FSH), luteinizing hormone (LH), prolactin (PRL), progesterone (PROG) and </w:t>
      </w:r>
      <w:proofErr w:type="spellStart"/>
      <w:r w:rsidR="00440390" w:rsidRPr="00440390">
        <w:rPr>
          <w:rFonts w:ascii="Times New Roman" w:hAnsi="Times New Roman" w:cs="Times New Roman"/>
          <w:sz w:val="24"/>
          <w:szCs w:val="24"/>
        </w:rPr>
        <w:t>estradiol</w:t>
      </w:r>
      <w:proofErr w:type="spellEnd"/>
      <w:r w:rsidR="00440390" w:rsidRPr="00440390">
        <w:rPr>
          <w:rFonts w:ascii="Times New Roman" w:hAnsi="Times New Roman" w:cs="Times New Roman"/>
          <w:sz w:val="24"/>
          <w:szCs w:val="24"/>
        </w:rPr>
        <w:t xml:space="preserve"> (E2) in women </w:t>
      </w:r>
      <w:r w:rsidR="00440390">
        <w:rPr>
          <w:rFonts w:ascii="Times New Roman" w:hAnsi="Times New Roman" w:cs="Times New Roman"/>
          <w:sz w:val="24"/>
          <w:szCs w:val="24"/>
        </w:rPr>
        <w:t>with primary and secondary infertility</w:t>
      </w:r>
      <w:r w:rsidR="00440390" w:rsidRPr="00440390">
        <w:rPr>
          <w:rFonts w:ascii="Times New Roman" w:hAnsi="Times New Roman" w:cs="Times New Roman"/>
          <w:sz w:val="24"/>
          <w:szCs w:val="24"/>
        </w:rPr>
        <w:t>.</w:t>
      </w:r>
    </w:p>
    <w:p w14:paraId="6B8A7D7F" w14:textId="77777777" w:rsidR="001938F7" w:rsidRDefault="004A2906" w:rsidP="001938F7">
      <w:pPr>
        <w:spacing w:line="240" w:lineRule="auto"/>
        <w:jc w:val="both"/>
        <w:rPr>
          <w:rFonts w:ascii="Times New Roman" w:hAnsi="Times New Roman" w:cs="Times New Roman"/>
          <w:sz w:val="24"/>
          <w:szCs w:val="24"/>
        </w:rPr>
      </w:pPr>
      <w:r w:rsidRPr="004A2906">
        <w:rPr>
          <w:rFonts w:ascii="Times New Roman" w:hAnsi="Times New Roman" w:cs="Times New Roman"/>
          <w:b/>
          <w:sz w:val="24"/>
          <w:szCs w:val="24"/>
        </w:rPr>
        <w:t>Methodology</w:t>
      </w:r>
      <w:r w:rsidR="001938F7" w:rsidRPr="009908DC">
        <w:rPr>
          <w:rFonts w:ascii="Times New Roman" w:hAnsi="Times New Roman" w:cs="Times New Roman"/>
          <w:sz w:val="24"/>
          <w:szCs w:val="24"/>
        </w:rPr>
        <w:t>:</w:t>
      </w:r>
      <w:r w:rsidR="00DB6965">
        <w:rPr>
          <w:rFonts w:ascii="Times New Roman" w:hAnsi="Times New Roman" w:cs="Times New Roman"/>
          <w:sz w:val="24"/>
          <w:szCs w:val="24"/>
        </w:rPr>
        <w:t xml:space="preserve"> This study involved</w:t>
      </w:r>
      <w:r w:rsidR="001938F7" w:rsidRPr="009908DC">
        <w:rPr>
          <w:rFonts w:ascii="Times New Roman" w:hAnsi="Times New Roman" w:cs="Times New Roman"/>
          <w:sz w:val="24"/>
          <w:szCs w:val="24"/>
        </w:rPr>
        <w:t xml:space="preserve"> sixty-five (65) infertile and sixty-five fertile women </w:t>
      </w:r>
      <w:r w:rsidR="00DB6965">
        <w:rPr>
          <w:rFonts w:ascii="Times New Roman" w:hAnsi="Times New Roman" w:cs="Times New Roman"/>
          <w:sz w:val="24"/>
          <w:szCs w:val="24"/>
        </w:rPr>
        <w:t>between the ages of</w:t>
      </w:r>
      <w:r w:rsidR="001938F7" w:rsidRPr="009908DC">
        <w:rPr>
          <w:rFonts w:ascii="Times New Roman" w:hAnsi="Times New Roman" w:cs="Times New Roman"/>
          <w:sz w:val="24"/>
          <w:szCs w:val="24"/>
        </w:rPr>
        <w:t xml:space="preserve"> 21 – 45 years as the test and control groups respectively.</w:t>
      </w:r>
      <w:r w:rsidRPr="004A2906">
        <w:rPr>
          <w:rFonts w:ascii="Times New Roman" w:hAnsi="Times New Roman" w:cs="Times New Roman"/>
          <w:bCs/>
          <w:sz w:val="24"/>
          <w:szCs w:val="24"/>
        </w:rPr>
        <w:t xml:space="preserve"> </w:t>
      </w:r>
      <w:r>
        <w:rPr>
          <w:rFonts w:ascii="Times New Roman" w:hAnsi="Times New Roman" w:cs="Times New Roman"/>
          <w:bCs/>
          <w:sz w:val="24"/>
          <w:szCs w:val="24"/>
        </w:rPr>
        <w:t>It was a</w:t>
      </w:r>
      <w:r w:rsidRPr="009908DC">
        <w:rPr>
          <w:rFonts w:ascii="Times New Roman" w:hAnsi="Times New Roman" w:cs="Times New Roman"/>
          <w:bCs/>
          <w:sz w:val="24"/>
          <w:szCs w:val="24"/>
        </w:rPr>
        <w:t xml:space="preserve"> hospital-based case control study which w</w:t>
      </w:r>
      <w:r>
        <w:rPr>
          <w:rFonts w:ascii="Times New Roman" w:hAnsi="Times New Roman" w:cs="Times New Roman"/>
          <w:bCs/>
          <w:sz w:val="24"/>
          <w:szCs w:val="24"/>
        </w:rPr>
        <w:t>as</w:t>
      </w:r>
      <w:r w:rsidRPr="009908DC">
        <w:rPr>
          <w:rFonts w:ascii="Times New Roman" w:hAnsi="Times New Roman" w:cs="Times New Roman"/>
          <w:bCs/>
          <w:sz w:val="24"/>
          <w:szCs w:val="24"/>
        </w:rPr>
        <w:t xml:space="preserve"> carried out at the </w:t>
      </w:r>
      <w:proofErr w:type="spellStart"/>
      <w:r w:rsidRPr="009908DC">
        <w:rPr>
          <w:rFonts w:ascii="Times New Roman" w:hAnsi="Times New Roman" w:cs="Times New Roman"/>
          <w:bCs/>
          <w:sz w:val="24"/>
          <w:szCs w:val="24"/>
        </w:rPr>
        <w:t>Irrua</w:t>
      </w:r>
      <w:proofErr w:type="spellEnd"/>
      <w:r w:rsidRPr="009908DC">
        <w:rPr>
          <w:rFonts w:ascii="Times New Roman" w:hAnsi="Times New Roman" w:cs="Times New Roman"/>
          <w:bCs/>
          <w:sz w:val="24"/>
          <w:szCs w:val="24"/>
        </w:rPr>
        <w:t xml:space="preserve"> Specialist Teaching Hospital (ISTH) from 2021-2022.</w:t>
      </w:r>
      <w:r>
        <w:rPr>
          <w:rFonts w:ascii="Times New Roman" w:hAnsi="Times New Roman" w:cs="Times New Roman"/>
          <w:sz w:val="24"/>
          <w:szCs w:val="24"/>
        </w:rPr>
        <w:t xml:space="preserve"> </w:t>
      </w:r>
      <w:r w:rsidR="001938F7" w:rsidRPr="009908DC">
        <w:rPr>
          <w:rFonts w:ascii="Times New Roman" w:hAnsi="Times New Roman" w:cs="Times New Roman"/>
          <w:sz w:val="24"/>
          <w:szCs w:val="24"/>
        </w:rPr>
        <w:t>Routine sex hormones and AMH in both groups were assayed. The mean, SD, and correlation test were studied between the variables, and the test of significance of variables between the two groups was also analysed using the statistical package of social sciences (SPSS)</w:t>
      </w:r>
      <w:r w:rsidR="00FB7F1D">
        <w:rPr>
          <w:rFonts w:ascii="Times New Roman" w:hAnsi="Times New Roman" w:cs="Times New Roman"/>
          <w:sz w:val="24"/>
          <w:szCs w:val="24"/>
        </w:rPr>
        <w:t>.</w:t>
      </w:r>
    </w:p>
    <w:p w14:paraId="3AFD5205" w14:textId="77777777" w:rsidR="00FB7F1D" w:rsidRDefault="00FB7F1D" w:rsidP="00FB7F1D">
      <w:pPr>
        <w:spacing w:line="240" w:lineRule="auto"/>
        <w:jc w:val="both"/>
        <w:rPr>
          <w:rFonts w:ascii="Times New Roman" w:hAnsi="Times New Roman" w:cs="Times New Roman"/>
          <w:sz w:val="24"/>
          <w:szCs w:val="24"/>
        </w:rPr>
      </w:pPr>
      <w:r w:rsidRPr="00FB7F1D">
        <w:rPr>
          <w:rFonts w:ascii="Times New Roman" w:hAnsi="Times New Roman" w:cs="Times New Roman"/>
          <w:b/>
          <w:sz w:val="24"/>
          <w:szCs w:val="24"/>
        </w:rPr>
        <w:t>Result</w:t>
      </w:r>
      <w:r>
        <w:rPr>
          <w:rFonts w:ascii="Times New Roman" w:hAnsi="Times New Roman" w:cs="Times New Roman"/>
          <w:sz w:val="24"/>
          <w:szCs w:val="24"/>
        </w:rPr>
        <w:t xml:space="preserve">: There was no significant difference in </w:t>
      </w:r>
      <w:r w:rsidRPr="00FB7F1D">
        <w:rPr>
          <w:rFonts w:ascii="Times New Roman" w:hAnsi="Times New Roman" w:cs="Times New Roman"/>
          <w:sz w:val="24"/>
          <w:szCs w:val="24"/>
        </w:rPr>
        <w:t>mean BMI of</w:t>
      </w:r>
      <w:r>
        <w:rPr>
          <w:rFonts w:ascii="Times New Roman" w:hAnsi="Times New Roman" w:cs="Times New Roman"/>
          <w:sz w:val="24"/>
          <w:szCs w:val="24"/>
        </w:rPr>
        <w:t xml:space="preserve"> </w:t>
      </w:r>
      <w:r w:rsidRPr="00FB7F1D">
        <w:rPr>
          <w:rFonts w:ascii="Times New Roman" w:hAnsi="Times New Roman" w:cs="Times New Roman"/>
          <w:sz w:val="24"/>
          <w:szCs w:val="24"/>
        </w:rPr>
        <w:t>infertile</w:t>
      </w:r>
      <w:r>
        <w:rPr>
          <w:rFonts w:ascii="Times New Roman" w:hAnsi="Times New Roman" w:cs="Times New Roman"/>
          <w:sz w:val="24"/>
          <w:szCs w:val="24"/>
        </w:rPr>
        <w:t xml:space="preserve"> women</w:t>
      </w:r>
      <w:r w:rsidRPr="00FB7F1D">
        <w:rPr>
          <w:rFonts w:ascii="Times New Roman" w:hAnsi="Times New Roman" w:cs="Times New Roman"/>
          <w:sz w:val="24"/>
          <w:szCs w:val="24"/>
        </w:rPr>
        <w:t xml:space="preserve"> </w:t>
      </w:r>
      <w:r>
        <w:rPr>
          <w:rFonts w:ascii="Times New Roman" w:hAnsi="Times New Roman" w:cs="Times New Roman"/>
          <w:sz w:val="24"/>
          <w:szCs w:val="24"/>
        </w:rPr>
        <w:t>(</w:t>
      </w:r>
      <w:r w:rsidRPr="00FB7F1D">
        <w:rPr>
          <w:rFonts w:ascii="Times New Roman" w:hAnsi="Times New Roman" w:cs="Times New Roman"/>
          <w:sz w:val="24"/>
          <w:szCs w:val="24"/>
        </w:rPr>
        <w:t>25.01±2.3</w:t>
      </w:r>
      <w:r>
        <w:rPr>
          <w:rFonts w:ascii="Times New Roman" w:hAnsi="Times New Roman" w:cs="Times New Roman"/>
          <w:sz w:val="24"/>
          <w:szCs w:val="24"/>
        </w:rPr>
        <w:t>)</w:t>
      </w:r>
      <w:r w:rsidRPr="00FB7F1D">
        <w:rPr>
          <w:rFonts w:ascii="Times New Roman" w:hAnsi="Times New Roman" w:cs="Times New Roman"/>
          <w:sz w:val="24"/>
          <w:szCs w:val="24"/>
        </w:rPr>
        <w:t xml:space="preserve"> and fertile women </w:t>
      </w:r>
      <w:r>
        <w:rPr>
          <w:rFonts w:ascii="Times New Roman" w:hAnsi="Times New Roman" w:cs="Times New Roman"/>
          <w:sz w:val="24"/>
          <w:szCs w:val="24"/>
        </w:rPr>
        <w:t>(</w:t>
      </w:r>
      <w:r w:rsidRPr="00FB7F1D">
        <w:rPr>
          <w:rFonts w:ascii="Times New Roman" w:hAnsi="Times New Roman" w:cs="Times New Roman"/>
          <w:sz w:val="24"/>
          <w:szCs w:val="24"/>
        </w:rPr>
        <w:t>25.06±2.3</w:t>
      </w:r>
      <w:r>
        <w:rPr>
          <w:rFonts w:ascii="Times New Roman" w:hAnsi="Times New Roman" w:cs="Times New Roman"/>
          <w:sz w:val="24"/>
          <w:szCs w:val="24"/>
        </w:rPr>
        <w:t>)</w:t>
      </w:r>
      <w:r w:rsidRPr="00FB7F1D">
        <w:rPr>
          <w:rFonts w:ascii="Times New Roman" w:hAnsi="Times New Roman" w:cs="Times New Roman"/>
          <w:sz w:val="24"/>
          <w:szCs w:val="24"/>
        </w:rPr>
        <w:t xml:space="preserve"> </w:t>
      </w:r>
      <w:r w:rsidR="00495CCB">
        <w:rPr>
          <w:rFonts w:ascii="Times New Roman" w:hAnsi="Times New Roman" w:cs="Times New Roman"/>
          <w:sz w:val="24"/>
          <w:szCs w:val="24"/>
        </w:rPr>
        <w:t xml:space="preserve">(p=0.905). </w:t>
      </w:r>
      <w:r w:rsidRPr="00FB7F1D">
        <w:rPr>
          <w:rFonts w:ascii="Times New Roman" w:hAnsi="Times New Roman" w:cs="Times New Roman"/>
          <w:sz w:val="24"/>
          <w:szCs w:val="24"/>
        </w:rPr>
        <w:t>At 13.49±1.2 and 14.09±1.0; p=0.003, the average age of menarche was significantly higher in the infertile group compared to the fertile group respectively. The menstrual cycle pattern was comparable between the two groups with 54(83.1%) and 57(87.7%) fertile and infertile women having cycle between 28-30 days respectively.</w:t>
      </w:r>
      <w:r w:rsidR="00495CCB">
        <w:rPr>
          <w:rFonts w:ascii="Times New Roman" w:hAnsi="Times New Roman" w:cs="Times New Roman"/>
          <w:sz w:val="24"/>
          <w:szCs w:val="24"/>
        </w:rPr>
        <w:t xml:space="preserve"> P</w:t>
      </w:r>
      <w:r w:rsidR="00495CCB" w:rsidRPr="00942D41">
        <w:rPr>
          <w:rFonts w:ascii="Times New Roman" w:hAnsi="Times New Roman" w:cs="Times New Roman"/>
          <w:sz w:val="24"/>
          <w:szCs w:val="24"/>
        </w:rPr>
        <w:t>articipan</w:t>
      </w:r>
      <w:r w:rsidR="00495CCB">
        <w:rPr>
          <w:rFonts w:ascii="Times New Roman" w:hAnsi="Times New Roman" w:cs="Times New Roman"/>
          <w:sz w:val="24"/>
          <w:szCs w:val="24"/>
        </w:rPr>
        <w:t xml:space="preserve">ts with primary infertility </w:t>
      </w:r>
      <w:r w:rsidR="00495CCB" w:rsidRPr="00942D41">
        <w:rPr>
          <w:rFonts w:ascii="Times New Roman" w:hAnsi="Times New Roman" w:cs="Times New Roman"/>
          <w:sz w:val="24"/>
          <w:szCs w:val="24"/>
        </w:rPr>
        <w:t>compare</w:t>
      </w:r>
      <w:r w:rsidR="00495CCB">
        <w:rPr>
          <w:rFonts w:ascii="Times New Roman" w:hAnsi="Times New Roman" w:cs="Times New Roman"/>
          <w:sz w:val="24"/>
          <w:szCs w:val="24"/>
        </w:rPr>
        <w:t>d</w:t>
      </w:r>
      <w:r w:rsidR="00495CCB" w:rsidRPr="00942D41">
        <w:rPr>
          <w:rFonts w:ascii="Times New Roman" w:hAnsi="Times New Roman" w:cs="Times New Roman"/>
          <w:sz w:val="24"/>
          <w:szCs w:val="24"/>
        </w:rPr>
        <w:t xml:space="preserve"> to participants with secondary infertility</w:t>
      </w:r>
      <w:r w:rsidR="00495CCB">
        <w:rPr>
          <w:rFonts w:ascii="Times New Roman" w:hAnsi="Times New Roman" w:cs="Times New Roman"/>
          <w:sz w:val="24"/>
          <w:szCs w:val="24"/>
        </w:rPr>
        <w:t xml:space="preserve"> had</w:t>
      </w:r>
      <w:r w:rsidR="00495CCB" w:rsidRPr="00942D41">
        <w:rPr>
          <w:rFonts w:ascii="Times New Roman" w:hAnsi="Times New Roman" w:cs="Times New Roman"/>
          <w:sz w:val="24"/>
          <w:szCs w:val="24"/>
        </w:rPr>
        <w:t xml:space="preserve"> significant</w:t>
      </w:r>
      <w:r w:rsidR="00495CCB">
        <w:rPr>
          <w:rFonts w:ascii="Times New Roman" w:hAnsi="Times New Roman" w:cs="Times New Roman"/>
          <w:sz w:val="24"/>
          <w:szCs w:val="24"/>
        </w:rPr>
        <w:t>ly</w:t>
      </w:r>
      <w:r w:rsidR="00495CCB" w:rsidRPr="00942D41">
        <w:rPr>
          <w:rFonts w:ascii="Times New Roman" w:hAnsi="Times New Roman" w:cs="Times New Roman"/>
          <w:sz w:val="24"/>
          <w:szCs w:val="24"/>
        </w:rPr>
        <w:t xml:space="preserve"> higher </w:t>
      </w:r>
      <w:r w:rsidR="00495CCB">
        <w:rPr>
          <w:rFonts w:ascii="Times New Roman" w:hAnsi="Times New Roman" w:cs="Times New Roman"/>
          <w:sz w:val="24"/>
          <w:szCs w:val="24"/>
        </w:rPr>
        <w:t xml:space="preserve">mean </w:t>
      </w:r>
      <w:r w:rsidR="00495CCB" w:rsidRPr="00942D41">
        <w:rPr>
          <w:rFonts w:ascii="Times New Roman" w:hAnsi="Times New Roman" w:cs="Times New Roman"/>
          <w:sz w:val="24"/>
          <w:szCs w:val="24"/>
        </w:rPr>
        <w:t xml:space="preserve">AMH </w:t>
      </w:r>
      <w:r w:rsidR="00495CCB">
        <w:rPr>
          <w:rFonts w:ascii="Times New Roman" w:hAnsi="Times New Roman" w:cs="Times New Roman"/>
          <w:sz w:val="24"/>
          <w:szCs w:val="24"/>
        </w:rPr>
        <w:t>(2.99±3.6 vs 1.67±2.5</w:t>
      </w:r>
      <w:r w:rsidR="003B1103">
        <w:rPr>
          <w:rFonts w:ascii="Times New Roman" w:hAnsi="Times New Roman" w:cs="Times New Roman"/>
          <w:sz w:val="24"/>
          <w:szCs w:val="24"/>
        </w:rPr>
        <w:t>; p=0.002</w:t>
      </w:r>
      <w:r w:rsidR="00495CCB">
        <w:rPr>
          <w:rFonts w:ascii="Times New Roman" w:hAnsi="Times New Roman" w:cs="Times New Roman"/>
          <w:sz w:val="24"/>
          <w:szCs w:val="24"/>
        </w:rPr>
        <w:t xml:space="preserve">) </w:t>
      </w:r>
      <w:r w:rsidR="00495CCB" w:rsidRPr="00942D41">
        <w:rPr>
          <w:rFonts w:ascii="Times New Roman" w:hAnsi="Times New Roman" w:cs="Times New Roman"/>
          <w:sz w:val="24"/>
          <w:szCs w:val="24"/>
        </w:rPr>
        <w:t>and significant</w:t>
      </w:r>
      <w:r w:rsidR="00495CCB">
        <w:rPr>
          <w:rFonts w:ascii="Times New Roman" w:hAnsi="Times New Roman" w:cs="Times New Roman"/>
          <w:sz w:val="24"/>
          <w:szCs w:val="24"/>
        </w:rPr>
        <w:t>ly</w:t>
      </w:r>
      <w:r w:rsidR="00495CCB" w:rsidRPr="00942D41">
        <w:rPr>
          <w:rFonts w:ascii="Times New Roman" w:hAnsi="Times New Roman" w:cs="Times New Roman"/>
          <w:sz w:val="24"/>
          <w:szCs w:val="24"/>
        </w:rPr>
        <w:t xml:space="preserve"> lower </w:t>
      </w:r>
      <w:r w:rsidR="00495CCB">
        <w:rPr>
          <w:rFonts w:ascii="Times New Roman" w:hAnsi="Times New Roman" w:cs="Times New Roman"/>
          <w:sz w:val="24"/>
          <w:szCs w:val="24"/>
        </w:rPr>
        <w:t xml:space="preserve">mean </w:t>
      </w:r>
      <w:proofErr w:type="spellStart"/>
      <w:r w:rsidR="00495CCB" w:rsidRPr="00942D41">
        <w:rPr>
          <w:rFonts w:ascii="Times New Roman" w:hAnsi="Times New Roman" w:cs="Times New Roman"/>
          <w:sz w:val="24"/>
          <w:szCs w:val="24"/>
        </w:rPr>
        <w:t>Estradiol</w:t>
      </w:r>
      <w:proofErr w:type="spellEnd"/>
      <w:r w:rsidR="00495CCB" w:rsidRPr="00942D41">
        <w:rPr>
          <w:rFonts w:ascii="Times New Roman" w:hAnsi="Times New Roman" w:cs="Times New Roman"/>
          <w:sz w:val="24"/>
          <w:szCs w:val="24"/>
        </w:rPr>
        <w:t xml:space="preserve"> </w:t>
      </w:r>
      <w:r w:rsidR="00495CCB">
        <w:rPr>
          <w:rFonts w:ascii="Times New Roman" w:hAnsi="Times New Roman" w:cs="Times New Roman"/>
          <w:sz w:val="24"/>
          <w:szCs w:val="24"/>
        </w:rPr>
        <w:t>(58.23±19.1 vs 79.64±32.8</w:t>
      </w:r>
      <w:r w:rsidR="003B1103">
        <w:rPr>
          <w:rFonts w:ascii="Times New Roman" w:hAnsi="Times New Roman" w:cs="Times New Roman"/>
          <w:sz w:val="24"/>
          <w:szCs w:val="24"/>
        </w:rPr>
        <w:t>; p=0.009</w:t>
      </w:r>
      <w:r w:rsidR="00495CCB">
        <w:rPr>
          <w:rFonts w:ascii="Times New Roman" w:hAnsi="Times New Roman" w:cs="Times New Roman"/>
          <w:sz w:val="24"/>
          <w:szCs w:val="24"/>
        </w:rPr>
        <w:t xml:space="preserve">) </w:t>
      </w:r>
      <w:r w:rsidR="00FE744C">
        <w:rPr>
          <w:rFonts w:ascii="Times New Roman" w:hAnsi="Times New Roman" w:cs="Times New Roman"/>
          <w:sz w:val="24"/>
          <w:szCs w:val="24"/>
        </w:rPr>
        <w:t>but not significant for</w:t>
      </w:r>
      <w:r w:rsidR="00495CCB" w:rsidRPr="00942D41">
        <w:rPr>
          <w:rFonts w:ascii="Times New Roman" w:hAnsi="Times New Roman" w:cs="Times New Roman"/>
          <w:sz w:val="24"/>
          <w:szCs w:val="24"/>
        </w:rPr>
        <w:t xml:space="preserve"> P</w:t>
      </w:r>
      <w:r w:rsidR="00495CCB">
        <w:rPr>
          <w:rFonts w:ascii="Times New Roman" w:hAnsi="Times New Roman" w:cs="Times New Roman"/>
          <w:sz w:val="24"/>
          <w:szCs w:val="24"/>
        </w:rPr>
        <w:t>rolactin (10.11±6.3 vs 13.64±9.5).</w:t>
      </w:r>
    </w:p>
    <w:p w14:paraId="23405E6A" w14:textId="77777777" w:rsidR="00A7397D" w:rsidRPr="009908DC" w:rsidRDefault="00A7397D" w:rsidP="00FB7F1D">
      <w:pPr>
        <w:spacing w:line="240" w:lineRule="auto"/>
        <w:jc w:val="both"/>
        <w:rPr>
          <w:rFonts w:ascii="Times New Roman" w:hAnsi="Times New Roman" w:cs="Times New Roman"/>
          <w:sz w:val="24"/>
          <w:szCs w:val="24"/>
        </w:rPr>
      </w:pPr>
      <w:r w:rsidRPr="00E507D4">
        <w:rPr>
          <w:rFonts w:ascii="Times New Roman" w:hAnsi="Times New Roman" w:cs="Times New Roman"/>
          <w:b/>
          <w:sz w:val="24"/>
          <w:szCs w:val="24"/>
        </w:rPr>
        <w:t>Conclusion</w:t>
      </w:r>
      <w:r w:rsidR="00E507D4">
        <w:rPr>
          <w:rFonts w:ascii="Times New Roman" w:hAnsi="Times New Roman" w:cs="Times New Roman"/>
          <w:sz w:val="24"/>
          <w:szCs w:val="24"/>
        </w:rPr>
        <w:t>: It can be seen that AMH could be an important identifier in the diagnosis of primary and secondary infertility using the</w:t>
      </w:r>
      <w:r w:rsidR="00A95F12">
        <w:rPr>
          <w:rFonts w:ascii="Times New Roman" w:hAnsi="Times New Roman" w:cs="Times New Roman"/>
          <w:sz w:val="24"/>
          <w:szCs w:val="24"/>
        </w:rPr>
        <w:t xml:space="preserve"> other</w:t>
      </w:r>
      <w:r w:rsidR="00E507D4">
        <w:rPr>
          <w:rFonts w:ascii="Times New Roman" w:hAnsi="Times New Roman" w:cs="Times New Roman"/>
          <w:sz w:val="24"/>
          <w:szCs w:val="24"/>
        </w:rPr>
        <w:t xml:space="preserve"> female reproductive hormone </w:t>
      </w:r>
      <w:r w:rsidR="00A95F12">
        <w:rPr>
          <w:rFonts w:ascii="Times New Roman" w:hAnsi="Times New Roman" w:cs="Times New Roman"/>
          <w:sz w:val="24"/>
          <w:szCs w:val="24"/>
        </w:rPr>
        <w:t xml:space="preserve">profile </w:t>
      </w:r>
      <w:r w:rsidR="00E507D4">
        <w:rPr>
          <w:rFonts w:ascii="Times New Roman" w:hAnsi="Times New Roman" w:cs="Times New Roman"/>
          <w:sz w:val="24"/>
          <w:szCs w:val="24"/>
        </w:rPr>
        <w:t xml:space="preserve">performance. </w:t>
      </w:r>
    </w:p>
    <w:p w14:paraId="7772BEC1" w14:textId="77777777" w:rsidR="001938F7" w:rsidRPr="00BC60C1" w:rsidRDefault="00DF3D0F" w:rsidP="00BC60C1">
      <w:pPr>
        <w:jc w:val="both"/>
        <w:rPr>
          <w:rFonts w:ascii="Times New Roman" w:hAnsi="Times New Roman" w:cs="Times New Roman"/>
          <w:sz w:val="24"/>
          <w:szCs w:val="24"/>
        </w:rPr>
      </w:pPr>
      <w:r w:rsidRPr="00DF3D0F">
        <w:rPr>
          <w:rFonts w:ascii="Times New Roman" w:hAnsi="Times New Roman" w:cs="Times New Roman"/>
          <w:b/>
          <w:sz w:val="24"/>
          <w:szCs w:val="24"/>
        </w:rPr>
        <w:t>Keywords</w:t>
      </w:r>
      <w:r>
        <w:rPr>
          <w:rFonts w:ascii="Times New Roman" w:hAnsi="Times New Roman" w:cs="Times New Roman"/>
          <w:sz w:val="24"/>
          <w:szCs w:val="24"/>
        </w:rPr>
        <w:t>:</w:t>
      </w:r>
      <w:r w:rsidR="0048691A">
        <w:rPr>
          <w:rFonts w:ascii="Times New Roman" w:hAnsi="Times New Roman" w:cs="Times New Roman"/>
          <w:sz w:val="24"/>
          <w:szCs w:val="24"/>
        </w:rPr>
        <w:t xml:space="preserve"> Infertility, Primary, S</w:t>
      </w:r>
      <w:r w:rsidR="00FD75B4">
        <w:rPr>
          <w:rFonts w:ascii="Times New Roman" w:hAnsi="Times New Roman" w:cs="Times New Roman"/>
          <w:sz w:val="24"/>
          <w:szCs w:val="24"/>
        </w:rPr>
        <w:t xml:space="preserve">econdary, </w:t>
      </w:r>
      <w:r w:rsidR="0048691A">
        <w:rPr>
          <w:rFonts w:ascii="Times New Roman" w:hAnsi="Times New Roman" w:cs="Times New Roman"/>
          <w:sz w:val="24"/>
          <w:szCs w:val="24"/>
        </w:rPr>
        <w:t>Female, H</w:t>
      </w:r>
      <w:r w:rsidR="00FD75B4">
        <w:rPr>
          <w:rFonts w:ascii="Times New Roman" w:hAnsi="Times New Roman" w:cs="Times New Roman"/>
          <w:sz w:val="24"/>
          <w:szCs w:val="24"/>
        </w:rPr>
        <w:t xml:space="preserve">ormone, </w:t>
      </w:r>
      <w:r w:rsidR="0048691A">
        <w:rPr>
          <w:rFonts w:ascii="Times New Roman" w:hAnsi="Times New Roman" w:cs="Times New Roman"/>
          <w:sz w:val="24"/>
          <w:szCs w:val="24"/>
        </w:rPr>
        <w:t>A</w:t>
      </w:r>
      <w:r w:rsidR="00FD75B4" w:rsidRPr="009908DC">
        <w:rPr>
          <w:rFonts w:ascii="Times New Roman" w:hAnsi="Times New Roman" w:cs="Times New Roman"/>
          <w:sz w:val="24"/>
          <w:szCs w:val="24"/>
        </w:rPr>
        <w:t xml:space="preserve">nti-Mullerian </w:t>
      </w:r>
    </w:p>
    <w:p w14:paraId="080CDF70" w14:textId="77777777" w:rsidR="008C504B" w:rsidRPr="008C504B" w:rsidRDefault="008C504B">
      <w:pPr>
        <w:rPr>
          <w:rFonts w:ascii="Times New Roman" w:hAnsi="Times New Roman" w:cs="Times New Roman"/>
          <w:b/>
          <w:sz w:val="24"/>
          <w:szCs w:val="24"/>
        </w:rPr>
      </w:pPr>
      <w:r w:rsidRPr="008C504B">
        <w:rPr>
          <w:rFonts w:ascii="Times New Roman" w:hAnsi="Times New Roman" w:cs="Times New Roman"/>
          <w:b/>
          <w:sz w:val="24"/>
          <w:szCs w:val="24"/>
        </w:rPr>
        <w:t>INTRODUCTION</w:t>
      </w:r>
    </w:p>
    <w:p w14:paraId="70E47FC3" w14:textId="77777777" w:rsidR="008C504B" w:rsidRPr="008C504B" w:rsidRDefault="008C504B" w:rsidP="00BC6F09">
      <w:pPr>
        <w:spacing w:line="240" w:lineRule="auto"/>
        <w:jc w:val="both"/>
        <w:rPr>
          <w:rFonts w:ascii="Times New Roman" w:hAnsi="Times New Roman" w:cs="Times New Roman"/>
          <w:sz w:val="24"/>
          <w:szCs w:val="24"/>
          <w:vertAlign w:val="superscript"/>
        </w:rPr>
      </w:pPr>
      <w:r w:rsidRPr="008C504B">
        <w:rPr>
          <w:rFonts w:ascii="Times New Roman" w:hAnsi="Times New Roman" w:cs="Times New Roman"/>
          <w:sz w:val="24"/>
          <w:szCs w:val="24"/>
        </w:rPr>
        <w:t>Infertility can adversely affect the mental and social wellbeing of couples which may be devastating when they are confronted with it.</w:t>
      </w:r>
      <w:r w:rsidRPr="008C504B">
        <w:rPr>
          <w:rFonts w:ascii="Times New Roman" w:hAnsi="Times New Roman" w:cs="Times New Roman"/>
          <w:sz w:val="24"/>
          <w:szCs w:val="24"/>
          <w:vertAlign w:val="superscript"/>
        </w:rPr>
        <w:t>1</w:t>
      </w:r>
      <w:r w:rsidRPr="008C504B">
        <w:rPr>
          <w:rFonts w:ascii="Times New Roman" w:hAnsi="Times New Roman" w:cs="Times New Roman"/>
          <w:sz w:val="24"/>
          <w:szCs w:val="24"/>
        </w:rPr>
        <w:t xml:space="preserve"> The psychosocial demand substantially affects women more than men thus, need to be well managed by Physicians, </w:t>
      </w:r>
      <w:proofErr w:type="gramStart"/>
      <w:r w:rsidRPr="008C504B">
        <w:rPr>
          <w:rFonts w:ascii="Times New Roman" w:hAnsi="Times New Roman" w:cs="Times New Roman"/>
          <w:sz w:val="24"/>
          <w:szCs w:val="24"/>
        </w:rPr>
        <w:t>The</w:t>
      </w:r>
      <w:proofErr w:type="gramEnd"/>
      <w:r w:rsidRPr="008C504B">
        <w:rPr>
          <w:rFonts w:ascii="Times New Roman" w:hAnsi="Times New Roman" w:cs="Times New Roman"/>
          <w:sz w:val="24"/>
          <w:szCs w:val="24"/>
        </w:rPr>
        <w:t xml:space="preserve"> desire of women for children is usually stronger than self interest in beauty and figure. It may be stronger than the claims of career. In some cases, couples have voluntarily delayed childbearing in favour of establishing careers and may experience an age-related decline in fertility. The inability to procreate is frequently considered a personal tragedy and a curse for the couple and can cause </w:t>
      </w:r>
      <w:r w:rsidRPr="008C504B">
        <w:rPr>
          <w:rFonts w:ascii="Times New Roman" w:hAnsi="Times New Roman" w:cs="Times New Roman"/>
          <w:sz w:val="24"/>
          <w:szCs w:val="24"/>
        </w:rPr>
        <w:lastRenderedPageBreak/>
        <w:t>marital disharmony as well as unhappiness and ill health. Infertility can have a profound effect on self-image, sexuality and relationship.</w:t>
      </w:r>
      <w:r w:rsidRPr="008C504B">
        <w:rPr>
          <w:rFonts w:ascii="Times New Roman" w:hAnsi="Times New Roman" w:cs="Times New Roman"/>
          <w:sz w:val="24"/>
          <w:szCs w:val="24"/>
          <w:vertAlign w:val="superscript"/>
        </w:rPr>
        <w:t>2,3</w:t>
      </w:r>
    </w:p>
    <w:p w14:paraId="09063EE6" w14:textId="77777777" w:rsidR="00322116" w:rsidRDefault="00322116" w:rsidP="00BC6F09">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Infertility is a global health issue; its prevalence is estimated to be approximately 8 - 15% among couples. The prevalence varies widely within and between countries and it is estimated to affect 60 - 168million people worldwide.</w:t>
      </w:r>
      <w:r w:rsidR="003D5958">
        <w:rPr>
          <w:rFonts w:ascii="Times New Roman" w:hAnsi="Times New Roman" w:cs="Times New Roman"/>
          <w:sz w:val="24"/>
          <w:szCs w:val="24"/>
          <w:vertAlign w:val="superscript"/>
        </w:rPr>
        <w:t>4</w:t>
      </w:r>
      <w:r>
        <w:rPr>
          <w:rFonts w:ascii="Times New Roman" w:hAnsi="Times New Roman" w:cs="Times New Roman"/>
          <w:sz w:val="24"/>
          <w:szCs w:val="24"/>
        </w:rPr>
        <w:t xml:space="preserve"> In sub-Saharan countries, the national average prevalence is 12.5 - 16% and in Nigeria, the prevalence is 10 - 30%.</w:t>
      </w:r>
      <w:r w:rsidR="003D5958">
        <w:rPr>
          <w:rFonts w:ascii="Times New Roman" w:hAnsi="Times New Roman" w:cs="Times New Roman"/>
          <w:sz w:val="24"/>
          <w:szCs w:val="24"/>
          <w:vertAlign w:val="superscript"/>
        </w:rPr>
        <w:t>5,6</w:t>
      </w:r>
    </w:p>
    <w:p w14:paraId="4FA7B620" w14:textId="77777777" w:rsidR="007063B8" w:rsidRDefault="00322116" w:rsidP="00BC6F09">
      <w:pPr>
        <w:spacing w:line="240" w:lineRule="auto"/>
        <w:jc w:val="both"/>
        <w:rPr>
          <w:rFonts w:ascii="Times New Roman" w:hAnsi="Times New Roman" w:cs="Times New Roman"/>
          <w:sz w:val="24"/>
          <w:szCs w:val="24"/>
        </w:rPr>
      </w:pPr>
      <w:r>
        <w:rPr>
          <w:rFonts w:ascii="Times New Roman" w:hAnsi="Times New Roman" w:cs="Times New Roman"/>
          <w:sz w:val="24"/>
          <w:szCs w:val="24"/>
        </w:rPr>
        <w:t>It is estimated that 25% of married couples having regular, unprotected sexual intercourse would achieve pregnancy after one month of cohabitation, up to 50% within three months, 75% in six months and 80 - 85% within a year, and 95% by 18 – 24months.</w:t>
      </w:r>
      <w:r w:rsidR="003D5958">
        <w:rPr>
          <w:rFonts w:ascii="Times New Roman" w:hAnsi="Times New Roman" w:cs="Times New Roman"/>
          <w:sz w:val="24"/>
          <w:szCs w:val="24"/>
          <w:vertAlign w:val="superscript"/>
        </w:rPr>
        <w:t>7</w:t>
      </w:r>
      <w:r w:rsidR="00CB6573">
        <w:rPr>
          <w:rFonts w:ascii="Times New Roman" w:hAnsi="Times New Roman" w:cs="Times New Roman"/>
          <w:sz w:val="24"/>
          <w:szCs w:val="24"/>
        </w:rPr>
        <w:t xml:space="preserve"> </w:t>
      </w:r>
      <w:r>
        <w:rPr>
          <w:rFonts w:ascii="Times New Roman" w:hAnsi="Times New Roman" w:cs="Times New Roman"/>
          <w:sz w:val="24"/>
          <w:szCs w:val="24"/>
        </w:rPr>
        <w:t>The management of infertility depends on the aetiological factor, diagnostic tools available and the financial status of the patient. The goal of a physician is to identify the causative factors to be able to educate and advise the couple on the right steps to take and offer treatment to the patient.</w:t>
      </w:r>
      <w:r w:rsidR="00CB6573">
        <w:rPr>
          <w:rFonts w:ascii="Times New Roman" w:hAnsi="Times New Roman" w:cs="Times New Roman"/>
          <w:sz w:val="24"/>
          <w:szCs w:val="24"/>
        </w:rPr>
        <w:t xml:space="preserve"> </w:t>
      </w:r>
      <w:r w:rsidR="007063B8">
        <w:rPr>
          <w:rFonts w:ascii="Times New Roman" w:hAnsi="Times New Roman" w:cs="Times New Roman"/>
          <w:sz w:val="24"/>
          <w:szCs w:val="24"/>
        </w:rPr>
        <w:t>The commonest identifiable causes of female infertility are tubal and anovulatory factors.</w:t>
      </w:r>
      <w:r w:rsidR="00BC6F09" w:rsidRPr="00BC6F09">
        <w:rPr>
          <w:rFonts w:ascii="Times New Roman" w:hAnsi="Times New Roman" w:cs="Times New Roman"/>
          <w:sz w:val="24"/>
          <w:szCs w:val="24"/>
        </w:rPr>
        <w:t xml:space="preserve"> </w:t>
      </w:r>
      <w:r w:rsidR="00BC6F09">
        <w:rPr>
          <w:rFonts w:ascii="Times New Roman" w:hAnsi="Times New Roman" w:cs="Times New Roman"/>
          <w:sz w:val="24"/>
          <w:szCs w:val="24"/>
        </w:rPr>
        <w:t xml:space="preserve">The ovaries maintain the health of the female reproductive system. Ovarian function includes follicular maturation, ovulation and corpus luteum formation which is regulated by a complex control system composed of the hypothalamus, pituitary and the ovary itself. These organs communicate via positive and negative feedback mechanisms. The hypothalamus produces gonadotropin releasing hormone (GnRH) which is delivered to the anterior pituitary lobe by the pituitary portal vessels. GnRH binds to specific receptors in the gonadotrophic cells of the anterior pituitary inducing synthesis of follicle stimulating hormone (FSH) and luteinizing hormone (LH) into circulation. The </w:t>
      </w:r>
      <w:r w:rsidR="00CB6573">
        <w:rPr>
          <w:rFonts w:ascii="Times New Roman" w:hAnsi="Times New Roman" w:cs="Times New Roman"/>
          <w:sz w:val="24"/>
          <w:szCs w:val="24"/>
        </w:rPr>
        <w:t>hormones (FSH, LH) bind</w:t>
      </w:r>
      <w:r w:rsidR="00BC6F09">
        <w:rPr>
          <w:rFonts w:ascii="Times New Roman" w:hAnsi="Times New Roman" w:cs="Times New Roman"/>
          <w:sz w:val="24"/>
          <w:szCs w:val="24"/>
        </w:rPr>
        <w:t xml:space="preserve"> to specific receptors of the ovary, to induce follicular maturation, ovulation and corpus luteum formation. The ovary responds to gonadotropins stimulation in two ways: secretion of gonadal steroids (progesterone, </w:t>
      </w:r>
      <w:proofErr w:type="spellStart"/>
      <w:r w:rsidR="00BC6F09">
        <w:rPr>
          <w:rFonts w:ascii="Times New Roman" w:hAnsi="Times New Roman" w:cs="Times New Roman"/>
          <w:sz w:val="24"/>
          <w:szCs w:val="24"/>
        </w:rPr>
        <w:t>estrogen</w:t>
      </w:r>
      <w:proofErr w:type="spellEnd"/>
      <w:r w:rsidR="00BC6F09">
        <w:rPr>
          <w:rFonts w:ascii="Times New Roman" w:hAnsi="Times New Roman" w:cs="Times New Roman"/>
          <w:sz w:val="24"/>
          <w:szCs w:val="24"/>
        </w:rPr>
        <w:t xml:space="preserve"> and androgens) and the liberation of a fertilizable oocyte. Other hormones produced by the ovary include the peptide hormones (inhibin and activin) and they, along with the gonadal steroid hormones: </w:t>
      </w:r>
      <w:proofErr w:type="spellStart"/>
      <w:r w:rsidR="00BC6F09">
        <w:rPr>
          <w:rFonts w:ascii="Times New Roman" w:hAnsi="Times New Roman" w:cs="Times New Roman"/>
          <w:sz w:val="24"/>
          <w:szCs w:val="24"/>
        </w:rPr>
        <w:t>estrogen</w:t>
      </w:r>
      <w:proofErr w:type="spellEnd"/>
      <w:r w:rsidR="00BC6F09">
        <w:rPr>
          <w:rFonts w:ascii="Times New Roman" w:hAnsi="Times New Roman" w:cs="Times New Roman"/>
          <w:sz w:val="24"/>
          <w:szCs w:val="24"/>
        </w:rPr>
        <w:t xml:space="preserve"> and progesterone modulate the pulsatile secretion of GnRH from the hypothalamus and gonadotropins from the pituitary. The ovary is actively involved in maintaining cyclicity, as reflected by the processes of follicular growth, follicle rupture and formation of corpus luteum.</w:t>
      </w:r>
      <w:r w:rsidR="003D5958">
        <w:rPr>
          <w:rFonts w:ascii="Times New Roman" w:hAnsi="Times New Roman" w:cs="Times New Roman"/>
          <w:sz w:val="24"/>
          <w:szCs w:val="24"/>
          <w:vertAlign w:val="superscript"/>
        </w:rPr>
        <w:t>8</w:t>
      </w:r>
      <w:r w:rsidR="00BC6F09">
        <w:rPr>
          <w:rFonts w:ascii="Times New Roman" w:hAnsi="Times New Roman" w:cs="Times New Roman"/>
          <w:sz w:val="24"/>
          <w:szCs w:val="24"/>
        </w:rPr>
        <w:t xml:space="preserve"> I</w:t>
      </w:r>
      <w:r w:rsidR="007063B8">
        <w:rPr>
          <w:rFonts w:ascii="Times New Roman" w:hAnsi="Times New Roman" w:cs="Times New Roman"/>
          <w:sz w:val="24"/>
          <w:szCs w:val="24"/>
        </w:rPr>
        <w:t xml:space="preserve">n Africa, secondary infertility is diagnosed more often than primary infertility and the most common causes are bilateral tubal occlusion and/or pelvic adhesion resulting from sexually transmitted diseases, post </w:t>
      </w:r>
      <w:proofErr w:type="spellStart"/>
      <w:r w:rsidR="007063B8">
        <w:rPr>
          <w:rFonts w:ascii="Times New Roman" w:hAnsi="Times New Roman" w:cs="Times New Roman"/>
          <w:sz w:val="24"/>
          <w:szCs w:val="24"/>
        </w:rPr>
        <w:t>abortal</w:t>
      </w:r>
      <w:proofErr w:type="spellEnd"/>
      <w:r w:rsidR="007063B8">
        <w:rPr>
          <w:rFonts w:ascii="Times New Roman" w:hAnsi="Times New Roman" w:cs="Times New Roman"/>
          <w:sz w:val="24"/>
          <w:szCs w:val="24"/>
        </w:rPr>
        <w:t xml:space="preserve"> sepsis and puerperal sepsis. Between 50 – 80% of infertility cases are due to infection.</w:t>
      </w:r>
      <w:r w:rsidR="007063B8">
        <w:rPr>
          <w:rFonts w:ascii="Times New Roman" w:hAnsi="Times New Roman" w:cs="Times New Roman"/>
          <w:sz w:val="24"/>
          <w:szCs w:val="24"/>
          <w:vertAlign w:val="superscript"/>
        </w:rPr>
        <w:t>3,</w:t>
      </w:r>
      <w:r w:rsidR="003D5958">
        <w:rPr>
          <w:rFonts w:ascii="Times New Roman" w:hAnsi="Times New Roman" w:cs="Times New Roman"/>
          <w:sz w:val="24"/>
          <w:szCs w:val="24"/>
          <w:vertAlign w:val="superscript"/>
        </w:rPr>
        <w:t>9</w:t>
      </w:r>
    </w:p>
    <w:p w14:paraId="7002C8C8" w14:textId="77777777" w:rsidR="007063B8" w:rsidRDefault="007063B8" w:rsidP="00BC6F09">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The most important sexually transmitted diseases that cause infertility are chlamydia and gonococcal infection, which are preventable. Chlamydia infection which is the most common can cause urethritis, cervicitis, adnexitis and pelvic inflammatory disease with consequent possibilities of ectopic pregnancies, subfertility and infertility. Most patients are asymptomatic and are usually diagnosed with the infection when they undergo infertility diagnostic procedures.</w:t>
      </w:r>
      <w:r w:rsidR="003D5958">
        <w:rPr>
          <w:rFonts w:ascii="Times New Roman" w:hAnsi="Times New Roman" w:cs="Times New Roman"/>
          <w:sz w:val="24"/>
          <w:szCs w:val="24"/>
          <w:vertAlign w:val="superscript"/>
        </w:rPr>
        <w:t>10,11</w:t>
      </w:r>
      <w:r w:rsidR="00BC6F09">
        <w:rPr>
          <w:rFonts w:ascii="Times New Roman" w:hAnsi="Times New Roman" w:cs="Times New Roman"/>
          <w:sz w:val="24"/>
          <w:szCs w:val="24"/>
        </w:rPr>
        <w:t xml:space="preserve"> </w:t>
      </w:r>
      <w:r>
        <w:rPr>
          <w:rFonts w:ascii="Times New Roman" w:hAnsi="Times New Roman" w:cs="Times New Roman"/>
          <w:sz w:val="24"/>
          <w:szCs w:val="24"/>
        </w:rPr>
        <w:t>The anatomical and functional integrity of the endocrine and reproductive systems of both sexes is seen as a test of the capability of achieving a normal pregnancy.</w:t>
      </w:r>
      <w:r w:rsidR="003D5958">
        <w:rPr>
          <w:rFonts w:ascii="Times New Roman" w:hAnsi="Times New Roman" w:cs="Times New Roman"/>
          <w:sz w:val="24"/>
          <w:szCs w:val="24"/>
          <w:vertAlign w:val="superscript"/>
        </w:rPr>
        <w:t>7</w:t>
      </w:r>
      <w:r w:rsidR="00BC6F09">
        <w:rPr>
          <w:rFonts w:ascii="Times New Roman" w:hAnsi="Times New Roman" w:cs="Times New Roman"/>
          <w:sz w:val="24"/>
          <w:szCs w:val="24"/>
          <w:vertAlign w:val="superscript"/>
        </w:rPr>
        <w:t xml:space="preserve"> </w:t>
      </w:r>
    </w:p>
    <w:p w14:paraId="35DD94B9" w14:textId="77777777" w:rsidR="0027385D" w:rsidRDefault="00BC6F09" w:rsidP="0027385D">
      <w:pPr>
        <w:jc w:val="both"/>
        <w:rPr>
          <w:rFonts w:ascii="Times New Roman" w:hAnsi="Times New Roman" w:cs="Times New Roman"/>
          <w:sz w:val="24"/>
          <w:szCs w:val="24"/>
        </w:rPr>
      </w:pPr>
      <w:r>
        <w:rPr>
          <w:rFonts w:ascii="Times New Roman" w:hAnsi="Times New Roman" w:cs="Times New Roman"/>
          <w:sz w:val="24"/>
          <w:szCs w:val="24"/>
        </w:rPr>
        <w:t>Before the knowledge of AMH, FSH, LH, Prolactin and Progesterone test used to be the parameter used in ISTH for the assessment of primary and secondary fertility. FSH</w:t>
      </w:r>
      <w:r w:rsidR="0027385D">
        <w:rPr>
          <w:rFonts w:ascii="Times New Roman" w:hAnsi="Times New Roman" w:cs="Times New Roman"/>
          <w:sz w:val="24"/>
          <w:szCs w:val="24"/>
        </w:rPr>
        <w:t xml:space="preserve"> the other female fertility hormones are known</w:t>
      </w:r>
      <w:r>
        <w:rPr>
          <w:rFonts w:ascii="Times New Roman" w:hAnsi="Times New Roman" w:cs="Times New Roman"/>
          <w:sz w:val="24"/>
          <w:szCs w:val="24"/>
        </w:rPr>
        <w:t xml:space="preserve"> </w:t>
      </w:r>
      <w:r w:rsidR="0027385D">
        <w:rPr>
          <w:rFonts w:ascii="Times New Roman" w:hAnsi="Times New Roman" w:cs="Times New Roman"/>
          <w:sz w:val="24"/>
          <w:szCs w:val="24"/>
        </w:rPr>
        <w:t xml:space="preserve">have low </w:t>
      </w:r>
      <w:r>
        <w:rPr>
          <w:rFonts w:ascii="Times New Roman" w:hAnsi="Times New Roman" w:cs="Times New Roman"/>
          <w:sz w:val="24"/>
          <w:szCs w:val="24"/>
        </w:rPr>
        <w:t xml:space="preserve">sensitivity and specificity </w:t>
      </w:r>
      <w:r w:rsidR="0027385D">
        <w:rPr>
          <w:rFonts w:ascii="Times New Roman" w:hAnsi="Times New Roman" w:cs="Times New Roman"/>
          <w:sz w:val="24"/>
          <w:szCs w:val="24"/>
        </w:rPr>
        <w:t>as a result of clinically</w:t>
      </w:r>
      <w:r>
        <w:rPr>
          <w:rFonts w:ascii="Times New Roman" w:hAnsi="Times New Roman" w:cs="Times New Roman"/>
          <w:sz w:val="24"/>
          <w:szCs w:val="24"/>
        </w:rPr>
        <w:t xml:space="preserve"> </w:t>
      </w:r>
      <w:r w:rsidR="0027385D">
        <w:rPr>
          <w:rFonts w:ascii="Times New Roman" w:hAnsi="Times New Roman" w:cs="Times New Roman"/>
          <w:sz w:val="24"/>
          <w:szCs w:val="24"/>
        </w:rPr>
        <w:t>remarkable</w:t>
      </w:r>
      <w:r>
        <w:rPr>
          <w:rFonts w:ascii="Times New Roman" w:hAnsi="Times New Roman" w:cs="Times New Roman"/>
          <w:sz w:val="24"/>
          <w:szCs w:val="24"/>
        </w:rPr>
        <w:t xml:space="preserve"> intra and inter cycle variability.</w:t>
      </w:r>
      <w:r w:rsidR="003D5958">
        <w:rPr>
          <w:rFonts w:ascii="Times New Roman" w:hAnsi="Times New Roman" w:cs="Times New Roman"/>
          <w:sz w:val="24"/>
          <w:szCs w:val="24"/>
          <w:vertAlign w:val="superscript"/>
        </w:rPr>
        <w:t>12</w:t>
      </w:r>
      <w:r w:rsidR="0027385D">
        <w:rPr>
          <w:rFonts w:ascii="Times New Roman" w:hAnsi="Times New Roman" w:cs="Times New Roman"/>
          <w:sz w:val="24"/>
          <w:szCs w:val="24"/>
          <w:vertAlign w:val="superscript"/>
        </w:rPr>
        <w:t xml:space="preserve"> </w:t>
      </w:r>
      <w:r w:rsidR="0027385D">
        <w:rPr>
          <w:rFonts w:ascii="Times New Roman" w:hAnsi="Times New Roman" w:cs="Times New Roman"/>
          <w:sz w:val="24"/>
          <w:szCs w:val="24"/>
        </w:rPr>
        <w:t xml:space="preserve">Hence this study was carried to assess </w:t>
      </w:r>
      <w:r w:rsidR="0027385D" w:rsidRPr="00440390">
        <w:rPr>
          <w:rFonts w:ascii="Times New Roman" w:hAnsi="Times New Roman" w:cs="Times New Roman"/>
          <w:sz w:val="24"/>
          <w:szCs w:val="24"/>
        </w:rPr>
        <w:t xml:space="preserve">serum </w:t>
      </w:r>
      <w:r w:rsidR="0027385D">
        <w:rPr>
          <w:rFonts w:ascii="Times New Roman" w:hAnsi="Times New Roman" w:cs="Times New Roman"/>
          <w:sz w:val="24"/>
          <w:szCs w:val="24"/>
        </w:rPr>
        <w:t>Anti-mullerian (</w:t>
      </w:r>
      <w:r w:rsidR="0027385D" w:rsidRPr="00440390">
        <w:rPr>
          <w:rFonts w:ascii="Times New Roman" w:hAnsi="Times New Roman" w:cs="Times New Roman"/>
          <w:sz w:val="24"/>
          <w:szCs w:val="24"/>
        </w:rPr>
        <w:t>AMH</w:t>
      </w:r>
      <w:r w:rsidR="0027385D">
        <w:rPr>
          <w:rFonts w:ascii="Times New Roman" w:hAnsi="Times New Roman" w:cs="Times New Roman"/>
          <w:sz w:val="24"/>
          <w:szCs w:val="24"/>
        </w:rPr>
        <w:t>)</w:t>
      </w:r>
      <w:r w:rsidR="0027385D" w:rsidRPr="00440390">
        <w:rPr>
          <w:rFonts w:ascii="Times New Roman" w:hAnsi="Times New Roman" w:cs="Times New Roman"/>
          <w:sz w:val="24"/>
          <w:szCs w:val="24"/>
        </w:rPr>
        <w:t xml:space="preserve"> levels </w:t>
      </w:r>
      <w:r w:rsidR="0027385D">
        <w:rPr>
          <w:rFonts w:ascii="Times New Roman" w:hAnsi="Times New Roman" w:cs="Times New Roman"/>
          <w:sz w:val="24"/>
          <w:szCs w:val="24"/>
        </w:rPr>
        <w:t xml:space="preserve">and the relationship with other reproductive hormones </w:t>
      </w:r>
      <w:r w:rsidR="0027385D">
        <w:rPr>
          <w:rFonts w:ascii="Times New Roman" w:hAnsi="Times New Roman" w:cs="Times New Roman"/>
          <w:sz w:val="24"/>
          <w:szCs w:val="24"/>
        </w:rPr>
        <w:lastRenderedPageBreak/>
        <w:t>such as</w:t>
      </w:r>
      <w:r w:rsidR="0027385D" w:rsidRPr="00440390">
        <w:rPr>
          <w:rFonts w:ascii="Times New Roman" w:hAnsi="Times New Roman" w:cs="Times New Roman"/>
          <w:sz w:val="24"/>
          <w:szCs w:val="24"/>
        </w:rPr>
        <w:t xml:space="preserve"> follicle stimulating hormone (FSH), luteinizing hormone (LH), prolactin (PRL), progesterone (PROG) and </w:t>
      </w:r>
      <w:proofErr w:type="spellStart"/>
      <w:r w:rsidR="0027385D" w:rsidRPr="00440390">
        <w:rPr>
          <w:rFonts w:ascii="Times New Roman" w:hAnsi="Times New Roman" w:cs="Times New Roman"/>
          <w:sz w:val="24"/>
          <w:szCs w:val="24"/>
        </w:rPr>
        <w:t>estradiol</w:t>
      </w:r>
      <w:proofErr w:type="spellEnd"/>
      <w:r w:rsidR="0027385D" w:rsidRPr="00440390">
        <w:rPr>
          <w:rFonts w:ascii="Times New Roman" w:hAnsi="Times New Roman" w:cs="Times New Roman"/>
          <w:sz w:val="24"/>
          <w:szCs w:val="24"/>
        </w:rPr>
        <w:t xml:space="preserve"> (E2) in women </w:t>
      </w:r>
      <w:r w:rsidR="0027385D">
        <w:rPr>
          <w:rFonts w:ascii="Times New Roman" w:hAnsi="Times New Roman" w:cs="Times New Roman"/>
          <w:sz w:val="24"/>
          <w:szCs w:val="24"/>
        </w:rPr>
        <w:t>with primary and secondary infertility</w:t>
      </w:r>
      <w:r w:rsidR="0027385D" w:rsidRPr="00440390">
        <w:rPr>
          <w:rFonts w:ascii="Times New Roman" w:hAnsi="Times New Roman" w:cs="Times New Roman"/>
          <w:sz w:val="24"/>
          <w:szCs w:val="24"/>
        </w:rPr>
        <w:t>.</w:t>
      </w:r>
    </w:p>
    <w:p w14:paraId="109F3E9F" w14:textId="77777777" w:rsidR="00672588" w:rsidRDefault="00672588" w:rsidP="0033650E">
      <w:pPr>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14:paraId="48322331"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STUDY LOCATION AND POPULATION</w:t>
      </w:r>
    </w:p>
    <w:p w14:paraId="467CE8F0" w14:textId="77777777" w:rsidR="00672588" w:rsidRDefault="00986765" w:rsidP="0033650E">
      <w:pPr>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w:t>
      </w:r>
      <w:proofErr w:type="spellStart"/>
      <w:r>
        <w:rPr>
          <w:rFonts w:ascii="Times New Roman" w:hAnsi="Times New Roman" w:cs="Times New Roman"/>
          <w:sz w:val="24"/>
          <w:szCs w:val="24"/>
        </w:rPr>
        <w:t>Irrua</w:t>
      </w:r>
      <w:proofErr w:type="spellEnd"/>
      <w:r>
        <w:rPr>
          <w:rFonts w:ascii="Times New Roman" w:hAnsi="Times New Roman" w:cs="Times New Roman"/>
          <w:sz w:val="24"/>
          <w:szCs w:val="24"/>
        </w:rPr>
        <w:t>,</w:t>
      </w:r>
      <w:r w:rsidR="00672588">
        <w:rPr>
          <w:rFonts w:ascii="Times New Roman" w:hAnsi="Times New Roman" w:cs="Times New Roman"/>
          <w:sz w:val="24"/>
          <w:szCs w:val="24"/>
        </w:rPr>
        <w:t xml:space="preserve"> a rural town and the capital of Esan central local government area of Edo state, Nigeria. Edo state is </w:t>
      </w:r>
      <w:r>
        <w:rPr>
          <w:rFonts w:ascii="Times New Roman" w:hAnsi="Times New Roman" w:cs="Times New Roman"/>
          <w:sz w:val="24"/>
          <w:szCs w:val="24"/>
        </w:rPr>
        <w:t>situated</w:t>
      </w:r>
      <w:r w:rsidR="00672588">
        <w:rPr>
          <w:rFonts w:ascii="Times New Roman" w:hAnsi="Times New Roman" w:cs="Times New Roman"/>
          <w:sz w:val="24"/>
          <w:szCs w:val="24"/>
        </w:rPr>
        <w:t xml:space="preserve"> in the </w:t>
      </w:r>
      <w:r>
        <w:rPr>
          <w:rFonts w:ascii="Times New Roman" w:hAnsi="Times New Roman" w:cs="Times New Roman"/>
          <w:sz w:val="24"/>
          <w:szCs w:val="24"/>
        </w:rPr>
        <w:t>southern part of Nigeria</w:t>
      </w:r>
      <w:r w:rsidR="00672588">
        <w:rPr>
          <w:rFonts w:ascii="Times New Roman" w:hAnsi="Times New Roman" w:cs="Times New Roman"/>
          <w:sz w:val="24"/>
          <w:szCs w:val="24"/>
        </w:rPr>
        <w:t xml:space="preserve"> on latitude 6.5438 and longitude of 5.8987</w:t>
      </w:r>
      <w:r>
        <w:rPr>
          <w:rFonts w:ascii="Times New Roman" w:hAnsi="Times New Roman" w:cs="Times New Roman"/>
          <w:sz w:val="24"/>
          <w:szCs w:val="24"/>
        </w:rPr>
        <w:t>.</w:t>
      </w:r>
      <w:r w:rsidR="00672588">
        <w:rPr>
          <w:rFonts w:ascii="Times New Roman" w:hAnsi="Times New Roman" w:cs="Times New Roman"/>
          <w:sz w:val="24"/>
          <w:szCs w:val="24"/>
        </w:rPr>
        <w:t xml:space="preserve"> </w:t>
      </w:r>
      <w:proofErr w:type="spellStart"/>
      <w:r w:rsidR="00672588">
        <w:rPr>
          <w:rFonts w:ascii="Times New Roman" w:hAnsi="Times New Roman" w:cs="Times New Roman"/>
          <w:sz w:val="24"/>
          <w:szCs w:val="24"/>
        </w:rPr>
        <w:t>Irrua</w:t>
      </w:r>
      <w:proofErr w:type="spellEnd"/>
      <w:r w:rsidR="00672588">
        <w:rPr>
          <w:rFonts w:ascii="Times New Roman" w:hAnsi="Times New Roman" w:cs="Times New Roman"/>
          <w:sz w:val="24"/>
          <w:szCs w:val="24"/>
        </w:rPr>
        <w:t xml:space="preserve"> Specialist Teaching Hospital </w:t>
      </w:r>
      <w:r w:rsidR="00EE1BD8">
        <w:rPr>
          <w:rFonts w:ascii="Times New Roman" w:hAnsi="Times New Roman" w:cs="Times New Roman"/>
          <w:sz w:val="24"/>
          <w:szCs w:val="24"/>
        </w:rPr>
        <w:t xml:space="preserve">(ISTH) </w:t>
      </w:r>
      <w:r w:rsidR="00672588">
        <w:rPr>
          <w:rFonts w:ascii="Times New Roman" w:hAnsi="Times New Roman" w:cs="Times New Roman"/>
          <w:sz w:val="24"/>
          <w:szCs w:val="24"/>
        </w:rPr>
        <w:t xml:space="preserve">is a tertiary </w:t>
      </w:r>
      <w:r>
        <w:rPr>
          <w:rFonts w:ascii="Times New Roman" w:hAnsi="Times New Roman" w:cs="Times New Roman"/>
          <w:sz w:val="24"/>
          <w:szCs w:val="24"/>
        </w:rPr>
        <w:t>healthcare facility</w:t>
      </w:r>
      <w:r w:rsidR="00672588">
        <w:rPr>
          <w:rFonts w:ascii="Times New Roman" w:hAnsi="Times New Roman" w:cs="Times New Roman"/>
          <w:sz w:val="24"/>
          <w:szCs w:val="24"/>
        </w:rPr>
        <w:t xml:space="preserve"> located in </w:t>
      </w:r>
      <w:proofErr w:type="spellStart"/>
      <w:r w:rsidR="00672588">
        <w:rPr>
          <w:rFonts w:ascii="Times New Roman" w:hAnsi="Times New Roman" w:cs="Times New Roman"/>
          <w:sz w:val="24"/>
          <w:szCs w:val="24"/>
        </w:rPr>
        <w:t>Irrua</w:t>
      </w:r>
      <w:proofErr w:type="spellEnd"/>
      <w:r w:rsidR="00672588">
        <w:rPr>
          <w:rFonts w:ascii="Times New Roman" w:hAnsi="Times New Roman" w:cs="Times New Roman"/>
          <w:sz w:val="24"/>
          <w:szCs w:val="24"/>
        </w:rPr>
        <w:t>, Esan Central Local Government Area, Edo State</w:t>
      </w:r>
      <w:r>
        <w:rPr>
          <w:rFonts w:ascii="Times New Roman" w:hAnsi="Times New Roman" w:cs="Times New Roman"/>
          <w:sz w:val="24"/>
          <w:szCs w:val="24"/>
        </w:rPr>
        <w:t>, with a 375-bed space</w:t>
      </w:r>
      <w:r w:rsidR="00672588">
        <w:rPr>
          <w:rFonts w:ascii="Times New Roman" w:hAnsi="Times New Roman" w:cs="Times New Roman"/>
          <w:sz w:val="24"/>
          <w:szCs w:val="24"/>
        </w:rPr>
        <w:t>.  The infertility/gynaecological clinics are held three times a week with an average of 1000 patients seen annually.</w:t>
      </w:r>
      <w:r w:rsidR="00EE1BD8">
        <w:rPr>
          <w:rFonts w:ascii="Times New Roman" w:hAnsi="Times New Roman" w:cs="Times New Roman"/>
          <w:sz w:val="24"/>
          <w:szCs w:val="24"/>
        </w:rPr>
        <w:t xml:space="preserve"> S</w:t>
      </w:r>
      <w:r w:rsidR="00672588">
        <w:rPr>
          <w:rFonts w:ascii="Times New Roman" w:hAnsi="Times New Roman" w:cs="Times New Roman"/>
          <w:sz w:val="24"/>
          <w:szCs w:val="24"/>
        </w:rPr>
        <w:t xml:space="preserve">tudy subjects were </w:t>
      </w:r>
      <w:r w:rsidR="0068450F">
        <w:rPr>
          <w:rFonts w:ascii="Times New Roman" w:hAnsi="Times New Roman" w:cs="Times New Roman"/>
          <w:sz w:val="24"/>
          <w:szCs w:val="24"/>
        </w:rPr>
        <w:t xml:space="preserve">infertile (case) and fertile women (control) who were </w:t>
      </w:r>
      <w:r w:rsidR="00672588">
        <w:rPr>
          <w:rFonts w:ascii="Times New Roman" w:hAnsi="Times New Roman" w:cs="Times New Roman"/>
          <w:sz w:val="24"/>
          <w:szCs w:val="24"/>
        </w:rPr>
        <w:t xml:space="preserve">diagnosed with primary or secondary infertility attending the infertility clinics, while control subjects were recruited from women </w:t>
      </w:r>
      <w:r w:rsidR="00EE1BD8">
        <w:rPr>
          <w:rFonts w:ascii="Times New Roman" w:hAnsi="Times New Roman" w:cs="Times New Roman"/>
          <w:sz w:val="24"/>
          <w:szCs w:val="24"/>
        </w:rPr>
        <w:t>visiting</w:t>
      </w:r>
      <w:r w:rsidR="00672588">
        <w:rPr>
          <w:rFonts w:ascii="Times New Roman" w:hAnsi="Times New Roman" w:cs="Times New Roman"/>
          <w:sz w:val="24"/>
          <w:szCs w:val="24"/>
        </w:rPr>
        <w:t xml:space="preserve"> the family planning clinic of the </w:t>
      </w:r>
      <w:r w:rsidR="00EE1BD8">
        <w:rPr>
          <w:rFonts w:ascii="Times New Roman" w:hAnsi="Times New Roman" w:cs="Times New Roman"/>
          <w:sz w:val="24"/>
          <w:szCs w:val="24"/>
        </w:rPr>
        <w:t>hospital.</w:t>
      </w:r>
    </w:p>
    <w:p w14:paraId="41012CBC" w14:textId="77777777" w:rsidR="00672588" w:rsidRDefault="00EE1BD8" w:rsidP="0033650E">
      <w:pPr>
        <w:jc w:val="both"/>
        <w:rPr>
          <w:rFonts w:ascii="Times New Roman" w:hAnsi="Times New Roman" w:cs="Times New Roman"/>
          <w:sz w:val="24"/>
          <w:szCs w:val="24"/>
        </w:rPr>
      </w:pPr>
      <w:r>
        <w:rPr>
          <w:rFonts w:ascii="Times New Roman" w:hAnsi="Times New Roman" w:cs="Times New Roman"/>
          <w:sz w:val="24"/>
          <w:szCs w:val="24"/>
        </w:rPr>
        <w:t>I</w:t>
      </w:r>
      <w:r w:rsidR="00672588">
        <w:rPr>
          <w:rFonts w:ascii="Times New Roman" w:hAnsi="Times New Roman" w:cs="Times New Roman"/>
          <w:sz w:val="24"/>
          <w:szCs w:val="24"/>
        </w:rPr>
        <w:t>mmunoassay</w:t>
      </w:r>
      <w:r>
        <w:rPr>
          <w:rFonts w:ascii="Times New Roman" w:hAnsi="Times New Roman" w:cs="Times New Roman"/>
          <w:sz w:val="24"/>
          <w:szCs w:val="24"/>
        </w:rPr>
        <w:t xml:space="preserve"> was used for the analysis of samples at the</w:t>
      </w:r>
      <w:r w:rsidR="00672588">
        <w:rPr>
          <w:rFonts w:ascii="Times New Roman" w:hAnsi="Times New Roman" w:cs="Times New Roman"/>
          <w:sz w:val="24"/>
          <w:szCs w:val="24"/>
        </w:rPr>
        <w:t xml:space="preserve"> laboratory of the department of Chemical Pathology, ISTH.</w:t>
      </w:r>
      <w:r>
        <w:rPr>
          <w:rFonts w:ascii="Times New Roman" w:hAnsi="Times New Roman" w:cs="Times New Roman"/>
          <w:sz w:val="24"/>
          <w:szCs w:val="24"/>
        </w:rPr>
        <w:t xml:space="preserve"> </w:t>
      </w:r>
      <w:r w:rsidR="00672588">
        <w:rPr>
          <w:rFonts w:ascii="Times New Roman" w:hAnsi="Times New Roman" w:cs="Times New Roman"/>
          <w:sz w:val="24"/>
          <w:szCs w:val="24"/>
        </w:rPr>
        <w:t>This</w:t>
      </w:r>
      <w:r>
        <w:rPr>
          <w:rFonts w:ascii="Times New Roman" w:hAnsi="Times New Roman" w:cs="Times New Roman"/>
          <w:sz w:val="24"/>
          <w:szCs w:val="24"/>
        </w:rPr>
        <w:t xml:space="preserve"> study adopted</w:t>
      </w:r>
      <w:r w:rsidR="00672588">
        <w:rPr>
          <w:rFonts w:ascii="Times New Roman" w:hAnsi="Times New Roman" w:cs="Times New Roman"/>
          <w:sz w:val="24"/>
          <w:szCs w:val="24"/>
        </w:rPr>
        <w:t xml:space="preserve"> a hospital-based case-control </w:t>
      </w:r>
      <w:r>
        <w:rPr>
          <w:rFonts w:ascii="Times New Roman" w:hAnsi="Times New Roman" w:cs="Times New Roman"/>
          <w:sz w:val="24"/>
          <w:szCs w:val="24"/>
        </w:rPr>
        <w:t>design</w:t>
      </w:r>
      <w:r w:rsidR="00672588">
        <w:rPr>
          <w:rFonts w:ascii="Times New Roman" w:hAnsi="Times New Roman" w:cs="Times New Roman"/>
          <w:sz w:val="24"/>
          <w:szCs w:val="24"/>
        </w:rPr>
        <w:t xml:space="preserve">. </w:t>
      </w:r>
    </w:p>
    <w:p w14:paraId="651DF133" w14:textId="77777777" w:rsidR="00672588" w:rsidRDefault="00672588" w:rsidP="0033650E">
      <w:pPr>
        <w:rPr>
          <w:rFonts w:ascii="Times New Roman" w:hAnsi="Times New Roman" w:cs="Times New Roman"/>
          <w:b/>
          <w:bCs/>
          <w:sz w:val="24"/>
          <w:szCs w:val="24"/>
        </w:rPr>
      </w:pPr>
      <w:commentRangeStart w:id="1"/>
      <w:r>
        <w:rPr>
          <w:rFonts w:ascii="Times New Roman" w:hAnsi="Times New Roman" w:cs="Times New Roman"/>
          <w:b/>
          <w:bCs/>
          <w:sz w:val="24"/>
          <w:szCs w:val="24"/>
        </w:rPr>
        <w:t>SAMPLING TECHNIQUE</w:t>
      </w:r>
      <w:commentRangeEnd w:id="1"/>
      <w:r w:rsidR="00882486">
        <w:rPr>
          <w:rStyle w:val="CommentReference"/>
        </w:rPr>
        <w:commentReference w:id="1"/>
      </w:r>
    </w:p>
    <w:p w14:paraId="48BB279D"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The list of all women </w:t>
      </w:r>
      <w:r w:rsidR="0068450F">
        <w:rPr>
          <w:rFonts w:ascii="Times New Roman" w:hAnsi="Times New Roman" w:cs="Times New Roman"/>
          <w:sz w:val="24"/>
          <w:szCs w:val="24"/>
        </w:rPr>
        <w:t>visiting the</w:t>
      </w:r>
      <w:r>
        <w:rPr>
          <w:rFonts w:ascii="Times New Roman" w:hAnsi="Times New Roman" w:cs="Times New Roman"/>
          <w:sz w:val="24"/>
          <w:szCs w:val="24"/>
        </w:rPr>
        <w:t xml:space="preserve"> clinic for the day was </w:t>
      </w:r>
      <w:r w:rsidR="0068450F">
        <w:rPr>
          <w:rFonts w:ascii="Times New Roman" w:hAnsi="Times New Roman" w:cs="Times New Roman"/>
          <w:sz w:val="24"/>
          <w:szCs w:val="24"/>
        </w:rPr>
        <w:t>obtained</w:t>
      </w:r>
      <w:r>
        <w:rPr>
          <w:rFonts w:ascii="Times New Roman" w:hAnsi="Times New Roman" w:cs="Times New Roman"/>
          <w:sz w:val="24"/>
          <w:szCs w:val="24"/>
        </w:rPr>
        <w:t xml:space="preserve"> and those </w:t>
      </w:r>
      <w:r w:rsidR="0068450F">
        <w:rPr>
          <w:rFonts w:ascii="Times New Roman" w:hAnsi="Times New Roman" w:cs="Times New Roman"/>
          <w:sz w:val="24"/>
          <w:szCs w:val="24"/>
        </w:rPr>
        <w:t>that met</w:t>
      </w:r>
      <w:r>
        <w:rPr>
          <w:rFonts w:ascii="Times New Roman" w:hAnsi="Times New Roman" w:cs="Times New Roman"/>
          <w:sz w:val="24"/>
          <w:szCs w:val="24"/>
        </w:rPr>
        <w:t xml:space="preserve"> the i</w:t>
      </w:r>
      <w:r w:rsidR="0068450F">
        <w:rPr>
          <w:rFonts w:ascii="Times New Roman" w:hAnsi="Times New Roman" w:cs="Times New Roman"/>
          <w:sz w:val="24"/>
          <w:szCs w:val="24"/>
        </w:rPr>
        <w:t>nclusion criteria for the study were selected</w:t>
      </w:r>
      <w:r>
        <w:rPr>
          <w:rFonts w:ascii="Times New Roman" w:hAnsi="Times New Roman" w:cs="Times New Roman"/>
          <w:sz w:val="24"/>
          <w:szCs w:val="24"/>
        </w:rPr>
        <w:t xml:space="preserve"> using </w:t>
      </w:r>
      <w:r w:rsidR="0068450F">
        <w:rPr>
          <w:rFonts w:ascii="Times New Roman" w:hAnsi="Times New Roman" w:cs="Times New Roman"/>
          <w:sz w:val="24"/>
          <w:szCs w:val="24"/>
        </w:rPr>
        <w:t xml:space="preserve">a </w:t>
      </w:r>
      <w:r>
        <w:rPr>
          <w:rFonts w:ascii="Times New Roman" w:hAnsi="Times New Roman" w:cs="Times New Roman"/>
          <w:sz w:val="24"/>
          <w:szCs w:val="24"/>
        </w:rPr>
        <w:t>simple random sampling technique, the first individuals are picked and every other t</w:t>
      </w:r>
      <w:r w:rsidR="0068450F">
        <w:rPr>
          <w:rFonts w:ascii="Times New Roman" w:hAnsi="Times New Roman" w:cs="Times New Roman"/>
          <w:sz w:val="24"/>
          <w:szCs w:val="24"/>
        </w:rPr>
        <w:t>hird number was</w:t>
      </w:r>
      <w:r>
        <w:rPr>
          <w:rFonts w:ascii="Times New Roman" w:hAnsi="Times New Roman" w:cs="Times New Roman"/>
          <w:sz w:val="24"/>
          <w:szCs w:val="24"/>
        </w:rPr>
        <w:t xml:space="preserve"> also selected. </w:t>
      </w:r>
      <w:r w:rsidR="0068450F">
        <w:rPr>
          <w:rFonts w:ascii="Times New Roman" w:hAnsi="Times New Roman" w:cs="Times New Roman"/>
          <w:sz w:val="24"/>
          <w:szCs w:val="24"/>
        </w:rPr>
        <w:t>A</w:t>
      </w:r>
      <w:r>
        <w:rPr>
          <w:rFonts w:ascii="Times New Roman" w:hAnsi="Times New Roman" w:cs="Times New Roman"/>
          <w:sz w:val="24"/>
          <w:szCs w:val="24"/>
        </w:rPr>
        <w:t xml:space="preserve"> total </w:t>
      </w:r>
      <w:r w:rsidR="0068450F">
        <w:rPr>
          <w:rFonts w:ascii="Times New Roman" w:hAnsi="Times New Roman" w:cs="Times New Roman"/>
          <w:sz w:val="24"/>
          <w:szCs w:val="24"/>
        </w:rPr>
        <w:t xml:space="preserve">of </w:t>
      </w:r>
      <w:r>
        <w:rPr>
          <w:rFonts w:ascii="Times New Roman" w:hAnsi="Times New Roman" w:cs="Times New Roman"/>
          <w:sz w:val="24"/>
          <w:szCs w:val="24"/>
        </w:rPr>
        <w:t>one hundred and thirty (130) women</w:t>
      </w:r>
      <w:r w:rsidR="0068450F">
        <w:rPr>
          <w:rFonts w:ascii="Times New Roman" w:hAnsi="Times New Roman" w:cs="Times New Roman"/>
          <w:sz w:val="24"/>
          <w:szCs w:val="24"/>
        </w:rPr>
        <w:t xml:space="preserve"> were selected for the study</w:t>
      </w:r>
      <w:r>
        <w:rPr>
          <w:rFonts w:ascii="Times New Roman" w:hAnsi="Times New Roman" w:cs="Times New Roman"/>
          <w:sz w:val="24"/>
          <w:szCs w:val="24"/>
        </w:rPr>
        <w:t>.</w:t>
      </w:r>
    </w:p>
    <w:p w14:paraId="4EEB9610" w14:textId="77777777" w:rsidR="00672588" w:rsidRDefault="00672588" w:rsidP="00CB6573">
      <w:pPr>
        <w:jc w:val="both"/>
        <w:rPr>
          <w:rFonts w:ascii="Times New Roman" w:hAnsi="Times New Roman" w:cs="Times New Roman"/>
          <w:sz w:val="24"/>
          <w:szCs w:val="24"/>
        </w:rPr>
      </w:pPr>
      <w:r>
        <w:rPr>
          <w:rFonts w:ascii="Times New Roman" w:hAnsi="Times New Roman" w:cs="Times New Roman"/>
          <w:sz w:val="24"/>
          <w:szCs w:val="24"/>
        </w:rPr>
        <w:t>The women were divided into two (2) groups. Group I consisted of sixty-five (65) women diagnosed with either primary or secondary infertility while group B consisted of sixty-five (65) women of proven fertility, who had regular menstrual cycle of between 21 to 35 days. Data captured include information to separate patients with primary infertility from those with secondary infertility so as to provide avenue for comparison of data from different groups.</w:t>
      </w:r>
    </w:p>
    <w:p w14:paraId="3EE8D075"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 xml:space="preserve">The sample size was </w:t>
      </w:r>
      <w:r w:rsidR="006F1C0C">
        <w:rPr>
          <w:rFonts w:ascii="Times New Roman" w:hAnsi="Times New Roman" w:cs="Times New Roman"/>
          <w:sz w:val="24"/>
          <w:szCs w:val="24"/>
        </w:rPr>
        <w:t>determined</w:t>
      </w:r>
      <w:r>
        <w:rPr>
          <w:rFonts w:ascii="Times New Roman" w:hAnsi="Times New Roman" w:cs="Times New Roman"/>
          <w:sz w:val="24"/>
          <w:szCs w:val="24"/>
        </w:rPr>
        <w:t xml:space="preserve"> using the difference in proportion formula for case-control studies</w:t>
      </w:r>
      <w:r w:rsidR="003D5958">
        <w:rPr>
          <w:rFonts w:ascii="Times New Roman" w:hAnsi="Times New Roman" w:cs="Times New Roman"/>
          <w:sz w:val="24"/>
          <w:szCs w:val="24"/>
          <w:vertAlign w:val="superscript"/>
        </w:rPr>
        <w:t>13</w:t>
      </w:r>
      <w:r>
        <w:rPr>
          <w:rFonts w:ascii="Times New Roman" w:hAnsi="Times New Roman" w:cs="Times New Roman"/>
          <w:sz w:val="24"/>
          <w:szCs w:val="24"/>
        </w:rPr>
        <w:t xml:space="preserve">. </w:t>
      </w:r>
    </w:p>
    <w:p w14:paraId="049200E2"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GB"/>
        </w:rPr>
        <w:drawing>
          <wp:inline distT="0" distB="0" distL="0" distR="0" wp14:anchorId="0CA30819" wp14:editId="657A68DE">
            <wp:extent cx="312483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44922" cy="776122"/>
                    </a:xfrm>
                    <a:prstGeom prst="rect">
                      <a:avLst/>
                    </a:prstGeom>
                    <a:noFill/>
                    <a:ln>
                      <a:noFill/>
                    </a:ln>
                  </pic:spPr>
                </pic:pic>
              </a:graphicData>
            </a:graphic>
          </wp:inline>
        </w:drawing>
      </w:r>
    </w:p>
    <w:p w14:paraId="7038928C"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Women of age ranging from 21 – 45 years, who have been diagnosed with either primary or secondary infertility according to the World Health Organization (WHO) </w:t>
      </w:r>
      <w:r w:rsidR="00CB6573">
        <w:rPr>
          <w:rFonts w:ascii="Times New Roman" w:hAnsi="Times New Roman" w:cs="Times New Roman"/>
          <w:sz w:val="24"/>
          <w:szCs w:val="24"/>
        </w:rPr>
        <w:t>criteria,</w:t>
      </w:r>
      <w:r>
        <w:rPr>
          <w:rFonts w:ascii="Times New Roman" w:hAnsi="Times New Roman" w:cs="Times New Roman"/>
          <w:sz w:val="24"/>
          <w:szCs w:val="24"/>
        </w:rPr>
        <w:t xml:space="preserve"> were selected as study population while women of proven fertility matched for age were selected as control population.    </w:t>
      </w:r>
    </w:p>
    <w:p w14:paraId="455B0AC2" w14:textId="77777777" w:rsidR="00672588" w:rsidRDefault="00672588" w:rsidP="0033650E">
      <w:pPr>
        <w:jc w:val="both"/>
        <w:rPr>
          <w:rFonts w:ascii="Times New Roman" w:hAnsi="Times New Roman" w:cs="Times New Roman"/>
          <w:b/>
          <w:bCs/>
          <w:sz w:val="24"/>
          <w:szCs w:val="24"/>
        </w:rPr>
      </w:pPr>
      <w:commentRangeStart w:id="2"/>
      <w:r>
        <w:rPr>
          <w:rFonts w:ascii="Times New Roman" w:hAnsi="Times New Roman" w:cs="Times New Roman"/>
          <w:b/>
          <w:bCs/>
          <w:sz w:val="24"/>
          <w:szCs w:val="24"/>
        </w:rPr>
        <w:t xml:space="preserve">INCLUSION </w:t>
      </w:r>
      <w:r w:rsidR="0009001D">
        <w:rPr>
          <w:rFonts w:ascii="Times New Roman" w:hAnsi="Times New Roman" w:cs="Times New Roman"/>
          <w:b/>
          <w:bCs/>
          <w:sz w:val="24"/>
          <w:szCs w:val="24"/>
        </w:rPr>
        <w:t xml:space="preserve">AND EXCLUSION </w:t>
      </w:r>
      <w:r>
        <w:rPr>
          <w:rFonts w:ascii="Times New Roman" w:hAnsi="Times New Roman" w:cs="Times New Roman"/>
          <w:b/>
          <w:bCs/>
          <w:sz w:val="24"/>
          <w:szCs w:val="24"/>
        </w:rPr>
        <w:t>CRITERIA FOR TEST POPULATION</w:t>
      </w:r>
      <w:commentRangeEnd w:id="2"/>
      <w:r w:rsidR="00882486">
        <w:rPr>
          <w:rStyle w:val="CommentReference"/>
        </w:rPr>
        <w:commentReference w:id="2"/>
      </w:r>
    </w:p>
    <w:p w14:paraId="50B87EBB" w14:textId="77777777" w:rsidR="00672588" w:rsidRPr="006F1C0C" w:rsidRDefault="00672588" w:rsidP="0033650E">
      <w:pPr>
        <w:jc w:val="both"/>
        <w:rPr>
          <w:rFonts w:ascii="Times New Roman" w:hAnsi="Times New Roman" w:cs="Times New Roman"/>
          <w:sz w:val="24"/>
          <w:szCs w:val="24"/>
        </w:rPr>
      </w:pPr>
      <w:r w:rsidRPr="006F1C0C">
        <w:rPr>
          <w:rFonts w:ascii="Times New Roman" w:hAnsi="Times New Roman" w:cs="Times New Roman"/>
          <w:sz w:val="24"/>
          <w:szCs w:val="24"/>
        </w:rPr>
        <w:lastRenderedPageBreak/>
        <w:t>Patients who present</w:t>
      </w:r>
      <w:r w:rsidR="006F1C0C">
        <w:rPr>
          <w:rFonts w:ascii="Times New Roman" w:hAnsi="Times New Roman" w:cs="Times New Roman"/>
          <w:sz w:val="24"/>
          <w:szCs w:val="24"/>
        </w:rPr>
        <w:t>ed</w:t>
      </w:r>
      <w:r w:rsidRPr="006F1C0C">
        <w:rPr>
          <w:rFonts w:ascii="Times New Roman" w:hAnsi="Times New Roman" w:cs="Times New Roman"/>
          <w:sz w:val="24"/>
          <w:szCs w:val="24"/>
        </w:rPr>
        <w:t xml:space="preserve"> with infertility aged 21 – 45years with normal regular menstrual cycle (21 – 35) days</w:t>
      </w:r>
      <w:r w:rsidR="006F1C0C">
        <w:rPr>
          <w:rFonts w:ascii="Times New Roman" w:hAnsi="Times New Roman" w:cs="Times New Roman"/>
          <w:sz w:val="24"/>
          <w:szCs w:val="24"/>
        </w:rPr>
        <w:t>, and patients who ga</w:t>
      </w:r>
      <w:r w:rsidRPr="006F1C0C">
        <w:rPr>
          <w:rFonts w:ascii="Times New Roman" w:hAnsi="Times New Roman" w:cs="Times New Roman"/>
          <w:sz w:val="24"/>
          <w:szCs w:val="24"/>
        </w:rPr>
        <w:t>ve informed consent</w:t>
      </w:r>
      <w:r w:rsidR="006F1C0C">
        <w:rPr>
          <w:rFonts w:ascii="Times New Roman" w:hAnsi="Times New Roman" w:cs="Times New Roman"/>
          <w:sz w:val="24"/>
          <w:szCs w:val="24"/>
        </w:rPr>
        <w:t xml:space="preserve"> were selected for this study. </w:t>
      </w:r>
      <w:r w:rsidR="006F1C0C" w:rsidRPr="006F1C0C">
        <w:rPr>
          <w:rFonts w:ascii="Times New Roman" w:hAnsi="Times New Roman" w:cs="Times New Roman"/>
          <w:sz w:val="24"/>
          <w:szCs w:val="24"/>
        </w:rPr>
        <w:t>Patient with tubal infertility</w:t>
      </w:r>
      <w:r w:rsidR="006F1C0C">
        <w:rPr>
          <w:rFonts w:ascii="Times New Roman" w:hAnsi="Times New Roman" w:cs="Times New Roman"/>
          <w:sz w:val="24"/>
          <w:szCs w:val="24"/>
        </w:rPr>
        <w:t xml:space="preserve">, those with </w:t>
      </w:r>
      <w:r w:rsidR="006F1C0C" w:rsidRPr="006F1C0C">
        <w:rPr>
          <w:rFonts w:ascii="Times New Roman" w:hAnsi="Times New Roman" w:cs="Times New Roman"/>
          <w:sz w:val="24"/>
          <w:szCs w:val="24"/>
        </w:rPr>
        <w:t>premature ovarian failure</w:t>
      </w:r>
      <w:r w:rsidR="006F1C0C">
        <w:rPr>
          <w:rFonts w:ascii="Times New Roman" w:hAnsi="Times New Roman" w:cs="Times New Roman"/>
          <w:sz w:val="24"/>
          <w:szCs w:val="24"/>
        </w:rPr>
        <w:t xml:space="preserve"> and </w:t>
      </w:r>
      <w:r w:rsidR="006F1C0C" w:rsidRPr="006F1C0C">
        <w:rPr>
          <w:rFonts w:ascii="Times New Roman" w:hAnsi="Times New Roman" w:cs="Times New Roman"/>
          <w:sz w:val="24"/>
          <w:szCs w:val="24"/>
        </w:rPr>
        <w:t>previous uterine, tubal and ovarian surgeries</w:t>
      </w:r>
      <w:r w:rsidR="006F1C0C">
        <w:rPr>
          <w:rFonts w:ascii="Times New Roman" w:hAnsi="Times New Roman" w:cs="Times New Roman"/>
          <w:sz w:val="24"/>
          <w:szCs w:val="24"/>
        </w:rPr>
        <w:t>, and p</w:t>
      </w:r>
      <w:r w:rsidR="006F1C0C" w:rsidRPr="006F1C0C">
        <w:rPr>
          <w:rFonts w:ascii="Times New Roman" w:hAnsi="Times New Roman" w:cs="Times New Roman"/>
          <w:sz w:val="24"/>
          <w:szCs w:val="24"/>
        </w:rPr>
        <w:t>atients on medications capable of influencing serum levels of target hormone e.g</w:t>
      </w:r>
      <w:r w:rsidR="00CB6573">
        <w:rPr>
          <w:rFonts w:ascii="Times New Roman" w:hAnsi="Times New Roman" w:cs="Times New Roman"/>
          <w:sz w:val="24"/>
          <w:szCs w:val="24"/>
        </w:rPr>
        <w:t>.</w:t>
      </w:r>
      <w:r w:rsidR="006F1C0C" w:rsidRPr="006F1C0C">
        <w:rPr>
          <w:rFonts w:ascii="Times New Roman" w:hAnsi="Times New Roman" w:cs="Times New Roman"/>
          <w:sz w:val="24"/>
          <w:szCs w:val="24"/>
        </w:rPr>
        <w:t xml:space="preserve"> hormonal contraceptives, anticonvulsants, steroids and</w:t>
      </w:r>
      <w:r w:rsidR="006F1C0C">
        <w:rPr>
          <w:rFonts w:ascii="Times New Roman" w:hAnsi="Times New Roman" w:cs="Times New Roman"/>
          <w:sz w:val="24"/>
          <w:szCs w:val="24"/>
        </w:rPr>
        <w:t xml:space="preserve"> hormonal replacement </w:t>
      </w:r>
      <w:r w:rsidR="00CB6573">
        <w:rPr>
          <w:rFonts w:ascii="Times New Roman" w:hAnsi="Times New Roman" w:cs="Times New Roman"/>
          <w:sz w:val="24"/>
          <w:szCs w:val="24"/>
        </w:rPr>
        <w:t>therapies</w:t>
      </w:r>
      <w:r w:rsidR="006F1C0C">
        <w:rPr>
          <w:rFonts w:ascii="Times New Roman" w:hAnsi="Times New Roman" w:cs="Times New Roman"/>
          <w:sz w:val="24"/>
          <w:szCs w:val="24"/>
        </w:rPr>
        <w:t xml:space="preserve"> were excluded from this study.</w:t>
      </w:r>
    </w:p>
    <w:p w14:paraId="50E2A5FF" w14:textId="77777777" w:rsidR="00672588" w:rsidRDefault="00672588" w:rsidP="0033650E">
      <w:pPr>
        <w:jc w:val="both"/>
        <w:rPr>
          <w:rFonts w:ascii="Times New Roman" w:hAnsi="Times New Roman" w:cs="Times New Roman"/>
          <w:b/>
          <w:bCs/>
          <w:sz w:val="24"/>
          <w:szCs w:val="24"/>
        </w:rPr>
      </w:pPr>
      <w:bookmarkStart w:id="3" w:name="_Hlk54100285"/>
      <w:r>
        <w:rPr>
          <w:rFonts w:ascii="Times New Roman" w:hAnsi="Times New Roman" w:cs="Times New Roman"/>
          <w:b/>
          <w:bCs/>
          <w:sz w:val="24"/>
          <w:szCs w:val="24"/>
        </w:rPr>
        <w:t>INCLUSION CRITERIA FOR CONTROL</w:t>
      </w:r>
    </w:p>
    <w:bookmarkEnd w:id="3"/>
    <w:p w14:paraId="22070E37" w14:textId="77777777" w:rsidR="004257B4" w:rsidRDefault="006F1C0C" w:rsidP="0033650E">
      <w:pPr>
        <w:jc w:val="both"/>
        <w:rPr>
          <w:rFonts w:ascii="Times New Roman" w:hAnsi="Times New Roman" w:cs="Times New Roman"/>
          <w:b/>
          <w:bCs/>
          <w:sz w:val="24"/>
          <w:szCs w:val="24"/>
        </w:rPr>
      </w:pPr>
      <w:r w:rsidRPr="006F1C0C">
        <w:rPr>
          <w:rFonts w:ascii="Times New Roman" w:hAnsi="Times New Roman" w:cs="Times New Roman"/>
          <w:sz w:val="24"/>
          <w:szCs w:val="24"/>
        </w:rPr>
        <w:t>Consenting patients</w:t>
      </w:r>
      <w:r>
        <w:rPr>
          <w:rFonts w:ascii="Times New Roman" w:hAnsi="Times New Roman" w:cs="Times New Roman"/>
          <w:sz w:val="24"/>
          <w:szCs w:val="24"/>
        </w:rPr>
        <w:t xml:space="preserve"> </w:t>
      </w:r>
      <w:r w:rsidR="00672588" w:rsidRPr="006F1C0C">
        <w:rPr>
          <w:rFonts w:ascii="Times New Roman" w:hAnsi="Times New Roman" w:cs="Times New Roman"/>
          <w:sz w:val="24"/>
          <w:szCs w:val="24"/>
        </w:rPr>
        <w:t>of proven fertility who have a regular menstrual cycle of between 21 – 35 days</w:t>
      </w:r>
      <w:r>
        <w:rPr>
          <w:rFonts w:ascii="Times New Roman" w:hAnsi="Times New Roman" w:cs="Times New Roman"/>
          <w:sz w:val="24"/>
          <w:szCs w:val="24"/>
        </w:rPr>
        <w:t xml:space="preserve"> were included as control, while p</w:t>
      </w:r>
      <w:r w:rsidR="00672588" w:rsidRPr="006F1C0C">
        <w:rPr>
          <w:rFonts w:ascii="Times New Roman" w:hAnsi="Times New Roman" w:cs="Times New Roman"/>
          <w:sz w:val="24"/>
          <w:szCs w:val="24"/>
        </w:rPr>
        <w:t>atients below 21years of age and those above 45 years</w:t>
      </w:r>
      <w:r>
        <w:rPr>
          <w:rFonts w:ascii="Times New Roman" w:hAnsi="Times New Roman" w:cs="Times New Roman"/>
          <w:sz w:val="24"/>
          <w:szCs w:val="24"/>
        </w:rPr>
        <w:t>, p</w:t>
      </w:r>
      <w:r w:rsidR="00672588" w:rsidRPr="006F1C0C">
        <w:rPr>
          <w:rFonts w:ascii="Times New Roman" w:hAnsi="Times New Roman" w:cs="Times New Roman"/>
          <w:sz w:val="24"/>
          <w:szCs w:val="24"/>
        </w:rPr>
        <w:t xml:space="preserve">atients who </w:t>
      </w:r>
      <w:r>
        <w:rPr>
          <w:rFonts w:ascii="Times New Roman" w:hAnsi="Times New Roman" w:cs="Times New Roman"/>
          <w:sz w:val="24"/>
          <w:szCs w:val="24"/>
        </w:rPr>
        <w:t>were</w:t>
      </w:r>
      <w:r w:rsidR="00672588" w:rsidRPr="006F1C0C">
        <w:rPr>
          <w:rFonts w:ascii="Times New Roman" w:hAnsi="Times New Roman" w:cs="Times New Roman"/>
          <w:sz w:val="24"/>
          <w:szCs w:val="24"/>
        </w:rPr>
        <w:t xml:space="preserve"> pregnant</w:t>
      </w:r>
      <w:r>
        <w:rPr>
          <w:rFonts w:ascii="Times New Roman" w:hAnsi="Times New Roman" w:cs="Times New Roman"/>
          <w:sz w:val="24"/>
          <w:szCs w:val="24"/>
        </w:rPr>
        <w:t xml:space="preserve"> and p</w:t>
      </w:r>
      <w:r w:rsidR="00672588" w:rsidRPr="006F1C0C">
        <w:rPr>
          <w:rFonts w:ascii="Times New Roman" w:hAnsi="Times New Roman" w:cs="Times New Roman"/>
          <w:sz w:val="24"/>
          <w:szCs w:val="24"/>
        </w:rPr>
        <w:t>revious IVF pregnancies</w:t>
      </w:r>
      <w:r w:rsidR="004257B4">
        <w:rPr>
          <w:rFonts w:ascii="Times New Roman" w:hAnsi="Times New Roman" w:cs="Times New Roman"/>
          <w:sz w:val="24"/>
          <w:szCs w:val="24"/>
        </w:rPr>
        <w:t xml:space="preserve"> were selected as control.</w:t>
      </w:r>
      <w:r w:rsidR="00672588">
        <w:rPr>
          <w:rFonts w:ascii="Times New Roman" w:hAnsi="Times New Roman" w:cs="Times New Roman"/>
          <w:b/>
          <w:bCs/>
          <w:sz w:val="24"/>
          <w:szCs w:val="24"/>
        </w:rPr>
        <w:t xml:space="preserve"> </w:t>
      </w:r>
    </w:p>
    <w:p w14:paraId="03B92103" w14:textId="77777777" w:rsidR="00672588" w:rsidRPr="006F1C0C" w:rsidRDefault="00672588" w:rsidP="0033650E">
      <w:pPr>
        <w:jc w:val="both"/>
        <w:rPr>
          <w:rFonts w:ascii="Times New Roman" w:hAnsi="Times New Roman" w:cs="Times New Roman"/>
          <w:sz w:val="24"/>
          <w:szCs w:val="24"/>
        </w:rPr>
      </w:pPr>
      <w:r>
        <w:rPr>
          <w:rFonts w:ascii="Times New Roman" w:hAnsi="Times New Roman" w:cs="Times New Roman"/>
          <w:b/>
          <w:bCs/>
          <w:sz w:val="24"/>
          <w:szCs w:val="24"/>
        </w:rPr>
        <w:t>ETHICAL CONSIDERATION</w:t>
      </w:r>
    </w:p>
    <w:p w14:paraId="70341913" w14:textId="77777777" w:rsidR="00672588" w:rsidRDefault="00672588" w:rsidP="0033650E">
      <w:pPr>
        <w:jc w:val="both"/>
        <w:rPr>
          <w:rFonts w:ascii="Times New Roman" w:hAnsi="Times New Roman" w:cs="Times New Roman"/>
          <w:sz w:val="24"/>
          <w:szCs w:val="24"/>
        </w:rPr>
      </w:pPr>
      <w:commentRangeStart w:id="4"/>
      <w:r>
        <w:rPr>
          <w:rFonts w:ascii="Times New Roman" w:hAnsi="Times New Roman" w:cs="Times New Roman"/>
          <w:sz w:val="24"/>
          <w:szCs w:val="24"/>
        </w:rPr>
        <w:t>Approval for the study was obtained from the research and ethic review committee of ISTH. Ethical consideration in the study will be based on ethical principles as outlined by the Helsinki declaration on biomedical research on human subjects. These entail respect for persons, beneficence, non-malfeasance and justice.</w:t>
      </w:r>
    </w:p>
    <w:p w14:paraId="19B2D575"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Respect for person: patients were recruited into the study after being availed of adequate information and obtaining their informed consent. They were not coerced or induced to participate and their right to withdraw from the study at any given point of the study was respected. </w:t>
      </w:r>
    </w:p>
    <w:p w14:paraId="7CB39E2D"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Beneficence: Ethical obligation to maximize benefits and minimize harm or wrong. Specimen collection was done in accordance with standard techniques and competence. Participants were not made to bear any part of the cost of this study.</w:t>
      </w:r>
    </w:p>
    <w:p w14:paraId="11C818CA" w14:textId="77777777" w:rsidR="00672588" w:rsidRDefault="00672588" w:rsidP="0033650E">
      <w:pPr>
        <w:jc w:val="both"/>
        <w:rPr>
          <w:rFonts w:ascii="Times New Roman" w:hAnsi="Times New Roman" w:cs="Times New Roman"/>
          <w:sz w:val="24"/>
          <w:szCs w:val="24"/>
        </w:rPr>
      </w:pPr>
      <w:proofErr w:type="spellStart"/>
      <w:r>
        <w:rPr>
          <w:rFonts w:ascii="Times New Roman" w:hAnsi="Times New Roman" w:cs="Times New Roman"/>
          <w:sz w:val="24"/>
          <w:szCs w:val="24"/>
        </w:rPr>
        <w:t>Nonmalfeasance</w:t>
      </w:r>
      <w:proofErr w:type="spellEnd"/>
      <w:r>
        <w:rPr>
          <w:rFonts w:ascii="Times New Roman" w:hAnsi="Times New Roman" w:cs="Times New Roman"/>
          <w:sz w:val="24"/>
          <w:szCs w:val="24"/>
        </w:rPr>
        <w:t>: No harm was done to the patients engaged in the study.</w:t>
      </w:r>
      <w:commentRangeEnd w:id="4"/>
      <w:r w:rsidR="00882486">
        <w:rPr>
          <w:rStyle w:val="CommentReference"/>
        </w:rPr>
        <w:commentReference w:id="4"/>
      </w:r>
    </w:p>
    <w:p w14:paraId="446BBB59"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SAMPLING METHODS</w:t>
      </w:r>
    </w:p>
    <w:p w14:paraId="73FF277C" w14:textId="77777777"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A structured questionnaire</w:t>
      </w:r>
      <w:r w:rsidR="00672588">
        <w:rPr>
          <w:rFonts w:ascii="Times New Roman" w:hAnsi="Times New Roman" w:cs="Times New Roman"/>
          <w:sz w:val="24"/>
          <w:szCs w:val="24"/>
        </w:rPr>
        <w:t xml:space="preserve"> was </w:t>
      </w:r>
      <w:r>
        <w:rPr>
          <w:rFonts w:ascii="Times New Roman" w:hAnsi="Times New Roman" w:cs="Times New Roman"/>
          <w:sz w:val="24"/>
          <w:szCs w:val="24"/>
        </w:rPr>
        <w:t>given</w:t>
      </w:r>
      <w:r w:rsidR="00672588">
        <w:rPr>
          <w:rFonts w:ascii="Times New Roman" w:hAnsi="Times New Roman" w:cs="Times New Roman"/>
          <w:sz w:val="24"/>
          <w:szCs w:val="24"/>
        </w:rPr>
        <w:t xml:space="preserve"> to selected patients to collect data which included socio-demographics, past medical history, reproductive history, and relevant medical history. A general examination including weight and blood pressure measurement was also carried out before specimen collection. </w:t>
      </w:r>
    </w:p>
    <w:p w14:paraId="1E9ABE4E"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Blood samples from control subjects were collected on day 3 of their menstrual cycle, using the same procedure as that of the test subjects.</w:t>
      </w:r>
    </w:p>
    <w:p w14:paraId="31836C5C"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LABORATORY METHODS</w:t>
      </w:r>
    </w:p>
    <w:p w14:paraId="19E0DDD7" w14:textId="77777777"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The various hormones were</w:t>
      </w:r>
      <w:r w:rsidR="00672588">
        <w:rPr>
          <w:rFonts w:ascii="Times New Roman" w:hAnsi="Times New Roman" w:cs="Times New Roman"/>
          <w:sz w:val="24"/>
          <w:szCs w:val="24"/>
        </w:rPr>
        <w:t xml:space="preserve"> assayed using </w:t>
      </w:r>
      <w:proofErr w:type="spellStart"/>
      <w:r w:rsidR="00672588">
        <w:rPr>
          <w:rFonts w:ascii="Times New Roman" w:hAnsi="Times New Roman" w:cs="Times New Roman"/>
          <w:sz w:val="24"/>
          <w:szCs w:val="24"/>
        </w:rPr>
        <w:t>Calbiotech</w:t>
      </w:r>
      <w:proofErr w:type="spellEnd"/>
      <w:r w:rsidR="00672588">
        <w:rPr>
          <w:rFonts w:ascii="Times New Roman" w:hAnsi="Times New Roman" w:cs="Times New Roman"/>
          <w:sz w:val="24"/>
          <w:szCs w:val="24"/>
        </w:rPr>
        <w:t xml:space="preserve"> Inc. El Cajon, CA USA enzyme linked immunosorbent assay (ELISA) kit</w:t>
      </w:r>
      <w:r w:rsidR="0009001D">
        <w:rPr>
          <w:rFonts w:ascii="Times New Roman" w:hAnsi="Times New Roman" w:cs="Times New Roman"/>
          <w:sz w:val="24"/>
          <w:szCs w:val="24"/>
        </w:rPr>
        <w:t xml:space="preserve">. </w:t>
      </w:r>
      <w:r w:rsidR="00672588">
        <w:rPr>
          <w:rFonts w:ascii="Times New Roman" w:hAnsi="Times New Roman" w:cs="Times New Roman"/>
          <w:sz w:val="24"/>
          <w:szCs w:val="24"/>
        </w:rPr>
        <w:t>The ELISA (Enzyme-L</w:t>
      </w:r>
      <w:r>
        <w:rPr>
          <w:rFonts w:ascii="Times New Roman" w:hAnsi="Times New Roman" w:cs="Times New Roman"/>
          <w:sz w:val="24"/>
          <w:szCs w:val="24"/>
        </w:rPr>
        <w:t>inked Immunosorbent Assay) kit wa</w:t>
      </w:r>
      <w:r w:rsidR="00672588">
        <w:rPr>
          <w:rFonts w:ascii="Times New Roman" w:hAnsi="Times New Roman" w:cs="Times New Roman"/>
          <w:sz w:val="24"/>
          <w:szCs w:val="24"/>
        </w:rPr>
        <w:t>s based on solid phase sandwich ELISA method. The samples and conjugated reagent (anti-</w:t>
      </w:r>
      <w:r w:rsidR="0009001D">
        <w:rPr>
          <w:rFonts w:ascii="Times New Roman" w:hAnsi="Times New Roman" w:cs="Times New Roman"/>
          <w:sz w:val="24"/>
          <w:szCs w:val="24"/>
        </w:rPr>
        <w:t>hormone</w:t>
      </w:r>
      <w:r>
        <w:rPr>
          <w:rFonts w:ascii="Times New Roman" w:hAnsi="Times New Roman" w:cs="Times New Roman"/>
          <w:sz w:val="24"/>
          <w:szCs w:val="24"/>
        </w:rPr>
        <w:t xml:space="preserve"> (specific for each hormone)</w:t>
      </w:r>
      <w:r w:rsidR="00672588">
        <w:rPr>
          <w:rFonts w:ascii="Times New Roman" w:hAnsi="Times New Roman" w:cs="Times New Roman"/>
          <w:sz w:val="24"/>
          <w:szCs w:val="24"/>
        </w:rPr>
        <w:t xml:space="preserve"> biotin and horseradish peroxidase (HRP) were added to the wells coated with streptavidin. </w:t>
      </w:r>
      <w:r w:rsidR="0009001D">
        <w:rPr>
          <w:rFonts w:ascii="Times New Roman" w:hAnsi="Times New Roman" w:cs="Times New Roman"/>
          <w:sz w:val="24"/>
          <w:szCs w:val="24"/>
        </w:rPr>
        <w:t>The hormones in the patient’s serum were bound</w:t>
      </w:r>
      <w:r w:rsidR="00672588">
        <w:rPr>
          <w:rFonts w:ascii="Times New Roman" w:hAnsi="Times New Roman" w:cs="Times New Roman"/>
          <w:sz w:val="24"/>
          <w:szCs w:val="24"/>
        </w:rPr>
        <w:t xml:space="preserve"> </w:t>
      </w:r>
      <w:r w:rsidR="00672588">
        <w:rPr>
          <w:rFonts w:ascii="Times New Roman" w:hAnsi="Times New Roman" w:cs="Times New Roman"/>
          <w:sz w:val="24"/>
          <w:szCs w:val="24"/>
        </w:rPr>
        <w:lastRenderedPageBreak/>
        <w:t xml:space="preserve">to the matched pair antibodies, forming a sandwich complex and simultaneously the complex </w:t>
      </w:r>
      <w:r>
        <w:rPr>
          <w:rFonts w:ascii="Times New Roman" w:hAnsi="Times New Roman" w:cs="Times New Roman"/>
          <w:sz w:val="24"/>
          <w:szCs w:val="24"/>
        </w:rPr>
        <w:t>was</w:t>
      </w:r>
      <w:r w:rsidR="00672588">
        <w:rPr>
          <w:rFonts w:ascii="Times New Roman" w:hAnsi="Times New Roman" w:cs="Times New Roman"/>
          <w:sz w:val="24"/>
          <w:szCs w:val="24"/>
        </w:rPr>
        <w:t xml:space="preserve"> immobilized on the plate through </w:t>
      </w:r>
      <w:proofErr w:type="spellStart"/>
      <w:r w:rsidR="00672588">
        <w:rPr>
          <w:rFonts w:ascii="Times New Roman" w:hAnsi="Times New Roman" w:cs="Times New Roman"/>
          <w:sz w:val="24"/>
          <w:szCs w:val="24"/>
        </w:rPr>
        <w:t>streptavin</w:t>
      </w:r>
      <w:proofErr w:type="spellEnd"/>
      <w:r w:rsidR="00672588">
        <w:rPr>
          <w:rFonts w:ascii="Times New Roman" w:hAnsi="Times New Roman" w:cs="Times New Roman"/>
          <w:sz w:val="24"/>
          <w:szCs w:val="24"/>
        </w:rPr>
        <w:t xml:space="preserve">-biotin interactions. Unbound protein and horseradish peroxidase (HRP) conjugates </w:t>
      </w:r>
      <w:r>
        <w:rPr>
          <w:rFonts w:ascii="Times New Roman" w:hAnsi="Times New Roman" w:cs="Times New Roman"/>
          <w:sz w:val="24"/>
          <w:szCs w:val="24"/>
        </w:rPr>
        <w:t>was</w:t>
      </w:r>
      <w:r w:rsidR="00672588">
        <w:rPr>
          <w:rFonts w:ascii="Times New Roman" w:hAnsi="Times New Roman" w:cs="Times New Roman"/>
          <w:sz w:val="24"/>
          <w:szCs w:val="24"/>
        </w:rPr>
        <w:t xml:space="preserve"> washed off, through a washing step. Upon addition of the tetramethylbenzidine (TMB) substrate</w:t>
      </w:r>
      <w:bookmarkStart w:id="5" w:name="_Hlk54177223"/>
      <w:r>
        <w:rPr>
          <w:rFonts w:ascii="Times New Roman" w:hAnsi="Times New Roman" w:cs="Times New Roman"/>
          <w:sz w:val="24"/>
          <w:szCs w:val="24"/>
        </w:rPr>
        <w:t>, there wa</w:t>
      </w:r>
      <w:r w:rsidR="00672588">
        <w:rPr>
          <w:rFonts w:ascii="Times New Roman" w:hAnsi="Times New Roman" w:cs="Times New Roman"/>
          <w:sz w:val="24"/>
          <w:szCs w:val="24"/>
        </w:rPr>
        <w:t>s colo</w:t>
      </w:r>
      <w:r>
        <w:rPr>
          <w:rFonts w:ascii="Times New Roman" w:hAnsi="Times New Roman" w:cs="Times New Roman"/>
          <w:sz w:val="24"/>
          <w:szCs w:val="24"/>
        </w:rPr>
        <w:t>ur development which enabled</w:t>
      </w:r>
      <w:r w:rsidR="00672588">
        <w:rPr>
          <w:rFonts w:ascii="Times New Roman" w:hAnsi="Times New Roman" w:cs="Times New Roman"/>
          <w:sz w:val="24"/>
          <w:szCs w:val="24"/>
        </w:rPr>
        <w:t xml:space="preserve"> optical measurement of the analyte. The colo</w:t>
      </w:r>
      <w:r>
        <w:rPr>
          <w:rFonts w:ascii="Times New Roman" w:hAnsi="Times New Roman" w:cs="Times New Roman"/>
          <w:sz w:val="24"/>
          <w:szCs w:val="24"/>
        </w:rPr>
        <w:t>ur development wa</w:t>
      </w:r>
      <w:r w:rsidR="00672588">
        <w:rPr>
          <w:rFonts w:ascii="Times New Roman" w:hAnsi="Times New Roman" w:cs="Times New Roman"/>
          <w:sz w:val="24"/>
          <w:szCs w:val="24"/>
        </w:rPr>
        <w:t>s stopped by adding a stop solution (hydrogen sulphate) and the intensity of the colo</w:t>
      </w:r>
      <w:r w:rsidR="003D5958">
        <w:rPr>
          <w:rFonts w:ascii="Times New Roman" w:hAnsi="Times New Roman" w:cs="Times New Roman"/>
          <w:sz w:val="24"/>
          <w:szCs w:val="24"/>
        </w:rPr>
        <w:t>ur wa</w:t>
      </w:r>
      <w:r w:rsidR="00672588">
        <w:rPr>
          <w:rFonts w:ascii="Times New Roman" w:hAnsi="Times New Roman" w:cs="Times New Roman"/>
          <w:sz w:val="24"/>
          <w:szCs w:val="24"/>
        </w:rPr>
        <w:t>s measured at a wavelength of 450nm. The intensity of the measured colo</w:t>
      </w:r>
      <w:r>
        <w:rPr>
          <w:rFonts w:ascii="Times New Roman" w:hAnsi="Times New Roman" w:cs="Times New Roman"/>
          <w:sz w:val="24"/>
          <w:szCs w:val="24"/>
        </w:rPr>
        <w:t>ur wa</w:t>
      </w:r>
      <w:r w:rsidR="00672588">
        <w:rPr>
          <w:rFonts w:ascii="Times New Roman" w:hAnsi="Times New Roman" w:cs="Times New Roman"/>
          <w:sz w:val="24"/>
          <w:szCs w:val="24"/>
        </w:rPr>
        <w:t xml:space="preserve">s proportional to the concentration of </w:t>
      </w:r>
      <w:r>
        <w:rPr>
          <w:rFonts w:ascii="Times New Roman" w:hAnsi="Times New Roman" w:cs="Times New Roman"/>
          <w:sz w:val="24"/>
          <w:szCs w:val="24"/>
        </w:rPr>
        <w:t>the particular hormone</w:t>
      </w:r>
      <w:r w:rsidR="00672588">
        <w:rPr>
          <w:rFonts w:ascii="Times New Roman" w:hAnsi="Times New Roman" w:cs="Times New Roman"/>
          <w:sz w:val="24"/>
          <w:szCs w:val="24"/>
        </w:rPr>
        <w:t xml:space="preserve"> in the samples.</w:t>
      </w:r>
      <w:bookmarkEnd w:id="5"/>
    </w:p>
    <w:p w14:paraId="62AB4178" w14:textId="77777777"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Quality Control</w:t>
      </w:r>
      <w:r w:rsidR="00672588">
        <w:rPr>
          <w:rFonts w:ascii="Times New Roman" w:hAnsi="Times New Roman" w:cs="Times New Roman"/>
          <w:sz w:val="24"/>
          <w:szCs w:val="24"/>
        </w:rPr>
        <w:t xml:space="preserve"> </w:t>
      </w:r>
      <w:bookmarkStart w:id="6" w:name="_Hlk55228077"/>
      <w:r w:rsidR="00672588">
        <w:rPr>
          <w:rFonts w:ascii="Times New Roman" w:hAnsi="Times New Roman" w:cs="Times New Roman"/>
          <w:sz w:val="24"/>
          <w:szCs w:val="24"/>
        </w:rPr>
        <w:t xml:space="preserve">was </w:t>
      </w:r>
      <w:r>
        <w:rPr>
          <w:rFonts w:ascii="Times New Roman" w:hAnsi="Times New Roman" w:cs="Times New Roman"/>
          <w:sz w:val="24"/>
          <w:szCs w:val="24"/>
        </w:rPr>
        <w:t>executed</w:t>
      </w:r>
      <w:r w:rsidR="00672588">
        <w:rPr>
          <w:rFonts w:ascii="Times New Roman" w:hAnsi="Times New Roman" w:cs="Times New Roman"/>
          <w:sz w:val="24"/>
          <w:szCs w:val="24"/>
        </w:rPr>
        <w:t xml:space="preserve"> at 3 levels of low, normal and high control. Each batch of samples was assayed with the 3 levels of control to validate the performance of the equipment, reagents, analytical method and personnel</w:t>
      </w:r>
      <w:bookmarkEnd w:id="6"/>
      <w:r>
        <w:rPr>
          <w:rFonts w:ascii="Times New Roman" w:hAnsi="Times New Roman" w:cs="Times New Roman"/>
          <w:sz w:val="24"/>
          <w:szCs w:val="24"/>
        </w:rPr>
        <w:t xml:space="preserve">. The </w:t>
      </w:r>
      <w:r w:rsidR="00672588">
        <w:rPr>
          <w:rFonts w:ascii="Times New Roman" w:hAnsi="Times New Roman" w:cs="Times New Roman"/>
          <w:sz w:val="24"/>
          <w:szCs w:val="24"/>
        </w:rPr>
        <w:t xml:space="preserve">Personal Lab </w:t>
      </w:r>
      <w:proofErr w:type="spellStart"/>
      <w:r w:rsidR="00672588">
        <w:rPr>
          <w:rFonts w:ascii="Times New Roman" w:hAnsi="Times New Roman" w:cs="Times New Roman"/>
          <w:sz w:val="24"/>
          <w:szCs w:val="24"/>
        </w:rPr>
        <w:t>Adaltis</w:t>
      </w:r>
      <w:proofErr w:type="spellEnd"/>
      <w:r w:rsidR="00672588">
        <w:rPr>
          <w:rFonts w:ascii="Times New Roman" w:hAnsi="Times New Roman" w:cs="Times New Roman"/>
          <w:sz w:val="24"/>
          <w:szCs w:val="24"/>
        </w:rPr>
        <w:t xml:space="preserve"> fully automated immunology </w:t>
      </w:r>
      <w:r>
        <w:rPr>
          <w:rFonts w:ascii="Times New Roman" w:hAnsi="Times New Roman" w:cs="Times New Roman"/>
          <w:sz w:val="24"/>
          <w:szCs w:val="24"/>
        </w:rPr>
        <w:t xml:space="preserve">ELISA </w:t>
      </w:r>
      <w:r w:rsidR="00970BF3">
        <w:rPr>
          <w:rFonts w:ascii="Times New Roman" w:hAnsi="Times New Roman" w:cs="Times New Roman"/>
          <w:sz w:val="24"/>
          <w:szCs w:val="24"/>
        </w:rPr>
        <w:t>analyser;</w:t>
      </w:r>
      <w:r w:rsidR="00672588">
        <w:rPr>
          <w:rFonts w:ascii="Times New Roman" w:hAnsi="Times New Roman" w:cs="Times New Roman"/>
          <w:sz w:val="24"/>
          <w:szCs w:val="24"/>
        </w:rPr>
        <w:t xml:space="preserve"> manufactured by </w:t>
      </w:r>
      <w:proofErr w:type="spellStart"/>
      <w:r w:rsidR="00672588">
        <w:rPr>
          <w:rFonts w:ascii="Times New Roman" w:hAnsi="Times New Roman" w:cs="Times New Roman"/>
          <w:sz w:val="24"/>
          <w:szCs w:val="24"/>
        </w:rPr>
        <w:t>Adaltis</w:t>
      </w:r>
      <w:proofErr w:type="spellEnd"/>
      <w:r w:rsidR="00672588">
        <w:rPr>
          <w:rFonts w:ascii="Times New Roman" w:hAnsi="Times New Roman" w:cs="Times New Roman"/>
          <w:sz w:val="24"/>
          <w:szCs w:val="24"/>
        </w:rPr>
        <w:t xml:space="preserve"> </w:t>
      </w:r>
      <w:proofErr w:type="spellStart"/>
      <w:r w:rsidR="00672588">
        <w:rPr>
          <w:rFonts w:ascii="Times New Roman" w:hAnsi="Times New Roman" w:cs="Times New Roman"/>
          <w:sz w:val="24"/>
          <w:szCs w:val="24"/>
        </w:rPr>
        <w:t>S.r.L</w:t>
      </w:r>
      <w:proofErr w:type="spellEnd"/>
      <w:r w:rsidR="00672588">
        <w:rPr>
          <w:rFonts w:ascii="Times New Roman" w:hAnsi="Times New Roman" w:cs="Times New Roman"/>
          <w:sz w:val="24"/>
          <w:szCs w:val="24"/>
        </w:rPr>
        <w:t xml:space="preserve"> intern</w:t>
      </w:r>
      <w:r>
        <w:rPr>
          <w:rFonts w:ascii="Times New Roman" w:hAnsi="Times New Roman" w:cs="Times New Roman"/>
          <w:sz w:val="24"/>
          <w:szCs w:val="24"/>
        </w:rPr>
        <w:t>ational company in Rome, Italy was used.</w:t>
      </w:r>
    </w:p>
    <w:p w14:paraId="5EFB738E" w14:textId="77777777" w:rsidR="00672588" w:rsidRDefault="00672588" w:rsidP="00672588">
      <w:pPr>
        <w:spacing w:line="480" w:lineRule="auto"/>
        <w:rPr>
          <w:rFonts w:ascii="Times New Roman" w:hAnsi="Times New Roman" w:cs="Times New Roman"/>
          <w:b/>
          <w:bCs/>
          <w:sz w:val="24"/>
          <w:szCs w:val="24"/>
        </w:rPr>
      </w:pPr>
      <w:r>
        <w:rPr>
          <w:rFonts w:ascii="Times New Roman" w:hAnsi="Times New Roman" w:cs="Times New Roman"/>
          <w:b/>
          <w:bCs/>
          <w:sz w:val="24"/>
          <w:szCs w:val="24"/>
        </w:rPr>
        <w:t>DATA ANALYSIS</w:t>
      </w:r>
    </w:p>
    <w:p w14:paraId="6F8CFC0E"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The biochemical values and other data collected was entered into a spread sheet using numerical codes and subsequently crossed tabulated. Final data analysis was carried out using statistical package for social science (SPSS) version21.00. Descriptive statistics of frequencies and percentages was applied. Means and standard deviations of test and control groups </w:t>
      </w:r>
      <w:r w:rsidR="004257B4">
        <w:rPr>
          <w:rFonts w:ascii="Times New Roman" w:hAnsi="Times New Roman" w:cs="Times New Roman"/>
          <w:sz w:val="24"/>
          <w:szCs w:val="24"/>
        </w:rPr>
        <w:t>were</w:t>
      </w:r>
      <w:r>
        <w:rPr>
          <w:rFonts w:ascii="Times New Roman" w:hAnsi="Times New Roman" w:cs="Times New Roman"/>
          <w:sz w:val="24"/>
          <w:szCs w:val="24"/>
        </w:rPr>
        <w:t xml:space="preserve"> compared using paired T-test and Chi square. A confidence level of 95% will be used with the level of significance set at a p-value of &lt;0.05. Results will be presented in tables, chart and graphs.    </w:t>
      </w:r>
    </w:p>
    <w:p w14:paraId="0EAE8D64" w14:textId="77777777" w:rsidR="00672588" w:rsidRDefault="00672588"/>
    <w:p w14:paraId="5972E2CF" w14:textId="4F374CCB" w:rsidR="008C504B" w:rsidRDefault="00495990" w:rsidP="00FD5207">
      <w:pPr>
        <w:rPr>
          <w:rFonts w:ascii="Times New Roman" w:hAnsi="Times New Roman" w:cs="Times New Roman"/>
          <w:b/>
          <w:bCs/>
          <w:sz w:val="24"/>
          <w:szCs w:val="24"/>
        </w:rPr>
      </w:pPr>
      <w:r>
        <w:rPr>
          <w:rFonts w:ascii="Times New Roman" w:hAnsi="Times New Roman" w:cs="Times New Roman"/>
          <w:b/>
          <w:bCs/>
          <w:sz w:val="24"/>
          <w:szCs w:val="24"/>
        </w:rPr>
        <w:t>RESULT</w:t>
      </w:r>
      <w:r w:rsidR="005028A0">
        <w:rPr>
          <w:rFonts w:ascii="Times New Roman" w:hAnsi="Times New Roman" w:cs="Times New Roman"/>
          <w:b/>
          <w:bCs/>
          <w:sz w:val="24"/>
          <w:szCs w:val="24"/>
        </w:rPr>
        <w:t xml:space="preserve"> &amp; DISCUSSIONS</w:t>
      </w:r>
    </w:p>
    <w:p w14:paraId="277402DB" w14:textId="77777777" w:rsidR="00FD5207" w:rsidRPr="0033650E" w:rsidRDefault="0033650E" w:rsidP="0033650E">
      <w:pPr>
        <w:jc w:val="both"/>
        <w:rPr>
          <w:rFonts w:ascii="Times New Roman" w:hAnsi="Times New Roman" w:cs="Times New Roman"/>
          <w:b/>
          <w:bCs/>
          <w:sz w:val="24"/>
          <w:szCs w:val="24"/>
        </w:rPr>
      </w:pPr>
      <w:r w:rsidRPr="0033650E">
        <w:rPr>
          <w:rFonts w:ascii="Times New Roman" w:hAnsi="Times New Roman" w:cs="Times New Roman"/>
          <w:bCs/>
          <w:sz w:val="24"/>
          <w:szCs w:val="24"/>
        </w:rPr>
        <w:t>From Table 1 showing the</w:t>
      </w:r>
      <w:r w:rsidR="00FD5207" w:rsidRPr="0033650E">
        <w:rPr>
          <w:rFonts w:ascii="Times New Roman" w:hAnsi="Times New Roman" w:cs="Times New Roman"/>
          <w:bCs/>
          <w:sz w:val="24"/>
          <w:szCs w:val="24"/>
        </w:rPr>
        <w:t xml:space="preserve"> Clinical characteristics of participants</w:t>
      </w:r>
      <w:r>
        <w:rPr>
          <w:rFonts w:ascii="Times New Roman" w:hAnsi="Times New Roman" w:cs="Times New Roman"/>
          <w:b/>
          <w:bCs/>
          <w:sz w:val="24"/>
          <w:szCs w:val="24"/>
        </w:rPr>
        <w:t xml:space="preserve">, </w:t>
      </w:r>
      <w:proofErr w:type="gramStart"/>
      <w:r w:rsidR="00FD5207" w:rsidRPr="0032726B">
        <w:rPr>
          <w:rFonts w:ascii="Times New Roman" w:hAnsi="Times New Roman" w:cs="Times New Roman"/>
          <w:sz w:val="24"/>
          <w:szCs w:val="24"/>
        </w:rPr>
        <w:t>Almost</w:t>
      </w:r>
      <w:proofErr w:type="gramEnd"/>
      <w:r w:rsidR="00FD5207" w:rsidRPr="0032726B">
        <w:rPr>
          <w:rFonts w:ascii="Times New Roman" w:hAnsi="Times New Roman" w:cs="Times New Roman"/>
          <w:sz w:val="24"/>
          <w:szCs w:val="24"/>
        </w:rPr>
        <w:t xml:space="preserve"> equal number of participants are normal weight and o</w:t>
      </w:r>
      <w:r w:rsidR="00FD5207">
        <w:rPr>
          <w:rFonts w:ascii="Times New Roman" w:hAnsi="Times New Roman" w:cs="Times New Roman"/>
          <w:sz w:val="24"/>
          <w:szCs w:val="24"/>
        </w:rPr>
        <w:t>verweight</w:t>
      </w:r>
      <w:r w:rsidR="00FD5207" w:rsidRPr="0032726B">
        <w:rPr>
          <w:rFonts w:ascii="Times New Roman" w:hAnsi="Times New Roman" w:cs="Times New Roman"/>
          <w:sz w:val="24"/>
          <w:szCs w:val="24"/>
        </w:rPr>
        <w:t xml:space="preserve"> respectively with overall mean BMI of </w:t>
      </w:r>
      <w:r w:rsidR="00FD5207" w:rsidRPr="0032726B">
        <w:rPr>
          <w:rFonts w:ascii="Times New Roman" w:hAnsi="Times New Roman" w:cs="Times New Roman"/>
          <w:color w:val="000000" w:themeColor="text1"/>
          <w:sz w:val="24"/>
          <w:szCs w:val="24"/>
        </w:rPr>
        <w:t xml:space="preserve">25.01±2.3 and 25.06±2.3 in infertile and fertile women (p=0.905). </w:t>
      </w:r>
    </w:p>
    <w:p w14:paraId="289E555D" w14:textId="77777777" w:rsidR="00FD5207" w:rsidRDefault="00FD5207" w:rsidP="0033650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w:t>
      </w:r>
      <w:r w:rsidRPr="0032726B">
        <w:rPr>
          <w:rFonts w:ascii="Times New Roman" w:hAnsi="Times New Roman" w:cs="Times New Roman"/>
          <w:color w:val="000000" w:themeColor="text1"/>
          <w:sz w:val="24"/>
          <w:szCs w:val="24"/>
        </w:rPr>
        <w:t>13.49±1.2</w:t>
      </w:r>
      <w:r>
        <w:rPr>
          <w:rFonts w:ascii="Times New Roman" w:hAnsi="Times New Roman" w:cs="Times New Roman"/>
          <w:color w:val="000000" w:themeColor="text1"/>
          <w:sz w:val="24"/>
          <w:szCs w:val="24"/>
        </w:rPr>
        <w:t xml:space="preserve"> and </w:t>
      </w:r>
      <w:r w:rsidRPr="0032726B">
        <w:rPr>
          <w:rFonts w:ascii="Times New Roman" w:hAnsi="Times New Roman" w:cs="Times New Roman"/>
          <w:color w:val="000000" w:themeColor="text1"/>
          <w:sz w:val="24"/>
          <w:szCs w:val="24"/>
        </w:rPr>
        <w:t>14.09±1.0; p=0.003</w:t>
      </w:r>
      <w:r>
        <w:rPr>
          <w:rFonts w:ascii="Times New Roman" w:hAnsi="Times New Roman" w:cs="Times New Roman"/>
          <w:color w:val="000000" w:themeColor="text1"/>
          <w:sz w:val="24"/>
          <w:szCs w:val="24"/>
        </w:rPr>
        <w:t xml:space="preserve">, the average age of menarche was significantly higher in the infertile group compared to the fertile group respectively. The </w:t>
      </w:r>
      <w:r w:rsidRPr="0032726B">
        <w:rPr>
          <w:rFonts w:ascii="Times New Roman" w:hAnsi="Times New Roman" w:cs="Times New Roman"/>
          <w:color w:val="000000" w:themeColor="text1"/>
          <w:sz w:val="24"/>
          <w:szCs w:val="24"/>
        </w:rPr>
        <w:t xml:space="preserve">menstrual cycle pattern was comparable between the two groups with </w:t>
      </w:r>
      <w:r>
        <w:rPr>
          <w:rFonts w:ascii="Times New Roman" w:hAnsi="Times New Roman" w:cs="Times New Roman"/>
          <w:color w:val="000000" w:themeColor="text1"/>
          <w:sz w:val="24"/>
          <w:szCs w:val="24"/>
        </w:rPr>
        <w:t>54(83.1%) and 57(87.7%) fertile and infertile women having cycle between</w:t>
      </w:r>
      <w:r w:rsidRPr="0032726B">
        <w:rPr>
          <w:rFonts w:ascii="Times New Roman" w:hAnsi="Times New Roman" w:cs="Times New Roman"/>
          <w:color w:val="000000" w:themeColor="text1"/>
          <w:sz w:val="24"/>
          <w:szCs w:val="24"/>
        </w:rPr>
        <w:t xml:space="preserve"> 28-30 days</w:t>
      </w:r>
      <w:r>
        <w:rPr>
          <w:rFonts w:ascii="Times New Roman" w:hAnsi="Times New Roman" w:cs="Times New Roman"/>
          <w:color w:val="000000" w:themeColor="text1"/>
          <w:sz w:val="24"/>
          <w:szCs w:val="24"/>
        </w:rPr>
        <w:t xml:space="preserve"> respectively.</w:t>
      </w:r>
    </w:p>
    <w:p w14:paraId="5D3DA767" w14:textId="77777777" w:rsidR="00FD5207" w:rsidRDefault="00FD5207" w:rsidP="00FD5207">
      <w:pPr>
        <w:rPr>
          <w:rFonts w:ascii="Times New Roman" w:hAnsi="Times New Roman" w:cs="Times New Roman"/>
          <w:sz w:val="24"/>
          <w:szCs w:val="24"/>
        </w:rPr>
      </w:pPr>
    </w:p>
    <w:p w14:paraId="214BF35C" w14:textId="77777777" w:rsidR="00970BF3" w:rsidRDefault="00970BF3" w:rsidP="00FD5207">
      <w:pPr>
        <w:rPr>
          <w:rFonts w:ascii="Times New Roman" w:hAnsi="Times New Roman" w:cs="Times New Roman"/>
          <w:sz w:val="24"/>
          <w:szCs w:val="24"/>
        </w:rPr>
      </w:pPr>
    </w:p>
    <w:p w14:paraId="79C3DB32" w14:textId="77777777" w:rsidR="00970BF3" w:rsidRDefault="00970BF3" w:rsidP="00FD5207">
      <w:pPr>
        <w:rPr>
          <w:rFonts w:ascii="Times New Roman" w:hAnsi="Times New Roman" w:cs="Times New Roman"/>
          <w:sz w:val="24"/>
          <w:szCs w:val="24"/>
        </w:rPr>
      </w:pPr>
    </w:p>
    <w:p w14:paraId="69BD1801" w14:textId="77777777" w:rsidR="00970BF3" w:rsidRDefault="00970BF3" w:rsidP="00FD5207">
      <w:pPr>
        <w:rPr>
          <w:rFonts w:ascii="Times New Roman" w:hAnsi="Times New Roman" w:cs="Times New Roman"/>
          <w:sz w:val="24"/>
          <w:szCs w:val="24"/>
        </w:rPr>
      </w:pPr>
    </w:p>
    <w:p w14:paraId="164ECE89" w14:textId="77777777" w:rsidR="00FD5207" w:rsidRPr="00071C6D" w:rsidRDefault="0033650E" w:rsidP="00FD5207">
      <w:pPr>
        <w:rPr>
          <w:rFonts w:ascii="Times New Roman" w:hAnsi="Times New Roman" w:cs="Times New Roman"/>
          <w:b/>
          <w:bCs/>
          <w:sz w:val="24"/>
          <w:szCs w:val="24"/>
        </w:rPr>
      </w:pPr>
      <w:r>
        <w:rPr>
          <w:rFonts w:ascii="Times New Roman" w:hAnsi="Times New Roman" w:cs="Times New Roman"/>
          <w:b/>
          <w:bCs/>
          <w:sz w:val="24"/>
          <w:szCs w:val="24"/>
        </w:rPr>
        <w:t>Table 1</w:t>
      </w:r>
      <w:r w:rsidR="00FD5207">
        <w:rPr>
          <w:rFonts w:ascii="Times New Roman" w:hAnsi="Times New Roman" w:cs="Times New Roman"/>
          <w:b/>
          <w:bCs/>
          <w:sz w:val="24"/>
          <w:szCs w:val="24"/>
        </w:rPr>
        <w:t>: C</w:t>
      </w:r>
      <w:r w:rsidR="00FD5207" w:rsidRPr="00071C6D">
        <w:rPr>
          <w:rFonts w:ascii="Times New Roman" w:hAnsi="Times New Roman" w:cs="Times New Roman"/>
          <w:b/>
          <w:bCs/>
          <w:sz w:val="24"/>
          <w:szCs w:val="24"/>
        </w:rPr>
        <w:t>linical characteristics of participants</w:t>
      </w:r>
    </w:p>
    <w:tbl>
      <w:tblPr>
        <w:tblW w:w="4952" w:type="pct"/>
        <w:tblInd w:w="270"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663"/>
        <w:gridCol w:w="1684"/>
        <w:gridCol w:w="1417"/>
        <w:gridCol w:w="1338"/>
        <w:gridCol w:w="1073"/>
        <w:gridCol w:w="978"/>
      </w:tblGrid>
      <w:tr w:rsidR="00FD5207" w:rsidRPr="00806FD4" w14:paraId="26DCCC6E" w14:textId="77777777" w:rsidTr="00722C19">
        <w:tc>
          <w:tcPr>
            <w:tcW w:w="1455" w:type="pct"/>
            <w:shd w:val="clear" w:color="auto" w:fill="FFFFFF" w:themeFill="background1"/>
          </w:tcPr>
          <w:p w14:paraId="68560E05" w14:textId="77777777" w:rsidR="00FD5207" w:rsidRPr="00806FD4" w:rsidRDefault="00FD5207" w:rsidP="00722C19">
            <w:pPr>
              <w:autoSpaceDE w:val="0"/>
              <w:autoSpaceDN w:val="0"/>
              <w:adjustRightInd w:val="0"/>
              <w:spacing w:after="0" w:line="480" w:lineRule="auto"/>
              <w:rPr>
                <w:rFonts w:ascii="Times New Roman" w:hAnsi="Times New Roman" w:cs="Times New Roman"/>
                <w:color w:val="000000" w:themeColor="text1"/>
                <w:sz w:val="24"/>
                <w:szCs w:val="24"/>
              </w:rPr>
            </w:pPr>
          </w:p>
        </w:tc>
        <w:tc>
          <w:tcPr>
            <w:tcW w:w="920" w:type="pct"/>
            <w:shd w:val="clear" w:color="auto" w:fill="FFFFFF" w:themeFill="background1"/>
          </w:tcPr>
          <w:p w14:paraId="4864D51F"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Infertile</w:t>
            </w:r>
            <w:r w:rsidRPr="00806FD4">
              <w:rPr>
                <w:rFonts w:ascii="Times New Roman" w:hAnsi="Times New Roman" w:cs="Times New Roman"/>
                <w:b/>
                <w:bCs/>
                <w:color w:val="000000" w:themeColor="text1"/>
                <w:sz w:val="24"/>
                <w:szCs w:val="24"/>
              </w:rPr>
              <w:t xml:space="preserve"> </w:t>
            </w:r>
          </w:p>
          <w:p w14:paraId="5F50D10A"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65</w:t>
            </w:r>
            <w:r w:rsidRPr="00806FD4">
              <w:rPr>
                <w:rFonts w:ascii="Times New Roman" w:hAnsi="Times New Roman" w:cs="Times New Roman"/>
                <w:b/>
                <w:bCs/>
                <w:color w:val="000000" w:themeColor="text1"/>
                <w:sz w:val="24"/>
                <w:szCs w:val="24"/>
              </w:rPr>
              <w:t>)</w:t>
            </w:r>
          </w:p>
        </w:tc>
        <w:tc>
          <w:tcPr>
            <w:tcW w:w="774" w:type="pct"/>
            <w:shd w:val="clear" w:color="auto" w:fill="FFFFFF" w:themeFill="background1"/>
            <w:vAlign w:val="bottom"/>
          </w:tcPr>
          <w:p w14:paraId="3A70511D"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01E48F45"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65</w:t>
            </w:r>
            <w:r w:rsidRPr="00806FD4">
              <w:rPr>
                <w:rFonts w:ascii="Times New Roman" w:hAnsi="Times New Roman" w:cs="Times New Roman"/>
                <w:b/>
                <w:bCs/>
                <w:color w:val="000000" w:themeColor="text1"/>
                <w:sz w:val="24"/>
                <w:szCs w:val="24"/>
              </w:rPr>
              <w:t>)</w:t>
            </w:r>
          </w:p>
        </w:tc>
        <w:tc>
          <w:tcPr>
            <w:tcW w:w="731" w:type="pct"/>
            <w:shd w:val="clear" w:color="auto" w:fill="FFFFFF" w:themeFill="background1"/>
          </w:tcPr>
          <w:p w14:paraId="3858F35A" w14:textId="77777777" w:rsidR="00FD5207" w:rsidRPr="00806FD4" w:rsidRDefault="00FD5207" w:rsidP="00722C19">
            <w:pPr>
              <w:autoSpaceDE w:val="0"/>
              <w:autoSpaceDN w:val="0"/>
              <w:adjustRightInd w:val="0"/>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806FD4">
              <w:rPr>
                <w:rFonts w:ascii="Times New Roman" w:hAnsi="Times New Roman" w:cs="Times New Roman"/>
                <w:b/>
                <w:bCs/>
                <w:color w:val="000000" w:themeColor="text1"/>
                <w:sz w:val="24"/>
                <w:szCs w:val="24"/>
              </w:rPr>
              <w:t>Total</w:t>
            </w:r>
          </w:p>
          <w:p w14:paraId="477CA0C2"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130</w:t>
            </w:r>
            <w:r w:rsidRPr="00806FD4">
              <w:rPr>
                <w:rFonts w:ascii="Times New Roman" w:hAnsi="Times New Roman" w:cs="Times New Roman"/>
                <w:b/>
                <w:bCs/>
                <w:color w:val="000000" w:themeColor="text1"/>
                <w:sz w:val="24"/>
                <w:szCs w:val="24"/>
              </w:rPr>
              <w:t>)</w:t>
            </w:r>
          </w:p>
        </w:tc>
        <w:tc>
          <w:tcPr>
            <w:tcW w:w="586" w:type="pct"/>
            <w:vMerge w:val="restart"/>
            <w:shd w:val="clear" w:color="auto" w:fill="FFFFFF" w:themeFill="background1"/>
          </w:tcPr>
          <w:p w14:paraId="133013E3"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χ</w:t>
            </w:r>
            <w:r w:rsidRPr="00806FD4">
              <w:rPr>
                <w:rFonts w:ascii="Times New Roman" w:hAnsi="Times New Roman" w:cs="Times New Roman"/>
                <w:b/>
                <w:bCs/>
                <w:color w:val="000000" w:themeColor="text1"/>
                <w:sz w:val="24"/>
                <w:szCs w:val="24"/>
                <w:vertAlign w:val="superscript"/>
              </w:rPr>
              <w:t>2</w:t>
            </w:r>
          </w:p>
        </w:tc>
        <w:tc>
          <w:tcPr>
            <w:tcW w:w="534" w:type="pct"/>
            <w:vMerge w:val="restart"/>
            <w:shd w:val="clear" w:color="auto" w:fill="FFFFFF" w:themeFill="background1"/>
          </w:tcPr>
          <w:p w14:paraId="3677A409"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p value</w:t>
            </w:r>
          </w:p>
        </w:tc>
      </w:tr>
      <w:tr w:rsidR="00FD5207" w:rsidRPr="00806FD4" w14:paraId="06D71C3F" w14:textId="77777777" w:rsidTr="00722C19">
        <w:tc>
          <w:tcPr>
            <w:tcW w:w="1455" w:type="pct"/>
            <w:tcBorders>
              <w:bottom w:val="single" w:sz="4" w:space="0" w:color="auto"/>
            </w:tcBorders>
            <w:shd w:val="clear" w:color="auto" w:fill="FFFFFF" w:themeFill="background1"/>
          </w:tcPr>
          <w:p w14:paraId="7F9B65A8" w14:textId="77777777" w:rsidR="00FD5207" w:rsidRPr="00806FD4" w:rsidRDefault="00FD5207" w:rsidP="00722C19">
            <w:pPr>
              <w:autoSpaceDE w:val="0"/>
              <w:autoSpaceDN w:val="0"/>
              <w:adjustRightInd w:val="0"/>
              <w:spacing w:after="0" w:line="480" w:lineRule="auto"/>
              <w:rPr>
                <w:rFonts w:ascii="Times New Roman" w:hAnsi="Times New Roman" w:cs="Times New Roman"/>
                <w:color w:val="000000" w:themeColor="text1"/>
                <w:sz w:val="24"/>
                <w:szCs w:val="24"/>
              </w:rPr>
            </w:pPr>
          </w:p>
        </w:tc>
        <w:tc>
          <w:tcPr>
            <w:tcW w:w="920" w:type="pct"/>
            <w:tcBorders>
              <w:bottom w:val="single" w:sz="4" w:space="0" w:color="auto"/>
            </w:tcBorders>
            <w:shd w:val="clear" w:color="auto" w:fill="FFFFFF" w:themeFill="background1"/>
          </w:tcPr>
          <w:p w14:paraId="0797EC19"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774" w:type="pct"/>
            <w:tcBorders>
              <w:bottom w:val="single" w:sz="4" w:space="0" w:color="auto"/>
            </w:tcBorders>
            <w:shd w:val="clear" w:color="auto" w:fill="FFFFFF" w:themeFill="background1"/>
          </w:tcPr>
          <w:p w14:paraId="6A493D8B"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731" w:type="pct"/>
            <w:tcBorders>
              <w:bottom w:val="single" w:sz="4" w:space="0" w:color="auto"/>
            </w:tcBorders>
            <w:shd w:val="clear" w:color="auto" w:fill="FFFFFF" w:themeFill="background1"/>
          </w:tcPr>
          <w:p w14:paraId="16CADBC2"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586" w:type="pct"/>
            <w:vMerge/>
            <w:tcBorders>
              <w:bottom w:val="single" w:sz="4" w:space="0" w:color="auto"/>
            </w:tcBorders>
            <w:shd w:val="clear" w:color="auto" w:fill="FFFFFF" w:themeFill="background1"/>
          </w:tcPr>
          <w:p w14:paraId="7F5D6848"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p>
        </w:tc>
        <w:tc>
          <w:tcPr>
            <w:tcW w:w="534" w:type="pct"/>
            <w:vMerge/>
            <w:tcBorders>
              <w:bottom w:val="single" w:sz="4" w:space="0" w:color="auto"/>
            </w:tcBorders>
            <w:shd w:val="clear" w:color="auto" w:fill="FFFFFF" w:themeFill="background1"/>
          </w:tcPr>
          <w:p w14:paraId="3D7684F2"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p>
        </w:tc>
      </w:tr>
      <w:tr w:rsidR="00FD5207" w14:paraId="38468A08" w14:textId="77777777" w:rsidTr="00722C19">
        <w:tc>
          <w:tcPr>
            <w:tcW w:w="1455" w:type="pct"/>
            <w:shd w:val="clear" w:color="auto" w:fill="FFFFFF" w:themeFill="background1"/>
          </w:tcPr>
          <w:p w14:paraId="056358AF"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BMI class</w:t>
            </w:r>
          </w:p>
          <w:p w14:paraId="4F4DE31A" w14:textId="77777777" w:rsidR="00FD5207" w:rsidRPr="00834B0D" w:rsidRDefault="00FD5207" w:rsidP="00722C19">
            <w:pPr>
              <w:autoSpaceDE w:val="0"/>
              <w:autoSpaceDN w:val="0"/>
              <w:adjustRightInd w:val="0"/>
              <w:spacing w:after="0" w:line="480" w:lineRule="auto"/>
              <w:rPr>
                <w:rFonts w:ascii="Times New Roman" w:hAnsi="Times New Roman" w:cs="Times New Roman"/>
                <w:bCs/>
                <w:color w:val="000000" w:themeColor="text1"/>
                <w:sz w:val="24"/>
                <w:szCs w:val="24"/>
              </w:rPr>
            </w:pPr>
            <w:r w:rsidRPr="00834B0D">
              <w:rPr>
                <w:rFonts w:ascii="Times New Roman" w:hAnsi="Times New Roman" w:cs="Times New Roman"/>
                <w:bCs/>
                <w:color w:val="000000" w:themeColor="text1"/>
                <w:sz w:val="24"/>
                <w:szCs w:val="24"/>
              </w:rPr>
              <w:t>Normal</w:t>
            </w:r>
          </w:p>
          <w:p w14:paraId="7A0E38C1" w14:textId="77777777" w:rsidR="00FD5207" w:rsidRDefault="00FD5207" w:rsidP="00722C19">
            <w:pPr>
              <w:autoSpaceDE w:val="0"/>
              <w:autoSpaceDN w:val="0"/>
              <w:adjustRightInd w:val="0"/>
              <w:spacing w:after="0" w:line="480" w:lineRule="auto"/>
              <w:rPr>
                <w:rFonts w:ascii="Times New Roman" w:hAnsi="Times New Roman" w:cs="Times New Roman"/>
                <w:bCs/>
                <w:color w:val="000000" w:themeColor="text1"/>
                <w:sz w:val="24"/>
                <w:szCs w:val="24"/>
              </w:rPr>
            </w:pPr>
            <w:r w:rsidRPr="00834B0D">
              <w:rPr>
                <w:rFonts w:ascii="Times New Roman" w:hAnsi="Times New Roman" w:cs="Times New Roman"/>
                <w:bCs/>
                <w:color w:val="000000" w:themeColor="text1"/>
                <w:sz w:val="24"/>
                <w:szCs w:val="24"/>
              </w:rPr>
              <w:t>Overweight</w:t>
            </w:r>
          </w:p>
          <w:p w14:paraId="0EA43BED"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Mean</w:t>
            </w:r>
            <w:r>
              <w:rPr>
                <w:rFonts w:asciiTheme="minorEastAsia" w:hAnsiTheme="minorEastAsia" w:cstheme="minorEastAsia" w:hint="eastAsia"/>
                <w:color w:val="000000" w:themeColor="text1"/>
                <w:sz w:val="24"/>
                <w:szCs w:val="24"/>
              </w:rPr>
              <w:t>±</w:t>
            </w:r>
            <w:r>
              <w:rPr>
                <w:rFonts w:ascii="Times New Roman" w:hAnsi="Times New Roman" w:cs="Times New Roman"/>
                <w:color w:val="000000" w:themeColor="text1"/>
                <w:sz w:val="24"/>
                <w:szCs w:val="24"/>
              </w:rPr>
              <w:t>SD</w:t>
            </w:r>
          </w:p>
        </w:tc>
        <w:tc>
          <w:tcPr>
            <w:tcW w:w="920" w:type="pct"/>
            <w:shd w:val="clear" w:color="auto" w:fill="FFFFFF" w:themeFill="background1"/>
          </w:tcPr>
          <w:p w14:paraId="4D9BB7A8"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9E1899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33(50.8)</w:t>
            </w:r>
          </w:p>
          <w:p w14:paraId="0C682C5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32(49.2)</w:t>
            </w:r>
          </w:p>
          <w:p w14:paraId="137AC2B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25.01</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color w:val="000000" w:themeColor="text1"/>
                <w:sz w:val="24"/>
                <w:szCs w:val="24"/>
              </w:rPr>
              <w:t>.3</w:t>
            </w:r>
          </w:p>
        </w:tc>
        <w:tc>
          <w:tcPr>
            <w:tcW w:w="774" w:type="pct"/>
            <w:shd w:val="clear" w:color="auto" w:fill="FFFFFF" w:themeFill="background1"/>
          </w:tcPr>
          <w:p w14:paraId="678C41D7"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0AC6B5C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31(47.7)</w:t>
            </w:r>
          </w:p>
          <w:p w14:paraId="0437DFD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33(50.8)</w:t>
            </w:r>
          </w:p>
          <w:p w14:paraId="6E9236E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25.06</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color w:val="000000" w:themeColor="text1"/>
                <w:sz w:val="24"/>
                <w:szCs w:val="24"/>
              </w:rPr>
              <w:t>.3</w:t>
            </w:r>
          </w:p>
        </w:tc>
        <w:tc>
          <w:tcPr>
            <w:tcW w:w="731" w:type="pct"/>
            <w:shd w:val="clear" w:color="auto" w:fill="FFFFFF" w:themeFill="background1"/>
          </w:tcPr>
          <w:p w14:paraId="7A5238C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3F590EE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64(49.2)</w:t>
            </w:r>
          </w:p>
          <w:p w14:paraId="569E4B79"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65(50.0)</w:t>
            </w:r>
          </w:p>
        </w:tc>
        <w:tc>
          <w:tcPr>
            <w:tcW w:w="586" w:type="pct"/>
            <w:shd w:val="clear" w:color="auto" w:fill="FFFFFF" w:themeFill="background1"/>
          </w:tcPr>
          <w:p w14:paraId="11C255B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75E675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1.078</w:t>
            </w:r>
          </w:p>
          <w:p w14:paraId="2BAFD1C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13103A61"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-0.119**</w:t>
            </w:r>
          </w:p>
        </w:tc>
        <w:tc>
          <w:tcPr>
            <w:tcW w:w="534" w:type="pct"/>
            <w:shd w:val="clear" w:color="auto" w:fill="FFFFFF" w:themeFill="background1"/>
          </w:tcPr>
          <w:p w14:paraId="709C68B6"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3B6A0747"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0.583</w:t>
            </w:r>
          </w:p>
          <w:p w14:paraId="6DA5FDB1"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14025368"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0.905</w:t>
            </w:r>
          </w:p>
        </w:tc>
      </w:tr>
      <w:tr w:rsidR="00FD5207" w14:paraId="02D5D864" w14:textId="77777777" w:rsidTr="00722C19">
        <w:tc>
          <w:tcPr>
            <w:tcW w:w="1455" w:type="pct"/>
            <w:shd w:val="clear" w:color="auto" w:fill="FFFFFF" w:themeFill="background1"/>
          </w:tcPr>
          <w:p w14:paraId="052A392A"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Age at menarche </w:t>
            </w:r>
          </w:p>
          <w:p w14:paraId="3FDFB515"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r>
              <w:rPr>
                <w:rFonts w:asciiTheme="minorEastAsia" w:hAnsiTheme="minorEastAsia" w:cstheme="minorEastAsia" w:hint="eastAsia"/>
                <w:b/>
                <w:color w:val="000000" w:themeColor="text1"/>
                <w:sz w:val="24"/>
                <w:szCs w:val="24"/>
              </w:rPr>
              <w:t>±</w:t>
            </w:r>
            <w:r>
              <w:rPr>
                <w:rFonts w:asciiTheme="minorEastAsia" w:hAnsiTheme="minorEastAsia" w:cstheme="minorEastAsia" w:hint="eastAsia"/>
                <w:b/>
                <w:color w:val="000000" w:themeColor="text1"/>
                <w:sz w:val="24"/>
                <w:szCs w:val="24"/>
              </w:rPr>
              <w:t>S</w:t>
            </w:r>
            <w:r>
              <w:rPr>
                <w:rFonts w:asciiTheme="minorEastAsia" w:hAnsiTheme="minorEastAsia" w:cstheme="minorEastAsia"/>
                <w:b/>
                <w:color w:val="000000" w:themeColor="text1"/>
                <w:sz w:val="24"/>
                <w:szCs w:val="24"/>
              </w:rPr>
              <w:t>D) years</w:t>
            </w:r>
          </w:p>
        </w:tc>
        <w:tc>
          <w:tcPr>
            <w:tcW w:w="920" w:type="pct"/>
            <w:shd w:val="clear" w:color="auto" w:fill="FFFFFF" w:themeFill="background1"/>
          </w:tcPr>
          <w:p w14:paraId="0432C2A5"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13.49</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.2</w:t>
            </w:r>
          </w:p>
        </w:tc>
        <w:tc>
          <w:tcPr>
            <w:tcW w:w="774" w:type="pct"/>
            <w:shd w:val="clear" w:color="auto" w:fill="FFFFFF" w:themeFill="background1"/>
          </w:tcPr>
          <w:p w14:paraId="2A61E98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14.09</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.0</w:t>
            </w:r>
          </w:p>
        </w:tc>
        <w:tc>
          <w:tcPr>
            <w:tcW w:w="731" w:type="pct"/>
            <w:shd w:val="clear" w:color="auto" w:fill="FFFFFF" w:themeFill="background1"/>
          </w:tcPr>
          <w:p w14:paraId="094841ED"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tc>
        <w:tc>
          <w:tcPr>
            <w:tcW w:w="586" w:type="pct"/>
            <w:shd w:val="clear" w:color="auto" w:fill="FFFFFF" w:themeFill="background1"/>
          </w:tcPr>
          <w:p w14:paraId="3415D3D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-3.062**</w:t>
            </w:r>
          </w:p>
        </w:tc>
        <w:tc>
          <w:tcPr>
            <w:tcW w:w="534" w:type="pct"/>
            <w:shd w:val="clear" w:color="auto" w:fill="FFFFFF" w:themeFill="background1"/>
          </w:tcPr>
          <w:p w14:paraId="446C1E5E"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0.003*</w:t>
            </w:r>
          </w:p>
        </w:tc>
      </w:tr>
      <w:tr w:rsidR="00FD5207" w14:paraId="2115A3C8" w14:textId="77777777" w:rsidTr="00722C19">
        <w:tc>
          <w:tcPr>
            <w:tcW w:w="1455" w:type="pct"/>
            <w:shd w:val="clear" w:color="auto" w:fill="FFFFFF" w:themeFill="background1"/>
          </w:tcPr>
          <w:p w14:paraId="60DB1871"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Cycle pattern (Days)</w:t>
            </w:r>
          </w:p>
          <w:p w14:paraId="50459605"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&lt;28</w:t>
            </w:r>
          </w:p>
          <w:p w14:paraId="18992F09"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28-30</w:t>
            </w:r>
          </w:p>
          <w:p w14:paraId="47AE315A"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&gt;30</w:t>
            </w:r>
          </w:p>
          <w:p w14:paraId="00A835AC" w14:textId="77777777" w:rsidR="00FD5207" w:rsidRPr="00412AE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Mean</w:t>
            </w:r>
            <w:r>
              <w:rPr>
                <w:rFonts w:asciiTheme="minorEastAsia" w:hAnsiTheme="minorEastAsia" w:cstheme="minorEastAsia" w:hint="eastAsia"/>
                <w:color w:val="000000" w:themeColor="text1"/>
                <w:sz w:val="24"/>
                <w:szCs w:val="24"/>
              </w:rPr>
              <w:t>±</w:t>
            </w:r>
            <w:r>
              <w:rPr>
                <w:rFonts w:ascii="Times New Roman" w:hAnsi="Times New Roman" w:cs="Times New Roman"/>
                <w:color w:val="000000" w:themeColor="text1"/>
                <w:sz w:val="24"/>
                <w:szCs w:val="24"/>
              </w:rPr>
              <w:t>SD</w:t>
            </w:r>
          </w:p>
        </w:tc>
        <w:tc>
          <w:tcPr>
            <w:tcW w:w="920" w:type="pct"/>
            <w:shd w:val="clear" w:color="auto" w:fill="FFFFFF" w:themeFill="background1"/>
          </w:tcPr>
          <w:p w14:paraId="501FB125"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ADBB1FB"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9(13.8)</w:t>
            </w:r>
          </w:p>
          <w:p w14:paraId="0947D1D0"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54(83.1)</w:t>
            </w:r>
          </w:p>
          <w:p w14:paraId="2348D42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p w14:paraId="3BFEDF57"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28.32</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.3</w:t>
            </w:r>
          </w:p>
        </w:tc>
        <w:tc>
          <w:tcPr>
            <w:tcW w:w="774" w:type="pct"/>
            <w:shd w:val="clear" w:color="auto" w:fill="FFFFFF" w:themeFill="background1"/>
          </w:tcPr>
          <w:p w14:paraId="3BCACEEB"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E70DDB1"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7(10.8)</w:t>
            </w:r>
          </w:p>
          <w:p w14:paraId="7AF5C4B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57(87.7)</w:t>
            </w:r>
          </w:p>
          <w:p w14:paraId="41886C3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p w14:paraId="29AD05D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28.32</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0</w:t>
            </w:r>
            <w:r>
              <w:rPr>
                <w:rFonts w:asciiTheme="minorEastAsia" w:hAnsiTheme="minorEastAsia" w:cstheme="minorEastAsia"/>
                <w:color w:val="000000" w:themeColor="text1"/>
                <w:sz w:val="24"/>
                <w:szCs w:val="24"/>
              </w:rPr>
              <w:t>.9</w:t>
            </w:r>
          </w:p>
        </w:tc>
        <w:tc>
          <w:tcPr>
            <w:tcW w:w="731" w:type="pct"/>
            <w:shd w:val="clear" w:color="auto" w:fill="FFFFFF" w:themeFill="background1"/>
          </w:tcPr>
          <w:p w14:paraId="6DC63DA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93932F8"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16(12.3)</w:t>
            </w:r>
          </w:p>
          <w:p w14:paraId="5265508D"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111(85.4)</w:t>
            </w:r>
          </w:p>
          <w:p w14:paraId="13CFFFC0"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w:t>
            </w:r>
          </w:p>
          <w:p w14:paraId="2D932A0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tc>
        <w:tc>
          <w:tcPr>
            <w:tcW w:w="586" w:type="pct"/>
            <w:shd w:val="clear" w:color="auto" w:fill="FFFFFF" w:themeFill="background1"/>
          </w:tcPr>
          <w:p w14:paraId="01BF96F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2E0EA44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0.664</w:t>
            </w:r>
          </w:p>
          <w:p w14:paraId="02C1BE0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5DA492F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0DA63DC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0.791**</w:t>
            </w:r>
          </w:p>
        </w:tc>
        <w:tc>
          <w:tcPr>
            <w:tcW w:w="534" w:type="pct"/>
            <w:shd w:val="clear" w:color="auto" w:fill="FFFFFF" w:themeFill="background1"/>
          </w:tcPr>
          <w:p w14:paraId="3D9D19C4"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4EF2548F"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0.717</w:t>
            </w:r>
          </w:p>
          <w:p w14:paraId="41A2E26B"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20D4EF00"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23E19B75"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0.430</w:t>
            </w:r>
          </w:p>
        </w:tc>
      </w:tr>
    </w:tbl>
    <w:p w14:paraId="5639060C" w14:textId="77777777" w:rsidR="00FD5207" w:rsidRDefault="00FD5207" w:rsidP="00FD5207">
      <w:pPr>
        <w:rPr>
          <w:rFonts w:ascii="Times New Roman" w:hAnsi="Times New Roman" w:cs="Times New Roman"/>
          <w:sz w:val="24"/>
          <w:szCs w:val="24"/>
        </w:rPr>
      </w:pPr>
      <w:r>
        <w:rPr>
          <w:rFonts w:ascii="Times New Roman" w:hAnsi="Times New Roman" w:cs="Times New Roman"/>
          <w:sz w:val="24"/>
          <w:szCs w:val="24"/>
        </w:rPr>
        <w:t>*Significant; **</w:t>
      </w:r>
      <w:commentRangeStart w:id="7"/>
      <w:r>
        <w:rPr>
          <w:rFonts w:ascii="Times New Roman" w:hAnsi="Times New Roman" w:cs="Times New Roman"/>
          <w:sz w:val="24"/>
          <w:szCs w:val="24"/>
        </w:rPr>
        <w:t>Independent student t test</w:t>
      </w:r>
      <w:commentRangeEnd w:id="7"/>
      <w:r w:rsidR="00882486">
        <w:rPr>
          <w:rStyle w:val="CommentReference"/>
        </w:rPr>
        <w:commentReference w:id="7"/>
      </w:r>
    </w:p>
    <w:p w14:paraId="64A9E4C1" w14:textId="77777777" w:rsidR="00FD5207" w:rsidRDefault="00FD5207" w:rsidP="00FD5207">
      <w:pPr>
        <w:spacing w:line="480" w:lineRule="auto"/>
        <w:rPr>
          <w:rFonts w:ascii="Times New Roman" w:hAnsi="Times New Roman" w:cs="Times New Roman"/>
          <w:sz w:val="24"/>
          <w:szCs w:val="24"/>
        </w:rPr>
      </w:pPr>
    </w:p>
    <w:p w14:paraId="64B9BD9E" w14:textId="77777777" w:rsidR="00FD5207" w:rsidRPr="0032726B" w:rsidRDefault="00FD5207" w:rsidP="00FD5207">
      <w:pPr>
        <w:spacing w:line="480" w:lineRule="auto"/>
        <w:rPr>
          <w:rFonts w:ascii="Times New Roman" w:hAnsi="Times New Roman" w:cs="Times New Roman"/>
          <w:sz w:val="24"/>
          <w:szCs w:val="24"/>
        </w:rPr>
      </w:pPr>
      <w:r w:rsidRPr="0032726B">
        <w:rPr>
          <w:rFonts w:ascii="Times New Roman" w:hAnsi="Times New Roman" w:cs="Times New Roman"/>
          <w:sz w:val="24"/>
          <w:szCs w:val="24"/>
        </w:rPr>
        <w:t>Figure 1 shows that more than two third (69.2%) of the infertility are secondary while 20 (30.8%) have primary infertility</w:t>
      </w:r>
    </w:p>
    <w:p w14:paraId="44AC39C1" w14:textId="77777777" w:rsidR="00FD5207" w:rsidRDefault="00FD5207" w:rsidP="00FD5207">
      <w:pPr>
        <w:rPr>
          <w:rFonts w:ascii="Times New Roman" w:hAnsi="Times New Roman" w:cs="Times New Roman"/>
          <w:sz w:val="24"/>
          <w:szCs w:val="24"/>
        </w:rPr>
      </w:pPr>
    </w:p>
    <w:p w14:paraId="1E307569" w14:textId="77777777" w:rsidR="00FD5207" w:rsidRDefault="00FD5207" w:rsidP="00FD5207">
      <w:pPr>
        <w:rPr>
          <w:rFonts w:ascii="Times New Roman" w:hAnsi="Times New Roman" w:cs="Times New Roman"/>
          <w:sz w:val="24"/>
          <w:szCs w:val="24"/>
        </w:rPr>
      </w:pPr>
    </w:p>
    <w:p w14:paraId="4414FDE2" w14:textId="77777777" w:rsidR="00FD5207" w:rsidRDefault="00FD5207" w:rsidP="00FD5207">
      <w:pPr>
        <w:rPr>
          <w:rFonts w:ascii="Times New Roman" w:hAnsi="Times New Roman" w:cs="Times New Roman"/>
          <w:sz w:val="24"/>
          <w:szCs w:val="24"/>
        </w:rPr>
      </w:pPr>
    </w:p>
    <w:p w14:paraId="745C9E8A" w14:textId="77777777" w:rsidR="00FD5207" w:rsidRDefault="00FD5207" w:rsidP="00FD52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2415F8EC" wp14:editId="79FB3B44">
            <wp:extent cx="5943600" cy="3496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96945"/>
                    </a:xfrm>
                    <a:prstGeom prst="rect">
                      <a:avLst/>
                    </a:prstGeom>
                    <a:noFill/>
                    <a:ln>
                      <a:noFill/>
                    </a:ln>
                  </pic:spPr>
                </pic:pic>
              </a:graphicData>
            </a:graphic>
          </wp:inline>
        </w:drawing>
      </w:r>
    </w:p>
    <w:p w14:paraId="203B135D" w14:textId="77777777" w:rsidR="00FD5207" w:rsidRDefault="0033650E" w:rsidP="00FD5207">
      <w:pPr>
        <w:rPr>
          <w:rFonts w:ascii="Times New Roman" w:hAnsi="Times New Roman" w:cs="Times New Roman"/>
          <w:b/>
          <w:bCs/>
          <w:sz w:val="24"/>
          <w:szCs w:val="24"/>
        </w:rPr>
      </w:pPr>
      <w:r>
        <w:rPr>
          <w:rFonts w:ascii="Times New Roman" w:hAnsi="Times New Roman" w:cs="Times New Roman"/>
          <w:b/>
          <w:bCs/>
          <w:sz w:val="24"/>
          <w:szCs w:val="24"/>
        </w:rPr>
        <w:t>Figure 1</w:t>
      </w:r>
      <w:r w:rsidR="00FD5207">
        <w:rPr>
          <w:rFonts w:ascii="Times New Roman" w:hAnsi="Times New Roman" w:cs="Times New Roman"/>
          <w:b/>
          <w:bCs/>
          <w:sz w:val="24"/>
          <w:szCs w:val="24"/>
        </w:rPr>
        <w:t>: Distribution of infertile women by type of infertility</w:t>
      </w:r>
    </w:p>
    <w:p w14:paraId="15629ABF" w14:textId="77777777" w:rsidR="00FD5207" w:rsidRDefault="00FD5207" w:rsidP="00970BF3"/>
    <w:p w14:paraId="02D76190" w14:textId="77777777" w:rsidR="00FD5207" w:rsidRDefault="0033650E" w:rsidP="00970BF3">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 xml:space="preserve">2 </w:t>
      </w:r>
      <w:r w:rsidR="00FD5207" w:rsidRPr="00942D41">
        <w:rPr>
          <w:rFonts w:ascii="Times New Roman" w:hAnsi="Times New Roman" w:cs="Times New Roman"/>
          <w:sz w:val="24"/>
          <w:szCs w:val="24"/>
        </w:rPr>
        <w:t xml:space="preserve"> shows</w:t>
      </w:r>
      <w:proofErr w:type="gramEnd"/>
      <w:r w:rsidR="00FD5207" w:rsidRPr="00942D41">
        <w:rPr>
          <w:rFonts w:ascii="Times New Roman" w:hAnsi="Times New Roman" w:cs="Times New Roman"/>
          <w:sz w:val="24"/>
          <w:szCs w:val="24"/>
        </w:rPr>
        <w:t xml:space="preserve"> that participants with primary infertility have significant</w:t>
      </w:r>
      <w:r w:rsidR="00FD5207">
        <w:rPr>
          <w:rFonts w:ascii="Times New Roman" w:hAnsi="Times New Roman" w:cs="Times New Roman"/>
          <w:sz w:val="24"/>
          <w:szCs w:val="24"/>
        </w:rPr>
        <w:t>ly</w:t>
      </w:r>
      <w:r w:rsidR="00FD5207" w:rsidRPr="00942D41">
        <w:rPr>
          <w:rFonts w:ascii="Times New Roman" w:hAnsi="Times New Roman" w:cs="Times New Roman"/>
          <w:sz w:val="24"/>
          <w:szCs w:val="24"/>
        </w:rPr>
        <w:t xml:space="preserve"> higher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AMH and significant</w:t>
      </w:r>
      <w:r w:rsidR="00FD5207">
        <w:rPr>
          <w:rFonts w:ascii="Times New Roman" w:hAnsi="Times New Roman" w:cs="Times New Roman"/>
          <w:sz w:val="24"/>
          <w:szCs w:val="24"/>
        </w:rPr>
        <w:t>ly</w:t>
      </w:r>
      <w:r w:rsidR="00FD5207" w:rsidRPr="00942D41">
        <w:rPr>
          <w:rFonts w:ascii="Times New Roman" w:hAnsi="Times New Roman" w:cs="Times New Roman"/>
          <w:sz w:val="24"/>
          <w:szCs w:val="24"/>
        </w:rPr>
        <w:t xml:space="preserve"> lower </w:t>
      </w:r>
      <w:r w:rsidR="00FD5207">
        <w:rPr>
          <w:rFonts w:ascii="Times New Roman" w:hAnsi="Times New Roman" w:cs="Times New Roman"/>
          <w:sz w:val="24"/>
          <w:szCs w:val="24"/>
        </w:rPr>
        <w:t xml:space="preserve">mean </w:t>
      </w:r>
      <w:proofErr w:type="spellStart"/>
      <w:r w:rsidR="00FD5207" w:rsidRPr="00942D41">
        <w:rPr>
          <w:rFonts w:ascii="Times New Roman" w:hAnsi="Times New Roman" w:cs="Times New Roman"/>
          <w:sz w:val="24"/>
          <w:szCs w:val="24"/>
        </w:rPr>
        <w:t>Estradiol</w:t>
      </w:r>
      <w:proofErr w:type="spellEnd"/>
      <w:r w:rsidR="00FD5207" w:rsidRPr="00942D41">
        <w:rPr>
          <w:rFonts w:ascii="Times New Roman" w:hAnsi="Times New Roman" w:cs="Times New Roman"/>
          <w:sz w:val="24"/>
          <w:szCs w:val="24"/>
        </w:rPr>
        <w:t xml:space="preserve"> and P</w:t>
      </w:r>
      <w:r w:rsidR="00FD5207">
        <w:rPr>
          <w:rFonts w:ascii="Times New Roman" w:hAnsi="Times New Roman" w:cs="Times New Roman"/>
          <w:sz w:val="24"/>
          <w:szCs w:val="24"/>
        </w:rPr>
        <w:t>rolactin levels</w:t>
      </w:r>
      <w:r w:rsidR="00FD5207" w:rsidRPr="00942D41">
        <w:rPr>
          <w:rFonts w:ascii="Times New Roman" w:hAnsi="Times New Roman" w:cs="Times New Roman"/>
          <w:sz w:val="24"/>
          <w:szCs w:val="24"/>
        </w:rPr>
        <w:t xml:space="preserve"> compare</w:t>
      </w:r>
      <w:r w:rsidR="00FD5207">
        <w:rPr>
          <w:rFonts w:ascii="Times New Roman" w:hAnsi="Times New Roman" w:cs="Times New Roman"/>
          <w:sz w:val="24"/>
          <w:szCs w:val="24"/>
        </w:rPr>
        <w:t>d</w:t>
      </w:r>
      <w:r w:rsidR="00FD5207" w:rsidRPr="00942D41">
        <w:rPr>
          <w:rFonts w:ascii="Times New Roman" w:hAnsi="Times New Roman" w:cs="Times New Roman"/>
          <w:sz w:val="24"/>
          <w:szCs w:val="24"/>
        </w:rPr>
        <w:t xml:space="preserve"> to participants with secondary infertility</w:t>
      </w:r>
      <w:r w:rsidR="00FD5207">
        <w:rPr>
          <w:rFonts w:ascii="Times New Roman" w:hAnsi="Times New Roman" w:cs="Times New Roman"/>
          <w:sz w:val="24"/>
          <w:szCs w:val="24"/>
        </w:rPr>
        <w:t xml:space="preserve"> at 2.99±3.6 vs 1.67±2.5; 58.23±19.1 vs 79.64±32.8; and 10.11±6.3 vs 13.64±9.5 respectively</w:t>
      </w:r>
      <w:r w:rsidR="00FD5207" w:rsidRPr="00942D41">
        <w:rPr>
          <w:rFonts w:ascii="Times New Roman" w:hAnsi="Times New Roman" w:cs="Times New Roman"/>
          <w:sz w:val="24"/>
          <w:szCs w:val="24"/>
        </w:rPr>
        <w:t xml:space="preserve">. </w:t>
      </w:r>
      <w:r w:rsidR="00FD5207">
        <w:rPr>
          <w:rFonts w:ascii="Times New Roman" w:hAnsi="Times New Roman" w:cs="Times New Roman"/>
          <w:sz w:val="24"/>
          <w:szCs w:val="24"/>
        </w:rPr>
        <w:t>There was n</w:t>
      </w:r>
      <w:r w:rsidR="00FD5207" w:rsidRPr="00942D41">
        <w:rPr>
          <w:rFonts w:ascii="Times New Roman" w:hAnsi="Times New Roman" w:cs="Times New Roman"/>
          <w:sz w:val="24"/>
          <w:szCs w:val="24"/>
        </w:rPr>
        <w:t xml:space="preserve">o significant difference in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FSH, LH and Progesterone</w:t>
      </w:r>
      <w:r w:rsidR="00FD5207">
        <w:rPr>
          <w:rFonts w:ascii="Times New Roman" w:hAnsi="Times New Roman" w:cs="Times New Roman"/>
          <w:sz w:val="24"/>
          <w:szCs w:val="24"/>
        </w:rPr>
        <w:t xml:space="preserve"> levels</w:t>
      </w:r>
      <w:r w:rsidR="00FD5207" w:rsidRPr="00942D41">
        <w:rPr>
          <w:rFonts w:ascii="Times New Roman" w:hAnsi="Times New Roman" w:cs="Times New Roman"/>
          <w:sz w:val="24"/>
          <w:szCs w:val="24"/>
        </w:rPr>
        <w:t xml:space="preserve"> between participants with primary and secondary infertility</w:t>
      </w:r>
      <w:r w:rsidR="00FD5207">
        <w:rPr>
          <w:rFonts w:ascii="Times New Roman" w:hAnsi="Times New Roman" w:cs="Times New Roman"/>
          <w:sz w:val="24"/>
          <w:szCs w:val="24"/>
        </w:rPr>
        <w:t xml:space="preserve"> respectively.</w:t>
      </w:r>
    </w:p>
    <w:p w14:paraId="1BC6926D" w14:textId="77777777" w:rsidR="00FD5207" w:rsidRDefault="00FD5207" w:rsidP="00FD5207">
      <w:pPr>
        <w:rPr>
          <w:rFonts w:ascii="Times New Roman" w:hAnsi="Times New Roman" w:cs="Times New Roman"/>
          <w:b/>
          <w:bCs/>
          <w:sz w:val="24"/>
          <w:szCs w:val="24"/>
        </w:rPr>
      </w:pPr>
    </w:p>
    <w:p w14:paraId="2BEC3385" w14:textId="77777777" w:rsidR="00FD5207" w:rsidRDefault="0033650E" w:rsidP="00FD5207">
      <w:pPr>
        <w:rPr>
          <w:rFonts w:ascii="Times New Roman" w:hAnsi="Times New Roman" w:cs="Times New Roman"/>
          <w:b/>
          <w:bCs/>
          <w:sz w:val="24"/>
          <w:szCs w:val="24"/>
        </w:rPr>
      </w:pPr>
      <w:r>
        <w:rPr>
          <w:rFonts w:ascii="Times New Roman" w:hAnsi="Times New Roman" w:cs="Times New Roman"/>
          <w:b/>
          <w:bCs/>
          <w:sz w:val="24"/>
          <w:szCs w:val="24"/>
        </w:rPr>
        <w:t>Table 2</w:t>
      </w:r>
      <w:r w:rsidR="00FD5207">
        <w:rPr>
          <w:rFonts w:ascii="Times New Roman" w:hAnsi="Times New Roman" w:cs="Times New Roman"/>
          <w:b/>
          <w:bCs/>
          <w:sz w:val="24"/>
          <w:szCs w:val="24"/>
        </w:rPr>
        <w:t>: Mean</w:t>
      </w:r>
      <w:r w:rsidR="00FD5207" w:rsidRPr="00E82C1D">
        <w:rPr>
          <w:rFonts w:ascii="Times New Roman" w:hAnsi="Times New Roman" w:cs="Times New Roman"/>
          <w:b/>
          <w:bCs/>
          <w:sz w:val="24"/>
          <w:szCs w:val="24"/>
        </w:rPr>
        <w:t xml:space="preserve"> comparison of reproductive hormon</w:t>
      </w:r>
      <w:r w:rsidR="00FD5207">
        <w:rPr>
          <w:rFonts w:ascii="Times New Roman" w:hAnsi="Times New Roman" w:cs="Times New Roman"/>
          <w:b/>
          <w:bCs/>
          <w:sz w:val="24"/>
          <w:szCs w:val="24"/>
        </w:rPr>
        <w:t>e</w:t>
      </w:r>
      <w:r w:rsidR="00FD5207" w:rsidRPr="00E82C1D">
        <w:rPr>
          <w:rFonts w:ascii="Times New Roman" w:hAnsi="Times New Roman" w:cs="Times New Roman"/>
          <w:b/>
          <w:bCs/>
          <w:sz w:val="24"/>
          <w:szCs w:val="24"/>
        </w:rPr>
        <w:t xml:space="preserve"> profiles in </w:t>
      </w:r>
      <w:r w:rsidR="00FD5207">
        <w:rPr>
          <w:rFonts w:ascii="Times New Roman" w:hAnsi="Times New Roman" w:cs="Times New Roman"/>
          <w:b/>
          <w:bCs/>
          <w:sz w:val="24"/>
          <w:szCs w:val="24"/>
        </w:rPr>
        <w:t>primary and secondary infertility</w:t>
      </w:r>
    </w:p>
    <w:p w14:paraId="1F815095" w14:textId="77777777" w:rsidR="00FD5207" w:rsidRDefault="00FD5207" w:rsidP="00FD5207">
      <w:pPr>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40"/>
        <w:gridCol w:w="2124"/>
        <w:gridCol w:w="1954"/>
        <w:gridCol w:w="1415"/>
        <w:gridCol w:w="1009"/>
      </w:tblGrid>
      <w:tr w:rsidR="00FD5207" w14:paraId="04F45AD1" w14:textId="77777777" w:rsidTr="00722C19">
        <w:tc>
          <w:tcPr>
            <w:tcW w:w="2779" w:type="dxa"/>
            <w:vMerge w:val="restart"/>
          </w:tcPr>
          <w:p w14:paraId="3EFD20BF" w14:textId="77777777" w:rsidR="00FD5207" w:rsidRDefault="00FD5207" w:rsidP="00722C19">
            <w:pPr>
              <w:rPr>
                <w:rFonts w:ascii="Times New Roman" w:hAnsi="Times New Roman" w:cs="Times New Roman"/>
                <w:b/>
                <w:bCs/>
                <w:sz w:val="24"/>
                <w:szCs w:val="24"/>
              </w:rPr>
            </w:pPr>
          </w:p>
        </w:tc>
        <w:tc>
          <w:tcPr>
            <w:tcW w:w="2155" w:type="dxa"/>
          </w:tcPr>
          <w:p w14:paraId="0FDE1735" w14:textId="77777777" w:rsidR="00FD5207" w:rsidRPr="00806FD4" w:rsidRDefault="00FD5207" w:rsidP="00722C19">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Primary infertility</w:t>
            </w:r>
          </w:p>
          <w:p w14:paraId="562CFB3C" w14:textId="77777777" w:rsidR="00FD5207" w:rsidRDefault="00FD5207" w:rsidP="00722C19">
            <w:pPr>
              <w:jc w:val="center"/>
              <w:rPr>
                <w:rFonts w:ascii="Times New Roman" w:hAnsi="Times New Roman" w:cs="Times New Roman"/>
                <w:b/>
                <w:bCs/>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34</w:t>
            </w:r>
            <w:r w:rsidRPr="00806FD4">
              <w:rPr>
                <w:rFonts w:ascii="Times New Roman" w:hAnsi="Times New Roman" w:cs="Times New Roman"/>
                <w:b/>
                <w:bCs/>
                <w:color w:val="000000" w:themeColor="text1"/>
                <w:sz w:val="24"/>
                <w:szCs w:val="24"/>
              </w:rPr>
              <w:t>)</w:t>
            </w:r>
          </w:p>
        </w:tc>
        <w:tc>
          <w:tcPr>
            <w:tcW w:w="1976" w:type="dxa"/>
            <w:vAlign w:val="bottom"/>
          </w:tcPr>
          <w:p w14:paraId="16AF025E" w14:textId="77777777" w:rsidR="00FD5207" w:rsidRPr="00806FD4" w:rsidRDefault="00FD5207" w:rsidP="00722C19">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Secondary infertility</w:t>
            </w:r>
          </w:p>
          <w:p w14:paraId="52FA9442" w14:textId="77777777" w:rsidR="00FD5207" w:rsidRDefault="00FD5207" w:rsidP="00722C19">
            <w:pPr>
              <w:jc w:val="center"/>
              <w:rPr>
                <w:rFonts w:ascii="Times New Roman" w:hAnsi="Times New Roman" w:cs="Times New Roman"/>
                <w:b/>
                <w:bCs/>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31</w:t>
            </w:r>
            <w:r w:rsidRPr="00806FD4">
              <w:rPr>
                <w:rFonts w:ascii="Times New Roman" w:hAnsi="Times New Roman" w:cs="Times New Roman"/>
                <w:b/>
                <w:bCs/>
                <w:color w:val="000000" w:themeColor="text1"/>
                <w:sz w:val="24"/>
                <w:szCs w:val="24"/>
              </w:rPr>
              <w:t>)</w:t>
            </w:r>
          </w:p>
        </w:tc>
        <w:tc>
          <w:tcPr>
            <w:tcW w:w="1437" w:type="dxa"/>
            <w:vMerge w:val="restart"/>
          </w:tcPr>
          <w:p w14:paraId="72168615"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t-value</w:t>
            </w:r>
          </w:p>
        </w:tc>
        <w:tc>
          <w:tcPr>
            <w:tcW w:w="1013" w:type="dxa"/>
            <w:vMerge w:val="restart"/>
          </w:tcPr>
          <w:p w14:paraId="6522D939"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p-value</w:t>
            </w:r>
          </w:p>
        </w:tc>
      </w:tr>
      <w:tr w:rsidR="00FD5207" w14:paraId="042A8B5F" w14:textId="77777777" w:rsidTr="00722C19">
        <w:tc>
          <w:tcPr>
            <w:tcW w:w="2779" w:type="dxa"/>
            <w:vMerge/>
            <w:tcBorders>
              <w:bottom w:val="single" w:sz="4" w:space="0" w:color="auto"/>
            </w:tcBorders>
          </w:tcPr>
          <w:p w14:paraId="2D4CC81D" w14:textId="77777777" w:rsidR="00FD5207" w:rsidRDefault="00FD5207" w:rsidP="00722C19">
            <w:pPr>
              <w:rPr>
                <w:rFonts w:ascii="Times New Roman" w:hAnsi="Times New Roman" w:cs="Times New Roman"/>
                <w:b/>
                <w:bCs/>
                <w:sz w:val="24"/>
                <w:szCs w:val="24"/>
              </w:rPr>
            </w:pPr>
          </w:p>
        </w:tc>
        <w:tc>
          <w:tcPr>
            <w:tcW w:w="2155" w:type="dxa"/>
            <w:tcBorders>
              <w:bottom w:val="single" w:sz="4" w:space="0" w:color="auto"/>
            </w:tcBorders>
          </w:tcPr>
          <w:p w14:paraId="75A5BF3F" w14:textId="77777777" w:rsidR="00FD5207" w:rsidRDefault="00FD5207" w:rsidP="00722C1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Mean</w:t>
            </w:r>
            <w:r>
              <w:rPr>
                <w:rFonts w:asciiTheme="minorEastAsia" w:hAnsiTheme="minorEastAsia" w:cstheme="minorEastAsia" w:hint="eastAsia"/>
                <w:b/>
                <w:bCs/>
                <w:sz w:val="24"/>
                <w:szCs w:val="24"/>
              </w:rPr>
              <w:t>±</w:t>
            </w:r>
            <w:r>
              <w:rPr>
                <w:rFonts w:ascii="Times New Roman" w:hAnsi="Times New Roman" w:cs="Times New Roman"/>
                <w:b/>
                <w:bCs/>
                <w:sz w:val="24"/>
                <w:szCs w:val="24"/>
              </w:rPr>
              <w:t>SD</w:t>
            </w:r>
            <w:proofErr w:type="spellEnd"/>
          </w:p>
        </w:tc>
        <w:tc>
          <w:tcPr>
            <w:tcW w:w="1976" w:type="dxa"/>
            <w:tcBorders>
              <w:bottom w:val="single" w:sz="4" w:space="0" w:color="auto"/>
            </w:tcBorders>
          </w:tcPr>
          <w:p w14:paraId="72A6D55C" w14:textId="77777777" w:rsidR="00FD5207" w:rsidRDefault="00FD5207" w:rsidP="00722C1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Mean</w:t>
            </w:r>
            <w:r>
              <w:rPr>
                <w:rFonts w:asciiTheme="minorEastAsia" w:hAnsiTheme="minorEastAsia" w:cstheme="minorEastAsia" w:hint="eastAsia"/>
                <w:b/>
                <w:bCs/>
                <w:sz w:val="24"/>
                <w:szCs w:val="24"/>
              </w:rPr>
              <w:t>±</w:t>
            </w:r>
            <w:r>
              <w:rPr>
                <w:rFonts w:ascii="Times New Roman" w:hAnsi="Times New Roman" w:cs="Times New Roman"/>
                <w:b/>
                <w:bCs/>
                <w:sz w:val="24"/>
                <w:szCs w:val="24"/>
              </w:rPr>
              <w:t>SD</w:t>
            </w:r>
            <w:proofErr w:type="spellEnd"/>
          </w:p>
        </w:tc>
        <w:tc>
          <w:tcPr>
            <w:tcW w:w="1437" w:type="dxa"/>
            <w:vMerge/>
            <w:tcBorders>
              <w:bottom w:val="single" w:sz="4" w:space="0" w:color="auto"/>
            </w:tcBorders>
          </w:tcPr>
          <w:p w14:paraId="055425D5" w14:textId="77777777" w:rsidR="00FD5207" w:rsidRDefault="00FD5207" w:rsidP="00722C19">
            <w:pPr>
              <w:rPr>
                <w:rFonts w:ascii="Times New Roman" w:hAnsi="Times New Roman" w:cs="Times New Roman"/>
                <w:b/>
                <w:bCs/>
                <w:sz w:val="24"/>
                <w:szCs w:val="24"/>
              </w:rPr>
            </w:pPr>
          </w:p>
        </w:tc>
        <w:tc>
          <w:tcPr>
            <w:tcW w:w="1013" w:type="dxa"/>
            <w:vMerge/>
            <w:tcBorders>
              <w:bottom w:val="single" w:sz="4" w:space="0" w:color="auto"/>
            </w:tcBorders>
          </w:tcPr>
          <w:p w14:paraId="083C1627" w14:textId="77777777" w:rsidR="00FD5207" w:rsidRDefault="00FD5207" w:rsidP="00722C19">
            <w:pPr>
              <w:rPr>
                <w:rFonts w:ascii="Times New Roman" w:hAnsi="Times New Roman" w:cs="Times New Roman"/>
                <w:b/>
                <w:bCs/>
                <w:sz w:val="24"/>
                <w:szCs w:val="24"/>
              </w:rPr>
            </w:pPr>
          </w:p>
        </w:tc>
      </w:tr>
      <w:tr w:rsidR="00FD5207" w14:paraId="3166CCEA" w14:textId="77777777" w:rsidTr="00722C19">
        <w:tc>
          <w:tcPr>
            <w:tcW w:w="2779" w:type="dxa"/>
            <w:tcBorders>
              <w:bottom w:val="nil"/>
            </w:tcBorders>
          </w:tcPr>
          <w:p w14:paraId="6F316DA3"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AMH</w:t>
            </w:r>
          </w:p>
        </w:tc>
        <w:tc>
          <w:tcPr>
            <w:tcW w:w="2155" w:type="dxa"/>
            <w:tcBorders>
              <w:bottom w:val="nil"/>
            </w:tcBorders>
          </w:tcPr>
          <w:p w14:paraId="5647F3E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2.99</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sidRPr="00CA7895">
              <w:rPr>
                <w:rFonts w:asciiTheme="minorEastAsia" w:hAnsiTheme="minorEastAsia" w:cstheme="minorEastAsia"/>
                <w:sz w:val="24"/>
                <w:szCs w:val="24"/>
              </w:rPr>
              <w:t>.6</w:t>
            </w:r>
          </w:p>
        </w:tc>
        <w:tc>
          <w:tcPr>
            <w:tcW w:w="1976" w:type="dxa"/>
            <w:tcBorders>
              <w:bottom w:val="nil"/>
            </w:tcBorders>
          </w:tcPr>
          <w:p w14:paraId="2165087D"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1.67</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sidRPr="00CA7895">
              <w:rPr>
                <w:rFonts w:asciiTheme="minorEastAsia" w:hAnsiTheme="minorEastAsia" w:cstheme="minorEastAsia"/>
                <w:sz w:val="24"/>
                <w:szCs w:val="24"/>
              </w:rPr>
              <w:t>.5</w:t>
            </w:r>
          </w:p>
        </w:tc>
        <w:tc>
          <w:tcPr>
            <w:tcW w:w="1437" w:type="dxa"/>
            <w:tcBorders>
              <w:bottom w:val="nil"/>
            </w:tcBorders>
          </w:tcPr>
          <w:p w14:paraId="3C036AE4"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3.245</w:t>
            </w:r>
          </w:p>
        </w:tc>
        <w:tc>
          <w:tcPr>
            <w:tcW w:w="1013" w:type="dxa"/>
            <w:tcBorders>
              <w:bottom w:val="nil"/>
            </w:tcBorders>
          </w:tcPr>
          <w:p w14:paraId="6A28919B"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0.002*</w:t>
            </w:r>
          </w:p>
        </w:tc>
      </w:tr>
      <w:tr w:rsidR="00FD5207" w14:paraId="0689071A" w14:textId="77777777" w:rsidTr="00722C19">
        <w:tc>
          <w:tcPr>
            <w:tcW w:w="2779" w:type="dxa"/>
            <w:tcBorders>
              <w:top w:val="nil"/>
              <w:bottom w:val="nil"/>
            </w:tcBorders>
          </w:tcPr>
          <w:p w14:paraId="4FCFEC2C"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FSH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bottom w:val="nil"/>
            </w:tcBorders>
          </w:tcPr>
          <w:p w14:paraId="76A4328A"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15.32</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9.3</w:t>
            </w:r>
          </w:p>
        </w:tc>
        <w:tc>
          <w:tcPr>
            <w:tcW w:w="1976" w:type="dxa"/>
            <w:tcBorders>
              <w:top w:val="nil"/>
              <w:bottom w:val="nil"/>
            </w:tcBorders>
          </w:tcPr>
          <w:p w14:paraId="1433E12E"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11.04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9</w:t>
            </w:r>
            <w:r w:rsidRPr="00CA7895">
              <w:rPr>
                <w:rFonts w:asciiTheme="minorEastAsia" w:hAnsiTheme="minorEastAsia" w:cstheme="minorEastAsia"/>
                <w:sz w:val="24"/>
                <w:szCs w:val="24"/>
              </w:rPr>
              <w:t>.7</w:t>
            </w:r>
          </w:p>
        </w:tc>
        <w:tc>
          <w:tcPr>
            <w:tcW w:w="1437" w:type="dxa"/>
            <w:tcBorders>
              <w:top w:val="nil"/>
              <w:bottom w:val="nil"/>
            </w:tcBorders>
          </w:tcPr>
          <w:p w14:paraId="25525DBB"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1.193</w:t>
            </w:r>
          </w:p>
        </w:tc>
        <w:tc>
          <w:tcPr>
            <w:tcW w:w="1013" w:type="dxa"/>
            <w:tcBorders>
              <w:top w:val="nil"/>
              <w:bottom w:val="nil"/>
            </w:tcBorders>
          </w:tcPr>
          <w:p w14:paraId="63E2955D"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0.237</w:t>
            </w:r>
          </w:p>
        </w:tc>
      </w:tr>
      <w:tr w:rsidR="00FD5207" w14:paraId="25C12C91" w14:textId="77777777" w:rsidTr="00722C19">
        <w:tc>
          <w:tcPr>
            <w:tcW w:w="2779" w:type="dxa"/>
            <w:tcBorders>
              <w:top w:val="nil"/>
              <w:bottom w:val="nil"/>
            </w:tcBorders>
          </w:tcPr>
          <w:p w14:paraId="51E21CA7" w14:textId="77777777" w:rsidR="00FD5207" w:rsidRDefault="00FD5207" w:rsidP="00722C19">
            <w:pPr>
              <w:rPr>
                <w:rFonts w:ascii="Times New Roman" w:hAnsi="Times New Roman" w:cs="Times New Roman"/>
                <w:b/>
                <w:bCs/>
                <w:sz w:val="24"/>
                <w:szCs w:val="24"/>
              </w:rPr>
            </w:pPr>
            <w:proofErr w:type="gramStart"/>
            <w:r>
              <w:rPr>
                <w:rFonts w:ascii="Times New Roman" w:hAnsi="Times New Roman" w:cs="Times New Roman"/>
                <w:b/>
                <w:bCs/>
                <w:sz w:val="24"/>
                <w:szCs w:val="24"/>
              </w:rPr>
              <w:t>LH  (</w:t>
            </w:r>
            <w:proofErr w:type="spellStart"/>
            <w:proofErr w:type="gramEnd"/>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bottom w:val="nil"/>
            </w:tcBorders>
          </w:tcPr>
          <w:p w14:paraId="6A7212F3"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11.84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7</w:t>
            </w:r>
            <w:r w:rsidRPr="00CA7895">
              <w:rPr>
                <w:rFonts w:asciiTheme="minorEastAsia" w:hAnsiTheme="minorEastAsia" w:cstheme="minorEastAsia"/>
                <w:sz w:val="24"/>
                <w:szCs w:val="24"/>
              </w:rPr>
              <w:t>.9</w:t>
            </w:r>
          </w:p>
        </w:tc>
        <w:tc>
          <w:tcPr>
            <w:tcW w:w="1976" w:type="dxa"/>
            <w:tcBorders>
              <w:top w:val="nil"/>
              <w:bottom w:val="nil"/>
            </w:tcBorders>
          </w:tcPr>
          <w:p w14:paraId="354DDDC7"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14.86</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4.2</w:t>
            </w:r>
          </w:p>
        </w:tc>
        <w:tc>
          <w:tcPr>
            <w:tcW w:w="1437" w:type="dxa"/>
            <w:tcBorders>
              <w:top w:val="nil"/>
              <w:bottom w:val="nil"/>
            </w:tcBorders>
          </w:tcPr>
          <w:p w14:paraId="0741EB8C"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-0.894</w:t>
            </w:r>
          </w:p>
        </w:tc>
        <w:tc>
          <w:tcPr>
            <w:tcW w:w="1013" w:type="dxa"/>
            <w:tcBorders>
              <w:top w:val="nil"/>
              <w:bottom w:val="nil"/>
            </w:tcBorders>
          </w:tcPr>
          <w:p w14:paraId="06F5FB95"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0.357</w:t>
            </w:r>
          </w:p>
        </w:tc>
      </w:tr>
      <w:tr w:rsidR="00FD5207" w:rsidRPr="00E82C1D" w14:paraId="510608E3" w14:textId="77777777" w:rsidTr="00722C19">
        <w:tc>
          <w:tcPr>
            <w:tcW w:w="2779" w:type="dxa"/>
            <w:tcBorders>
              <w:top w:val="nil"/>
              <w:bottom w:val="nil"/>
            </w:tcBorders>
          </w:tcPr>
          <w:p w14:paraId="7ED77B4E"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Estradiol (pg/ml)</w:t>
            </w:r>
          </w:p>
        </w:tc>
        <w:tc>
          <w:tcPr>
            <w:tcW w:w="2155" w:type="dxa"/>
            <w:tcBorders>
              <w:top w:val="nil"/>
              <w:bottom w:val="nil"/>
            </w:tcBorders>
          </w:tcPr>
          <w:p w14:paraId="2BA26E3A"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58.23</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9.1</w:t>
            </w:r>
          </w:p>
        </w:tc>
        <w:tc>
          <w:tcPr>
            <w:tcW w:w="1976" w:type="dxa"/>
            <w:tcBorders>
              <w:top w:val="nil"/>
              <w:bottom w:val="nil"/>
            </w:tcBorders>
          </w:tcPr>
          <w:p w14:paraId="116B698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79.64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3</w:t>
            </w:r>
            <w:r w:rsidRPr="00CA7895">
              <w:rPr>
                <w:rFonts w:asciiTheme="minorEastAsia" w:hAnsiTheme="minorEastAsia" w:cstheme="minorEastAsia"/>
                <w:sz w:val="24"/>
                <w:szCs w:val="24"/>
              </w:rPr>
              <w:t>2.8</w:t>
            </w:r>
          </w:p>
        </w:tc>
        <w:tc>
          <w:tcPr>
            <w:tcW w:w="1437" w:type="dxa"/>
            <w:tcBorders>
              <w:top w:val="nil"/>
              <w:bottom w:val="nil"/>
            </w:tcBorders>
          </w:tcPr>
          <w:p w14:paraId="60BC64AA"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-2.716</w:t>
            </w:r>
          </w:p>
        </w:tc>
        <w:tc>
          <w:tcPr>
            <w:tcW w:w="1013" w:type="dxa"/>
            <w:tcBorders>
              <w:top w:val="nil"/>
              <w:bottom w:val="nil"/>
            </w:tcBorders>
          </w:tcPr>
          <w:p w14:paraId="366EBAEE" w14:textId="77777777" w:rsidR="00FD5207" w:rsidRPr="003E2824" w:rsidRDefault="00FD5207" w:rsidP="00722C19">
            <w:pPr>
              <w:rPr>
                <w:rFonts w:ascii="Times New Roman" w:hAnsi="Times New Roman" w:cs="Times New Roman"/>
                <w:b/>
                <w:bCs/>
                <w:sz w:val="24"/>
                <w:szCs w:val="24"/>
              </w:rPr>
            </w:pPr>
            <w:r>
              <w:rPr>
                <w:rFonts w:ascii="Times New Roman" w:hAnsi="Times New Roman" w:cs="Times New Roman"/>
                <w:b/>
                <w:bCs/>
                <w:sz w:val="24"/>
                <w:szCs w:val="24"/>
              </w:rPr>
              <w:t>0.009*</w:t>
            </w:r>
          </w:p>
        </w:tc>
      </w:tr>
      <w:tr w:rsidR="00FD5207" w:rsidRPr="00E82C1D" w14:paraId="5EE77469" w14:textId="77777777" w:rsidTr="00722C19">
        <w:tc>
          <w:tcPr>
            <w:tcW w:w="2779" w:type="dxa"/>
            <w:tcBorders>
              <w:top w:val="nil"/>
              <w:bottom w:val="nil"/>
            </w:tcBorders>
          </w:tcPr>
          <w:p w14:paraId="6F8FD0CB"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2155" w:type="dxa"/>
            <w:tcBorders>
              <w:top w:val="nil"/>
              <w:bottom w:val="nil"/>
            </w:tcBorders>
          </w:tcPr>
          <w:p w14:paraId="7B49DDE6"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1.67</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sidRPr="00CA7895">
              <w:rPr>
                <w:rFonts w:asciiTheme="minorEastAsia" w:hAnsiTheme="minorEastAsia" w:cstheme="minorEastAsia"/>
                <w:sz w:val="24"/>
                <w:szCs w:val="24"/>
              </w:rPr>
              <w:t>.</w:t>
            </w:r>
            <w:r>
              <w:rPr>
                <w:rFonts w:asciiTheme="minorEastAsia" w:hAnsiTheme="minorEastAsia" w:cstheme="minorEastAsia"/>
                <w:sz w:val="24"/>
                <w:szCs w:val="24"/>
              </w:rPr>
              <w:t>5</w:t>
            </w:r>
          </w:p>
        </w:tc>
        <w:tc>
          <w:tcPr>
            <w:tcW w:w="1976" w:type="dxa"/>
            <w:tcBorders>
              <w:top w:val="nil"/>
              <w:bottom w:val="nil"/>
            </w:tcBorders>
          </w:tcPr>
          <w:p w14:paraId="5BD2BEF5"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2.09</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sidRPr="00CA7895">
              <w:rPr>
                <w:rFonts w:asciiTheme="minorEastAsia" w:hAnsiTheme="minorEastAsia" w:cstheme="minorEastAsia"/>
                <w:sz w:val="24"/>
                <w:szCs w:val="24"/>
              </w:rPr>
              <w:t>.8</w:t>
            </w:r>
          </w:p>
        </w:tc>
        <w:tc>
          <w:tcPr>
            <w:tcW w:w="1437" w:type="dxa"/>
            <w:tcBorders>
              <w:top w:val="nil"/>
              <w:bottom w:val="nil"/>
            </w:tcBorders>
          </w:tcPr>
          <w:p w14:paraId="3EF4A754"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-0.923</w:t>
            </w:r>
          </w:p>
        </w:tc>
        <w:tc>
          <w:tcPr>
            <w:tcW w:w="1013" w:type="dxa"/>
            <w:tcBorders>
              <w:top w:val="nil"/>
              <w:bottom w:val="nil"/>
            </w:tcBorders>
          </w:tcPr>
          <w:p w14:paraId="4AC411B0"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0.359</w:t>
            </w:r>
          </w:p>
        </w:tc>
      </w:tr>
      <w:tr w:rsidR="00FD5207" w14:paraId="715DADFE" w14:textId="77777777" w:rsidTr="00722C19">
        <w:tc>
          <w:tcPr>
            <w:tcW w:w="2779" w:type="dxa"/>
            <w:tcBorders>
              <w:top w:val="nil"/>
            </w:tcBorders>
          </w:tcPr>
          <w:p w14:paraId="7069DA6D"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PRL (ng/ml)</w:t>
            </w:r>
          </w:p>
        </w:tc>
        <w:tc>
          <w:tcPr>
            <w:tcW w:w="2155" w:type="dxa"/>
            <w:tcBorders>
              <w:top w:val="nil"/>
            </w:tcBorders>
          </w:tcPr>
          <w:p w14:paraId="27ED723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10.11</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6</w:t>
            </w:r>
            <w:r w:rsidRPr="00CA7895">
              <w:rPr>
                <w:rFonts w:asciiTheme="minorEastAsia" w:hAnsiTheme="minorEastAsia" w:cstheme="minorEastAsia"/>
                <w:sz w:val="24"/>
                <w:szCs w:val="24"/>
              </w:rPr>
              <w:t>.3</w:t>
            </w:r>
          </w:p>
        </w:tc>
        <w:tc>
          <w:tcPr>
            <w:tcW w:w="1976" w:type="dxa"/>
            <w:tcBorders>
              <w:top w:val="nil"/>
            </w:tcBorders>
          </w:tcPr>
          <w:p w14:paraId="5B43BA77"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13.64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9</w:t>
            </w:r>
            <w:r w:rsidRPr="00CA7895">
              <w:rPr>
                <w:rFonts w:asciiTheme="minorEastAsia" w:hAnsiTheme="minorEastAsia" w:cstheme="minorEastAsia"/>
                <w:sz w:val="24"/>
                <w:szCs w:val="24"/>
              </w:rPr>
              <w:t>.5</w:t>
            </w:r>
          </w:p>
        </w:tc>
        <w:tc>
          <w:tcPr>
            <w:tcW w:w="1437" w:type="dxa"/>
            <w:tcBorders>
              <w:top w:val="nil"/>
            </w:tcBorders>
          </w:tcPr>
          <w:p w14:paraId="50554531"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-1.512</w:t>
            </w:r>
          </w:p>
        </w:tc>
        <w:tc>
          <w:tcPr>
            <w:tcW w:w="1013" w:type="dxa"/>
            <w:tcBorders>
              <w:top w:val="nil"/>
            </w:tcBorders>
          </w:tcPr>
          <w:p w14:paraId="724C3A18"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0.135</w:t>
            </w:r>
          </w:p>
        </w:tc>
      </w:tr>
    </w:tbl>
    <w:p w14:paraId="31E8CC1B" w14:textId="77777777" w:rsidR="00FD5207" w:rsidRDefault="00FD5207" w:rsidP="00FD5207">
      <w:pPr>
        <w:rPr>
          <w:rFonts w:ascii="Times New Roman" w:hAnsi="Times New Roman" w:cs="Times New Roman"/>
          <w:b/>
          <w:bCs/>
          <w:sz w:val="24"/>
          <w:szCs w:val="24"/>
        </w:rPr>
      </w:pPr>
      <w:r>
        <w:rPr>
          <w:rFonts w:ascii="Times New Roman" w:hAnsi="Times New Roman" w:cs="Times New Roman"/>
          <w:b/>
          <w:bCs/>
          <w:sz w:val="24"/>
          <w:szCs w:val="24"/>
        </w:rPr>
        <w:t>*Significant; t-value=Independent student t test</w:t>
      </w:r>
    </w:p>
    <w:p w14:paraId="4AEAF1C3" w14:textId="77777777" w:rsidR="00FD5207" w:rsidRDefault="00FD5207" w:rsidP="00FD5207">
      <w:pPr>
        <w:spacing w:line="480" w:lineRule="auto"/>
        <w:rPr>
          <w:rFonts w:ascii="Times New Roman" w:hAnsi="Times New Roman" w:cs="Times New Roman"/>
          <w:sz w:val="24"/>
          <w:szCs w:val="24"/>
        </w:rPr>
      </w:pPr>
    </w:p>
    <w:p w14:paraId="3249AA65" w14:textId="425B65C9" w:rsidR="00F54ABF" w:rsidRPr="0033650E" w:rsidRDefault="00F54ABF" w:rsidP="0033650E">
      <w:pPr>
        <w:jc w:val="both"/>
        <w:rPr>
          <w:rFonts w:ascii="Times New Roman" w:hAnsi="Times New Roman" w:cs="Times New Roman"/>
          <w:b/>
          <w:bCs/>
          <w:sz w:val="24"/>
          <w:szCs w:val="24"/>
        </w:rPr>
      </w:pPr>
      <w:r w:rsidRPr="0033650E">
        <w:rPr>
          <w:rFonts w:ascii="Times New Roman" w:hAnsi="Times New Roman" w:cs="Times New Roman"/>
          <w:bCs/>
          <w:sz w:val="24"/>
          <w:szCs w:val="24"/>
        </w:rPr>
        <w:t xml:space="preserve">Table </w:t>
      </w:r>
      <w:r w:rsidR="0033650E" w:rsidRPr="0033650E">
        <w:rPr>
          <w:rFonts w:ascii="Times New Roman" w:hAnsi="Times New Roman" w:cs="Times New Roman"/>
          <w:bCs/>
          <w:sz w:val="24"/>
          <w:szCs w:val="24"/>
        </w:rPr>
        <w:t>3 shows the c</w:t>
      </w:r>
      <w:r w:rsidRPr="0033650E">
        <w:rPr>
          <w:rFonts w:ascii="Times New Roman" w:hAnsi="Times New Roman" w:cs="Times New Roman"/>
          <w:bCs/>
          <w:sz w:val="24"/>
          <w:szCs w:val="24"/>
        </w:rPr>
        <w:t>orrelation between Anti-Mullerian Hormone</w:t>
      </w:r>
      <w:r w:rsidR="0033650E" w:rsidRPr="0033650E">
        <w:rPr>
          <w:rFonts w:ascii="Times New Roman" w:hAnsi="Times New Roman" w:cs="Times New Roman"/>
          <w:bCs/>
          <w:sz w:val="24"/>
          <w:szCs w:val="24"/>
        </w:rPr>
        <w:t xml:space="preserve"> and selected </w:t>
      </w:r>
      <w:r w:rsidRPr="0033650E">
        <w:rPr>
          <w:rFonts w:ascii="Times New Roman" w:hAnsi="Times New Roman" w:cs="Times New Roman"/>
          <w:bCs/>
          <w:sz w:val="24"/>
          <w:szCs w:val="24"/>
        </w:rPr>
        <w:t>parameters</w:t>
      </w:r>
      <w:r w:rsidR="0033650E" w:rsidRPr="0033650E">
        <w:rPr>
          <w:rFonts w:ascii="Times New Roman" w:hAnsi="Times New Roman" w:cs="Times New Roman"/>
          <w:bCs/>
          <w:sz w:val="24"/>
          <w:szCs w:val="24"/>
        </w:rPr>
        <w:t xml:space="preserve">. </w:t>
      </w:r>
      <w:r w:rsidRPr="00DE254D">
        <w:rPr>
          <w:rFonts w:ascii="Times New Roman" w:hAnsi="Times New Roman" w:cs="Times New Roman"/>
          <w:sz w:val="24"/>
          <w:szCs w:val="24"/>
        </w:rPr>
        <w:t>Anti-Mullerian hormone showed significant moderate negative correlation with age (r=-</w:t>
      </w:r>
      <w:r>
        <w:rPr>
          <w:rFonts w:ascii="Times New Roman" w:hAnsi="Times New Roman" w:cs="Times New Roman"/>
          <w:sz w:val="24"/>
          <w:szCs w:val="24"/>
        </w:rPr>
        <w:t>0.</w:t>
      </w:r>
      <w:r w:rsidRPr="00DE254D">
        <w:rPr>
          <w:rFonts w:ascii="Times New Roman" w:hAnsi="Times New Roman" w:cs="Times New Roman"/>
          <w:sz w:val="24"/>
          <w:szCs w:val="24"/>
        </w:rPr>
        <w:t>544</w:t>
      </w:r>
      <w:bookmarkStart w:id="8" w:name="_Hlk126217369"/>
      <w:r w:rsidRPr="00DE254D">
        <w:rPr>
          <w:rFonts w:ascii="Times New Roman" w:hAnsi="Times New Roman" w:cs="Times New Roman"/>
          <w:sz w:val="24"/>
          <w:szCs w:val="24"/>
        </w:rPr>
        <w:t>; p&lt;0.05</w:t>
      </w:r>
      <w:bookmarkEnd w:id="8"/>
      <w:r w:rsidRPr="00DE254D">
        <w:rPr>
          <w:rFonts w:ascii="Times New Roman" w:hAnsi="Times New Roman" w:cs="Times New Roman"/>
          <w:sz w:val="24"/>
          <w:szCs w:val="24"/>
        </w:rPr>
        <w:t>), weight (r=-</w:t>
      </w:r>
      <w:r>
        <w:rPr>
          <w:rFonts w:ascii="Times New Roman" w:hAnsi="Times New Roman" w:cs="Times New Roman"/>
          <w:sz w:val="24"/>
          <w:szCs w:val="24"/>
        </w:rPr>
        <w:t>0.</w:t>
      </w:r>
      <w:r w:rsidRPr="00DE254D">
        <w:rPr>
          <w:rFonts w:ascii="Times New Roman" w:hAnsi="Times New Roman" w:cs="Times New Roman"/>
          <w:sz w:val="24"/>
          <w:szCs w:val="24"/>
        </w:rPr>
        <w:t>445; p&lt;0.05),</w:t>
      </w:r>
      <w:r>
        <w:rPr>
          <w:rFonts w:ascii="Times New Roman" w:hAnsi="Times New Roman" w:cs="Times New Roman"/>
          <w:sz w:val="24"/>
          <w:szCs w:val="24"/>
        </w:rPr>
        <w:t xml:space="preserve"> </w:t>
      </w:r>
      <w:r w:rsidRPr="00DE254D">
        <w:rPr>
          <w:rFonts w:ascii="Times New Roman" w:hAnsi="Times New Roman" w:cs="Times New Roman"/>
          <w:sz w:val="24"/>
          <w:szCs w:val="24"/>
        </w:rPr>
        <w:t xml:space="preserve">BMI (r=-0.368; p&lt;0.05) and FSH (r=-0.143; p&lt;0.05). </w:t>
      </w:r>
      <w:r>
        <w:rPr>
          <w:rFonts w:ascii="Times New Roman" w:hAnsi="Times New Roman" w:cs="Times New Roman"/>
          <w:sz w:val="24"/>
          <w:szCs w:val="24"/>
        </w:rPr>
        <w:t>A</w:t>
      </w:r>
      <w:r w:rsidRPr="00DE254D">
        <w:rPr>
          <w:rFonts w:ascii="Times New Roman" w:hAnsi="Times New Roman" w:cs="Times New Roman"/>
          <w:sz w:val="24"/>
          <w:szCs w:val="24"/>
        </w:rPr>
        <w:t xml:space="preserve">nd no significant correlation with traditional sex hormones: LH, </w:t>
      </w:r>
      <w:proofErr w:type="spellStart"/>
      <w:r w:rsidRPr="00DE254D">
        <w:rPr>
          <w:rFonts w:ascii="Times New Roman" w:hAnsi="Times New Roman" w:cs="Times New Roman"/>
          <w:sz w:val="24"/>
          <w:szCs w:val="24"/>
        </w:rPr>
        <w:t>estradiol</w:t>
      </w:r>
      <w:proofErr w:type="spellEnd"/>
      <w:r w:rsidRPr="00DE254D">
        <w:rPr>
          <w:rFonts w:ascii="Times New Roman" w:hAnsi="Times New Roman" w:cs="Times New Roman"/>
          <w:sz w:val="24"/>
          <w:szCs w:val="24"/>
        </w:rPr>
        <w:t xml:space="preserve">, progesterone and prolactin, as shown in table </w:t>
      </w:r>
      <w:r w:rsidR="00191AE0">
        <w:rPr>
          <w:rFonts w:ascii="Times New Roman" w:hAnsi="Times New Roman" w:cs="Times New Roman"/>
          <w:sz w:val="24"/>
          <w:szCs w:val="24"/>
        </w:rPr>
        <w:t>3</w:t>
      </w:r>
      <w:r>
        <w:rPr>
          <w:rFonts w:ascii="Times New Roman" w:hAnsi="Times New Roman" w:cs="Times New Roman"/>
          <w:sz w:val="24"/>
          <w:szCs w:val="24"/>
        </w:rPr>
        <w:t>.</w:t>
      </w:r>
    </w:p>
    <w:p w14:paraId="4F1AB563" w14:textId="77777777" w:rsidR="00F54ABF" w:rsidRDefault="00F54ABF" w:rsidP="00F54ABF">
      <w:pPr>
        <w:rPr>
          <w:rFonts w:ascii="Times New Roman" w:hAnsi="Times New Roman" w:cs="Times New Roman"/>
          <w:b/>
          <w:bCs/>
          <w:sz w:val="24"/>
          <w:szCs w:val="24"/>
        </w:rPr>
      </w:pPr>
    </w:p>
    <w:p w14:paraId="4EAD88DB" w14:textId="77777777" w:rsidR="00F54ABF" w:rsidRDefault="00F54ABF" w:rsidP="00F54ABF">
      <w:pPr>
        <w:rPr>
          <w:rFonts w:ascii="Times New Roman" w:hAnsi="Times New Roman" w:cs="Times New Roman"/>
          <w:b/>
          <w:bCs/>
          <w:sz w:val="24"/>
          <w:szCs w:val="24"/>
        </w:rPr>
      </w:pPr>
      <w:bookmarkStart w:id="9" w:name="_Hlk127868190"/>
      <w:r>
        <w:rPr>
          <w:rFonts w:ascii="Times New Roman" w:hAnsi="Times New Roman" w:cs="Times New Roman"/>
          <w:b/>
          <w:bCs/>
          <w:sz w:val="24"/>
          <w:szCs w:val="24"/>
        </w:rPr>
        <w:t xml:space="preserve">Table </w:t>
      </w:r>
      <w:r w:rsidR="0033650E">
        <w:rPr>
          <w:rFonts w:ascii="Times New Roman" w:hAnsi="Times New Roman" w:cs="Times New Roman"/>
          <w:b/>
          <w:bCs/>
          <w:sz w:val="24"/>
          <w:szCs w:val="24"/>
        </w:rPr>
        <w:t>3</w:t>
      </w:r>
      <w:r>
        <w:rPr>
          <w:rFonts w:ascii="Times New Roman" w:hAnsi="Times New Roman" w:cs="Times New Roman"/>
          <w:b/>
          <w:bCs/>
          <w:sz w:val="24"/>
          <w:szCs w:val="24"/>
        </w:rPr>
        <w:t xml:space="preserve">: Correlation between </w:t>
      </w:r>
      <w:r w:rsidRPr="00181442">
        <w:rPr>
          <w:rFonts w:ascii="Times New Roman" w:hAnsi="Times New Roman" w:cs="Times New Roman"/>
          <w:b/>
          <w:bCs/>
          <w:sz w:val="24"/>
          <w:szCs w:val="24"/>
        </w:rPr>
        <w:t>Anti-Mullerian Hormone</w:t>
      </w:r>
      <w:r>
        <w:rPr>
          <w:rFonts w:ascii="Times New Roman" w:hAnsi="Times New Roman" w:cs="Times New Roman"/>
          <w:b/>
          <w:bCs/>
          <w:sz w:val="24"/>
          <w:szCs w:val="24"/>
        </w:rPr>
        <w:t xml:space="preserve"> and selected parameters</w:t>
      </w:r>
    </w:p>
    <w:bookmarkEnd w:id="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3958"/>
        <w:gridCol w:w="2520"/>
      </w:tblGrid>
      <w:tr w:rsidR="00F54ABF" w14:paraId="44C41611" w14:textId="77777777" w:rsidTr="00722C19">
        <w:tc>
          <w:tcPr>
            <w:tcW w:w="2337" w:type="dxa"/>
            <w:tcBorders>
              <w:bottom w:val="single" w:sz="4" w:space="0" w:color="auto"/>
            </w:tcBorders>
          </w:tcPr>
          <w:p w14:paraId="726816FE" w14:textId="77777777" w:rsidR="00F54ABF" w:rsidRDefault="00F54ABF" w:rsidP="00722C19">
            <w:pPr>
              <w:rPr>
                <w:rFonts w:ascii="Times New Roman" w:hAnsi="Times New Roman" w:cs="Times New Roman"/>
                <w:b/>
                <w:bCs/>
                <w:sz w:val="24"/>
                <w:szCs w:val="24"/>
              </w:rPr>
            </w:pPr>
          </w:p>
        </w:tc>
        <w:tc>
          <w:tcPr>
            <w:tcW w:w="3958" w:type="dxa"/>
            <w:tcBorders>
              <w:bottom w:val="single" w:sz="4" w:space="0" w:color="auto"/>
            </w:tcBorders>
          </w:tcPr>
          <w:p w14:paraId="1E46FB85" w14:textId="77777777" w:rsidR="00F54ABF" w:rsidRDefault="00F54ABF" w:rsidP="00722C19">
            <w:pPr>
              <w:jc w:val="center"/>
              <w:rPr>
                <w:rFonts w:ascii="Times New Roman" w:hAnsi="Times New Roman" w:cs="Times New Roman"/>
                <w:b/>
                <w:bCs/>
                <w:sz w:val="24"/>
                <w:szCs w:val="24"/>
              </w:rPr>
            </w:pPr>
            <w:r>
              <w:rPr>
                <w:rFonts w:ascii="Times New Roman" w:hAnsi="Times New Roman" w:cs="Times New Roman"/>
                <w:b/>
                <w:bCs/>
                <w:sz w:val="24"/>
                <w:szCs w:val="24"/>
              </w:rPr>
              <w:t>Pearson correlation (r)</w:t>
            </w:r>
          </w:p>
        </w:tc>
        <w:tc>
          <w:tcPr>
            <w:tcW w:w="2520" w:type="dxa"/>
            <w:tcBorders>
              <w:bottom w:val="single" w:sz="4" w:space="0" w:color="auto"/>
            </w:tcBorders>
          </w:tcPr>
          <w:p w14:paraId="242BF0DD" w14:textId="77777777" w:rsidR="00F54ABF" w:rsidRDefault="00F54ABF" w:rsidP="00722C19">
            <w:pPr>
              <w:jc w:val="center"/>
              <w:rPr>
                <w:rFonts w:ascii="Times New Roman" w:hAnsi="Times New Roman" w:cs="Times New Roman"/>
                <w:b/>
                <w:bCs/>
                <w:sz w:val="24"/>
                <w:szCs w:val="24"/>
              </w:rPr>
            </w:pPr>
            <w:r>
              <w:rPr>
                <w:rFonts w:ascii="Times New Roman" w:hAnsi="Times New Roman" w:cs="Times New Roman"/>
                <w:b/>
                <w:bCs/>
                <w:sz w:val="24"/>
                <w:szCs w:val="24"/>
              </w:rPr>
              <w:t>p-value</w:t>
            </w:r>
          </w:p>
        </w:tc>
      </w:tr>
      <w:tr w:rsidR="00F54ABF" w14:paraId="073330E6" w14:textId="77777777" w:rsidTr="00722C19">
        <w:tc>
          <w:tcPr>
            <w:tcW w:w="2337" w:type="dxa"/>
            <w:tcBorders>
              <w:bottom w:val="nil"/>
            </w:tcBorders>
          </w:tcPr>
          <w:p w14:paraId="318F6477"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Age</w:t>
            </w:r>
          </w:p>
        </w:tc>
        <w:tc>
          <w:tcPr>
            <w:tcW w:w="3958" w:type="dxa"/>
            <w:tcBorders>
              <w:bottom w:val="nil"/>
            </w:tcBorders>
          </w:tcPr>
          <w:p w14:paraId="650DFE59" w14:textId="77777777" w:rsidR="00F54ABF" w:rsidRPr="00AC28F2" w:rsidRDefault="00F54ABF" w:rsidP="00722C19">
            <w:pPr>
              <w:jc w:val="center"/>
              <w:rPr>
                <w:rFonts w:ascii="Times New Roman" w:hAnsi="Times New Roman" w:cs="Times New Roman"/>
                <w:sz w:val="24"/>
                <w:szCs w:val="24"/>
              </w:rPr>
            </w:pPr>
            <w:r w:rsidRPr="00AC28F2">
              <w:rPr>
                <w:rFonts w:ascii="Times New Roman" w:hAnsi="Times New Roman" w:cs="Times New Roman"/>
                <w:sz w:val="24"/>
                <w:szCs w:val="24"/>
              </w:rPr>
              <w:t>-0.544</w:t>
            </w:r>
          </w:p>
        </w:tc>
        <w:tc>
          <w:tcPr>
            <w:tcW w:w="2520" w:type="dxa"/>
            <w:tcBorders>
              <w:bottom w:val="nil"/>
            </w:tcBorders>
          </w:tcPr>
          <w:p w14:paraId="64E3835B"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&lt;0.001*</w:t>
            </w:r>
          </w:p>
        </w:tc>
      </w:tr>
      <w:tr w:rsidR="00F54ABF" w14:paraId="12EEAB47" w14:textId="77777777" w:rsidTr="00722C19">
        <w:tc>
          <w:tcPr>
            <w:tcW w:w="2337" w:type="dxa"/>
            <w:tcBorders>
              <w:top w:val="nil"/>
              <w:bottom w:val="nil"/>
            </w:tcBorders>
          </w:tcPr>
          <w:p w14:paraId="51E79E2D"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Weight</w:t>
            </w:r>
          </w:p>
        </w:tc>
        <w:tc>
          <w:tcPr>
            <w:tcW w:w="3958" w:type="dxa"/>
            <w:tcBorders>
              <w:top w:val="nil"/>
              <w:bottom w:val="nil"/>
            </w:tcBorders>
          </w:tcPr>
          <w:p w14:paraId="3DAC0E26"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-0.445</w:t>
            </w:r>
          </w:p>
        </w:tc>
        <w:tc>
          <w:tcPr>
            <w:tcW w:w="2520" w:type="dxa"/>
            <w:tcBorders>
              <w:top w:val="nil"/>
              <w:bottom w:val="nil"/>
            </w:tcBorders>
          </w:tcPr>
          <w:p w14:paraId="0CA78D91"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&lt;0.001*</w:t>
            </w:r>
          </w:p>
        </w:tc>
      </w:tr>
      <w:tr w:rsidR="00F54ABF" w14:paraId="2759BBD6" w14:textId="77777777" w:rsidTr="00722C19">
        <w:tc>
          <w:tcPr>
            <w:tcW w:w="2337" w:type="dxa"/>
            <w:tcBorders>
              <w:top w:val="nil"/>
              <w:bottom w:val="nil"/>
            </w:tcBorders>
          </w:tcPr>
          <w:p w14:paraId="692D6DBA"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BMI</w:t>
            </w:r>
          </w:p>
        </w:tc>
        <w:tc>
          <w:tcPr>
            <w:tcW w:w="3958" w:type="dxa"/>
            <w:tcBorders>
              <w:top w:val="nil"/>
              <w:bottom w:val="nil"/>
            </w:tcBorders>
          </w:tcPr>
          <w:p w14:paraId="0ED7557C"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-0.368</w:t>
            </w:r>
          </w:p>
        </w:tc>
        <w:tc>
          <w:tcPr>
            <w:tcW w:w="2520" w:type="dxa"/>
            <w:tcBorders>
              <w:top w:val="nil"/>
              <w:bottom w:val="nil"/>
            </w:tcBorders>
          </w:tcPr>
          <w:p w14:paraId="75F73283"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0.003*</w:t>
            </w:r>
          </w:p>
        </w:tc>
      </w:tr>
      <w:tr w:rsidR="00F54ABF" w14:paraId="4B47CB3D" w14:textId="77777777" w:rsidTr="00722C19">
        <w:tc>
          <w:tcPr>
            <w:tcW w:w="2337" w:type="dxa"/>
            <w:tcBorders>
              <w:top w:val="nil"/>
              <w:bottom w:val="nil"/>
            </w:tcBorders>
          </w:tcPr>
          <w:p w14:paraId="3887B81D"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Duration of marriage</w:t>
            </w:r>
          </w:p>
        </w:tc>
        <w:tc>
          <w:tcPr>
            <w:tcW w:w="3958" w:type="dxa"/>
            <w:tcBorders>
              <w:top w:val="nil"/>
              <w:bottom w:val="nil"/>
            </w:tcBorders>
          </w:tcPr>
          <w:p w14:paraId="49AF134A"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-0.411</w:t>
            </w:r>
          </w:p>
        </w:tc>
        <w:tc>
          <w:tcPr>
            <w:tcW w:w="2520" w:type="dxa"/>
            <w:tcBorders>
              <w:top w:val="nil"/>
              <w:bottom w:val="nil"/>
            </w:tcBorders>
          </w:tcPr>
          <w:p w14:paraId="5C83E728"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0.001*</w:t>
            </w:r>
          </w:p>
        </w:tc>
      </w:tr>
      <w:tr w:rsidR="00F54ABF" w14:paraId="30DE5E01" w14:textId="77777777" w:rsidTr="00722C19">
        <w:tc>
          <w:tcPr>
            <w:tcW w:w="2337" w:type="dxa"/>
            <w:tcBorders>
              <w:top w:val="nil"/>
              <w:bottom w:val="nil"/>
            </w:tcBorders>
          </w:tcPr>
          <w:p w14:paraId="1C4CB79B"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Age at menarche</w:t>
            </w:r>
          </w:p>
        </w:tc>
        <w:tc>
          <w:tcPr>
            <w:tcW w:w="3958" w:type="dxa"/>
            <w:tcBorders>
              <w:top w:val="nil"/>
              <w:bottom w:val="nil"/>
            </w:tcBorders>
          </w:tcPr>
          <w:p w14:paraId="462C83FC"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-0.018</w:t>
            </w:r>
          </w:p>
        </w:tc>
        <w:tc>
          <w:tcPr>
            <w:tcW w:w="2520" w:type="dxa"/>
            <w:tcBorders>
              <w:top w:val="nil"/>
              <w:bottom w:val="nil"/>
            </w:tcBorders>
          </w:tcPr>
          <w:p w14:paraId="34D029B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0.884</w:t>
            </w:r>
          </w:p>
        </w:tc>
      </w:tr>
      <w:tr w:rsidR="00F54ABF" w14:paraId="3E260BF1" w14:textId="77777777" w:rsidTr="00722C19">
        <w:tc>
          <w:tcPr>
            <w:tcW w:w="2337" w:type="dxa"/>
            <w:tcBorders>
              <w:top w:val="nil"/>
              <w:bottom w:val="nil"/>
            </w:tcBorders>
          </w:tcPr>
          <w:p w14:paraId="5DC90921"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FSH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3958" w:type="dxa"/>
            <w:tcBorders>
              <w:top w:val="nil"/>
              <w:bottom w:val="nil"/>
            </w:tcBorders>
          </w:tcPr>
          <w:p w14:paraId="04701CB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-0.143</w:t>
            </w:r>
          </w:p>
        </w:tc>
        <w:tc>
          <w:tcPr>
            <w:tcW w:w="2520" w:type="dxa"/>
            <w:tcBorders>
              <w:top w:val="nil"/>
              <w:bottom w:val="nil"/>
            </w:tcBorders>
          </w:tcPr>
          <w:p w14:paraId="5C0B7220" w14:textId="77777777" w:rsidR="00F54ABF" w:rsidRPr="00BC7425" w:rsidRDefault="00F54ABF" w:rsidP="00722C19">
            <w:pPr>
              <w:jc w:val="center"/>
              <w:rPr>
                <w:rFonts w:ascii="Times New Roman" w:hAnsi="Times New Roman" w:cs="Times New Roman"/>
                <w:b/>
                <w:bCs/>
                <w:sz w:val="24"/>
                <w:szCs w:val="24"/>
              </w:rPr>
            </w:pPr>
            <w:r w:rsidRPr="00BC7425">
              <w:rPr>
                <w:rFonts w:ascii="Times New Roman" w:hAnsi="Times New Roman" w:cs="Times New Roman"/>
                <w:b/>
                <w:bCs/>
                <w:sz w:val="24"/>
                <w:szCs w:val="24"/>
              </w:rPr>
              <w:t>0.0</w:t>
            </w:r>
            <w:r>
              <w:rPr>
                <w:rFonts w:ascii="Times New Roman" w:hAnsi="Times New Roman" w:cs="Times New Roman"/>
                <w:b/>
                <w:bCs/>
                <w:sz w:val="24"/>
                <w:szCs w:val="24"/>
              </w:rPr>
              <w:t>1</w:t>
            </w:r>
            <w:r w:rsidRPr="00BC7425">
              <w:rPr>
                <w:rFonts w:ascii="Times New Roman" w:hAnsi="Times New Roman" w:cs="Times New Roman"/>
                <w:b/>
                <w:bCs/>
                <w:sz w:val="24"/>
                <w:szCs w:val="24"/>
              </w:rPr>
              <w:t>7*</w:t>
            </w:r>
          </w:p>
        </w:tc>
      </w:tr>
      <w:tr w:rsidR="00F54ABF" w14:paraId="48784582" w14:textId="77777777" w:rsidTr="00722C19">
        <w:tc>
          <w:tcPr>
            <w:tcW w:w="2337" w:type="dxa"/>
            <w:tcBorders>
              <w:top w:val="nil"/>
              <w:bottom w:val="nil"/>
            </w:tcBorders>
          </w:tcPr>
          <w:p w14:paraId="54A4FFFB"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LH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3958" w:type="dxa"/>
            <w:tcBorders>
              <w:top w:val="nil"/>
              <w:bottom w:val="nil"/>
            </w:tcBorders>
          </w:tcPr>
          <w:p w14:paraId="58FD1B72"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-0.025</w:t>
            </w:r>
          </w:p>
        </w:tc>
        <w:tc>
          <w:tcPr>
            <w:tcW w:w="2520" w:type="dxa"/>
            <w:tcBorders>
              <w:top w:val="nil"/>
              <w:bottom w:val="nil"/>
            </w:tcBorders>
          </w:tcPr>
          <w:p w14:paraId="0112C766"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0.846</w:t>
            </w:r>
          </w:p>
        </w:tc>
      </w:tr>
      <w:tr w:rsidR="00F54ABF" w14:paraId="596CFF30" w14:textId="77777777" w:rsidTr="00722C19">
        <w:tc>
          <w:tcPr>
            <w:tcW w:w="2337" w:type="dxa"/>
            <w:tcBorders>
              <w:top w:val="nil"/>
              <w:bottom w:val="nil"/>
            </w:tcBorders>
          </w:tcPr>
          <w:p w14:paraId="490F6192"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Estradiol (pg/ml)</w:t>
            </w:r>
          </w:p>
        </w:tc>
        <w:tc>
          <w:tcPr>
            <w:tcW w:w="3958" w:type="dxa"/>
            <w:tcBorders>
              <w:top w:val="nil"/>
              <w:bottom w:val="nil"/>
            </w:tcBorders>
          </w:tcPr>
          <w:p w14:paraId="6E1EFF12"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-0.054</w:t>
            </w:r>
          </w:p>
        </w:tc>
        <w:tc>
          <w:tcPr>
            <w:tcW w:w="2520" w:type="dxa"/>
            <w:tcBorders>
              <w:top w:val="nil"/>
              <w:bottom w:val="nil"/>
            </w:tcBorders>
          </w:tcPr>
          <w:p w14:paraId="362C37F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0.667</w:t>
            </w:r>
          </w:p>
        </w:tc>
      </w:tr>
      <w:tr w:rsidR="00F54ABF" w14:paraId="5F2ECAC8" w14:textId="77777777" w:rsidTr="00722C19">
        <w:tc>
          <w:tcPr>
            <w:tcW w:w="2337" w:type="dxa"/>
            <w:tcBorders>
              <w:top w:val="nil"/>
              <w:bottom w:val="nil"/>
            </w:tcBorders>
          </w:tcPr>
          <w:p w14:paraId="4586AE34"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3958" w:type="dxa"/>
            <w:tcBorders>
              <w:top w:val="nil"/>
              <w:bottom w:val="nil"/>
            </w:tcBorders>
          </w:tcPr>
          <w:p w14:paraId="5AD5CB98"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-0.055</w:t>
            </w:r>
          </w:p>
        </w:tc>
        <w:tc>
          <w:tcPr>
            <w:tcW w:w="2520" w:type="dxa"/>
            <w:tcBorders>
              <w:top w:val="nil"/>
              <w:bottom w:val="nil"/>
            </w:tcBorders>
          </w:tcPr>
          <w:p w14:paraId="56F063BA"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0.662</w:t>
            </w:r>
          </w:p>
        </w:tc>
      </w:tr>
      <w:tr w:rsidR="00F54ABF" w14:paraId="5534B54E" w14:textId="77777777" w:rsidTr="00722C19">
        <w:tc>
          <w:tcPr>
            <w:tcW w:w="2337" w:type="dxa"/>
            <w:tcBorders>
              <w:top w:val="nil"/>
            </w:tcBorders>
          </w:tcPr>
          <w:p w14:paraId="2126504C"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PRL (ng/ml)</w:t>
            </w:r>
          </w:p>
        </w:tc>
        <w:tc>
          <w:tcPr>
            <w:tcW w:w="3958" w:type="dxa"/>
            <w:tcBorders>
              <w:top w:val="nil"/>
            </w:tcBorders>
          </w:tcPr>
          <w:p w14:paraId="55E32DD4"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-0.028</w:t>
            </w:r>
          </w:p>
        </w:tc>
        <w:tc>
          <w:tcPr>
            <w:tcW w:w="2520" w:type="dxa"/>
            <w:tcBorders>
              <w:top w:val="nil"/>
            </w:tcBorders>
          </w:tcPr>
          <w:p w14:paraId="0761FD07"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0.823</w:t>
            </w:r>
          </w:p>
        </w:tc>
      </w:tr>
    </w:tbl>
    <w:p w14:paraId="621C6147" w14:textId="77777777" w:rsidR="00F54ABF" w:rsidRDefault="00F54ABF" w:rsidP="00F54ABF">
      <w:pPr>
        <w:rPr>
          <w:rFonts w:ascii="Times New Roman" w:hAnsi="Times New Roman" w:cs="Times New Roman"/>
          <w:b/>
          <w:bCs/>
          <w:sz w:val="24"/>
          <w:szCs w:val="24"/>
        </w:rPr>
      </w:pPr>
    </w:p>
    <w:p w14:paraId="4C42D1F3" w14:textId="77777777" w:rsidR="00C14000" w:rsidRPr="00102FF7" w:rsidRDefault="00C14000" w:rsidP="009F1D37">
      <w:pPr>
        <w:jc w:val="both"/>
        <w:rPr>
          <w:rFonts w:ascii="Times New Roman" w:hAnsi="Times New Roman" w:cs="Times New Roman"/>
          <w:color w:val="000000" w:themeColor="text1"/>
          <w:sz w:val="24"/>
          <w:szCs w:val="24"/>
        </w:rPr>
      </w:pPr>
      <w:commentRangeStart w:id="10"/>
      <w:r w:rsidRPr="00102FF7">
        <w:rPr>
          <w:rFonts w:ascii="Times New Roman" w:hAnsi="Times New Roman" w:cs="Times New Roman"/>
          <w:sz w:val="24"/>
          <w:szCs w:val="24"/>
        </w:rPr>
        <w:t xml:space="preserve">The overall mean BMI for both infertile and fertile subjects were </w:t>
      </w:r>
      <w:r w:rsidRPr="00102FF7">
        <w:rPr>
          <w:rFonts w:ascii="Times New Roman" w:hAnsi="Times New Roman" w:cs="Times New Roman"/>
          <w:color w:val="000000" w:themeColor="text1"/>
          <w:sz w:val="24"/>
          <w:szCs w:val="24"/>
        </w:rPr>
        <w:t>no</w:t>
      </w:r>
      <w:r w:rsidR="0033650E">
        <w:rPr>
          <w:rFonts w:ascii="Times New Roman" w:hAnsi="Times New Roman" w:cs="Times New Roman"/>
          <w:color w:val="000000" w:themeColor="text1"/>
          <w:sz w:val="24"/>
          <w:szCs w:val="24"/>
        </w:rPr>
        <w:t>t</w:t>
      </w:r>
      <w:r w:rsidRPr="00102FF7">
        <w:rPr>
          <w:rFonts w:ascii="Times New Roman" w:hAnsi="Times New Roman" w:cs="Times New Roman"/>
          <w:color w:val="000000" w:themeColor="text1"/>
          <w:sz w:val="24"/>
          <w:szCs w:val="24"/>
        </w:rPr>
        <w:t xml:space="preserve"> statistical</w:t>
      </w:r>
      <w:r w:rsidR="0033650E">
        <w:rPr>
          <w:rFonts w:ascii="Times New Roman" w:hAnsi="Times New Roman" w:cs="Times New Roman"/>
          <w:color w:val="000000" w:themeColor="text1"/>
          <w:sz w:val="24"/>
          <w:szCs w:val="24"/>
        </w:rPr>
        <w:t>ly significant</w:t>
      </w:r>
      <w:r w:rsidRPr="00102FF7">
        <w:rPr>
          <w:rFonts w:ascii="Times New Roman" w:hAnsi="Times New Roman" w:cs="Times New Roman"/>
          <w:color w:val="000000" w:themeColor="text1"/>
          <w:sz w:val="24"/>
          <w:szCs w:val="24"/>
        </w:rPr>
        <w:t>. The study also showed that there was equal number of normal weight and overweight subjects (p=0.905).</w:t>
      </w:r>
      <w:commentRangeEnd w:id="10"/>
      <w:r w:rsidR="00882486">
        <w:rPr>
          <w:rStyle w:val="CommentReference"/>
        </w:rPr>
        <w:commentReference w:id="10"/>
      </w:r>
    </w:p>
    <w:p w14:paraId="3A7D474C"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color w:val="000000" w:themeColor="text1"/>
          <w:sz w:val="24"/>
          <w:szCs w:val="24"/>
        </w:rPr>
        <w:t>At 13.49±1.2 and 14.09±1.0; p=0.003, the average age of menarche was significantly higher in the infertile group compared to the fertile group respectively, while the menstrual cycle pattern was comparable between the two groups with majority of them having a normal 28 – 30days cycle (p=0.430).</w:t>
      </w:r>
      <w:r w:rsidRPr="00102FF7">
        <w:rPr>
          <w:rFonts w:ascii="Times New Roman" w:hAnsi="Times New Roman" w:cs="Times New Roman"/>
          <w:sz w:val="24"/>
          <w:szCs w:val="24"/>
        </w:rPr>
        <w:t xml:space="preserve">   </w:t>
      </w:r>
    </w:p>
    <w:p w14:paraId="7324F749"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In this study, </w:t>
      </w:r>
      <w:r>
        <w:rPr>
          <w:rFonts w:ascii="Times New Roman" w:hAnsi="Times New Roman" w:cs="Times New Roman"/>
          <w:sz w:val="24"/>
          <w:szCs w:val="24"/>
        </w:rPr>
        <w:t>participant</w:t>
      </w:r>
      <w:r w:rsidRPr="00102FF7">
        <w:rPr>
          <w:rFonts w:ascii="Times New Roman" w:hAnsi="Times New Roman" w:cs="Times New Roman"/>
          <w:sz w:val="24"/>
          <w:szCs w:val="24"/>
        </w:rPr>
        <w:t xml:space="preserve">s with secondary infertility accounted for 69.2% of the infertile </w:t>
      </w:r>
      <w:r>
        <w:rPr>
          <w:rFonts w:ascii="Times New Roman" w:hAnsi="Times New Roman" w:cs="Times New Roman"/>
          <w:sz w:val="24"/>
          <w:szCs w:val="24"/>
        </w:rPr>
        <w:t>participan</w:t>
      </w:r>
      <w:r w:rsidRPr="00102FF7">
        <w:rPr>
          <w:rFonts w:ascii="Times New Roman" w:hAnsi="Times New Roman" w:cs="Times New Roman"/>
          <w:sz w:val="24"/>
          <w:szCs w:val="24"/>
        </w:rPr>
        <w:t>ts while primary infertility accounted for the remaining 30.8%, as shown in figure I. This is similar to the findings by Sule et al</w:t>
      </w:r>
      <w:r w:rsidR="003D5958">
        <w:rPr>
          <w:rFonts w:ascii="Times New Roman" w:hAnsi="Times New Roman" w:cs="Times New Roman"/>
          <w:sz w:val="24"/>
          <w:szCs w:val="24"/>
          <w:vertAlign w:val="superscript"/>
        </w:rPr>
        <w:t>14</w:t>
      </w:r>
      <w:r w:rsidRPr="00102FF7">
        <w:rPr>
          <w:rFonts w:ascii="Times New Roman" w:hAnsi="Times New Roman" w:cs="Times New Roman"/>
          <w:sz w:val="24"/>
          <w:szCs w:val="24"/>
        </w:rPr>
        <w:t xml:space="preserve">, who reported 77.5% and 22.5% respectively. For secondary and primary infertility among infertile women studied in Osun state of Nigeria in 2008. </w:t>
      </w:r>
      <w:proofErr w:type="spellStart"/>
      <w:proofErr w:type="gramStart"/>
      <w:r w:rsidRPr="00102FF7">
        <w:rPr>
          <w:rFonts w:ascii="Times New Roman" w:hAnsi="Times New Roman" w:cs="Times New Roman"/>
          <w:sz w:val="24"/>
          <w:szCs w:val="24"/>
        </w:rPr>
        <w:t>Adetooro</w:t>
      </w:r>
      <w:proofErr w:type="spellEnd"/>
      <w:r w:rsidRPr="00102FF7">
        <w:rPr>
          <w:rFonts w:ascii="Times New Roman" w:hAnsi="Times New Roman" w:cs="Times New Roman"/>
          <w:sz w:val="24"/>
          <w:szCs w:val="24"/>
        </w:rPr>
        <w:t xml:space="preserve">  et</w:t>
      </w:r>
      <w:proofErr w:type="gramEnd"/>
      <w:r w:rsidRPr="00102FF7">
        <w:rPr>
          <w:rFonts w:ascii="Times New Roman" w:hAnsi="Times New Roman" w:cs="Times New Roman"/>
          <w:sz w:val="24"/>
          <w:szCs w:val="24"/>
        </w:rPr>
        <w:t xml:space="preserve"> al</w:t>
      </w:r>
      <w:r w:rsidR="003D5958">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had earlier made similar observation in Ilorin Kwara state.</w:t>
      </w:r>
    </w:p>
    <w:p w14:paraId="6C2FB310"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There is statistically significant difference in this study between the mean AMH levels of the </w:t>
      </w:r>
      <w:r>
        <w:rPr>
          <w:rFonts w:ascii="Times New Roman" w:hAnsi="Times New Roman" w:cs="Times New Roman"/>
          <w:sz w:val="24"/>
          <w:szCs w:val="24"/>
        </w:rPr>
        <w:t>participan</w:t>
      </w:r>
      <w:r w:rsidRPr="00102FF7">
        <w:rPr>
          <w:rFonts w:ascii="Times New Roman" w:hAnsi="Times New Roman" w:cs="Times New Roman"/>
          <w:sz w:val="24"/>
          <w:szCs w:val="24"/>
        </w:rPr>
        <w:t>ts with primary inferti</w:t>
      </w:r>
      <w:r w:rsidR="009F1D37">
        <w:rPr>
          <w:rFonts w:ascii="Times New Roman" w:hAnsi="Times New Roman" w:cs="Times New Roman"/>
          <w:sz w:val="24"/>
          <w:szCs w:val="24"/>
        </w:rPr>
        <w:t>lity and secondary infertility</w:t>
      </w:r>
      <w:r w:rsidRPr="00102FF7">
        <w:rPr>
          <w:rFonts w:ascii="Times New Roman" w:hAnsi="Times New Roman" w:cs="Times New Roman"/>
          <w:sz w:val="24"/>
          <w:szCs w:val="24"/>
        </w:rPr>
        <w:t>. This agrees with the studies done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and </w:t>
      </w:r>
      <w:proofErr w:type="spellStart"/>
      <w:r w:rsidRPr="00102FF7">
        <w:rPr>
          <w:rFonts w:ascii="Times New Roman" w:hAnsi="Times New Roman" w:cs="Times New Roman"/>
          <w:sz w:val="24"/>
          <w:szCs w:val="24"/>
        </w:rPr>
        <w:t>Mostaejeran</w:t>
      </w:r>
      <w:proofErr w:type="spellEnd"/>
      <w:r w:rsidRPr="00102FF7">
        <w:rPr>
          <w:rFonts w:ascii="Times New Roman" w:hAnsi="Times New Roman" w:cs="Times New Roman"/>
          <w:sz w:val="24"/>
          <w:szCs w:val="24"/>
        </w:rPr>
        <w:t xml:space="preserve"> et al</w:t>
      </w:r>
      <w:r w:rsidR="003D5958">
        <w:rPr>
          <w:rFonts w:ascii="Times New Roman" w:hAnsi="Times New Roman" w:cs="Times New Roman"/>
          <w:sz w:val="24"/>
          <w:szCs w:val="24"/>
          <w:vertAlign w:val="superscript"/>
        </w:rPr>
        <w:t>17</w:t>
      </w:r>
      <w:r w:rsidRPr="00102FF7">
        <w:rPr>
          <w:rFonts w:ascii="Times New Roman" w:hAnsi="Times New Roman" w:cs="Times New Roman"/>
          <w:sz w:val="24"/>
          <w:szCs w:val="24"/>
        </w:rPr>
        <w:t>, who studied thirty-three (33) infertile women in Iran in 2015. This finding may be attributed to the younger age group seen in primary infertility compared to secondary infertility. There is also a significant difference in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levels </w:t>
      </w:r>
      <w:r w:rsidRPr="00102FF7">
        <w:rPr>
          <w:rFonts w:ascii="Times New Roman" w:hAnsi="Times New Roman" w:cs="Times New Roman"/>
          <w:sz w:val="24"/>
          <w:szCs w:val="24"/>
        </w:rPr>
        <w:lastRenderedPageBreak/>
        <w:t xml:space="preserve">between the </w:t>
      </w:r>
      <w:r>
        <w:rPr>
          <w:rFonts w:ascii="Times New Roman" w:hAnsi="Times New Roman" w:cs="Times New Roman"/>
          <w:sz w:val="24"/>
          <w:szCs w:val="24"/>
        </w:rPr>
        <w:t>participan</w:t>
      </w:r>
      <w:r w:rsidRPr="00102FF7">
        <w:rPr>
          <w:rFonts w:ascii="Times New Roman" w:hAnsi="Times New Roman" w:cs="Times New Roman"/>
          <w:sz w:val="24"/>
          <w:szCs w:val="24"/>
        </w:rPr>
        <w:t>ts with primary and secondary infertility (58.23±19.1 vs 79.64±32.8) (p=0.009), this finding is in disagreement with that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w:t>
      </w:r>
    </w:p>
    <w:p w14:paraId="7CF55D47"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There was no significant difference in mean FSH levels between subjects with primary and secondary infertility (p=0.237). This is dissimilar to the finding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The LH, progesterone and prolactin levels in the two groups were not statistically different, (p= 0.357, 0.359 and 0.135) respectively. </w:t>
      </w:r>
    </w:p>
    <w:p w14:paraId="6C085F5B"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This study also looked at the relationship between AMH, age, weight, BMI, duration of the marriage, age of menarche, prolactin, and other reproductive hormones. AMH was found to be negatively correlated with age (r=-0.544; p=0.001), this is in agreement with the studies done by </w:t>
      </w:r>
      <w:proofErr w:type="spellStart"/>
      <w:r w:rsidRPr="00102FF7">
        <w:rPr>
          <w:rFonts w:ascii="Times New Roman" w:hAnsi="Times New Roman" w:cs="Times New Roman"/>
          <w:sz w:val="24"/>
          <w:szCs w:val="24"/>
        </w:rPr>
        <w:t>Racoubian</w:t>
      </w:r>
      <w:proofErr w:type="spellEnd"/>
      <w:r w:rsidRPr="00102FF7">
        <w:rPr>
          <w:rFonts w:ascii="Times New Roman" w:hAnsi="Times New Roman" w:cs="Times New Roman"/>
          <w:sz w:val="24"/>
          <w:szCs w:val="24"/>
        </w:rPr>
        <w:t xml:space="preserve"> et al</w:t>
      </w:r>
      <w:r w:rsidR="003D5958">
        <w:rPr>
          <w:rFonts w:ascii="Times New Roman" w:hAnsi="Times New Roman" w:cs="Times New Roman"/>
          <w:sz w:val="24"/>
          <w:szCs w:val="24"/>
          <w:vertAlign w:val="superscript"/>
        </w:rPr>
        <w:t>18</w:t>
      </w:r>
      <w:r w:rsidRPr="00102FF7">
        <w:rPr>
          <w:rFonts w:ascii="Times New Roman" w:hAnsi="Times New Roman" w:cs="Times New Roman"/>
          <w:sz w:val="24"/>
          <w:szCs w:val="24"/>
        </w:rPr>
        <w:t xml:space="preserve"> and Maslow et al</w:t>
      </w:r>
      <w:r w:rsidR="003D5958">
        <w:rPr>
          <w:rFonts w:ascii="Times New Roman" w:hAnsi="Times New Roman" w:cs="Times New Roman"/>
          <w:sz w:val="24"/>
          <w:szCs w:val="24"/>
          <w:vertAlign w:val="superscript"/>
        </w:rPr>
        <w:t>,19</w:t>
      </w:r>
      <w:r w:rsidRPr="00102FF7">
        <w:rPr>
          <w:rFonts w:ascii="Times New Roman" w:hAnsi="Times New Roman" w:cs="Times New Roman"/>
          <w:sz w:val="24"/>
          <w:szCs w:val="24"/>
        </w:rPr>
        <w:t xml:space="preserve">. </w:t>
      </w:r>
      <w:proofErr w:type="gramStart"/>
      <w:r w:rsidRPr="00102FF7">
        <w:rPr>
          <w:rFonts w:ascii="Times New Roman" w:hAnsi="Times New Roman" w:cs="Times New Roman"/>
          <w:sz w:val="24"/>
          <w:szCs w:val="24"/>
        </w:rPr>
        <w:t>It  is</w:t>
      </w:r>
      <w:proofErr w:type="gramEnd"/>
      <w:r w:rsidRPr="00102FF7">
        <w:rPr>
          <w:rFonts w:ascii="Times New Roman" w:hAnsi="Times New Roman" w:cs="Times New Roman"/>
          <w:sz w:val="24"/>
          <w:szCs w:val="24"/>
        </w:rPr>
        <w:t xml:space="preserve"> also negatively correlated with weight, and BMI (r=-0.445; p=0.001), and (r=-0.368; p=0.003) respectively. These are in agreement with the findings by Lia et all</w:t>
      </w:r>
      <w:r w:rsidR="003D5958">
        <w:rPr>
          <w:rFonts w:ascii="Times New Roman" w:hAnsi="Times New Roman" w:cs="Times New Roman"/>
          <w:sz w:val="24"/>
          <w:szCs w:val="24"/>
          <w:vertAlign w:val="superscript"/>
        </w:rPr>
        <w:t>20</w:t>
      </w:r>
      <w:r w:rsidRPr="00102FF7">
        <w:rPr>
          <w:rFonts w:ascii="Times New Roman" w:hAnsi="Times New Roman" w:cs="Times New Roman"/>
          <w:sz w:val="24"/>
          <w:szCs w:val="24"/>
        </w:rPr>
        <w:t xml:space="preserve"> and in disagreement to t</w:t>
      </w:r>
      <w:r w:rsidR="003D5958">
        <w:rPr>
          <w:rFonts w:ascii="Times New Roman" w:hAnsi="Times New Roman" w:cs="Times New Roman"/>
          <w:sz w:val="24"/>
          <w:szCs w:val="24"/>
        </w:rPr>
        <w:t xml:space="preserve">he findings by Simoes- </w:t>
      </w:r>
      <w:proofErr w:type="gramStart"/>
      <w:r w:rsidR="003D5958">
        <w:rPr>
          <w:rFonts w:ascii="Times New Roman" w:hAnsi="Times New Roman" w:cs="Times New Roman"/>
          <w:sz w:val="24"/>
          <w:szCs w:val="24"/>
        </w:rPr>
        <w:t xml:space="preserve">Pereira </w:t>
      </w:r>
      <w:r w:rsidRPr="00102FF7">
        <w:rPr>
          <w:rFonts w:ascii="Times New Roman" w:hAnsi="Times New Roman" w:cs="Times New Roman"/>
          <w:sz w:val="24"/>
          <w:szCs w:val="24"/>
        </w:rPr>
        <w:t xml:space="preserve"> et</w:t>
      </w:r>
      <w:proofErr w:type="gramEnd"/>
      <w:r w:rsidRPr="00102FF7">
        <w:rPr>
          <w:rFonts w:ascii="Times New Roman" w:hAnsi="Times New Roman" w:cs="Times New Roman"/>
          <w:sz w:val="24"/>
          <w:szCs w:val="24"/>
        </w:rPr>
        <w:t xml:space="preserve"> al</w:t>
      </w:r>
      <w:r w:rsidR="003D5958">
        <w:rPr>
          <w:rFonts w:ascii="Times New Roman" w:hAnsi="Times New Roman" w:cs="Times New Roman"/>
          <w:sz w:val="24"/>
          <w:szCs w:val="24"/>
          <w:vertAlign w:val="superscript"/>
        </w:rPr>
        <w:t>21</w:t>
      </w:r>
      <w:r w:rsidRPr="00102FF7">
        <w:rPr>
          <w:rFonts w:ascii="Times New Roman" w:hAnsi="Times New Roman" w:cs="Times New Roman"/>
          <w:sz w:val="24"/>
          <w:szCs w:val="24"/>
        </w:rPr>
        <w:t xml:space="preserve">. BMI does not seem to affect the AMH level. However, infertility in overweight and obese women may be related to follicular development or oocyte maturation, or endometrial disorders, rather than a decline in ovarian reserve. </w:t>
      </w:r>
    </w:p>
    <w:p w14:paraId="183F1BEC" w14:textId="77777777" w:rsidR="00C14000"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There is a significantly negative correlation between mean AMH and FSH levels among the infertile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(r=-0.143, p=0.017). This is similar to the findings by </w:t>
      </w:r>
      <w:proofErr w:type="spellStart"/>
      <w:r w:rsidRPr="00102FF7">
        <w:rPr>
          <w:rFonts w:ascii="Times New Roman" w:hAnsi="Times New Roman" w:cs="Times New Roman"/>
          <w:sz w:val="24"/>
          <w:szCs w:val="24"/>
        </w:rPr>
        <w:t>Barbakadze</w:t>
      </w:r>
      <w:proofErr w:type="spellEnd"/>
      <w:r w:rsidRPr="00102FF7">
        <w:rPr>
          <w:rFonts w:ascii="Times New Roman" w:hAnsi="Times New Roman" w:cs="Times New Roman"/>
          <w:sz w:val="24"/>
          <w:szCs w:val="24"/>
        </w:rPr>
        <w:t xml:space="preserve"> L et al</w:t>
      </w:r>
      <w:r w:rsidR="003D5958">
        <w:rPr>
          <w:rFonts w:ascii="Times New Roman" w:hAnsi="Times New Roman" w:cs="Times New Roman"/>
          <w:sz w:val="24"/>
          <w:szCs w:val="24"/>
          <w:vertAlign w:val="superscript"/>
        </w:rPr>
        <w:t>22</w:t>
      </w:r>
      <w:r w:rsidRPr="00102FF7">
        <w:rPr>
          <w:rFonts w:ascii="Times New Roman" w:hAnsi="Times New Roman" w:cs="Times New Roman"/>
          <w:sz w:val="24"/>
          <w:szCs w:val="24"/>
        </w:rPr>
        <w:t xml:space="preserve">.who studied a group of one hundred and twelve (112) infertile women in </w:t>
      </w:r>
      <w:proofErr w:type="spellStart"/>
      <w:r w:rsidRPr="00102FF7">
        <w:rPr>
          <w:rFonts w:ascii="Times New Roman" w:hAnsi="Times New Roman" w:cs="Times New Roman"/>
          <w:sz w:val="24"/>
          <w:szCs w:val="24"/>
        </w:rPr>
        <w:t>Thilisi</w:t>
      </w:r>
      <w:proofErr w:type="spellEnd"/>
      <w:r w:rsidRPr="00102FF7">
        <w:rPr>
          <w:rFonts w:ascii="Times New Roman" w:hAnsi="Times New Roman" w:cs="Times New Roman"/>
          <w:sz w:val="24"/>
          <w:szCs w:val="24"/>
        </w:rPr>
        <w:t xml:space="preserve">, Georgia in 2015. AMH weakly correlated negatively </w:t>
      </w:r>
      <w:bookmarkStart w:id="11" w:name="_Hlk126038109"/>
      <w:r w:rsidRPr="00102FF7">
        <w:rPr>
          <w:rFonts w:ascii="Times New Roman" w:hAnsi="Times New Roman" w:cs="Times New Roman"/>
          <w:sz w:val="24"/>
          <w:szCs w:val="24"/>
        </w:rPr>
        <w:t>with LH,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progesterone, and prolactin among the </w:t>
      </w:r>
      <w:r w:rsidR="00977225">
        <w:rPr>
          <w:rFonts w:ascii="Times New Roman" w:hAnsi="Times New Roman" w:cs="Times New Roman"/>
          <w:sz w:val="24"/>
          <w:szCs w:val="24"/>
        </w:rPr>
        <w:t>participant</w:t>
      </w:r>
      <w:r w:rsidR="00977225" w:rsidRPr="00102FF7">
        <w:rPr>
          <w:rFonts w:ascii="Times New Roman" w:hAnsi="Times New Roman" w:cs="Times New Roman"/>
          <w:sz w:val="24"/>
          <w:szCs w:val="24"/>
        </w:rPr>
        <w:t>s</w:t>
      </w:r>
      <w:r w:rsidRPr="00102FF7">
        <w:rPr>
          <w:rFonts w:ascii="Times New Roman" w:hAnsi="Times New Roman" w:cs="Times New Roman"/>
          <w:sz w:val="24"/>
          <w:szCs w:val="24"/>
        </w:rPr>
        <w:t xml:space="preserve"> with infertility (r=-0.18, -0.025, -0.054, -0.055, and -0.028) respectively. However, this relationship was found not to be statistically significant (p&gt;0.05).</w:t>
      </w:r>
      <w:bookmarkEnd w:id="11"/>
      <w:r w:rsidR="00977225">
        <w:rPr>
          <w:rFonts w:ascii="Times New Roman" w:hAnsi="Times New Roman" w:cs="Times New Roman"/>
          <w:sz w:val="24"/>
          <w:szCs w:val="24"/>
        </w:rPr>
        <w:t xml:space="preserve"> It has been seen in this study that AMH has an inverse relationship with FSH in infertility, and putting this finding to use could be a critical factor in the validation or confirmation of infertility in females, and also in the interpretation of prior female fertility hormones.</w:t>
      </w:r>
    </w:p>
    <w:p w14:paraId="481EFBEF" w14:textId="77777777" w:rsidR="00D745B9" w:rsidRPr="00102FF7" w:rsidRDefault="00D745B9" w:rsidP="009F1D37">
      <w:pPr>
        <w:rPr>
          <w:rFonts w:ascii="Times New Roman" w:hAnsi="Times New Roman" w:cs="Times New Roman"/>
          <w:sz w:val="24"/>
          <w:szCs w:val="24"/>
        </w:rPr>
      </w:pPr>
      <w:r w:rsidRPr="00102FF7">
        <w:rPr>
          <w:rFonts w:ascii="Times New Roman" w:hAnsi="Times New Roman" w:cs="Times New Roman"/>
          <w:b/>
          <w:bCs/>
          <w:sz w:val="24"/>
          <w:szCs w:val="24"/>
        </w:rPr>
        <w:t>CONCLUSION</w:t>
      </w:r>
      <w:r w:rsidRPr="00102FF7">
        <w:rPr>
          <w:rFonts w:ascii="Times New Roman" w:hAnsi="Times New Roman" w:cs="Times New Roman"/>
          <w:sz w:val="24"/>
          <w:szCs w:val="24"/>
        </w:rPr>
        <w:t xml:space="preserve">    </w:t>
      </w:r>
    </w:p>
    <w:p w14:paraId="0154B5A9" w14:textId="77777777" w:rsidR="00286BDE" w:rsidRDefault="00D745B9" w:rsidP="009F1D37">
      <w:pPr>
        <w:jc w:val="both"/>
        <w:rPr>
          <w:rFonts w:ascii="Times New Roman" w:hAnsi="Times New Roman" w:cs="Times New Roman"/>
          <w:sz w:val="24"/>
          <w:szCs w:val="24"/>
        </w:rPr>
      </w:pPr>
      <w:commentRangeStart w:id="12"/>
      <w:r w:rsidRPr="00102FF7">
        <w:rPr>
          <w:rFonts w:ascii="Times New Roman" w:hAnsi="Times New Roman" w:cs="Times New Roman"/>
          <w:sz w:val="24"/>
          <w:szCs w:val="24"/>
        </w:rPr>
        <w:t xml:space="preserve">This study found that AMH level was significantly higher in infertile women who had primary infertility compared to those with secondary infertility, possibly as a result of younger age group of the former, since AMH is known to decline with age. </w:t>
      </w:r>
      <w:r>
        <w:rPr>
          <w:rFonts w:ascii="Times New Roman" w:hAnsi="Times New Roman" w:cs="Times New Roman"/>
          <w:sz w:val="24"/>
          <w:szCs w:val="24"/>
        </w:rPr>
        <w:t>AMH</w:t>
      </w:r>
      <w:r w:rsidR="00954046">
        <w:rPr>
          <w:rFonts w:ascii="Times New Roman" w:hAnsi="Times New Roman" w:cs="Times New Roman"/>
          <w:sz w:val="24"/>
          <w:szCs w:val="24"/>
        </w:rPr>
        <w:t xml:space="preserve"> along with other female hormones</w:t>
      </w:r>
      <w:r>
        <w:rPr>
          <w:rFonts w:ascii="Times New Roman" w:hAnsi="Times New Roman" w:cs="Times New Roman"/>
          <w:sz w:val="24"/>
          <w:szCs w:val="24"/>
        </w:rPr>
        <w:t xml:space="preserve"> </w:t>
      </w:r>
      <w:r w:rsidR="009F1D37">
        <w:rPr>
          <w:rFonts w:ascii="Times New Roman" w:hAnsi="Times New Roman" w:cs="Times New Roman"/>
          <w:sz w:val="24"/>
          <w:szCs w:val="24"/>
        </w:rPr>
        <w:t>have been seen as</w:t>
      </w:r>
      <w:r w:rsidR="00954046">
        <w:rPr>
          <w:rFonts w:ascii="Times New Roman" w:hAnsi="Times New Roman" w:cs="Times New Roman"/>
          <w:sz w:val="24"/>
          <w:szCs w:val="24"/>
        </w:rPr>
        <w:t xml:space="preserve"> important </w:t>
      </w:r>
      <w:r>
        <w:rPr>
          <w:rFonts w:ascii="Times New Roman" w:hAnsi="Times New Roman" w:cs="Times New Roman"/>
          <w:sz w:val="24"/>
          <w:szCs w:val="24"/>
        </w:rPr>
        <w:t>biomarker</w:t>
      </w:r>
      <w:r w:rsidR="009F1D37">
        <w:rPr>
          <w:rFonts w:ascii="Times New Roman" w:hAnsi="Times New Roman" w:cs="Times New Roman"/>
          <w:sz w:val="24"/>
          <w:szCs w:val="24"/>
        </w:rPr>
        <w:t>s</w:t>
      </w:r>
      <w:r>
        <w:rPr>
          <w:rFonts w:ascii="Times New Roman" w:hAnsi="Times New Roman" w:cs="Times New Roman"/>
          <w:sz w:val="24"/>
          <w:szCs w:val="24"/>
        </w:rPr>
        <w:t xml:space="preserve"> of ovarian reserve </w:t>
      </w:r>
      <w:r w:rsidR="00954046">
        <w:rPr>
          <w:rFonts w:ascii="Times New Roman" w:hAnsi="Times New Roman" w:cs="Times New Roman"/>
          <w:sz w:val="24"/>
          <w:szCs w:val="24"/>
        </w:rPr>
        <w:t xml:space="preserve">and hitherto a </w:t>
      </w:r>
      <w:r w:rsidR="009F1D37">
        <w:rPr>
          <w:rFonts w:ascii="Times New Roman" w:hAnsi="Times New Roman" w:cs="Times New Roman"/>
          <w:sz w:val="24"/>
          <w:szCs w:val="24"/>
        </w:rPr>
        <w:t>significant</w:t>
      </w:r>
      <w:r w:rsidR="00954046">
        <w:rPr>
          <w:rFonts w:ascii="Times New Roman" w:hAnsi="Times New Roman" w:cs="Times New Roman"/>
          <w:sz w:val="24"/>
          <w:szCs w:val="24"/>
        </w:rPr>
        <w:t xml:space="preserve"> index for classifying primary and secondary fertility. A</w:t>
      </w:r>
      <w:r>
        <w:rPr>
          <w:rFonts w:ascii="Times New Roman" w:hAnsi="Times New Roman" w:cs="Times New Roman"/>
          <w:sz w:val="24"/>
          <w:szCs w:val="24"/>
        </w:rPr>
        <w:t xml:space="preserve">ssisted reproductive technology </w:t>
      </w:r>
      <w:r w:rsidR="00954046">
        <w:rPr>
          <w:rFonts w:ascii="Times New Roman" w:hAnsi="Times New Roman" w:cs="Times New Roman"/>
          <w:sz w:val="24"/>
          <w:szCs w:val="24"/>
        </w:rPr>
        <w:t>could be the more viable option for these women with infertility.</w:t>
      </w:r>
      <w:r>
        <w:rPr>
          <w:rFonts w:ascii="Times New Roman" w:hAnsi="Times New Roman" w:cs="Times New Roman"/>
          <w:sz w:val="24"/>
          <w:szCs w:val="24"/>
        </w:rPr>
        <w:t xml:space="preserve"> </w:t>
      </w:r>
      <w:r w:rsidRPr="00102FF7">
        <w:rPr>
          <w:rFonts w:ascii="Times New Roman" w:hAnsi="Times New Roman" w:cs="Times New Roman"/>
          <w:sz w:val="24"/>
          <w:szCs w:val="24"/>
        </w:rPr>
        <w:t xml:space="preserve">   </w:t>
      </w:r>
      <w:commentRangeEnd w:id="12"/>
      <w:r w:rsidR="00882486">
        <w:rPr>
          <w:rStyle w:val="CommentReference"/>
        </w:rPr>
        <w:commentReference w:id="12"/>
      </w:r>
    </w:p>
    <w:p w14:paraId="3C228046" w14:textId="77777777" w:rsidR="00286BDE" w:rsidRDefault="00286BDE" w:rsidP="009F1D37">
      <w:pPr>
        <w:jc w:val="both"/>
        <w:rPr>
          <w:rFonts w:ascii="Times New Roman" w:hAnsi="Times New Roman" w:cs="Times New Roman"/>
          <w:sz w:val="24"/>
          <w:szCs w:val="24"/>
        </w:rPr>
      </w:pPr>
    </w:p>
    <w:p w14:paraId="195FE040" w14:textId="77777777" w:rsidR="00286BDE" w:rsidRDefault="00286BDE" w:rsidP="009F1D37">
      <w:pPr>
        <w:jc w:val="both"/>
        <w:rPr>
          <w:rFonts w:ascii="Times New Roman" w:hAnsi="Times New Roman" w:cs="Times New Roman"/>
          <w:sz w:val="24"/>
          <w:szCs w:val="24"/>
        </w:rPr>
      </w:pPr>
    </w:p>
    <w:p w14:paraId="5AB5D243" w14:textId="77777777" w:rsidR="00286BDE" w:rsidRPr="00286BDE" w:rsidRDefault="00286BDE" w:rsidP="00286BDE">
      <w:pPr>
        <w:jc w:val="both"/>
        <w:rPr>
          <w:rFonts w:ascii="Times New Roman" w:hAnsi="Times New Roman" w:cs="Times New Roman"/>
          <w:sz w:val="24"/>
          <w:szCs w:val="24"/>
        </w:rPr>
      </w:pPr>
      <w:r w:rsidRPr="00286BDE">
        <w:rPr>
          <w:rFonts w:ascii="Times New Roman" w:hAnsi="Times New Roman" w:cs="Times New Roman"/>
          <w:sz w:val="24"/>
          <w:szCs w:val="24"/>
        </w:rPr>
        <w:t>COMPETING INTERESTS DISCLAIMER:</w:t>
      </w:r>
    </w:p>
    <w:p w14:paraId="3E72A216" w14:textId="77777777" w:rsidR="00286BDE" w:rsidRDefault="00286BDE" w:rsidP="00286BDE">
      <w:pPr>
        <w:jc w:val="both"/>
        <w:rPr>
          <w:rFonts w:ascii="Times New Roman" w:hAnsi="Times New Roman" w:cs="Times New Roman"/>
          <w:sz w:val="24"/>
          <w:szCs w:val="24"/>
        </w:rPr>
      </w:pPr>
      <w:r w:rsidRPr="00286BD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r w:rsidR="00D745B9" w:rsidRPr="00102FF7">
        <w:rPr>
          <w:rFonts w:ascii="Times New Roman" w:hAnsi="Times New Roman" w:cs="Times New Roman"/>
          <w:sz w:val="24"/>
          <w:szCs w:val="24"/>
        </w:rPr>
        <w:t xml:space="preserve">              </w:t>
      </w:r>
    </w:p>
    <w:p w14:paraId="67B3D970" w14:textId="7AEBADAC" w:rsidR="00D745B9" w:rsidRPr="00102FF7" w:rsidRDefault="00D745B9" w:rsidP="00286BDE">
      <w:pPr>
        <w:jc w:val="both"/>
        <w:rPr>
          <w:rFonts w:ascii="Times New Roman" w:hAnsi="Times New Roman" w:cs="Times New Roman"/>
          <w:b/>
          <w:bCs/>
          <w:sz w:val="24"/>
          <w:szCs w:val="24"/>
        </w:rPr>
      </w:pPr>
      <w:commentRangeStart w:id="13"/>
      <w:r w:rsidRPr="00102FF7">
        <w:rPr>
          <w:rFonts w:ascii="Times New Roman" w:hAnsi="Times New Roman" w:cs="Times New Roman"/>
          <w:sz w:val="24"/>
          <w:szCs w:val="24"/>
        </w:rPr>
        <w:lastRenderedPageBreak/>
        <w:t xml:space="preserve">                                               </w:t>
      </w:r>
    </w:p>
    <w:p w14:paraId="79A980D0" w14:textId="77777777" w:rsidR="00D745B9" w:rsidRDefault="009F1D37" w:rsidP="00221A91">
      <w:pPr>
        <w:spacing w:line="480" w:lineRule="auto"/>
        <w:jc w:val="both"/>
        <w:rPr>
          <w:rFonts w:ascii="Times New Roman" w:hAnsi="Times New Roman" w:cs="Times New Roman"/>
          <w:b/>
          <w:sz w:val="24"/>
          <w:szCs w:val="24"/>
        </w:rPr>
      </w:pPr>
      <w:r w:rsidRPr="009F1D37">
        <w:rPr>
          <w:rFonts w:ascii="Times New Roman" w:hAnsi="Times New Roman" w:cs="Times New Roman"/>
          <w:b/>
          <w:sz w:val="24"/>
          <w:szCs w:val="24"/>
        </w:rPr>
        <w:t>REFERENCES</w:t>
      </w:r>
      <w:commentRangeEnd w:id="13"/>
      <w:r w:rsidR="00882486">
        <w:rPr>
          <w:rStyle w:val="CommentReference"/>
        </w:rPr>
        <w:commentReference w:id="13"/>
      </w:r>
    </w:p>
    <w:p w14:paraId="76BFB7AD"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Bolarinde</w:t>
      </w:r>
      <w:proofErr w:type="spellEnd"/>
      <w:r>
        <w:rPr>
          <w:rFonts w:ascii="Times New Roman" w:hAnsi="Times New Roman" w:cs="Times New Roman"/>
          <w:sz w:val="24"/>
          <w:szCs w:val="24"/>
        </w:rPr>
        <w:t xml:space="preserve"> O, Coughlan C. The </w:t>
      </w:r>
      <w:proofErr w:type="spellStart"/>
      <w:r>
        <w:rPr>
          <w:rFonts w:ascii="Times New Roman" w:hAnsi="Times New Roman" w:cs="Times New Roman"/>
          <w:sz w:val="24"/>
          <w:szCs w:val="24"/>
        </w:rPr>
        <w:t>subfertile</w:t>
      </w:r>
      <w:proofErr w:type="spellEnd"/>
      <w:r>
        <w:rPr>
          <w:rFonts w:ascii="Times New Roman" w:hAnsi="Times New Roman" w:cs="Times New Roman"/>
          <w:sz w:val="24"/>
          <w:szCs w:val="24"/>
        </w:rPr>
        <w:t xml:space="preserve"> couple.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GynaecoL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Reprod</w:t>
      </w:r>
      <w:proofErr w:type="spellEnd"/>
      <w:proofErr w:type="gramEnd"/>
      <w:r>
        <w:rPr>
          <w:rFonts w:ascii="Times New Roman" w:hAnsi="Times New Roman" w:cs="Times New Roman"/>
          <w:sz w:val="24"/>
          <w:szCs w:val="24"/>
        </w:rPr>
        <w:t xml:space="preserve"> Med. 2013; 23(5):154–1590.</w:t>
      </w:r>
    </w:p>
    <w:p w14:paraId="33F65B77" w14:textId="77777777" w:rsidR="000F50A4" w:rsidRDefault="000F50A4" w:rsidP="000F50A4">
      <w:pPr>
        <w:pStyle w:val="ListParagraph"/>
        <w:spacing w:line="276" w:lineRule="auto"/>
        <w:jc w:val="both"/>
        <w:rPr>
          <w:rFonts w:ascii="Times New Roman" w:hAnsi="Times New Roman" w:cs="Times New Roman"/>
          <w:sz w:val="24"/>
          <w:szCs w:val="24"/>
        </w:rPr>
      </w:pPr>
    </w:p>
    <w:p w14:paraId="0D1FA233"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F, Harris D, </w:t>
      </w:r>
      <w:proofErr w:type="spellStart"/>
      <w:r>
        <w:rPr>
          <w:rFonts w:ascii="Times New Roman" w:hAnsi="Times New Roman" w:cs="Times New Roman"/>
          <w:sz w:val="24"/>
          <w:szCs w:val="24"/>
        </w:rPr>
        <w:t>Odebiyi</w:t>
      </w:r>
      <w:proofErr w:type="spellEnd"/>
      <w:r>
        <w:rPr>
          <w:rFonts w:ascii="Times New Roman" w:hAnsi="Times New Roman" w:cs="Times New Roman"/>
          <w:sz w:val="24"/>
          <w:szCs w:val="24"/>
        </w:rPr>
        <w:t xml:space="preserve"> A, Kane T, Snow R. The social meaning of infertility in Southwest Nigeria. Health Transit Rev. </w:t>
      </w:r>
      <w:proofErr w:type="gramStart"/>
      <w:r>
        <w:rPr>
          <w:rFonts w:ascii="Times New Roman" w:hAnsi="Times New Roman" w:cs="Times New Roman"/>
          <w:sz w:val="24"/>
          <w:szCs w:val="24"/>
        </w:rPr>
        <w:t>1997;7:205</w:t>
      </w:r>
      <w:proofErr w:type="gramEnd"/>
      <w:r>
        <w:rPr>
          <w:rFonts w:ascii="Times New Roman" w:hAnsi="Times New Roman" w:cs="Times New Roman"/>
          <w:sz w:val="24"/>
          <w:szCs w:val="24"/>
        </w:rPr>
        <w:t>–220.</w:t>
      </w:r>
    </w:p>
    <w:p w14:paraId="119E3A53" w14:textId="77777777" w:rsidR="000F50A4" w:rsidRDefault="000F50A4" w:rsidP="000F50A4">
      <w:pPr>
        <w:pStyle w:val="ListParagraph"/>
        <w:spacing w:line="276" w:lineRule="auto"/>
        <w:jc w:val="both"/>
        <w:rPr>
          <w:rFonts w:ascii="Times New Roman" w:hAnsi="Times New Roman" w:cs="Times New Roman"/>
          <w:sz w:val="24"/>
          <w:szCs w:val="24"/>
        </w:rPr>
      </w:pPr>
    </w:p>
    <w:p w14:paraId="7E3033AD"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Arroye</w:t>
      </w:r>
      <w:proofErr w:type="spellEnd"/>
      <w:r>
        <w:rPr>
          <w:rFonts w:ascii="Times New Roman" w:hAnsi="Times New Roman" w:cs="Times New Roman"/>
          <w:sz w:val="24"/>
          <w:szCs w:val="24"/>
        </w:rPr>
        <w:t xml:space="preserve"> O M. Epidemiology of infertility, social problems of couples. West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Med. 2003;22(2):190–200.</w:t>
      </w:r>
    </w:p>
    <w:p w14:paraId="1A3B7686" w14:textId="77777777" w:rsidR="000F50A4" w:rsidRDefault="000F50A4" w:rsidP="000F50A4">
      <w:pPr>
        <w:pStyle w:val="ListParagraph"/>
        <w:spacing w:line="276" w:lineRule="auto"/>
        <w:jc w:val="both"/>
        <w:rPr>
          <w:rFonts w:ascii="Times New Roman" w:hAnsi="Times New Roman" w:cs="Times New Roman"/>
          <w:sz w:val="24"/>
          <w:szCs w:val="24"/>
        </w:rPr>
      </w:pPr>
    </w:p>
    <w:p w14:paraId="763EC420"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Boivin J, Bunting L, Collin JA, Nygren KG. International estimates of infertility prevalence and treatment seeking: Potential need and demand for infertility medical care. Hum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2007; 22:1506-1512.</w:t>
      </w:r>
    </w:p>
    <w:p w14:paraId="60F6EA79" w14:textId="77777777" w:rsidR="000F50A4" w:rsidRDefault="000F50A4" w:rsidP="000F50A4">
      <w:pPr>
        <w:pStyle w:val="ListParagraph"/>
        <w:spacing w:line="276" w:lineRule="auto"/>
        <w:jc w:val="both"/>
        <w:rPr>
          <w:rFonts w:ascii="Times New Roman" w:hAnsi="Times New Roman" w:cs="Times New Roman"/>
          <w:sz w:val="24"/>
          <w:szCs w:val="24"/>
        </w:rPr>
      </w:pPr>
    </w:p>
    <w:p w14:paraId="7B8DFEB1"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FE. The case against new reproductive techniques in developing countries. Br J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Gynaecol</w:t>
      </w:r>
      <w:proofErr w:type="spellEnd"/>
      <w:r>
        <w:rPr>
          <w:rFonts w:ascii="Times New Roman" w:hAnsi="Times New Roman" w:cs="Times New Roman"/>
          <w:sz w:val="24"/>
          <w:szCs w:val="24"/>
        </w:rPr>
        <w:t>. 1996; 103:957-962.</w:t>
      </w:r>
    </w:p>
    <w:p w14:paraId="1170CB3C" w14:textId="77777777" w:rsidR="000F50A4" w:rsidRDefault="000F50A4" w:rsidP="000F50A4">
      <w:pPr>
        <w:pStyle w:val="ListParagraph"/>
        <w:spacing w:line="276" w:lineRule="auto"/>
        <w:jc w:val="both"/>
        <w:rPr>
          <w:rFonts w:ascii="Times New Roman" w:hAnsi="Times New Roman" w:cs="Times New Roman"/>
          <w:sz w:val="24"/>
          <w:szCs w:val="24"/>
        </w:rPr>
      </w:pPr>
    </w:p>
    <w:p w14:paraId="2F3164E3"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Larsen U. Primary and secondary infertility in sub-Saharan Africa. Int J Epidemiol. 2000; 29:265-291.</w:t>
      </w:r>
    </w:p>
    <w:p w14:paraId="14F812C3" w14:textId="77777777" w:rsidR="000F50A4" w:rsidRDefault="000F50A4" w:rsidP="000F50A4">
      <w:pPr>
        <w:pStyle w:val="ListParagraph"/>
        <w:spacing w:line="276" w:lineRule="auto"/>
        <w:jc w:val="both"/>
        <w:rPr>
          <w:rFonts w:ascii="Times New Roman" w:hAnsi="Times New Roman" w:cs="Times New Roman"/>
          <w:sz w:val="24"/>
          <w:szCs w:val="24"/>
        </w:rPr>
      </w:pPr>
    </w:p>
    <w:p w14:paraId="0BF4827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Agboola A. Textbook of Obstetrics and </w:t>
      </w:r>
      <w:proofErr w:type="spellStart"/>
      <w:r>
        <w:rPr>
          <w:rFonts w:ascii="Times New Roman" w:hAnsi="Times New Roman" w:cs="Times New Roman"/>
          <w:sz w:val="24"/>
          <w:szCs w:val="24"/>
        </w:rPr>
        <w:t>gynaecology</w:t>
      </w:r>
      <w:proofErr w:type="spellEnd"/>
      <w:r>
        <w:rPr>
          <w:rFonts w:ascii="Times New Roman" w:hAnsi="Times New Roman" w:cs="Times New Roman"/>
          <w:sz w:val="24"/>
          <w:szCs w:val="24"/>
        </w:rPr>
        <w:t xml:space="preserve"> for medical student.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Ibadan: Heinemann; 2006:128 -130.  </w:t>
      </w:r>
    </w:p>
    <w:p w14:paraId="3E3D7E26" w14:textId="77777777" w:rsidR="000F50A4" w:rsidRDefault="000F50A4" w:rsidP="000F50A4">
      <w:pPr>
        <w:pStyle w:val="ListParagraph"/>
        <w:spacing w:line="276" w:lineRule="auto"/>
        <w:jc w:val="both"/>
        <w:rPr>
          <w:rFonts w:ascii="Times New Roman" w:hAnsi="Times New Roman" w:cs="Times New Roman"/>
          <w:sz w:val="24"/>
          <w:szCs w:val="24"/>
        </w:rPr>
      </w:pPr>
    </w:p>
    <w:p w14:paraId="581D41C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Ramahi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Mahafzah</w:t>
      </w:r>
      <w:proofErr w:type="spellEnd"/>
      <w:r>
        <w:rPr>
          <w:rFonts w:ascii="Times New Roman" w:hAnsi="Times New Roman" w:cs="Times New Roman"/>
          <w:sz w:val="24"/>
          <w:szCs w:val="24"/>
        </w:rPr>
        <w:t xml:space="preserve"> A, Saleh S, Fram K. Prevalence of </w:t>
      </w:r>
      <w:r w:rsidRPr="008B5352">
        <w:rPr>
          <w:rFonts w:ascii="Times New Roman" w:hAnsi="Times New Roman" w:cs="Times New Roman"/>
          <w:i/>
          <w:iCs/>
          <w:sz w:val="24"/>
          <w:szCs w:val="24"/>
        </w:rPr>
        <w:t>chlamydia trachomatis</w:t>
      </w:r>
      <w:r>
        <w:rPr>
          <w:rFonts w:ascii="Times New Roman" w:hAnsi="Times New Roman" w:cs="Times New Roman"/>
          <w:sz w:val="24"/>
          <w:szCs w:val="24"/>
        </w:rPr>
        <w:t xml:space="preserve"> infection in infertile women at a University hospital in Jordan. East </w:t>
      </w:r>
      <w:proofErr w:type="spellStart"/>
      <w:r>
        <w:rPr>
          <w:rFonts w:ascii="Times New Roman" w:hAnsi="Times New Roman" w:cs="Times New Roman"/>
          <w:sz w:val="24"/>
          <w:szCs w:val="24"/>
        </w:rPr>
        <w:t>Mediter</w:t>
      </w:r>
      <w:proofErr w:type="spellEnd"/>
      <w:r>
        <w:rPr>
          <w:rFonts w:ascii="Times New Roman" w:hAnsi="Times New Roman" w:cs="Times New Roman"/>
          <w:sz w:val="24"/>
          <w:szCs w:val="24"/>
        </w:rPr>
        <w:t xml:space="preserve"> Health J. 2008; 14(5):1148–1154.</w:t>
      </w:r>
    </w:p>
    <w:p w14:paraId="75709407" w14:textId="77777777" w:rsidR="000F50A4" w:rsidRDefault="000F50A4" w:rsidP="000F50A4">
      <w:pPr>
        <w:pStyle w:val="ListParagraph"/>
        <w:spacing w:line="276" w:lineRule="auto"/>
        <w:jc w:val="both"/>
        <w:rPr>
          <w:rFonts w:ascii="Times New Roman" w:hAnsi="Times New Roman" w:cs="Times New Roman"/>
          <w:sz w:val="24"/>
          <w:szCs w:val="24"/>
        </w:rPr>
      </w:pPr>
    </w:p>
    <w:p w14:paraId="7AEBC79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Olooto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Eniola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  </w:t>
      </w:r>
      <w:proofErr w:type="spellStart"/>
      <w:r>
        <w:rPr>
          <w:rFonts w:ascii="Times New Roman" w:hAnsi="Times New Roman" w:cs="Times New Roman"/>
          <w:sz w:val="24"/>
          <w:szCs w:val="24"/>
        </w:rPr>
        <w:t>Adebanmbo</w:t>
      </w:r>
      <w:proofErr w:type="spellEnd"/>
      <w:proofErr w:type="gramEnd"/>
      <w:r>
        <w:rPr>
          <w:rFonts w:ascii="Times New Roman" w:hAnsi="Times New Roman" w:cs="Times New Roman"/>
          <w:sz w:val="24"/>
          <w:szCs w:val="24"/>
        </w:rPr>
        <w:t xml:space="preserve"> O, Adebayo A, Ademola O, Oladipupo A. Pattern of reproductive hormone (FSH, LH, Estradiol, Progesterone and Prolactin) levels in infertile women. Der </w:t>
      </w:r>
      <w:proofErr w:type="spellStart"/>
      <w:r>
        <w:rPr>
          <w:rFonts w:ascii="Times New Roman" w:hAnsi="Times New Roman" w:cs="Times New Roman"/>
          <w:sz w:val="24"/>
          <w:szCs w:val="24"/>
        </w:rPr>
        <w:t>pharmacia</w:t>
      </w:r>
      <w:proofErr w:type="spellEnd"/>
      <w:r>
        <w:rPr>
          <w:rFonts w:ascii="Times New Roman" w:hAnsi="Times New Roman" w:cs="Times New Roman"/>
          <w:sz w:val="24"/>
          <w:szCs w:val="24"/>
        </w:rPr>
        <w:t>, 2012; 4(2):549–553</w:t>
      </w:r>
    </w:p>
    <w:p w14:paraId="425550E9" w14:textId="77777777" w:rsidR="000F50A4" w:rsidRDefault="000F50A4" w:rsidP="000F50A4">
      <w:pPr>
        <w:pStyle w:val="ListParagraph"/>
        <w:spacing w:line="276" w:lineRule="auto"/>
        <w:jc w:val="both"/>
        <w:rPr>
          <w:rFonts w:ascii="Times New Roman" w:hAnsi="Times New Roman" w:cs="Times New Roman"/>
          <w:sz w:val="24"/>
          <w:szCs w:val="24"/>
        </w:rPr>
      </w:pPr>
    </w:p>
    <w:p w14:paraId="5E0DDF1F"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Haadsma</w:t>
      </w:r>
      <w:proofErr w:type="spellEnd"/>
      <w:r>
        <w:rPr>
          <w:rFonts w:ascii="Times New Roman" w:hAnsi="Times New Roman" w:cs="Times New Roman"/>
          <w:sz w:val="24"/>
          <w:szCs w:val="24"/>
        </w:rPr>
        <w:t xml:space="preserve"> M L, </w:t>
      </w:r>
      <w:proofErr w:type="spellStart"/>
      <w:r>
        <w:rPr>
          <w:rFonts w:ascii="Times New Roman" w:hAnsi="Times New Roman" w:cs="Times New Roman"/>
          <w:sz w:val="24"/>
          <w:szCs w:val="24"/>
        </w:rPr>
        <w:t>Bukman</w:t>
      </w:r>
      <w:proofErr w:type="spellEnd"/>
      <w:r>
        <w:rPr>
          <w:rFonts w:ascii="Times New Roman" w:hAnsi="Times New Roman" w:cs="Times New Roman"/>
          <w:sz w:val="24"/>
          <w:szCs w:val="24"/>
        </w:rPr>
        <w:t xml:space="preserve"> A, Groen H, </w:t>
      </w:r>
      <w:proofErr w:type="spellStart"/>
      <w:r>
        <w:rPr>
          <w:rFonts w:ascii="Times New Roman" w:hAnsi="Times New Roman" w:cs="Times New Roman"/>
          <w:sz w:val="24"/>
          <w:szCs w:val="24"/>
        </w:rPr>
        <w:t>Roeloffzen</w:t>
      </w:r>
      <w:proofErr w:type="spellEnd"/>
      <w:r>
        <w:rPr>
          <w:rFonts w:ascii="Times New Roman" w:hAnsi="Times New Roman" w:cs="Times New Roman"/>
          <w:sz w:val="24"/>
          <w:szCs w:val="24"/>
        </w:rPr>
        <w:t xml:space="preserve"> E M, </w:t>
      </w:r>
      <w:proofErr w:type="spellStart"/>
      <w:r>
        <w:rPr>
          <w:rFonts w:ascii="Times New Roman" w:hAnsi="Times New Roman" w:cs="Times New Roman"/>
          <w:sz w:val="24"/>
          <w:szCs w:val="24"/>
        </w:rPr>
        <w:t>Groenewoud</w:t>
      </w:r>
      <w:proofErr w:type="spellEnd"/>
      <w:r>
        <w:rPr>
          <w:rFonts w:ascii="Times New Roman" w:hAnsi="Times New Roman" w:cs="Times New Roman"/>
          <w:sz w:val="24"/>
          <w:szCs w:val="24"/>
        </w:rPr>
        <w:t xml:space="preserve"> E R, Heineman M J, et al. The number of small antral follicles (2–6mm) determines the outcome of endocrine ovarian reserve tests in a subfertility population. Hum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2007; 22:1925–1931.</w:t>
      </w:r>
    </w:p>
    <w:p w14:paraId="5535985A" w14:textId="77777777" w:rsidR="000F50A4" w:rsidRDefault="000F50A4" w:rsidP="000F50A4">
      <w:pPr>
        <w:pStyle w:val="ListParagraph"/>
        <w:spacing w:line="276" w:lineRule="auto"/>
        <w:jc w:val="both"/>
        <w:rPr>
          <w:rFonts w:ascii="Times New Roman" w:hAnsi="Times New Roman" w:cs="Times New Roman"/>
          <w:sz w:val="24"/>
          <w:szCs w:val="24"/>
        </w:rPr>
      </w:pPr>
    </w:p>
    <w:p w14:paraId="0422AAB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Farquhar C, Marjoribanks J, Brown J, </w:t>
      </w:r>
      <w:proofErr w:type="spellStart"/>
      <w:r>
        <w:rPr>
          <w:rFonts w:ascii="Times New Roman" w:hAnsi="Times New Roman" w:cs="Times New Roman"/>
          <w:sz w:val="24"/>
          <w:szCs w:val="24"/>
        </w:rPr>
        <w:t>Fauser</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Lethaby</w:t>
      </w:r>
      <w:proofErr w:type="spellEnd"/>
      <w:r>
        <w:rPr>
          <w:rFonts w:ascii="Times New Roman" w:hAnsi="Times New Roman" w:cs="Times New Roman"/>
          <w:sz w:val="24"/>
          <w:szCs w:val="24"/>
        </w:rPr>
        <w:t xml:space="preserve"> A, Mourad S, et al. Management of ovarian stimulation for IVF: narrative review of evidence provided for World Health Organization guidance.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xml:space="preserve"> Biomed Online. 2017; 35:3–16.</w:t>
      </w:r>
    </w:p>
    <w:p w14:paraId="40FBBED1" w14:textId="77777777" w:rsidR="000F50A4" w:rsidRDefault="000F50A4" w:rsidP="000F50A4">
      <w:pPr>
        <w:pStyle w:val="ListParagraph"/>
        <w:spacing w:line="276" w:lineRule="auto"/>
        <w:jc w:val="both"/>
        <w:rPr>
          <w:rFonts w:ascii="Times New Roman" w:hAnsi="Times New Roman" w:cs="Times New Roman"/>
          <w:sz w:val="24"/>
          <w:szCs w:val="24"/>
        </w:rPr>
      </w:pPr>
    </w:p>
    <w:p w14:paraId="14D4225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van </w:t>
      </w:r>
      <w:proofErr w:type="spellStart"/>
      <w:r>
        <w:rPr>
          <w:rFonts w:ascii="Times New Roman" w:hAnsi="Times New Roman" w:cs="Times New Roman"/>
          <w:sz w:val="24"/>
          <w:szCs w:val="24"/>
        </w:rPr>
        <w:t>Rooij</w:t>
      </w:r>
      <w:proofErr w:type="spellEnd"/>
      <w:r>
        <w:rPr>
          <w:rFonts w:ascii="Times New Roman" w:hAnsi="Times New Roman" w:cs="Times New Roman"/>
          <w:sz w:val="24"/>
          <w:szCs w:val="24"/>
        </w:rPr>
        <w:t xml:space="preserve"> I A J, </w:t>
      </w:r>
      <w:proofErr w:type="spellStart"/>
      <w:r>
        <w:rPr>
          <w:rFonts w:ascii="Times New Roman" w:hAnsi="Times New Roman" w:cs="Times New Roman"/>
          <w:sz w:val="24"/>
          <w:szCs w:val="24"/>
        </w:rPr>
        <w:t>Broeckmans</w:t>
      </w:r>
      <w:proofErr w:type="spellEnd"/>
      <w:r>
        <w:rPr>
          <w:rFonts w:ascii="Times New Roman" w:hAnsi="Times New Roman" w:cs="Times New Roman"/>
          <w:sz w:val="24"/>
          <w:szCs w:val="24"/>
        </w:rPr>
        <w:t xml:space="preserve"> F S M,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Velde E R, Fauser J M, Bancs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de Jong F H, et al. Serum anti-Mullerian hormone (AMH) level, a novel measure of ovarian reserve. Hum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2002;17(12):3065 - 3071.</w:t>
      </w:r>
    </w:p>
    <w:p w14:paraId="2935D885" w14:textId="77777777" w:rsidR="000F50A4" w:rsidRDefault="000F50A4" w:rsidP="000F50A4">
      <w:pPr>
        <w:pStyle w:val="ListParagraph"/>
        <w:spacing w:line="276" w:lineRule="auto"/>
        <w:jc w:val="both"/>
        <w:rPr>
          <w:rFonts w:ascii="Times New Roman" w:hAnsi="Times New Roman" w:cs="Times New Roman"/>
          <w:sz w:val="24"/>
          <w:szCs w:val="24"/>
        </w:rPr>
      </w:pPr>
    </w:p>
    <w:p w14:paraId="11C01E4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Hajian-Tilaki</w:t>
      </w:r>
      <w:proofErr w:type="spellEnd"/>
      <w:r>
        <w:rPr>
          <w:rFonts w:ascii="Times New Roman" w:hAnsi="Times New Roman" w:cs="Times New Roman"/>
          <w:sz w:val="24"/>
          <w:szCs w:val="24"/>
        </w:rPr>
        <w:t xml:space="preserve"> K. Sample size estimation in epidemiologic studies. </w:t>
      </w:r>
      <w:proofErr w:type="spellStart"/>
      <w:r>
        <w:rPr>
          <w:rFonts w:ascii="Times New Roman" w:hAnsi="Times New Roman" w:cs="Times New Roman"/>
          <w:sz w:val="24"/>
          <w:szCs w:val="24"/>
        </w:rPr>
        <w:t>Casp</w:t>
      </w:r>
      <w:proofErr w:type="spellEnd"/>
      <w:r>
        <w:rPr>
          <w:rFonts w:ascii="Times New Roman" w:hAnsi="Times New Roman" w:cs="Times New Roman"/>
          <w:sz w:val="24"/>
          <w:szCs w:val="24"/>
        </w:rPr>
        <w:t xml:space="preserve"> J Intern Med (internet). 2011; 2(4):289 – 298.</w:t>
      </w:r>
    </w:p>
    <w:p w14:paraId="1256CAA9" w14:textId="77777777" w:rsidR="000F50A4" w:rsidRPr="00EA595B" w:rsidRDefault="000F50A4" w:rsidP="000F50A4">
      <w:pPr>
        <w:pStyle w:val="ListParagraph"/>
        <w:spacing w:line="276" w:lineRule="auto"/>
        <w:jc w:val="both"/>
        <w:rPr>
          <w:rFonts w:ascii="Times New Roman" w:hAnsi="Times New Roman" w:cs="Times New Roman"/>
          <w:sz w:val="24"/>
          <w:szCs w:val="24"/>
        </w:rPr>
      </w:pPr>
    </w:p>
    <w:p w14:paraId="26A97DB4"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xml:space="preserve"> J O, </w:t>
      </w:r>
      <w:proofErr w:type="spellStart"/>
      <w:r>
        <w:rPr>
          <w:rFonts w:ascii="Times New Roman" w:hAnsi="Times New Roman" w:cs="Times New Roman"/>
          <w:sz w:val="24"/>
          <w:szCs w:val="24"/>
        </w:rPr>
        <w:t>Erigbah</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Eruom</w:t>
      </w:r>
      <w:proofErr w:type="spellEnd"/>
      <w:r>
        <w:rPr>
          <w:rFonts w:ascii="Times New Roman" w:hAnsi="Times New Roman" w:cs="Times New Roman"/>
          <w:sz w:val="24"/>
          <w:szCs w:val="24"/>
        </w:rPr>
        <w:t xml:space="preserve"> L. Prevalence of infertility in women in a southwestern Nigerian Community.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Biomed Res. 2008; 11:225 – 227.</w:t>
      </w:r>
    </w:p>
    <w:p w14:paraId="4F4820BB" w14:textId="77777777" w:rsidR="000F50A4" w:rsidRDefault="000F50A4" w:rsidP="000F50A4">
      <w:pPr>
        <w:pStyle w:val="ListParagraph"/>
        <w:spacing w:line="276" w:lineRule="auto"/>
        <w:jc w:val="both"/>
        <w:rPr>
          <w:rFonts w:ascii="Times New Roman" w:hAnsi="Times New Roman" w:cs="Times New Roman"/>
          <w:sz w:val="24"/>
          <w:szCs w:val="24"/>
        </w:rPr>
      </w:pPr>
    </w:p>
    <w:p w14:paraId="1D1C849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Adetoro</w:t>
      </w:r>
      <w:proofErr w:type="spellEnd"/>
      <w:r>
        <w:rPr>
          <w:rFonts w:ascii="Times New Roman" w:hAnsi="Times New Roman" w:cs="Times New Roman"/>
          <w:sz w:val="24"/>
          <w:szCs w:val="24"/>
        </w:rPr>
        <w:t xml:space="preserve"> D O, </w:t>
      </w:r>
      <w:proofErr w:type="spellStart"/>
      <w:r>
        <w:rPr>
          <w:rFonts w:ascii="Times New Roman" w:hAnsi="Times New Roman" w:cs="Times New Roman"/>
          <w:sz w:val="24"/>
          <w:szCs w:val="24"/>
        </w:rPr>
        <w:t>Ebomoyi</w:t>
      </w:r>
      <w:proofErr w:type="spellEnd"/>
      <w:r>
        <w:rPr>
          <w:rFonts w:ascii="Times New Roman" w:hAnsi="Times New Roman" w:cs="Times New Roman"/>
          <w:sz w:val="24"/>
          <w:szCs w:val="24"/>
        </w:rPr>
        <w:t xml:space="preserve"> E W. The prevalence of infertility in a rural Nigerian community.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Med Sci.1991;20(1):23–27.</w:t>
      </w:r>
    </w:p>
    <w:p w14:paraId="6A169853" w14:textId="77777777" w:rsidR="000F50A4" w:rsidRDefault="000F50A4" w:rsidP="000F50A4">
      <w:pPr>
        <w:pStyle w:val="ListParagraph"/>
        <w:spacing w:line="276" w:lineRule="auto"/>
        <w:jc w:val="both"/>
        <w:rPr>
          <w:rFonts w:ascii="Times New Roman" w:hAnsi="Times New Roman" w:cs="Times New Roman"/>
          <w:sz w:val="24"/>
          <w:szCs w:val="24"/>
        </w:rPr>
      </w:pPr>
    </w:p>
    <w:p w14:paraId="7FDE865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Oke E S, Oke O F, Salawu A F, Akande J O, Oloyede W T, Kareem R A, et al. </w:t>
      </w:r>
      <w:proofErr w:type="spellStart"/>
      <w:r>
        <w:rPr>
          <w:rFonts w:ascii="Times New Roman" w:hAnsi="Times New Roman" w:cs="Times New Roman"/>
          <w:sz w:val="24"/>
          <w:szCs w:val="24"/>
        </w:rPr>
        <w:t>Comarism</w:t>
      </w:r>
      <w:proofErr w:type="spellEnd"/>
      <w:r>
        <w:rPr>
          <w:rFonts w:ascii="Times New Roman" w:hAnsi="Times New Roman" w:cs="Times New Roman"/>
          <w:sz w:val="24"/>
          <w:szCs w:val="24"/>
        </w:rPr>
        <w:t xml:space="preserve"> of serum level of Anti-Mullerian hormone in fertile and infertile women in South West Nigeria. Int J Med in Dev countries. 2019; 3(1):43 – 49.</w:t>
      </w:r>
    </w:p>
    <w:p w14:paraId="16D47772" w14:textId="77777777" w:rsidR="000F50A4" w:rsidRDefault="000F50A4" w:rsidP="000F50A4">
      <w:pPr>
        <w:pStyle w:val="ListParagraph"/>
        <w:spacing w:line="276" w:lineRule="auto"/>
        <w:jc w:val="both"/>
        <w:rPr>
          <w:rFonts w:ascii="Times New Roman" w:hAnsi="Times New Roman" w:cs="Times New Roman"/>
          <w:sz w:val="24"/>
          <w:szCs w:val="24"/>
        </w:rPr>
      </w:pPr>
    </w:p>
    <w:p w14:paraId="6FF720F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Mortaejeran</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Hamouush</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Rouholamin</w:t>
      </w:r>
      <w:proofErr w:type="spellEnd"/>
      <w:r>
        <w:rPr>
          <w:rFonts w:ascii="Times New Roman" w:hAnsi="Times New Roman" w:cs="Times New Roman"/>
          <w:sz w:val="24"/>
          <w:szCs w:val="24"/>
        </w:rPr>
        <w:t xml:space="preserve"> S. evaluation of Anti Mullerian levels before and after laparoscopic management of endometriosis. Adv Biomed Res. 2015; 4:182–184.</w:t>
      </w:r>
    </w:p>
    <w:p w14:paraId="76B86152" w14:textId="77777777" w:rsidR="000F50A4" w:rsidRDefault="000F50A4" w:rsidP="000F50A4">
      <w:pPr>
        <w:pStyle w:val="ListParagraph"/>
        <w:spacing w:line="276" w:lineRule="auto"/>
        <w:jc w:val="both"/>
        <w:rPr>
          <w:rFonts w:ascii="Times New Roman" w:hAnsi="Times New Roman" w:cs="Times New Roman"/>
          <w:sz w:val="24"/>
          <w:szCs w:val="24"/>
        </w:rPr>
      </w:pPr>
    </w:p>
    <w:p w14:paraId="1A7A6C9F"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Racoubian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Aimagambetova</w:t>
      </w:r>
      <w:proofErr w:type="spellEnd"/>
      <w:r>
        <w:rPr>
          <w:rFonts w:ascii="Times New Roman" w:hAnsi="Times New Roman" w:cs="Times New Roman"/>
          <w:sz w:val="24"/>
          <w:szCs w:val="24"/>
        </w:rPr>
        <w:t xml:space="preserve"> G, Ramzi R Finan and Wassim Y Almawi. Age dependent changes in Anti Mullerian hormone levels in Lebanese females: correlation with basal FSH and LH levels and LH/FSH ratio: a cross sectional study. BMC women’s Health. 2020; 20:134.</w:t>
      </w:r>
    </w:p>
    <w:p w14:paraId="65A5BD8A" w14:textId="77777777" w:rsidR="000F50A4" w:rsidRDefault="000F50A4" w:rsidP="000F50A4">
      <w:pPr>
        <w:pStyle w:val="ListParagraph"/>
        <w:spacing w:line="276" w:lineRule="auto"/>
        <w:jc w:val="both"/>
        <w:rPr>
          <w:rFonts w:ascii="Times New Roman" w:hAnsi="Times New Roman" w:cs="Times New Roman"/>
          <w:sz w:val="24"/>
          <w:szCs w:val="24"/>
        </w:rPr>
      </w:pPr>
    </w:p>
    <w:p w14:paraId="226556A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Maslow, Bal-Sheva L, </w:t>
      </w:r>
      <w:proofErr w:type="spellStart"/>
      <w:r>
        <w:rPr>
          <w:rFonts w:ascii="Times New Roman" w:hAnsi="Times New Roman" w:cs="Times New Roman"/>
          <w:sz w:val="24"/>
          <w:szCs w:val="24"/>
        </w:rPr>
        <w:t>Guamaccia</w:t>
      </w:r>
      <w:proofErr w:type="spellEnd"/>
      <w:r>
        <w:rPr>
          <w:rFonts w:ascii="Times New Roman" w:hAnsi="Times New Roman" w:cs="Times New Roman"/>
          <w:sz w:val="24"/>
          <w:szCs w:val="24"/>
        </w:rPr>
        <w:t>, Michael M P H, Dayna M S N, Joshua U, el al. Age based interpretation of anti-Mullerian hormone (AMH) levels in non-infertile women(37J). Obst gynecol. 2019; 133:117–118.</w:t>
      </w:r>
    </w:p>
    <w:p w14:paraId="24BA7114" w14:textId="77777777" w:rsidR="000F50A4" w:rsidRDefault="000F50A4" w:rsidP="000F50A4">
      <w:pPr>
        <w:pStyle w:val="ListParagraph"/>
        <w:spacing w:line="276" w:lineRule="auto"/>
        <w:jc w:val="both"/>
        <w:rPr>
          <w:rFonts w:ascii="Times New Roman" w:hAnsi="Times New Roman" w:cs="Times New Roman"/>
          <w:sz w:val="24"/>
          <w:szCs w:val="24"/>
        </w:rPr>
      </w:pPr>
    </w:p>
    <w:p w14:paraId="1F90E46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Lia AB, Mercedes RC. Deborah EI, Lisa MN, Donna DP et al. Relationship between obesity and anti-Mullerian hormone in reproductive aged African-American women. Silver Spring.2017;28(1):229–235.</w:t>
      </w:r>
    </w:p>
    <w:p w14:paraId="14964E75" w14:textId="77777777" w:rsidR="000F50A4" w:rsidRDefault="000F50A4" w:rsidP="000F50A4">
      <w:pPr>
        <w:pStyle w:val="ListParagraph"/>
        <w:spacing w:line="276" w:lineRule="auto"/>
        <w:jc w:val="both"/>
        <w:rPr>
          <w:rFonts w:ascii="Times New Roman" w:hAnsi="Times New Roman" w:cs="Times New Roman"/>
          <w:sz w:val="24"/>
          <w:szCs w:val="24"/>
        </w:rPr>
      </w:pPr>
    </w:p>
    <w:p w14:paraId="654CA39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Simoes-Pereira J, Nunes J, Agular A, Sousa S, Rodrigues C, et al. influence of body mass index in anti-Mullerian hormone levels in 951 non polycystic ovarian syndrome women followed at a reproductive medicine unit. Endocrinol.2018;61:144–148.</w:t>
      </w:r>
    </w:p>
    <w:p w14:paraId="482C9D77" w14:textId="77777777" w:rsidR="000F50A4" w:rsidRDefault="000F50A4" w:rsidP="000F50A4">
      <w:pPr>
        <w:pStyle w:val="ListParagraph"/>
        <w:spacing w:line="276" w:lineRule="auto"/>
        <w:jc w:val="both"/>
        <w:rPr>
          <w:rFonts w:ascii="Times New Roman" w:hAnsi="Times New Roman" w:cs="Times New Roman"/>
          <w:sz w:val="24"/>
          <w:szCs w:val="24"/>
        </w:rPr>
      </w:pPr>
    </w:p>
    <w:p w14:paraId="72A1AE40"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Barbakadze</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Kristesashvili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Khonelidze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Tsagareishvili</w:t>
      </w:r>
      <w:proofErr w:type="spellEnd"/>
      <w:r>
        <w:rPr>
          <w:rFonts w:ascii="Times New Roman" w:hAnsi="Times New Roman" w:cs="Times New Roman"/>
          <w:sz w:val="24"/>
          <w:szCs w:val="24"/>
        </w:rPr>
        <w:t xml:space="preserve"> G. The correlations of anti-Mullerian hormone, follicle stimulating hormone and antral follicle count in different age groups of infertile women. Int J Fertil Steril.2015;8(4):393–398.</w:t>
      </w:r>
    </w:p>
    <w:p w14:paraId="3FA6CD27" w14:textId="77777777" w:rsidR="000F50A4" w:rsidRDefault="000F50A4" w:rsidP="000F50A4">
      <w:pPr>
        <w:pStyle w:val="ListParagraph"/>
        <w:spacing w:line="276" w:lineRule="auto"/>
        <w:jc w:val="both"/>
        <w:rPr>
          <w:rFonts w:ascii="Times New Roman" w:hAnsi="Times New Roman" w:cs="Times New Roman"/>
          <w:sz w:val="24"/>
          <w:szCs w:val="24"/>
        </w:rPr>
      </w:pPr>
    </w:p>
    <w:p w14:paraId="7D192D67" w14:textId="77777777" w:rsidR="000F50A4" w:rsidRDefault="000F50A4" w:rsidP="00221A91">
      <w:pPr>
        <w:spacing w:line="480" w:lineRule="auto"/>
        <w:jc w:val="both"/>
        <w:rPr>
          <w:rFonts w:ascii="Times New Roman" w:hAnsi="Times New Roman" w:cs="Times New Roman"/>
          <w:b/>
          <w:sz w:val="24"/>
          <w:szCs w:val="24"/>
        </w:rPr>
      </w:pPr>
    </w:p>
    <w:p w14:paraId="49EFB942" w14:textId="77777777" w:rsidR="009F1D37" w:rsidRPr="00221A91" w:rsidRDefault="009F1D37" w:rsidP="00221A91">
      <w:pPr>
        <w:spacing w:line="480" w:lineRule="auto"/>
        <w:jc w:val="both"/>
        <w:rPr>
          <w:rFonts w:ascii="Times New Roman" w:hAnsi="Times New Roman" w:cs="Times New Roman"/>
          <w:sz w:val="24"/>
          <w:szCs w:val="24"/>
        </w:rPr>
      </w:pPr>
    </w:p>
    <w:sectPr w:rsidR="009F1D37" w:rsidRPr="00221A9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AIDYA PANKAJ SHARMA" w:date="2025-10-13T20:55:00Z" w:initials="VS">
    <w:p w14:paraId="6770FF95" w14:textId="77777777" w:rsidR="00882486" w:rsidRDefault="00882486" w:rsidP="00882486">
      <w:pPr>
        <w:pStyle w:val="CommentText"/>
      </w:pPr>
      <w:r>
        <w:rPr>
          <w:rStyle w:val="CommentReference"/>
        </w:rPr>
        <w:annotationRef/>
      </w:r>
      <w:r>
        <w:rPr>
          <w:lang w:val="en-IN"/>
        </w:rPr>
        <w:t>Mention sampling type</w:t>
      </w:r>
    </w:p>
  </w:comment>
  <w:comment w:id="2" w:author="VAIDYA PANKAJ SHARMA" w:date="2025-10-13T20:56:00Z" w:initials="VS">
    <w:p w14:paraId="7310B886" w14:textId="77777777" w:rsidR="00882486" w:rsidRDefault="00882486" w:rsidP="00882486">
      <w:pPr>
        <w:pStyle w:val="CommentText"/>
      </w:pPr>
      <w:r>
        <w:rPr>
          <w:rStyle w:val="CommentReference"/>
        </w:rPr>
        <w:annotationRef/>
      </w:r>
      <w:r>
        <w:rPr>
          <w:lang w:val="en-IN"/>
        </w:rPr>
        <w:t>Write separately for easy understanding</w:t>
      </w:r>
    </w:p>
  </w:comment>
  <w:comment w:id="4" w:author="VAIDYA PANKAJ SHARMA" w:date="2025-10-13T20:56:00Z" w:initials="VS">
    <w:p w14:paraId="57847C1F" w14:textId="77777777" w:rsidR="00882486" w:rsidRDefault="00882486" w:rsidP="00882486">
      <w:pPr>
        <w:pStyle w:val="CommentText"/>
      </w:pPr>
      <w:r>
        <w:rPr>
          <w:rStyle w:val="CommentReference"/>
        </w:rPr>
        <w:annotationRef/>
      </w:r>
      <w:r>
        <w:rPr>
          <w:lang w:val="en-IN"/>
        </w:rPr>
        <w:t>Mention directly. No need of explanation as thet are already understood and self explanatory</w:t>
      </w:r>
    </w:p>
  </w:comment>
  <w:comment w:id="7" w:author="VAIDYA PANKAJ SHARMA" w:date="2025-10-13T20:57:00Z" w:initials="VS">
    <w:p w14:paraId="2E86A58C" w14:textId="77777777" w:rsidR="00882486" w:rsidRDefault="00882486" w:rsidP="00882486">
      <w:pPr>
        <w:pStyle w:val="CommentText"/>
      </w:pPr>
      <w:r>
        <w:rPr>
          <w:rStyle w:val="CommentReference"/>
        </w:rPr>
        <w:annotationRef/>
      </w:r>
      <w:r>
        <w:rPr>
          <w:lang w:val="en-IN"/>
        </w:rPr>
        <w:t>Confirm since chi-square values are also mentioned</w:t>
      </w:r>
    </w:p>
  </w:comment>
  <w:comment w:id="10" w:author="VAIDYA PANKAJ SHARMA" w:date="2025-10-13T20:58:00Z" w:initials="VS">
    <w:p w14:paraId="0E6D889F" w14:textId="77777777" w:rsidR="00882486" w:rsidRDefault="00882486" w:rsidP="00882486">
      <w:pPr>
        <w:pStyle w:val="CommentText"/>
      </w:pPr>
      <w:r>
        <w:rPr>
          <w:rStyle w:val="CommentReference"/>
        </w:rPr>
        <w:annotationRef/>
      </w:r>
      <w:r>
        <w:rPr>
          <w:lang w:val="en-IN"/>
        </w:rPr>
        <w:t>Separate discussion part from results or observations</w:t>
      </w:r>
    </w:p>
  </w:comment>
  <w:comment w:id="12" w:author="VAIDYA PANKAJ SHARMA" w:date="2025-10-13T20:58:00Z" w:initials="VS">
    <w:p w14:paraId="11B422DF" w14:textId="77777777" w:rsidR="00882486" w:rsidRDefault="00882486" w:rsidP="00882486">
      <w:pPr>
        <w:pStyle w:val="CommentText"/>
      </w:pPr>
      <w:r>
        <w:rPr>
          <w:rStyle w:val="CommentReference"/>
        </w:rPr>
        <w:annotationRef/>
      </w:r>
      <w:r>
        <w:rPr>
          <w:lang w:val="en-IN"/>
        </w:rPr>
        <w:t>Write conclusion in context of data. Not a statement</w:t>
      </w:r>
    </w:p>
  </w:comment>
  <w:comment w:id="13" w:author="VAIDYA PANKAJ SHARMA" w:date="2025-10-13T20:59:00Z" w:initials="VS">
    <w:p w14:paraId="7C12DF82" w14:textId="77777777" w:rsidR="00882486" w:rsidRDefault="00882486" w:rsidP="00882486">
      <w:pPr>
        <w:pStyle w:val="CommentText"/>
      </w:pPr>
      <w:r>
        <w:rPr>
          <w:rStyle w:val="CommentReference"/>
        </w:rPr>
        <w:annotationRef/>
      </w:r>
      <w:r>
        <w:rPr>
          <w:lang w:val="en-IN"/>
        </w:rPr>
        <w:t>Check reference as per guidleines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70FF95" w15:done="0"/>
  <w15:commentEx w15:paraId="7310B886" w15:done="0"/>
  <w15:commentEx w15:paraId="57847C1F" w15:done="0"/>
  <w15:commentEx w15:paraId="2E86A58C" w15:done="0"/>
  <w15:commentEx w15:paraId="0E6D889F" w15:done="0"/>
  <w15:commentEx w15:paraId="11B422DF" w15:done="0"/>
  <w15:commentEx w15:paraId="7C12D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0F093F" w16cex:dateUtc="2025-10-13T15:24:00Z"/>
  <w16cex:commentExtensible w16cex:durableId="0A60D927" w16cex:dateUtc="2025-10-13T15:25:00Z"/>
  <w16cex:commentExtensible w16cex:durableId="46C83E1F" w16cex:dateUtc="2025-10-13T15:26:00Z"/>
  <w16cex:commentExtensible w16cex:durableId="53D4E86C" w16cex:dateUtc="2025-10-13T15:26:00Z"/>
  <w16cex:commentExtensible w16cex:durableId="3D1A7D7B" w16cex:dateUtc="2025-10-13T15:27:00Z"/>
  <w16cex:commentExtensible w16cex:durableId="12E02C01" w16cex:dateUtc="2025-10-13T15:28:00Z"/>
  <w16cex:commentExtensible w16cex:durableId="03F3214E" w16cex:dateUtc="2025-10-13T15:28:00Z"/>
  <w16cex:commentExtensible w16cex:durableId="16236DAC" w16cex:dateUtc="2025-10-13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0FF95" w16cid:durableId="0A60D927"/>
  <w16cid:commentId w16cid:paraId="7310B886" w16cid:durableId="46C83E1F"/>
  <w16cid:commentId w16cid:paraId="57847C1F" w16cid:durableId="53D4E86C"/>
  <w16cid:commentId w16cid:paraId="2E86A58C" w16cid:durableId="3D1A7D7B"/>
  <w16cid:commentId w16cid:paraId="0E6D889F" w16cid:durableId="12E02C01"/>
  <w16cid:commentId w16cid:paraId="11B422DF" w16cid:durableId="03F3214E"/>
  <w16cid:commentId w16cid:paraId="7C12DF82" w16cid:durableId="16236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107FA" w14:textId="77777777" w:rsidR="00980CBC" w:rsidRDefault="00980CBC" w:rsidP="009B304A">
      <w:pPr>
        <w:spacing w:after="0" w:line="240" w:lineRule="auto"/>
      </w:pPr>
      <w:r>
        <w:separator/>
      </w:r>
    </w:p>
  </w:endnote>
  <w:endnote w:type="continuationSeparator" w:id="0">
    <w:p w14:paraId="209AE3B8" w14:textId="77777777" w:rsidR="00980CBC" w:rsidRDefault="00980CBC" w:rsidP="009B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5487" w14:textId="77777777" w:rsidR="009B304A" w:rsidRDefault="009B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E3A2" w14:textId="77777777" w:rsidR="009B304A" w:rsidRDefault="009B3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D33D" w14:textId="77777777" w:rsidR="009B304A" w:rsidRDefault="009B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636DB" w14:textId="77777777" w:rsidR="00980CBC" w:rsidRDefault="00980CBC" w:rsidP="009B304A">
      <w:pPr>
        <w:spacing w:after="0" w:line="240" w:lineRule="auto"/>
      </w:pPr>
      <w:r>
        <w:separator/>
      </w:r>
    </w:p>
  </w:footnote>
  <w:footnote w:type="continuationSeparator" w:id="0">
    <w:p w14:paraId="73E5000E" w14:textId="77777777" w:rsidR="00980CBC" w:rsidRDefault="00980CBC" w:rsidP="009B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197D" w14:textId="2BDC6117" w:rsidR="009B304A" w:rsidRDefault="00980CBC">
    <w:pPr>
      <w:pStyle w:val="Header"/>
    </w:pPr>
    <w:r>
      <w:rPr>
        <w:noProof/>
      </w:rPr>
      <w:pict w14:anchorId="45C18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A74D" w14:textId="6C9DCF94" w:rsidR="009B304A" w:rsidRDefault="00980CBC">
    <w:pPr>
      <w:pStyle w:val="Header"/>
    </w:pPr>
    <w:r>
      <w:rPr>
        <w:noProof/>
      </w:rPr>
      <w:pict w14:anchorId="1B963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CE81" w14:textId="5AB0403F" w:rsidR="009B304A" w:rsidRDefault="00980CBC">
    <w:pPr>
      <w:pStyle w:val="Header"/>
    </w:pPr>
    <w:r>
      <w:rPr>
        <w:noProof/>
      </w:rPr>
      <w:pict w14:anchorId="36C91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261"/>
    <w:multiLevelType w:val="multilevel"/>
    <w:tmpl w:val="04945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EE4F08"/>
    <w:multiLevelType w:val="multilevel"/>
    <w:tmpl w:val="2CEE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561516"/>
    <w:multiLevelType w:val="multilevel"/>
    <w:tmpl w:val="55561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D4535"/>
    <w:multiLevelType w:val="multilevel"/>
    <w:tmpl w:val="763D4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FB57FC"/>
    <w:multiLevelType w:val="multilevel"/>
    <w:tmpl w:val="76FB5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IDYA PANKAJ SHARMA">
    <w15:presenceInfo w15:providerId="Windows Live" w15:userId="a15ce0ade404c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207"/>
    <w:rsid w:val="000654CA"/>
    <w:rsid w:val="000874F6"/>
    <w:rsid w:val="0009001D"/>
    <w:rsid w:val="00096346"/>
    <w:rsid w:val="000D4ADC"/>
    <w:rsid w:val="000F50A4"/>
    <w:rsid w:val="00191AE0"/>
    <w:rsid w:val="001938F7"/>
    <w:rsid w:val="00221A91"/>
    <w:rsid w:val="0027385D"/>
    <w:rsid w:val="00275AE9"/>
    <w:rsid w:val="00286BDE"/>
    <w:rsid w:val="00306A10"/>
    <w:rsid w:val="003122E4"/>
    <w:rsid w:val="00322116"/>
    <w:rsid w:val="0033650E"/>
    <w:rsid w:val="003B1103"/>
    <w:rsid w:val="003D5958"/>
    <w:rsid w:val="004257B4"/>
    <w:rsid w:val="00440390"/>
    <w:rsid w:val="00480687"/>
    <w:rsid w:val="0048691A"/>
    <w:rsid w:val="00495990"/>
    <w:rsid w:val="00495CCB"/>
    <w:rsid w:val="004A2906"/>
    <w:rsid w:val="004F7862"/>
    <w:rsid w:val="005028A0"/>
    <w:rsid w:val="005E5103"/>
    <w:rsid w:val="00672588"/>
    <w:rsid w:val="0068450F"/>
    <w:rsid w:val="006C0CB2"/>
    <w:rsid w:val="006D4958"/>
    <w:rsid w:val="006F1C0C"/>
    <w:rsid w:val="00702FBD"/>
    <w:rsid w:val="007063B8"/>
    <w:rsid w:val="00797B57"/>
    <w:rsid w:val="007E0023"/>
    <w:rsid w:val="00882486"/>
    <w:rsid w:val="008845DB"/>
    <w:rsid w:val="008931A5"/>
    <w:rsid w:val="008C504B"/>
    <w:rsid w:val="008D3039"/>
    <w:rsid w:val="00954046"/>
    <w:rsid w:val="00970BF3"/>
    <w:rsid w:val="00977225"/>
    <w:rsid w:val="00980CBC"/>
    <w:rsid w:val="00982E88"/>
    <w:rsid w:val="00986765"/>
    <w:rsid w:val="009A6AB5"/>
    <w:rsid w:val="009B304A"/>
    <w:rsid w:val="009F1D37"/>
    <w:rsid w:val="00A7397D"/>
    <w:rsid w:val="00A95F12"/>
    <w:rsid w:val="00B310DF"/>
    <w:rsid w:val="00BC60C1"/>
    <w:rsid w:val="00BC6F09"/>
    <w:rsid w:val="00C14000"/>
    <w:rsid w:val="00C24D56"/>
    <w:rsid w:val="00CB6573"/>
    <w:rsid w:val="00D1757F"/>
    <w:rsid w:val="00D745B9"/>
    <w:rsid w:val="00D7481B"/>
    <w:rsid w:val="00DB6965"/>
    <w:rsid w:val="00DD28B2"/>
    <w:rsid w:val="00DE0E7C"/>
    <w:rsid w:val="00DF3D0F"/>
    <w:rsid w:val="00E507D4"/>
    <w:rsid w:val="00EE1BD8"/>
    <w:rsid w:val="00EF20E5"/>
    <w:rsid w:val="00F20C24"/>
    <w:rsid w:val="00F54ABF"/>
    <w:rsid w:val="00F91880"/>
    <w:rsid w:val="00FB7F1D"/>
    <w:rsid w:val="00FD5207"/>
    <w:rsid w:val="00FD75B4"/>
    <w:rsid w:val="00FE744C"/>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66D79A"/>
  <w15:docId w15:val="{C018394A-A939-4C1B-B475-EFDE6DB8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07"/>
    <w:rPr>
      <w:rFonts w:ascii="Tahoma" w:hAnsi="Tahoma" w:cs="Tahoma"/>
      <w:sz w:val="16"/>
      <w:szCs w:val="16"/>
    </w:rPr>
  </w:style>
  <w:style w:type="table" w:styleId="TableGrid">
    <w:name w:val="Table Grid"/>
    <w:basedOn w:val="TableNormal"/>
    <w:uiPriority w:val="39"/>
    <w:qFormat/>
    <w:rsid w:val="00FD520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588"/>
    <w:pPr>
      <w:spacing w:after="160" w:line="259" w:lineRule="auto"/>
      <w:ind w:left="720"/>
      <w:contextualSpacing/>
    </w:pPr>
    <w:rPr>
      <w:lang w:val="en-US"/>
    </w:rPr>
  </w:style>
  <w:style w:type="character" w:styleId="Emphasis">
    <w:name w:val="Emphasis"/>
    <w:basedOn w:val="DefaultParagraphFont"/>
    <w:uiPriority w:val="20"/>
    <w:qFormat/>
    <w:rsid w:val="000F50A4"/>
    <w:rPr>
      <w:i/>
      <w:iCs/>
    </w:rPr>
  </w:style>
  <w:style w:type="character" w:styleId="Hyperlink">
    <w:name w:val="Hyperlink"/>
    <w:basedOn w:val="DefaultParagraphFont"/>
    <w:uiPriority w:val="99"/>
    <w:unhideWhenUsed/>
    <w:rsid w:val="008D3039"/>
    <w:rPr>
      <w:color w:val="0000FF" w:themeColor="hyperlink"/>
      <w:u w:val="single"/>
    </w:rPr>
  </w:style>
  <w:style w:type="character" w:styleId="UnresolvedMention">
    <w:name w:val="Unresolved Mention"/>
    <w:basedOn w:val="DefaultParagraphFont"/>
    <w:uiPriority w:val="99"/>
    <w:semiHidden/>
    <w:unhideWhenUsed/>
    <w:rsid w:val="00DE0E7C"/>
    <w:rPr>
      <w:color w:val="605E5C"/>
      <w:shd w:val="clear" w:color="auto" w:fill="E1DFDD"/>
    </w:rPr>
  </w:style>
  <w:style w:type="paragraph" w:styleId="Header">
    <w:name w:val="header"/>
    <w:basedOn w:val="Normal"/>
    <w:link w:val="HeaderChar"/>
    <w:uiPriority w:val="99"/>
    <w:unhideWhenUsed/>
    <w:rsid w:val="009B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04A"/>
  </w:style>
  <w:style w:type="paragraph" w:styleId="Footer">
    <w:name w:val="footer"/>
    <w:basedOn w:val="Normal"/>
    <w:link w:val="FooterChar"/>
    <w:uiPriority w:val="99"/>
    <w:unhideWhenUsed/>
    <w:rsid w:val="009B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4A"/>
  </w:style>
  <w:style w:type="character" w:styleId="CommentReference">
    <w:name w:val="annotation reference"/>
    <w:basedOn w:val="DefaultParagraphFont"/>
    <w:uiPriority w:val="99"/>
    <w:semiHidden/>
    <w:unhideWhenUsed/>
    <w:rsid w:val="00882486"/>
    <w:rPr>
      <w:sz w:val="16"/>
      <w:szCs w:val="16"/>
    </w:rPr>
  </w:style>
  <w:style w:type="paragraph" w:styleId="CommentText">
    <w:name w:val="annotation text"/>
    <w:basedOn w:val="Normal"/>
    <w:link w:val="CommentTextChar"/>
    <w:uiPriority w:val="99"/>
    <w:unhideWhenUsed/>
    <w:rsid w:val="00882486"/>
    <w:pPr>
      <w:spacing w:line="240" w:lineRule="auto"/>
    </w:pPr>
    <w:rPr>
      <w:sz w:val="20"/>
      <w:szCs w:val="20"/>
    </w:rPr>
  </w:style>
  <w:style w:type="character" w:customStyle="1" w:styleId="CommentTextChar">
    <w:name w:val="Comment Text Char"/>
    <w:basedOn w:val="DefaultParagraphFont"/>
    <w:link w:val="CommentText"/>
    <w:uiPriority w:val="99"/>
    <w:rsid w:val="00882486"/>
    <w:rPr>
      <w:sz w:val="20"/>
      <w:szCs w:val="20"/>
    </w:rPr>
  </w:style>
  <w:style w:type="paragraph" w:styleId="CommentSubject">
    <w:name w:val="annotation subject"/>
    <w:basedOn w:val="CommentText"/>
    <w:next w:val="CommentText"/>
    <w:link w:val="CommentSubjectChar"/>
    <w:uiPriority w:val="99"/>
    <w:semiHidden/>
    <w:unhideWhenUsed/>
    <w:rsid w:val="00882486"/>
    <w:rPr>
      <w:b/>
      <w:bCs/>
    </w:rPr>
  </w:style>
  <w:style w:type="character" w:customStyle="1" w:styleId="CommentSubjectChar">
    <w:name w:val="Comment Subject Char"/>
    <w:basedOn w:val="CommentTextChar"/>
    <w:link w:val="CommentSubject"/>
    <w:uiPriority w:val="99"/>
    <w:semiHidden/>
    <w:rsid w:val="008824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D7CE-534A-47B5-AA53-7C23BCC0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SDI 1181</cp:lastModifiedBy>
  <cp:revision>83</cp:revision>
  <dcterms:created xsi:type="dcterms:W3CDTF">2025-01-02T16:31:00Z</dcterms:created>
  <dcterms:modified xsi:type="dcterms:W3CDTF">2025-10-14T10:46:00Z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406feb0d-4654-4611-b453-b8e0081288bb</vt:lpwstr>
  </property>
</Properties>
</file>