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CBF02" w14:textId="77777777" w:rsidR="00C25F27" w:rsidRPr="002B45D7" w:rsidRDefault="00BC66BE" w:rsidP="002B45D7">
      <w:pPr>
        <w:spacing w:line="360" w:lineRule="auto"/>
        <w:rPr>
          <w:rFonts w:ascii="Times New Roman" w:hAnsi="Times New Roman" w:cs="Times New Roman"/>
          <w:b/>
          <w:sz w:val="24"/>
          <w:szCs w:val="24"/>
        </w:rPr>
      </w:pPr>
      <w:r w:rsidRPr="00BC66BE">
        <w:rPr>
          <w:rFonts w:ascii="Times New Roman" w:hAnsi="Times New Roman" w:cs="Times New Roman"/>
          <w:b/>
          <w:sz w:val="24"/>
          <w:szCs w:val="24"/>
        </w:rPr>
        <w:t>Original Research Article</w:t>
      </w:r>
    </w:p>
    <w:p w14:paraId="20B8A823" w14:textId="77777777" w:rsidR="00504829" w:rsidRPr="002B45D7" w:rsidRDefault="00504829" w:rsidP="002B45D7">
      <w:pPr>
        <w:spacing w:line="360" w:lineRule="auto"/>
        <w:jc w:val="center"/>
        <w:rPr>
          <w:rFonts w:ascii="Times New Roman" w:hAnsi="Times New Roman" w:cs="Times New Roman"/>
          <w:b/>
          <w:sz w:val="24"/>
          <w:szCs w:val="24"/>
        </w:rPr>
      </w:pPr>
      <w:r w:rsidRPr="002B45D7">
        <w:rPr>
          <w:rFonts w:ascii="Times New Roman" w:hAnsi="Times New Roman" w:cs="Times New Roman"/>
          <w:b/>
          <w:sz w:val="24"/>
          <w:szCs w:val="24"/>
        </w:rPr>
        <w:t xml:space="preserve">Assessment of Full Blood Count, Some </w:t>
      </w:r>
      <w:commentRangeStart w:id="0"/>
      <w:proofErr w:type="spellStart"/>
      <w:r w:rsidRPr="002B45D7">
        <w:rPr>
          <w:rFonts w:ascii="Times New Roman" w:hAnsi="Times New Roman" w:cs="Times New Roman"/>
          <w:b/>
          <w:sz w:val="24"/>
          <w:szCs w:val="24"/>
        </w:rPr>
        <w:t>Haemostatic</w:t>
      </w:r>
      <w:proofErr w:type="spellEnd"/>
      <w:r w:rsidRPr="002B45D7">
        <w:rPr>
          <w:rFonts w:ascii="Times New Roman" w:hAnsi="Times New Roman" w:cs="Times New Roman"/>
          <w:b/>
          <w:sz w:val="24"/>
          <w:szCs w:val="24"/>
        </w:rPr>
        <w:t xml:space="preserve"> Parameters and </w:t>
      </w:r>
      <w:proofErr w:type="spellStart"/>
      <w:r w:rsidRPr="002B45D7">
        <w:rPr>
          <w:rFonts w:ascii="Times New Roman" w:hAnsi="Times New Roman" w:cs="Times New Roman"/>
          <w:b/>
          <w:sz w:val="24"/>
          <w:szCs w:val="24"/>
        </w:rPr>
        <w:t>HBsAg</w:t>
      </w:r>
      <w:proofErr w:type="spellEnd"/>
      <w:r w:rsidRPr="002B45D7">
        <w:rPr>
          <w:rFonts w:ascii="Times New Roman" w:hAnsi="Times New Roman" w:cs="Times New Roman"/>
          <w:b/>
          <w:sz w:val="24"/>
          <w:szCs w:val="24"/>
        </w:rPr>
        <w:t xml:space="preserve"> Infection in Pregnant Women in Edo State</w:t>
      </w:r>
      <w:commentRangeEnd w:id="0"/>
      <w:r w:rsidR="00421805">
        <w:rPr>
          <w:rStyle w:val="CommentReference"/>
        </w:rPr>
        <w:commentReference w:id="0"/>
      </w:r>
    </w:p>
    <w:p w14:paraId="67171C95" w14:textId="77777777" w:rsidR="001B1455" w:rsidRDefault="001B1455" w:rsidP="002B45D7">
      <w:pPr>
        <w:spacing w:line="360" w:lineRule="auto"/>
        <w:rPr>
          <w:rFonts w:ascii="Times New Roman" w:hAnsi="Times New Roman" w:cs="Times New Roman"/>
          <w:b/>
          <w:sz w:val="24"/>
          <w:szCs w:val="24"/>
        </w:rPr>
      </w:pPr>
    </w:p>
    <w:p w14:paraId="7CB0601C" w14:textId="77777777" w:rsidR="004D62B6" w:rsidRPr="002B45D7" w:rsidRDefault="004D62B6" w:rsidP="002B45D7">
      <w:pPr>
        <w:spacing w:line="360" w:lineRule="auto"/>
        <w:rPr>
          <w:rFonts w:ascii="Times New Roman" w:hAnsi="Times New Roman" w:cs="Times New Roman"/>
          <w:b/>
          <w:sz w:val="24"/>
          <w:szCs w:val="24"/>
        </w:rPr>
      </w:pPr>
    </w:p>
    <w:p w14:paraId="1564062A" w14:textId="77777777" w:rsidR="00504829" w:rsidRPr="002B45D7" w:rsidRDefault="00504829" w:rsidP="002B45D7">
      <w:pPr>
        <w:spacing w:line="360" w:lineRule="auto"/>
        <w:jc w:val="center"/>
        <w:rPr>
          <w:rFonts w:ascii="Times New Roman" w:hAnsi="Times New Roman" w:cs="Times New Roman"/>
          <w:b/>
          <w:sz w:val="24"/>
          <w:szCs w:val="24"/>
        </w:rPr>
      </w:pPr>
      <w:r w:rsidRPr="002B45D7">
        <w:rPr>
          <w:rFonts w:ascii="Times New Roman" w:hAnsi="Times New Roman" w:cs="Times New Roman"/>
          <w:b/>
          <w:sz w:val="24"/>
          <w:szCs w:val="24"/>
        </w:rPr>
        <w:t>Abstract</w:t>
      </w:r>
    </w:p>
    <w:p w14:paraId="394D33A1"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Introduction:</w:t>
      </w:r>
      <w:r w:rsidRPr="002B45D7">
        <w:rPr>
          <w:rFonts w:ascii="Times New Roman" w:hAnsi="Times New Roman" w:cs="Times New Roman"/>
          <w:sz w:val="24"/>
          <w:szCs w:val="24"/>
        </w:rPr>
        <w:t xml:space="preserve"> Hepatitis B virus (HBV) </w:t>
      </w:r>
      <w:commentRangeStart w:id="1"/>
      <w:r w:rsidRPr="002B45D7">
        <w:rPr>
          <w:rFonts w:ascii="Times New Roman" w:hAnsi="Times New Roman" w:cs="Times New Roman"/>
          <w:sz w:val="24"/>
          <w:szCs w:val="24"/>
        </w:rPr>
        <w:t xml:space="preserve">infection during pregnancy constitutes a significant public health challenge, contributing to maternal morbidity and vertical transmission risk. HBV infection is linked with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abnormalities exacerbated </w:t>
      </w:r>
      <w:commentRangeEnd w:id="1"/>
      <w:r w:rsidR="00421805">
        <w:rPr>
          <w:rStyle w:val="CommentReference"/>
        </w:rPr>
        <w:commentReference w:id="1"/>
      </w:r>
      <w:r w:rsidRPr="002B45D7">
        <w:rPr>
          <w:rFonts w:ascii="Times New Roman" w:hAnsi="Times New Roman" w:cs="Times New Roman"/>
          <w:sz w:val="24"/>
          <w:szCs w:val="24"/>
        </w:rPr>
        <w:t>by physiological changes during pregnancy.</w:t>
      </w:r>
    </w:p>
    <w:p w14:paraId="61C26E12"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Aim/Objective:</w:t>
      </w:r>
      <w:r w:rsidRPr="002B45D7">
        <w:rPr>
          <w:rFonts w:ascii="Times New Roman" w:hAnsi="Times New Roman" w:cs="Times New Roman"/>
          <w:sz w:val="24"/>
          <w:szCs w:val="24"/>
        </w:rPr>
        <w:t xml:space="preserve"> This study aimed to assess the alterations in full blood count (FBC) and selected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parameters in pregnant women with hepatitis B surface antigen (HBsAg) infection attending antenatal care in Edo State, Nigeria.</w:t>
      </w:r>
    </w:p>
    <w:p w14:paraId="7B05866C"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Method:</w:t>
      </w:r>
      <w:r w:rsidRPr="002B45D7">
        <w:rPr>
          <w:rFonts w:ascii="Times New Roman" w:hAnsi="Times New Roman" w:cs="Times New Roman"/>
          <w:sz w:val="24"/>
          <w:szCs w:val="24"/>
        </w:rPr>
        <w:t xml:space="preserve"> A cross-sectional analytical study was conducted involving 180 pregnant women (150 HBsAg positive and 30 controls). FBC was analyzed using automated hematology analyzers,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parameters including </w:t>
      </w:r>
      <w:proofErr w:type="spellStart"/>
      <w:r w:rsidRPr="002B45D7">
        <w:rPr>
          <w:rFonts w:ascii="Times New Roman" w:hAnsi="Times New Roman" w:cs="Times New Roman"/>
          <w:sz w:val="24"/>
          <w:szCs w:val="24"/>
        </w:rPr>
        <w:t>Prothrombin</w:t>
      </w:r>
      <w:proofErr w:type="spellEnd"/>
      <w:r w:rsidRPr="002B45D7">
        <w:rPr>
          <w:rFonts w:ascii="Times New Roman" w:hAnsi="Times New Roman" w:cs="Times New Roman"/>
          <w:sz w:val="24"/>
          <w:szCs w:val="24"/>
        </w:rPr>
        <w:t xml:space="preserve"> Time (PT), Activated Partial Thromboplastin Time (APTT), fibrinogen, and D-dimer were measured. HBsAg status was confirmed by ELISA. Data were statistically analyzed using descriptive and inferential statistics.</w:t>
      </w:r>
    </w:p>
    <w:p w14:paraId="1E02CDEE"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Results:</w:t>
      </w:r>
      <w:r w:rsidRPr="002B45D7">
        <w:rPr>
          <w:rFonts w:ascii="Times New Roman" w:hAnsi="Times New Roman" w:cs="Times New Roman"/>
          <w:sz w:val="24"/>
          <w:szCs w:val="24"/>
        </w:rPr>
        <w:t xml:space="preserve"> HBsAg positive pregnant women had significantly reduced red blood cell counts, haemoglobin concentration, haematocrit, and platelet counts compared to controls (p &lt; 0.05). They showed prolonged PT and APTT, with elevated fibrinogen and D-dimer levels (p &lt; 0.05), indicating coagulopathy alongside anemia and thrombocytopenia. White blood cell counts were elevated with neutrophilia and lymphopenia. These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derangements correlated with HBsAg positivity and may increase maternal and fetal risks.</w:t>
      </w:r>
    </w:p>
    <w:p w14:paraId="6CA2DE21"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Conclusion:</w:t>
      </w:r>
      <w:r w:rsidRPr="002B45D7">
        <w:rPr>
          <w:rFonts w:ascii="Times New Roman" w:hAnsi="Times New Roman" w:cs="Times New Roman"/>
          <w:sz w:val="24"/>
          <w:szCs w:val="24"/>
        </w:rPr>
        <w:t xml:space="preserve"> HBV infection in pregnancy is </w:t>
      </w:r>
      <w:commentRangeStart w:id="2"/>
      <w:r w:rsidRPr="002B45D7">
        <w:rPr>
          <w:rFonts w:ascii="Times New Roman" w:hAnsi="Times New Roman" w:cs="Times New Roman"/>
          <w:sz w:val="24"/>
          <w:szCs w:val="24"/>
        </w:rPr>
        <w:t xml:space="preserve">associated with significant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abnormalities necessitating routine monitoring to mitigate adverse outcomes. Integration of comprehensive HBV screening, vaccination, and antiviral </w:t>
      </w:r>
      <w:commentRangeEnd w:id="2"/>
      <w:r w:rsidR="00421805">
        <w:rPr>
          <w:rStyle w:val="CommentReference"/>
        </w:rPr>
        <w:commentReference w:id="2"/>
      </w:r>
      <w:r w:rsidRPr="002B45D7">
        <w:rPr>
          <w:rFonts w:ascii="Times New Roman" w:hAnsi="Times New Roman" w:cs="Times New Roman"/>
          <w:sz w:val="24"/>
          <w:szCs w:val="24"/>
        </w:rPr>
        <w:t>prophylaxis alongside hematologic and coagulopathy management in antenatal care is paramount in Edo State.</w:t>
      </w:r>
    </w:p>
    <w:p w14:paraId="3F307A72"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lastRenderedPageBreak/>
        <w:t>Keywords:</w:t>
      </w:r>
      <w:r w:rsidRPr="002B45D7">
        <w:rPr>
          <w:rFonts w:ascii="Times New Roman" w:hAnsi="Times New Roman" w:cs="Times New Roman"/>
          <w:sz w:val="24"/>
          <w:szCs w:val="24"/>
        </w:rPr>
        <w:t xml:space="preserve"> </w:t>
      </w:r>
      <w:commentRangeStart w:id="3"/>
      <w:r w:rsidRPr="002B45D7">
        <w:rPr>
          <w:rFonts w:ascii="Times New Roman" w:hAnsi="Times New Roman" w:cs="Times New Roman"/>
          <w:sz w:val="24"/>
          <w:szCs w:val="24"/>
        </w:rPr>
        <w:t xml:space="preserve">Hepatitis B; </w:t>
      </w:r>
      <w:proofErr w:type="spellStart"/>
      <w:r w:rsidRPr="002B45D7">
        <w:rPr>
          <w:rFonts w:ascii="Times New Roman" w:hAnsi="Times New Roman" w:cs="Times New Roman"/>
          <w:sz w:val="24"/>
          <w:szCs w:val="24"/>
        </w:rPr>
        <w:t>HBsAg</w:t>
      </w:r>
      <w:proofErr w:type="spellEnd"/>
      <w:r w:rsidRPr="002B45D7">
        <w:rPr>
          <w:rFonts w:ascii="Times New Roman" w:hAnsi="Times New Roman" w:cs="Times New Roman"/>
          <w:sz w:val="24"/>
          <w:szCs w:val="24"/>
        </w:rPr>
        <w:t xml:space="preserve">; pregnancy; hematology; </w:t>
      </w:r>
      <w:proofErr w:type="spellStart"/>
      <w:r w:rsidRPr="002B45D7">
        <w:rPr>
          <w:rFonts w:ascii="Times New Roman" w:hAnsi="Times New Roman" w:cs="Times New Roman"/>
          <w:sz w:val="24"/>
          <w:szCs w:val="24"/>
        </w:rPr>
        <w:t>haemostasis</w:t>
      </w:r>
      <w:proofErr w:type="spellEnd"/>
      <w:r w:rsidRPr="002B45D7">
        <w:rPr>
          <w:rFonts w:ascii="Times New Roman" w:hAnsi="Times New Roman" w:cs="Times New Roman"/>
          <w:sz w:val="24"/>
          <w:szCs w:val="24"/>
        </w:rPr>
        <w:t>; Edo State; Nigeria; anemia; coagulation</w:t>
      </w:r>
      <w:commentRangeEnd w:id="3"/>
      <w:r w:rsidR="00421805">
        <w:rPr>
          <w:rStyle w:val="CommentReference"/>
        </w:rPr>
        <w:commentReference w:id="3"/>
      </w:r>
    </w:p>
    <w:p w14:paraId="41D634F7" w14:textId="77777777" w:rsidR="00EB3C76" w:rsidRDefault="00EB3C76" w:rsidP="002B45D7">
      <w:pPr>
        <w:spacing w:line="360" w:lineRule="auto"/>
        <w:jc w:val="both"/>
        <w:rPr>
          <w:rFonts w:ascii="Times New Roman" w:hAnsi="Times New Roman" w:cs="Times New Roman"/>
          <w:sz w:val="24"/>
          <w:szCs w:val="24"/>
        </w:rPr>
      </w:pPr>
    </w:p>
    <w:p w14:paraId="51BAC17E" w14:textId="77777777" w:rsidR="002B45D7" w:rsidRPr="002B45D7" w:rsidRDefault="002B45D7" w:rsidP="002B45D7">
      <w:pPr>
        <w:spacing w:line="360" w:lineRule="auto"/>
        <w:jc w:val="both"/>
        <w:rPr>
          <w:rFonts w:ascii="Times New Roman" w:hAnsi="Times New Roman" w:cs="Times New Roman"/>
          <w:sz w:val="24"/>
          <w:szCs w:val="24"/>
        </w:rPr>
      </w:pPr>
    </w:p>
    <w:p w14:paraId="049DEFD8" w14:textId="77777777" w:rsidR="001B1455" w:rsidRPr="002B45D7" w:rsidRDefault="001B1455" w:rsidP="002B45D7">
      <w:pPr>
        <w:spacing w:line="360" w:lineRule="auto"/>
        <w:jc w:val="both"/>
        <w:rPr>
          <w:rFonts w:ascii="Times New Roman" w:hAnsi="Times New Roman" w:cs="Times New Roman"/>
          <w:sz w:val="24"/>
          <w:szCs w:val="24"/>
        </w:rPr>
      </w:pPr>
    </w:p>
    <w:p w14:paraId="3A06E89E" w14:textId="77777777" w:rsidR="00504829" w:rsidRPr="002B45D7" w:rsidRDefault="00EB3C7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1.0 </w:t>
      </w:r>
      <w:r w:rsidR="00504829" w:rsidRPr="002B45D7">
        <w:rPr>
          <w:rFonts w:ascii="Times New Roman" w:hAnsi="Times New Roman" w:cs="Times New Roman"/>
          <w:b/>
          <w:sz w:val="24"/>
          <w:szCs w:val="24"/>
        </w:rPr>
        <w:t>Introduction</w:t>
      </w:r>
    </w:p>
    <w:p w14:paraId="3616C340" w14:textId="77777777" w:rsidR="00930A6F" w:rsidRPr="002B45D7" w:rsidRDefault="00930A6F" w:rsidP="002B45D7">
      <w:pPr>
        <w:spacing w:line="360" w:lineRule="auto"/>
        <w:jc w:val="both"/>
        <w:rPr>
          <w:rFonts w:ascii="Times New Roman" w:hAnsi="Times New Roman" w:cs="Times New Roman"/>
          <w:sz w:val="24"/>
          <w:szCs w:val="24"/>
        </w:rPr>
      </w:pPr>
    </w:p>
    <w:p w14:paraId="224D3D87"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Pregnancy is a complex physiological state that induces profound adaptations in the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systems to support both maternal and fetal well-being. These physiological changes, including increased plasma volume, elevated red cell mass, and alterations in coagulation factors, are essential for maintaining pregnancy but can predispose women to conditions such as anemia, thrombocytopenia, and hypercoagulability (Cunningham et al., 2022). Hematological monitoring through Full Blood Count (FBC) plays a vital role in identifying abnormalities such as anemia, which affects approximately 38% of pregnant women globally, with a disproportionately higher burden in sub-Saharan Africa (WHO, 2020).</w:t>
      </w:r>
    </w:p>
    <w:p w14:paraId="083E1E44"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In parallel,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parameters such as Prothrombin Time (PT) and Activated Partial Thromboplastin Time (APTT) are crucial in evaluating coagulation status and detecting potential bleeding or thrombotic risks. Pregnancy is characterized by a physiologic hypercoagulable state, which, while protective against hemorrhage at delivery, may predispose to thromboembolic complications (Bates &amp; Greer, 2021). Therefore, regular assessment of both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parameters is indispensable for ensuring safe pregnancy outcomes.</w:t>
      </w:r>
    </w:p>
    <w:p w14:paraId="521BCF59"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Viral infections, particularly Hepatitis B Virus (HBV), further complicate maternal health by exerting adverse effects on hematological and coagulation profiles. In Nigeria, HBV infection remains a major public health concern among pregnant women, with prevalence rates ranging from 2.19% to 9.5% and reports of up to 7.5% in Benin City, Edo State (Eke et al., 2011; </w:t>
      </w:r>
      <w:proofErr w:type="spellStart"/>
      <w:r w:rsidRPr="00142FF1">
        <w:rPr>
          <w:rFonts w:ascii="Times New Roman" w:eastAsia="Times New Roman" w:hAnsi="Times New Roman" w:cs="Times New Roman"/>
          <w:sz w:val="24"/>
          <w:szCs w:val="24"/>
        </w:rPr>
        <w:t>Oladeinde</w:t>
      </w:r>
      <w:proofErr w:type="spellEnd"/>
      <w:r w:rsidRPr="00142FF1">
        <w:rPr>
          <w:rFonts w:ascii="Times New Roman" w:eastAsia="Times New Roman" w:hAnsi="Times New Roman" w:cs="Times New Roman"/>
          <w:sz w:val="24"/>
          <w:szCs w:val="24"/>
        </w:rPr>
        <w:t xml:space="preserve"> et al., 2011). HBV infection during pregnancy not only threatens maternal health but also increases </w:t>
      </w:r>
      <w:r w:rsidRPr="00142FF1">
        <w:rPr>
          <w:rFonts w:ascii="Times New Roman" w:eastAsia="Times New Roman" w:hAnsi="Times New Roman" w:cs="Times New Roman"/>
          <w:sz w:val="24"/>
          <w:szCs w:val="24"/>
        </w:rPr>
        <w:lastRenderedPageBreak/>
        <w:t>the risk of vertical transmission, preterm delivery, and low birth weight, underscoring the need for routine screening during antenatal care (Yakubu et al., 2020).</w:t>
      </w:r>
    </w:p>
    <w:p w14:paraId="0FEE6F76"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In Benin City, Edo State, the high burden of viral hepatitis coupled with limited integration of hematological,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and HBV screening in antenatal services highlights a critical gap in maternal healthcare. This situation is particularly concerning given Nigeria’s persistently high maternal mortality rate of 814 per 100,000 live births, driven largely by preventable causes such as anemia and infections (WHO, 2019). Despite these challenges, there is a paucity of local data evaluating the interplay between hematological alterations,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changes, and HBV infection among pregnant women in Edo State.</w:t>
      </w:r>
    </w:p>
    <w:p w14:paraId="4936CB72" w14:textId="77777777" w:rsidR="00504829" w:rsidRPr="002B45D7" w:rsidRDefault="00504829" w:rsidP="002B45D7">
      <w:pPr>
        <w:spacing w:line="360" w:lineRule="auto"/>
        <w:jc w:val="both"/>
        <w:rPr>
          <w:rFonts w:ascii="Times New Roman" w:hAnsi="Times New Roman" w:cs="Times New Roman"/>
          <w:sz w:val="24"/>
          <w:szCs w:val="24"/>
        </w:rPr>
      </w:pPr>
    </w:p>
    <w:p w14:paraId="5627BC7D" w14:textId="77777777" w:rsidR="00504829" w:rsidRPr="002B45D7" w:rsidRDefault="00504829" w:rsidP="002B45D7">
      <w:pPr>
        <w:spacing w:line="360" w:lineRule="auto"/>
        <w:jc w:val="both"/>
        <w:rPr>
          <w:rFonts w:ascii="Times New Roman" w:hAnsi="Times New Roman" w:cs="Times New Roman"/>
          <w:sz w:val="24"/>
          <w:szCs w:val="24"/>
        </w:rPr>
      </w:pPr>
    </w:p>
    <w:p w14:paraId="4D76ECB6" w14:textId="77777777" w:rsidR="00142FF1" w:rsidRPr="002B45D7" w:rsidRDefault="00142FF1" w:rsidP="002B45D7">
      <w:pPr>
        <w:spacing w:line="360" w:lineRule="auto"/>
        <w:jc w:val="both"/>
        <w:rPr>
          <w:rFonts w:ascii="Times New Roman" w:hAnsi="Times New Roman" w:cs="Times New Roman"/>
          <w:sz w:val="24"/>
          <w:szCs w:val="24"/>
        </w:rPr>
      </w:pPr>
    </w:p>
    <w:p w14:paraId="6663F222" w14:textId="77777777" w:rsidR="00142FF1" w:rsidRPr="002B45D7" w:rsidRDefault="00142FF1" w:rsidP="002B45D7">
      <w:pPr>
        <w:spacing w:line="360" w:lineRule="auto"/>
        <w:jc w:val="both"/>
        <w:rPr>
          <w:rFonts w:ascii="Times New Roman" w:hAnsi="Times New Roman" w:cs="Times New Roman"/>
          <w:sz w:val="24"/>
          <w:szCs w:val="24"/>
        </w:rPr>
      </w:pPr>
    </w:p>
    <w:p w14:paraId="234CF166" w14:textId="77777777" w:rsidR="00142FF1" w:rsidRPr="002B45D7" w:rsidRDefault="00142FF1" w:rsidP="002B45D7">
      <w:pPr>
        <w:spacing w:line="360" w:lineRule="auto"/>
        <w:jc w:val="both"/>
        <w:rPr>
          <w:rFonts w:ascii="Times New Roman" w:hAnsi="Times New Roman" w:cs="Times New Roman"/>
          <w:sz w:val="24"/>
          <w:szCs w:val="24"/>
        </w:rPr>
      </w:pPr>
    </w:p>
    <w:p w14:paraId="59D590DF" w14:textId="77777777" w:rsidR="00142FF1" w:rsidRDefault="00142FF1" w:rsidP="002B45D7">
      <w:pPr>
        <w:spacing w:line="360" w:lineRule="auto"/>
        <w:jc w:val="both"/>
        <w:rPr>
          <w:rFonts w:ascii="Times New Roman" w:hAnsi="Times New Roman" w:cs="Times New Roman"/>
          <w:sz w:val="24"/>
          <w:szCs w:val="24"/>
        </w:rPr>
      </w:pPr>
    </w:p>
    <w:p w14:paraId="7123AB67" w14:textId="77777777" w:rsidR="002B45D7" w:rsidRDefault="002B45D7" w:rsidP="002B45D7">
      <w:pPr>
        <w:spacing w:line="360" w:lineRule="auto"/>
        <w:jc w:val="both"/>
        <w:rPr>
          <w:rFonts w:ascii="Times New Roman" w:hAnsi="Times New Roman" w:cs="Times New Roman"/>
          <w:sz w:val="24"/>
          <w:szCs w:val="24"/>
        </w:rPr>
      </w:pPr>
    </w:p>
    <w:p w14:paraId="007379F2" w14:textId="77777777" w:rsidR="002B45D7" w:rsidRDefault="002B45D7" w:rsidP="002B45D7">
      <w:pPr>
        <w:spacing w:line="360" w:lineRule="auto"/>
        <w:jc w:val="both"/>
        <w:rPr>
          <w:rFonts w:ascii="Times New Roman" w:hAnsi="Times New Roman" w:cs="Times New Roman"/>
          <w:sz w:val="24"/>
          <w:szCs w:val="24"/>
        </w:rPr>
      </w:pPr>
    </w:p>
    <w:p w14:paraId="6919DF33" w14:textId="77777777" w:rsidR="002B45D7" w:rsidRDefault="002B45D7" w:rsidP="002B45D7">
      <w:pPr>
        <w:spacing w:line="360" w:lineRule="auto"/>
        <w:jc w:val="both"/>
        <w:rPr>
          <w:rFonts w:ascii="Times New Roman" w:hAnsi="Times New Roman" w:cs="Times New Roman"/>
          <w:sz w:val="24"/>
          <w:szCs w:val="24"/>
        </w:rPr>
      </w:pPr>
    </w:p>
    <w:p w14:paraId="2094A0C4" w14:textId="77777777" w:rsidR="002B45D7" w:rsidRDefault="002B45D7" w:rsidP="002B45D7">
      <w:pPr>
        <w:spacing w:line="360" w:lineRule="auto"/>
        <w:jc w:val="both"/>
        <w:rPr>
          <w:rFonts w:ascii="Times New Roman" w:hAnsi="Times New Roman" w:cs="Times New Roman"/>
          <w:sz w:val="24"/>
          <w:szCs w:val="24"/>
        </w:rPr>
      </w:pPr>
    </w:p>
    <w:p w14:paraId="00E83A1A" w14:textId="77777777" w:rsidR="002B45D7" w:rsidRDefault="002B45D7" w:rsidP="002B45D7">
      <w:pPr>
        <w:spacing w:line="360" w:lineRule="auto"/>
        <w:jc w:val="both"/>
        <w:rPr>
          <w:rFonts w:ascii="Times New Roman" w:hAnsi="Times New Roman" w:cs="Times New Roman"/>
          <w:sz w:val="24"/>
          <w:szCs w:val="24"/>
        </w:rPr>
      </w:pPr>
    </w:p>
    <w:p w14:paraId="6809A214" w14:textId="77777777" w:rsidR="002B45D7" w:rsidRDefault="002B45D7" w:rsidP="002B45D7">
      <w:pPr>
        <w:spacing w:line="360" w:lineRule="auto"/>
        <w:jc w:val="both"/>
        <w:rPr>
          <w:rFonts w:ascii="Times New Roman" w:hAnsi="Times New Roman" w:cs="Times New Roman"/>
          <w:sz w:val="24"/>
          <w:szCs w:val="24"/>
        </w:rPr>
      </w:pPr>
    </w:p>
    <w:p w14:paraId="549BC0AB" w14:textId="77777777" w:rsidR="002B45D7" w:rsidRDefault="002B45D7" w:rsidP="002B45D7">
      <w:pPr>
        <w:spacing w:line="360" w:lineRule="auto"/>
        <w:jc w:val="both"/>
        <w:rPr>
          <w:rFonts w:ascii="Times New Roman" w:hAnsi="Times New Roman" w:cs="Times New Roman"/>
          <w:sz w:val="24"/>
          <w:szCs w:val="24"/>
        </w:rPr>
      </w:pPr>
    </w:p>
    <w:p w14:paraId="763B3889" w14:textId="77777777" w:rsidR="002B45D7" w:rsidRDefault="002B45D7" w:rsidP="002B45D7">
      <w:pPr>
        <w:spacing w:line="360" w:lineRule="auto"/>
        <w:jc w:val="both"/>
        <w:rPr>
          <w:rFonts w:ascii="Times New Roman" w:hAnsi="Times New Roman" w:cs="Times New Roman"/>
          <w:sz w:val="24"/>
          <w:szCs w:val="24"/>
        </w:rPr>
      </w:pPr>
    </w:p>
    <w:p w14:paraId="58F4C67F" w14:textId="77777777" w:rsidR="002B45D7" w:rsidRDefault="002B45D7" w:rsidP="002B45D7">
      <w:pPr>
        <w:spacing w:line="360" w:lineRule="auto"/>
        <w:jc w:val="both"/>
        <w:rPr>
          <w:rFonts w:ascii="Times New Roman" w:hAnsi="Times New Roman" w:cs="Times New Roman"/>
          <w:sz w:val="24"/>
          <w:szCs w:val="24"/>
        </w:rPr>
      </w:pPr>
    </w:p>
    <w:p w14:paraId="416FD12D" w14:textId="77777777" w:rsidR="002B45D7" w:rsidRDefault="002B45D7" w:rsidP="002B45D7">
      <w:pPr>
        <w:spacing w:line="360" w:lineRule="auto"/>
        <w:jc w:val="both"/>
        <w:rPr>
          <w:rFonts w:ascii="Times New Roman" w:hAnsi="Times New Roman" w:cs="Times New Roman"/>
          <w:sz w:val="24"/>
          <w:szCs w:val="24"/>
        </w:rPr>
      </w:pPr>
    </w:p>
    <w:p w14:paraId="79B8796B" w14:textId="77777777" w:rsidR="002B45D7" w:rsidRDefault="002B45D7" w:rsidP="002B45D7">
      <w:pPr>
        <w:spacing w:line="360" w:lineRule="auto"/>
        <w:jc w:val="both"/>
        <w:rPr>
          <w:rFonts w:ascii="Times New Roman" w:hAnsi="Times New Roman" w:cs="Times New Roman"/>
          <w:sz w:val="24"/>
          <w:szCs w:val="24"/>
        </w:rPr>
      </w:pPr>
    </w:p>
    <w:p w14:paraId="3517086A" w14:textId="77777777" w:rsidR="002B45D7" w:rsidRDefault="002B45D7" w:rsidP="002B45D7">
      <w:pPr>
        <w:spacing w:line="360" w:lineRule="auto"/>
        <w:jc w:val="both"/>
        <w:rPr>
          <w:rFonts w:ascii="Times New Roman" w:hAnsi="Times New Roman" w:cs="Times New Roman"/>
          <w:sz w:val="24"/>
          <w:szCs w:val="24"/>
        </w:rPr>
      </w:pPr>
    </w:p>
    <w:p w14:paraId="4FAA9ECD" w14:textId="77777777" w:rsidR="002B45D7" w:rsidRDefault="002B45D7" w:rsidP="002B45D7">
      <w:pPr>
        <w:spacing w:line="360" w:lineRule="auto"/>
        <w:jc w:val="both"/>
        <w:rPr>
          <w:rFonts w:ascii="Times New Roman" w:hAnsi="Times New Roman" w:cs="Times New Roman"/>
          <w:sz w:val="24"/>
          <w:szCs w:val="24"/>
        </w:rPr>
      </w:pPr>
    </w:p>
    <w:p w14:paraId="5F9B0593" w14:textId="77777777" w:rsidR="002B45D7" w:rsidRDefault="002B45D7" w:rsidP="002B45D7">
      <w:pPr>
        <w:spacing w:line="360" w:lineRule="auto"/>
        <w:jc w:val="both"/>
        <w:rPr>
          <w:rFonts w:ascii="Times New Roman" w:hAnsi="Times New Roman" w:cs="Times New Roman"/>
          <w:sz w:val="24"/>
          <w:szCs w:val="24"/>
        </w:rPr>
      </w:pPr>
    </w:p>
    <w:p w14:paraId="5931AFD8" w14:textId="77777777" w:rsidR="002B45D7" w:rsidRPr="002B45D7" w:rsidRDefault="002B45D7" w:rsidP="002B45D7">
      <w:pPr>
        <w:spacing w:line="360" w:lineRule="auto"/>
        <w:jc w:val="both"/>
        <w:rPr>
          <w:rFonts w:ascii="Times New Roman" w:hAnsi="Times New Roman" w:cs="Times New Roman"/>
          <w:sz w:val="24"/>
          <w:szCs w:val="24"/>
        </w:rPr>
      </w:pPr>
    </w:p>
    <w:p w14:paraId="6233CA55"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Materials and Methods</w:t>
      </w:r>
    </w:p>
    <w:p w14:paraId="77E6090D" w14:textId="77777777" w:rsidR="00EB3C76" w:rsidRPr="002B45D7" w:rsidRDefault="00EB3C7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2.1 Study Design and Setting</w:t>
      </w:r>
    </w:p>
    <w:p w14:paraId="4EF62052" w14:textId="77777777" w:rsidR="00930A6F"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 cross-sectional analytical study was conducted at the antenatal clinic of Edo Specialist Hospital, located in Benin City, Edo State, Nigeria. Edo Specialist Hospital is a major referral center in the region, providing comprehensive healthcare services to a diverse population comprising both urban and peri-urban residents. The hospital is equipped with state-of-the-art medical technology and staffed by highly qualified healthcare professionals offering specialized services, including obstetrics and gynecology, hematology, and infectious disease management. This makes the hospital an ideal setting for recruiting a representative sample of pregnant women for the study, ensuring demographic diversity and clinical relevance to t</w:t>
      </w:r>
      <w:r w:rsidR="00930A6F" w:rsidRPr="002B45D7">
        <w:rPr>
          <w:rFonts w:ascii="Times New Roman" w:hAnsi="Times New Roman" w:cs="Times New Roman"/>
          <w:sz w:val="24"/>
          <w:szCs w:val="24"/>
        </w:rPr>
        <w:t>he broader Edo State population.</w:t>
      </w:r>
    </w:p>
    <w:p w14:paraId="5342D982" w14:textId="77777777" w:rsidR="00EB3C76" w:rsidRPr="002B45D7" w:rsidRDefault="00EB3C7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2.2 Study Population</w:t>
      </w:r>
    </w:p>
    <w:p w14:paraId="469F2366"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The study population comprised 180 pregnant women attending antenatal care at the Edo Specialist Hospital. Eligible participants were aged between 18 and 45 years, encompassing the typical reproductive age range. Among the recruited women, 150 tested positive for hepatitis B surface antigen (HBsAg), indicating active HBV infection, while the remaining 30 women who tested negative for HBsAg served as controls. Participant selection was based on standardized inclusion and exclusion criteria to ensure sample validity and to control potential confounding factors, including the verification of pregnancy via ultrasound and consent to participate in the study. This sampling approach allowed for robust comparative analyses of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parameters between HBV-infected and uninfected pregnant women within the same c</w:t>
      </w:r>
      <w:r w:rsidR="00930A6F" w:rsidRPr="002B45D7">
        <w:rPr>
          <w:rFonts w:ascii="Times New Roman" w:hAnsi="Times New Roman" w:cs="Times New Roman"/>
          <w:sz w:val="24"/>
          <w:szCs w:val="24"/>
        </w:rPr>
        <w:t>linical and geographic context.</w:t>
      </w:r>
    </w:p>
    <w:p w14:paraId="621DCB5B"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lastRenderedPageBreak/>
        <w:t>2.3 Sample Size Determination</w:t>
      </w:r>
    </w:p>
    <w:p w14:paraId="2C0F50F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The sample size was calculated using the formula for prevalence studies:</w:t>
      </w:r>
    </w:p>
    <w:p w14:paraId="62A173E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 The sample size for hepatitis B virus will be determined using Cochran’s formula for estimating sample sizes in prevalence studies:</w:t>
      </w:r>
    </w:p>
    <w:p w14:paraId="66E79DB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n = </w:t>
      </w:r>
      <w:proofErr w:type="gramStart"/>
      <w:r w:rsidRPr="002B45D7">
        <w:rPr>
          <w:rFonts w:ascii="Times New Roman" w:hAnsi="Times New Roman" w:cs="Times New Roman"/>
          <w:sz w:val="24"/>
          <w:szCs w:val="24"/>
        </w:rPr>
        <w:t>Z2 .</w:t>
      </w:r>
      <w:proofErr w:type="gramEnd"/>
      <w:r w:rsidRPr="002B45D7">
        <w:rPr>
          <w:rFonts w:ascii="Times New Roman" w:hAnsi="Times New Roman" w:cs="Times New Roman"/>
          <w:sz w:val="24"/>
          <w:szCs w:val="24"/>
        </w:rPr>
        <w:t xml:space="preserve"> p. (1 – p)</w:t>
      </w:r>
    </w:p>
    <w:p w14:paraId="5E9B201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noProof/>
          <w:sz w:val="24"/>
          <w:szCs w:val="24"/>
        </w:rPr>
        <w:drawing>
          <wp:inline distT="0" distB="0" distL="0" distR="0" wp14:anchorId="0C5729C0" wp14:editId="06E96473">
            <wp:extent cx="769620" cy="7620"/>
            <wp:effectExtent l="0" t="0" r="0" b="0"/>
            <wp:docPr id="3" name="Picture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9620" cy="7620"/>
                    </a:xfrm>
                    <a:prstGeom prst="rect">
                      <a:avLst/>
                    </a:prstGeom>
                    <a:noFill/>
                    <a:ln>
                      <a:noFill/>
                    </a:ln>
                  </pic:spPr>
                </pic:pic>
              </a:graphicData>
            </a:graphic>
          </wp:inline>
        </w:drawing>
      </w:r>
      <w:r w:rsidRPr="002B45D7">
        <w:rPr>
          <w:rFonts w:ascii="Times New Roman" w:hAnsi="Times New Roman" w:cs="Times New Roman"/>
          <w:sz w:val="24"/>
          <w:szCs w:val="24"/>
        </w:rPr>
        <w:t xml:space="preserve">           </w:t>
      </w:r>
    </w:p>
    <w:p w14:paraId="002A262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d2</w:t>
      </w:r>
    </w:p>
    <w:p w14:paraId="6C06C1A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Where: n = required sample size, Z = Z-score for a 95% confidence interval (1.96)</w:t>
      </w:r>
    </w:p>
    <w:p w14:paraId="5A3FAD1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p = estimated prevalence </w:t>
      </w:r>
      <w:proofErr w:type="gramStart"/>
      <w:r w:rsidRPr="002B45D7">
        <w:rPr>
          <w:rFonts w:ascii="Times New Roman" w:hAnsi="Times New Roman" w:cs="Times New Roman"/>
          <w:sz w:val="24"/>
          <w:szCs w:val="24"/>
        </w:rPr>
        <w:t>of  hepatitis</w:t>
      </w:r>
      <w:proofErr w:type="gramEnd"/>
      <w:r w:rsidRPr="002B45D7">
        <w:rPr>
          <w:rFonts w:ascii="Times New Roman" w:hAnsi="Times New Roman" w:cs="Times New Roman"/>
          <w:sz w:val="24"/>
          <w:szCs w:val="24"/>
        </w:rPr>
        <w:t xml:space="preserve"> B virus , d = margin of error (set at 0.05)</w:t>
      </w:r>
    </w:p>
    <w:p w14:paraId="57E0EF0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Based on previous studies, the prevalence of hepatitis B virus was 10.9 % amongst subjects according to </w:t>
      </w:r>
      <w:proofErr w:type="spellStart"/>
      <w:r w:rsidRPr="002B45D7">
        <w:rPr>
          <w:rFonts w:ascii="Times New Roman" w:hAnsi="Times New Roman" w:cs="Times New Roman"/>
          <w:sz w:val="24"/>
          <w:szCs w:val="24"/>
        </w:rPr>
        <w:t>Cockey</w:t>
      </w:r>
      <w:proofErr w:type="spellEnd"/>
      <w:r w:rsidRPr="002B45D7">
        <w:rPr>
          <w:rFonts w:ascii="Times New Roman" w:hAnsi="Times New Roman" w:cs="Times New Roman"/>
          <w:sz w:val="24"/>
          <w:szCs w:val="24"/>
        </w:rPr>
        <w:t xml:space="preserve"> et al. (2022).</w:t>
      </w:r>
    </w:p>
    <w:p w14:paraId="6B3FA46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Substituting these values: </w:t>
      </w:r>
    </w:p>
    <w:p w14:paraId="03940095" w14:textId="77777777" w:rsidR="00895B48" w:rsidRPr="002B45D7" w:rsidRDefault="00895B48" w:rsidP="002B45D7">
      <w:pPr>
        <w:spacing w:line="360" w:lineRule="auto"/>
        <w:jc w:val="both"/>
        <w:rPr>
          <w:rFonts w:ascii="Times New Roman" w:hAnsi="Times New Roman" w:cs="Times New Roman"/>
          <w:sz w:val="24"/>
          <w:szCs w:val="24"/>
        </w:rPr>
      </w:pPr>
      <w:proofErr w:type="gramStart"/>
      <w:r w:rsidRPr="002B45D7">
        <w:rPr>
          <w:rFonts w:ascii="Times New Roman" w:hAnsi="Times New Roman" w:cs="Times New Roman"/>
          <w:sz w:val="24"/>
          <w:szCs w:val="24"/>
        </w:rPr>
        <w:t>N  =</w:t>
      </w:r>
      <w:proofErr w:type="gramEnd"/>
      <w:r w:rsidRPr="002B45D7">
        <w:rPr>
          <w:rFonts w:ascii="Times New Roman" w:hAnsi="Times New Roman" w:cs="Times New Roman"/>
          <w:sz w:val="24"/>
          <w:szCs w:val="24"/>
        </w:rPr>
        <w:t xml:space="preserve">  (1.96)2 x 0.109 x (1 – 0.109)</w:t>
      </w:r>
    </w:p>
    <w:p w14:paraId="5FE707E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w:t>
      </w:r>
      <w:r w:rsidRPr="002B45D7">
        <w:rPr>
          <w:rFonts w:ascii="Times New Roman" w:hAnsi="Times New Roman" w:cs="Times New Roman"/>
          <w:noProof/>
          <w:sz w:val="24"/>
          <w:szCs w:val="24"/>
        </w:rPr>
        <w:drawing>
          <wp:inline distT="0" distB="0" distL="0" distR="0" wp14:anchorId="42BF3E02" wp14:editId="3DBAAF57">
            <wp:extent cx="1638300" cy="7620"/>
            <wp:effectExtent l="0" t="0" r="0" b="0"/>
            <wp:docPr id="2" name="Picture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7620"/>
                    </a:xfrm>
                    <a:prstGeom prst="rect">
                      <a:avLst/>
                    </a:prstGeom>
                    <a:noFill/>
                    <a:ln>
                      <a:noFill/>
                    </a:ln>
                  </pic:spPr>
                </pic:pic>
              </a:graphicData>
            </a:graphic>
          </wp:inline>
        </w:drawing>
      </w:r>
      <w:r w:rsidRPr="002B45D7">
        <w:rPr>
          <w:rFonts w:ascii="Times New Roman" w:hAnsi="Times New Roman" w:cs="Times New Roman"/>
          <w:sz w:val="24"/>
          <w:szCs w:val="24"/>
        </w:rPr>
        <w:t xml:space="preserve">               </w:t>
      </w:r>
    </w:p>
    <w:p w14:paraId="3D27167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(0.05)2</w:t>
      </w:r>
    </w:p>
    <w:p w14:paraId="1F959C2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w:t>
      </w:r>
    </w:p>
    <w:p w14:paraId="4993BA7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 =           0.373</w:t>
      </w:r>
    </w:p>
    <w:p w14:paraId="43643EB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b/>
      </w:r>
      <w:r w:rsidRPr="002B45D7">
        <w:rPr>
          <w:rFonts w:ascii="Times New Roman" w:hAnsi="Times New Roman" w:cs="Times New Roman"/>
          <w:noProof/>
          <w:sz w:val="24"/>
          <w:szCs w:val="24"/>
        </w:rPr>
        <w:drawing>
          <wp:inline distT="0" distB="0" distL="0" distR="0" wp14:anchorId="3DE56390" wp14:editId="242965AE">
            <wp:extent cx="1638300" cy="7620"/>
            <wp:effectExtent l="0" t="0" r="0" b="0"/>
            <wp:docPr id="1" name="Picture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s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7620"/>
                    </a:xfrm>
                    <a:prstGeom prst="rect">
                      <a:avLst/>
                    </a:prstGeom>
                    <a:noFill/>
                    <a:ln>
                      <a:noFill/>
                    </a:ln>
                  </pic:spPr>
                </pic:pic>
              </a:graphicData>
            </a:graphic>
          </wp:inline>
        </w:drawing>
      </w:r>
      <w:r w:rsidRPr="002B45D7">
        <w:rPr>
          <w:rFonts w:ascii="Times New Roman" w:hAnsi="Times New Roman" w:cs="Times New Roman"/>
          <w:sz w:val="24"/>
          <w:szCs w:val="24"/>
        </w:rPr>
        <w:t xml:space="preserve">                 </w:t>
      </w:r>
    </w:p>
    <w:p w14:paraId="77C6DF2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b/>
        <w:t>0.0025</w:t>
      </w:r>
    </w:p>
    <w:p w14:paraId="236AB70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w:t>
      </w:r>
    </w:p>
    <w:p w14:paraId="4FFB55E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 = 149.24 = 150 Subjects</w:t>
      </w:r>
    </w:p>
    <w:p w14:paraId="781ACBF7" w14:textId="77777777" w:rsidR="002B45D7" w:rsidRDefault="002B45D7" w:rsidP="002B45D7">
      <w:pPr>
        <w:spacing w:line="360" w:lineRule="auto"/>
        <w:jc w:val="both"/>
        <w:rPr>
          <w:rFonts w:ascii="Times New Roman" w:hAnsi="Times New Roman" w:cs="Times New Roman"/>
          <w:b/>
          <w:sz w:val="24"/>
          <w:szCs w:val="24"/>
        </w:rPr>
      </w:pPr>
    </w:p>
    <w:p w14:paraId="370FAF27" w14:textId="77777777" w:rsidR="002B45D7" w:rsidRDefault="002B45D7" w:rsidP="002B45D7">
      <w:pPr>
        <w:spacing w:line="360" w:lineRule="auto"/>
        <w:jc w:val="both"/>
        <w:rPr>
          <w:rFonts w:ascii="Times New Roman" w:hAnsi="Times New Roman" w:cs="Times New Roman"/>
          <w:b/>
          <w:sz w:val="24"/>
          <w:szCs w:val="24"/>
        </w:rPr>
      </w:pPr>
    </w:p>
    <w:p w14:paraId="6FBF3EB6" w14:textId="77777777" w:rsidR="002B45D7" w:rsidRDefault="002B45D7" w:rsidP="002B45D7">
      <w:pPr>
        <w:spacing w:line="360" w:lineRule="auto"/>
        <w:jc w:val="both"/>
        <w:rPr>
          <w:rFonts w:ascii="Times New Roman" w:hAnsi="Times New Roman" w:cs="Times New Roman"/>
          <w:b/>
          <w:sz w:val="24"/>
          <w:szCs w:val="24"/>
        </w:rPr>
      </w:pPr>
    </w:p>
    <w:p w14:paraId="16D5BA44" w14:textId="77777777" w:rsidR="002B45D7" w:rsidRDefault="002B45D7" w:rsidP="002B45D7">
      <w:pPr>
        <w:spacing w:line="360" w:lineRule="auto"/>
        <w:jc w:val="both"/>
        <w:rPr>
          <w:rFonts w:ascii="Times New Roman" w:hAnsi="Times New Roman" w:cs="Times New Roman"/>
          <w:b/>
          <w:sz w:val="24"/>
          <w:szCs w:val="24"/>
        </w:rPr>
      </w:pPr>
    </w:p>
    <w:p w14:paraId="205776C8" w14:textId="77777777" w:rsidR="002B45D7" w:rsidRDefault="002B45D7" w:rsidP="002B45D7">
      <w:pPr>
        <w:spacing w:line="360" w:lineRule="auto"/>
        <w:jc w:val="both"/>
        <w:rPr>
          <w:rFonts w:ascii="Times New Roman" w:hAnsi="Times New Roman" w:cs="Times New Roman"/>
          <w:b/>
          <w:sz w:val="24"/>
          <w:szCs w:val="24"/>
        </w:rPr>
      </w:pPr>
    </w:p>
    <w:p w14:paraId="56749359" w14:textId="77777777" w:rsidR="002B45D7" w:rsidRDefault="002B45D7" w:rsidP="002B45D7">
      <w:pPr>
        <w:spacing w:line="360" w:lineRule="auto"/>
        <w:jc w:val="both"/>
        <w:rPr>
          <w:rFonts w:ascii="Times New Roman" w:hAnsi="Times New Roman" w:cs="Times New Roman"/>
          <w:b/>
          <w:sz w:val="24"/>
          <w:szCs w:val="24"/>
        </w:rPr>
      </w:pPr>
    </w:p>
    <w:p w14:paraId="51459C1E" w14:textId="77777777" w:rsidR="002B45D7" w:rsidRDefault="002B45D7" w:rsidP="002B45D7">
      <w:pPr>
        <w:spacing w:line="360" w:lineRule="auto"/>
        <w:jc w:val="both"/>
        <w:rPr>
          <w:rFonts w:ascii="Times New Roman" w:hAnsi="Times New Roman" w:cs="Times New Roman"/>
          <w:b/>
          <w:sz w:val="24"/>
          <w:szCs w:val="24"/>
        </w:rPr>
      </w:pPr>
    </w:p>
    <w:p w14:paraId="7682FC1E" w14:textId="77777777" w:rsidR="002B45D7" w:rsidRDefault="002B45D7" w:rsidP="002B45D7">
      <w:pPr>
        <w:spacing w:line="360" w:lineRule="auto"/>
        <w:jc w:val="both"/>
        <w:rPr>
          <w:rFonts w:ascii="Times New Roman" w:hAnsi="Times New Roman" w:cs="Times New Roman"/>
          <w:b/>
          <w:sz w:val="24"/>
          <w:szCs w:val="24"/>
        </w:rPr>
      </w:pPr>
    </w:p>
    <w:p w14:paraId="1A0F0735"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2.4 Inclusion and Exclusion Criteria</w:t>
      </w:r>
    </w:p>
    <w:p w14:paraId="4D943CEB"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2.4.1 Inclusion Criteria</w:t>
      </w:r>
    </w:p>
    <w:p w14:paraId="4AF1D3D8" w14:textId="77777777" w:rsidR="00FA1EE7" w:rsidRPr="002B45D7" w:rsidRDefault="00895B48" w:rsidP="002B45D7">
      <w:pPr>
        <w:pStyle w:val="ListParagraph"/>
        <w:numPr>
          <w:ilvl w:val="0"/>
          <w:numId w:val="11"/>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Pregnant women aged 18 to 45 years attending antenatal care at the study site.</w:t>
      </w:r>
    </w:p>
    <w:p w14:paraId="3A58E275" w14:textId="77777777" w:rsidR="00FA1EE7" w:rsidRPr="002B45D7" w:rsidRDefault="00895B48" w:rsidP="002B45D7">
      <w:pPr>
        <w:pStyle w:val="ListParagraph"/>
        <w:numPr>
          <w:ilvl w:val="0"/>
          <w:numId w:val="11"/>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Pregnancy confirmed by ultrasound to ensure accurate gestational assessment.</w:t>
      </w:r>
    </w:p>
    <w:p w14:paraId="7EF465F0" w14:textId="77777777" w:rsidR="00895B48" w:rsidRPr="002B45D7" w:rsidRDefault="00895B48" w:rsidP="002B45D7">
      <w:pPr>
        <w:pStyle w:val="ListParagraph"/>
        <w:numPr>
          <w:ilvl w:val="0"/>
          <w:numId w:val="11"/>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Willingness to participate in the study demonstrated by providing written informed consent after thorough explanation of the study objectives, procedures, risks, and benefits.</w:t>
      </w:r>
    </w:p>
    <w:p w14:paraId="00F79450"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2.4.2 Exclusion Criteria</w:t>
      </w:r>
    </w:p>
    <w:p w14:paraId="350178BC" w14:textId="77777777"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Pregnant women with known chronic illnesses that could confound study outcomes, including chronic liver disease, diabetes mellitus, and other major systemic conditions.</w:t>
      </w:r>
    </w:p>
    <w:p w14:paraId="14819C91" w14:textId="77777777"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Confirmed HIV infection or other immunosuppressive disorders that affect hematological and immune parameters.</w:t>
      </w:r>
    </w:p>
    <w:p w14:paraId="4B60249B" w14:textId="77777777"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History of bleeding disorders or current use of anticoagulant therapy, which could independently alter coagulation profiles and blood counts.</w:t>
      </w:r>
    </w:p>
    <w:p w14:paraId="426919CD" w14:textId="77777777"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Multiple gestations (twins or more) or severe obstetric complications such as abruptio placentae, pre-eclampsia, or eclampsia that could affect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status.</w:t>
      </w:r>
    </w:p>
    <w:p w14:paraId="550F9434" w14:textId="77777777" w:rsidR="00895B48"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Refusal or inability to provide written informed consent.</w:t>
      </w:r>
    </w:p>
    <w:p w14:paraId="51B57AB6" w14:textId="77777777" w:rsidR="00895B48" w:rsidRPr="002B45D7" w:rsidRDefault="00895B48" w:rsidP="002B45D7">
      <w:pPr>
        <w:spacing w:line="360" w:lineRule="auto"/>
        <w:jc w:val="both"/>
        <w:rPr>
          <w:rFonts w:ascii="Times New Roman" w:hAnsi="Times New Roman" w:cs="Times New Roman"/>
          <w:sz w:val="24"/>
          <w:szCs w:val="24"/>
        </w:rPr>
      </w:pPr>
    </w:p>
    <w:p w14:paraId="3A318091" w14:textId="77777777" w:rsidR="00FA1EE7" w:rsidRPr="002B45D7" w:rsidRDefault="00FA1EE7" w:rsidP="002B45D7">
      <w:pPr>
        <w:spacing w:line="360" w:lineRule="auto"/>
        <w:jc w:val="both"/>
        <w:rPr>
          <w:rFonts w:ascii="Times New Roman" w:hAnsi="Times New Roman" w:cs="Times New Roman"/>
          <w:sz w:val="24"/>
          <w:szCs w:val="24"/>
        </w:rPr>
      </w:pPr>
    </w:p>
    <w:p w14:paraId="181E1C76" w14:textId="77777777" w:rsidR="00FA1EE7" w:rsidRPr="002B45D7" w:rsidRDefault="00FA1EE7" w:rsidP="002B45D7">
      <w:pPr>
        <w:spacing w:line="360" w:lineRule="auto"/>
        <w:jc w:val="both"/>
        <w:rPr>
          <w:rFonts w:ascii="Times New Roman" w:hAnsi="Times New Roman" w:cs="Times New Roman"/>
          <w:sz w:val="24"/>
          <w:szCs w:val="24"/>
        </w:rPr>
      </w:pPr>
    </w:p>
    <w:p w14:paraId="56368FEA" w14:textId="77777777" w:rsidR="00FA1EE7" w:rsidRPr="002B45D7" w:rsidRDefault="00FA1EE7" w:rsidP="002B45D7">
      <w:pPr>
        <w:spacing w:line="360" w:lineRule="auto"/>
        <w:jc w:val="both"/>
        <w:rPr>
          <w:rFonts w:ascii="Times New Roman" w:hAnsi="Times New Roman" w:cs="Times New Roman"/>
          <w:sz w:val="24"/>
          <w:szCs w:val="24"/>
        </w:rPr>
      </w:pPr>
    </w:p>
    <w:p w14:paraId="063BF4EE" w14:textId="77777777" w:rsidR="00FA1EE7" w:rsidRPr="002B45D7" w:rsidRDefault="00FA1EE7" w:rsidP="002B45D7">
      <w:pPr>
        <w:spacing w:line="360" w:lineRule="auto"/>
        <w:jc w:val="both"/>
        <w:rPr>
          <w:rFonts w:ascii="Times New Roman" w:hAnsi="Times New Roman" w:cs="Times New Roman"/>
          <w:sz w:val="24"/>
          <w:szCs w:val="24"/>
        </w:rPr>
      </w:pPr>
    </w:p>
    <w:p w14:paraId="452FF7AC" w14:textId="77777777" w:rsidR="00FA1EE7" w:rsidRDefault="00FA1EE7" w:rsidP="002B45D7">
      <w:pPr>
        <w:spacing w:line="360" w:lineRule="auto"/>
        <w:jc w:val="both"/>
        <w:rPr>
          <w:rFonts w:ascii="Times New Roman" w:hAnsi="Times New Roman" w:cs="Times New Roman"/>
          <w:sz w:val="24"/>
          <w:szCs w:val="24"/>
        </w:rPr>
      </w:pPr>
    </w:p>
    <w:p w14:paraId="5C3D5793" w14:textId="77777777" w:rsidR="002B45D7" w:rsidRDefault="002B45D7" w:rsidP="002B45D7">
      <w:pPr>
        <w:spacing w:line="360" w:lineRule="auto"/>
        <w:jc w:val="both"/>
        <w:rPr>
          <w:rFonts w:ascii="Times New Roman" w:hAnsi="Times New Roman" w:cs="Times New Roman"/>
          <w:sz w:val="24"/>
          <w:szCs w:val="24"/>
        </w:rPr>
      </w:pPr>
    </w:p>
    <w:p w14:paraId="3855974B" w14:textId="77777777" w:rsidR="002B45D7" w:rsidRDefault="002B45D7" w:rsidP="002B45D7">
      <w:pPr>
        <w:spacing w:line="360" w:lineRule="auto"/>
        <w:jc w:val="both"/>
        <w:rPr>
          <w:rFonts w:ascii="Times New Roman" w:hAnsi="Times New Roman" w:cs="Times New Roman"/>
          <w:sz w:val="24"/>
          <w:szCs w:val="24"/>
        </w:rPr>
      </w:pPr>
    </w:p>
    <w:p w14:paraId="4699D982" w14:textId="77777777" w:rsidR="002B45D7" w:rsidRPr="002B45D7" w:rsidRDefault="002B45D7" w:rsidP="002B45D7">
      <w:pPr>
        <w:spacing w:line="360" w:lineRule="auto"/>
        <w:jc w:val="both"/>
        <w:rPr>
          <w:rFonts w:ascii="Times New Roman" w:hAnsi="Times New Roman" w:cs="Times New Roman"/>
          <w:sz w:val="24"/>
          <w:szCs w:val="24"/>
        </w:rPr>
      </w:pPr>
    </w:p>
    <w:p w14:paraId="173A3216"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2.5 Materials and Equipment</w:t>
      </w:r>
    </w:p>
    <w:p w14:paraId="2EA0320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Automated hematology analyzer (Sysmex KX-21N): Used for performing full blood count (FBC) analysis including red blood cell count, hemoglobin concentration, </w:t>
      </w:r>
      <w:proofErr w:type="gramStart"/>
      <w:r w:rsidRPr="002B45D7">
        <w:rPr>
          <w:rFonts w:ascii="Times New Roman" w:hAnsi="Times New Roman" w:cs="Times New Roman"/>
          <w:sz w:val="24"/>
          <w:szCs w:val="24"/>
        </w:rPr>
        <w:t>hematocrit</w:t>
      </w:r>
      <w:proofErr w:type="gramEnd"/>
      <w:r w:rsidRPr="002B45D7">
        <w:rPr>
          <w:rFonts w:ascii="Times New Roman" w:hAnsi="Times New Roman" w:cs="Times New Roman"/>
          <w:sz w:val="24"/>
          <w:szCs w:val="24"/>
        </w:rPr>
        <w:t>, white blood cell count with differential, platelet count, and red cell indices.</w:t>
      </w:r>
    </w:p>
    <w:p w14:paraId="52AB6386" w14:textId="77777777" w:rsidR="00FA1EE7"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Semi-automated coagulometer (STA Compact):</w:t>
      </w:r>
      <w:r w:rsidRPr="002B45D7">
        <w:rPr>
          <w:rFonts w:ascii="Times New Roman" w:hAnsi="Times New Roman" w:cs="Times New Roman"/>
          <w:sz w:val="24"/>
          <w:szCs w:val="24"/>
        </w:rPr>
        <w:t xml:space="preserve"> Utilized for measuring coagulation parameters such as Prothrombin Time (PT) and Activated Partial Thromboplastin Time (APTT).</w:t>
      </w:r>
    </w:p>
    <w:p w14:paraId="1415DBA2" w14:textId="77777777" w:rsidR="00FA1EE7"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 xml:space="preserve">ELISA kits for </w:t>
      </w:r>
      <w:proofErr w:type="spellStart"/>
      <w:r w:rsidRPr="002B45D7">
        <w:rPr>
          <w:rFonts w:ascii="Times New Roman" w:hAnsi="Times New Roman" w:cs="Times New Roman"/>
          <w:b/>
          <w:sz w:val="24"/>
          <w:szCs w:val="24"/>
        </w:rPr>
        <w:t>HBsAg</w:t>
      </w:r>
      <w:proofErr w:type="spellEnd"/>
      <w:r w:rsidRPr="002B45D7">
        <w:rPr>
          <w:rFonts w:ascii="Times New Roman" w:hAnsi="Times New Roman" w:cs="Times New Roman"/>
          <w:b/>
          <w:sz w:val="24"/>
          <w:szCs w:val="24"/>
        </w:rPr>
        <w:t xml:space="preserve"> detection (</w:t>
      </w:r>
      <w:proofErr w:type="spellStart"/>
      <w:r w:rsidRPr="002B45D7">
        <w:rPr>
          <w:rFonts w:ascii="Times New Roman" w:hAnsi="Times New Roman" w:cs="Times New Roman"/>
          <w:b/>
          <w:sz w:val="24"/>
          <w:szCs w:val="24"/>
        </w:rPr>
        <w:t>Clinotech</w:t>
      </w:r>
      <w:proofErr w:type="spellEnd"/>
      <w:r w:rsidRPr="002B45D7">
        <w:rPr>
          <w:rFonts w:ascii="Times New Roman" w:hAnsi="Times New Roman" w:cs="Times New Roman"/>
          <w:b/>
          <w:sz w:val="24"/>
          <w:szCs w:val="24"/>
        </w:rPr>
        <w:t xml:space="preserve"> Diagnostics):</w:t>
      </w:r>
      <w:r w:rsidRPr="002B45D7">
        <w:rPr>
          <w:rFonts w:ascii="Times New Roman" w:hAnsi="Times New Roman" w:cs="Times New Roman"/>
          <w:sz w:val="24"/>
          <w:szCs w:val="24"/>
        </w:rPr>
        <w:t xml:space="preserve"> Employed for the qualitative detection of hepatitis B surface antigen in participant serum samples.</w:t>
      </w:r>
    </w:p>
    <w:p w14:paraId="25978210" w14:textId="77777777" w:rsidR="00FA1EE7"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Sodium citrate tubes:</w:t>
      </w:r>
      <w:r w:rsidRPr="002B45D7">
        <w:rPr>
          <w:rFonts w:ascii="Times New Roman" w:hAnsi="Times New Roman" w:cs="Times New Roman"/>
          <w:sz w:val="24"/>
          <w:szCs w:val="24"/>
        </w:rPr>
        <w:t xml:space="preserve"> Blood samples for coagulation testing were collected into sodium citrate anticoagulant tubes, ensuring proper blood-to-anticoagulant ratio for accurate coagulation assays.</w:t>
      </w:r>
    </w:p>
    <w:p w14:paraId="406559BB" w14:textId="77777777" w:rsidR="00895B48"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EDTA tubes:</w:t>
      </w:r>
      <w:r w:rsidRPr="002B45D7">
        <w:rPr>
          <w:rFonts w:ascii="Times New Roman" w:hAnsi="Times New Roman" w:cs="Times New Roman"/>
          <w:sz w:val="24"/>
          <w:szCs w:val="24"/>
        </w:rPr>
        <w:t xml:space="preserve"> Blood samples for hematological analysis were collected into ethylenediaminetetraacetic acid (EDTA) tubes to prevent clotting and preserve cellular components.</w:t>
      </w:r>
    </w:p>
    <w:p w14:paraId="0B304470" w14:textId="77777777" w:rsidR="00FA1EE7"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2.6 Ethical Consideration</w:t>
      </w:r>
    </w:p>
    <w:p w14:paraId="55BE269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Ethical approval for the study was obtained from the Health Research Ethics Committee of the Edo State Ministry of Health (Reference number: HA73725C09080859). Participants were comprehensively informed about the study objectives, procedures, and confidentiality protections, and provided written informed consent prior to enrollment. Privacy and confidentiality of </w:t>
      </w:r>
      <w:r w:rsidRPr="002B45D7">
        <w:rPr>
          <w:rFonts w:ascii="Times New Roman" w:hAnsi="Times New Roman" w:cs="Times New Roman"/>
          <w:sz w:val="24"/>
          <w:szCs w:val="24"/>
        </w:rPr>
        <w:lastRenderedPageBreak/>
        <w:t>participant information were strictly maintained throughout the study, with voluntary participation emphasized and the right to withdraw at any time without penalty assured.</w:t>
      </w:r>
    </w:p>
    <w:p w14:paraId="7ADA9D7B" w14:textId="77777777" w:rsidR="00895B48" w:rsidRPr="002B45D7" w:rsidRDefault="00895B48" w:rsidP="002B45D7">
      <w:pPr>
        <w:spacing w:line="360" w:lineRule="auto"/>
        <w:jc w:val="both"/>
        <w:rPr>
          <w:rFonts w:ascii="Times New Roman" w:hAnsi="Times New Roman" w:cs="Times New Roman"/>
          <w:sz w:val="24"/>
          <w:szCs w:val="24"/>
        </w:rPr>
      </w:pPr>
    </w:p>
    <w:p w14:paraId="2FD86DD9"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2.7 Clinical Laboratory Investigations</w:t>
      </w:r>
    </w:p>
    <w:p w14:paraId="1CFAE28B" w14:textId="77777777" w:rsidR="00FA1EE7"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2.7.1 Sample Collection and Analysis</w:t>
      </w:r>
    </w:p>
    <w:p w14:paraId="5FD1B7A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Venous blood samples (2-3 mL) were aseptically collected from each participant. Samples for hematological analysis were drawn into EDTA tubes and analyzed immediately using the Sysmex KX-21N automated hematology analyzer to determine complete blood count parameters including RBC count, hemoglobin concentration, hematocrit, mean corpuscular volume (MCV), mean corpuscular hemoglobin (MCH), mean corpuscular hemoglobin concentration (MCHC), red cell distribution width (RDW), white blood cell count with differential, platelet count, and platelet indices. Coagulation profiles including Prothrombin Time (PT), Activated Partial Thromboplastin Time (APTT), fibrinogen concentration, and D-dimer levels were measured in platelet-poor plasma obtained from blood collected in sodium citrate tubes. The STA Compact semi-automated coagulometer was used to perform PT and APTT assays following manufacturer guidelines. HBsAg serostatus was determined through enzyme-linked immunosorbent assay (ELISA) using </w:t>
      </w:r>
      <w:proofErr w:type="spellStart"/>
      <w:r w:rsidRPr="002B45D7">
        <w:rPr>
          <w:rFonts w:ascii="Times New Roman" w:hAnsi="Times New Roman" w:cs="Times New Roman"/>
          <w:sz w:val="24"/>
          <w:szCs w:val="24"/>
        </w:rPr>
        <w:t>Clinotech</w:t>
      </w:r>
      <w:proofErr w:type="spellEnd"/>
      <w:r w:rsidRPr="002B45D7">
        <w:rPr>
          <w:rFonts w:ascii="Times New Roman" w:hAnsi="Times New Roman" w:cs="Times New Roman"/>
          <w:sz w:val="24"/>
          <w:szCs w:val="24"/>
        </w:rPr>
        <w:t xml:space="preserve"> Diagnostics kits, performed as per standard operating procedures to confirm infection status.</w:t>
      </w:r>
    </w:p>
    <w:p w14:paraId="0B7E59C2" w14:textId="77777777" w:rsidR="00895B48" w:rsidRPr="002B45D7" w:rsidRDefault="00895B48" w:rsidP="002B45D7">
      <w:pPr>
        <w:spacing w:line="360" w:lineRule="auto"/>
        <w:jc w:val="both"/>
        <w:rPr>
          <w:rFonts w:ascii="Times New Roman" w:hAnsi="Times New Roman" w:cs="Times New Roman"/>
          <w:sz w:val="24"/>
          <w:szCs w:val="24"/>
        </w:rPr>
      </w:pPr>
    </w:p>
    <w:p w14:paraId="094618C8" w14:textId="77777777" w:rsidR="00FA1EE7"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2.8 Statistical Analysis</w:t>
      </w:r>
    </w:p>
    <w:p w14:paraId="6131781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Data were entered and analyzed using Statistical Package for Social Sciences (SPSS) version 25. Descriptive statistics including means, standard deviations, frequencies, and percentages were used to summarize demographic and clinical characteristics. Inferential statistical tests were conducted with independent samples t-tests and chi-square tests to compare means and proportions between HBsAg positive and HBsAg-negative control groups. Pearson correlation analysis was employed to evaluate associations between HBsAg status and hematological as well as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parameters. Statistical significance was defined at a p-value &lt; 0.05. Data integrity was ensured by double data entry and validation checks.</w:t>
      </w:r>
    </w:p>
    <w:p w14:paraId="41D7DB9F" w14:textId="77777777" w:rsidR="00504829" w:rsidRPr="002B45D7" w:rsidRDefault="00504829" w:rsidP="002B45D7">
      <w:pPr>
        <w:spacing w:line="360" w:lineRule="auto"/>
        <w:jc w:val="both"/>
        <w:rPr>
          <w:rFonts w:ascii="Times New Roman" w:hAnsi="Times New Roman" w:cs="Times New Roman"/>
          <w:sz w:val="24"/>
          <w:szCs w:val="24"/>
        </w:rPr>
      </w:pPr>
    </w:p>
    <w:p w14:paraId="11114C7D" w14:textId="77777777" w:rsidR="00FA1EE7" w:rsidRPr="002B45D7" w:rsidRDefault="00FA1EE7" w:rsidP="002B45D7">
      <w:pPr>
        <w:spacing w:line="360" w:lineRule="auto"/>
        <w:jc w:val="both"/>
        <w:rPr>
          <w:rFonts w:ascii="Times New Roman" w:hAnsi="Times New Roman" w:cs="Times New Roman"/>
          <w:sz w:val="24"/>
          <w:szCs w:val="24"/>
        </w:rPr>
      </w:pPr>
    </w:p>
    <w:p w14:paraId="5FB01633" w14:textId="77777777" w:rsidR="00FA1EE7" w:rsidRPr="002B45D7" w:rsidRDefault="00FA1EE7" w:rsidP="002B45D7">
      <w:pPr>
        <w:spacing w:line="360" w:lineRule="auto"/>
        <w:jc w:val="both"/>
        <w:rPr>
          <w:rFonts w:ascii="Times New Roman" w:hAnsi="Times New Roman" w:cs="Times New Roman"/>
          <w:sz w:val="24"/>
          <w:szCs w:val="24"/>
        </w:rPr>
      </w:pPr>
    </w:p>
    <w:p w14:paraId="0150849D" w14:textId="77777777" w:rsidR="00FA1EE7" w:rsidRPr="002B45D7" w:rsidRDefault="00FA1EE7" w:rsidP="002B45D7">
      <w:pPr>
        <w:spacing w:line="360" w:lineRule="auto"/>
        <w:jc w:val="both"/>
        <w:rPr>
          <w:rFonts w:ascii="Times New Roman" w:hAnsi="Times New Roman" w:cs="Times New Roman"/>
          <w:sz w:val="24"/>
          <w:szCs w:val="24"/>
        </w:rPr>
      </w:pPr>
    </w:p>
    <w:p w14:paraId="08FC2599" w14:textId="77777777" w:rsidR="00FA1EE7" w:rsidRPr="002B45D7" w:rsidRDefault="00FA1EE7" w:rsidP="002B45D7">
      <w:pPr>
        <w:spacing w:line="360" w:lineRule="auto"/>
        <w:jc w:val="both"/>
        <w:rPr>
          <w:rFonts w:ascii="Times New Roman" w:hAnsi="Times New Roman" w:cs="Times New Roman"/>
          <w:sz w:val="24"/>
          <w:szCs w:val="24"/>
        </w:rPr>
      </w:pPr>
    </w:p>
    <w:p w14:paraId="4C3B18A7" w14:textId="77777777" w:rsidR="001B1455" w:rsidRDefault="001B1455" w:rsidP="002B45D7">
      <w:pPr>
        <w:spacing w:line="360" w:lineRule="auto"/>
        <w:jc w:val="both"/>
        <w:rPr>
          <w:rFonts w:ascii="Times New Roman" w:hAnsi="Times New Roman" w:cs="Times New Roman"/>
          <w:sz w:val="24"/>
          <w:szCs w:val="24"/>
        </w:rPr>
      </w:pPr>
    </w:p>
    <w:p w14:paraId="122D9B3F" w14:textId="77777777" w:rsidR="002B45D7" w:rsidRPr="002B45D7" w:rsidRDefault="002B45D7" w:rsidP="002B45D7">
      <w:pPr>
        <w:spacing w:line="360" w:lineRule="auto"/>
        <w:jc w:val="both"/>
        <w:rPr>
          <w:rFonts w:ascii="Times New Roman" w:hAnsi="Times New Roman" w:cs="Times New Roman"/>
          <w:sz w:val="24"/>
          <w:szCs w:val="24"/>
        </w:rPr>
      </w:pPr>
    </w:p>
    <w:p w14:paraId="7AA97023" w14:textId="77777777"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3.0 </w:t>
      </w:r>
      <w:r w:rsidR="00504829" w:rsidRPr="002B45D7">
        <w:rPr>
          <w:rFonts w:ascii="Times New Roman" w:hAnsi="Times New Roman" w:cs="Times New Roman"/>
          <w:b/>
          <w:sz w:val="24"/>
          <w:szCs w:val="24"/>
        </w:rPr>
        <w:t>Results</w:t>
      </w:r>
    </w:p>
    <w:p w14:paraId="513FEE04"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3.1 Demographic and Clinical Characteristics</w:t>
      </w:r>
    </w:p>
    <w:p w14:paraId="1C9B00A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Table 1: Demographic and Clinical Characteristics of Study Participants</w:t>
      </w:r>
      <w:r w:rsidRPr="002B45D7">
        <w:rPr>
          <w:rFonts w:ascii="Times New Roman" w:hAnsi="Times New Roman" w:cs="Times New Roman"/>
          <w:sz w:val="24"/>
          <w:szCs w:val="24"/>
        </w:rPr>
        <w:t xml:space="preserve"> </w:t>
      </w:r>
    </w:p>
    <w:tbl>
      <w:tblPr>
        <w:tblpPr w:leftFromText="180" w:rightFromText="180" w:vertAnchor="text" w:tblpY="1"/>
        <w:tblOverlap w:val="never"/>
        <w:tblW w:w="0" w:type="auto"/>
        <w:tblCellSpacing w:w="15" w:type="dxa"/>
        <w:tblLook w:val="04A0" w:firstRow="1" w:lastRow="0" w:firstColumn="1" w:lastColumn="0" w:noHBand="0" w:noVBand="1"/>
      </w:tblPr>
      <w:tblGrid>
        <w:gridCol w:w="2135"/>
        <w:gridCol w:w="2569"/>
        <w:gridCol w:w="1629"/>
        <w:gridCol w:w="1537"/>
      </w:tblGrid>
      <w:tr w:rsidR="00895B48" w:rsidRPr="002B45D7" w14:paraId="766DCA6E" w14:textId="77777777" w:rsidTr="00FA1EE7">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1758B9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Characteristic</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57825A6"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HBsAg Positive (n = 150)</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D49215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Control (n = 30)</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990788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Total (n = 180)</w:t>
            </w:r>
          </w:p>
        </w:tc>
      </w:tr>
      <w:tr w:rsidR="00895B48" w:rsidRPr="002B45D7" w14:paraId="6E72B8C5" w14:textId="77777777" w:rsidTr="00FA1EE7">
        <w:trPr>
          <w:tblCellSpacing w:w="15" w:type="dxa"/>
        </w:trPr>
        <w:tc>
          <w:tcPr>
            <w:tcW w:w="0" w:type="auto"/>
            <w:tcMar>
              <w:top w:w="15" w:type="dxa"/>
              <w:left w:w="15" w:type="dxa"/>
              <w:bottom w:w="15" w:type="dxa"/>
              <w:right w:w="15" w:type="dxa"/>
            </w:tcMar>
            <w:vAlign w:val="center"/>
            <w:hideMark/>
          </w:tcPr>
          <w:p w14:paraId="6CFBDEE9"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Age (years)</w:t>
            </w:r>
          </w:p>
        </w:tc>
        <w:tc>
          <w:tcPr>
            <w:tcW w:w="0" w:type="auto"/>
            <w:tcMar>
              <w:top w:w="15" w:type="dxa"/>
              <w:left w:w="15" w:type="dxa"/>
              <w:bottom w:w="15" w:type="dxa"/>
              <w:right w:w="15" w:type="dxa"/>
            </w:tcMar>
            <w:vAlign w:val="center"/>
          </w:tcPr>
          <w:p w14:paraId="15A381B7"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3CB400B4"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608BCE35"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46F1AECE" w14:textId="77777777" w:rsidTr="00FA1EE7">
        <w:trPr>
          <w:tblCellSpacing w:w="15" w:type="dxa"/>
        </w:trPr>
        <w:tc>
          <w:tcPr>
            <w:tcW w:w="0" w:type="auto"/>
            <w:tcMar>
              <w:top w:w="15" w:type="dxa"/>
              <w:left w:w="15" w:type="dxa"/>
              <w:bottom w:w="15" w:type="dxa"/>
              <w:right w:w="15" w:type="dxa"/>
            </w:tcMar>
            <w:vAlign w:val="center"/>
            <w:hideMark/>
          </w:tcPr>
          <w:p w14:paraId="42273E86"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18–25</w:t>
            </w:r>
          </w:p>
        </w:tc>
        <w:tc>
          <w:tcPr>
            <w:tcW w:w="0" w:type="auto"/>
            <w:tcMar>
              <w:top w:w="15" w:type="dxa"/>
              <w:left w:w="15" w:type="dxa"/>
              <w:bottom w:w="15" w:type="dxa"/>
              <w:right w:w="15" w:type="dxa"/>
            </w:tcMar>
            <w:vAlign w:val="center"/>
            <w:hideMark/>
          </w:tcPr>
          <w:p w14:paraId="7696765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14:paraId="0545E0E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14:paraId="64D127D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14:paraId="51192F65" w14:textId="77777777" w:rsidTr="00FA1EE7">
        <w:trPr>
          <w:tblCellSpacing w:w="15" w:type="dxa"/>
        </w:trPr>
        <w:tc>
          <w:tcPr>
            <w:tcW w:w="0" w:type="auto"/>
            <w:tcMar>
              <w:top w:w="15" w:type="dxa"/>
              <w:left w:w="15" w:type="dxa"/>
              <w:bottom w:w="15" w:type="dxa"/>
              <w:right w:w="15" w:type="dxa"/>
            </w:tcMar>
            <w:vAlign w:val="center"/>
            <w:hideMark/>
          </w:tcPr>
          <w:p w14:paraId="40CBF6E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26–33</w:t>
            </w:r>
          </w:p>
        </w:tc>
        <w:tc>
          <w:tcPr>
            <w:tcW w:w="0" w:type="auto"/>
            <w:tcMar>
              <w:top w:w="15" w:type="dxa"/>
              <w:left w:w="15" w:type="dxa"/>
              <w:bottom w:w="15" w:type="dxa"/>
              <w:right w:w="15" w:type="dxa"/>
            </w:tcMar>
            <w:vAlign w:val="center"/>
            <w:hideMark/>
          </w:tcPr>
          <w:p w14:paraId="6BCC664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110 (73.3%)</w:t>
            </w:r>
          </w:p>
        </w:tc>
        <w:tc>
          <w:tcPr>
            <w:tcW w:w="0" w:type="auto"/>
            <w:tcMar>
              <w:top w:w="15" w:type="dxa"/>
              <w:left w:w="15" w:type="dxa"/>
              <w:bottom w:w="15" w:type="dxa"/>
              <w:right w:w="15" w:type="dxa"/>
            </w:tcMar>
            <w:vAlign w:val="center"/>
            <w:hideMark/>
          </w:tcPr>
          <w:p w14:paraId="1B7D2BA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22 (73.3%)</w:t>
            </w:r>
          </w:p>
        </w:tc>
        <w:tc>
          <w:tcPr>
            <w:tcW w:w="0" w:type="auto"/>
            <w:tcMar>
              <w:top w:w="15" w:type="dxa"/>
              <w:left w:w="15" w:type="dxa"/>
              <w:bottom w:w="15" w:type="dxa"/>
              <w:right w:w="15" w:type="dxa"/>
            </w:tcMar>
            <w:vAlign w:val="center"/>
            <w:hideMark/>
          </w:tcPr>
          <w:p w14:paraId="2C01835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132 (73.3%)</w:t>
            </w:r>
          </w:p>
        </w:tc>
      </w:tr>
      <w:tr w:rsidR="00895B48" w:rsidRPr="002B45D7" w14:paraId="1321138C" w14:textId="77777777" w:rsidTr="00FA1EE7">
        <w:trPr>
          <w:tblCellSpacing w:w="15" w:type="dxa"/>
        </w:trPr>
        <w:tc>
          <w:tcPr>
            <w:tcW w:w="0" w:type="auto"/>
            <w:tcMar>
              <w:top w:w="15" w:type="dxa"/>
              <w:left w:w="15" w:type="dxa"/>
              <w:bottom w:w="15" w:type="dxa"/>
              <w:right w:w="15" w:type="dxa"/>
            </w:tcMar>
            <w:vAlign w:val="center"/>
            <w:hideMark/>
          </w:tcPr>
          <w:p w14:paraId="4E3C20C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34–44</w:t>
            </w:r>
          </w:p>
        </w:tc>
        <w:tc>
          <w:tcPr>
            <w:tcW w:w="0" w:type="auto"/>
            <w:tcMar>
              <w:top w:w="15" w:type="dxa"/>
              <w:left w:w="15" w:type="dxa"/>
              <w:bottom w:w="15" w:type="dxa"/>
              <w:right w:w="15" w:type="dxa"/>
            </w:tcMar>
            <w:vAlign w:val="center"/>
            <w:hideMark/>
          </w:tcPr>
          <w:p w14:paraId="73C1C85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14:paraId="6C2F498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14:paraId="6D23D7F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14:paraId="01A50DA4" w14:textId="77777777" w:rsidTr="00FA1EE7">
        <w:trPr>
          <w:tblCellSpacing w:w="15" w:type="dxa"/>
        </w:trPr>
        <w:tc>
          <w:tcPr>
            <w:tcW w:w="0" w:type="auto"/>
            <w:tcMar>
              <w:top w:w="15" w:type="dxa"/>
              <w:left w:w="15" w:type="dxa"/>
              <w:bottom w:w="15" w:type="dxa"/>
              <w:right w:w="15" w:type="dxa"/>
            </w:tcMar>
            <w:vAlign w:val="center"/>
            <w:hideMark/>
          </w:tcPr>
          <w:p w14:paraId="76F79C3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Marital Status</w:t>
            </w:r>
          </w:p>
        </w:tc>
        <w:tc>
          <w:tcPr>
            <w:tcW w:w="0" w:type="auto"/>
            <w:tcMar>
              <w:top w:w="15" w:type="dxa"/>
              <w:left w:w="15" w:type="dxa"/>
              <w:bottom w:w="15" w:type="dxa"/>
              <w:right w:w="15" w:type="dxa"/>
            </w:tcMar>
            <w:vAlign w:val="center"/>
          </w:tcPr>
          <w:p w14:paraId="14314A05"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41F1597D"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6302E8AD"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6F333388" w14:textId="77777777" w:rsidTr="00FA1EE7">
        <w:trPr>
          <w:tblCellSpacing w:w="15" w:type="dxa"/>
        </w:trPr>
        <w:tc>
          <w:tcPr>
            <w:tcW w:w="0" w:type="auto"/>
            <w:tcMar>
              <w:top w:w="15" w:type="dxa"/>
              <w:left w:w="15" w:type="dxa"/>
              <w:bottom w:w="15" w:type="dxa"/>
              <w:right w:w="15" w:type="dxa"/>
            </w:tcMar>
            <w:vAlign w:val="center"/>
            <w:hideMark/>
          </w:tcPr>
          <w:p w14:paraId="3409096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Married</w:t>
            </w:r>
          </w:p>
        </w:tc>
        <w:tc>
          <w:tcPr>
            <w:tcW w:w="0" w:type="auto"/>
            <w:tcMar>
              <w:top w:w="15" w:type="dxa"/>
              <w:left w:w="15" w:type="dxa"/>
              <w:bottom w:w="15" w:type="dxa"/>
              <w:right w:w="15" w:type="dxa"/>
            </w:tcMar>
            <w:vAlign w:val="center"/>
            <w:hideMark/>
          </w:tcPr>
          <w:p w14:paraId="59BB3A9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110 (73.3%)</w:t>
            </w:r>
          </w:p>
        </w:tc>
        <w:tc>
          <w:tcPr>
            <w:tcW w:w="0" w:type="auto"/>
            <w:tcMar>
              <w:top w:w="15" w:type="dxa"/>
              <w:left w:w="15" w:type="dxa"/>
              <w:bottom w:w="15" w:type="dxa"/>
              <w:right w:w="15" w:type="dxa"/>
            </w:tcMar>
            <w:vAlign w:val="center"/>
            <w:hideMark/>
          </w:tcPr>
          <w:p w14:paraId="7EC3ADB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22 (73.3%)</w:t>
            </w:r>
          </w:p>
        </w:tc>
        <w:tc>
          <w:tcPr>
            <w:tcW w:w="0" w:type="auto"/>
            <w:tcMar>
              <w:top w:w="15" w:type="dxa"/>
              <w:left w:w="15" w:type="dxa"/>
              <w:bottom w:w="15" w:type="dxa"/>
              <w:right w:w="15" w:type="dxa"/>
            </w:tcMar>
            <w:vAlign w:val="center"/>
            <w:hideMark/>
          </w:tcPr>
          <w:p w14:paraId="33EB915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132 (73.3%)</w:t>
            </w:r>
          </w:p>
        </w:tc>
      </w:tr>
      <w:tr w:rsidR="00895B48" w:rsidRPr="002B45D7" w14:paraId="24ECF2F7" w14:textId="77777777" w:rsidTr="00FA1EE7">
        <w:trPr>
          <w:tblCellSpacing w:w="15" w:type="dxa"/>
        </w:trPr>
        <w:tc>
          <w:tcPr>
            <w:tcW w:w="0" w:type="auto"/>
            <w:tcMar>
              <w:top w:w="15" w:type="dxa"/>
              <w:left w:w="15" w:type="dxa"/>
              <w:bottom w:w="15" w:type="dxa"/>
              <w:right w:w="15" w:type="dxa"/>
            </w:tcMar>
            <w:vAlign w:val="center"/>
            <w:hideMark/>
          </w:tcPr>
          <w:p w14:paraId="1A4CD77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Single</w:t>
            </w:r>
          </w:p>
        </w:tc>
        <w:tc>
          <w:tcPr>
            <w:tcW w:w="0" w:type="auto"/>
            <w:tcMar>
              <w:top w:w="15" w:type="dxa"/>
              <w:left w:w="15" w:type="dxa"/>
              <w:bottom w:w="15" w:type="dxa"/>
              <w:right w:w="15" w:type="dxa"/>
            </w:tcMar>
            <w:vAlign w:val="center"/>
            <w:hideMark/>
          </w:tcPr>
          <w:p w14:paraId="10F2381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 (20%)</w:t>
            </w:r>
          </w:p>
        </w:tc>
        <w:tc>
          <w:tcPr>
            <w:tcW w:w="0" w:type="auto"/>
            <w:tcMar>
              <w:top w:w="15" w:type="dxa"/>
              <w:left w:w="15" w:type="dxa"/>
              <w:bottom w:w="15" w:type="dxa"/>
              <w:right w:w="15" w:type="dxa"/>
            </w:tcMar>
            <w:vAlign w:val="center"/>
            <w:hideMark/>
          </w:tcPr>
          <w:p w14:paraId="375F622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 (20%)</w:t>
            </w:r>
          </w:p>
        </w:tc>
        <w:tc>
          <w:tcPr>
            <w:tcW w:w="0" w:type="auto"/>
            <w:tcMar>
              <w:top w:w="15" w:type="dxa"/>
              <w:left w:w="15" w:type="dxa"/>
              <w:bottom w:w="15" w:type="dxa"/>
              <w:right w:w="15" w:type="dxa"/>
            </w:tcMar>
            <w:vAlign w:val="center"/>
            <w:hideMark/>
          </w:tcPr>
          <w:p w14:paraId="6144BBF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36 (20%)</w:t>
            </w:r>
          </w:p>
        </w:tc>
      </w:tr>
      <w:tr w:rsidR="00895B48" w:rsidRPr="002B45D7" w14:paraId="7C986B92" w14:textId="77777777" w:rsidTr="00FA1EE7">
        <w:trPr>
          <w:tblCellSpacing w:w="15" w:type="dxa"/>
        </w:trPr>
        <w:tc>
          <w:tcPr>
            <w:tcW w:w="0" w:type="auto"/>
            <w:tcMar>
              <w:top w:w="15" w:type="dxa"/>
              <w:left w:w="15" w:type="dxa"/>
              <w:bottom w:w="15" w:type="dxa"/>
              <w:right w:w="15" w:type="dxa"/>
            </w:tcMar>
            <w:vAlign w:val="center"/>
            <w:hideMark/>
          </w:tcPr>
          <w:p w14:paraId="3131B29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Divorced/Widowed</w:t>
            </w:r>
          </w:p>
        </w:tc>
        <w:tc>
          <w:tcPr>
            <w:tcW w:w="0" w:type="auto"/>
            <w:tcMar>
              <w:top w:w="15" w:type="dxa"/>
              <w:left w:w="15" w:type="dxa"/>
              <w:bottom w:w="15" w:type="dxa"/>
              <w:right w:w="15" w:type="dxa"/>
            </w:tcMar>
            <w:vAlign w:val="center"/>
            <w:hideMark/>
          </w:tcPr>
          <w:p w14:paraId="5A9D21E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 (6.7%)</w:t>
            </w:r>
          </w:p>
        </w:tc>
        <w:tc>
          <w:tcPr>
            <w:tcW w:w="0" w:type="auto"/>
            <w:tcMar>
              <w:top w:w="15" w:type="dxa"/>
              <w:left w:w="15" w:type="dxa"/>
              <w:bottom w:w="15" w:type="dxa"/>
              <w:right w:w="15" w:type="dxa"/>
            </w:tcMar>
            <w:vAlign w:val="center"/>
            <w:hideMark/>
          </w:tcPr>
          <w:p w14:paraId="592B371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 (6.7%)</w:t>
            </w:r>
          </w:p>
        </w:tc>
        <w:tc>
          <w:tcPr>
            <w:tcW w:w="0" w:type="auto"/>
            <w:tcMar>
              <w:top w:w="15" w:type="dxa"/>
              <w:left w:w="15" w:type="dxa"/>
              <w:bottom w:w="15" w:type="dxa"/>
              <w:right w:w="15" w:type="dxa"/>
            </w:tcMar>
            <w:vAlign w:val="center"/>
            <w:hideMark/>
          </w:tcPr>
          <w:p w14:paraId="69EE78A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 (6.7%)</w:t>
            </w:r>
          </w:p>
        </w:tc>
      </w:tr>
      <w:tr w:rsidR="00895B48" w:rsidRPr="002B45D7" w14:paraId="4128DC25" w14:textId="77777777" w:rsidTr="00FA1EE7">
        <w:trPr>
          <w:tblCellSpacing w:w="15" w:type="dxa"/>
        </w:trPr>
        <w:tc>
          <w:tcPr>
            <w:tcW w:w="0" w:type="auto"/>
            <w:tcMar>
              <w:top w:w="15" w:type="dxa"/>
              <w:left w:w="15" w:type="dxa"/>
              <w:bottom w:w="15" w:type="dxa"/>
              <w:right w:w="15" w:type="dxa"/>
            </w:tcMar>
            <w:vAlign w:val="center"/>
            <w:hideMark/>
          </w:tcPr>
          <w:p w14:paraId="7E63C15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Education Level</w:t>
            </w:r>
          </w:p>
        </w:tc>
        <w:tc>
          <w:tcPr>
            <w:tcW w:w="0" w:type="auto"/>
            <w:tcMar>
              <w:top w:w="15" w:type="dxa"/>
              <w:left w:w="15" w:type="dxa"/>
              <w:bottom w:w="15" w:type="dxa"/>
              <w:right w:w="15" w:type="dxa"/>
            </w:tcMar>
            <w:vAlign w:val="center"/>
          </w:tcPr>
          <w:p w14:paraId="53FDFA68"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517C37BB"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2572D382"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73CC7699" w14:textId="77777777" w:rsidTr="00FA1EE7">
        <w:trPr>
          <w:tblCellSpacing w:w="15" w:type="dxa"/>
        </w:trPr>
        <w:tc>
          <w:tcPr>
            <w:tcW w:w="0" w:type="auto"/>
            <w:tcMar>
              <w:top w:w="15" w:type="dxa"/>
              <w:left w:w="15" w:type="dxa"/>
              <w:bottom w:w="15" w:type="dxa"/>
              <w:right w:w="15" w:type="dxa"/>
            </w:tcMar>
            <w:vAlign w:val="center"/>
            <w:hideMark/>
          </w:tcPr>
          <w:p w14:paraId="579260F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Primary</w:t>
            </w:r>
          </w:p>
        </w:tc>
        <w:tc>
          <w:tcPr>
            <w:tcW w:w="0" w:type="auto"/>
            <w:tcMar>
              <w:top w:w="15" w:type="dxa"/>
              <w:left w:w="15" w:type="dxa"/>
              <w:bottom w:w="15" w:type="dxa"/>
              <w:right w:w="15" w:type="dxa"/>
            </w:tcMar>
            <w:vAlign w:val="center"/>
            <w:hideMark/>
          </w:tcPr>
          <w:p w14:paraId="259DCDC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14:paraId="31ECF98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14:paraId="6B2E8C6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14:paraId="16A90466" w14:textId="77777777" w:rsidTr="00FA1EE7">
        <w:trPr>
          <w:tblCellSpacing w:w="15" w:type="dxa"/>
        </w:trPr>
        <w:tc>
          <w:tcPr>
            <w:tcW w:w="0" w:type="auto"/>
            <w:tcMar>
              <w:top w:w="15" w:type="dxa"/>
              <w:left w:w="15" w:type="dxa"/>
              <w:bottom w:w="15" w:type="dxa"/>
              <w:right w:w="15" w:type="dxa"/>
            </w:tcMar>
            <w:vAlign w:val="center"/>
            <w:hideMark/>
          </w:tcPr>
          <w:p w14:paraId="05EEB41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lastRenderedPageBreak/>
              <w:t>Secondary</w:t>
            </w:r>
          </w:p>
        </w:tc>
        <w:tc>
          <w:tcPr>
            <w:tcW w:w="0" w:type="auto"/>
            <w:tcMar>
              <w:top w:w="15" w:type="dxa"/>
              <w:left w:w="15" w:type="dxa"/>
              <w:bottom w:w="15" w:type="dxa"/>
              <w:right w:w="15" w:type="dxa"/>
            </w:tcMar>
            <w:vAlign w:val="center"/>
            <w:hideMark/>
          </w:tcPr>
          <w:p w14:paraId="318058A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70 (46.7%)</w:t>
            </w:r>
          </w:p>
        </w:tc>
        <w:tc>
          <w:tcPr>
            <w:tcW w:w="0" w:type="auto"/>
            <w:tcMar>
              <w:top w:w="15" w:type="dxa"/>
              <w:left w:w="15" w:type="dxa"/>
              <w:bottom w:w="15" w:type="dxa"/>
              <w:right w:w="15" w:type="dxa"/>
            </w:tcMar>
            <w:vAlign w:val="center"/>
            <w:hideMark/>
          </w:tcPr>
          <w:p w14:paraId="23D51D1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14 (46.7%)</w:t>
            </w:r>
          </w:p>
        </w:tc>
        <w:tc>
          <w:tcPr>
            <w:tcW w:w="0" w:type="auto"/>
            <w:tcMar>
              <w:top w:w="15" w:type="dxa"/>
              <w:left w:w="15" w:type="dxa"/>
              <w:bottom w:w="15" w:type="dxa"/>
              <w:right w:w="15" w:type="dxa"/>
            </w:tcMar>
            <w:vAlign w:val="center"/>
            <w:hideMark/>
          </w:tcPr>
          <w:p w14:paraId="41CAA85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84 (46.7%)</w:t>
            </w:r>
          </w:p>
        </w:tc>
      </w:tr>
      <w:tr w:rsidR="00895B48" w:rsidRPr="002B45D7" w14:paraId="67B38151" w14:textId="77777777" w:rsidTr="00FA1EE7">
        <w:trPr>
          <w:tblCellSpacing w:w="15" w:type="dxa"/>
        </w:trPr>
        <w:tc>
          <w:tcPr>
            <w:tcW w:w="0" w:type="auto"/>
            <w:tcMar>
              <w:top w:w="15" w:type="dxa"/>
              <w:left w:w="15" w:type="dxa"/>
              <w:bottom w:w="15" w:type="dxa"/>
              <w:right w:w="15" w:type="dxa"/>
            </w:tcMar>
            <w:vAlign w:val="center"/>
            <w:hideMark/>
          </w:tcPr>
          <w:p w14:paraId="6D1A7B0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Tertiary</w:t>
            </w:r>
          </w:p>
        </w:tc>
        <w:tc>
          <w:tcPr>
            <w:tcW w:w="0" w:type="auto"/>
            <w:tcMar>
              <w:top w:w="15" w:type="dxa"/>
              <w:left w:w="15" w:type="dxa"/>
              <w:bottom w:w="15" w:type="dxa"/>
              <w:right w:w="15" w:type="dxa"/>
            </w:tcMar>
            <w:vAlign w:val="center"/>
            <w:hideMark/>
          </w:tcPr>
          <w:p w14:paraId="2BEE50F9"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55 (36.7%)</w:t>
            </w:r>
          </w:p>
        </w:tc>
        <w:tc>
          <w:tcPr>
            <w:tcW w:w="0" w:type="auto"/>
            <w:tcMar>
              <w:top w:w="15" w:type="dxa"/>
              <w:left w:w="15" w:type="dxa"/>
              <w:bottom w:w="15" w:type="dxa"/>
              <w:right w:w="15" w:type="dxa"/>
            </w:tcMar>
            <w:vAlign w:val="center"/>
            <w:hideMark/>
          </w:tcPr>
          <w:p w14:paraId="70A5387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 (36.7%)</w:t>
            </w:r>
          </w:p>
        </w:tc>
        <w:tc>
          <w:tcPr>
            <w:tcW w:w="0" w:type="auto"/>
            <w:tcMar>
              <w:top w:w="15" w:type="dxa"/>
              <w:left w:w="15" w:type="dxa"/>
              <w:bottom w:w="15" w:type="dxa"/>
              <w:right w:w="15" w:type="dxa"/>
            </w:tcMar>
            <w:vAlign w:val="center"/>
            <w:hideMark/>
          </w:tcPr>
          <w:p w14:paraId="0D754A6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66 (36.7%)</w:t>
            </w:r>
          </w:p>
        </w:tc>
      </w:tr>
      <w:tr w:rsidR="00895B48" w:rsidRPr="002B45D7" w14:paraId="5C162330" w14:textId="77777777" w:rsidTr="00FA1EE7">
        <w:trPr>
          <w:tblCellSpacing w:w="15" w:type="dxa"/>
        </w:trPr>
        <w:tc>
          <w:tcPr>
            <w:tcW w:w="0" w:type="auto"/>
            <w:tcMar>
              <w:top w:w="15" w:type="dxa"/>
              <w:left w:w="15" w:type="dxa"/>
              <w:bottom w:w="15" w:type="dxa"/>
              <w:right w:w="15" w:type="dxa"/>
            </w:tcMar>
            <w:vAlign w:val="center"/>
            <w:hideMark/>
          </w:tcPr>
          <w:p w14:paraId="6C74F9F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None</w:t>
            </w:r>
          </w:p>
        </w:tc>
        <w:tc>
          <w:tcPr>
            <w:tcW w:w="0" w:type="auto"/>
            <w:tcMar>
              <w:top w:w="15" w:type="dxa"/>
              <w:left w:w="15" w:type="dxa"/>
              <w:bottom w:w="15" w:type="dxa"/>
              <w:right w:w="15" w:type="dxa"/>
            </w:tcMar>
            <w:vAlign w:val="center"/>
            <w:hideMark/>
          </w:tcPr>
          <w:p w14:paraId="5EA61DA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 (3.3%)</w:t>
            </w:r>
          </w:p>
        </w:tc>
        <w:tc>
          <w:tcPr>
            <w:tcW w:w="0" w:type="auto"/>
            <w:tcMar>
              <w:top w:w="15" w:type="dxa"/>
              <w:left w:w="15" w:type="dxa"/>
              <w:bottom w:w="15" w:type="dxa"/>
              <w:right w:w="15" w:type="dxa"/>
            </w:tcMar>
            <w:vAlign w:val="center"/>
            <w:hideMark/>
          </w:tcPr>
          <w:p w14:paraId="25CD181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 (3.3%)</w:t>
            </w:r>
          </w:p>
        </w:tc>
        <w:tc>
          <w:tcPr>
            <w:tcW w:w="0" w:type="auto"/>
            <w:tcMar>
              <w:top w:w="15" w:type="dxa"/>
              <w:left w:w="15" w:type="dxa"/>
              <w:bottom w:w="15" w:type="dxa"/>
              <w:right w:w="15" w:type="dxa"/>
            </w:tcMar>
            <w:vAlign w:val="center"/>
            <w:hideMark/>
          </w:tcPr>
          <w:p w14:paraId="4822049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 (3.3%)</w:t>
            </w:r>
          </w:p>
        </w:tc>
      </w:tr>
      <w:tr w:rsidR="00895B48" w:rsidRPr="002B45D7" w14:paraId="47EFD1E7" w14:textId="77777777" w:rsidTr="00FA1EE7">
        <w:trPr>
          <w:tblCellSpacing w:w="15" w:type="dxa"/>
        </w:trPr>
        <w:tc>
          <w:tcPr>
            <w:tcW w:w="0" w:type="auto"/>
            <w:tcMar>
              <w:top w:w="15" w:type="dxa"/>
              <w:left w:w="15" w:type="dxa"/>
              <w:bottom w:w="15" w:type="dxa"/>
              <w:right w:w="15" w:type="dxa"/>
            </w:tcMar>
            <w:vAlign w:val="center"/>
            <w:hideMark/>
          </w:tcPr>
          <w:p w14:paraId="5850D39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Gestational Age</w:t>
            </w:r>
          </w:p>
        </w:tc>
        <w:tc>
          <w:tcPr>
            <w:tcW w:w="0" w:type="auto"/>
            <w:tcMar>
              <w:top w:w="15" w:type="dxa"/>
              <w:left w:w="15" w:type="dxa"/>
              <w:bottom w:w="15" w:type="dxa"/>
              <w:right w:w="15" w:type="dxa"/>
            </w:tcMar>
            <w:vAlign w:val="center"/>
          </w:tcPr>
          <w:p w14:paraId="2FD1F198"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242E0E5D"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15E9DDD4"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798CBB08" w14:textId="77777777" w:rsidTr="00FA1EE7">
        <w:trPr>
          <w:tblCellSpacing w:w="15" w:type="dxa"/>
        </w:trPr>
        <w:tc>
          <w:tcPr>
            <w:tcW w:w="0" w:type="auto"/>
            <w:tcMar>
              <w:top w:w="15" w:type="dxa"/>
              <w:left w:w="15" w:type="dxa"/>
              <w:bottom w:w="15" w:type="dxa"/>
              <w:right w:w="15" w:type="dxa"/>
            </w:tcMar>
            <w:vAlign w:val="center"/>
            <w:hideMark/>
          </w:tcPr>
          <w:p w14:paraId="5654541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First trimester</w:t>
            </w:r>
          </w:p>
        </w:tc>
        <w:tc>
          <w:tcPr>
            <w:tcW w:w="0" w:type="auto"/>
            <w:tcMar>
              <w:top w:w="15" w:type="dxa"/>
              <w:left w:w="15" w:type="dxa"/>
              <w:bottom w:w="15" w:type="dxa"/>
              <w:right w:w="15" w:type="dxa"/>
            </w:tcMar>
            <w:vAlign w:val="center"/>
            <w:hideMark/>
          </w:tcPr>
          <w:p w14:paraId="7C2C14D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14:paraId="42290F7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14:paraId="3C43367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14:paraId="6EC27637" w14:textId="77777777" w:rsidTr="00FA1EE7">
        <w:trPr>
          <w:tblCellSpacing w:w="15" w:type="dxa"/>
        </w:trPr>
        <w:tc>
          <w:tcPr>
            <w:tcW w:w="0" w:type="auto"/>
            <w:tcMar>
              <w:top w:w="15" w:type="dxa"/>
              <w:left w:w="15" w:type="dxa"/>
              <w:bottom w:w="15" w:type="dxa"/>
              <w:right w:w="15" w:type="dxa"/>
            </w:tcMar>
            <w:vAlign w:val="center"/>
            <w:hideMark/>
          </w:tcPr>
          <w:p w14:paraId="26F0194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Second trimester</w:t>
            </w:r>
          </w:p>
        </w:tc>
        <w:tc>
          <w:tcPr>
            <w:tcW w:w="0" w:type="auto"/>
            <w:tcMar>
              <w:top w:w="15" w:type="dxa"/>
              <w:left w:w="15" w:type="dxa"/>
              <w:bottom w:w="15" w:type="dxa"/>
              <w:right w:w="15" w:type="dxa"/>
            </w:tcMar>
            <w:vAlign w:val="center"/>
            <w:hideMark/>
          </w:tcPr>
          <w:p w14:paraId="64062D2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100 (66.7%)</w:t>
            </w:r>
          </w:p>
        </w:tc>
        <w:tc>
          <w:tcPr>
            <w:tcW w:w="0" w:type="auto"/>
            <w:tcMar>
              <w:top w:w="15" w:type="dxa"/>
              <w:left w:w="15" w:type="dxa"/>
              <w:bottom w:w="15" w:type="dxa"/>
              <w:right w:w="15" w:type="dxa"/>
            </w:tcMar>
            <w:vAlign w:val="center"/>
            <w:hideMark/>
          </w:tcPr>
          <w:p w14:paraId="5C0011A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(66.7%)</w:t>
            </w:r>
          </w:p>
        </w:tc>
        <w:tc>
          <w:tcPr>
            <w:tcW w:w="0" w:type="auto"/>
            <w:tcMar>
              <w:top w:w="15" w:type="dxa"/>
              <w:left w:w="15" w:type="dxa"/>
              <w:bottom w:w="15" w:type="dxa"/>
              <w:right w:w="15" w:type="dxa"/>
            </w:tcMar>
            <w:vAlign w:val="center"/>
            <w:hideMark/>
          </w:tcPr>
          <w:p w14:paraId="09B1381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120 (66.7%)</w:t>
            </w:r>
          </w:p>
        </w:tc>
      </w:tr>
      <w:tr w:rsidR="00895B48" w:rsidRPr="002B45D7" w14:paraId="222C9241" w14:textId="77777777" w:rsidTr="00FA1EE7">
        <w:trPr>
          <w:tblCellSpacing w:w="15" w:type="dxa"/>
        </w:trPr>
        <w:tc>
          <w:tcPr>
            <w:tcW w:w="0" w:type="auto"/>
            <w:tcMar>
              <w:top w:w="15" w:type="dxa"/>
              <w:left w:w="15" w:type="dxa"/>
              <w:bottom w:w="15" w:type="dxa"/>
              <w:right w:w="15" w:type="dxa"/>
            </w:tcMar>
            <w:vAlign w:val="center"/>
            <w:hideMark/>
          </w:tcPr>
          <w:p w14:paraId="353E1956"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Third trimester</w:t>
            </w:r>
          </w:p>
        </w:tc>
        <w:tc>
          <w:tcPr>
            <w:tcW w:w="0" w:type="auto"/>
            <w:tcMar>
              <w:top w:w="15" w:type="dxa"/>
              <w:left w:w="15" w:type="dxa"/>
              <w:bottom w:w="15" w:type="dxa"/>
              <w:right w:w="15" w:type="dxa"/>
            </w:tcMar>
            <w:vAlign w:val="center"/>
            <w:hideMark/>
          </w:tcPr>
          <w:p w14:paraId="2A5ECDB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 (20%)</w:t>
            </w:r>
          </w:p>
        </w:tc>
        <w:tc>
          <w:tcPr>
            <w:tcW w:w="0" w:type="auto"/>
            <w:tcMar>
              <w:top w:w="15" w:type="dxa"/>
              <w:left w:w="15" w:type="dxa"/>
              <w:bottom w:w="15" w:type="dxa"/>
              <w:right w:w="15" w:type="dxa"/>
            </w:tcMar>
            <w:vAlign w:val="center"/>
            <w:hideMark/>
          </w:tcPr>
          <w:p w14:paraId="120788C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 (20%)</w:t>
            </w:r>
          </w:p>
        </w:tc>
        <w:tc>
          <w:tcPr>
            <w:tcW w:w="0" w:type="auto"/>
            <w:tcMar>
              <w:top w:w="15" w:type="dxa"/>
              <w:left w:w="15" w:type="dxa"/>
              <w:bottom w:w="15" w:type="dxa"/>
              <w:right w:w="15" w:type="dxa"/>
            </w:tcMar>
            <w:vAlign w:val="center"/>
            <w:hideMark/>
          </w:tcPr>
          <w:p w14:paraId="461802B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36 (20%)</w:t>
            </w:r>
          </w:p>
        </w:tc>
      </w:tr>
      <w:tr w:rsidR="00895B48" w:rsidRPr="002B45D7" w14:paraId="24326B3B" w14:textId="77777777" w:rsidTr="00FA1EE7">
        <w:trPr>
          <w:tblCellSpacing w:w="15" w:type="dxa"/>
        </w:trPr>
        <w:tc>
          <w:tcPr>
            <w:tcW w:w="0" w:type="auto"/>
            <w:tcMar>
              <w:top w:w="15" w:type="dxa"/>
              <w:left w:w="15" w:type="dxa"/>
              <w:bottom w:w="15" w:type="dxa"/>
              <w:right w:w="15" w:type="dxa"/>
            </w:tcMar>
            <w:vAlign w:val="center"/>
            <w:hideMark/>
          </w:tcPr>
          <w:p w14:paraId="22F3797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Previous Pregnancies</w:t>
            </w:r>
          </w:p>
        </w:tc>
        <w:tc>
          <w:tcPr>
            <w:tcW w:w="0" w:type="auto"/>
            <w:tcMar>
              <w:top w:w="15" w:type="dxa"/>
              <w:left w:w="15" w:type="dxa"/>
              <w:bottom w:w="15" w:type="dxa"/>
              <w:right w:w="15" w:type="dxa"/>
            </w:tcMar>
            <w:vAlign w:val="center"/>
          </w:tcPr>
          <w:p w14:paraId="7186B5DF"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57FC1356"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7C7EB6A9"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7DC6F356" w14:textId="77777777" w:rsidTr="00FA1EE7">
        <w:trPr>
          <w:tblCellSpacing w:w="15" w:type="dxa"/>
        </w:trPr>
        <w:tc>
          <w:tcPr>
            <w:tcW w:w="0" w:type="auto"/>
            <w:tcMar>
              <w:top w:w="15" w:type="dxa"/>
              <w:left w:w="15" w:type="dxa"/>
              <w:bottom w:w="15" w:type="dxa"/>
              <w:right w:w="15" w:type="dxa"/>
            </w:tcMar>
            <w:vAlign w:val="center"/>
            <w:hideMark/>
          </w:tcPr>
          <w:p w14:paraId="3D487766"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20194A0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100 (66.7%)</w:t>
            </w:r>
          </w:p>
        </w:tc>
        <w:tc>
          <w:tcPr>
            <w:tcW w:w="0" w:type="auto"/>
            <w:tcMar>
              <w:top w:w="15" w:type="dxa"/>
              <w:left w:w="15" w:type="dxa"/>
              <w:bottom w:w="15" w:type="dxa"/>
              <w:right w:w="15" w:type="dxa"/>
            </w:tcMar>
            <w:vAlign w:val="center"/>
            <w:hideMark/>
          </w:tcPr>
          <w:p w14:paraId="053A2E2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(66.7%)</w:t>
            </w:r>
          </w:p>
        </w:tc>
        <w:tc>
          <w:tcPr>
            <w:tcW w:w="0" w:type="auto"/>
            <w:tcMar>
              <w:top w:w="15" w:type="dxa"/>
              <w:left w:w="15" w:type="dxa"/>
              <w:bottom w:w="15" w:type="dxa"/>
              <w:right w:w="15" w:type="dxa"/>
            </w:tcMar>
            <w:vAlign w:val="center"/>
            <w:hideMark/>
          </w:tcPr>
          <w:p w14:paraId="2408B9A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120 (66.7%)</w:t>
            </w:r>
          </w:p>
        </w:tc>
      </w:tr>
      <w:tr w:rsidR="00895B48" w:rsidRPr="002B45D7" w14:paraId="3343C96D" w14:textId="77777777" w:rsidTr="00FA1EE7">
        <w:trPr>
          <w:tblCellSpacing w:w="15" w:type="dxa"/>
        </w:trPr>
        <w:tc>
          <w:tcPr>
            <w:tcW w:w="0" w:type="auto"/>
            <w:tcMar>
              <w:top w:w="15" w:type="dxa"/>
              <w:left w:w="15" w:type="dxa"/>
              <w:bottom w:w="15" w:type="dxa"/>
              <w:right w:w="15" w:type="dxa"/>
            </w:tcMar>
            <w:vAlign w:val="center"/>
            <w:hideMark/>
          </w:tcPr>
          <w:p w14:paraId="547228D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3A96CBF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50 (33.3%)</w:t>
            </w:r>
          </w:p>
        </w:tc>
        <w:tc>
          <w:tcPr>
            <w:tcW w:w="0" w:type="auto"/>
            <w:tcMar>
              <w:top w:w="15" w:type="dxa"/>
              <w:left w:w="15" w:type="dxa"/>
              <w:bottom w:w="15" w:type="dxa"/>
              <w:right w:w="15" w:type="dxa"/>
            </w:tcMar>
            <w:vAlign w:val="center"/>
            <w:hideMark/>
          </w:tcPr>
          <w:p w14:paraId="461B1A6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 (33.3%)</w:t>
            </w:r>
          </w:p>
        </w:tc>
        <w:tc>
          <w:tcPr>
            <w:tcW w:w="0" w:type="auto"/>
            <w:tcMar>
              <w:top w:w="15" w:type="dxa"/>
              <w:left w:w="15" w:type="dxa"/>
              <w:bottom w:w="15" w:type="dxa"/>
              <w:right w:w="15" w:type="dxa"/>
            </w:tcMar>
            <w:vAlign w:val="center"/>
            <w:hideMark/>
          </w:tcPr>
          <w:p w14:paraId="18D15F5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60 (33.3%)</w:t>
            </w:r>
          </w:p>
        </w:tc>
      </w:tr>
      <w:tr w:rsidR="00895B48" w:rsidRPr="002B45D7" w14:paraId="7D28C3F3" w14:textId="77777777" w:rsidTr="00FA1EE7">
        <w:trPr>
          <w:tblCellSpacing w:w="15" w:type="dxa"/>
        </w:trPr>
        <w:tc>
          <w:tcPr>
            <w:tcW w:w="0" w:type="auto"/>
            <w:tcMar>
              <w:top w:w="15" w:type="dxa"/>
              <w:left w:w="15" w:type="dxa"/>
              <w:bottom w:w="15" w:type="dxa"/>
              <w:right w:w="15" w:type="dxa"/>
            </w:tcMar>
            <w:vAlign w:val="center"/>
            <w:hideMark/>
          </w:tcPr>
          <w:p w14:paraId="4A932A3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Anemia Symptoms</w:t>
            </w:r>
          </w:p>
        </w:tc>
        <w:tc>
          <w:tcPr>
            <w:tcW w:w="0" w:type="auto"/>
            <w:tcMar>
              <w:top w:w="15" w:type="dxa"/>
              <w:left w:w="15" w:type="dxa"/>
              <w:bottom w:w="15" w:type="dxa"/>
              <w:right w:w="15" w:type="dxa"/>
            </w:tcMar>
            <w:vAlign w:val="center"/>
          </w:tcPr>
          <w:p w14:paraId="0AC88FF4"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4B4727AE"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03CA2637"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7DC56F1C" w14:textId="77777777" w:rsidTr="00FA1EE7">
        <w:trPr>
          <w:tblCellSpacing w:w="15" w:type="dxa"/>
        </w:trPr>
        <w:tc>
          <w:tcPr>
            <w:tcW w:w="0" w:type="auto"/>
            <w:tcMar>
              <w:top w:w="15" w:type="dxa"/>
              <w:left w:w="15" w:type="dxa"/>
              <w:bottom w:w="15" w:type="dxa"/>
              <w:right w:w="15" w:type="dxa"/>
            </w:tcMar>
            <w:vAlign w:val="center"/>
            <w:hideMark/>
          </w:tcPr>
          <w:p w14:paraId="1FF2356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29F8125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50 (33.3%)</w:t>
            </w:r>
          </w:p>
        </w:tc>
        <w:tc>
          <w:tcPr>
            <w:tcW w:w="0" w:type="auto"/>
            <w:tcMar>
              <w:top w:w="15" w:type="dxa"/>
              <w:left w:w="15" w:type="dxa"/>
              <w:bottom w:w="15" w:type="dxa"/>
              <w:right w:w="15" w:type="dxa"/>
            </w:tcMar>
            <w:vAlign w:val="center"/>
            <w:hideMark/>
          </w:tcPr>
          <w:p w14:paraId="2CE3ECC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 (33.3%)</w:t>
            </w:r>
          </w:p>
        </w:tc>
        <w:tc>
          <w:tcPr>
            <w:tcW w:w="0" w:type="auto"/>
            <w:tcMar>
              <w:top w:w="15" w:type="dxa"/>
              <w:left w:w="15" w:type="dxa"/>
              <w:bottom w:w="15" w:type="dxa"/>
              <w:right w:w="15" w:type="dxa"/>
            </w:tcMar>
            <w:vAlign w:val="center"/>
            <w:hideMark/>
          </w:tcPr>
          <w:p w14:paraId="3EFFFE2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60 (33.3%)</w:t>
            </w:r>
          </w:p>
        </w:tc>
      </w:tr>
      <w:tr w:rsidR="00895B48" w:rsidRPr="002B45D7" w14:paraId="149CD912" w14:textId="77777777" w:rsidTr="00FA1EE7">
        <w:trPr>
          <w:tblCellSpacing w:w="15" w:type="dxa"/>
        </w:trPr>
        <w:tc>
          <w:tcPr>
            <w:tcW w:w="0" w:type="auto"/>
            <w:tcMar>
              <w:top w:w="15" w:type="dxa"/>
              <w:left w:w="15" w:type="dxa"/>
              <w:bottom w:w="15" w:type="dxa"/>
              <w:right w:w="15" w:type="dxa"/>
            </w:tcMar>
            <w:vAlign w:val="center"/>
            <w:hideMark/>
          </w:tcPr>
          <w:p w14:paraId="1A4482A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51560A4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100 (66.7%)</w:t>
            </w:r>
          </w:p>
        </w:tc>
        <w:tc>
          <w:tcPr>
            <w:tcW w:w="0" w:type="auto"/>
            <w:tcMar>
              <w:top w:w="15" w:type="dxa"/>
              <w:left w:w="15" w:type="dxa"/>
              <w:bottom w:w="15" w:type="dxa"/>
              <w:right w:w="15" w:type="dxa"/>
            </w:tcMar>
            <w:vAlign w:val="center"/>
            <w:hideMark/>
          </w:tcPr>
          <w:p w14:paraId="6CD5210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(66.7%)</w:t>
            </w:r>
          </w:p>
        </w:tc>
        <w:tc>
          <w:tcPr>
            <w:tcW w:w="0" w:type="auto"/>
            <w:tcMar>
              <w:top w:w="15" w:type="dxa"/>
              <w:left w:w="15" w:type="dxa"/>
              <w:bottom w:w="15" w:type="dxa"/>
              <w:right w:w="15" w:type="dxa"/>
            </w:tcMar>
            <w:vAlign w:val="center"/>
            <w:hideMark/>
          </w:tcPr>
          <w:p w14:paraId="4761F91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120 (66.7%)</w:t>
            </w:r>
          </w:p>
        </w:tc>
      </w:tr>
      <w:tr w:rsidR="00895B48" w:rsidRPr="002B45D7" w14:paraId="29BEDC24" w14:textId="77777777" w:rsidTr="00FA1EE7">
        <w:trPr>
          <w:tblCellSpacing w:w="15" w:type="dxa"/>
        </w:trPr>
        <w:tc>
          <w:tcPr>
            <w:tcW w:w="0" w:type="auto"/>
            <w:tcMar>
              <w:top w:w="15" w:type="dxa"/>
              <w:left w:w="15" w:type="dxa"/>
              <w:bottom w:w="15" w:type="dxa"/>
              <w:right w:w="15" w:type="dxa"/>
            </w:tcMar>
            <w:vAlign w:val="center"/>
            <w:hideMark/>
          </w:tcPr>
          <w:p w14:paraId="60403D7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HBV Vaccination</w:t>
            </w:r>
          </w:p>
        </w:tc>
        <w:tc>
          <w:tcPr>
            <w:tcW w:w="0" w:type="auto"/>
            <w:tcMar>
              <w:top w:w="15" w:type="dxa"/>
              <w:left w:w="15" w:type="dxa"/>
              <w:bottom w:w="15" w:type="dxa"/>
              <w:right w:w="15" w:type="dxa"/>
            </w:tcMar>
            <w:vAlign w:val="center"/>
          </w:tcPr>
          <w:p w14:paraId="1B83B5DC"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26E47D68"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26ABD95F"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2009C131" w14:textId="77777777" w:rsidTr="00FA1EE7">
        <w:trPr>
          <w:tblCellSpacing w:w="15" w:type="dxa"/>
        </w:trPr>
        <w:tc>
          <w:tcPr>
            <w:tcW w:w="0" w:type="auto"/>
            <w:tcMar>
              <w:top w:w="15" w:type="dxa"/>
              <w:left w:w="15" w:type="dxa"/>
              <w:bottom w:w="15" w:type="dxa"/>
              <w:right w:w="15" w:type="dxa"/>
            </w:tcMar>
            <w:vAlign w:val="center"/>
            <w:hideMark/>
          </w:tcPr>
          <w:p w14:paraId="1A10279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78CCD0B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40 (26.7%)</w:t>
            </w:r>
          </w:p>
        </w:tc>
        <w:tc>
          <w:tcPr>
            <w:tcW w:w="0" w:type="auto"/>
            <w:tcMar>
              <w:top w:w="15" w:type="dxa"/>
              <w:left w:w="15" w:type="dxa"/>
              <w:bottom w:w="15" w:type="dxa"/>
              <w:right w:w="15" w:type="dxa"/>
            </w:tcMar>
            <w:vAlign w:val="center"/>
            <w:hideMark/>
          </w:tcPr>
          <w:p w14:paraId="64708B3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8 (26.7%)</w:t>
            </w:r>
          </w:p>
        </w:tc>
        <w:tc>
          <w:tcPr>
            <w:tcW w:w="0" w:type="auto"/>
            <w:tcMar>
              <w:top w:w="15" w:type="dxa"/>
              <w:left w:w="15" w:type="dxa"/>
              <w:bottom w:w="15" w:type="dxa"/>
              <w:right w:w="15" w:type="dxa"/>
            </w:tcMar>
            <w:vAlign w:val="center"/>
            <w:hideMark/>
          </w:tcPr>
          <w:p w14:paraId="4C98E15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48 (26.7%)</w:t>
            </w:r>
          </w:p>
        </w:tc>
      </w:tr>
      <w:tr w:rsidR="00895B48" w:rsidRPr="002B45D7" w14:paraId="2E256CA9" w14:textId="77777777" w:rsidTr="00FA1EE7">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1452E9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No</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618729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110 (73.3%)</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2F1567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22 (73.3%)</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F8DCE0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132 (73.3%)</w:t>
            </w:r>
          </w:p>
        </w:tc>
      </w:tr>
    </w:tbl>
    <w:p w14:paraId="6CC656F3" w14:textId="77777777" w:rsidR="00895B48" w:rsidRPr="002B45D7" w:rsidRDefault="00FA1EE7"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lastRenderedPageBreak/>
        <w:br w:type="textWrapping" w:clear="all"/>
      </w:r>
    </w:p>
    <w:p w14:paraId="10029407"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Among 180 participants, the majority (73.3%) were aged 26-33 years, and most were married (73.3%). The majority were in their second trimester (66.7%) with similar distributions between groups. Hepatitis B vaccination coverage was low (26.7%), consistent across groups.</w:t>
      </w:r>
    </w:p>
    <w:p w14:paraId="4DF58BD0" w14:textId="77777777" w:rsidR="00895B48" w:rsidRPr="002B45D7" w:rsidRDefault="00895B48" w:rsidP="002B45D7">
      <w:pPr>
        <w:spacing w:line="360" w:lineRule="auto"/>
        <w:jc w:val="both"/>
        <w:rPr>
          <w:rFonts w:ascii="Times New Roman" w:hAnsi="Times New Roman" w:cs="Times New Roman"/>
          <w:sz w:val="24"/>
          <w:szCs w:val="24"/>
        </w:rPr>
      </w:pPr>
    </w:p>
    <w:p w14:paraId="60017809" w14:textId="77777777" w:rsidR="00895B48" w:rsidRPr="002B45D7" w:rsidRDefault="00895B48" w:rsidP="002B45D7">
      <w:pPr>
        <w:spacing w:line="360" w:lineRule="auto"/>
        <w:jc w:val="both"/>
        <w:rPr>
          <w:rFonts w:ascii="Times New Roman" w:hAnsi="Times New Roman" w:cs="Times New Roman"/>
          <w:sz w:val="24"/>
          <w:szCs w:val="24"/>
        </w:rPr>
      </w:pPr>
    </w:p>
    <w:p w14:paraId="3366EA6E" w14:textId="77777777" w:rsidR="00895B48" w:rsidRPr="002B45D7" w:rsidRDefault="00895B48" w:rsidP="002B45D7">
      <w:pPr>
        <w:spacing w:line="360" w:lineRule="auto"/>
        <w:jc w:val="both"/>
        <w:rPr>
          <w:rFonts w:ascii="Times New Roman" w:hAnsi="Times New Roman" w:cs="Times New Roman"/>
          <w:sz w:val="24"/>
          <w:szCs w:val="24"/>
        </w:rPr>
      </w:pPr>
    </w:p>
    <w:p w14:paraId="0E3C4CCA" w14:textId="77777777" w:rsidR="00FA1EE7" w:rsidRPr="002B45D7" w:rsidRDefault="00FA1EE7" w:rsidP="002B45D7">
      <w:pPr>
        <w:spacing w:line="360" w:lineRule="auto"/>
        <w:jc w:val="both"/>
        <w:rPr>
          <w:rFonts w:ascii="Times New Roman" w:hAnsi="Times New Roman" w:cs="Times New Roman"/>
          <w:sz w:val="24"/>
          <w:szCs w:val="24"/>
        </w:rPr>
      </w:pPr>
    </w:p>
    <w:p w14:paraId="3A5A9828" w14:textId="77777777" w:rsidR="00FA1EE7" w:rsidRPr="002B45D7" w:rsidRDefault="00FA1EE7" w:rsidP="002B45D7">
      <w:pPr>
        <w:spacing w:line="360" w:lineRule="auto"/>
        <w:jc w:val="both"/>
        <w:rPr>
          <w:rFonts w:ascii="Times New Roman" w:hAnsi="Times New Roman" w:cs="Times New Roman"/>
          <w:sz w:val="24"/>
          <w:szCs w:val="24"/>
        </w:rPr>
      </w:pPr>
    </w:p>
    <w:p w14:paraId="408C07E7" w14:textId="77777777" w:rsidR="00FA1EE7" w:rsidRPr="002B45D7" w:rsidRDefault="00FA1EE7" w:rsidP="002B45D7">
      <w:pPr>
        <w:spacing w:line="360" w:lineRule="auto"/>
        <w:jc w:val="both"/>
        <w:rPr>
          <w:rFonts w:ascii="Times New Roman" w:hAnsi="Times New Roman" w:cs="Times New Roman"/>
          <w:sz w:val="24"/>
          <w:szCs w:val="24"/>
        </w:rPr>
      </w:pPr>
    </w:p>
    <w:p w14:paraId="57180CCC" w14:textId="77777777" w:rsidR="00FA1EE7" w:rsidRPr="002B45D7" w:rsidRDefault="00FA1EE7" w:rsidP="002B45D7">
      <w:pPr>
        <w:spacing w:line="360" w:lineRule="auto"/>
        <w:jc w:val="both"/>
        <w:rPr>
          <w:rFonts w:ascii="Times New Roman" w:hAnsi="Times New Roman" w:cs="Times New Roman"/>
          <w:sz w:val="24"/>
          <w:szCs w:val="24"/>
        </w:rPr>
      </w:pPr>
    </w:p>
    <w:p w14:paraId="50AFCCD1" w14:textId="77777777" w:rsidR="00FA1EE7" w:rsidRDefault="00FA1EE7" w:rsidP="002B45D7">
      <w:pPr>
        <w:spacing w:line="360" w:lineRule="auto"/>
        <w:jc w:val="both"/>
        <w:rPr>
          <w:rFonts w:ascii="Times New Roman" w:hAnsi="Times New Roman" w:cs="Times New Roman"/>
          <w:sz w:val="24"/>
          <w:szCs w:val="24"/>
        </w:rPr>
      </w:pPr>
    </w:p>
    <w:p w14:paraId="03515E8C" w14:textId="77777777" w:rsidR="002B45D7" w:rsidRPr="002B45D7" w:rsidRDefault="002B45D7" w:rsidP="002B45D7">
      <w:pPr>
        <w:spacing w:line="360" w:lineRule="auto"/>
        <w:jc w:val="both"/>
        <w:rPr>
          <w:rFonts w:ascii="Times New Roman" w:hAnsi="Times New Roman" w:cs="Times New Roman"/>
          <w:sz w:val="24"/>
          <w:szCs w:val="24"/>
        </w:rPr>
      </w:pPr>
    </w:p>
    <w:p w14:paraId="63A4D48F" w14:textId="77777777" w:rsidR="00895B48" w:rsidRPr="002B45D7" w:rsidRDefault="00895B48" w:rsidP="002B45D7">
      <w:pPr>
        <w:spacing w:line="360" w:lineRule="auto"/>
        <w:jc w:val="both"/>
        <w:rPr>
          <w:rFonts w:ascii="Times New Roman" w:hAnsi="Times New Roman" w:cs="Times New Roman"/>
          <w:sz w:val="24"/>
          <w:szCs w:val="24"/>
        </w:rPr>
      </w:pPr>
    </w:p>
    <w:p w14:paraId="457B5887"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3.2 Full Blood Count Findings</w:t>
      </w:r>
    </w:p>
    <w:p w14:paraId="28001713"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Table 2: Full Blood Count (FBC) Parameters in HBsAg Positive Pregnant Women </w:t>
      </w:r>
    </w:p>
    <w:tbl>
      <w:tblPr>
        <w:tblW w:w="0" w:type="auto"/>
        <w:tblCellSpacing w:w="15" w:type="dxa"/>
        <w:tblInd w:w="-45" w:type="dxa"/>
        <w:tblLook w:val="04A0" w:firstRow="1" w:lastRow="0" w:firstColumn="1" w:lastColumn="0" w:noHBand="0" w:noVBand="1"/>
      </w:tblPr>
      <w:tblGrid>
        <w:gridCol w:w="1949"/>
        <w:gridCol w:w="3614"/>
        <w:gridCol w:w="2767"/>
        <w:gridCol w:w="795"/>
      </w:tblGrid>
      <w:tr w:rsidR="00895B48" w:rsidRPr="002B45D7" w14:paraId="08CD6583" w14:textId="77777777" w:rsidTr="00895B48">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681FA3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Parameter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367C57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HBsAg Positive (n=150)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F0EA79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Controls (n=30)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0402B64"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p-value</w:t>
            </w:r>
          </w:p>
        </w:tc>
      </w:tr>
      <w:tr w:rsidR="00895B48" w:rsidRPr="002B45D7" w14:paraId="585A6284" w14:textId="77777777" w:rsidTr="00895B48">
        <w:trPr>
          <w:tblCellSpacing w:w="15" w:type="dxa"/>
        </w:trPr>
        <w:tc>
          <w:tcPr>
            <w:tcW w:w="0" w:type="auto"/>
            <w:tcMar>
              <w:top w:w="15" w:type="dxa"/>
              <w:left w:w="15" w:type="dxa"/>
              <w:bottom w:w="15" w:type="dxa"/>
              <w:right w:w="15" w:type="dxa"/>
            </w:tcMar>
            <w:vAlign w:val="center"/>
            <w:hideMark/>
          </w:tcPr>
          <w:p w14:paraId="4ABBFF52"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RBC (×10^12/L)</w:t>
            </w:r>
          </w:p>
        </w:tc>
        <w:tc>
          <w:tcPr>
            <w:tcW w:w="0" w:type="auto"/>
            <w:tcMar>
              <w:top w:w="15" w:type="dxa"/>
              <w:left w:w="15" w:type="dxa"/>
              <w:bottom w:w="15" w:type="dxa"/>
              <w:right w:w="15" w:type="dxa"/>
            </w:tcMar>
            <w:vAlign w:val="center"/>
            <w:hideMark/>
          </w:tcPr>
          <w:p w14:paraId="293ED77D"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4.20 ± 0.45</w:t>
            </w:r>
          </w:p>
        </w:tc>
        <w:tc>
          <w:tcPr>
            <w:tcW w:w="0" w:type="auto"/>
            <w:tcMar>
              <w:top w:w="15" w:type="dxa"/>
              <w:left w:w="15" w:type="dxa"/>
              <w:bottom w:w="15" w:type="dxa"/>
              <w:right w:w="15" w:type="dxa"/>
            </w:tcMar>
            <w:vAlign w:val="center"/>
            <w:hideMark/>
          </w:tcPr>
          <w:p w14:paraId="6ADDA30F"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4.50 ± 0.40</w:t>
            </w:r>
          </w:p>
        </w:tc>
        <w:tc>
          <w:tcPr>
            <w:tcW w:w="0" w:type="auto"/>
            <w:tcMar>
              <w:top w:w="15" w:type="dxa"/>
              <w:left w:w="15" w:type="dxa"/>
              <w:bottom w:w="15" w:type="dxa"/>
              <w:right w:w="15" w:type="dxa"/>
            </w:tcMar>
            <w:vAlign w:val="center"/>
            <w:hideMark/>
          </w:tcPr>
          <w:p w14:paraId="53C56FAF"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0.002</w:t>
            </w:r>
          </w:p>
        </w:tc>
      </w:tr>
      <w:tr w:rsidR="00895B48" w:rsidRPr="002B45D7" w14:paraId="5D890600" w14:textId="77777777" w:rsidTr="00895B48">
        <w:trPr>
          <w:tblCellSpacing w:w="15" w:type="dxa"/>
        </w:trPr>
        <w:tc>
          <w:tcPr>
            <w:tcW w:w="0" w:type="auto"/>
            <w:tcMar>
              <w:top w:w="15" w:type="dxa"/>
              <w:left w:w="15" w:type="dxa"/>
              <w:bottom w:w="15" w:type="dxa"/>
              <w:right w:w="15" w:type="dxa"/>
            </w:tcMar>
            <w:vAlign w:val="center"/>
            <w:hideMark/>
          </w:tcPr>
          <w:p w14:paraId="1E8248E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Hemoglobin (g/dL)</w:t>
            </w:r>
          </w:p>
        </w:tc>
        <w:tc>
          <w:tcPr>
            <w:tcW w:w="0" w:type="auto"/>
            <w:tcMar>
              <w:top w:w="15" w:type="dxa"/>
              <w:left w:w="15" w:type="dxa"/>
              <w:bottom w:w="15" w:type="dxa"/>
              <w:right w:w="15" w:type="dxa"/>
            </w:tcMar>
            <w:vAlign w:val="center"/>
            <w:hideMark/>
          </w:tcPr>
          <w:p w14:paraId="0733B5C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11.2 ± 1.1</w:t>
            </w:r>
          </w:p>
        </w:tc>
        <w:tc>
          <w:tcPr>
            <w:tcW w:w="0" w:type="auto"/>
            <w:tcMar>
              <w:top w:w="15" w:type="dxa"/>
              <w:left w:w="15" w:type="dxa"/>
              <w:bottom w:w="15" w:type="dxa"/>
              <w:right w:w="15" w:type="dxa"/>
            </w:tcMar>
            <w:vAlign w:val="center"/>
            <w:hideMark/>
          </w:tcPr>
          <w:p w14:paraId="65D1C12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12.5 ± 1.0</w:t>
            </w:r>
          </w:p>
        </w:tc>
        <w:tc>
          <w:tcPr>
            <w:tcW w:w="0" w:type="auto"/>
            <w:tcMar>
              <w:top w:w="15" w:type="dxa"/>
              <w:left w:w="15" w:type="dxa"/>
              <w:bottom w:w="15" w:type="dxa"/>
              <w:right w:w="15" w:type="dxa"/>
            </w:tcMar>
            <w:vAlign w:val="center"/>
            <w:hideMark/>
          </w:tcPr>
          <w:p w14:paraId="3AEAD20D"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0772B5DE" w14:textId="77777777" w:rsidTr="00895B48">
        <w:trPr>
          <w:tblCellSpacing w:w="15" w:type="dxa"/>
        </w:trPr>
        <w:tc>
          <w:tcPr>
            <w:tcW w:w="0" w:type="auto"/>
            <w:tcMar>
              <w:top w:w="15" w:type="dxa"/>
              <w:left w:w="15" w:type="dxa"/>
              <w:bottom w:w="15" w:type="dxa"/>
              <w:right w:w="15" w:type="dxa"/>
            </w:tcMar>
            <w:vAlign w:val="center"/>
            <w:hideMark/>
          </w:tcPr>
          <w:p w14:paraId="6CB8209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Hematocrit (%)</w:t>
            </w:r>
          </w:p>
        </w:tc>
        <w:tc>
          <w:tcPr>
            <w:tcW w:w="0" w:type="auto"/>
            <w:tcMar>
              <w:top w:w="15" w:type="dxa"/>
              <w:left w:w="15" w:type="dxa"/>
              <w:bottom w:w="15" w:type="dxa"/>
              <w:right w:w="15" w:type="dxa"/>
            </w:tcMar>
            <w:vAlign w:val="center"/>
            <w:hideMark/>
          </w:tcPr>
          <w:p w14:paraId="6EC62A1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33.5 ± 3.2</w:t>
            </w:r>
          </w:p>
        </w:tc>
        <w:tc>
          <w:tcPr>
            <w:tcW w:w="0" w:type="auto"/>
            <w:tcMar>
              <w:top w:w="15" w:type="dxa"/>
              <w:left w:w="15" w:type="dxa"/>
              <w:bottom w:w="15" w:type="dxa"/>
              <w:right w:w="15" w:type="dxa"/>
            </w:tcMar>
            <w:vAlign w:val="center"/>
            <w:hideMark/>
          </w:tcPr>
          <w:p w14:paraId="4349EF9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37.0 ± 3.0</w:t>
            </w:r>
          </w:p>
        </w:tc>
        <w:tc>
          <w:tcPr>
            <w:tcW w:w="0" w:type="auto"/>
            <w:tcMar>
              <w:top w:w="15" w:type="dxa"/>
              <w:left w:w="15" w:type="dxa"/>
              <w:bottom w:w="15" w:type="dxa"/>
              <w:right w:w="15" w:type="dxa"/>
            </w:tcMar>
            <w:vAlign w:val="center"/>
            <w:hideMark/>
          </w:tcPr>
          <w:p w14:paraId="0679BDCB"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538925B2" w14:textId="77777777" w:rsidTr="00895B48">
        <w:trPr>
          <w:tblCellSpacing w:w="15" w:type="dxa"/>
        </w:trPr>
        <w:tc>
          <w:tcPr>
            <w:tcW w:w="0" w:type="auto"/>
            <w:tcMar>
              <w:top w:w="15" w:type="dxa"/>
              <w:left w:w="15" w:type="dxa"/>
              <w:bottom w:w="15" w:type="dxa"/>
              <w:right w:w="15" w:type="dxa"/>
            </w:tcMar>
            <w:vAlign w:val="center"/>
            <w:hideMark/>
          </w:tcPr>
          <w:p w14:paraId="56B7C41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MCV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14:paraId="62E97F6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79.8 ± 6.5</w:t>
            </w:r>
          </w:p>
        </w:tc>
        <w:tc>
          <w:tcPr>
            <w:tcW w:w="0" w:type="auto"/>
            <w:tcMar>
              <w:top w:w="15" w:type="dxa"/>
              <w:left w:w="15" w:type="dxa"/>
              <w:bottom w:w="15" w:type="dxa"/>
              <w:right w:w="15" w:type="dxa"/>
            </w:tcMar>
            <w:vAlign w:val="center"/>
            <w:hideMark/>
          </w:tcPr>
          <w:p w14:paraId="32C9EB0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82.5 ± 5.5</w:t>
            </w:r>
          </w:p>
        </w:tc>
        <w:tc>
          <w:tcPr>
            <w:tcW w:w="0" w:type="auto"/>
            <w:tcMar>
              <w:top w:w="15" w:type="dxa"/>
              <w:left w:w="15" w:type="dxa"/>
              <w:bottom w:w="15" w:type="dxa"/>
              <w:right w:w="15" w:type="dxa"/>
            </w:tcMar>
            <w:vAlign w:val="center"/>
            <w:hideMark/>
          </w:tcPr>
          <w:p w14:paraId="074A96D5"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0.015</w:t>
            </w:r>
          </w:p>
        </w:tc>
      </w:tr>
      <w:tr w:rsidR="00895B48" w:rsidRPr="002B45D7" w14:paraId="7B7956B5" w14:textId="77777777" w:rsidTr="00895B48">
        <w:trPr>
          <w:tblCellSpacing w:w="15" w:type="dxa"/>
        </w:trPr>
        <w:tc>
          <w:tcPr>
            <w:tcW w:w="0" w:type="auto"/>
            <w:tcMar>
              <w:top w:w="15" w:type="dxa"/>
              <w:left w:w="15" w:type="dxa"/>
              <w:bottom w:w="15" w:type="dxa"/>
              <w:right w:w="15" w:type="dxa"/>
            </w:tcMar>
            <w:vAlign w:val="center"/>
            <w:hideMark/>
          </w:tcPr>
          <w:p w14:paraId="4F77FFF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MCH (</w:t>
            </w:r>
            <w:proofErr w:type="spellStart"/>
            <w:r w:rsidRPr="002B45D7">
              <w:rPr>
                <w:rFonts w:ascii="Times New Roman" w:hAnsi="Times New Roman" w:cs="Times New Roman"/>
                <w:sz w:val="24"/>
                <w:szCs w:val="24"/>
              </w:rPr>
              <w:t>pg</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14:paraId="49A3B2EC"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26.5 ± 2.8</w:t>
            </w:r>
          </w:p>
        </w:tc>
        <w:tc>
          <w:tcPr>
            <w:tcW w:w="0" w:type="auto"/>
            <w:tcMar>
              <w:top w:w="15" w:type="dxa"/>
              <w:left w:w="15" w:type="dxa"/>
              <w:bottom w:w="15" w:type="dxa"/>
              <w:right w:w="15" w:type="dxa"/>
            </w:tcMar>
            <w:vAlign w:val="center"/>
            <w:hideMark/>
          </w:tcPr>
          <w:p w14:paraId="2813DBCE"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27.5 ± 2.5</w:t>
            </w:r>
          </w:p>
        </w:tc>
        <w:tc>
          <w:tcPr>
            <w:tcW w:w="0" w:type="auto"/>
            <w:tcMar>
              <w:top w:w="15" w:type="dxa"/>
              <w:left w:w="15" w:type="dxa"/>
              <w:bottom w:w="15" w:type="dxa"/>
              <w:right w:w="15" w:type="dxa"/>
            </w:tcMar>
            <w:vAlign w:val="center"/>
            <w:hideMark/>
          </w:tcPr>
          <w:p w14:paraId="1CE4400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0.048</w:t>
            </w:r>
          </w:p>
        </w:tc>
      </w:tr>
      <w:tr w:rsidR="00895B48" w:rsidRPr="002B45D7" w14:paraId="7889C2A0" w14:textId="77777777" w:rsidTr="00895B48">
        <w:trPr>
          <w:tblCellSpacing w:w="15" w:type="dxa"/>
        </w:trPr>
        <w:tc>
          <w:tcPr>
            <w:tcW w:w="0" w:type="auto"/>
            <w:tcMar>
              <w:top w:w="15" w:type="dxa"/>
              <w:left w:w="15" w:type="dxa"/>
              <w:bottom w:w="15" w:type="dxa"/>
              <w:right w:w="15" w:type="dxa"/>
            </w:tcMar>
            <w:vAlign w:val="center"/>
            <w:hideMark/>
          </w:tcPr>
          <w:p w14:paraId="79005BDB"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MCHC (g/dL)</w:t>
            </w:r>
          </w:p>
        </w:tc>
        <w:tc>
          <w:tcPr>
            <w:tcW w:w="0" w:type="auto"/>
            <w:tcMar>
              <w:top w:w="15" w:type="dxa"/>
              <w:left w:w="15" w:type="dxa"/>
              <w:bottom w:w="15" w:type="dxa"/>
              <w:right w:w="15" w:type="dxa"/>
            </w:tcMar>
            <w:vAlign w:val="center"/>
            <w:hideMark/>
          </w:tcPr>
          <w:p w14:paraId="1DD0D56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33.2 ± 1.8</w:t>
            </w:r>
          </w:p>
        </w:tc>
        <w:tc>
          <w:tcPr>
            <w:tcW w:w="0" w:type="auto"/>
            <w:tcMar>
              <w:top w:w="15" w:type="dxa"/>
              <w:left w:w="15" w:type="dxa"/>
              <w:bottom w:w="15" w:type="dxa"/>
              <w:right w:w="15" w:type="dxa"/>
            </w:tcMar>
            <w:vAlign w:val="center"/>
            <w:hideMark/>
          </w:tcPr>
          <w:p w14:paraId="6F967E3E"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33.3 ± 1.6</w:t>
            </w:r>
          </w:p>
        </w:tc>
        <w:tc>
          <w:tcPr>
            <w:tcW w:w="0" w:type="auto"/>
            <w:tcMar>
              <w:top w:w="15" w:type="dxa"/>
              <w:left w:w="15" w:type="dxa"/>
              <w:bottom w:w="15" w:type="dxa"/>
              <w:right w:w="15" w:type="dxa"/>
            </w:tcMar>
            <w:vAlign w:val="center"/>
            <w:hideMark/>
          </w:tcPr>
          <w:p w14:paraId="7B75FD7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0.672</w:t>
            </w:r>
          </w:p>
        </w:tc>
      </w:tr>
      <w:tr w:rsidR="00895B48" w:rsidRPr="002B45D7" w14:paraId="1B78901A" w14:textId="77777777" w:rsidTr="00895B48">
        <w:trPr>
          <w:tblCellSpacing w:w="15" w:type="dxa"/>
        </w:trPr>
        <w:tc>
          <w:tcPr>
            <w:tcW w:w="0" w:type="auto"/>
            <w:tcMar>
              <w:top w:w="15" w:type="dxa"/>
              <w:left w:w="15" w:type="dxa"/>
              <w:bottom w:w="15" w:type="dxa"/>
              <w:right w:w="15" w:type="dxa"/>
            </w:tcMar>
            <w:vAlign w:val="center"/>
            <w:hideMark/>
          </w:tcPr>
          <w:p w14:paraId="57FC72D4"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RDW-CV (%)</w:t>
            </w:r>
          </w:p>
        </w:tc>
        <w:tc>
          <w:tcPr>
            <w:tcW w:w="0" w:type="auto"/>
            <w:tcMar>
              <w:top w:w="15" w:type="dxa"/>
              <w:left w:w="15" w:type="dxa"/>
              <w:bottom w:w="15" w:type="dxa"/>
              <w:right w:w="15" w:type="dxa"/>
            </w:tcMar>
            <w:vAlign w:val="center"/>
            <w:hideMark/>
          </w:tcPr>
          <w:p w14:paraId="0ACE0ED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14.2 ± 1.6</w:t>
            </w:r>
          </w:p>
        </w:tc>
        <w:tc>
          <w:tcPr>
            <w:tcW w:w="0" w:type="auto"/>
            <w:tcMar>
              <w:top w:w="15" w:type="dxa"/>
              <w:left w:w="15" w:type="dxa"/>
              <w:bottom w:w="15" w:type="dxa"/>
              <w:right w:w="15" w:type="dxa"/>
            </w:tcMar>
            <w:vAlign w:val="center"/>
            <w:hideMark/>
          </w:tcPr>
          <w:p w14:paraId="1E1C80E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13.0 ± 1.2</w:t>
            </w:r>
          </w:p>
        </w:tc>
        <w:tc>
          <w:tcPr>
            <w:tcW w:w="0" w:type="auto"/>
            <w:tcMar>
              <w:top w:w="15" w:type="dxa"/>
              <w:left w:w="15" w:type="dxa"/>
              <w:bottom w:w="15" w:type="dxa"/>
              <w:right w:w="15" w:type="dxa"/>
            </w:tcMar>
            <w:vAlign w:val="center"/>
            <w:hideMark/>
          </w:tcPr>
          <w:p w14:paraId="4689471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23D1A1A3" w14:textId="77777777" w:rsidTr="00895B48">
        <w:trPr>
          <w:tblCellSpacing w:w="15" w:type="dxa"/>
        </w:trPr>
        <w:tc>
          <w:tcPr>
            <w:tcW w:w="0" w:type="auto"/>
            <w:tcMar>
              <w:top w:w="15" w:type="dxa"/>
              <w:left w:w="15" w:type="dxa"/>
              <w:bottom w:w="15" w:type="dxa"/>
              <w:right w:w="15" w:type="dxa"/>
            </w:tcMar>
            <w:vAlign w:val="center"/>
            <w:hideMark/>
          </w:tcPr>
          <w:p w14:paraId="7B3CF402"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RDW-SD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14:paraId="6C69E44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41.0 ± 3.5</w:t>
            </w:r>
          </w:p>
        </w:tc>
        <w:tc>
          <w:tcPr>
            <w:tcW w:w="0" w:type="auto"/>
            <w:tcMar>
              <w:top w:w="15" w:type="dxa"/>
              <w:left w:w="15" w:type="dxa"/>
              <w:bottom w:w="15" w:type="dxa"/>
              <w:right w:w="15" w:type="dxa"/>
            </w:tcMar>
            <w:vAlign w:val="center"/>
            <w:hideMark/>
          </w:tcPr>
          <w:p w14:paraId="3566E224"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38.5 ± 3.0</w:t>
            </w:r>
          </w:p>
        </w:tc>
        <w:tc>
          <w:tcPr>
            <w:tcW w:w="0" w:type="auto"/>
            <w:tcMar>
              <w:top w:w="15" w:type="dxa"/>
              <w:left w:w="15" w:type="dxa"/>
              <w:bottom w:w="15" w:type="dxa"/>
              <w:right w:w="15" w:type="dxa"/>
            </w:tcMar>
            <w:vAlign w:val="center"/>
            <w:hideMark/>
          </w:tcPr>
          <w:p w14:paraId="46FE460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10956026" w14:textId="77777777" w:rsidTr="00895B48">
        <w:trPr>
          <w:tblCellSpacing w:w="15" w:type="dxa"/>
        </w:trPr>
        <w:tc>
          <w:tcPr>
            <w:tcW w:w="0" w:type="auto"/>
            <w:tcMar>
              <w:top w:w="15" w:type="dxa"/>
              <w:left w:w="15" w:type="dxa"/>
              <w:bottom w:w="15" w:type="dxa"/>
              <w:right w:w="15" w:type="dxa"/>
            </w:tcMar>
            <w:vAlign w:val="center"/>
            <w:hideMark/>
          </w:tcPr>
          <w:p w14:paraId="3C329FF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Reticulocyte (%)</w:t>
            </w:r>
          </w:p>
        </w:tc>
        <w:tc>
          <w:tcPr>
            <w:tcW w:w="0" w:type="auto"/>
            <w:tcMar>
              <w:top w:w="15" w:type="dxa"/>
              <w:left w:w="15" w:type="dxa"/>
              <w:bottom w:w="15" w:type="dxa"/>
              <w:right w:w="15" w:type="dxa"/>
            </w:tcMar>
            <w:vAlign w:val="center"/>
            <w:hideMark/>
          </w:tcPr>
          <w:p w14:paraId="7D2E9D1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1.8 ± 0.6</w:t>
            </w:r>
          </w:p>
        </w:tc>
        <w:tc>
          <w:tcPr>
            <w:tcW w:w="0" w:type="auto"/>
            <w:tcMar>
              <w:top w:w="15" w:type="dxa"/>
              <w:left w:w="15" w:type="dxa"/>
              <w:bottom w:w="15" w:type="dxa"/>
              <w:right w:w="15" w:type="dxa"/>
            </w:tcMar>
            <w:vAlign w:val="center"/>
            <w:hideMark/>
          </w:tcPr>
          <w:p w14:paraId="004D7292"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1.5 ± 0.4</w:t>
            </w:r>
          </w:p>
        </w:tc>
        <w:tc>
          <w:tcPr>
            <w:tcW w:w="0" w:type="auto"/>
            <w:tcMar>
              <w:top w:w="15" w:type="dxa"/>
              <w:left w:w="15" w:type="dxa"/>
              <w:bottom w:w="15" w:type="dxa"/>
              <w:right w:w="15" w:type="dxa"/>
            </w:tcMar>
            <w:vAlign w:val="center"/>
            <w:hideMark/>
          </w:tcPr>
          <w:p w14:paraId="3630FE3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0.006</w:t>
            </w:r>
          </w:p>
        </w:tc>
      </w:tr>
      <w:tr w:rsidR="00895B48" w:rsidRPr="002B45D7" w14:paraId="3C49A95E" w14:textId="77777777" w:rsidTr="00895B48">
        <w:trPr>
          <w:tblCellSpacing w:w="15" w:type="dxa"/>
        </w:trPr>
        <w:tc>
          <w:tcPr>
            <w:tcW w:w="0" w:type="auto"/>
            <w:tcMar>
              <w:top w:w="15" w:type="dxa"/>
              <w:left w:w="15" w:type="dxa"/>
              <w:bottom w:w="15" w:type="dxa"/>
              <w:right w:w="15" w:type="dxa"/>
            </w:tcMar>
            <w:vAlign w:val="center"/>
            <w:hideMark/>
          </w:tcPr>
          <w:p w14:paraId="4D963D56"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WBC (×10^9/L)</w:t>
            </w:r>
          </w:p>
        </w:tc>
        <w:tc>
          <w:tcPr>
            <w:tcW w:w="0" w:type="auto"/>
            <w:tcMar>
              <w:top w:w="15" w:type="dxa"/>
              <w:left w:w="15" w:type="dxa"/>
              <w:bottom w:w="15" w:type="dxa"/>
              <w:right w:w="15" w:type="dxa"/>
            </w:tcMar>
            <w:vAlign w:val="center"/>
            <w:hideMark/>
          </w:tcPr>
          <w:p w14:paraId="17BBFA8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8.5 ± 2.2</w:t>
            </w:r>
          </w:p>
        </w:tc>
        <w:tc>
          <w:tcPr>
            <w:tcW w:w="0" w:type="auto"/>
            <w:tcMar>
              <w:top w:w="15" w:type="dxa"/>
              <w:left w:w="15" w:type="dxa"/>
              <w:bottom w:w="15" w:type="dxa"/>
              <w:right w:w="15" w:type="dxa"/>
            </w:tcMar>
            <w:vAlign w:val="center"/>
            <w:hideMark/>
          </w:tcPr>
          <w:p w14:paraId="218741FF"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7.8 ± 1.8</w:t>
            </w:r>
          </w:p>
        </w:tc>
        <w:tc>
          <w:tcPr>
            <w:tcW w:w="0" w:type="auto"/>
            <w:tcMar>
              <w:top w:w="15" w:type="dxa"/>
              <w:left w:w="15" w:type="dxa"/>
              <w:bottom w:w="15" w:type="dxa"/>
              <w:right w:w="15" w:type="dxa"/>
            </w:tcMar>
            <w:vAlign w:val="center"/>
            <w:hideMark/>
          </w:tcPr>
          <w:p w14:paraId="5CFBA08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0.045</w:t>
            </w:r>
          </w:p>
        </w:tc>
      </w:tr>
      <w:tr w:rsidR="00895B48" w:rsidRPr="002B45D7" w14:paraId="56FCA854" w14:textId="77777777" w:rsidTr="00895B48">
        <w:trPr>
          <w:tblCellSpacing w:w="15" w:type="dxa"/>
        </w:trPr>
        <w:tc>
          <w:tcPr>
            <w:tcW w:w="0" w:type="auto"/>
            <w:tcMar>
              <w:top w:w="15" w:type="dxa"/>
              <w:left w:w="15" w:type="dxa"/>
              <w:bottom w:w="15" w:type="dxa"/>
              <w:right w:w="15" w:type="dxa"/>
            </w:tcMar>
            <w:vAlign w:val="center"/>
            <w:hideMark/>
          </w:tcPr>
          <w:p w14:paraId="70F3449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Neutrophils (%)</w:t>
            </w:r>
          </w:p>
        </w:tc>
        <w:tc>
          <w:tcPr>
            <w:tcW w:w="0" w:type="auto"/>
            <w:tcMar>
              <w:top w:w="15" w:type="dxa"/>
              <w:left w:w="15" w:type="dxa"/>
              <w:bottom w:w="15" w:type="dxa"/>
              <w:right w:w="15" w:type="dxa"/>
            </w:tcMar>
            <w:vAlign w:val="center"/>
            <w:hideMark/>
          </w:tcPr>
          <w:p w14:paraId="3F9ABBE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60.0 ± 7.0</w:t>
            </w:r>
          </w:p>
        </w:tc>
        <w:tc>
          <w:tcPr>
            <w:tcW w:w="0" w:type="auto"/>
            <w:tcMar>
              <w:top w:w="15" w:type="dxa"/>
              <w:left w:w="15" w:type="dxa"/>
              <w:bottom w:w="15" w:type="dxa"/>
              <w:right w:w="15" w:type="dxa"/>
            </w:tcMar>
            <w:vAlign w:val="center"/>
            <w:hideMark/>
          </w:tcPr>
          <w:p w14:paraId="2E277A8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57.5 ± 6.5</w:t>
            </w:r>
          </w:p>
        </w:tc>
        <w:tc>
          <w:tcPr>
            <w:tcW w:w="0" w:type="auto"/>
            <w:tcMar>
              <w:top w:w="15" w:type="dxa"/>
              <w:left w:w="15" w:type="dxa"/>
              <w:bottom w:w="15" w:type="dxa"/>
              <w:right w:w="15" w:type="dxa"/>
            </w:tcMar>
            <w:vAlign w:val="center"/>
            <w:hideMark/>
          </w:tcPr>
          <w:p w14:paraId="3B94D002"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0.021</w:t>
            </w:r>
          </w:p>
        </w:tc>
      </w:tr>
      <w:tr w:rsidR="00895B48" w:rsidRPr="002B45D7" w14:paraId="270BCD05" w14:textId="77777777" w:rsidTr="00895B48">
        <w:trPr>
          <w:tblCellSpacing w:w="15" w:type="dxa"/>
        </w:trPr>
        <w:tc>
          <w:tcPr>
            <w:tcW w:w="0" w:type="auto"/>
            <w:tcMar>
              <w:top w:w="15" w:type="dxa"/>
              <w:left w:w="15" w:type="dxa"/>
              <w:bottom w:w="15" w:type="dxa"/>
              <w:right w:w="15" w:type="dxa"/>
            </w:tcMar>
            <w:vAlign w:val="center"/>
            <w:hideMark/>
          </w:tcPr>
          <w:p w14:paraId="35D282EC"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Lymphocytes (%)</w:t>
            </w:r>
          </w:p>
        </w:tc>
        <w:tc>
          <w:tcPr>
            <w:tcW w:w="0" w:type="auto"/>
            <w:tcMar>
              <w:top w:w="15" w:type="dxa"/>
              <w:left w:w="15" w:type="dxa"/>
              <w:bottom w:w="15" w:type="dxa"/>
              <w:right w:w="15" w:type="dxa"/>
            </w:tcMar>
            <w:vAlign w:val="center"/>
            <w:hideMark/>
          </w:tcPr>
          <w:p w14:paraId="67F55A7E"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32.0 ± 6.0</w:t>
            </w:r>
          </w:p>
        </w:tc>
        <w:tc>
          <w:tcPr>
            <w:tcW w:w="0" w:type="auto"/>
            <w:tcMar>
              <w:top w:w="15" w:type="dxa"/>
              <w:left w:w="15" w:type="dxa"/>
              <w:bottom w:w="15" w:type="dxa"/>
              <w:right w:w="15" w:type="dxa"/>
            </w:tcMar>
            <w:vAlign w:val="center"/>
            <w:hideMark/>
          </w:tcPr>
          <w:p w14:paraId="4A9D8DE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35.0 ± 5.5</w:t>
            </w:r>
          </w:p>
        </w:tc>
        <w:tc>
          <w:tcPr>
            <w:tcW w:w="0" w:type="auto"/>
            <w:tcMar>
              <w:top w:w="15" w:type="dxa"/>
              <w:left w:w="15" w:type="dxa"/>
              <w:bottom w:w="15" w:type="dxa"/>
              <w:right w:w="15" w:type="dxa"/>
            </w:tcMar>
            <w:vAlign w:val="center"/>
            <w:hideMark/>
          </w:tcPr>
          <w:p w14:paraId="1959D9F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0.003</w:t>
            </w:r>
          </w:p>
        </w:tc>
      </w:tr>
      <w:tr w:rsidR="00895B48" w:rsidRPr="002B45D7" w14:paraId="6091C024" w14:textId="77777777" w:rsidTr="00895B48">
        <w:trPr>
          <w:tblCellSpacing w:w="15" w:type="dxa"/>
        </w:trPr>
        <w:tc>
          <w:tcPr>
            <w:tcW w:w="0" w:type="auto"/>
            <w:tcMar>
              <w:top w:w="15" w:type="dxa"/>
              <w:left w:w="15" w:type="dxa"/>
              <w:bottom w:w="15" w:type="dxa"/>
              <w:right w:w="15" w:type="dxa"/>
            </w:tcMar>
            <w:vAlign w:val="center"/>
            <w:hideMark/>
          </w:tcPr>
          <w:p w14:paraId="0AC50F1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lastRenderedPageBreak/>
              <w:t>Monocytes (%)</w:t>
            </w:r>
          </w:p>
        </w:tc>
        <w:tc>
          <w:tcPr>
            <w:tcW w:w="0" w:type="auto"/>
            <w:tcMar>
              <w:top w:w="15" w:type="dxa"/>
              <w:left w:w="15" w:type="dxa"/>
              <w:bottom w:w="15" w:type="dxa"/>
              <w:right w:w="15" w:type="dxa"/>
            </w:tcMar>
            <w:vAlign w:val="center"/>
            <w:hideMark/>
          </w:tcPr>
          <w:p w14:paraId="44DF8EE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5.5 ± 1.5</w:t>
            </w:r>
          </w:p>
        </w:tc>
        <w:tc>
          <w:tcPr>
            <w:tcW w:w="0" w:type="auto"/>
            <w:tcMar>
              <w:top w:w="15" w:type="dxa"/>
              <w:left w:w="15" w:type="dxa"/>
              <w:bottom w:w="15" w:type="dxa"/>
              <w:right w:w="15" w:type="dxa"/>
            </w:tcMar>
            <w:vAlign w:val="center"/>
            <w:hideMark/>
          </w:tcPr>
          <w:p w14:paraId="4F7A600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5.0 ± 1.2</w:t>
            </w:r>
          </w:p>
        </w:tc>
        <w:tc>
          <w:tcPr>
            <w:tcW w:w="0" w:type="auto"/>
            <w:tcMar>
              <w:top w:w="15" w:type="dxa"/>
              <w:left w:w="15" w:type="dxa"/>
              <w:bottom w:w="15" w:type="dxa"/>
              <w:right w:w="15" w:type="dxa"/>
            </w:tcMar>
            <w:vAlign w:val="center"/>
            <w:hideMark/>
          </w:tcPr>
          <w:p w14:paraId="24C2CF2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0.080</w:t>
            </w:r>
          </w:p>
        </w:tc>
      </w:tr>
      <w:tr w:rsidR="00895B48" w:rsidRPr="002B45D7" w14:paraId="6D6DD9E3" w14:textId="77777777" w:rsidTr="00895B48">
        <w:trPr>
          <w:tblCellSpacing w:w="15" w:type="dxa"/>
        </w:trPr>
        <w:tc>
          <w:tcPr>
            <w:tcW w:w="0" w:type="auto"/>
            <w:tcMar>
              <w:top w:w="15" w:type="dxa"/>
              <w:left w:w="15" w:type="dxa"/>
              <w:bottom w:w="15" w:type="dxa"/>
              <w:right w:w="15" w:type="dxa"/>
            </w:tcMar>
            <w:vAlign w:val="center"/>
            <w:hideMark/>
          </w:tcPr>
          <w:p w14:paraId="52850F0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Eosinophils (%)</w:t>
            </w:r>
          </w:p>
        </w:tc>
        <w:tc>
          <w:tcPr>
            <w:tcW w:w="0" w:type="auto"/>
            <w:tcMar>
              <w:top w:w="15" w:type="dxa"/>
              <w:left w:w="15" w:type="dxa"/>
              <w:bottom w:w="15" w:type="dxa"/>
              <w:right w:w="15" w:type="dxa"/>
            </w:tcMar>
            <w:vAlign w:val="center"/>
            <w:hideMark/>
          </w:tcPr>
          <w:p w14:paraId="559E533D"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1.2 ± 0.5</w:t>
            </w:r>
          </w:p>
        </w:tc>
        <w:tc>
          <w:tcPr>
            <w:tcW w:w="0" w:type="auto"/>
            <w:tcMar>
              <w:top w:w="15" w:type="dxa"/>
              <w:left w:w="15" w:type="dxa"/>
              <w:bottom w:w="15" w:type="dxa"/>
              <w:right w:w="15" w:type="dxa"/>
            </w:tcMar>
            <w:vAlign w:val="center"/>
            <w:hideMark/>
          </w:tcPr>
          <w:p w14:paraId="35EC20E1"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1.3 ± 0.4</w:t>
            </w:r>
          </w:p>
        </w:tc>
        <w:tc>
          <w:tcPr>
            <w:tcW w:w="0" w:type="auto"/>
            <w:tcMar>
              <w:top w:w="15" w:type="dxa"/>
              <w:left w:w="15" w:type="dxa"/>
              <w:bottom w:w="15" w:type="dxa"/>
              <w:right w:w="15" w:type="dxa"/>
            </w:tcMar>
            <w:vAlign w:val="center"/>
            <w:hideMark/>
          </w:tcPr>
          <w:p w14:paraId="3EB629C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0.295</w:t>
            </w:r>
          </w:p>
        </w:tc>
      </w:tr>
      <w:tr w:rsidR="00895B48" w:rsidRPr="002B45D7" w14:paraId="08A85FD7" w14:textId="77777777" w:rsidTr="00895B48">
        <w:trPr>
          <w:tblCellSpacing w:w="15" w:type="dxa"/>
        </w:trPr>
        <w:tc>
          <w:tcPr>
            <w:tcW w:w="0" w:type="auto"/>
            <w:tcMar>
              <w:top w:w="15" w:type="dxa"/>
              <w:left w:w="15" w:type="dxa"/>
              <w:bottom w:w="15" w:type="dxa"/>
              <w:right w:w="15" w:type="dxa"/>
            </w:tcMar>
            <w:vAlign w:val="center"/>
            <w:hideMark/>
          </w:tcPr>
          <w:p w14:paraId="2A4CB97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Basophils (%)</w:t>
            </w:r>
          </w:p>
        </w:tc>
        <w:tc>
          <w:tcPr>
            <w:tcW w:w="0" w:type="auto"/>
            <w:tcMar>
              <w:top w:w="15" w:type="dxa"/>
              <w:left w:w="15" w:type="dxa"/>
              <w:bottom w:w="15" w:type="dxa"/>
              <w:right w:w="15" w:type="dxa"/>
            </w:tcMar>
            <w:vAlign w:val="center"/>
            <w:hideMark/>
          </w:tcPr>
          <w:p w14:paraId="5C733E7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0.3 ± 0.1</w:t>
            </w:r>
          </w:p>
        </w:tc>
        <w:tc>
          <w:tcPr>
            <w:tcW w:w="0" w:type="auto"/>
            <w:tcMar>
              <w:top w:w="15" w:type="dxa"/>
              <w:left w:w="15" w:type="dxa"/>
              <w:bottom w:w="15" w:type="dxa"/>
              <w:right w:w="15" w:type="dxa"/>
            </w:tcMar>
            <w:vAlign w:val="center"/>
            <w:hideMark/>
          </w:tcPr>
          <w:p w14:paraId="4C30B605"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0.3 ± 0.1</w:t>
            </w:r>
          </w:p>
        </w:tc>
        <w:tc>
          <w:tcPr>
            <w:tcW w:w="0" w:type="auto"/>
            <w:tcMar>
              <w:top w:w="15" w:type="dxa"/>
              <w:left w:w="15" w:type="dxa"/>
              <w:bottom w:w="15" w:type="dxa"/>
              <w:right w:w="15" w:type="dxa"/>
            </w:tcMar>
            <w:vAlign w:val="center"/>
            <w:hideMark/>
          </w:tcPr>
          <w:p w14:paraId="03C3C6A5"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0.771</w:t>
            </w:r>
          </w:p>
        </w:tc>
      </w:tr>
      <w:tr w:rsidR="00895B48" w:rsidRPr="002B45D7" w14:paraId="01A6968C" w14:textId="77777777" w:rsidTr="00895B48">
        <w:trPr>
          <w:tblCellSpacing w:w="15" w:type="dxa"/>
        </w:trPr>
        <w:tc>
          <w:tcPr>
            <w:tcW w:w="0" w:type="auto"/>
            <w:tcMar>
              <w:top w:w="15" w:type="dxa"/>
              <w:left w:w="15" w:type="dxa"/>
              <w:bottom w:w="15" w:type="dxa"/>
              <w:right w:w="15" w:type="dxa"/>
            </w:tcMar>
            <w:vAlign w:val="center"/>
            <w:hideMark/>
          </w:tcPr>
          <w:p w14:paraId="3E7181E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Platelet (×10^9/L)</w:t>
            </w:r>
          </w:p>
        </w:tc>
        <w:tc>
          <w:tcPr>
            <w:tcW w:w="0" w:type="auto"/>
            <w:tcMar>
              <w:top w:w="15" w:type="dxa"/>
              <w:left w:w="15" w:type="dxa"/>
              <w:bottom w:w="15" w:type="dxa"/>
              <w:right w:w="15" w:type="dxa"/>
            </w:tcMar>
            <w:vAlign w:val="center"/>
            <w:hideMark/>
          </w:tcPr>
          <w:p w14:paraId="2391BA7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210 ± 50</w:t>
            </w:r>
          </w:p>
        </w:tc>
        <w:tc>
          <w:tcPr>
            <w:tcW w:w="0" w:type="auto"/>
            <w:tcMar>
              <w:top w:w="15" w:type="dxa"/>
              <w:left w:w="15" w:type="dxa"/>
              <w:bottom w:w="15" w:type="dxa"/>
              <w:right w:w="15" w:type="dxa"/>
            </w:tcMar>
            <w:vAlign w:val="center"/>
            <w:hideMark/>
          </w:tcPr>
          <w:p w14:paraId="28AA18A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235 ± 45</w:t>
            </w:r>
          </w:p>
        </w:tc>
        <w:tc>
          <w:tcPr>
            <w:tcW w:w="0" w:type="auto"/>
            <w:tcMar>
              <w:top w:w="15" w:type="dxa"/>
              <w:left w:w="15" w:type="dxa"/>
              <w:bottom w:w="15" w:type="dxa"/>
              <w:right w:w="15" w:type="dxa"/>
            </w:tcMar>
            <w:vAlign w:val="center"/>
            <w:hideMark/>
          </w:tcPr>
          <w:p w14:paraId="2080A0D4"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895B48" w:rsidRPr="002B45D7" w14:paraId="4A76FB23" w14:textId="77777777" w:rsidTr="00895B48">
        <w:trPr>
          <w:tblCellSpacing w:w="15" w:type="dxa"/>
        </w:trPr>
        <w:tc>
          <w:tcPr>
            <w:tcW w:w="0" w:type="auto"/>
            <w:tcMar>
              <w:top w:w="15" w:type="dxa"/>
              <w:left w:w="15" w:type="dxa"/>
              <w:bottom w:w="15" w:type="dxa"/>
              <w:right w:w="15" w:type="dxa"/>
            </w:tcMar>
            <w:vAlign w:val="center"/>
            <w:hideMark/>
          </w:tcPr>
          <w:p w14:paraId="6EEA2ECE"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MPV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14:paraId="29128CA6"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9.5 ± 1.0</w:t>
            </w:r>
          </w:p>
        </w:tc>
        <w:tc>
          <w:tcPr>
            <w:tcW w:w="0" w:type="auto"/>
            <w:tcMar>
              <w:top w:w="15" w:type="dxa"/>
              <w:left w:w="15" w:type="dxa"/>
              <w:bottom w:w="15" w:type="dxa"/>
              <w:right w:w="15" w:type="dxa"/>
            </w:tcMar>
            <w:vAlign w:val="center"/>
            <w:hideMark/>
          </w:tcPr>
          <w:p w14:paraId="47AA8C6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9.0 ± 0.8</w:t>
            </w:r>
          </w:p>
        </w:tc>
        <w:tc>
          <w:tcPr>
            <w:tcW w:w="0" w:type="auto"/>
            <w:tcMar>
              <w:top w:w="15" w:type="dxa"/>
              <w:left w:w="15" w:type="dxa"/>
              <w:bottom w:w="15" w:type="dxa"/>
              <w:right w:w="15" w:type="dxa"/>
            </w:tcMar>
            <w:vAlign w:val="center"/>
            <w:hideMark/>
          </w:tcPr>
          <w:p w14:paraId="74D92BEC"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0.010</w:t>
            </w:r>
          </w:p>
        </w:tc>
      </w:tr>
      <w:tr w:rsidR="00895B48" w:rsidRPr="002B45D7" w14:paraId="476EF0CE" w14:textId="77777777" w:rsidTr="00895B48">
        <w:trPr>
          <w:tblCellSpacing w:w="15" w:type="dxa"/>
        </w:trPr>
        <w:tc>
          <w:tcPr>
            <w:tcW w:w="0" w:type="auto"/>
            <w:tcMar>
              <w:top w:w="15" w:type="dxa"/>
              <w:left w:w="15" w:type="dxa"/>
              <w:bottom w:w="15" w:type="dxa"/>
              <w:right w:w="15" w:type="dxa"/>
            </w:tcMar>
            <w:vAlign w:val="center"/>
            <w:hideMark/>
          </w:tcPr>
          <w:p w14:paraId="518D580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PDW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14:paraId="367747CF"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13.5 ± 1.2</w:t>
            </w:r>
          </w:p>
        </w:tc>
        <w:tc>
          <w:tcPr>
            <w:tcW w:w="0" w:type="auto"/>
            <w:tcMar>
              <w:top w:w="15" w:type="dxa"/>
              <w:left w:w="15" w:type="dxa"/>
              <w:bottom w:w="15" w:type="dxa"/>
              <w:right w:w="15" w:type="dxa"/>
            </w:tcMar>
            <w:vAlign w:val="center"/>
            <w:hideMark/>
          </w:tcPr>
          <w:p w14:paraId="190A9151"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12.8 ± 1.0</w:t>
            </w:r>
          </w:p>
        </w:tc>
        <w:tc>
          <w:tcPr>
            <w:tcW w:w="0" w:type="auto"/>
            <w:tcMar>
              <w:top w:w="15" w:type="dxa"/>
              <w:left w:w="15" w:type="dxa"/>
              <w:bottom w:w="15" w:type="dxa"/>
              <w:right w:w="15" w:type="dxa"/>
            </w:tcMar>
            <w:vAlign w:val="center"/>
            <w:hideMark/>
          </w:tcPr>
          <w:p w14:paraId="45757DFB"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0.004</w:t>
            </w:r>
          </w:p>
        </w:tc>
      </w:tr>
      <w:tr w:rsidR="00895B48" w:rsidRPr="002B45D7" w14:paraId="0F144D9B" w14:textId="77777777" w:rsidTr="00895B48">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618FAE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PCT (%)</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75D871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0.22 ± 0.05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A14792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0.24 ± 0.04</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E78104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0.018</w:t>
            </w:r>
          </w:p>
        </w:tc>
      </w:tr>
    </w:tbl>
    <w:p w14:paraId="18F1EB95" w14:textId="77777777" w:rsidR="00895B48" w:rsidRPr="002B45D7" w:rsidRDefault="00895B48" w:rsidP="002B45D7">
      <w:pPr>
        <w:spacing w:line="360" w:lineRule="auto"/>
        <w:jc w:val="both"/>
        <w:rPr>
          <w:rFonts w:ascii="Times New Roman" w:hAnsi="Times New Roman" w:cs="Times New Roman"/>
          <w:sz w:val="24"/>
          <w:szCs w:val="24"/>
        </w:rPr>
      </w:pPr>
    </w:p>
    <w:p w14:paraId="13E7766B" w14:textId="77777777" w:rsidR="00895B48" w:rsidRPr="002B45D7" w:rsidRDefault="00895B48" w:rsidP="002B45D7">
      <w:pPr>
        <w:spacing w:line="360" w:lineRule="auto"/>
        <w:jc w:val="both"/>
        <w:rPr>
          <w:rFonts w:ascii="Times New Roman" w:hAnsi="Times New Roman" w:cs="Times New Roman"/>
          <w:sz w:val="24"/>
          <w:szCs w:val="24"/>
        </w:rPr>
      </w:pPr>
    </w:p>
    <w:p w14:paraId="31B69EB2" w14:textId="77777777" w:rsidR="00895B48" w:rsidRPr="002B45D7" w:rsidRDefault="00895B48" w:rsidP="002B45D7">
      <w:pPr>
        <w:spacing w:line="360" w:lineRule="auto"/>
        <w:jc w:val="both"/>
        <w:rPr>
          <w:rFonts w:ascii="Times New Roman" w:hAnsi="Times New Roman" w:cs="Times New Roman"/>
          <w:sz w:val="24"/>
          <w:szCs w:val="24"/>
        </w:rPr>
      </w:pPr>
    </w:p>
    <w:p w14:paraId="45F2D281"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HBsAg positive women </w:t>
      </w:r>
      <w:commentRangeStart w:id="4"/>
      <w:r w:rsidRPr="002B45D7">
        <w:rPr>
          <w:rFonts w:ascii="Times New Roman" w:hAnsi="Times New Roman" w:cs="Times New Roman"/>
          <w:sz w:val="24"/>
          <w:szCs w:val="24"/>
        </w:rPr>
        <w:t xml:space="preserve">exhibited significantly lower RBC counts (4.20 ± 0.45 vs. 4.50 ± 0.40 x10^12/L), hemoglobin (11.2 ± 1.1 vs. 12.5 ± 1.0 g/dL), and hematocrit (33.5 ± 3.2 vs. 37.0 ± 3.0%) compared to controls (p &lt; 0.05). MCV and MCH were slightly reduced but MCHC showed no significant difference. RDW indices were elevated, indicating erythrocyte size heterogeneity. Reticulocyte counts were marginally higher. Total WBC and neutrophil percentages were elevated with relative lymphopenia. Platelet counts and indices (MPV, PDW, </w:t>
      </w:r>
      <w:proofErr w:type="gramStart"/>
      <w:r w:rsidRPr="002B45D7">
        <w:rPr>
          <w:rFonts w:ascii="Times New Roman" w:hAnsi="Times New Roman" w:cs="Times New Roman"/>
          <w:sz w:val="24"/>
          <w:szCs w:val="24"/>
        </w:rPr>
        <w:t>PCT</w:t>
      </w:r>
      <w:proofErr w:type="gramEnd"/>
      <w:r w:rsidRPr="002B45D7">
        <w:rPr>
          <w:rFonts w:ascii="Times New Roman" w:hAnsi="Times New Roman" w:cs="Times New Roman"/>
          <w:sz w:val="24"/>
          <w:szCs w:val="24"/>
        </w:rPr>
        <w:t>) were significantly reduced.</w:t>
      </w:r>
      <w:commentRangeEnd w:id="4"/>
      <w:r w:rsidR="00421805">
        <w:rPr>
          <w:rStyle w:val="CommentReference"/>
        </w:rPr>
        <w:commentReference w:id="4"/>
      </w:r>
    </w:p>
    <w:p w14:paraId="0F826F6A" w14:textId="77777777" w:rsidR="00FA1EE7" w:rsidRPr="002B45D7" w:rsidRDefault="00FA1EE7" w:rsidP="002B45D7">
      <w:pPr>
        <w:spacing w:line="360" w:lineRule="auto"/>
        <w:jc w:val="both"/>
        <w:rPr>
          <w:rFonts w:ascii="Times New Roman" w:hAnsi="Times New Roman" w:cs="Times New Roman"/>
          <w:sz w:val="24"/>
          <w:szCs w:val="24"/>
        </w:rPr>
      </w:pPr>
    </w:p>
    <w:p w14:paraId="19F8F31A" w14:textId="77777777" w:rsidR="00FA1EE7" w:rsidRPr="002B45D7" w:rsidRDefault="00FA1EE7" w:rsidP="002B45D7">
      <w:pPr>
        <w:spacing w:line="360" w:lineRule="auto"/>
        <w:jc w:val="both"/>
        <w:rPr>
          <w:rFonts w:ascii="Times New Roman" w:hAnsi="Times New Roman" w:cs="Times New Roman"/>
          <w:sz w:val="24"/>
          <w:szCs w:val="24"/>
        </w:rPr>
      </w:pPr>
    </w:p>
    <w:p w14:paraId="7E92EBC2" w14:textId="77777777" w:rsidR="00FA1EE7" w:rsidRPr="002B45D7" w:rsidRDefault="00FA1EE7" w:rsidP="002B45D7">
      <w:pPr>
        <w:spacing w:line="360" w:lineRule="auto"/>
        <w:jc w:val="both"/>
        <w:rPr>
          <w:rFonts w:ascii="Times New Roman" w:hAnsi="Times New Roman" w:cs="Times New Roman"/>
          <w:sz w:val="24"/>
          <w:szCs w:val="24"/>
        </w:rPr>
      </w:pPr>
    </w:p>
    <w:p w14:paraId="656B5DF9" w14:textId="77777777" w:rsidR="00FA1EE7" w:rsidRPr="002B45D7" w:rsidRDefault="00FA1EE7" w:rsidP="002B45D7">
      <w:pPr>
        <w:spacing w:line="360" w:lineRule="auto"/>
        <w:jc w:val="both"/>
        <w:rPr>
          <w:rFonts w:ascii="Times New Roman" w:hAnsi="Times New Roman" w:cs="Times New Roman"/>
          <w:sz w:val="24"/>
          <w:szCs w:val="24"/>
        </w:rPr>
      </w:pPr>
    </w:p>
    <w:p w14:paraId="6300F3E5" w14:textId="77777777" w:rsidR="00FA1EE7" w:rsidRPr="002B45D7" w:rsidRDefault="00FA1EE7" w:rsidP="002B45D7">
      <w:pPr>
        <w:spacing w:line="360" w:lineRule="auto"/>
        <w:jc w:val="both"/>
        <w:rPr>
          <w:rFonts w:ascii="Times New Roman" w:hAnsi="Times New Roman" w:cs="Times New Roman"/>
          <w:sz w:val="24"/>
          <w:szCs w:val="24"/>
        </w:rPr>
      </w:pPr>
    </w:p>
    <w:p w14:paraId="36997B3F" w14:textId="77777777" w:rsidR="00FA1EE7" w:rsidRPr="002B45D7" w:rsidRDefault="00FA1EE7" w:rsidP="002B45D7">
      <w:pPr>
        <w:spacing w:line="360" w:lineRule="auto"/>
        <w:jc w:val="both"/>
        <w:rPr>
          <w:rFonts w:ascii="Times New Roman" w:hAnsi="Times New Roman" w:cs="Times New Roman"/>
          <w:sz w:val="24"/>
          <w:szCs w:val="24"/>
        </w:rPr>
      </w:pPr>
    </w:p>
    <w:p w14:paraId="3919FEAC" w14:textId="77777777" w:rsidR="00FA1EE7" w:rsidRPr="002B45D7" w:rsidRDefault="00FA1EE7" w:rsidP="002B45D7">
      <w:pPr>
        <w:spacing w:line="360" w:lineRule="auto"/>
        <w:jc w:val="both"/>
        <w:rPr>
          <w:rFonts w:ascii="Times New Roman" w:hAnsi="Times New Roman" w:cs="Times New Roman"/>
          <w:sz w:val="24"/>
          <w:szCs w:val="24"/>
        </w:rPr>
      </w:pPr>
    </w:p>
    <w:p w14:paraId="354BDDB5" w14:textId="77777777" w:rsidR="00FA1EE7" w:rsidRPr="002B45D7" w:rsidRDefault="00FA1EE7" w:rsidP="002B45D7">
      <w:pPr>
        <w:spacing w:line="360" w:lineRule="auto"/>
        <w:jc w:val="both"/>
        <w:rPr>
          <w:rFonts w:ascii="Times New Roman" w:hAnsi="Times New Roman" w:cs="Times New Roman"/>
          <w:sz w:val="24"/>
          <w:szCs w:val="24"/>
        </w:rPr>
      </w:pPr>
    </w:p>
    <w:p w14:paraId="3A853EB3" w14:textId="77777777" w:rsidR="00FA1EE7" w:rsidRPr="002B45D7" w:rsidRDefault="00FA1EE7" w:rsidP="002B45D7">
      <w:pPr>
        <w:spacing w:line="360" w:lineRule="auto"/>
        <w:jc w:val="both"/>
        <w:rPr>
          <w:rFonts w:ascii="Times New Roman" w:hAnsi="Times New Roman" w:cs="Times New Roman"/>
          <w:sz w:val="24"/>
          <w:szCs w:val="24"/>
        </w:rPr>
      </w:pPr>
    </w:p>
    <w:p w14:paraId="24C3199E" w14:textId="77777777" w:rsidR="00FA1EE7" w:rsidRPr="002B45D7" w:rsidRDefault="00FA1EE7" w:rsidP="002B45D7">
      <w:pPr>
        <w:spacing w:line="360" w:lineRule="auto"/>
        <w:jc w:val="both"/>
        <w:rPr>
          <w:rFonts w:ascii="Times New Roman" w:hAnsi="Times New Roman" w:cs="Times New Roman"/>
          <w:sz w:val="24"/>
          <w:szCs w:val="24"/>
        </w:rPr>
      </w:pPr>
    </w:p>
    <w:p w14:paraId="6BBA8BE7" w14:textId="77777777" w:rsidR="00FA1EE7" w:rsidRPr="002B45D7" w:rsidRDefault="00FA1EE7" w:rsidP="002B45D7">
      <w:pPr>
        <w:spacing w:line="360" w:lineRule="auto"/>
        <w:jc w:val="both"/>
        <w:rPr>
          <w:rFonts w:ascii="Times New Roman" w:hAnsi="Times New Roman" w:cs="Times New Roman"/>
          <w:sz w:val="24"/>
          <w:szCs w:val="24"/>
        </w:rPr>
      </w:pPr>
    </w:p>
    <w:p w14:paraId="6E95FE06" w14:textId="77777777" w:rsidR="00FA1EE7" w:rsidRPr="002B45D7" w:rsidRDefault="00FA1EE7" w:rsidP="002B45D7">
      <w:pPr>
        <w:spacing w:line="360" w:lineRule="auto"/>
        <w:jc w:val="both"/>
        <w:rPr>
          <w:rFonts w:ascii="Times New Roman" w:hAnsi="Times New Roman" w:cs="Times New Roman"/>
          <w:sz w:val="24"/>
          <w:szCs w:val="24"/>
        </w:rPr>
      </w:pPr>
    </w:p>
    <w:p w14:paraId="0B3F159B" w14:textId="77777777" w:rsidR="00FA1EE7" w:rsidRPr="002B45D7" w:rsidRDefault="00FA1EE7" w:rsidP="002B45D7">
      <w:pPr>
        <w:spacing w:line="360" w:lineRule="auto"/>
        <w:jc w:val="both"/>
        <w:rPr>
          <w:rFonts w:ascii="Times New Roman" w:hAnsi="Times New Roman" w:cs="Times New Roman"/>
          <w:sz w:val="24"/>
          <w:szCs w:val="24"/>
        </w:rPr>
      </w:pPr>
    </w:p>
    <w:p w14:paraId="0E2CA4AB" w14:textId="77777777" w:rsidR="00FA1EE7" w:rsidRPr="002B45D7" w:rsidRDefault="00FA1EE7" w:rsidP="002B45D7">
      <w:pPr>
        <w:spacing w:line="360" w:lineRule="auto"/>
        <w:jc w:val="both"/>
        <w:rPr>
          <w:rFonts w:ascii="Times New Roman" w:hAnsi="Times New Roman" w:cs="Times New Roman"/>
          <w:sz w:val="24"/>
          <w:szCs w:val="24"/>
        </w:rPr>
      </w:pPr>
    </w:p>
    <w:p w14:paraId="61B5E0ED" w14:textId="77777777" w:rsidR="00FA1EE7" w:rsidRPr="002B45D7" w:rsidRDefault="00FA1EE7" w:rsidP="002B45D7">
      <w:pPr>
        <w:spacing w:line="360" w:lineRule="auto"/>
        <w:jc w:val="both"/>
        <w:rPr>
          <w:rFonts w:ascii="Times New Roman" w:hAnsi="Times New Roman" w:cs="Times New Roman"/>
          <w:sz w:val="24"/>
          <w:szCs w:val="24"/>
        </w:rPr>
      </w:pPr>
    </w:p>
    <w:p w14:paraId="1982D5C4" w14:textId="77777777" w:rsidR="00FA1EE7" w:rsidRPr="002B45D7" w:rsidRDefault="00FA1EE7" w:rsidP="002B45D7">
      <w:pPr>
        <w:spacing w:line="360" w:lineRule="auto"/>
        <w:jc w:val="both"/>
        <w:rPr>
          <w:rFonts w:ascii="Times New Roman" w:hAnsi="Times New Roman" w:cs="Times New Roman"/>
          <w:sz w:val="24"/>
          <w:szCs w:val="24"/>
        </w:rPr>
      </w:pPr>
    </w:p>
    <w:p w14:paraId="4B4F88BC" w14:textId="77777777" w:rsidR="00FA1EE7" w:rsidRPr="002B45D7" w:rsidRDefault="00FA1EE7" w:rsidP="002B45D7">
      <w:pPr>
        <w:spacing w:line="360" w:lineRule="auto"/>
        <w:jc w:val="both"/>
        <w:rPr>
          <w:rFonts w:ascii="Times New Roman" w:hAnsi="Times New Roman" w:cs="Times New Roman"/>
          <w:sz w:val="24"/>
          <w:szCs w:val="24"/>
        </w:rPr>
      </w:pPr>
    </w:p>
    <w:p w14:paraId="453D678B"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3.3 </w:t>
      </w:r>
      <w:proofErr w:type="spellStart"/>
      <w:r w:rsidRPr="002B45D7">
        <w:rPr>
          <w:rFonts w:ascii="Times New Roman" w:hAnsi="Times New Roman" w:cs="Times New Roman"/>
          <w:b/>
          <w:sz w:val="24"/>
          <w:szCs w:val="24"/>
        </w:rPr>
        <w:t>Haemostatic</w:t>
      </w:r>
      <w:proofErr w:type="spellEnd"/>
      <w:r w:rsidRPr="002B45D7">
        <w:rPr>
          <w:rFonts w:ascii="Times New Roman" w:hAnsi="Times New Roman" w:cs="Times New Roman"/>
          <w:b/>
          <w:sz w:val="24"/>
          <w:szCs w:val="24"/>
        </w:rPr>
        <w:t xml:space="preserve"> Parameters</w:t>
      </w:r>
    </w:p>
    <w:p w14:paraId="5FBA11C4"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Table 3: </w:t>
      </w:r>
      <w:proofErr w:type="spellStart"/>
      <w:r w:rsidRPr="002B45D7">
        <w:rPr>
          <w:rFonts w:ascii="Times New Roman" w:hAnsi="Times New Roman" w:cs="Times New Roman"/>
          <w:b/>
          <w:sz w:val="24"/>
          <w:szCs w:val="24"/>
        </w:rPr>
        <w:t>Haemostatic</w:t>
      </w:r>
      <w:proofErr w:type="spellEnd"/>
      <w:r w:rsidRPr="002B45D7">
        <w:rPr>
          <w:rFonts w:ascii="Times New Roman" w:hAnsi="Times New Roman" w:cs="Times New Roman"/>
          <w:b/>
          <w:sz w:val="24"/>
          <w:szCs w:val="24"/>
        </w:rPr>
        <w:t xml:space="preserve"> parameters in </w:t>
      </w:r>
      <w:proofErr w:type="spellStart"/>
      <w:r w:rsidRPr="002B45D7">
        <w:rPr>
          <w:rFonts w:ascii="Times New Roman" w:hAnsi="Times New Roman" w:cs="Times New Roman"/>
          <w:b/>
          <w:sz w:val="24"/>
          <w:szCs w:val="24"/>
        </w:rPr>
        <w:t>HBsAg</w:t>
      </w:r>
      <w:proofErr w:type="spellEnd"/>
      <w:r w:rsidRPr="002B45D7">
        <w:rPr>
          <w:rFonts w:ascii="Times New Roman" w:hAnsi="Times New Roman" w:cs="Times New Roman"/>
          <w:b/>
          <w:sz w:val="24"/>
          <w:szCs w:val="24"/>
        </w:rPr>
        <w:t xml:space="preserve"> positive pregnant women.</w:t>
      </w:r>
    </w:p>
    <w:tbl>
      <w:tblPr>
        <w:tblW w:w="0" w:type="auto"/>
        <w:tblCellSpacing w:w="15" w:type="dxa"/>
        <w:tblInd w:w="-45" w:type="dxa"/>
        <w:tblLook w:val="04A0" w:firstRow="1" w:lastRow="0" w:firstColumn="1" w:lastColumn="0" w:noHBand="0" w:noVBand="1"/>
      </w:tblPr>
      <w:tblGrid>
        <w:gridCol w:w="1836"/>
        <w:gridCol w:w="3614"/>
        <w:gridCol w:w="2767"/>
        <w:gridCol w:w="795"/>
      </w:tblGrid>
      <w:tr w:rsidR="00895B48" w:rsidRPr="002B45D7" w14:paraId="2786F31D" w14:textId="77777777" w:rsidTr="00895B48">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04876F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Parameter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7709287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HBsAg Positive (n=150)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56145C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Controls (n=30)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FBFAE19"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p-value</w:t>
            </w:r>
          </w:p>
        </w:tc>
      </w:tr>
      <w:tr w:rsidR="00895B48" w:rsidRPr="002B45D7" w14:paraId="084873B2" w14:textId="77777777" w:rsidTr="00895B48">
        <w:trPr>
          <w:tblCellSpacing w:w="15" w:type="dxa"/>
        </w:trPr>
        <w:tc>
          <w:tcPr>
            <w:tcW w:w="0" w:type="auto"/>
            <w:tcMar>
              <w:top w:w="15" w:type="dxa"/>
              <w:left w:w="15" w:type="dxa"/>
              <w:bottom w:w="15" w:type="dxa"/>
              <w:right w:w="15" w:type="dxa"/>
            </w:tcMar>
            <w:vAlign w:val="center"/>
            <w:hideMark/>
          </w:tcPr>
          <w:p w14:paraId="7F29671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PT (seconds)</w:t>
            </w:r>
          </w:p>
        </w:tc>
        <w:tc>
          <w:tcPr>
            <w:tcW w:w="0" w:type="auto"/>
            <w:tcMar>
              <w:top w:w="15" w:type="dxa"/>
              <w:left w:w="15" w:type="dxa"/>
              <w:bottom w:w="15" w:type="dxa"/>
              <w:right w:w="15" w:type="dxa"/>
            </w:tcMar>
            <w:vAlign w:val="center"/>
            <w:hideMark/>
          </w:tcPr>
          <w:p w14:paraId="7264C91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13.5 ± 1.2</w:t>
            </w:r>
          </w:p>
        </w:tc>
        <w:tc>
          <w:tcPr>
            <w:tcW w:w="0" w:type="auto"/>
            <w:tcMar>
              <w:top w:w="15" w:type="dxa"/>
              <w:left w:w="15" w:type="dxa"/>
              <w:bottom w:w="15" w:type="dxa"/>
              <w:right w:w="15" w:type="dxa"/>
            </w:tcMar>
            <w:vAlign w:val="center"/>
            <w:hideMark/>
          </w:tcPr>
          <w:p w14:paraId="1F83CC1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12.8 ± 1.0</w:t>
            </w:r>
          </w:p>
        </w:tc>
        <w:tc>
          <w:tcPr>
            <w:tcW w:w="0" w:type="auto"/>
            <w:tcMar>
              <w:top w:w="15" w:type="dxa"/>
              <w:left w:w="15" w:type="dxa"/>
              <w:bottom w:w="15" w:type="dxa"/>
              <w:right w:w="15" w:type="dxa"/>
            </w:tcMar>
            <w:vAlign w:val="center"/>
            <w:hideMark/>
          </w:tcPr>
          <w:p w14:paraId="1E38E8D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6844CE8D" w14:textId="77777777" w:rsidTr="00895B48">
        <w:trPr>
          <w:tblCellSpacing w:w="15" w:type="dxa"/>
        </w:trPr>
        <w:tc>
          <w:tcPr>
            <w:tcW w:w="0" w:type="auto"/>
            <w:tcMar>
              <w:top w:w="15" w:type="dxa"/>
              <w:left w:w="15" w:type="dxa"/>
              <w:bottom w:w="15" w:type="dxa"/>
              <w:right w:w="15" w:type="dxa"/>
            </w:tcMar>
            <w:vAlign w:val="center"/>
            <w:hideMark/>
          </w:tcPr>
          <w:p w14:paraId="5E8B180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APTT (seconds)</w:t>
            </w:r>
          </w:p>
        </w:tc>
        <w:tc>
          <w:tcPr>
            <w:tcW w:w="0" w:type="auto"/>
            <w:tcMar>
              <w:top w:w="15" w:type="dxa"/>
              <w:left w:w="15" w:type="dxa"/>
              <w:bottom w:w="15" w:type="dxa"/>
              <w:right w:w="15" w:type="dxa"/>
            </w:tcMar>
            <w:vAlign w:val="center"/>
            <w:hideMark/>
          </w:tcPr>
          <w:p w14:paraId="1924BBE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32.0 ± 3.5</w:t>
            </w:r>
          </w:p>
        </w:tc>
        <w:tc>
          <w:tcPr>
            <w:tcW w:w="0" w:type="auto"/>
            <w:tcMar>
              <w:top w:w="15" w:type="dxa"/>
              <w:left w:w="15" w:type="dxa"/>
              <w:bottom w:w="15" w:type="dxa"/>
              <w:right w:w="15" w:type="dxa"/>
            </w:tcMar>
            <w:vAlign w:val="center"/>
            <w:hideMark/>
          </w:tcPr>
          <w:p w14:paraId="31484E3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30.5 ± 3.0</w:t>
            </w:r>
          </w:p>
        </w:tc>
        <w:tc>
          <w:tcPr>
            <w:tcW w:w="0" w:type="auto"/>
            <w:tcMar>
              <w:top w:w="15" w:type="dxa"/>
              <w:left w:w="15" w:type="dxa"/>
              <w:bottom w:w="15" w:type="dxa"/>
              <w:right w:w="15" w:type="dxa"/>
            </w:tcMar>
            <w:vAlign w:val="center"/>
            <w:hideMark/>
          </w:tcPr>
          <w:p w14:paraId="3DEDD65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0.002</w:t>
            </w:r>
          </w:p>
        </w:tc>
      </w:tr>
      <w:tr w:rsidR="00895B48" w:rsidRPr="002B45D7" w14:paraId="396A7939" w14:textId="77777777" w:rsidTr="00895B48">
        <w:trPr>
          <w:tblCellSpacing w:w="15" w:type="dxa"/>
        </w:trPr>
        <w:tc>
          <w:tcPr>
            <w:tcW w:w="0" w:type="auto"/>
            <w:tcMar>
              <w:top w:w="15" w:type="dxa"/>
              <w:left w:w="15" w:type="dxa"/>
              <w:bottom w:w="15" w:type="dxa"/>
              <w:right w:w="15" w:type="dxa"/>
            </w:tcMar>
            <w:vAlign w:val="center"/>
            <w:hideMark/>
          </w:tcPr>
          <w:p w14:paraId="32B4D63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Platelet (×10^9/L)</w:t>
            </w:r>
          </w:p>
        </w:tc>
        <w:tc>
          <w:tcPr>
            <w:tcW w:w="0" w:type="auto"/>
            <w:tcMar>
              <w:top w:w="15" w:type="dxa"/>
              <w:left w:w="15" w:type="dxa"/>
              <w:bottom w:w="15" w:type="dxa"/>
              <w:right w:w="15" w:type="dxa"/>
            </w:tcMar>
            <w:vAlign w:val="center"/>
            <w:hideMark/>
          </w:tcPr>
          <w:p w14:paraId="5E8B7B8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210 ± 50</w:t>
            </w:r>
          </w:p>
        </w:tc>
        <w:tc>
          <w:tcPr>
            <w:tcW w:w="0" w:type="auto"/>
            <w:tcMar>
              <w:top w:w="15" w:type="dxa"/>
              <w:left w:w="15" w:type="dxa"/>
              <w:bottom w:w="15" w:type="dxa"/>
              <w:right w:w="15" w:type="dxa"/>
            </w:tcMar>
            <w:vAlign w:val="center"/>
            <w:hideMark/>
          </w:tcPr>
          <w:p w14:paraId="28100CE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235 ± 45</w:t>
            </w:r>
          </w:p>
        </w:tc>
        <w:tc>
          <w:tcPr>
            <w:tcW w:w="0" w:type="auto"/>
            <w:tcMar>
              <w:top w:w="15" w:type="dxa"/>
              <w:left w:w="15" w:type="dxa"/>
              <w:bottom w:w="15" w:type="dxa"/>
              <w:right w:w="15" w:type="dxa"/>
            </w:tcMar>
            <w:vAlign w:val="center"/>
            <w:hideMark/>
          </w:tcPr>
          <w:p w14:paraId="0ACB6EE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895B48" w:rsidRPr="002B45D7" w14:paraId="4E78064B" w14:textId="77777777" w:rsidTr="00895B48">
        <w:trPr>
          <w:tblCellSpacing w:w="15" w:type="dxa"/>
        </w:trPr>
        <w:tc>
          <w:tcPr>
            <w:tcW w:w="0" w:type="auto"/>
            <w:tcMar>
              <w:top w:w="15" w:type="dxa"/>
              <w:left w:w="15" w:type="dxa"/>
              <w:bottom w:w="15" w:type="dxa"/>
              <w:right w:w="15" w:type="dxa"/>
            </w:tcMar>
            <w:vAlign w:val="center"/>
            <w:hideMark/>
          </w:tcPr>
          <w:p w14:paraId="44B9495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Fibrinogen (g/L)</w:t>
            </w:r>
          </w:p>
        </w:tc>
        <w:tc>
          <w:tcPr>
            <w:tcW w:w="0" w:type="auto"/>
            <w:tcMar>
              <w:top w:w="15" w:type="dxa"/>
              <w:left w:w="15" w:type="dxa"/>
              <w:bottom w:w="15" w:type="dxa"/>
              <w:right w:w="15" w:type="dxa"/>
            </w:tcMar>
            <w:vAlign w:val="center"/>
            <w:hideMark/>
          </w:tcPr>
          <w:p w14:paraId="13403D7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3.5 ± 0.6</w:t>
            </w:r>
          </w:p>
        </w:tc>
        <w:tc>
          <w:tcPr>
            <w:tcW w:w="0" w:type="auto"/>
            <w:tcMar>
              <w:top w:w="15" w:type="dxa"/>
              <w:left w:w="15" w:type="dxa"/>
              <w:bottom w:w="15" w:type="dxa"/>
              <w:right w:w="15" w:type="dxa"/>
            </w:tcMar>
            <w:vAlign w:val="center"/>
            <w:hideMark/>
          </w:tcPr>
          <w:p w14:paraId="2282DF6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 ± 0.5</w:t>
            </w:r>
          </w:p>
        </w:tc>
        <w:tc>
          <w:tcPr>
            <w:tcW w:w="0" w:type="auto"/>
            <w:tcMar>
              <w:top w:w="15" w:type="dxa"/>
              <w:left w:w="15" w:type="dxa"/>
              <w:bottom w:w="15" w:type="dxa"/>
              <w:right w:w="15" w:type="dxa"/>
            </w:tcMar>
            <w:vAlign w:val="center"/>
            <w:hideMark/>
          </w:tcPr>
          <w:p w14:paraId="11C1AF8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24A0113D" w14:textId="77777777" w:rsidTr="00895B48">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D9637D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D-dimer (mg/L)</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6E8658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0.45 ± 0.15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C8CD29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0.30 ± 0.10</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177310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bl>
    <w:p w14:paraId="2BC22023" w14:textId="77777777" w:rsidR="00895B48" w:rsidRPr="002B45D7" w:rsidRDefault="00895B48" w:rsidP="002B45D7">
      <w:pPr>
        <w:spacing w:line="360" w:lineRule="auto"/>
        <w:jc w:val="both"/>
        <w:rPr>
          <w:rFonts w:ascii="Times New Roman" w:hAnsi="Times New Roman" w:cs="Times New Roman"/>
          <w:sz w:val="24"/>
          <w:szCs w:val="24"/>
        </w:rPr>
      </w:pPr>
    </w:p>
    <w:p w14:paraId="5157A36C"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PT and APTT were prolonged in HBsAg positive women (13.5 ± 1.2 vs. 12.8 ± 1.0 sec; 32.0 ± 3.5 vs. 30.5 ± 3.0 sec; p &lt; 0.05). Fibrinogen and D-dimer levels were significantly higher, suggesting increased coagulation and fibrinolytic activity.</w:t>
      </w:r>
    </w:p>
    <w:p w14:paraId="2A2555BB" w14:textId="77777777" w:rsidR="00FA1EE7" w:rsidRPr="002B45D7" w:rsidRDefault="00FA1EE7" w:rsidP="002B45D7">
      <w:pPr>
        <w:spacing w:line="360" w:lineRule="auto"/>
        <w:jc w:val="both"/>
        <w:rPr>
          <w:rFonts w:ascii="Times New Roman" w:hAnsi="Times New Roman" w:cs="Times New Roman"/>
          <w:sz w:val="24"/>
          <w:szCs w:val="24"/>
        </w:rPr>
      </w:pPr>
    </w:p>
    <w:p w14:paraId="7556A532" w14:textId="77777777" w:rsidR="00FA1EE7" w:rsidRPr="002B45D7" w:rsidRDefault="00FA1EE7" w:rsidP="002B45D7">
      <w:pPr>
        <w:spacing w:line="360" w:lineRule="auto"/>
        <w:jc w:val="both"/>
        <w:rPr>
          <w:rFonts w:ascii="Times New Roman" w:hAnsi="Times New Roman" w:cs="Times New Roman"/>
          <w:sz w:val="24"/>
          <w:szCs w:val="24"/>
        </w:rPr>
      </w:pPr>
    </w:p>
    <w:p w14:paraId="180C6D32" w14:textId="77777777" w:rsidR="00FA1EE7" w:rsidRPr="002B45D7" w:rsidRDefault="00FA1EE7" w:rsidP="002B45D7">
      <w:pPr>
        <w:spacing w:line="360" w:lineRule="auto"/>
        <w:jc w:val="both"/>
        <w:rPr>
          <w:rFonts w:ascii="Times New Roman" w:hAnsi="Times New Roman" w:cs="Times New Roman"/>
          <w:sz w:val="24"/>
          <w:szCs w:val="24"/>
        </w:rPr>
      </w:pPr>
    </w:p>
    <w:p w14:paraId="2FC5DEB9" w14:textId="77777777" w:rsidR="00FA1EE7" w:rsidRPr="002B45D7" w:rsidRDefault="00FA1EE7" w:rsidP="002B45D7">
      <w:pPr>
        <w:spacing w:line="360" w:lineRule="auto"/>
        <w:jc w:val="both"/>
        <w:rPr>
          <w:rFonts w:ascii="Times New Roman" w:hAnsi="Times New Roman" w:cs="Times New Roman"/>
          <w:sz w:val="24"/>
          <w:szCs w:val="24"/>
        </w:rPr>
      </w:pPr>
    </w:p>
    <w:p w14:paraId="54FE2497" w14:textId="77777777" w:rsidR="00FA1EE7" w:rsidRPr="002B45D7" w:rsidRDefault="00FA1EE7" w:rsidP="002B45D7">
      <w:pPr>
        <w:spacing w:line="360" w:lineRule="auto"/>
        <w:jc w:val="both"/>
        <w:rPr>
          <w:rFonts w:ascii="Times New Roman" w:hAnsi="Times New Roman" w:cs="Times New Roman"/>
          <w:sz w:val="24"/>
          <w:szCs w:val="24"/>
        </w:rPr>
      </w:pPr>
    </w:p>
    <w:p w14:paraId="34CE9657" w14:textId="77777777" w:rsidR="00FA1EE7" w:rsidRPr="002B45D7" w:rsidRDefault="00FA1EE7" w:rsidP="002B45D7">
      <w:pPr>
        <w:spacing w:line="360" w:lineRule="auto"/>
        <w:jc w:val="both"/>
        <w:rPr>
          <w:rFonts w:ascii="Times New Roman" w:hAnsi="Times New Roman" w:cs="Times New Roman"/>
          <w:sz w:val="24"/>
          <w:szCs w:val="24"/>
        </w:rPr>
      </w:pPr>
    </w:p>
    <w:p w14:paraId="746A4724" w14:textId="77777777" w:rsidR="00FA1EE7" w:rsidRPr="002B45D7" w:rsidRDefault="00FA1EE7" w:rsidP="002B45D7">
      <w:pPr>
        <w:spacing w:line="360" w:lineRule="auto"/>
        <w:jc w:val="both"/>
        <w:rPr>
          <w:rFonts w:ascii="Times New Roman" w:hAnsi="Times New Roman" w:cs="Times New Roman"/>
          <w:sz w:val="24"/>
          <w:szCs w:val="24"/>
        </w:rPr>
      </w:pPr>
    </w:p>
    <w:p w14:paraId="2C38317B" w14:textId="77777777" w:rsidR="00FA1EE7" w:rsidRPr="002B45D7" w:rsidRDefault="00FA1EE7" w:rsidP="002B45D7">
      <w:pPr>
        <w:spacing w:line="360" w:lineRule="auto"/>
        <w:jc w:val="both"/>
        <w:rPr>
          <w:rFonts w:ascii="Times New Roman" w:hAnsi="Times New Roman" w:cs="Times New Roman"/>
          <w:sz w:val="24"/>
          <w:szCs w:val="24"/>
        </w:rPr>
      </w:pPr>
    </w:p>
    <w:p w14:paraId="02CF09D6" w14:textId="77777777" w:rsidR="00FA1EE7" w:rsidRPr="002B45D7" w:rsidRDefault="00FA1EE7" w:rsidP="002B45D7">
      <w:pPr>
        <w:spacing w:line="360" w:lineRule="auto"/>
        <w:jc w:val="both"/>
        <w:rPr>
          <w:rFonts w:ascii="Times New Roman" w:hAnsi="Times New Roman" w:cs="Times New Roman"/>
          <w:sz w:val="24"/>
          <w:szCs w:val="24"/>
        </w:rPr>
      </w:pPr>
    </w:p>
    <w:p w14:paraId="5BB91B86" w14:textId="77777777" w:rsidR="00FA1EE7" w:rsidRPr="002B45D7" w:rsidRDefault="00FA1EE7" w:rsidP="002B45D7">
      <w:pPr>
        <w:spacing w:line="360" w:lineRule="auto"/>
        <w:jc w:val="both"/>
        <w:rPr>
          <w:rFonts w:ascii="Times New Roman" w:hAnsi="Times New Roman" w:cs="Times New Roman"/>
          <w:sz w:val="24"/>
          <w:szCs w:val="24"/>
        </w:rPr>
      </w:pPr>
    </w:p>
    <w:p w14:paraId="6761DA24"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3.4 Correlation Analyses</w:t>
      </w:r>
    </w:p>
    <w:p w14:paraId="2FFA8E97" w14:textId="77777777" w:rsidR="00EB3C76" w:rsidRPr="002B45D7" w:rsidRDefault="00EB3C7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Correlation Between Hematological/</w:t>
      </w:r>
      <w:proofErr w:type="spellStart"/>
      <w:r w:rsidRPr="002B45D7">
        <w:rPr>
          <w:rFonts w:ascii="Times New Roman" w:hAnsi="Times New Roman" w:cs="Times New Roman"/>
          <w:b/>
          <w:sz w:val="24"/>
          <w:szCs w:val="24"/>
        </w:rPr>
        <w:t>Haemostatic</w:t>
      </w:r>
      <w:proofErr w:type="spellEnd"/>
      <w:r w:rsidRPr="002B45D7">
        <w:rPr>
          <w:rFonts w:ascii="Times New Roman" w:hAnsi="Times New Roman" w:cs="Times New Roman"/>
          <w:b/>
          <w:sz w:val="24"/>
          <w:szCs w:val="24"/>
        </w:rPr>
        <w:t xml:space="preserve"> Parameters and </w:t>
      </w:r>
      <w:proofErr w:type="spellStart"/>
      <w:r w:rsidRPr="002B45D7">
        <w:rPr>
          <w:rFonts w:ascii="Times New Roman" w:hAnsi="Times New Roman" w:cs="Times New Roman"/>
          <w:b/>
          <w:sz w:val="24"/>
          <w:szCs w:val="24"/>
        </w:rPr>
        <w:t>HBsAg</w:t>
      </w:r>
      <w:proofErr w:type="spellEnd"/>
      <w:r w:rsidRPr="002B45D7">
        <w:rPr>
          <w:rFonts w:ascii="Times New Roman" w:hAnsi="Times New Roman" w:cs="Times New Roman"/>
          <w:b/>
          <w:sz w:val="24"/>
          <w:szCs w:val="24"/>
        </w:rPr>
        <w:t xml:space="preserve"> Status.</w:t>
      </w:r>
    </w:p>
    <w:p w14:paraId="3A3D05D5" w14:textId="77777777" w:rsidR="00EB3C76" w:rsidRPr="002B45D7" w:rsidRDefault="00EB3C76" w:rsidP="002B45D7">
      <w:pPr>
        <w:spacing w:line="360" w:lineRule="auto"/>
        <w:jc w:val="both"/>
        <w:rPr>
          <w:rFonts w:ascii="Times New Roman" w:hAnsi="Times New Roman" w:cs="Times New Roman"/>
          <w:sz w:val="24"/>
          <w:szCs w:val="24"/>
        </w:rPr>
      </w:pPr>
    </w:p>
    <w:tbl>
      <w:tblPr>
        <w:tblW w:w="0" w:type="auto"/>
        <w:tblCellSpacing w:w="15" w:type="dxa"/>
        <w:tblInd w:w="-45" w:type="dxa"/>
        <w:tblLook w:val="04A0" w:firstRow="1" w:lastRow="0" w:firstColumn="1" w:lastColumn="0" w:noHBand="0" w:noVBand="1"/>
      </w:tblPr>
      <w:tblGrid>
        <w:gridCol w:w="1388"/>
        <w:gridCol w:w="1453"/>
        <w:gridCol w:w="795"/>
      </w:tblGrid>
      <w:tr w:rsidR="00EB3C76" w:rsidRPr="002B45D7" w14:paraId="1C0C9184" w14:textId="77777777" w:rsidTr="00EB3C76">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2158116"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Parameter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E06187D"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Correlation (r)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AE631AC"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p-value</w:t>
            </w:r>
          </w:p>
        </w:tc>
      </w:tr>
      <w:tr w:rsidR="00EB3C76" w:rsidRPr="002B45D7" w14:paraId="2A64EC17" w14:textId="77777777" w:rsidTr="00EB3C76">
        <w:trPr>
          <w:tblCellSpacing w:w="15" w:type="dxa"/>
        </w:trPr>
        <w:tc>
          <w:tcPr>
            <w:tcW w:w="0" w:type="auto"/>
            <w:tcMar>
              <w:top w:w="15" w:type="dxa"/>
              <w:left w:w="15" w:type="dxa"/>
              <w:bottom w:w="15" w:type="dxa"/>
              <w:right w:w="15" w:type="dxa"/>
            </w:tcMar>
            <w:vAlign w:val="center"/>
            <w:hideMark/>
          </w:tcPr>
          <w:p w14:paraId="29373C83"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Hemoglobin</w:t>
            </w:r>
          </w:p>
        </w:tc>
        <w:tc>
          <w:tcPr>
            <w:tcW w:w="0" w:type="auto"/>
            <w:tcMar>
              <w:top w:w="15" w:type="dxa"/>
              <w:left w:w="15" w:type="dxa"/>
              <w:bottom w:w="15" w:type="dxa"/>
              <w:right w:w="15" w:type="dxa"/>
            </w:tcMar>
            <w:vAlign w:val="center"/>
            <w:hideMark/>
          </w:tcPr>
          <w:p w14:paraId="471932F9"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-0.35</w:t>
            </w:r>
          </w:p>
        </w:tc>
        <w:tc>
          <w:tcPr>
            <w:tcW w:w="0" w:type="auto"/>
            <w:tcMar>
              <w:top w:w="15" w:type="dxa"/>
              <w:left w:w="15" w:type="dxa"/>
              <w:bottom w:w="15" w:type="dxa"/>
              <w:right w:w="15" w:type="dxa"/>
            </w:tcMar>
            <w:vAlign w:val="center"/>
            <w:hideMark/>
          </w:tcPr>
          <w:p w14:paraId="2CC55BF1"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14:paraId="2A5F3790" w14:textId="77777777" w:rsidTr="00EB3C76">
        <w:trPr>
          <w:tblCellSpacing w:w="15" w:type="dxa"/>
        </w:trPr>
        <w:tc>
          <w:tcPr>
            <w:tcW w:w="0" w:type="auto"/>
            <w:tcMar>
              <w:top w:w="15" w:type="dxa"/>
              <w:left w:w="15" w:type="dxa"/>
              <w:bottom w:w="15" w:type="dxa"/>
              <w:right w:w="15" w:type="dxa"/>
            </w:tcMar>
            <w:vAlign w:val="center"/>
            <w:hideMark/>
          </w:tcPr>
          <w:p w14:paraId="7CC20964"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Hematocrit</w:t>
            </w:r>
          </w:p>
        </w:tc>
        <w:tc>
          <w:tcPr>
            <w:tcW w:w="0" w:type="auto"/>
            <w:tcMar>
              <w:top w:w="15" w:type="dxa"/>
              <w:left w:w="15" w:type="dxa"/>
              <w:bottom w:w="15" w:type="dxa"/>
              <w:right w:w="15" w:type="dxa"/>
            </w:tcMar>
            <w:vAlign w:val="center"/>
            <w:hideMark/>
          </w:tcPr>
          <w:p w14:paraId="3AEF35C4"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-0.32</w:t>
            </w:r>
          </w:p>
        </w:tc>
        <w:tc>
          <w:tcPr>
            <w:tcW w:w="0" w:type="auto"/>
            <w:tcMar>
              <w:top w:w="15" w:type="dxa"/>
              <w:left w:w="15" w:type="dxa"/>
              <w:bottom w:w="15" w:type="dxa"/>
              <w:right w:w="15" w:type="dxa"/>
            </w:tcMar>
            <w:vAlign w:val="center"/>
            <w:hideMark/>
          </w:tcPr>
          <w:p w14:paraId="05EE8489"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14:paraId="53299C17" w14:textId="77777777" w:rsidTr="00EB3C76">
        <w:trPr>
          <w:tblCellSpacing w:w="15" w:type="dxa"/>
        </w:trPr>
        <w:tc>
          <w:tcPr>
            <w:tcW w:w="0" w:type="auto"/>
            <w:tcMar>
              <w:top w:w="15" w:type="dxa"/>
              <w:left w:w="15" w:type="dxa"/>
              <w:bottom w:w="15" w:type="dxa"/>
              <w:right w:w="15" w:type="dxa"/>
            </w:tcMar>
            <w:vAlign w:val="center"/>
            <w:hideMark/>
          </w:tcPr>
          <w:p w14:paraId="21E36735"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RBC count</w:t>
            </w:r>
          </w:p>
        </w:tc>
        <w:tc>
          <w:tcPr>
            <w:tcW w:w="0" w:type="auto"/>
            <w:tcMar>
              <w:top w:w="15" w:type="dxa"/>
              <w:left w:w="15" w:type="dxa"/>
              <w:bottom w:w="15" w:type="dxa"/>
              <w:right w:w="15" w:type="dxa"/>
            </w:tcMar>
            <w:vAlign w:val="center"/>
            <w:hideMark/>
          </w:tcPr>
          <w:p w14:paraId="2BFB1234"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-0.30</w:t>
            </w:r>
          </w:p>
        </w:tc>
        <w:tc>
          <w:tcPr>
            <w:tcW w:w="0" w:type="auto"/>
            <w:tcMar>
              <w:top w:w="15" w:type="dxa"/>
              <w:left w:w="15" w:type="dxa"/>
              <w:bottom w:w="15" w:type="dxa"/>
              <w:right w:w="15" w:type="dxa"/>
            </w:tcMar>
            <w:vAlign w:val="center"/>
            <w:hideMark/>
          </w:tcPr>
          <w:p w14:paraId="59F62656"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EB3C76" w:rsidRPr="002B45D7" w14:paraId="01F3469C" w14:textId="77777777" w:rsidTr="00EB3C76">
        <w:trPr>
          <w:tblCellSpacing w:w="15" w:type="dxa"/>
        </w:trPr>
        <w:tc>
          <w:tcPr>
            <w:tcW w:w="0" w:type="auto"/>
            <w:tcMar>
              <w:top w:w="15" w:type="dxa"/>
              <w:left w:w="15" w:type="dxa"/>
              <w:bottom w:w="15" w:type="dxa"/>
              <w:right w:w="15" w:type="dxa"/>
            </w:tcMar>
            <w:vAlign w:val="center"/>
            <w:hideMark/>
          </w:tcPr>
          <w:p w14:paraId="7E55F8F1"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Platelet count</w:t>
            </w:r>
          </w:p>
        </w:tc>
        <w:tc>
          <w:tcPr>
            <w:tcW w:w="0" w:type="auto"/>
            <w:tcMar>
              <w:top w:w="15" w:type="dxa"/>
              <w:left w:w="15" w:type="dxa"/>
              <w:bottom w:w="15" w:type="dxa"/>
              <w:right w:w="15" w:type="dxa"/>
            </w:tcMar>
            <w:vAlign w:val="center"/>
            <w:hideMark/>
          </w:tcPr>
          <w:p w14:paraId="433C268B"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-0.28</w:t>
            </w:r>
          </w:p>
        </w:tc>
        <w:tc>
          <w:tcPr>
            <w:tcW w:w="0" w:type="auto"/>
            <w:tcMar>
              <w:top w:w="15" w:type="dxa"/>
              <w:left w:w="15" w:type="dxa"/>
              <w:bottom w:w="15" w:type="dxa"/>
              <w:right w:w="15" w:type="dxa"/>
            </w:tcMar>
            <w:vAlign w:val="center"/>
            <w:hideMark/>
          </w:tcPr>
          <w:p w14:paraId="759F7909"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EB3C76" w:rsidRPr="002B45D7" w14:paraId="523FB150" w14:textId="77777777" w:rsidTr="00EB3C76">
        <w:trPr>
          <w:tblCellSpacing w:w="15" w:type="dxa"/>
        </w:trPr>
        <w:tc>
          <w:tcPr>
            <w:tcW w:w="0" w:type="auto"/>
            <w:tcMar>
              <w:top w:w="15" w:type="dxa"/>
              <w:left w:w="15" w:type="dxa"/>
              <w:bottom w:w="15" w:type="dxa"/>
              <w:right w:w="15" w:type="dxa"/>
            </w:tcMar>
            <w:vAlign w:val="center"/>
            <w:hideMark/>
          </w:tcPr>
          <w:p w14:paraId="6CE8775B"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WBC count</w:t>
            </w:r>
          </w:p>
        </w:tc>
        <w:tc>
          <w:tcPr>
            <w:tcW w:w="0" w:type="auto"/>
            <w:tcMar>
              <w:top w:w="15" w:type="dxa"/>
              <w:left w:w="15" w:type="dxa"/>
              <w:bottom w:w="15" w:type="dxa"/>
              <w:right w:w="15" w:type="dxa"/>
            </w:tcMar>
            <w:vAlign w:val="center"/>
            <w:hideMark/>
          </w:tcPr>
          <w:p w14:paraId="2D37D01A"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0.21</w:t>
            </w:r>
          </w:p>
        </w:tc>
        <w:tc>
          <w:tcPr>
            <w:tcW w:w="0" w:type="auto"/>
            <w:tcMar>
              <w:top w:w="15" w:type="dxa"/>
              <w:left w:w="15" w:type="dxa"/>
              <w:bottom w:w="15" w:type="dxa"/>
              <w:right w:w="15" w:type="dxa"/>
            </w:tcMar>
            <w:vAlign w:val="center"/>
            <w:hideMark/>
          </w:tcPr>
          <w:p w14:paraId="51375188"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0.015</w:t>
            </w:r>
          </w:p>
        </w:tc>
      </w:tr>
      <w:tr w:rsidR="00EB3C76" w:rsidRPr="002B45D7" w14:paraId="14698E86" w14:textId="77777777" w:rsidTr="00EB3C76">
        <w:trPr>
          <w:tblCellSpacing w:w="15" w:type="dxa"/>
        </w:trPr>
        <w:tc>
          <w:tcPr>
            <w:tcW w:w="0" w:type="auto"/>
            <w:tcMar>
              <w:top w:w="15" w:type="dxa"/>
              <w:left w:w="15" w:type="dxa"/>
              <w:bottom w:w="15" w:type="dxa"/>
              <w:right w:w="15" w:type="dxa"/>
            </w:tcMar>
            <w:vAlign w:val="center"/>
            <w:hideMark/>
          </w:tcPr>
          <w:p w14:paraId="70821AE8"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PT</w:t>
            </w:r>
          </w:p>
        </w:tc>
        <w:tc>
          <w:tcPr>
            <w:tcW w:w="0" w:type="auto"/>
            <w:tcMar>
              <w:top w:w="15" w:type="dxa"/>
              <w:left w:w="15" w:type="dxa"/>
              <w:bottom w:w="15" w:type="dxa"/>
              <w:right w:w="15" w:type="dxa"/>
            </w:tcMar>
            <w:vAlign w:val="center"/>
            <w:hideMark/>
          </w:tcPr>
          <w:p w14:paraId="4A4F361C"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0.30</w:t>
            </w:r>
          </w:p>
        </w:tc>
        <w:tc>
          <w:tcPr>
            <w:tcW w:w="0" w:type="auto"/>
            <w:tcMar>
              <w:top w:w="15" w:type="dxa"/>
              <w:left w:w="15" w:type="dxa"/>
              <w:bottom w:w="15" w:type="dxa"/>
              <w:right w:w="15" w:type="dxa"/>
            </w:tcMar>
            <w:vAlign w:val="center"/>
            <w:hideMark/>
          </w:tcPr>
          <w:p w14:paraId="5BDBA584"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14:paraId="11A4DF66" w14:textId="77777777" w:rsidTr="00EB3C76">
        <w:trPr>
          <w:tblCellSpacing w:w="15" w:type="dxa"/>
        </w:trPr>
        <w:tc>
          <w:tcPr>
            <w:tcW w:w="0" w:type="auto"/>
            <w:tcMar>
              <w:top w:w="15" w:type="dxa"/>
              <w:left w:w="15" w:type="dxa"/>
              <w:bottom w:w="15" w:type="dxa"/>
              <w:right w:w="15" w:type="dxa"/>
            </w:tcMar>
            <w:vAlign w:val="center"/>
            <w:hideMark/>
          </w:tcPr>
          <w:p w14:paraId="308D6ECA"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APTT</w:t>
            </w:r>
          </w:p>
        </w:tc>
        <w:tc>
          <w:tcPr>
            <w:tcW w:w="0" w:type="auto"/>
            <w:tcMar>
              <w:top w:w="15" w:type="dxa"/>
              <w:left w:w="15" w:type="dxa"/>
              <w:bottom w:w="15" w:type="dxa"/>
              <w:right w:w="15" w:type="dxa"/>
            </w:tcMar>
            <w:vAlign w:val="center"/>
            <w:hideMark/>
          </w:tcPr>
          <w:p w14:paraId="3CE0197E"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0.27</w:t>
            </w:r>
          </w:p>
        </w:tc>
        <w:tc>
          <w:tcPr>
            <w:tcW w:w="0" w:type="auto"/>
            <w:tcMar>
              <w:top w:w="15" w:type="dxa"/>
              <w:left w:w="15" w:type="dxa"/>
              <w:bottom w:w="15" w:type="dxa"/>
              <w:right w:w="15" w:type="dxa"/>
            </w:tcMar>
            <w:vAlign w:val="center"/>
            <w:hideMark/>
          </w:tcPr>
          <w:p w14:paraId="7C3ED601"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0.002</w:t>
            </w:r>
          </w:p>
        </w:tc>
      </w:tr>
      <w:tr w:rsidR="00EB3C76" w:rsidRPr="002B45D7" w14:paraId="0FCD93C4" w14:textId="77777777" w:rsidTr="00EB3C76">
        <w:trPr>
          <w:tblCellSpacing w:w="15" w:type="dxa"/>
        </w:trPr>
        <w:tc>
          <w:tcPr>
            <w:tcW w:w="0" w:type="auto"/>
            <w:tcMar>
              <w:top w:w="15" w:type="dxa"/>
              <w:left w:w="15" w:type="dxa"/>
              <w:bottom w:w="15" w:type="dxa"/>
              <w:right w:w="15" w:type="dxa"/>
            </w:tcMar>
            <w:vAlign w:val="center"/>
            <w:hideMark/>
          </w:tcPr>
          <w:p w14:paraId="7D1B096B"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lastRenderedPageBreak/>
              <w:t>Fibrinogen</w:t>
            </w:r>
          </w:p>
        </w:tc>
        <w:tc>
          <w:tcPr>
            <w:tcW w:w="0" w:type="auto"/>
            <w:tcMar>
              <w:top w:w="15" w:type="dxa"/>
              <w:left w:w="15" w:type="dxa"/>
              <w:bottom w:w="15" w:type="dxa"/>
              <w:right w:w="15" w:type="dxa"/>
            </w:tcMar>
            <w:vAlign w:val="center"/>
            <w:hideMark/>
          </w:tcPr>
          <w:p w14:paraId="11454503"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0.33</w:t>
            </w:r>
          </w:p>
        </w:tc>
        <w:tc>
          <w:tcPr>
            <w:tcW w:w="0" w:type="auto"/>
            <w:tcMar>
              <w:top w:w="15" w:type="dxa"/>
              <w:left w:w="15" w:type="dxa"/>
              <w:bottom w:w="15" w:type="dxa"/>
              <w:right w:w="15" w:type="dxa"/>
            </w:tcMar>
            <w:vAlign w:val="center"/>
            <w:hideMark/>
          </w:tcPr>
          <w:p w14:paraId="29753060"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14:paraId="42E3CB3A" w14:textId="77777777" w:rsidTr="00EB3C76">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CAA8537"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D-dimer</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4C585F8"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0.38</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8B13FA6"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bl>
    <w:p w14:paraId="37F836BA" w14:textId="77777777" w:rsidR="00504829"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br/>
      </w:r>
      <w:r w:rsidR="00504829" w:rsidRPr="002B45D7">
        <w:rPr>
          <w:rFonts w:ascii="Times New Roman" w:hAnsi="Times New Roman" w:cs="Times New Roman"/>
          <w:sz w:val="24"/>
          <w:szCs w:val="24"/>
        </w:rPr>
        <w:t xml:space="preserve">Significant negative correlations existed between HBsAg positivity and hemoglobin (r = -0.35), hematocrit (r = -0.32), RBC count (r = -0.30), and </w:t>
      </w:r>
      <w:commentRangeStart w:id="5"/>
      <w:r w:rsidR="00504829" w:rsidRPr="002B45D7">
        <w:rPr>
          <w:rFonts w:ascii="Times New Roman" w:hAnsi="Times New Roman" w:cs="Times New Roman"/>
          <w:sz w:val="24"/>
          <w:szCs w:val="24"/>
        </w:rPr>
        <w:t>platelet count (r = -0.28) (p &lt; 0.05). Positive correlations were observed with WBC count (r = 0.21), PT (r = 0.30), APTT (r = 0.27), fibrinogen (r = 0.33), and D-dimer (r = 0.38) (p &lt; 0.05).</w:t>
      </w:r>
      <w:commentRangeEnd w:id="5"/>
      <w:r w:rsidR="00421805">
        <w:rPr>
          <w:rStyle w:val="CommentReference"/>
        </w:rPr>
        <w:commentReference w:id="5"/>
      </w:r>
    </w:p>
    <w:p w14:paraId="4858626C" w14:textId="77777777" w:rsidR="00504829" w:rsidRPr="002B45D7" w:rsidRDefault="00504829" w:rsidP="002B45D7">
      <w:pPr>
        <w:spacing w:line="360" w:lineRule="auto"/>
        <w:jc w:val="both"/>
        <w:rPr>
          <w:rFonts w:ascii="Times New Roman" w:hAnsi="Times New Roman" w:cs="Times New Roman"/>
          <w:sz w:val="24"/>
          <w:szCs w:val="24"/>
        </w:rPr>
      </w:pPr>
    </w:p>
    <w:p w14:paraId="01C4B5CF" w14:textId="77777777" w:rsidR="00FA1EE7" w:rsidRPr="002B45D7" w:rsidRDefault="00FA1EE7" w:rsidP="002B45D7">
      <w:pPr>
        <w:spacing w:line="360" w:lineRule="auto"/>
        <w:jc w:val="both"/>
        <w:rPr>
          <w:rFonts w:ascii="Times New Roman" w:hAnsi="Times New Roman" w:cs="Times New Roman"/>
          <w:sz w:val="24"/>
          <w:szCs w:val="24"/>
        </w:rPr>
      </w:pPr>
    </w:p>
    <w:p w14:paraId="727F813D" w14:textId="77777777" w:rsidR="00FA1EE7" w:rsidRPr="002B45D7" w:rsidRDefault="00FA1EE7" w:rsidP="002B45D7">
      <w:pPr>
        <w:spacing w:line="360" w:lineRule="auto"/>
        <w:jc w:val="both"/>
        <w:rPr>
          <w:rFonts w:ascii="Times New Roman" w:hAnsi="Times New Roman" w:cs="Times New Roman"/>
          <w:sz w:val="24"/>
          <w:szCs w:val="24"/>
        </w:rPr>
      </w:pPr>
    </w:p>
    <w:p w14:paraId="208E0676" w14:textId="77777777" w:rsidR="00FA1EE7" w:rsidRDefault="00FA1EE7" w:rsidP="002B45D7">
      <w:pPr>
        <w:spacing w:line="360" w:lineRule="auto"/>
        <w:jc w:val="both"/>
        <w:rPr>
          <w:rFonts w:ascii="Times New Roman" w:hAnsi="Times New Roman" w:cs="Times New Roman"/>
          <w:sz w:val="24"/>
          <w:szCs w:val="24"/>
        </w:rPr>
      </w:pPr>
    </w:p>
    <w:p w14:paraId="039AACAB" w14:textId="77777777" w:rsidR="008556C9" w:rsidRPr="002B45D7" w:rsidRDefault="008556C9" w:rsidP="002B45D7">
      <w:pPr>
        <w:spacing w:line="360" w:lineRule="auto"/>
        <w:jc w:val="both"/>
        <w:rPr>
          <w:rFonts w:ascii="Times New Roman" w:hAnsi="Times New Roman" w:cs="Times New Roman"/>
          <w:sz w:val="24"/>
          <w:szCs w:val="24"/>
        </w:rPr>
      </w:pPr>
    </w:p>
    <w:p w14:paraId="5FDEE0C1" w14:textId="77777777"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4.0 </w:t>
      </w:r>
      <w:r w:rsidR="00504829" w:rsidRPr="002B45D7">
        <w:rPr>
          <w:rFonts w:ascii="Times New Roman" w:hAnsi="Times New Roman" w:cs="Times New Roman"/>
          <w:b/>
          <w:sz w:val="24"/>
          <w:szCs w:val="24"/>
        </w:rPr>
        <w:t>Discussion</w:t>
      </w:r>
    </w:p>
    <w:p w14:paraId="046134A4"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This study was designed to elucidate the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alterations associated with Hepatitis B surface antigen (HBsAg) infection among pregnant women attending antenatal clinics in Edo State. The findings provide valuable insights into the potential impact of chronic Hepatitis B virus (HBV) infection on maternal hematological and coagulation profiles, particularly regarding red cell indices, white cell response, platelet parameters, and the dynamic balance of the coagulation system during pregnancy.</w:t>
      </w:r>
    </w:p>
    <w:p w14:paraId="202D39F8"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The demographic characteristics of the study participants revealed a relatively homogeneous distribution between the HBsAg-positive and control groups across key variables such as age, marital status, and educational level. This uniformity suggests that the observed differences in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indices are more likely attributable to HBsAg status rather than socio-demographic confounders (Sperling et al., 2017). The predominance of participants within the 25–34-year age range reflects the typical reproductive age group, thus enhancing the </w:t>
      </w:r>
      <w:r w:rsidRPr="00142FF1">
        <w:rPr>
          <w:rFonts w:ascii="Times New Roman" w:eastAsia="Times New Roman" w:hAnsi="Times New Roman" w:cs="Times New Roman"/>
          <w:sz w:val="24"/>
          <w:szCs w:val="24"/>
        </w:rPr>
        <w:lastRenderedPageBreak/>
        <w:t xml:space="preserve">generalizability of the findings to the wider population of pregnant women. Similarly, the comparable distribution of gestational age, with most women in their second trimester, is important since this period is characterized by significant physiological changes, including plasma volume expansion, physiological anemia, and a gradual shift toward a hypercoagulable state (Lurie &amp; Weinberger, 2004). The consistently low hepatitis B vaccination coverage observed among both groups underscores an ongoing public health concern in Edo State, as limited immunization increases the risk of chronic HBV persistence and vertical transmission (WHO, 2017). The similarity in prior pregnancy history and reported anemia symptoms across groups further strengthens the internal validity of the study, allowing for a clearer interpretation of the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differences linked to HBsAg infection.</w:t>
      </w:r>
    </w:p>
    <w:p w14:paraId="02159007"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The hematological findings indicate that HBsAg-positive pregnant women exhibited notable reductions in red blood cell (RBC) count, hemoglobin (Hb) concentration, and hematocrit (</w:t>
      </w:r>
      <w:proofErr w:type="spellStart"/>
      <w:r w:rsidRPr="00142FF1">
        <w:rPr>
          <w:rFonts w:ascii="Times New Roman" w:eastAsia="Times New Roman" w:hAnsi="Times New Roman" w:cs="Times New Roman"/>
          <w:sz w:val="24"/>
          <w:szCs w:val="24"/>
        </w:rPr>
        <w:t>Hct</w:t>
      </w:r>
      <w:proofErr w:type="spellEnd"/>
      <w:r w:rsidRPr="00142FF1">
        <w:rPr>
          <w:rFonts w:ascii="Times New Roman" w:eastAsia="Times New Roman" w:hAnsi="Times New Roman" w:cs="Times New Roman"/>
          <w:sz w:val="24"/>
          <w:szCs w:val="24"/>
        </w:rPr>
        <w:t>) compared to their non-infected counterparts. These alterations point to a heightened prevalence of anemia among HBV-infected individuals, aligning with previous reports that highlight the compounding effect of chronic viral infections on anemia during pregnancy (Stevens et al., 2021). The underlying mechanisms may involve anemia of chronic disease, where persistent inflammation disrupts iron metabolism, suppresses erythropoietin activity, and inhibits erythropoiesis (Weiss &amp; Goodnough, 2005). This condition may coexist with iron deficiency, a common pregnancy complication, thereby aggravating the anemia burden among HBsAg-positive women.</w:t>
      </w:r>
    </w:p>
    <w:p w14:paraId="1043011C"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The mild reductions in mean corpuscular volume (MCV) and mean corpuscular hemoglobin (MCH) observed in the infected group further suggest a trend toward microcytic anemia, typically associated with iron deficiency or chronic disease-related erythropoietic changes (Ganz, 2019). However, the mean corpuscular hemoglobin concentration (MCHC) remained relatively stable across groups, implying that hemoglobinization per cell may not be significantly impaired. Elevated red cell distribution width (RDW-CV and RDW-SD) in the infected group indicates anisocytosis and a heterogeneity in red cell size, possibly reflecting an ongoing yet inefficient erythropoietic response—a hallmark of anemia associated with chronic inflammation (</w:t>
      </w:r>
      <w:proofErr w:type="spellStart"/>
      <w:r w:rsidRPr="00142FF1">
        <w:rPr>
          <w:rFonts w:ascii="Times New Roman" w:eastAsia="Times New Roman" w:hAnsi="Times New Roman" w:cs="Times New Roman"/>
          <w:sz w:val="24"/>
          <w:szCs w:val="24"/>
        </w:rPr>
        <w:t>Salvagno</w:t>
      </w:r>
      <w:proofErr w:type="spellEnd"/>
      <w:r w:rsidRPr="00142FF1">
        <w:rPr>
          <w:rFonts w:ascii="Times New Roman" w:eastAsia="Times New Roman" w:hAnsi="Times New Roman" w:cs="Times New Roman"/>
          <w:sz w:val="24"/>
          <w:szCs w:val="24"/>
        </w:rPr>
        <w:t xml:space="preserve"> et al., 2015). The modestly increased reticulocyte percentage may represent a compensatory </w:t>
      </w:r>
      <w:r w:rsidRPr="00142FF1">
        <w:rPr>
          <w:rFonts w:ascii="Times New Roman" w:eastAsia="Times New Roman" w:hAnsi="Times New Roman" w:cs="Times New Roman"/>
          <w:sz w:val="24"/>
          <w:szCs w:val="24"/>
        </w:rPr>
        <w:lastRenderedPageBreak/>
        <w:t>marrow response to anemia, although this appears insufficient to restore normal hematological balance.</w:t>
      </w:r>
    </w:p>
    <w:p w14:paraId="758E5B39"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The leukocyte profile revealed higher total white blood cell (WBC) counts in the HBsAg-positive group, driven mainly by neutrophilia with relative lymphopenia. While pregnancy itself is associated with physiological leukocytosis and neutrophilia (Lurie &amp; Weinberger, 2004), the additional elevation among infected women may indicate heightened immune activation due to chronic HBV infection (Chen et al., 2020). This pattern is consistent with persistent inflammatory and innate immune responses typically observed in chronic viral infections.</w:t>
      </w:r>
    </w:p>
    <w:p w14:paraId="714E988F"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The platelet parameters also revealed significant alterations. The lower platelet count among HBsAg-positive women, together with variations in mean platelet volume (MPV), platelet distribution width (PDW), and </w:t>
      </w:r>
      <w:proofErr w:type="spellStart"/>
      <w:r w:rsidRPr="00142FF1">
        <w:rPr>
          <w:rFonts w:ascii="Times New Roman" w:eastAsia="Times New Roman" w:hAnsi="Times New Roman" w:cs="Times New Roman"/>
          <w:sz w:val="24"/>
          <w:szCs w:val="24"/>
        </w:rPr>
        <w:t>plateletcrit</w:t>
      </w:r>
      <w:proofErr w:type="spellEnd"/>
      <w:r w:rsidRPr="00142FF1">
        <w:rPr>
          <w:rFonts w:ascii="Times New Roman" w:eastAsia="Times New Roman" w:hAnsi="Times New Roman" w:cs="Times New Roman"/>
          <w:sz w:val="24"/>
          <w:szCs w:val="24"/>
        </w:rPr>
        <w:t xml:space="preserve"> (PCT), suggests thrombocytopenia and potential platelet dysfunction. Chronic liver impairment resulting from HBV infection can contribute to thrombocytopenia through mechanisms such as hypersplenism and decreased hepatic production of </w:t>
      </w:r>
      <w:proofErr w:type="spellStart"/>
      <w:r w:rsidRPr="00142FF1">
        <w:rPr>
          <w:rFonts w:ascii="Times New Roman" w:eastAsia="Times New Roman" w:hAnsi="Times New Roman" w:cs="Times New Roman"/>
          <w:sz w:val="24"/>
          <w:szCs w:val="24"/>
        </w:rPr>
        <w:t>thrombopoietin</w:t>
      </w:r>
      <w:proofErr w:type="spellEnd"/>
      <w:r w:rsidRPr="00142FF1">
        <w:rPr>
          <w:rFonts w:ascii="Times New Roman" w:eastAsia="Times New Roman" w:hAnsi="Times New Roman" w:cs="Times New Roman"/>
          <w:sz w:val="24"/>
          <w:szCs w:val="24"/>
        </w:rPr>
        <w:t xml:space="preserve"> (Peck-</w:t>
      </w:r>
      <w:proofErr w:type="spellStart"/>
      <w:r w:rsidRPr="00142FF1">
        <w:rPr>
          <w:rFonts w:ascii="Times New Roman" w:eastAsia="Times New Roman" w:hAnsi="Times New Roman" w:cs="Times New Roman"/>
          <w:sz w:val="24"/>
          <w:szCs w:val="24"/>
        </w:rPr>
        <w:t>Radosavljevic</w:t>
      </w:r>
      <w:proofErr w:type="spellEnd"/>
      <w:r w:rsidRPr="00142FF1">
        <w:rPr>
          <w:rFonts w:ascii="Times New Roman" w:eastAsia="Times New Roman" w:hAnsi="Times New Roman" w:cs="Times New Roman"/>
          <w:sz w:val="24"/>
          <w:szCs w:val="24"/>
        </w:rPr>
        <w:t>, 2017). Alterations in MPV and PDW likely indicate compensatory bone marrow activity, producing larger, immature platelets to counterbalance peripheral destruction (Bansal et al., 2019). These platelet abnormalities have important clinical implications, as they may predispose infected pregnant women to hemorrhagic complications during labor and delivery.</w:t>
      </w:r>
    </w:p>
    <w:p w14:paraId="6F3F93B7"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The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findings further highlight the intricate interaction between HBV infection, liver function, and the coagulation system in pregnancy. The prolonged prothrombin time (PT) and activated partial thromboplastin time (APTT) observed in the HBsAg-positive group may reflect impaired synthesis of coagulation factors, particularly those of the common pathway (I, II, V, X), due to hepatocellular dysfunction (Lisman et al., 2010). Given HBV’s hepatotropic nature, even subclinical liver injury may alter coagulation homeostasis, resulting in a prolonged clotting profile despite pregnancy’s inherent pro-thrombotic tendency.</w:t>
      </w:r>
    </w:p>
    <w:p w14:paraId="7512D7BA"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Interestingly, both fibrinogen and D-dimer levels were elevated in the infected group. Fibrinogen, an acute-phase reactant, typically rises in response to systemic inflammation, while its elevation during pregnancy is also physiological (Lisman et al., 2010). The markedly high D-dimer levels, </w:t>
      </w:r>
      <w:r w:rsidRPr="00142FF1">
        <w:rPr>
          <w:rFonts w:ascii="Times New Roman" w:eastAsia="Times New Roman" w:hAnsi="Times New Roman" w:cs="Times New Roman"/>
          <w:sz w:val="24"/>
          <w:szCs w:val="24"/>
        </w:rPr>
        <w:lastRenderedPageBreak/>
        <w:t>however, suggest increased fibrin turnover and fibrinolytic activity, reflecting ongoing subclinical coagulopathy. The simultaneous occurrence of prolonged clotting times with elevated fibrinogen and D-dimer may point toward a compensated disseminated intravascular coagulation (DIC)-like state, or pre-DIC, which is often observed in chronic liver disease and systemic inflammation (</w:t>
      </w:r>
      <w:proofErr w:type="spellStart"/>
      <w:r w:rsidRPr="00142FF1">
        <w:rPr>
          <w:rFonts w:ascii="Times New Roman" w:eastAsia="Times New Roman" w:hAnsi="Times New Roman" w:cs="Times New Roman"/>
          <w:sz w:val="24"/>
          <w:szCs w:val="24"/>
        </w:rPr>
        <w:t>Ercan</w:t>
      </w:r>
      <w:proofErr w:type="spellEnd"/>
      <w:r w:rsidRPr="00142FF1">
        <w:rPr>
          <w:rFonts w:ascii="Times New Roman" w:eastAsia="Times New Roman" w:hAnsi="Times New Roman" w:cs="Times New Roman"/>
          <w:sz w:val="24"/>
          <w:szCs w:val="24"/>
        </w:rPr>
        <w:t xml:space="preserve"> &amp; </w:t>
      </w:r>
      <w:proofErr w:type="spellStart"/>
      <w:r w:rsidRPr="00142FF1">
        <w:rPr>
          <w:rFonts w:ascii="Times New Roman" w:eastAsia="Times New Roman" w:hAnsi="Times New Roman" w:cs="Times New Roman"/>
          <w:sz w:val="24"/>
          <w:szCs w:val="24"/>
        </w:rPr>
        <w:t>Turgut</w:t>
      </w:r>
      <w:proofErr w:type="spellEnd"/>
      <w:r w:rsidRPr="00142FF1">
        <w:rPr>
          <w:rFonts w:ascii="Times New Roman" w:eastAsia="Times New Roman" w:hAnsi="Times New Roman" w:cs="Times New Roman"/>
          <w:sz w:val="24"/>
          <w:szCs w:val="24"/>
        </w:rPr>
        <w:t>, 2022). This state denotes accelerated coagulation and fibrinolysis, potentially placing HBV-infected pregnant women at dual risk for thrombotic and bleeding complications—a delicate balance requiring careful clinical monitoring.</w:t>
      </w:r>
    </w:p>
    <w:p w14:paraId="6EEAEB56"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The prevalence of HBsAg among the studied pregnant women in Edo State was notably high, signifying an alarming public health concern. West Africa remains a region of high HBV endemicity (Schweitzer et al., 2021), and the observed prevalence reinforces the urgent need for strengthened preventive measures. High infection rates among pregnant women pose a substantial risk of mother-to-child transmission (MTCT), which remains the major route of chronic HBV infection globally (Ott et al., 2022). This finding underscores the importance of universal antenatal screening, improved vaccination coverage, and the implementation of antiviral prophylaxis for infected mothers to mitigate vertical transmission and long-term sequelae.</w:t>
      </w:r>
    </w:p>
    <w:p w14:paraId="45532A51"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Correlation analyses further demonstrated strong associations between HBsAg positivity and hematological as well as </w:t>
      </w:r>
      <w:commentRangeStart w:id="6"/>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abnormalities. The significant negative correlations with </w:t>
      </w:r>
      <w:proofErr w:type="spellStart"/>
      <w:r w:rsidRPr="00142FF1">
        <w:rPr>
          <w:rFonts w:ascii="Times New Roman" w:eastAsia="Times New Roman" w:hAnsi="Times New Roman" w:cs="Times New Roman"/>
          <w:sz w:val="24"/>
          <w:szCs w:val="24"/>
        </w:rPr>
        <w:t>Hb</w:t>
      </w:r>
      <w:proofErr w:type="spellEnd"/>
      <w:r w:rsidRPr="00142FF1">
        <w:rPr>
          <w:rFonts w:ascii="Times New Roman" w:eastAsia="Times New Roman" w:hAnsi="Times New Roman" w:cs="Times New Roman"/>
          <w:sz w:val="24"/>
          <w:szCs w:val="24"/>
        </w:rPr>
        <w:t xml:space="preserve">, </w:t>
      </w:r>
      <w:proofErr w:type="spellStart"/>
      <w:r w:rsidRPr="00142FF1">
        <w:rPr>
          <w:rFonts w:ascii="Times New Roman" w:eastAsia="Times New Roman" w:hAnsi="Times New Roman" w:cs="Times New Roman"/>
          <w:sz w:val="24"/>
          <w:szCs w:val="24"/>
        </w:rPr>
        <w:t>Hct</w:t>
      </w:r>
      <w:proofErr w:type="spellEnd"/>
      <w:r w:rsidRPr="00142FF1">
        <w:rPr>
          <w:rFonts w:ascii="Times New Roman" w:eastAsia="Times New Roman" w:hAnsi="Times New Roman" w:cs="Times New Roman"/>
          <w:sz w:val="24"/>
          <w:szCs w:val="24"/>
        </w:rPr>
        <w:t xml:space="preserve">, RBC count, and platelet count indicate that HBV infection contributes to </w:t>
      </w:r>
      <w:proofErr w:type="spellStart"/>
      <w:r w:rsidRPr="00142FF1">
        <w:rPr>
          <w:rFonts w:ascii="Times New Roman" w:eastAsia="Times New Roman" w:hAnsi="Times New Roman" w:cs="Times New Roman"/>
          <w:sz w:val="24"/>
          <w:szCs w:val="24"/>
        </w:rPr>
        <w:t>cytopenias</w:t>
      </w:r>
      <w:proofErr w:type="spellEnd"/>
      <w:r w:rsidRPr="00142FF1">
        <w:rPr>
          <w:rFonts w:ascii="Times New Roman" w:eastAsia="Times New Roman" w:hAnsi="Times New Roman" w:cs="Times New Roman"/>
          <w:sz w:val="24"/>
          <w:szCs w:val="24"/>
        </w:rPr>
        <w:t xml:space="preserve">, possibly through chronic inflammation, hypersplenism, and impaired hepatic synthetic function (Shih et al., 2020). Conversely, positive correlations with WBC count, PT, APTT, fibrinogen, and D-dimer suggest that HBsAg carriage is linked to systemic immune activation and complex disturbances in the coagulation cascade. The concurrent prolongation of clotting times with elevated fibrinogen and D-dimer levels highlights a paradoxical state </w:t>
      </w:r>
      <w:commentRangeEnd w:id="6"/>
      <w:r w:rsidR="00421805">
        <w:rPr>
          <w:rStyle w:val="CommentReference"/>
        </w:rPr>
        <w:commentReference w:id="6"/>
      </w:r>
      <w:r w:rsidRPr="00142FF1">
        <w:rPr>
          <w:rFonts w:ascii="Times New Roman" w:eastAsia="Times New Roman" w:hAnsi="Times New Roman" w:cs="Times New Roman"/>
          <w:sz w:val="24"/>
          <w:szCs w:val="24"/>
        </w:rPr>
        <w:t xml:space="preserve">of hypercoagulability and </w:t>
      </w:r>
      <w:proofErr w:type="spellStart"/>
      <w:r w:rsidRPr="00142FF1">
        <w:rPr>
          <w:rFonts w:ascii="Times New Roman" w:eastAsia="Times New Roman" w:hAnsi="Times New Roman" w:cs="Times New Roman"/>
          <w:sz w:val="24"/>
          <w:szCs w:val="24"/>
        </w:rPr>
        <w:t>hypocoagulability</w:t>
      </w:r>
      <w:proofErr w:type="spellEnd"/>
      <w:r w:rsidRPr="00142FF1">
        <w:rPr>
          <w:rFonts w:ascii="Times New Roman" w:eastAsia="Times New Roman" w:hAnsi="Times New Roman" w:cs="Times New Roman"/>
          <w:sz w:val="24"/>
          <w:szCs w:val="24"/>
        </w:rPr>
        <w:t xml:space="preserve">—reflecting an unstable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equilibrium.</w:t>
      </w:r>
    </w:p>
    <w:p w14:paraId="228B4ACE" w14:textId="77777777"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Collectively, these findings emphasize that HBV infection during pregnancy can significantly alter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parameters, potentially predisposing women to both thrombotic and hemorrhagic complications. This underscores the importance of integrating routine FBC, coagulation profiling, and HBsAg screening into antenatal care programs in Edo State. Such comprehensive evaluation could aid in early identification of at-risk women, facilitate prompt </w:t>
      </w:r>
      <w:r w:rsidRPr="00142FF1">
        <w:rPr>
          <w:rFonts w:ascii="Times New Roman" w:eastAsia="Times New Roman" w:hAnsi="Times New Roman" w:cs="Times New Roman"/>
          <w:sz w:val="24"/>
          <w:szCs w:val="24"/>
        </w:rPr>
        <w:lastRenderedPageBreak/>
        <w:t>interventions, and ultimately contribute to reducing maternal and n</w:t>
      </w:r>
      <w:r w:rsidR="008556C9">
        <w:rPr>
          <w:rFonts w:ascii="Times New Roman" w:eastAsia="Times New Roman" w:hAnsi="Times New Roman" w:cs="Times New Roman"/>
          <w:sz w:val="24"/>
          <w:szCs w:val="24"/>
        </w:rPr>
        <w:t xml:space="preserve">eonatal morbidity and mortality </w:t>
      </w:r>
      <w:r w:rsidRPr="00142FF1">
        <w:rPr>
          <w:rFonts w:ascii="Times New Roman" w:eastAsia="Times New Roman" w:hAnsi="Times New Roman" w:cs="Times New Roman"/>
          <w:sz w:val="24"/>
          <w:szCs w:val="24"/>
        </w:rPr>
        <w:t>associated with HBV infection in the region.</w:t>
      </w:r>
    </w:p>
    <w:p w14:paraId="54C19175" w14:textId="77777777" w:rsidR="008556C9" w:rsidRPr="002B45D7" w:rsidRDefault="008556C9" w:rsidP="002B45D7">
      <w:pPr>
        <w:spacing w:line="360" w:lineRule="auto"/>
        <w:jc w:val="both"/>
        <w:rPr>
          <w:rFonts w:ascii="Times New Roman" w:hAnsi="Times New Roman" w:cs="Times New Roman"/>
          <w:sz w:val="24"/>
          <w:szCs w:val="24"/>
        </w:rPr>
      </w:pPr>
    </w:p>
    <w:p w14:paraId="20F6206E" w14:textId="77777777"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5.0 </w:t>
      </w:r>
      <w:r w:rsidR="00504829" w:rsidRPr="002B45D7">
        <w:rPr>
          <w:rFonts w:ascii="Times New Roman" w:hAnsi="Times New Roman" w:cs="Times New Roman"/>
          <w:b/>
          <w:sz w:val="24"/>
          <w:szCs w:val="24"/>
        </w:rPr>
        <w:t>Conclusion</w:t>
      </w:r>
    </w:p>
    <w:p w14:paraId="1D46D728" w14:textId="77777777" w:rsidR="004925B9" w:rsidRPr="004925B9" w:rsidRDefault="004925B9" w:rsidP="004925B9">
      <w:pPr>
        <w:spacing w:after="0" w:line="360" w:lineRule="auto"/>
        <w:jc w:val="both"/>
        <w:rPr>
          <w:rFonts w:ascii="Times New Roman" w:eastAsia="Times New Roman" w:hAnsi="Times New Roman" w:cs="Times New Roman"/>
          <w:sz w:val="24"/>
          <w:szCs w:val="24"/>
        </w:rPr>
      </w:pPr>
      <w:r w:rsidRPr="004925B9">
        <w:rPr>
          <w:rFonts w:ascii="Times New Roman" w:eastAsia="Times New Roman" w:hAnsi="Times New Roman" w:cs="Times New Roman"/>
          <w:sz w:val="24"/>
          <w:szCs w:val="24"/>
        </w:rPr>
        <w:t>Significant hematological abnormalities, including anemia, thrombocytopenia, and immune cell changes, as well as coagulation abnormalities suggestive of a twofold risk for bleeding and thrombosis, are linked to HBsAg infection during pregnancy in Edo State. In order to attenuate negative maternal and fetal outcomes and reduce mother-to-child transmission, these changes need for regular comprehensive monitoring and integrated care techniques in prenatal programs.</w:t>
      </w:r>
    </w:p>
    <w:p w14:paraId="41B8E00A" w14:textId="77777777" w:rsidR="00504829" w:rsidRPr="002B45D7" w:rsidRDefault="00504829" w:rsidP="004925B9">
      <w:pPr>
        <w:spacing w:line="360" w:lineRule="auto"/>
        <w:jc w:val="both"/>
        <w:rPr>
          <w:rFonts w:ascii="Times New Roman" w:hAnsi="Times New Roman" w:cs="Times New Roman"/>
          <w:sz w:val="24"/>
          <w:szCs w:val="24"/>
        </w:rPr>
      </w:pPr>
    </w:p>
    <w:p w14:paraId="6C77B68C" w14:textId="77777777" w:rsidR="00FA1EE7" w:rsidRPr="002B45D7" w:rsidRDefault="00FA1EE7" w:rsidP="002B45D7">
      <w:pPr>
        <w:spacing w:line="360" w:lineRule="auto"/>
        <w:jc w:val="both"/>
        <w:rPr>
          <w:rFonts w:ascii="Times New Roman" w:hAnsi="Times New Roman" w:cs="Times New Roman"/>
          <w:sz w:val="24"/>
          <w:szCs w:val="24"/>
        </w:rPr>
      </w:pPr>
    </w:p>
    <w:p w14:paraId="47A30DAC" w14:textId="77777777"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6.0 </w:t>
      </w:r>
      <w:r w:rsidR="00504829" w:rsidRPr="002B45D7">
        <w:rPr>
          <w:rFonts w:ascii="Times New Roman" w:hAnsi="Times New Roman" w:cs="Times New Roman"/>
          <w:b/>
          <w:sz w:val="24"/>
          <w:szCs w:val="24"/>
        </w:rPr>
        <w:t>Recommendations</w:t>
      </w:r>
    </w:p>
    <w:p w14:paraId="55506037" w14:textId="77777777" w:rsidR="00FA1EE7"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Universal HBsAg screening of pregnant women at first antenatal visit in Edo State, with confirmatory testing and follow-up.</w:t>
      </w:r>
    </w:p>
    <w:p w14:paraId="07880AEE" w14:textId="77777777" w:rsidR="00FA1EE7"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Routine monitoring of full blood count and coagulation profiles throughout pregnancy, especially in HBsAg positive women.</w:t>
      </w:r>
    </w:p>
    <w:p w14:paraId="091803FD" w14:textId="77777777" w:rsidR="00FA1EE7"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Scale-up HBV vaccination programs targeting women of reproductive age to prevent chronic infection.</w:t>
      </w:r>
    </w:p>
    <w:p w14:paraId="795DA4DF" w14:textId="77777777" w:rsidR="00FA1EE7"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Initiation of antiviral prophylaxis, e.g., tenofovir, in eligible high viral load HBsAg positive pregnant women to reduce transmission risk.</w:t>
      </w:r>
    </w:p>
    <w:p w14:paraId="188B0669" w14:textId="77777777" w:rsidR="00FA1EE7"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Strengthening healthcare provider training on managing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complications in HBV infected pregnant women.</w:t>
      </w:r>
    </w:p>
    <w:p w14:paraId="2881A650" w14:textId="77777777" w:rsidR="00504829"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Further studies correlating viral load and liver function markers with hematological parameters for enhanced risk stratification.</w:t>
      </w:r>
    </w:p>
    <w:p w14:paraId="10D61F6F" w14:textId="77777777" w:rsidR="00E6413D" w:rsidRDefault="00E6413D" w:rsidP="002B45D7">
      <w:pPr>
        <w:spacing w:line="360" w:lineRule="auto"/>
        <w:jc w:val="both"/>
        <w:rPr>
          <w:rFonts w:ascii="Times New Roman" w:hAnsi="Times New Roman" w:cs="Times New Roman"/>
          <w:sz w:val="24"/>
          <w:szCs w:val="24"/>
        </w:rPr>
      </w:pPr>
    </w:p>
    <w:p w14:paraId="0180AD09" w14:textId="77777777" w:rsidR="008556C9" w:rsidRDefault="008556C9" w:rsidP="002B45D7">
      <w:pPr>
        <w:spacing w:line="360" w:lineRule="auto"/>
        <w:jc w:val="both"/>
        <w:rPr>
          <w:rFonts w:ascii="Times New Roman" w:hAnsi="Times New Roman" w:cs="Times New Roman"/>
          <w:sz w:val="24"/>
          <w:szCs w:val="24"/>
        </w:rPr>
      </w:pPr>
    </w:p>
    <w:p w14:paraId="407ADF3A" w14:textId="77777777" w:rsidR="008556C9" w:rsidRDefault="008556C9" w:rsidP="002B45D7">
      <w:pPr>
        <w:spacing w:line="360" w:lineRule="auto"/>
        <w:jc w:val="both"/>
        <w:rPr>
          <w:rFonts w:ascii="Times New Roman" w:hAnsi="Times New Roman" w:cs="Times New Roman"/>
          <w:sz w:val="24"/>
          <w:szCs w:val="24"/>
        </w:rPr>
      </w:pPr>
    </w:p>
    <w:p w14:paraId="44D28D50" w14:textId="77777777" w:rsidR="00504829" w:rsidRPr="002B45D7" w:rsidRDefault="00E6413D"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lastRenderedPageBreak/>
        <w:t>7.0 Contribution to Knowledge</w:t>
      </w:r>
    </w:p>
    <w:p w14:paraId="5C8401D0" w14:textId="77777777" w:rsidR="00E6413D" w:rsidRPr="002B45D7" w:rsidRDefault="00E6413D" w:rsidP="004925B9">
      <w:pPr>
        <w:spacing w:line="360" w:lineRule="auto"/>
        <w:jc w:val="both"/>
        <w:rPr>
          <w:rFonts w:ascii="Times New Roman" w:hAnsi="Times New Roman" w:cs="Times New Roman"/>
          <w:sz w:val="24"/>
          <w:szCs w:val="24"/>
        </w:rPr>
      </w:pPr>
    </w:p>
    <w:p w14:paraId="4F467AE7" w14:textId="77777777" w:rsidR="004925B9" w:rsidRPr="004925B9" w:rsidRDefault="004925B9" w:rsidP="004925B9">
      <w:pPr>
        <w:spacing w:after="0" w:line="360" w:lineRule="auto"/>
        <w:jc w:val="both"/>
        <w:rPr>
          <w:rFonts w:ascii="Times New Roman" w:eastAsia="Times New Roman" w:hAnsi="Times New Roman" w:cs="Times New Roman"/>
          <w:sz w:val="24"/>
          <w:szCs w:val="24"/>
        </w:rPr>
      </w:pPr>
      <w:r w:rsidRPr="004925B9">
        <w:rPr>
          <w:rFonts w:ascii="Times New Roman" w:eastAsia="Times New Roman" w:hAnsi="Times New Roman" w:cs="Times New Roman"/>
          <w:sz w:val="24"/>
          <w:szCs w:val="24"/>
        </w:rPr>
        <w:t>This research adds localized insight into the complex interplay between chronic HBV infection, pregnancy physiology, and maternal-fetal health risks by identifying significant anemia, thrombocytopenia, leukocyte profile changes, and coagulation parameter abnormalities in pregnant women who tested positive for HBsAg</w:t>
      </w:r>
      <w:commentRangeStart w:id="7"/>
      <w:r w:rsidRPr="004925B9">
        <w:rPr>
          <w:rFonts w:ascii="Times New Roman" w:eastAsia="Times New Roman" w:hAnsi="Times New Roman" w:cs="Times New Roman"/>
          <w:sz w:val="24"/>
          <w:szCs w:val="24"/>
        </w:rPr>
        <w:t>. The study's contribution to knowledge is the detailed evidence on the hematological and hemostatic alterations associated with hepatitis B virus (HBV) infection among pregnant women in Edo State, Nigeria—a high endemic region with limited comprehensive data.</w:t>
      </w:r>
    </w:p>
    <w:p w14:paraId="5DE5D0CC" w14:textId="77777777" w:rsidR="004925B9" w:rsidRPr="004925B9" w:rsidRDefault="004925B9" w:rsidP="004925B9">
      <w:pPr>
        <w:spacing w:after="0" w:line="360" w:lineRule="auto"/>
        <w:jc w:val="both"/>
        <w:rPr>
          <w:rFonts w:ascii="Times New Roman" w:eastAsia="Times New Roman" w:hAnsi="Times New Roman" w:cs="Times New Roman"/>
          <w:sz w:val="24"/>
          <w:szCs w:val="24"/>
        </w:rPr>
      </w:pPr>
      <w:r w:rsidRPr="004925B9">
        <w:rPr>
          <w:rFonts w:ascii="Times New Roman" w:eastAsia="Times New Roman" w:hAnsi="Times New Roman" w:cs="Times New Roman"/>
          <w:sz w:val="24"/>
          <w:szCs w:val="24"/>
        </w:rPr>
        <w:t xml:space="preserve">By providing strong comparative data against a control group in the same clinical setting in Nigeria, the study specifically clarifies the degree to which HBV infection disrupts erythropoiesis and coagulation homeostasis, increasing the risk of adverse obstetric outcomes such as postpartum hemorrhage, preterm labor, and vertical transmission. The study also identifies critical gaps in antenatal screening, monitoring, and viral load assessment, thus highlighting </w:t>
      </w:r>
      <w:commentRangeEnd w:id="7"/>
      <w:r w:rsidR="00421805">
        <w:rPr>
          <w:rStyle w:val="CommentReference"/>
        </w:rPr>
        <w:commentReference w:id="7"/>
      </w:r>
      <w:r w:rsidRPr="004925B9">
        <w:rPr>
          <w:rFonts w:ascii="Times New Roman" w:eastAsia="Times New Roman" w:hAnsi="Times New Roman" w:cs="Times New Roman"/>
          <w:sz w:val="24"/>
          <w:szCs w:val="24"/>
        </w:rPr>
        <w:t>the need for improved integrated maternal-fetal health strategies and focused interventions in similar resource-constrained setting.</w:t>
      </w:r>
    </w:p>
    <w:p w14:paraId="54881CFE" w14:textId="77777777" w:rsidR="004925B9" w:rsidRPr="004925B9" w:rsidRDefault="004925B9" w:rsidP="004925B9">
      <w:pPr>
        <w:spacing w:after="0" w:line="360" w:lineRule="auto"/>
        <w:jc w:val="both"/>
        <w:rPr>
          <w:rFonts w:ascii="Times New Roman" w:eastAsia="Times New Roman" w:hAnsi="Times New Roman" w:cs="Times New Roman"/>
          <w:sz w:val="24"/>
          <w:szCs w:val="24"/>
        </w:rPr>
      </w:pPr>
      <w:r w:rsidRPr="004925B9">
        <w:rPr>
          <w:rFonts w:ascii="Times New Roman" w:eastAsia="Times New Roman" w:hAnsi="Times New Roman" w:cs="Times New Roman"/>
          <w:sz w:val="24"/>
          <w:szCs w:val="24"/>
        </w:rPr>
        <w:t>Additionally, this work supports the scaling up of HBV vaccination, antiviral prophylaxis, and health provider education—all crucial elements for achieving WHO's elimination goals—and emphasizes the necessity of routinely incorporating hematological and hemostatic assessments into antenatal care protocols for pregnant women infected with HBV. It establishes the groundwork for upcoming longitudinal and mechanistic research that will be required to maximize care strategies and reduce pregnant problems linked to HBV. As a result, the knowledge contribution is both academic and practical, enhancing our understanding of how HBV affects maternal hematology and hemostasis in high-burden Africa and directing changes in clinical practice.</w:t>
      </w:r>
      <w:r w:rsidRPr="004925B9">
        <w:rPr>
          <w:rFonts w:ascii="Times New Roman" w:eastAsia="Times New Roman" w:hAnsi="Times New Roman" w:cs="Times New Roman"/>
          <w:sz w:val="24"/>
          <w:szCs w:val="24"/>
        </w:rPr>
        <w:br/>
        <w:t>In addition to offering practical data to support clinical recommendations and policies targeted at enhancing maternal and newborn outcomes in HBV-endemic areas, this study highlights the complex interactions between viral illnesses and maternal health in sub-Saharan Africa.</w:t>
      </w:r>
    </w:p>
    <w:p w14:paraId="04CD11EC" w14:textId="77777777" w:rsidR="008556C9" w:rsidRPr="002B45D7" w:rsidRDefault="008556C9" w:rsidP="002B45D7">
      <w:pPr>
        <w:spacing w:line="360" w:lineRule="auto"/>
        <w:jc w:val="both"/>
        <w:rPr>
          <w:rFonts w:ascii="Times New Roman" w:hAnsi="Times New Roman" w:cs="Times New Roman"/>
          <w:sz w:val="24"/>
          <w:szCs w:val="24"/>
        </w:rPr>
      </w:pPr>
    </w:p>
    <w:p w14:paraId="4A352F73" w14:textId="77777777" w:rsidR="00FA1EE7" w:rsidRPr="002B45D7" w:rsidRDefault="00DB1F3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9.0 Declaration</w:t>
      </w:r>
    </w:p>
    <w:p w14:paraId="756A28C3" w14:textId="77777777" w:rsidR="00DB1F36" w:rsidRPr="002B45D7" w:rsidRDefault="00DB1F36" w:rsidP="002B45D7">
      <w:pPr>
        <w:pStyle w:val="Default"/>
        <w:spacing w:line="360" w:lineRule="auto"/>
        <w:rPr>
          <w:rFonts w:ascii="Times New Roman" w:hAnsi="Times New Roman" w:cs="Times New Roman"/>
        </w:rPr>
      </w:pPr>
      <w:r w:rsidRPr="002B45D7">
        <w:rPr>
          <w:rFonts w:ascii="Times New Roman" w:hAnsi="Times New Roman" w:cs="Times New Roman"/>
          <w:b/>
          <w:bCs/>
        </w:rPr>
        <w:lastRenderedPageBreak/>
        <w:t xml:space="preserve">COMPETING INTERESTS </w:t>
      </w:r>
    </w:p>
    <w:p w14:paraId="04AAC6D1" w14:textId="77777777" w:rsidR="00DB1F36" w:rsidRPr="002B45D7" w:rsidRDefault="00DB1F36" w:rsidP="002B45D7">
      <w:pPr>
        <w:spacing w:line="360" w:lineRule="auto"/>
        <w:jc w:val="both"/>
        <w:rPr>
          <w:rFonts w:ascii="Times New Roman" w:hAnsi="Times New Roman" w:cs="Times New Roman"/>
          <w:b/>
          <w:sz w:val="24"/>
          <w:szCs w:val="24"/>
        </w:rPr>
      </w:pPr>
      <w:r w:rsidRPr="002B45D7">
        <w:rPr>
          <w:rFonts w:ascii="Times New Roman" w:hAnsi="Times New Roman" w:cs="Times New Roman"/>
          <w:sz w:val="24"/>
          <w:szCs w:val="24"/>
        </w:rPr>
        <w:t>Authors have declared that no competing interests exist.</w:t>
      </w:r>
    </w:p>
    <w:p w14:paraId="2699EAB6" w14:textId="77777777" w:rsidR="00890896" w:rsidRPr="002B45D7" w:rsidRDefault="0089089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Disclaimer (Artificial intelligence)</w:t>
      </w:r>
    </w:p>
    <w:p w14:paraId="79CE1717" w14:textId="77777777" w:rsidR="00890896" w:rsidRPr="002B45D7" w:rsidRDefault="0089089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Option 1: </w:t>
      </w:r>
    </w:p>
    <w:p w14:paraId="7258B86D" w14:textId="77777777" w:rsidR="00930A6F" w:rsidRPr="002B45D7" w:rsidRDefault="0089089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Author(s) hereby declare that generative AI technologies such as Large Language Models (</w:t>
      </w:r>
      <w:proofErr w:type="spellStart"/>
      <w:r w:rsidRPr="002B45D7">
        <w:rPr>
          <w:rFonts w:ascii="Times New Roman" w:hAnsi="Times New Roman" w:cs="Times New Roman"/>
          <w:sz w:val="24"/>
          <w:szCs w:val="24"/>
        </w:rPr>
        <w:t>ChatGPT</w:t>
      </w:r>
      <w:proofErr w:type="spellEnd"/>
      <w:r w:rsidRPr="002B45D7">
        <w:rPr>
          <w:rFonts w:ascii="Times New Roman" w:hAnsi="Times New Roman" w:cs="Times New Roman"/>
          <w:sz w:val="24"/>
          <w:szCs w:val="24"/>
        </w:rPr>
        <w:t xml:space="preserve">, COPILOT, etc.) and text-to-image generators have been used during the writing or editing of this manuscript. </w:t>
      </w:r>
    </w:p>
    <w:p w14:paraId="50A81D2A" w14:textId="77777777" w:rsidR="00930A6F" w:rsidRPr="002B45D7" w:rsidRDefault="00930A6F" w:rsidP="002B45D7">
      <w:pPr>
        <w:spacing w:line="360" w:lineRule="auto"/>
        <w:jc w:val="both"/>
        <w:rPr>
          <w:rFonts w:ascii="Times New Roman" w:hAnsi="Times New Roman" w:cs="Times New Roman"/>
          <w:sz w:val="24"/>
          <w:szCs w:val="24"/>
        </w:rPr>
      </w:pPr>
    </w:p>
    <w:p w14:paraId="5C73BFEE" w14:textId="77777777" w:rsidR="00930A6F" w:rsidRPr="002B45D7" w:rsidRDefault="00930A6F"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Reference</w:t>
      </w:r>
    </w:p>
    <w:p w14:paraId="5F96E7F9"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Bansal, D., Bansal, Y., Bajaj, P., &amp; Singh, R. (2019). Platelet volume indices as markers of platelet dysfunction in various clinical conditions. </w:t>
      </w:r>
      <w:r w:rsidRPr="002B45D7">
        <w:rPr>
          <w:rFonts w:ascii="Times New Roman" w:eastAsia="Times New Roman" w:hAnsi="Times New Roman" w:cs="Times New Roman"/>
          <w:i/>
          <w:iCs/>
          <w:sz w:val="24"/>
          <w:szCs w:val="24"/>
        </w:rPr>
        <w:t>Journal of Hematology</w:t>
      </w:r>
      <w:r w:rsidRPr="002B45D7">
        <w:rPr>
          <w:rFonts w:ascii="Times New Roman" w:eastAsia="Times New Roman" w:hAnsi="Times New Roman" w:cs="Times New Roman"/>
          <w:sz w:val="24"/>
          <w:szCs w:val="24"/>
        </w:rPr>
        <w:t>, 8(2), 51–56.</w:t>
      </w:r>
    </w:p>
    <w:p w14:paraId="3B4E257B"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Bates, S. M., &amp; Greer, I. A. (2021). Hematologic changes and disorders during pregnancy. </w:t>
      </w:r>
      <w:r w:rsidRPr="002B45D7">
        <w:rPr>
          <w:rFonts w:ascii="Times New Roman" w:eastAsia="Times New Roman" w:hAnsi="Times New Roman" w:cs="Times New Roman"/>
          <w:i/>
          <w:iCs/>
          <w:sz w:val="24"/>
          <w:szCs w:val="24"/>
        </w:rPr>
        <w:t>New England Journal of Medicine</w:t>
      </w:r>
      <w:r w:rsidRPr="002B45D7">
        <w:rPr>
          <w:rFonts w:ascii="Times New Roman" w:eastAsia="Times New Roman" w:hAnsi="Times New Roman" w:cs="Times New Roman"/>
          <w:sz w:val="24"/>
          <w:szCs w:val="24"/>
        </w:rPr>
        <w:t>, 384(17), 1648–1660.</w:t>
      </w:r>
    </w:p>
    <w:p w14:paraId="4000BA59"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Chen, Y., Tian, Y., Zhang, J., &amp; Li, L. (2020). Immunological mechanisms of chronic hepatitis B infection and implications for therapy. </w:t>
      </w:r>
      <w:r w:rsidRPr="002B45D7">
        <w:rPr>
          <w:rFonts w:ascii="Times New Roman" w:eastAsia="Times New Roman" w:hAnsi="Times New Roman" w:cs="Times New Roman"/>
          <w:i/>
          <w:iCs/>
          <w:sz w:val="24"/>
          <w:szCs w:val="24"/>
        </w:rPr>
        <w:t>Frontiers in Immunology</w:t>
      </w:r>
      <w:r w:rsidRPr="002B45D7">
        <w:rPr>
          <w:rFonts w:ascii="Times New Roman" w:eastAsia="Times New Roman" w:hAnsi="Times New Roman" w:cs="Times New Roman"/>
          <w:sz w:val="24"/>
          <w:szCs w:val="24"/>
        </w:rPr>
        <w:t>, 11, 582949. https://doi.org/10.3389/fimmu.2020.582949</w:t>
      </w:r>
    </w:p>
    <w:p w14:paraId="76F9B9ED"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B45D7">
        <w:rPr>
          <w:rFonts w:ascii="Times New Roman" w:eastAsia="Times New Roman" w:hAnsi="Times New Roman" w:cs="Times New Roman"/>
          <w:sz w:val="24"/>
          <w:szCs w:val="24"/>
        </w:rPr>
        <w:t>Cockey</w:t>
      </w:r>
      <w:proofErr w:type="spellEnd"/>
      <w:r w:rsidRPr="002B45D7">
        <w:rPr>
          <w:rFonts w:ascii="Times New Roman" w:eastAsia="Times New Roman" w:hAnsi="Times New Roman" w:cs="Times New Roman"/>
          <w:sz w:val="24"/>
          <w:szCs w:val="24"/>
        </w:rPr>
        <w:t xml:space="preserve">, A. J., </w:t>
      </w:r>
      <w:proofErr w:type="spellStart"/>
      <w:r w:rsidRPr="002B45D7">
        <w:rPr>
          <w:rFonts w:ascii="Times New Roman" w:eastAsia="Times New Roman" w:hAnsi="Times New Roman" w:cs="Times New Roman"/>
          <w:sz w:val="24"/>
          <w:szCs w:val="24"/>
        </w:rPr>
        <w:t>Adediran</w:t>
      </w:r>
      <w:proofErr w:type="spellEnd"/>
      <w:r w:rsidRPr="002B45D7">
        <w:rPr>
          <w:rFonts w:ascii="Times New Roman" w:eastAsia="Times New Roman" w:hAnsi="Times New Roman" w:cs="Times New Roman"/>
          <w:sz w:val="24"/>
          <w:szCs w:val="24"/>
        </w:rPr>
        <w:t xml:space="preserve">, A., &amp; Mohammed, I. (2022). Prevalence and risk factors of hepatitis B virus infection among pregnant women in sub-Saharan Africa: A systematic review and meta-analysis. </w:t>
      </w:r>
      <w:r w:rsidRPr="002B45D7">
        <w:rPr>
          <w:rFonts w:ascii="Times New Roman" w:eastAsia="Times New Roman" w:hAnsi="Times New Roman" w:cs="Times New Roman"/>
          <w:i/>
          <w:iCs/>
          <w:sz w:val="24"/>
          <w:szCs w:val="24"/>
        </w:rPr>
        <w:t>African Journal of Reproductive Health</w:t>
      </w:r>
      <w:r w:rsidRPr="002B45D7">
        <w:rPr>
          <w:rFonts w:ascii="Times New Roman" w:eastAsia="Times New Roman" w:hAnsi="Times New Roman" w:cs="Times New Roman"/>
          <w:sz w:val="24"/>
          <w:szCs w:val="24"/>
        </w:rPr>
        <w:t>, 26(4), 112–124.</w:t>
      </w:r>
    </w:p>
    <w:p w14:paraId="655EB1E1"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Cunningham, F. G., </w:t>
      </w:r>
      <w:proofErr w:type="spellStart"/>
      <w:r w:rsidRPr="002B45D7">
        <w:rPr>
          <w:rFonts w:ascii="Times New Roman" w:eastAsia="Times New Roman" w:hAnsi="Times New Roman" w:cs="Times New Roman"/>
          <w:sz w:val="24"/>
          <w:szCs w:val="24"/>
        </w:rPr>
        <w:t>Leveno</w:t>
      </w:r>
      <w:proofErr w:type="spellEnd"/>
      <w:r w:rsidRPr="002B45D7">
        <w:rPr>
          <w:rFonts w:ascii="Times New Roman" w:eastAsia="Times New Roman" w:hAnsi="Times New Roman" w:cs="Times New Roman"/>
          <w:sz w:val="24"/>
          <w:szCs w:val="24"/>
        </w:rPr>
        <w:t xml:space="preserve">, K. J., Bloom, S. L., </w:t>
      </w:r>
      <w:proofErr w:type="spellStart"/>
      <w:r w:rsidRPr="002B45D7">
        <w:rPr>
          <w:rFonts w:ascii="Times New Roman" w:eastAsia="Times New Roman" w:hAnsi="Times New Roman" w:cs="Times New Roman"/>
          <w:sz w:val="24"/>
          <w:szCs w:val="24"/>
        </w:rPr>
        <w:t>Spong</w:t>
      </w:r>
      <w:proofErr w:type="spellEnd"/>
      <w:r w:rsidRPr="002B45D7">
        <w:rPr>
          <w:rFonts w:ascii="Times New Roman" w:eastAsia="Times New Roman" w:hAnsi="Times New Roman" w:cs="Times New Roman"/>
          <w:sz w:val="24"/>
          <w:szCs w:val="24"/>
        </w:rPr>
        <w:t xml:space="preserve">, C. Y., </w:t>
      </w:r>
      <w:proofErr w:type="spellStart"/>
      <w:r w:rsidRPr="002B45D7">
        <w:rPr>
          <w:rFonts w:ascii="Times New Roman" w:eastAsia="Times New Roman" w:hAnsi="Times New Roman" w:cs="Times New Roman"/>
          <w:sz w:val="24"/>
          <w:szCs w:val="24"/>
        </w:rPr>
        <w:t>Dashe</w:t>
      </w:r>
      <w:proofErr w:type="spellEnd"/>
      <w:r w:rsidRPr="002B45D7">
        <w:rPr>
          <w:rFonts w:ascii="Times New Roman" w:eastAsia="Times New Roman" w:hAnsi="Times New Roman" w:cs="Times New Roman"/>
          <w:sz w:val="24"/>
          <w:szCs w:val="24"/>
        </w:rPr>
        <w:t xml:space="preserve">, J. S., Hoffman, B. L., Casey, B. M., &amp; Sheffield, J. S. (2022). </w:t>
      </w:r>
      <w:r w:rsidRPr="002B45D7">
        <w:rPr>
          <w:rFonts w:ascii="Times New Roman" w:eastAsia="Times New Roman" w:hAnsi="Times New Roman" w:cs="Times New Roman"/>
          <w:i/>
          <w:iCs/>
          <w:sz w:val="24"/>
          <w:szCs w:val="24"/>
        </w:rPr>
        <w:t>Williams Obstetrics</w:t>
      </w:r>
      <w:r w:rsidRPr="002B45D7">
        <w:rPr>
          <w:rFonts w:ascii="Times New Roman" w:eastAsia="Times New Roman" w:hAnsi="Times New Roman" w:cs="Times New Roman"/>
          <w:sz w:val="24"/>
          <w:szCs w:val="24"/>
        </w:rPr>
        <w:t xml:space="preserve"> (27th ed.). McGraw Hill Education.</w:t>
      </w:r>
    </w:p>
    <w:p w14:paraId="7CDAFD72"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Eke, A. C., Eke, U. A., Okafor, C. I., </w:t>
      </w:r>
      <w:proofErr w:type="spellStart"/>
      <w:r w:rsidRPr="002B45D7">
        <w:rPr>
          <w:rFonts w:ascii="Times New Roman" w:eastAsia="Times New Roman" w:hAnsi="Times New Roman" w:cs="Times New Roman"/>
          <w:sz w:val="24"/>
          <w:szCs w:val="24"/>
        </w:rPr>
        <w:t>Ezebialu</w:t>
      </w:r>
      <w:proofErr w:type="spellEnd"/>
      <w:r w:rsidRPr="002B45D7">
        <w:rPr>
          <w:rFonts w:ascii="Times New Roman" w:eastAsia="Times New Roman" w:hAnsi="Times New Roman" w:cs="Times New Roman"/>
          <w:sz w:val="24"/>
          <w:szCs w:val="24"/>
        </w:rPr>
        <w:t xml:space="preserve">, I. U., &amp; </w:t>
      </w:r>
      <w:proofErr w:type="spellStart"/>
      <w:r w:rsidRPr="002B45D7">
        <w:rPr>
          <w:rFonts w:ascii="Times New Roman" w:eastAsia="Times New Roman" w:hAnsi="Times New Roman" w:cs="Times New Roman"/>
          <w:sz w:val="24"/>
          <w:szCs w:val="24"/>
        </w:rPr>
        <w:t>Ogbuagu</w:t>
      </w:r>
      <w:proofErr w:type="spellEnd"/>
      <w:r w:rsidRPr="002B45D7">
        <w:rPr>
          <w:rFonts w:ascii="Times New Roman" w:eastAsia="Times New Roman" w:hAnsi="Times New Roman" w:cs="Times New Roman"/>
          <w:sz w:val="24"/>
          <w:szCs w:val="24"/>
        </w:rPr>
        <w:t xml:space="preserve">, C. (2011). Prevalence, correlates, and pattern of hepatitis B surface antigen in a low resource setting. </w:t>
      </w:r>
      <w:r w:rsidRPr="002B45D7">
        <w:rPr>
          <w:rFonts w:ascii="Times New Roman" w:eastAsia="Times New Roman" w:hAnsi="Times New Roman" w:cs="Times New Roman"/>
          <w:i/>
          <w:iCs/>
          <w:sz w:val="24"/>
          <w:szCs w:val="24"/>
        </w:rPr>
        <w:t>Virology Journal</w:t>
      </w:r>
      <w:r w:rsidRPr="002B45D7">
        <w:rPr>
          <w:rFonts w:ascii="Times New Roman" w:eastAsia="Times New Roman" w:hAnsi="Times New Roman" w:cs="Times New Roman"/>
          <w:sz w:val="24"/>
          <w:szCs w:val="24"/>
        </w:rPr>
        <w:t>, 8, 12. https://doi.org/10.1186/1743-422X-8-12</w:t>
      </w:r>
    </w:p>
    <w:p w14:paraId="7839F027"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B45D7">
        <w:rPr>
          <w:rFonts w:ascii="Times New Roman" w:eastAsia="Times New Roman" w:hAnsi="Times New Roman" w:cs="Times New Roman"/>
          <w:sz w:val="24"/>
          <w:szCs w:val="24"/>
        </w:rPr>
        <w:lastRenderedPageBreak/>
        <w:t>Ercan</w:t>
      </w:r>
      <w:proofErr w:type="spellEnd"/>
      <w:r w:rsidRPr="002B45D7">
        <w:rPr>
          <w:rFonts w:ascii="Times New Roman" w:eastAsia="Times New Roman" w:hAnsi="Times New Roman" w:cs="Times New Roman"/>
          <w:sz w:val="24"/>
          <w:szCs w:val="24"/>
        </w:rPr>
        <w:t xml:space="preserve">, S., &amp; Turgut, B. </w:t>
      </w:r>
      <w:commentRangeStart w:id="8"/>
      <w:r w:rsidRPr="002B45D7">
        <w:rPr>
          <w:rFonts w:ascii="Times New Roman" w:eastAsia="Times New Roman" w:hAnsi="Times New Roman" w:cs="Times New Roman"/>
          <w:sz w:val="24"/>
          <w:szCs w:val="24"/>
        </w:rPr>
        <w:t xml:space="preserve">(2022). Coagulation abnormalities in chronic liver diseases: Pathophysiology and clinical implications. </w:t>
      </w:r>
      <w:r w:rsidRPr="002B45D7">
        <w:rPr>
          <w:rFonts w:ascii="Times New Roman" w:eastAsia="Times New Roman" w:hAnsi="Times New Roman" w:cs="Times New Roman"/>
          <w:i/>
          <w:iCs/>
          <w:sz w:val="24"/>
          <w:szCs w:val="24"/>
        </w:rPr>
        <w:t>World Journal of Gastroenterology</w:t>
      </w:r>
      <w:r w:rsidRPr="002B45D7">
        <w:rPr>
          <w:rFonts w:ascii="Times New Roman" w:eastAsia="Times New Roman" w:hAnsi="Times New Roman" w:cs="Times New Roman"/>
          <w:sz w:val="24"/>
          <w:szCs w:val="24"/>
        </w:rPr>
        <w:t>, 28(25), 2834–2848.</w:t>
      </w:r>
    </w:p>
    <w:p w14:paraId="61BEFE2E"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Ganz, T. (2019). Anemia of inflammation. </w:t>
      </w:r>
      <w:r w:rsidRPr="002B45D7">
        <w:rPr>
          <w:rFonts w:ascii="Times New Roman" w:eastAsia="Times New Roman" w:hAnsi="Times New Roman" w:cs="Times New Roman"/>
          <w:i/>
          <w:iCs/>
          <w:sz w:val="24"/>
          <w:szCs w:val="24"/>
        </w:rPr>
        <w:t>New England Journal of Medicine</w:t>
      </w:r>
      <w:r w:rsidRPr="002B45D7">
        <w:rPr>
          <w:rFonts w:ascii="Times New Roman" w:eastAsia="Times New Roman" w:hAnsi="Times New Roman" w:cs="Times New Roman"/>
          <w:sz w:val="24"/>
          <w:szCs w:val="24"/>
        </w:rPr>
        <w:t>, 381(12), 1148–1157.</w:t>
      </w:r>
      <w:commentRangeEnd w:id="8"/>
      <w:r w:rsidR="00421805">
        <w:rPr>
          <w:rStyle w:val="CommentReference"/>
        </w:rPr>
        <w:commentReference w:id="8"/>
      </w:r>
    </w:p>
    <w:p w14:paraId="772A07D8"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Lisman, T., </w:t>
      </w:r>
      <w:proofErr w:type="spellStart"/>
      <w:r w:rsidRPr="002B45D7">
        <w:rPr>
          <w:rFonts w:ascii="Times New Roman" w:eastAsia="Times New Roman" w:hAnsi="Times New Roman" w:cs="Times New Roman"/>
          <w:sz w:val="24"/>
          <w:szCs w:val="24"/>
        </w:rPr>
        <w:t>Bongers</w:t>
      </w:r>
      <w:proofErr w:type="spellEnd"/>
      <w:r w:rsidRPr="002B45D7">
        <w:rPr>
          <w:rFonts w:ascii="Times New Roman" w:eastAsia="Times New Roman" w:hAnsi="Times New Roman" w:cs="Times New Roman"/>
          <w:sz w:val="24"/>
          <w:szCs w:val="24"/>
        </w:rPr>
        <w:t xml:space="preserve">, T. N., </w:t>
      </w:r>
      <w:proofErr w:type="spellStart"/>
      <w:r w:rsidRPr="002B45D7">
        <w:rPr>
          <w:rFonts w:ascii="Times New Roman" w:eastAsia="Times New Roman" w:hAnsi="Times New Roman" w:cs="Times New Roman"/>
          <w:sz w:val="24"/>
          <w:szCs w:val="24"/>
        </w:rPr>
        <w:t>Adelmeijer</w:t>
      </w:r>
      <w:proofErr w:type="spellEnd"/>
      <w:r w:rsidRPr="002B45D7">
        <w:rPr>
          <w:rFonts w:ascii="Times New Roman" w:eastAsia="Times New Roman" w:hAnsi="Times New Roman" w:cs="Times New Roman"/>
          <w:sz w:val="24"/>
          <w:szCs w:val="24"/>
        </w:rPr>
        <w:t xml:space="preserve">, J., Janssen, H. L., &amp; de Groot, P. G. (2010). Hemostatic alterations in patients with chronic liver disease. </w:t>
      </w:r>
      <w:r w:rsidRPr="002B45D7">
        <w:rPr>
          <w:rFonts w:ascii="Times New Roman" w:eastAsia="Times New Roman" w:hAnsi="Times New Roman" w:cs="Times New Roman"/>
          <w:i/>
          <w:iCs/>
          <w:sz w:val="24"/>
          <w:szCs w:val="24"/>
        </w:rPr>
        <w:t>Journal of Thrombosis and</w:t>
      </w:r>
      <w:bookmarkStart w:id="9" w:name="_GoBack"/>
      <w:bookmarkEnd w:id="9"/>
      <w:r w:rsidRPr="002B45D7">
        <w:rPr>
          <w:rFonts w:ascii="Times New Roman" w:eastAsia="Times New Roman" w:hAnsi="Times New Roman" w:cs="Times New Roman"/>
          <w:i/>
          <w:iCs/>
          <w:sz w:val="24"/>
          <w:szCs w:val="24"/>
        </w:rPr>
        <w:t xml:space="preserve"> </w:t>
      </w:r>
      <w:proofErr w:type="spellStart"/>
      <w:r w:rsidRPr="002B45D7">
        <w:rPr>
          <w:rFonts w:ascii="Times New Roman" w:eastAsia="Times New Roman" w:hAnsi="Times New Roman" w:cs="Times New Roman"/>
          <w:i/>
          <w:iCs/>
          <w:sz w:val="24"/>
          <w:szCs w:val="24"/>
        </w:rPr>
        <w:t>Haemostasis</w:t>
      </w:r>
      <w:proofErr w:type="spellEnd"/>
      <w:r w:rsidRPr="002B45D7">
        <w:rPr>
          <w:rFonts w:ascii="Times New Roman" w:eastAsia="Times New Roman" w:hAnsi="Times New Roman" w:cs="Times New Roman"/>
          <w:sz w:val="24"/>
          <w:szCs w:val="24"/>
        </w:rPr>
        <w:t>, 8(1), 23–29.</w:t>
      </w:r>
    </w:p>
    <w:p w14:paraId="227BE135"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Lurie, S., &amp; Weinberger, S. E. (2004). Changes in hematological indices during normal pregnancy. </w:t>
      </w:r>
      <w:r w:rsidRPr="002B45D7">
        <w:rPr>
          <w:rFonts w:ascii="Times New Roman" w:eastAsia="Times New Roman" w:hAnsi="Times New Roman" w:cs="Times New Roman"/>
          <w:i/>
          <w:iCs/>
          <w:sz w:val="24"/>
          <w:szCs w:val="24"/>
        </w:rPr>
        <w:t>European Journal of Obstetrics &amp; Gynecology and Reproductive Biology</w:t>
      </w:r>
      <w:r w:rsidRPr="002B45D7">
        <w:rPr>
          <w:rFonts w:ascii="Times New Roman" w:eastAsia="Times New Roman" w:hAnsi="Times New Roman" w:cs="Times New Roman"/>
          <w:sz w:val="24"/>
          <w:szCs w:val="24"/>
        </w:rPr>
        <w:t>, 117(2), 145–148.</w:t>
      </w:r>
    </w:p>
    <w:p w14:paraId="057B6BEC"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B45D7">
        <w:rPr>
          <w:rFonts w:ascii="Times New Roman" w:eastAsia="Times New Roman" w:hAnsi="Times New Roman" w:cs="Times New Roman"/>
          <w:sz w:val="24"/>
          <w:szCs w:val="24"/>
        </w:rPr>
        <w:t>Oladeinde</w:t>
      </w:r>
      <w:proofErr w:type="spellEnd"/>
      <w:r w:rsidRPr="002B45D7">
        <w:rPr>
          <w:rFonts w:ascii="Times New Roman" w:eastAsia="Times New Roman" w:hAnsi="Times New Roman" w:cs="Times New Roman"/>
          <w:sz w:val="24"/>
          <w:szCs w:val="24"/>
        </w:rPr>
        <w:t xml:space="preserve">, B. H., </w:t>
      </w:r>
      <w:proofErr w:type="spellStart"/>
      <w:r w:rsidRPr="002B45D7">
        <w:rPr>
          <w:rFonts w:ascii="Times New Roman" w:eastAsia="Times New Roman" w:hAnsi="Times New Roman" w:cs="Times New Roman"/>
          <w:sz w:val="24"/>
          <w:szCs w:val="24"/>
        </w:rPr>
        <w:t>Omoregie</w:t>
      </w:r>
      <w:proofErr w:type="spellEnd"/>
      <w:r w:rsidRPr="002B45D7">
        <w:rPr>
          <w:rFonts w:ascii="Times New Roman" w:eastAsia="Times New Roman" w:hAnsi="Times New Roman" w:cs="Times New Roman"/>
          <w:sz w:val="24"/>
          <w:szCs w:val="24"/>
        </w:rPr>
        <w:t xml:space="preserve">, R., Olley, M., &amp; </w:t>
      </w:r>
      <w:proofErr w:type="spellStart"/>
      <w:r w:rsidRPr="002B45D7">
        <w:rPr>
          <w:rFonts w:ascii="Times New Roman" w:eastAsia="Times New Roman" w:hAnsi="Times New Roman" w:cs="Times New Roman"/>
          <w:sz w:val="24"/>
          <w:szCs w:val="24"/>
        </w:rPr>
        <w:t>Anunibe</w:t>
      </w:r>
      <w:proofErr w:type="spellEnd"/>
      <w:r w:rsidRPr="002B45D7">
        <w:rPr>
          <w:rFonts w:ascii="Times New Roman" w:eastAsia="Times New Roman" w:hAnsi="Times New Roman" w:cs="Times New Roman"/>
          <w:sz w:val="24"/>
          <w:szCs w:val="24"/>
        </w:rPr>
        <w:t xml:space="preserve">, J. A. (2011). Prevalence of HIV, HBV, and HCV infections among pregnant women attending antenatal clinic in a tertiary health care facility in Benin City, Nigeria. </w:t>
      </w:r>
      <w:r w:rsidRPr="002B45D7">
        <w:rPr>
          <w:rFonts w:ascii="Times New Roman" w:eastAsia="Times New Roman" w:hAnsi="Times New Roman" w:cs="Times New Roman"/>
          <w:i/>
          <w:iCs/>
          <w:sz w:val="24"/>
          <w:szCs w:val="24"/>
        </w:rPr>
        <w:t>Global Journal of Health Science</w:t>
      </w:r>
      <w:r w:rsidRPr="002B45D7">
        <w:rPr>
          <w:rFonts w:ascii="Times New Roman" w:eastAsia="Times New Roman" w:hAnsi="Times New Roman" w:cs="Times New Roman"/>
          <w:sz w:val="24"/>
          <w:szCs w:val="24"/>
        </w:rPr>
        <w:t>, 3(3), 17–21.</w:t>
      </w:r>
    </w:p>
    <w:p w14:paraId="6AE80304"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Ott, J. J., Horn, J., Krause, G., &amp; </w:t>
      </w:r>
      <w:proofErr w:type="spellStart"/>
      <w:r w:rsidRPr="002B45D7">
        <w:rPr>
          <w:rFonts w:ascii="Times New Roman" w:eastAsia="Times New Roman" w:hAnsi="Times New Roman" w:cs="Times New Roman"/>
          <w:sz w:val="24"/>
          <w:szCs w:val="24"/>
        </w:rPr>
        <w:t>Mikolajczyk</w:t>
      </w:r>
      <w:proofErr w:type="spellEnd"/>
      <w:r w:rsidRPr="002B45D7">
        <w:rPr>
          <w:rFonts w:ascii="Times New Roman" w:eastAsia="Times New Roman" w:hAnsi="Times New Roman" w:cs="Times New Roman"/>
          <w:sz w:val="24"/>
          <w:szCs w:val="24"/>
        </w:rPr>
        <w:t xml:space="preserve">, R. T. (2022). Time trends of chronic hepatitis B infection worldwide: Systematic review and meta-analysis. </w:t>
      </w:r>
      <w:r w:rsidRPr="002B45D7">
        <w:rPr>
          <w:rFonts w:ascii="Times New Roman" w:eastAsia="Times New Roman" w:hAnsi="Times New Roman" w:cs="Times New Roman"/>
          <w:i/>
          <w:iCs/>
          <w:sz w:val="24"/>
          <w:szCs w:val="24"/>
        </w:rPr>
        <w:t>Hepatology</w:t>
      </w:r>
      <w:r w:rsidRPr="002B45D7">
        <w:rPr>
          <w:rFonts w:ascii="Times New Roman" w:eastAsia="Times New Roman" w:hAnsi="Times New Roman" w:cs="Times New Roman"/>
          <w:sz w:val="24"/>
          <w:szCs w:val="24"/>
        </w:rPr>
        <w:t>, 76(1), 208–218.</w:t>
      </w:r>
    </w:p>
    <w:p w14:paraId="61C898D4"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Peck-</w:t>
      </w:r>
      <w:proofErr w:type="spellStart"/>
      <w:r w:rsidRPr="002B45D7">
        <w:rPr>
          <w:rFonts w:ascii="Times New Roman" w:eastAsia="Times New Roman" w:hAnsi="Times New Roman" w:cs="Times New Roman"/>
          <w:sz w:val="24"/>
          <w:szCs w:val="24"/>
        </w:rPr>
        <w:t>Radosavljevic</w:t>
      </w:r>
      <w:proofErr w:type="spellEnd"/>
      <w:r w:rsidRPr="002B45D7">
        <w:rPr>
          <w:rFonts w:ascii="Times New Roman" w:eastAsia="Times New Roman" w:hAnsi="Times New Roman" w:cs="Times New Roman"/>
          <w:sz w:val="24"/>
          <w:szCs w:val="24"/>
        </w:rPr>
        <w:t xml:space="preserve">, M. (2017). Thrombocytopenia in liver disease. </w:t>
      </w:r>
      <w:r w:rsidRPr="002B45D7">
        <w:rPr>
          <w:rFonts w:ascii="Times New Roman" w:eastAsia="Times New Roman" w:hAnsi="Times New Roman" w:cs="Times New Roman"/>
          <w:i/>
          <w:iCs/>
          <w:sz w:val="24"/>
          <w:szCs w:val="24"/>
        </w:rPr>
        <w:t>Canadian Journal of Gastroenterology and Hepatology</w:t>
      </w:r>
      <w:r w:rsidRPr="002B45D7">
        <w:rPr>
          <w:rFonts w:ascii="Times New Roman" w:eastAsia="Times New Roman" w:hAnsi="Times New Roman" w:cs="Times New Roman"/>
          <w:sz w:val="24"/>
          <w:szCs w:val="24"/>
        </w:rPr>
        <w:t>, 2017, 7539462.</w:t>
      </w:r>
    </w:p>
    <w:p w14:paraId="679BD7E7"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B45D7">
        <w:rPr>
          <w:rFonts w:ascii="Times New Roman" w:eastAsia="Times New Roman" w:hAnsi="Times New Roman" w:cs="Times New Roman"/>
          <w:sz w:val="24"/>
          <w:szCs w:val="24"/>
        </w:rPr>
        <w:t>Salvagno</w:t>
      </w:r>
      <w:proofErr w:type="spellEnd"/>
      <w:r w:rsidRPr="002B45D7">
        <w:rPr>
          <w:rFonts w:ascii="Times New Roman" w:eastAsia="Times New Roman" w:hAnsi="Times New Roman" w:cs="Times New Roman"/>
          <w:sz w:val="24"/>
          <w:szCs w:val="24"/>
        </w:rPr>
        <w:t xml:space="preserve">, G. L., </w:t>
      </w:r>
      <w:proofErr w:type="spellStart"/>
      <w:r w:rsidRPr="002B45D7">
        <w:rPr>
          <w:rFonts w:ascii="Times New Roman" w:eastAsia="Times New Roman" w:hAnsi="Times New Roman" w:cs="Times New Roman"/>
          <w:sz w:val="24"/>
          <w:szCs w:val="24"/>
        </w:rPr>
        <w:t>Sanchis-Gomar</w:t>
      </w:r>
      <w:proofErr w:type="spellEnd"/>
      <w:r w:rsidRPr="002B45D7">
        <w:rPr>
          <w:rFonts w:ascii="Times New Roman" w:eastAsia="Times New Roman" w:hAnsi="Times New Roman" w:cs="Times New Roman"/>
          <w:sz w:val="24"/>
          <w:szCs w:val="24"/>
        </w:rPr>
        <w:t xml:space="preserve">, F., </w:t>
      </w:r>
      <w:proofErr w:type="spellStart"/>
      <w:r w:rsidRPr="002B45D7">
        <w:rPr>
          <w:rFonts w:ascii="Times New Roman" w:eastAsia="Times New Roman" w:hAnsi="Times New Roman" w:cs="Times New Roman"/>
          <w:sz w:val="24"/>
          <w:szCs w:val="24"/>
        </w:rPr>
        <w:t>Picanza</w:t>
      </w:r>
      <w:proofErr w:type="spellEnd"/>
      <w:r w:rsidRPr="002B45D7">
        <w:rPr>
          <w:rFonts w:ascii="Times New Roman" w:eastAsia="Times New Roman" w:hAnsi="Times New Roman" w:cs="Times New Roman"/>
          <w:sz w:val="24"/>
          <w:szCs w:val="24"/>
        </w:rPr>
        <w:t xml:space="preserve">, A., &amp; Lippi, G. (2015). Red blood cell distribution width: A simple parameter with multiple clinical applications. </w:t>
      </w:r>
      <w:r w:rsidRPr="002B45D7">
        <w:rPr>
          <w:rFonts w:ascii="Times New Roman" w:eastAsia="Times New Roman" w:hAnsi="Times New Roman" w:cs="Times New Roman"/>
          <w:i/>
          <w:iCs/>
          <w:sz w:val="24"/>
          <w:szCs w:val="24"/>
        </w:rPr>
        <w:t>Critical Reviews in Clinical Laboratory Sciences</w:t>
      </w:r>
      <w:r w:rsidRPr="002B45D7">
        <w:rPr>
          <w:rFonts w:ascii="Times New Roman" w:eastAsia="Times New Roman" w:hAnsi="Times New Roman" w:cs="Times New Roman"/>
          <w:sz w:val="24"/>
          <w:szCs w:val="24"/>
        </w:rPr>
        <w:t>, 52(2), 86–105.</w:t>
      </w:r>
    </w:p>
    <w:p w14:paraId="60B69F6B"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Schweitzer, A., Horn, J., </w:t>
      </w:r>
      <w:proofErr w:type="spellStart"/>
      <w:r w:rsidRPr="002B45D7">
        <w:rPr>
          <w:rFonts w:ascii="Times New Roman" w:eastAsia="Times New Roman" w:hAnsi="Times New Roman" w:cs="Times New Roman"/>
          <w:sz w:val="24"/>
          <w:szCs w:val="24"/>
        </w:rPr>
        <w:t>Mikolajczyk</w:t>
      </w:r>
      <w:proofErr w:type="spellEnd"/>
      <w:r w:rsidRPr="002B45D7">
        <w:rPr>
          <w:rFonts w:ascii="Times New Roman" w:eastAsia="Times New Roman" w:hAnsi="Times New Roman" w:cs="Times New Roman"/>
          <w:sz w:val="24"/>
          <w:szCs w:val="24"/>
        </w:rPr>
        <w:t xml:space="preserve">, R. T., Krause, G., &amp; Ott, J. J. (2021). Estimations of worldwide prevalence of chronic hepatitis B virus infection: A systematic review of data published between 1965 and 2013. </w:t>
      </w:r>
      <w:r w:rsidRPr="002B45D7">
        <w:rPr>
          <w:rFonts w:ascii="Times New Roman" w:eastAsia="Times New Roman" w:hAnsi="Times New Roman" w:cs="Times New Roman"/>
          <w:i/>
          <w:iCs/>
          <w:sz w:val="24"/>
          <w:szCs w:val="24"/>
        </w:rPr>
        <w:t>The Lancet</w:t>
      </w:r>
      <w:r w:rsidRPr="002B45D7">
        <w:rPr>
          <w:rFonts w:ascii="Times New Roman" w:eastAsia="Times New Roman" w:hAnsi="Times New Roman" w:cs="Times New Roman"/>
          <w:sz w:val="24"/>
          <w:szCs w:val="24"/>
        </w:rPr>
        <w:t>, 386(10003), 1546–1555.</w:t>
      </w:r>
    </w:p>
    <w:p w14:paraId="590EB84B"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lastRenderedPageBreak/>
        <w:t xml:space="preserve">Shih, C., Yang, C. C., </w:t>
      </w:r>
      <w:proofErr w:type="spellStart"/>
      <w:r w:rsidRPr="002B45D7">
        <w:rPr>
          <w:rFonts w:ascii="Times New Roman" w:eastAsia="Times New Roman" w:hAnsi="Times New Roman" w:cs="Times New Roman"/>
          <w:sz w:val="24"/>
          <w:szCs w:val="24"/>
        </w:rPr>
        <w:t>Choijilsuren</w:t>
      </w:r>
      <w:proofErr w:type="spellEnd"/>
      <w:r w:rsidRPr="002B45D7">
        <w:rPr>
          <w:rFonts w:ascii="Times New Roman" w:eastAsia="Times New Roman" w:hAnsi="Times New Roman" w:cs="Times New Roman"/>
          <w:sz w:val="24"/>
          <w:szCs w:val="24"/>
        </w:rPr>
        <w:t xml:space="preserve">, G., Chang, C. H., &amp; </w:t>
      </w:r>
      <w:proofErr w:type="spellStart"/>
      <w:r w:rsidRPr="002B45D7">
        <w:rPr>
          <w:rFonts w:ascii="Times New Roman" w:eastAsia="Times New Roman" w:hAnsi="Times New Roman" w:cs="Times New Roman"/>
          <w:sz w:val="24"/>
          <w:szCs w:val="24"/>
        </w:rPr>
        <w:t>Liou</w:t>
      </w:r>
      <w:proofErr w:type="spellEnd"/>
      <w:r w:rsidRPr="002B45D7">
        <w:rPr>
          <w:rFonts w:ascii="Times New Roman" w:eastAsia="Times New Roman" w:hAnsi="Times New Roman" w:cs="Times New Roman"/>
          <w:sz w:val="24"/>
          <w:szCs w:val="24"/>
        </w:rPr>
        <w:t xml:space="preserve">, A. T. (2020). Hepatitis B virus and liver disease: Pathogenesis and clinical implications. </w:t>
      </w:r>
      <w:r w:rsidRPr="002B45D7">
        <w:rPr>
          <w:rFonts w:ascii="Times New Roman" w:eastAsia="Times New Roman" w:hAnsi="Times New Roman" w:cs="Times New Roman"/>
          <w:i/>
          <w:iCs/>
          <w:sz w:val="24"/>
          <w:szCs w:val="24"/>
        </w:rPr>
        <w:t>Frontiers in Medicine</w:t>
      </w:r>
      <w:r w:rsidRPr="002B45D7">
        <w:rPr>
          <w:rFonts w:ascii="Times New Roman" w:eastAsia="Times New Roman" w:hAnsi="Times New Roman" w:cs="Times New Roman"/>
          <w:sz w:val="24"/>
          <w:szCs w:val="24"/>
        </w:rPr>
        <w:t>, 7, 167. https://doi.org/10.3389/fmed.2020.00167</w:t>
      </w:r>
    </w:p>
    <w:p w14:paraId="24C0E8B8"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Sperling, R., </w:t>
      </w:r>
      <w:proofErr w:type="spellStart"/>
      <w:r w:rsidRPr="002B45D7">
        <w:rPr>
          <w:rFonts w:ascii="Times New Roman" w:eastAsia="Times New Roman" w:hAnsi="Times New Roman" w:cs="Times New Roman"/>
          <w:sz w:val="24"/>
          <w:szCs w:val="24"/>
        </w:rPr>
        <w:t>Giannubilo</w:t>
      </w:r>
      <w:proofErr w:type="spellEnd"/>
      <w:r w:rsidRPr="002B45D7">
        <w:rPr>
          <w:rFonts w:ascii="Times New Roman" w:eastAsia="Times New Roman" w:hAnsi="Times New Roman" w:cs="Times New Roman"/>
          <w:sz w:val="24"/>
          <w:szCs w:val="24"/>
        </w:rPr>
        <w:t xml:space="preserve">, S. R., </w:t>
      </w:r>
      <w:proofErr w:type="spellStart"/>
      <w:r w:rsidRPr="002B45D7">
        <w:rPr>
          <w:rFonts w:ascii="Times New Roman" w:eastAsia="Times New Roman" w:hAnsi="Times New Roman" w:cs="Times New Roman"/>
          <w:sz w:val="24"/>
          <w:szCs w:val="24"/>
        </w:rPr>
        <w:t>Stortoni</w:t>
      </w:r>
      <w:proofErr w:type="spellEnd"/>
      <w:r w:rsidRPr="002B45D7">
        <w:rPr>
          <w:rFonts w:ascii="Times New Roman" w:eastAsia="Times New Roman" w:hAnsi="Times New Roman" w:cs="Times New Roman"/>
          <w:sz w:val="24"/>
          <w:szCs w:val="24"/>
        </w:rPr>
        <w:t xml:space="preserve">, P., </w:t>
      </w:r>
      <w:proofErr w:type="spellStart"/>
      <w:r w:rsidRPr="002B45D7">
        <w:rPr>
          <w:rFonts w:ascii="Times New Roman" w:eastAsia="Times New Roman" w:hAnsi="Times New Roman" w:cs="Times New Roman"/>
          <w:sz w:val="24"/>
          <w:szCs w:val="24"/>
        </w:rPr>
        <w:t>Delli</w:t>
      </w:r>
      <w:proofErr w:type="spellEnd"/>
      <w:r w:rsidRPr="002B45D7">
        <w:rPr>
          <w:rFonts w:ascii="Times New Roman" w:eastAsia="Times New Roman" w:hAnsi="Times New Roman" w:cs="Times New Roman"/>
          <w:sz w:val="24"/>
          <w:szCs w:val="24"/>
        </w:rPr>
        <w:t xml:space="preserve"> </w:t>
      </w:r>
      <w:proofErr w:type="spellStart"/>
      <w:r w:rsidRPr="002B45D7">
        <w:rPr>
          <w:rFonts w:ascii="Times New Roman" w:eastAsia="Times New Roman" w:hAnsi="Times New Roman" w:cs="Times New Roman"/>
          <w:sz w:val="24"/>
          <w:szCs w:val="24"/>
        </w:rPr>
        <w:t>Carpini</w:t>
      </w:r>
      <w:proofErr w:type="spellEnd"/>
      <w:r w:rsidRPr="002B45D7">
        <w:rPr>
          <w:rFonts w:ascii="Times New Roman" w:eastAsia="Times New Roman" w:hAnsi="Times New Roman" w:cs="Times New Roman"/>
          <w:sz w:val="24"/>
          <w:szCs w:val="24"/>
        </w:rPr>
        <w:t xml:space="preserve">, G., </w:t>
      </w:r>
      <w:proofErr w:type="spellStart"/>
      <w:r w:rsidRPr="002B45D7">
        <w:rPr>
          <w:rFonts w:ascii="Times New Roman" w:eastAsia="Times New Roman" w:hAnsi="Times New Roman" w:cs="Times New Roman"/>
          <w:sz w:val="24"/>
          <w:szCs w:val="24"/>
        </w:rPr>
        <w:t>Saccucci</w:t>
      </w:r>
      <w:proofErr w:type="spellEnd"/>
      <w:r w:rsidRPr="002B45D7">
        <w:rPr>
          <w:rFonts w:ascii="Times New Roman" w:eastAsia="Times New Roman" w:hAnsi="Times New Roman" w:cs="Times New Roman"/>
          <w:sz w:val="24"/>
          <w:szCs w:val="24"/>
        </w:rPr>
        <w:t xml:space="preserve">, F., &amp; </w:t>
      </w:r>
      <w:proofErr w:type="spellStart"/>
      <w:r w:rsidRPr="002B45D7">
        <w:rPr>
          <w:rFonts w:ascii="Times New Roman" w:eastAsia="Times New Roman" w:hAnsi="Times New Roman" w:cs="Times New Roman"/>
          <w:sz w:val="24"/>
          <w:szCs w:val="24"/>
        </w:rPr>
        <w:t>Emanuelli</w:t>
      </w:r>
      <w:proofErr w:type="spellEnd"/>
      <w:r w:rsidRPr="002B45D7">
        <w:rPr>
          <w:rFonts w:ascii="Times New Roman" w:eastAsia="Times New Roman" w:hAnsi="Times New Roman" w:cs="Times New Roman"/>
          <w:sz w:val="24"/>
          <w:szCs w:val="24"/>
        </w:rPr>
        <w:t xml:space="preserve">, M. (2017). Maternal factors and fetal outcomes in hepatitis B surface antigen-positive pregnant women. </w:t>
      </w:r>
      <w:r w:rsidRPr="002B45D7">
        <w:rPr>
          <w:rFonts w:ascii="Times New Roman" w:eastAsia="Times New Roman" w:hAnsi="Times New Roman" w:cs="Times New Roman"/>
          <w:i/>
          <w:iCs/>
          <w:sz w:val="24"/>
          <w:szCs w:val="24"/>
        </w:rPr>
        <w:t>Journal of Maternal-Fetal &amp; Neonatal Medicine</w:t>
      </w:r>
      <w:r w:rsidRPr="002B45D7">
        <w:rPr>
          <w:rFonts w:ascii="Times New Roman" w:eastAsia="Times New Roman" w:hAnsi="Times New Roman" w:cs="Times New Roman"/>
          <w:sz w:val="24"/>
          <w:szCs w:val="24"/>
        </w:rPr>
        <w:t>, 30(4), 475–479.</w:t>
      </w:r>
    </w:p>
    <w:p w14:paraId="17AC9BA9"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Stevens, G. A., Finucane, M. M., De-</w:t>
      </w:r>
      <w:proofErr w:type="spellStart"/>
      <w:r w:rsidRPr="002B45D7">
        <w:rPr>
          <w:rFonts w:ascii="Times New Roman" w:eastAsia="Times New Roman" w:hAnsi="Times New Roman" w:cs="Times New Roman"/>
          <w:sz w:val="24"/>
          <w:szCs w:val="24"/>
        </w:rPr>
        <w:t>Regil</w:t>
      </w:r>
      <w:proofErr w:type="spellEnd"/>
      <w:r w:rsidRPr="002B45D7">
        <w:rPr>
          <w:rFonts w:ascii="Times New Roman" w:eastAsia="Times New Roman" w:hAnsi="Times New Roman" w:cs="Times New Roman"/>
          <w:sz w:val="24"/>
          <w:szCs w:val="24"/>
        </w:rPr>
        <w:t xml:space="preserve">, L. M., </w:t>
      </w:r>
      <w:proofErr w:type="spellStart"/>
      <w:r w:rsidRPr="002B45D7">
        <w:rPr>
          <w:rFonts w:ascii="Times New Roman" w:eastAsia="Times New Roman" w:hAnsi="Times New Roman" w:cs="Times New Roman"/>
          <w:sz w:val="24"/>
          <w:szCs w:val="24"/>
        </w:rPr>
        <w:t>Paciorek</w:t>
      </w:r>
      <w:proofErr w:type="spellEnd"/>
      <w:r w:rsidRPr="002B45D7">
        <w:rPr>
          <w:rFonts w:ascii="Times New Roman" w:eastAsia="Times New Roman" w:hAnsi="Times New Roman" w:cs="Times New Roman"/>
          <w:sz w:val="24"/>
          <w:szCs w:val="24"/>
        </w:rPr>
        <w:t xml:space="preserve">, C. J., Flaxman, S. R., </w:t>
      </w:r>
      <w:proofErr w:type="spellStart"/>
      <w:r w:rsidRPr="002B45D7">
        <w:rPr>
          <w:rFonts w:ascii="Times New Roman" w:eastAsia="Times New Roman" w:hAnsi="Times New Roman" w:cs="Times New Roman"/>
          <w:sz w:val="24"/>
          <w:szCs w:val="24"/>
        </w:rPr>
        <w:t>Branca</w:t>
      </w:r>
      <w:proofErr w:type="spellEnd"/>
      <w:r w:rsidRPr="002B45D7">
        <w:rPr>
          <w:rFonts w:ascii="Times New Roman" w:eastAsia="Times New Roman" w:hAnsi="Times New Roman" w:cs="Times New Roman"/>
          <w:sz w:val="24"/>
          <w:szCs w:val="24"/>
        </w:rPr>
        <w:t xml:space="preserve">, F., Peña-Rosas, J. P., </w:t>
      </w:r>
      <w:proofErr w:type="spellStart"/>
      <w:r w:rsidRPr="002B45D7">
        <w:rPr>
          <w:rFonts w:ascii="Times New Roman" w:eastAsia="Times New Roman" w:hAnsi="Times New Roman" w:cs="Times New Roman"/>
          <w:sz w:val="24"/>
          <w:szCs w:val="24"/>
        </w:rPr>
        <w:t>Bhutta</w:t>
      </w:r>
      <w:proofErr w:type="spellEnd"/>
      <w:r w:rsidRPr="002B45D7">
        <w:rPr>
          <w:rFonts w:ascii="Times New Roman" w:eastAsia="Times New Roman" w:hAnsi="Times New Roman" w:cs="Times New Roman"/>
          <w:sz w:val="24"/>
          <w:szCs w:val="24"/>
        </w:rPr>
        <w:t xml:space="preserve">, Z. A., </w:t>
      </w:r>
      <w:proofErr w:type="spellStart"/>
      <w:r w:rsidRPr="002B45D7">
        <w:rPr>
          <w:rFonts w:ascii="Times New Roman" w:eastAsia="Times New Roman" w:hAnsi="Times New Roman" w:cs="Times New Roman"/>
          <w:sz w:val="24"/>
          <w:szCs w:val="24"/>
        </w:rPr>
        <w:t>Ezzati</w:t>
      </w:r>
      <w:proofErr w:type="spellEnd"/>
      <w:r w:rsidRPr="002B45D7">
        <w:rPr>
          <w:rFonts w:ascii="Times New Roman" w:eastAsia="Times New Roman" w:hAnsi="Times New Roman" w:cs="Times New Roman"/>
          <w:sz w:val="24"/>
          <w:szCs w:val="24"/>
        </w:rPr>
        <w:t xml:space="preserve">, M., &amp; Nutrition Impact Model Study Group (Anaemia). (2021). Global, regional, and national trends in haemoglobin concentration and prevalence of total and severe anaemia in children and pregnant and non-pregnant women for 1995–2019: A pooled analysis of population-representative data. </w:t>
      </w:r>
      <w:r w:rsidRPr="002B45D7">
        <w:rPr>
          <w:rFonts w:ascii="Times New Roman" w:eastAsia="Times New Roman" w:hAnsi="Times New Roman" w:cs="Times New Roman"/>
          <w:i/>
          <w:iCs/>
          <w:sz w:val="24"/>
          <w:szCs w:val="24"/>
        </w:rPr>
        <w:t>The Lancet Global Health</w:t>
      </w:r>
      <w:r w:rsidRPr="002B45D7">
        <w:rPr>
          <w:rFonts w:ascii="Times New Roman" w:eastAsia="Times New Roman" w:hAnsi="Times New Roman" w:cs="Times New Roman"/>
          <w:sz w:val="24"/>
          <w:szCs w:val="24"/>
        </w:rPr>
        <w:t>, 10(5), e627–e639.</w:t>
      </w:r>
    </w:p>
    <w:p w14:paraId="53DC5A71"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Weiss, G., &amp; Goodnough, L. T. (2005). Anemia of chronic disease. </w:t>
      </w:r>
      <w:r w:rsidRPr="002B45D7">
        <w:rPr>
          <w:rFonts w:ascii="Times New Roman" w:eastAsia="Times New Roman" w:hAnsi="Times New Roman" w:cs="Times New Roman"/>
          <w:i/>
          <w:iCs/>
          <w:sz w:val="24"/>
          <w:szCs w:val="24"/>
        </w:rPr>
        <w:t>New England Journal of Medicine</w:t>
      </w:r>
      <w:r w:rsidRPr="002B45D7">
        <w:rPr>
          <w:rFonts w:ascii="Times New Roman" w:eastAsia="Times New Roman" w:hAnsi="Times New Roman" w:cs="Times New Roman"/>
          <w:sz w:val="24"/>
          <w:szCs w:val="24"/>
        </w:rPr>
        <w:t>, 352(10), 1011–1023.</w:t>
      </w:r>
    </w:p>
    <w:p w14:paraId="478675CB"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World Health Organization (WHO). (2017). </w:t>
      </w:r>
      <w:r w:rsidRPr="002B45D7">
        <w:rPr>
          <w:rFonts w:ascii="Times New Roman" w:eastAsia="Times New Roman" w:hAnsi="Times New Roman" w:cs="Times New Roman"/>
          <w:i/>
          <w:iCs/>
          <w:sz w:val="24"/>
          <w:szCs w:val="24"/>
        </w:rPr>
        <w:t>Global hepatitis report 2017</w:t>
      </w:r>
      <w:r w:rsidRPr="002B45D7">
        <w:rPr>
          <w:rFonts w:ascii="Times New Roman" w:eastAsia="Times New Roman" w:hAnsi="Times New Roman" w:cs="Times New Roman"/>
          <w:sz w:val="24"/>
          <w:szCs w:val="24"/>
        </w:rPr>
        <w:t>. World Health Organization.</w:t>
      </w:r>
    </w:p>
    <w:p w14:paraId="0C61D74C"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World Health Organization (WHO). (2019). </w:t>
      </w:r>
      <w:r w:rsidRPr="002B45D7">
        <w:rPr>
          <w:rFonts w:ascii="Times New Roman" w:eastAsia="Times New Roman" w:hAnsi="Times New Roman" w:cs="Times New Roman"/>
          <w:i/>
          <w:iCs/>
          <w:sz w:val="24"/>
          <w:szCs w:val="24"/>
        </w:rPr>
        <w:t>Trends in maternal mortality: 2000 to 2017—Estimates by WHO, UNICEF, UNFPA, World Bank Group and the United Nations Population Division</w:t>
      </w:r>
      <w:r w:rsidRPr="002B45D7">
        <w:rPr>
          <w:rFonts w:ascii="Times New Roman" w:eastAsia="Times New Roman" w:hAnsi="Times New Roman" w:cs="Times New Roman"/>
          <w:sz w:val="24"/>
          <w:szCs w:val="24"/>
        </w:rPr>
        <w:t>. World Health Organization.</w:t>
      </w:r>
    </w:p>
    <w:p w14:paraId="208D3D54" w14:textId="77777777"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World Health Organization (WHO). (2020). </w:t>
      </w:r>
      <w:r w:rsidRPr="002B45D7">
        <w:rPr>
          <w:rFonts w:ascii="Times New Roman" w:eastAsia="Times New Roman" w:hAnsi="Times New Roman" w:cs="Times New Roman"/>
          <w:i/>
          <w:iCs/>
          <w:sz w:val="24"/>
          <w:szCs w:val="24"/>
        </w:rPr>
        <w:t>Global prevalence of anemia in women of reproductive age (15–49 years), 2019</w:t>
      </w:r>
      <w:r w:rsidRPr="002B45D7">
        <w:rPr>
          <w:rFonts w:ascii="Times New Roman" w:eastAsia="Times New Roman" w:hAnsi="Times New Roman" w:cs="Times New Roman"/>
          <w:sz w:val="24"/>
          <w:szCs w:val="24"/>
        </w:rPr>
        <w:t>. World Health Organization.</w:t>
      </w:r>
    </w:p>
    <w:p w14:paraId="65767443" w14:textId="77777777" w:rsidR="00C57009" w:rsidRPr="002B45D7" w:rsidRDefault="00C57009" w:rsidP="008556C9">
      <w:pPr>
        <w:spacing w:line="360" w:lineRule="auto"/>
        <w:jc w:val="both"/>
        <w:rPr>
          <w:rFonts w:ascii="Times New Roman" w:hAnsi="Times New Roman" w:cs="Times New Roman"/>
          <w:sz w:val="24"/>
          <w:szCs w:val="24"/>
        </w:rPr>
      </w:pPr>
    </w:p>
    <w:sectPr w:rsidR="00C57009" w:rsidRPr="002B45D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LL" w:date="2025-10-22T10:31:00Z" w:initials="D">
    <w:p w14:paraId="5C98781F" w14:textId="77777777" w:rsidR="00421805" w:rsidRDefault="00421805">
      <w:pPr>
        <w:pStyle w:val="CommentText"/>
      </w:pPr>
      <w:r>
        <w:rPr>
          <w:rStyle w:val="CommentReference"/>
        </w:rPr>
        <w:annotationRef/>
      </w:r>
      <w:r>
        <w:t>Arrange title</w:t>
      </w:r>
    </w:p>
  </w:comment>
  <w:comment w:id="1" w:author="DELL" w:date="2025-10-22T10:32:00Z" w:initials="D">
    <w:p w14:paraId="60451274" w14:textId="77777777" w:rsidR="00421805" w:rsidRDefault="00421805">
      <w:pPr>
        <w:pStyle w:val="CommentText"/>
      </w:pPr>
      <w:r>
        <w:rPr>
          <w:rStyle w:val="CommentReference"/>
        </w:rPr>
        <w:annotationRef/>
      </w:r>
      <w:proofErr w:type="gramStart"/>
      <w:r>
        <w:t>merge</w:t>
      </w:r>
      <w:proofErr w:type="gramEnd"/>
    </w:p>
  </w:comment>
  <w:comment w:id="2" w:author="DELL" w:date="2025-10-22T10:32:00Z" w:initials="D">
    <w:p w14:paraId="54E1DA22" w14:textId="77777777" w:rsidR="00421805" w:rsidRDefault="00421805">
      <w:pPr>
        <w:pStyle w:val="CommentText"/>
      </w:pPr>
      <w:r>
        <w:rPr>
          <w:rStyle w:val="CommentReference"/>
        </w:rPr>
        <w:annotationRef/>
      </w:r>
      <w:proofErr w:type="gramStart"/>
      <w:r>
        <w:t>reduce</w:t>
      </w:r>
      <w:proofErr w:type="gramEnd"/>
    </w:p>
  </w:comment>
  <w:comment w:id="3" w:author="DELL" w:date="2025-10-22T10:32:00Z" w:initials="D">
    <w:p w14:paraId="777A3D10" w14:textId="77777777" w:rsidR="00421805" w:rsidRDefault="00421805">
      <w:pPr>
        <w:pStyle w:val="CommentText"/>
      </w:pPr>
      <w:r>
        <w:rPr>
          <w:rStyle w:val="CommentReference"/>
        </w:rPr>
        <w:annotationRef/>
      </w:r>
      <w:proofErr w:type="gramStart"/>
      <w:r>
        <w:t>must</w:t>
      </w:r>
      <w:proofErr w:type="gramEnd"/>
      <w:r>
        <w:t xml:space="preserve"> be in order</w:t>
      </w:r>
    </w:p>
  </w:comment>
  <w:comment w:id="4" w:author="DELL" w:date="2025-10-22T10:33:00Z" w:initials="D">
    <w:p w14:paraId="2785928A" w14:textId="77777777" w:rsidR="00421805" w:rsidRDefault="00421805">
      <w:pPr>
        <w:pStyle w:val="CommentText"/>
      </w:pPr>
      <w:r>
        <w:rPr>
          <w:rStyle w:val="CommentReference"/>
        </w:rPr>
        <w:annotationRef/>
      </w:r>
      <w:proofErr w:type="gramStart"/>
      <w:r>
        <w:t>see</w:t>
      </w:r>
      <w:proofErr w:type="gramEnd"/>
      <w:r>
        <w:t xml:space="preserve"> </w:t>
      </w:r>
      <w:proofErr w:type="spellStart"/>
      <w:r>
        <w:t>tamplete</w:t>
      </w:r>
      <w:proofErr w:type="spellEnd"/>
      <w:r>
        <w:t xml:space="preserve"> for table</w:t>
      </w:r>
    </w:p>
  </w:comment>
  <w:comment w:id="5" w:author="DELL" w:date="2025-10-22T10:33:00Z" w:initials="D">
    <w:p w14:paraId="4A537832" w14:textId="77777777" w:rsidR="00421805" w:rsidRDefault="00421805">
      <w:pPr>
        <w:pStyle w:val="CommentText"/>
      </w:pPr>
      <w:r>
        <w:rPr>
          <w:rStyle w:val="CommentReference"/>
        </w:rPr>
        <w:annotationRef/>
      </w:r>
      <w:proofErr w:type="gramStart"/>
      <w:r>
        <w:t>add</w:t>
      </w:r>
      <w:proofErr w:type="gramEnd"/>
      <w:r>
        <w:t xml:space="preserve"> a figure</w:t>
      </w:r>
    </w:p>
  </w:comment>
  <w:comment w:id="6" w:author="DELL" w:date="2025-10-22T10:33:00Z" w:initials="D">
    <w:p w14:paraId="7F36FB9D" w14:textId="77777777" w:rsidR="00421805" w:rsidRDefault="00421805">
      <w:pPr>
        <w:pStyle w:val="CommentText"/>
      </w:pPr>
      <w:r>
        <w:rPr>
          <w:rStyle w:val="CommentReference"/>
        </w:rPr>
        <w:annotationRef/>
      </w:r>
      <w:proofErr w:type="gramStart"/>
      <w:r>
        <w:t>simplify</w:t>
      </w:r>
      <w:proofErr w:type="gramEnd"/>
      <w:r>
        <w:t xml:space="preserve"> </w:t>
      </w:r>
    </w:p>
  </w:comment>
  <w:comment w:id="7" w:author="DELL" w:date="2025-10-22T10:34:00Z" w:initials="D">
    <w:p w14:paraId="7B5FB3FC" w14:textId="77777777" w:rsidR="00421805" w:rsidRDefault="00421805">
      <w:pPr>
        <w:pStyle w:val="CommentText"/>
      </w:pPr>
      <w:r>
        <w:rPr>
          <w:rStyle w:val="CommentReference"/>
        </w:rPr>
        <w:annotationRef/>
      </w:r>
      <w:proofErr w:type="gramStart"/>
      <w:r>
        <w:t>summarize</w:t>
      </w:r>
      <w:proofErr w:type="gramEnd"/>
      <w:r>
        <w:t xml:space="preserve"> </w:t>
      </w:r>
    </w:p>
  </w:comment>
  <w:comment w:id="8" w:author="DELL" w:date="2025-10-22T10:34:00Z" w:initials="D">
    <w:p w14:paraId="2188D7CA" w14:textId="77777777" w:rsidR="00421805" w:rsidRDefault="00421805">
      <w:pPr>
        <w:pStyle w:val="CommentText"/>
      </w:pPr>
      <w:r>
        <w:rPr>
          <w:rStyle w:val="CommentReference"/>
        </w:rPr>
        <w:annotationRef/>
      </w:r>
      <w:proofErr w:type="gramStart"/>
      <w:r>
        <w:t>see</w:t>
      </w:r>
      <w:proofErr w:type="gramEnd"/>
      <w:r>
        <w:t xml:space="preserve"> template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98781F" w15:done="0"/>
  <w15:commentEx w15:paraId="60451274" w15:done="0"/>
  <w15:commentEx w15:paraId="54E1DA22" w15:done="0"/>
  <w15:commentEx w15:paraId="777A3D10" w15:done="0"/>
  <w15:commentEx w15:paraId="2785928A" w15:done="0"/>
  <w15:commentEx w15:paraId="4A537832" w15:done="0"/>
  <w15:commentEx w15:paraId="7F36FB9D" w15:done="0"/>
  <w15:commentEx w15:paraId="7B5FB3FC" w15:done="0"/>
  <w15:commentEx w15:paraId="2188D7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D2467" w14:textId="77777777" w:rsidR="00D92878" w:rsidRDefault="00D92878" w:rsidP="008556C9">
      <w:pPr>
        <w:spacing w:after="0" w:line="240" w:lineRule="auto"/>
      </w:pPr>
      <w:r>
        <w:separator/>
      </w:r>
    </w:p>
  </w:endnote>
  <w:endnote w:type="continuationSeparator" w:id="0">
    <w:p w14:paraId="0B78AA29" w14:textId="77777777" w:rsidR="00D92878" w:rsidRDefault="00D92878" w:rsidP="0085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E782A" w14:textId="77777777" w:rsidR="004D62B6" w:rsidRDefault="004D62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B1889" w14:textId="77777777" w:rsidR="004D62B6" w:rsidRDefault="004D62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92D6B" w14:textId="77777777" w:rsidR="004D62B6" w:rsidRDefault="004D6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B7AAD" w14:textId="77777777" w:rsidR="00D92878" w:rsidRDefault="00D92878" w:rsidP="008556C9">
      <w:pPr>
        <w:spacing w:after="0" w:line="240" w:lineRule="auto"/>
      </w:pPr>
      <w:r>
        <w:separator/>
      </w:r>
    </w:p>
  </w:footnote>
  <w:footnote w:type="continuationSeparator" w:id="0">
    <w:p w14:paraId="0C308B4B" w14:textId="77777777" w:rsidR="00D92878" w:rsidRDefault="00D92878" w:rsidP="00855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ABEDF" w14:textId="77777777" w:rsidR="004D62B6" w:rsidRDefault="00D92878">
    <w:pPr>
      <w:pStyle w:val="Header"/>
    </w:pPr>
    <w:r>
      <w:rPr>
        <w:noProof/>
      </w:rPr>
      <w:pict w14:anchorId="40B62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518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590A4" w14:textId="77777777" w:rsidR="004D62B6" w:rsidRDefault="00D92878">
    <w:pPr>
      <w:pStyle w:val="Header"/>
    </w:pPr>
    <w:r>
      <w:rPr>
        <w:noProof/>
      </w:rPr>
      <w:pict w14:anchorId="26C06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518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8E4D5" w14:textId="77777777" w:rsidR="004D62B6" w:rsidRDefault="00D92878">
    <w:pPr>
      <w:pStyle w:val="Header"/>
    </w:pPr>
    <w:r>
      <w:rPr>
        <w:noProof/>
      </w:rPr>
      <w:pict w14:anchorId="3E7ED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518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755D5"/>
    <w:multiLevelType w:val="multilevel"/>
    <w:tmpl w:val="3432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F6E61"/>
    <w:multiLevelType w:val="hybridMultilevel"/>
    <w:tmpl w:val="C300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34119"/>
    <w:multiLevelType w:val="hybridMultilevel"/>
    <w:tmpl w:val="2376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209D1"/>
    <w:multiLevelType w:val="multilevel"/>
    <w:tmpl w:val="96D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0A6697"/>
    <w:multiLevelType w:val="multilevel"/>
    <w:tmpl w:val="0B66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982B7F"/>
    <w:multiLevelType w:val="multilevel"/>
    <w:tmpl w:val="B92A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AC0F1C"/>
    <w:multiLevelType w:val="multilevel"/>
    <w:tmpl w:val="A8BE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4474DE"/>
    <w:multiLevelType w:val="hybridMultilevel"/>
    <w:tmpl w:val="8284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5280D"/>
    <w:multiLevelType w:val="multilevel"/>
    <w:tmpl w:val="47CC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00259A"/>
    <w:multiLevelType w:val="hybridMultilevel"/>
    <w:tmpl w:val="7DFC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756B9"/>
    <w:multiLevelType w:val="multilevel"/>
    <w:tmpl w:val="8E9A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B30626"/>
    <w:multiLevelType w:val="multilevel"/>
    <w:tmpl w:val="1BF6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AB5488"/>
    <w:multiLevelType w:val="multilevel"/>
    <w:tmpl w:val="5B7A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54777A"/>
    <w:multiLevelType w:val="multilevel"/>
    <w:tmpl w:val="95D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3"/>
  </w:num>
  <w:num w:numId="3">
    <w:abstractNumId w:val="8"/>
  </w:num>
  <w:num w:numId="4">
    <w:abstractNumId w:val="6"/>
  </w:num>
  <w:num w:numId="5">
    <w:abstractNumId w:val="0"/>
  </w:num>
  <w:num w:numId="6">
    <w:abstractNumId w:val="12"/>
  </w:num>
  <w:num w:numId="7">
    <w:abstractNumId w:val="5"/>
  </w:num>
  <w:num w:numId="8">
    <w:abstractNumId w:val="13"/>
  </w:num>
  <w:num w:numId="9">
    <w:abstractNumId w:val="4"/>
  </w:num>
  <w:num w:numId="10">
    <w:abstractNumId w:val="10"/>
  </w:num>
  <w:num w:numId="11">
    <w:abstractNumId w:val="9"/>
  </w:num>
  <w:num w:numId="12">
    <w:abstractNumId w:val="1"/>
  </w:num>
  <w:num w:numId="13">
    <w:abstractNumId w:val="7"/>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29"/>
    <w:rsid w:val="00066CE6"/>
    <w:rsid w:val="00142FF1"/>
    <w:rsid w:val="00154FC9"/>
    <w:rsid w:val="0017113E"/>
    <w:rsid w:val="001B1455"/>
    <w:rsid w:val="002B45D7"/>
    <w:rsid w:val="003D7124"/>
    <w:rsid w:val="003D7DFB"/>
    <w:rsid w:val="00421805"/>
    <w:rsid w:val="00432F8E"/>
    <w:rsid w:val="00481E29"/>
    <w:rsid w:val="004925B9"/>
    <w:rsid w:val="004D62B6"/>
    <w:rsid w:val="00504829"/>
    <w:rsid w:val="005F0637"/>
    <w:rsid w:val="008120C8"/>
    <w:rsid w:val="008415AF"/>
    <w:rsid w:val="008556C9"/>
    <w:rsid w:val="00890896"/>
    <w:rsid w:val="00895B48"/>
    <w:rsid w:val="00930A6F"/>
    <w:rsid w:val="00BC66BE"/>
    <w:rsid w:val="00C25F27"/>
    <w:rsid w:val="00C57009"/>
    <w:rsid w:val="00CE551C"/>
    <w:rsid w:val="00D92878"/>
    <w:rsid w:val="00DB1F36"/>
    <w:rsid w:val="00E6413D"/>
    <w:rsid w:val="00EB3C76"/>
    <w:rsid w:val="00F13CAC"/>
    <w:rsid w:val="00FA1EE7"/>
    <w:rsid w:val="00FB16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29A6C"/>
  <w15:chartTrackingRefBased/>
  <w15:docId w15:val="{5E21AA74-D33E-4FE9-8043-6D5FA5C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48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95B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829"/>
    <w:rPr>
      <w:rFonts w:ascii="Times New Roman" w:eastAsia="Times New Roman" w:hAnsi="Times New Roman" w:cs="Times New Roman"/>
      <w:b/>
      <w:bCs/>
      <w:sz w:val="36"/>
      <w:szCs w:val="36"/>
    </w:rPr>
  </w:style>
  <w:style w:type="paragraph" w:customStyle="1" w:styleId="my-2">
    <w:name w:val="my-2"/>
    <w:basedOn w:val="Normal"/>
    <w:rsid w:val="00504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829"/>
    <w:rPr>
      <w:b/>
      <w:bCs/>
    </w:rPr>
  </w:style>
  <w:style w:type="character" w:customStyle="1" w:styleId="katex-mathml">
    <w:name w:val="katex-mathml"/>
    <w:basedOn w:val="DefaultParagraphFont"/>
    <w:rsid w:val="00504829"/>
  </w:style>
  <w:style w:type="character" w:customStyle="1" w:styleId="mord">
    <w:name w:val="mord"/>
    <w:basedOn w:val="DefaultParagraphFont"/>
    <w:rsid w:val="00504829"/>
  </w:style>
  <w:style w:type="character" w:customStyle="1" w:styleId="mrel">
    <w:name w:val="mrel"/>
    <w:basedOn w:val="DefaultParagraphFont"/>
    <w:rsid w:val="00504829"/>
  </w:style>
  <w:style w:type="character" w:customStyle="1" w:styleId="mopen">
    <w:name w:val="mopen"/>
    <w:basedOn w:val="DefaultParagraphFont"/>
    <w:rsid w:val="00504829"/>
  </w:style>
  <w:style w:type="character" w:customStyle="1" w:styleId="mbin">
    <w:name w:val="mbin"/>
    <w:basedOn w:val="DefaultParagraphFont"/>
    <w:rsid w:val="00504829"/>
  </w:style>
  <w:style w:type="character" w:customStyle="1" w:styleId="mclose">
    <w:name w:val="mclose"/>
    <w:basedOn w:val="DefaultParagraphFont"/>
    <w:rsid w:val="00504829"/>
  </w:style>
  <w:style w:type="character" w:styleId="Emphasis">
    <w:name w:val="Emphasis"/>
    <w:basedOn w:val="DefaultParagraphFont"/>
    <w:uiPriority w:val="20"/>
    <w:qFormat/>
    <w:rsid w:val="00504829"/>
    <w:rPr>
      <w:i/>
      <w:iCs/>
    </w:rPr>
  </w:style>
  <w:style w:type="character" w:styleId="Hyperlink">
    <w:name w:val="Hyperlink"/>
    <w:basedOn w:val="DefaultParagraphFont"/>
    <w:uiPriority w:val="99"/>
    <w:unhideWhenUsed/>
    <w:rsid w:val="00504829"/>
    <w:rPr>
      <w:color w:val="0000FF"/>
      <w:u w:val="single"/>
    </w:rPr>
  </w:style>
  <w:style w:type="character" w:customStyle="1" w:styleId="Heading3Char">
    <w:name w:val="Heading 3 Char"/>
    <w:basedOn w:val="DefaultParagraphFont"/>
    <w:link w:val="Heading3"/>
    <w:uiPriority w:val="9"/>
    <w:semiHidden/>
    <w:rsid w:val="00895B48"/>
    <w:rPr>
      <w:rFonts w:asciiTheme="majorHAnsi" w:eastAsiaTheme="majorEastAsia" w:hAnsiTheme="majorHAnsi" w:cstheme="majorBidi"/>
      <w:color w:val="1F4D78" w:themeColor="accent1" w:themeShade="7F"/>
      <w:sz w:val="24"/>
      <w:szCs w:val="24"/>
    </w:rPr>
  </w:style>
  <w:style w:type="paragraph" w:styleId="NormalWeb">
    <w:name w:val="Normal (Web)"/>
    <w:uiPriority w:val="99"/>
    <w:unhideWhenUsed/>
    <w:rsid w:val="00895B48"/>
    <w:pPr>
      <w:spacing w:before="100" w:beforeAutospacing="1" w:after="100" w:afterAutospacing="1" w:line="240" w:lineRule="auto"/>
    </w:pPr>
    <w:rPr>
      <w:rFonts w:ascii="Calibri" w:eastAsia="Calibri" w:hAnsi="Calibri" w:cs="Times New Roman"/>
      <w:sz w:val="24"/>
      <w:szCs w:val="24"/>
      <w:lang w:eastAsia="zh-CN"/>
    </w:rPr>
  </w:style>
  <w:style w:type="paragraph" w:styleId="ListParagraph">
    <w:name w:val="List Paragraph"/>
    <w:basedOn w:val="Normal"/>
    <w:uiPriority w:val="34"/>
    <w:qFormat/>
    <w:rsid w:val="00FA1EE7"/>
    <w:pPr>
      <w:ind w:left="720"/>
      <w:contextualSpacing/>
    </w:pPr>
  </w:style>
  <w:style w:type="paragraph" w:customStyle="1" w:styleId="Default">
    <w:name w:val="Default"/>
    <w:rsid w:val="00DB1F3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55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6C9"/>
  </w:style>
  <w:style w:type="paragraph" w:styleId="Footer">
    <w:name w:val="footer"/>
    <w:basedOn w:val="Normal"/>
    <w:link w:val="FooterChar"/>
    <w:uiPriority w:val="99"/>
    <w:unhideWhenUsed/>
    <w:rsid w:val="0085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6C9"/>
  </w:style>
  <w:style w:type="character" w:styleId="CommentReference">
    <w:name w:val="annotation reference"/>
    <w:basedOn w:val="DefaultParagraphFont"/>
    <w:uiPriority w:val="99"/>
    <w:semiHidden/>
    <w:unhideWhenUsed/>
    <w:rsid w:val="00421805"/>
    <w:rPr>
      <w:sz w:val="16"/>
      <w:szCs w:val="16"/>
    </w:rPr>
  </w:style>
  <w:style w:type="paragraph" w:styleId="CommentText">
    <w:name w:val="annotation text"/>
    <w:basedOn w:val="Normal"/>
    <w:link w:val="CommentTextChar"/>
    <w:uiPriority w:val="99"/>
    <w:semiHidden/>
    <w:unhideWhenUsed/>
    <w:rsid w:val="00421805"/>
    <w:pPr>
      <w:spacing w:line="240" w:lineRule="auto"/>
    </w:pPr>
    <w:rPr>
      <w:sz w:val="20"/>
      <w:szCs w:val="20"/>
    </w:rPr>
  </w:style>
  <w:style w:type="character" w:customStyle="1" w:styleId="CommentTextChar">
    <w:name w:val="Comment Text Char"/>
    <w:basedOn w:val="DefaultParagraphFont"/>
    <w:link w:val="CommentText"/>
    <w:uiPriority w:val="99"/>
    <w:semiHidden/>
    <w:rsid w:val="00421805"/>
    <w:rPr>
      <w:sz w:val="20"/>
      <w:szCs w:val="20"/>
    </w:rPr>
  </w:style>
  <w:style w:type="paragraph" w:styleId="CommentSubject">
    <w:name w:val="annotation subject"/>
    <w:basedOn w:val="CommentText"/>
    <w:next w:val="CommentText"/>
    <w:link w:val="CommentSubjectChar"/>
    <w:uiPriority w:val="99"/>
    <w:semiHidden/>
    <w:unhideWhenUsed/>
    <w:rsid w:val="00421805"/>
    <w:rPr>
      <w:b/>
      <w:bCs/>
    </w:rPr>
  </w:style>
  <w:style w:type="character" w:customStyle="1" w:styleId="CommentSubjectChar">
    <w:name w:val="Comment Subject Char"/>
    <w:basedOn w:val="CommentTextChar"/>
    <w:link w:val="CommentSubject"/>
    <w:uiPriority w:val="99"/>
    <w:semiHidden/>
    <w:rsid w:val="00421805"/>
    <w:rPr>
      <w:b/>
      <w:bCs/>
      <w:sz w:val="20"/>
      <w:szCs w:val="20"/>
    </w:rPr>
  </w:style>
  <w:style w:type="paragraph" w:styleId="BalloonText">
    <w:name w:val="Balloon Text"/>
    <w:basedOn w:val="Normal"/>
    <w:link w:val="BalloonTextChar"/>
    <w:uiPriority w:val="99"/>
    <w:semiHidden/>
    <w:unhideWhenUsed/>
    <w:rsid w:val="00421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95450">
      <w:bodyDiv w:val="1"/>
      <w:marLeft w:val="0"/>
      <w:marRight w:val="0"/>
      <w:marTop w:val="0"/>
      <w:marBottom w:val="0"/>
      <w:divBdr>
        <w:top w:val="none" w:sz="0" w:space="0" w:color="auto"/>
        <w:left w:val="none" w:sz="0" w:space="0" w:color="auto"/>
        <w:bottom w:val="none" w:sz="0" w:space="0" w:color="auto"/>
        <w:right w:val="none" w:sz="0" w:space="0" w:color="auto"/>
      </w:divBdr>
    </w:div>
    <w:div w:id="418185647">
      <w:bodyDiv w:val="1"/>
      <w:marLeft w:val="0"/>
      <w:marRight w:val="0"/>
      <w:marTop w:val="0"/>
      <w:marBottom w:val="0"/>
      <w:divBdr>
        <w:top w:val="none" w:sz="0" w:space="0" w:color="auto"/>
        <w:left w:val="none" w:sz="0" w:space="0" w:color="auto"/>
        <w:bottom w:val="none" w:sz="0" w:space="0" w:color="auto"/>
        <w:right w:val="none" w:sz="0" w:space="0" w:color="auto"/>
      </w:divBdr>
    </w:div>
    <w:div w:id="471485486">
      <w:bodyDiv w:val="1"/>
      <w:marLeft w:val="0"/>
      <w:marRight w:val="0"/>
      <w:marTop w:val="0"/>
      <w:marBottom w:val="0"/>
      <w:divBdr>
        <w:top w:val="none" w:sz="0" w:space="0" w:color="auto"/>
        <w:left w:val="none" w:sz="0" w:space="0" w:color="auto"/>
        <w:bottom w:val="none" w:sz="0" w:space="0" w:color="auto"/>
        <w:right w:val="none" w:sz="0" w:space="0" w:color="auto"/>
      </w:divBdr>
    </w:div>
    <w:div w:id="492138077">
      <w:bodyDiv w:val="1"/>
      <w:marLeft w:val="0"/>
      <w:marRight w:val="0"/>
      <w:marTop w:val="0"/>
      <w:marBottom w:val="0"/>
      <w:divBdr>
        <w:top w:val="none" w:sz="0" w:space="0" w:color="auto"/>
        <w:left w:val="none" w:sz="0" w:space="0" w:color="auto"/>
        <w:bottom w:val="none" w:sz="0" w:space="0" w:color="auto"/>
        <w:right w:val="none" w:sz="0" w:space="0" w:color="auto"/>
      </w:divBdr>
    </w:div>
    <w:div w:id="553352649">
      <w:bodyDiv w:val="1"/>
      <w:marLeft w:val="0"/>
      <w:marRight w:val="0"/>
      <w:marTop w:val="0"/>
      <w:marBottom w:val="0"/>
      <w:divBdr>
        <w:top w:val="none" w:sz="0" w:space="0" w:color="auto"/>
        <w:left w:val="none" w:sz="0" w:space="0" w:color="auto"/>
        <w:bottom w:val="none" w:sz="0" w:space="0" w:color="auto"/>
        <w:right w:val="none" w:sz="0" w:space="0" w:color="auto"/>
      </w:divBdr>
      <w:divsChild>
        <w:div w:id="1441491734">
          <w:marLeft w:val="0"/>
          <w:marRight w:val="0"/>
          <w:marTop w:val="0"/>
          <w:marBottom w:val="0"/>
          <w:divBdr>
            <w:top w:val="none" w:sz="0" w:space="0" w:color="auto"/>
            <w:left w:val="none" w:sz="0" w:space="0" w:color="auto"/>
            <w:bottom w:val="none" w:sz="0" w:space="0" w:color="auto"/>
            <w:right w:val="none" w:sz="0" w:space="0" w:color="auto"/>
          </w:divBdr>
        </w:div>
      </w:divsChild>
    </w:div>
    <w:div w:id="576981387">
      <w:bodyDiv w:val="1"/>
      <w:marLeft w:val="0"/>
      <w:marRight w:val="0"/>
      <w:marTop w:val="0"/>
      <w:marBottom w:val="0"/>
      <w:divBdr>
        <w:top w:val="none" w:sz="0" w:space="0" w:color="auto"/>
        <w:left w:val="none" w:sz="0" w:space="0" w:color="auto"/>
        <w:bottom w:val="none" w:sz="0" w:space="0" w:color="auto"/>
        <w:right w:val="none" w:sz="0" w:space="0" w:color="auto"/>
      </w:divBdr>
    </w:div>
    <w:div w:id="676805135">
      <w:bodyDiv w:val="1"/>
      <w:marLeft w:val="0"/>
      <w:marRight w:val="0"/>
      <w:marTop w:val="0"/>
      <w:marBottom w:val="0"/>
      <w:divBdr>
        <w:top w:val="none" w:sz="0" w:space="0" w:color="auto"/>
        <w:left w:val="none" w:sz="0" w:space="0" w:color="auto"/>
        <w:bottom w:val="none" w:sz="0" w:space="0" w:color="auto"/>
        <w:right w:val="none" w:sz="0" w:space="0" w:color="auto"/>
      </w:divBdr>
    </w:div>
    <w:div w:id="772283323">
      <w:bodyDiv w:val="1"/>
      <w:marLeft w:val="0"/>
      <w:marRight w:val="0"/>
      <w:marTop w:val="0"/>
      <w:marBottom w:val="0"/>
      <w:divBdr>
        <w:top w:val="none" w:sz="0" w:space="0" w:color="auto"/>
        <w:left w:val="none" w:sz="0" w:space="0" w:color="auto"/>
        <w:bottom w:val="none" w:sz="0" w:space="0" w:color="auto"/>
        <w:right w:val="none" w:sz="0" w:space="0" w:color="auto"/>
      </w:divBdr>
    </w:div>
    <w:div w:id="790365130">
      <w:bodyDiv w:val="1"/>
      <w:marLeft w:val="0"/>
      <w:marRight w:val="0"/>
      <w:marTop w:val="0"/>
      <w:marBottom w:val="0"/>
      <w:divBdr>
        <w:top w:val="none" w:sz="0" w:space="0" w:color="auto"/>
        <w:left w:val="none" w:sz="0" w:space="0" w:color="auto"/>
        <w:bottom w:val="none" w:sz="0" w:space="0" w:color="auto"/>
        <w:right w:val="none" w:sz="0" w:space="0" w:color="auto"/>
      </w:divBdr>
    </w:div>
    <w:div w:id="877820232">
      <w:bodyDiv w:val="1"/>
      <w:marLeft w:val="0"/>
      <w:marRight w:val="0"/>
      <w:marTop w:val="0"/>
      <w:marBottom w:val="0"/>
      <w:divBdr>
        <w:top w:val="none" w:sz="0" w:space="0" w:color="auto"/>
        <w:left w:val="none" w:sz="0" w:space="0" w:color="auto"/>
        <w:bottom w:val="none" w:sz="0" w:space="0" w:color="auto"/>
        <w:right w:val="none" w:sz="0" w:space="0" w:color="auto"/>
      </w:divBdr>
    </w:div>
    <w:div w:id="928926057">
      <w:bodyDiv w:val="1"/>
      <w:marLeft w:val="0"/>
      <w:marRight w:val="0"/>
      <w:marTop w:val="0"/>
      <w:marBottom w:val="0"/>
      <w:divBdr>
        <w:top w:val="none" w:sz="0" w:space="0" w:color="auto"/>
        <w:left w:val="none" w:sz="0" w:space="0" w:color="auto"/>
        <w:bottom w:val="none" w:sz="0" w:space="0" w:color="auto"/>
        <w:right w:val="none" w:sz="0" w:space="0" w:color="auto"/>
      </w:divBdr>
    </w:div>
    <w:div w:id="958338359">
      <w:bodyDiv w:val="1"/>
      <w:marLeft w:val="0"/>
      <w:marRight w:val="0"/>
      <w:marTop w:val="0"/>
      <w:marBottom w:val="0"/>
      <w:divBdr>
        <w:top w:val="none" w:sz="0" w:space="0" w:color="auto"/>
        <w:left w:val="none" w:sz="0" w:space="0" w:color="auto"/>
        <w:bottom w:val="none" w:sz="0" w:space="0" w:color="auto"/>
        <w:right w:val="none" w:sz="0" w:space="0" w:color="auto"/>
      </w:divBdr>
    </w:div>
    <w:div w:id="998464648">
      <w:bodyDiv w:val="1"/>
      <w:marLeft w:val="0"/>
      <w:marRight w:val="0"/>
      <w:marTop w:val="0"/>
      <w:marBottom w:val="0"/>
      <w:divBdr>
        <w:top w:val="none" w:sz="0" w:space="0" w:color="auto"/>
        <w:left w:val="none" w:sz="0" w:space="0" w:color="auto"/>
        <w:bottom w:val="none" w:sz="0" w:space="0" w:color="auto"/>
        <w:right w:val="none" w:sz="0" w:space="0" w:color="auto"/>
      </w:divBdr>
    </w:div>
    <w:div w:id="1032222128">
      <w:bodyDiv w:val="1"/>
      <w:marLeft w:val="0"/>
      <w:marRight w:val="0"/>
      <w:marTop w:val="0"/>
      <w:marBottom w:val="0"/>
      <w:divBdr>
        <w:top w:val="none" w:sz="0" w:space="0" w:color="auto"/>
        <w:left w:val="none" w:sz="0" w:space="0" w:color="auto"/>
        <w:bottom w:val="none" w:sz="0" w:space="0" w:color="auto"/>
        <w:right w:val="none" w:sz="0" w:space="0" w:color="auto"/>
      </w:divBdr>
    </w:div>
    <w:div w:id="1083525163">
      <w:bodyDiv w:val="1"/>
      <w:marLeft w:val="0"/>
      <w:marRight w:val="0"/>
      <w:marTop w:val="0"/>
      <w:marBottom w:val="0"/>
      <w:divBdr>
        <w:top w:val="none" w:sz="0" w:space="0" w:color="auto"/>
        <w:left w:val="none" w:sz="0" w:space="0" w:color="auto"/>
        <w:bottom w:val="none" w:sz="0" w:space="0" w:color="auto"/>
        <w:right w:val="none" w:sz="0" w:space="0" w:color="auto"/>
      </w:divBdr>
    </w:div>
    <w:div w:id="1256595536">
      <w:bodyDiv w:val="1"/>
      <w:marLeft w:val="0"/>
      <w:marRight w:val="0"/>
      <w:marTop w:val="0"/>
      <w:marBottom w:val="0"/>
      <w:divBdr>
        <w:top w:val="none" w:sz="0" w:space="0" w:color="auto"/>
        <w:left w:val="none" w:sz="0" w:space="0" w:color="auto"/>
        <w:bottom w:val="none" w:sz="0" w:space="0" w:color="auto"/>
        <w:right w:val="none" w:sz="0" w:space="0" w:color="auto"/>
      </w:divBdr>
    </w:div>
    <w:div w:id="1300652719">
      <w:bodyDiv w:val="1"/>
      <w:marLeft w:val="0"/>
      <w:marRight w:val="0"/>
      <w:marTop w:val="0"/>
      <w:marBottom w:val="0"/>
      <w:divBdr>
        <w:top w:val="none" w:sz="0" w:space="0" w:color="auto"/>
        <w:left w:val="none" w:sz="0" w:space="0" w:color="auto"/>
        <w:bottom w:val="none" w:sz="0" w:space="0" w:color="auto"/>
        <w:right w:val="none" w:sz="0" w:space="0" w:color="auto"/>
      </w:divBdr>
    </w:div>
    <w:div w:id="1308780218">
      <w:bodyDiv w:val="1"/>
      <w:marLeft w:val="0"/>
      <w:marRight w:val="0"/>
      <w:marTop w:val="0"/>
      <w:marBottom w:val="0"/>
      <w:divBdr>
        <w:top w:val="none" w:sz="0" w:space="0" w:color="auto"/>
        <w:left w:val="none" w:sz="0" w:space="0" w:color="auto"/>
        <w:bottom w:val="none" w:sz="0" w:space="0" w:color="auto"/>
        <w:right w:val="none" w:sz="0" w:space="0" w:color="auto"/>
      </w:divBdr>
    </w:div>
    <w:div w:id="1355620003">
      <w:bodyDiv w:val="1"/>
      <w:marLeft w:val="0"/>
      <w:marRight w:val="0"/>
      <w:marTop w:val="0"/>
      <w:marBottom w:val="0"/>
      <w:divBdr>
        <w:top w:val="none" w:sz="0" w:space="0" w:color="auto"/>
        <w:left w:val="none" w:sz="0" w:space="0" w:color="auto"/>
        <w:bottom w:val="none" w:sz="0" w:space="0" w:color="auto"/>
        <w:right w:val="none" w:sz="0" w:space="0" w:color="auto"/>
      </w:divBdr>
      <w:divsChild>
        <w:div w:id="14043900">
          <w:marLeft w:val="0"/>
          <w:marRight w:val="0"/>
          <w:marTop w:val="0"/>
          <w:marBottom w:val="0"/>
          <w:divBdr>
            <w:top w:val="none" w:sz="0" w:space="0" w:color="auto"/>
            <w:left w:val="none" w:sz="0" w:space="0" w:color="auto"/>
            <w:bottom w:val="none" w:sz="0" w:space="0" w:color="auto"/>
            <w:right w:val="none" w:sz="0" w:space="0" w:color="auto"/>
          </w:divBdr>
          <w:divsChild>
            <w:div w:id="1140731941">
              <w:marLeft w:val="0"/>
              <w:marRight w:val="0"/>
              <w:marTop w:val="0"/>
              <w:marBottom w:val="0"/>
              <w:divBdr>
                <w:top w:val="none" w:sz="0" w:space="0" w:color="auto"/>
                <w:left w:val="none" w:sz="0" w:space="0" w:color="auto"/>
                <w:bottom w:val="none" w:sz="0" w:space="0" w:color="auto"/>
                <w:right w:val="none" w:sz="0" w:space="0" w:color="auto"/>
              </w:divBdr>
              <w:divsChild>
                <w:div w:id="1979844827">
                  <w:marLeft w:val="0"/>
                  <w:marRight w:val="0"/>
                  <w:marTop w:val="0"/>
                  <w:marBottom w:val="0"/>
                  <w:divBdr>
                    <w:top w:val="none" w:sz="0" w:space="0" w:color="auto"/>
                    <w:left w:val="none" w:sz="0" w:space="0" w:color="auto"/>
                    <w:bottom w:val="none" w:sz="0" w:space="0" w:color="auto"/>
                    <w:right w:val="none" w:sz="0" w:space="0" w:color="auto"/>
                  </w:divBdr>
                  <w:divsChild>
                    <w:div w:id="273175197">
                      <w:marLeft w:val="0"/>
                      <w:marRight w:val="0"/>
                      <w:marTop w:val="0"/>
                      <w:marBottom w:val="0"/>
                      <w:divBdr>
                        <w:top w:val="none" w:sz="0" w:space="0" w:color="auto"/>
                        <w:left w:val="none" w:sz="0" w:space="0" w:color="auto"/>
                        <w:bottom w:val="none" w:sz="0" w:space="0" w:color="auto"/>
                        <w:right w:val="none" w:sz="0" w:space="0" w:color="auto"/>
                      </w:divBdr>
                      <w:divsChild>
                        <w:div w:id="521357504">
                          <w:marLeft w:val="0"/>
                          <w:marRight w:val="0"/>
                          <w:marTop w:val="0"/>
                          <w:marBottom w:val="0"/>
                          <w:divBdr>
                            <w:top w:val="none" w:sz="0" w:space="0" w:color="auto"/>
                            <w:left w:val="none" w:sz="0" w:space="0" w:color="auto"/>
                            <w:bottom w:val="none" w:sz="0" w:space="0" w:color="auto"/>
                            <w:right w:val="none" w:sz="0" w:space="0" w:color="auto"/>
                          </w:divBdr>
                          <w:divsChild>
                            <w:div w:id="1882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283699">
      <w:bodyDiv w:val="1"/>
      <w:marLeft w:val="0"/>
      <w:marRight w:val="0"/>
      <w:marTop w:val="0"/>
      <w:marBottom w:val="0"/>
      <w:divBdr>
        <w:top w:val="none" w:sz="0" w:space="0" w:color="auto"/>
        <w:left w:val="none" w:sz="0" w:space="0" w:color="auto"/>
        <w:bottom w:val="none" w:sz="0" w:space="0" w:color="auto"/>
        <w:right w:val="none" w:sz="0" w:space="0" w:color="auto"/>
      </w:divBdr>
    </w:div>
    <w:div w:id="1574000788">
      <w:bodyDiv w:val="1"/>
      <w:marLeft w:val="0"/>
      <w:marRight w:val="0"/>
      <w:marTop w:val="0"/>
      <w:marBottom w:val="0"/>
      <w:divBdr>
        <w:top w:val="none" w:sz="0" w:space="0" w:color="auto"/>
        <w:left w:val="none" w:sz="0" w:space="0" w:color="auto"/>
        <w:bottom w:val="none" w:sz="0" w:space="0" w:color="auto"/>
        <w:right w:val="none" w:sz="0" w:space="0" w:color="auto"/>
      </w:divBdr>
    </w:div>
    <w:div w:id="1663200094">
      <w:bodyDiv w:val="1"/>
      <w:marLeft w:val="0"/>
      <w:marRight w:val="0"/>
      <w:marTop w:val="0"/>
      <w:marBottom w:val="0"/>
      <w:divBdr>
        <w:top w:val="none" w:sz="0" w:space="0" w:color="auto"/>
        <w:left w:val="none" w:sz="0" w:space="0" w:color="auto"/>
        <w:bottom w:val="none" w:sz="0" w:space="0" w:color="auto"/>
        <w:right w:val="none" w:sz="0" w:space="0" w:color="auto"/>
      </w:divBdr>
    </w:div>
    <w:div w:id="1764105807">
      <w:bodyDiv w:val="1"/>
      <w:marLeft w:val="0"/>
      <w:marRight w:val="0"/>
      <w:marTop w:val="0"/>
      <w:marBottom w:val="0"/>
      <w:divBdr>
        <w:top w:val="none" w:sz="0" w:space="0" w:color="auto"/>
        <w:left w:val="none" w:sz="0" w:space="0" w:color="auto"/>
        <w:bottom w:val="none" w:sz="0" w:space="0" w:color="auto"/>
        <w:right w:val="none" w:sz="0" w:space="0" w:color="auto"/>
      </w:divBdr>
    </w:div>
    <w:div w:id="1878657664">
      <w:bodyDiv w:val="1"/>
      <w:marLeft w:val="0"/>
      <w:marRight w:val="0"/>
      <w:marTop w:val="0"/>
      <w:marBottom w:val="0"/>
      <w:divBdr>
        <w:top w:val="none" w:sz="0" w:space="0" w:color="auto"/>
        <w:left w:val="none" w:sz="0" w:space="0" w:color="auto"/>
        <w:bottom w:val="none" w:sz="0" w:space="0" w:color="auto"/>
        <w:right w:val="none" w:sz="0" w:space="0" w:color="auto"/>
      </w:divBdr>
    </w:div>
    <w:div w:id="1895891123">
      <w:bodyDiv w:val="1"/>
      <w:marLeft w:val="0"/>
      <w:marRight w:val="0"/>
      <w:marTop w:val="0"/>
      <w:marBottom w:val="0"/>
      <w:divBdr>
        <w:top w:val="none" w:sz="0" w:space="0" w:color="auto"/>
        <w:left w:val="none" w:sz="0" w:space="0" w:color="auto"/>
        <w:bottom w:val="none" w:sz="0" w:space="0" w:color="auto"/>
        <w:right w:val="none" w:sz="0" w:space="0" w:color="auto"/>
      </w:divBdr>
    </w:div>
    <w:div w:id="1984966467">
      <w:bodyDiv w:val="1"/>
      <w:marLeft w:val="0"/>
      <w:marRight w:val="0"/>
      <w:marTop w:val="0"/>
      <w:marBottom w:val="0"/>
      <w:divBdr>
        <w:top w:val="none" w:sz="0" w:space="0" w:color="auto"/>
        <w:left w:val="none" w:sz="0" w:space="0" w:color="auto"/>
        <w:bottom w:val="none" w:sz="0" w:space="0" w:color="auto"/>
        <w:right w:val="none" w:sz="0" w:space="0" w:color="auto"/>
      </w:divBdr>
    </w:div>
    <w:div w:id="2002347332">
      <w:bodyDiv w:val="1"/>
      <w:marLeft w:val="0"/>
      <w:marRight w:val="0"/>
      <w:marTop w:val="0"/>
      <w:marBottom w:val="0"/>
      <w:divBdr>
        <w:top w:val="none" w:sz="0" w:space="0" w:color="auto"/>
        <w:left w:val="none" w:sz="0" w:space="0" w:color="auto"/>
        <w:bottom w:val="none" w:sz="0" w:space="0" w:color="auto"/>
        <w:right w:val="none" w:sz="0" w:space="0" w:color="auto"/>
      </w:divBdr>
    </w:div>
    <w:div w:id="20398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730AA-699B-4529-B670-A3A11338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4951</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DELL</cp:lastModifiedBy>
  <cp:revision>24</cp:revision>
  <dcterms:created xsi:type="dcterms:W3CDTF">2025-10-15T19:09:00Z</dcterms:created>
  <dcterms:modified xsi:type="dcterms:W3CDTF">2025-10-22T17:34:00Z</dcterms:modified>
</cp:coreProperties>
</file>