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BB8F" w14:textId="77777777" w:rsidR="00754C9A" w:rsidRDefault="00754C9A" w:rsidP="00441B6F">
      <w:pPr>
        <w:pStyle w:val="Title"/>
        <w:spacing w:after="0"/>
        <w:jc w:val="both"/>
        <w:rPr>
          <w:rFonts w:ascii="Arial" w:hAnsi="Arial" w:cs="Arial"/>
        </w:rPr>
      </w:pPr>
    </w:p>
    <w:p w14:paraId="36C0EC46" w14:textId="77777777" w:rsidR="008D36E3" w:rsidRPr="008D36E3" w:rsidRDefault="008D36E3" w:rsidP="008D36E3">
      <w:pPr>
        <w:pStyle w:val="Author"/>
        <w:spacing w:line="240" w:lineRule="auto"/>
        <w:rPr>
          <w:rFonts w:ascii="Arial" w:hAnsi="Arial" w:cs="Arial"/>
          <w:bCs/>
          <w:iCs/>
          <w:kern w:val="28"/>
          <w:sz w:val="36"/>
          <w:lang w:val="en-IN"/>
        </w:rPr>
      </w:pPr>
      <w:commentRangeStart w:id="0"/>
      <w:r w:rsidRPr="008D36E3">
        <w:rPr>
          <w:rFonts w:ascii="Arial" w:hAnsi="Arial" w:cs="Arial"/>
          <w:bCs/>
          <w:iCs/>
          <w:kern w:val="28"/>
          <w:sz w:val="36"/>
          <w:lang w:val="en-IN"/>
        </w:rPr>
        <w:t>Optimizing Rice Productivity and Soil Health through Combined Application of Organic Amendments, Biofertilizer, and Chemical Fertilizers in lower Gangetic alluvial zone of West Bengal</w:t>
      </w:r>
      <w:commentRangeEnd w:id="0"/>
      <w:r w:rsidR="00060811">
        <w:rPr>
          <w:rStyle w:val="CommentReference"/>
          <w:rFonts w:ascii="Times New Roman" w:hAnsi="Times New Roman"/>
          <w:b w:val="0"/>
          <w:lang w:val="nb-NO" w:eastAsia="nb-NO"/>
        </w:rPr>
        <w:commentReference w:id="0"/>
      </w:r>
    </w:p>
    <w:p w14:paraId="083FAF0A" w14:textId="77777777" w:rsidR="00A258C3" w:rsidRPr="00790ADA" w:rsidRDefault="00A258C3" w:rsidP="00441B6F">
      <w:pPr>
        <w:pStyle w:val="Author"/>
        <w:spacing w:line="240" w:lineRule="auto"/>
        <w:jc w:val="both"/>
        <w:rPr>
          <w:rFonts w:ascii="Arial" w:hAnsi="Arial" w:cs="Arial"/>
          <w:sz w:val="36"/>
        </w:rPr>
      </w:pPr>
    </w:p>
    <w:p w14:paraId="1052DCD0" w14:textId="77777777" w:rsidR="002C57D2" w:rsidRPr="00FB3A86" w:rsidRDefault="002C57D2" w:rsidP="00441B6F">
      <w:pPr>
        <w:pStyle w:val="Affiliation"/>
        <w:spacing w:after="0" w:line="240" w:lineRule="auto"/>
        <w:jc w:val="both"/>
        <w:rPr>
          <w:rFonts w:ascii="Arial" w:hAnsi="Arial" w:cs="Arial"/>
        </w:rPr>
      </w:pPr>
    </w:p>
    <w:p w14:paraId="55EDD4C7" w14:textId="4A08A255" w:rsidR="00B01FCD" w:rsidRPr="00FB3A86" w:rsidRDefault="008D36E3" w:rsidP="00441B6F">
      <w:pPr>
        <w:pStyle w:val="Copyright"/>
        <w:spacing w:after="0" w:line="240" w:lineRule="auto"/>
        <w:jc w:val="both"/>
        <w:rPr>
          <w:rFonts w:ascii="Arial" w:hAnsi="Arial" w:cs="Arial"/>
        </w:rPr>
        <w:sectPr w:rsidR="00B01FCD" w:rsidRPr="00FB3A86" w:rsidSect="004A4045">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2ECF46" wp14:editId="4EA278FF">
                <wp:extent cx="5303520" cy="635"/>
                <wp:effectExtent l="11430" t="10795" r="9525" b="17780"/>
                <wp:docPr id="705432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1072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E6200A" w14:textId="77777777" w:rsidR="000E0167" w:rsidRDefault="000E0167" w:rsidP="00441B6F">
      <w:pPr>
        <w:pStyle w:val="AbstHead"/>
        <w:spacing w:after="0"/>
        <w:jc w:val="both"/>
        <w:rPr>
          <w:rFonts w:ascii="Arial" w:hAnsi="Arial" w:cs="Arial"/>
        </w:rPr>
      </w:pPr>
    </w:p>
    <w:p w14:paraId="2008BF7F" w14:textId="1292482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A71F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77D8A2" w14:textId="77777777" w:rsidTr="001E44FE">
        <w:tc>
          <w:tcPr>
            <w:tcW w:w="9576" w:type="dxa"/>
            <w:shd w:val="clear" w:color="auto" w:fill="F2F2F2"/>
          </w:tcPr>
          <w:p w14:paraId="7E3FBECC" w14:textId="31C6274C" w:rsidR="000B4B7B"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0B4B7B" w:rsidRPr="000B4B7B">
              <w:rPr>
                <w:rFonts w:ascii="Arial" w:eastAsia="Calibri" w:hAnsi="Arial" w:cs="Arial"/>
                <w:szCs w:val="22"/>
              </w:rPr>
              <w:t xml:space="preserve">To evaluate the influence of </w:t>
            </w:r>
            <w:r w:rsidR="000B4B7B">
              <w:rPr>
                <w:rFonts w:ascii="Arial" w:eastAsia="Calibri" w:hAnsi="Arial" w:cs="Arial"/>
                <w:szCs w:val="22"/>
              </w:rPr>
              <w:t>various</w:t>
            </w:r>
            <w:r w:rsidR="000B4B7B" w:rsidRPr="000B4B7B">
              <w:rPr>
                <w:rFonts w:ascii="Arial" w:eastAsia="Calibri" w:hAnsi="Arial" w:cs="Arial"/>
                <w:szCs w:val="22"/>
              </w:rPr>
              <w:t xml:space="preserve"> nutrient management</w:t>
            </w:r>
            <w:r w:rsidR="000B4B7B">
              <w:rPr>
                <w:rFonts w:ascii="Arial" w:eastAsia="Calibri" w:hAnsi="Arial" w:cs="Arial"/>
                <w:szCs w:val="22"/>
              </w:rPr>
              <w:t xml:space="preserve"> approaches</w:t>
            </w:r>
            <w:r w:rsidR="000B4B7B" w:rsidRPr="000B4B7B">
              <w:rPr>
                <w:rFonts w:ascii="Arial" w:eastAsia="Calibri" w:hAnsi="Arial" w:cs="Arial"/>
                <w:szCs w:val="22"/>
              </w:rPr>
              <w:t xml:space="preserve"> involving organic amendments, biofertilizer, and chemical fertilizers on soil </w:t>
            </w:r>
            <w:r w:rsidR="000B4B7B">
              <w:rPr>
                <w:rFonts w:ascii="Arial" w:eastAsia="Calibri" w:hAnsi="Arial" w:cs="Arial"/>
                <w:szCs w:val="22"/>
              </w:rPr>
              <w:t>health and plant health</w:t>
            </w:r>
            <w:r w:rsidR="000B4B7B" w:rsidRPr="000B4B7B">
              <w:rPr>
                <w:rFonts w:ascii="Arial" w:eastAsia="Calibri" w:hAnsi="Arial" w:cs="Arial"/>
                <w:szCs w:val="22"/>
              </w:rPr>
              <w:t xml:space="preserve"> of rice under the lower Gangetic alluvial zone of West Bengal</w:t>
            </w:r>
            <w:r w:rsidR="000B4B7B" w:rsidRPr="000B4B7B">
              <w:rPr>
                <w:rFonts w:ascii="Arial" w:eastAsia="Calibri" w:hAnsi="Arial" w:cs="Arial"/>
                <w:b/>
                <w:szCs w:val="22"/>
              </w:rPr>
              <w:t xml:space="preserve"> </w:t>
            </w:r>
          </w:p>
          <w:p w14:paraId="103A2E13" w14:textId="085CD3BF" w:rsidR="000B4B7B" w:rsidRDefault="000B4B7B" w:rsidP="00441B6F">
            <w:pPr>
              <w:pStyle w:val="Body"/>
              <w:spacing w:after="0"/>
              <w:rPr>
                <w:rFonts w:ascii="Arial" w:eastAsia="Calibri" w:hAnsi="Arial" w:cs="Arial"/>
                <w:b/>
                <w:szCs w:val="22"/>
              </w:rPr>
            </w:pPr>
            <w:r>
              <w:rPr>
                <w:rFonts w:ascii="Arial" w:eastAsia="Calibri" w:hAnsi="Arial" w:cs="Arial"/>
                <w:b/>
                <w:szCs w:val="22"/>
              </w:rPr>
              <w:t xml:space="preserve">Study Design: </w:t>
            </w:r>
            <w:r w:rsidRPr="000B4B7B">
              <w:rPr>
                <w:rFonts w:ascii="Arial" w:eastAsia="Calibri" w:hAnsi="Arial" w:cs="Arial"/>
                <w:bCs/>
                <w:szCs w:val="22"/>
              </w:rPr>
              <w:t>A Randomized Block Design (RBD) was employed with six treatments and four replications.</w:t>
            </w:r>
          </w:p>
          <w:p w14:paraId="6EE942BC" w14:textId="715147A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B4B7B" w:rsidRPr="000B4B7B">
              <w:rPr>
                <w:rFonts w:ascii="Arial" w:eastAsia="Calibri" w:hAnsi="Arial" w:cs="Arial"/>
                <w:szCs w:val="22"/>
              </w:rPr>
              <w:t>The study was conducted at the Agricultural Experimental Farm, University of Calcutta, Baruipur</w:t>
            </w:r>
            <w:r w:rsidR="000B4B7B">
              <w:rPr>
                <w:rFonts w:ascii="Arial" w:eastAsia="Calibri" w:hAnsi="Arial" w:cs="Arial"/>
                <w:szCs w:val="22"/>
              </w:rPr>
              <w:t>, South 24 Parganas, West Bengal</w:t>
            </w:r>
            <w:r w:rsidR="000B4B7B" w:rsidRPr="000B4B7B">
              <w:t xml:space="preserve"> </w:t>
            </w:r>
            <w:r w:rsidR="000B4B7B" w:rsidRPr="000B4B7B">
              <w:rPr>
                <w:rFonts w:ascii="Arial" w:eastAsia="Calibri" w:hAnsi="Arial" w:cs="Arial"/>
                <w:szCs w:val="22"/>
              </w:rPr>
              <w:t>during the Rabi season of 2024–25.</w:t>
            </w:r>
            <w:r w:rsidR="000B4B7B">
              <w:rPr>
                <w:rFonts w:ascii="Arial" w:eastAsia="Calibri" w:hAnsi="Arial" w:cs="Arial"/>
                <w:szCs w:val="22"/>
              </w:rPr>
              <w:t xml:space="preserve"> Laboratory studies were undertaken in the Department of Agricultural chemistry and soil science and Department of Agronomy, University of Calcutta, Kolkata-700019.</w:t>
            </w:r>
          </w:p>
          <w:p w14:paraId="05B2150B" w14:textId="01154D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91351" w:rsidRPr="00391351">
              <w:rPr>
                <w:rFonts w:ascii="Arial" w:eastAsia="Calibri" w:hAnsi="Arial" w:cs="Arial"/>
                <w:szCs w:val="22"/>
              </w:rPr>
              <w:t xml:space="preserve">The rice variety MTU 1153 was transplanted at uniform spacing and managed according to standard agronomic practices. Organic manures and biofertilizers were incorporated into the soil before transplanting. The full dose of phosphorus and potassium along with half of the nitrogen was applied as basal, while the remaining nitrogen was top-dressed at 45 days after transplanting. Soil samples were collected from a depth of 0–15 cm and analyzed for </w:t>
            </w:r>
            <w:r w:rsidR="00D1075B">
              <w:rPr>
                <w:rFonts w:ascii="Arial" w:eastAsia="Calibri" w:hAnsi="Arial" w:cs="Arial"/>
                <w:szCs w:val="22"/>
              </w:rPr>
              <w:t xml:space="preserve">soil physico-chemical parameters </w:t>
            </w:r>
            <w:r w:rsidR="00391351" w:rsidRPr="00391351">
              <w:rPr>
                <w:rFonts w:ascii="Arial" w:eastAsia="Calibri" w:hAnsi="Arial" w:cs="Arial"/>
                <w:szCs w:val="22"/>
              </w:rPr>
              <w:t>using standard analytical procedures</w:t>
            </w:r>
            <w:r w:rsidR="00901E27">
              <w:rPr>
                <w:rFonts w:ascii="Arial" w:eastAsia="Calibri" w:hAnsi="Arial" w:cs="Arial"/>
                <w:szCs w:val="22"/>
              </w:rPr>
              <w:t xml:space="preserve"> during various growth stages of rice</w:t>
            </w:r>
            <w:r w:rsidR="00391351" w:rsidRPr="00391351">
              <w:rPr>
                <w:rFonts w:ascii="Arial" w:eastAsia="Calibri" w:hAnsi="Arial" w:cs="Arial"/>
                <w:szCs w:val="22"/>
              </w:rPr>
              <w:t xml:space="preserve">. Observations on </w:t>
            </w:r>
            <w:r w:rsidR="0075235A">
              <w:rPr>
                <w:rFonts w:ascii="Arial" w:eastAsia="Calibri" w:hAnsi="Arial" w:cs="Arial"/>
                <w:szCs w:val="22"/>
              </w:rPr>
              <w:t>growth attributes of rice</w:t>
            </w:r>
            <w:r w:rsidR="00391351" w:rsidRPr="00391351">
              <w:rPr>
                <w:rFonts w:ascii="Arial" w:eastAsia="Calibri" w:hAnsi="Arial" w:cs="Arial"/>
                <w:szCs w:val="22"/>
              </w:rPr>
              <w:t xml:space="preserve"> were recorded at 30, 60 days after transplanting, and at harvest. Yield and yield attributes were measured from the net plot area and expressed in quintals per hectare. The data were subjected to analysis of variance at a five percent level of significance.</w:t>
            </w:r>
          </w:p>
          <w:p w14:paraId="3BEB97B2" w14:textId="2727FCB5" w:rsidR="00391351" w:rsidRPr="00391351" w:rsidRDefault="00BA1B01" w:rsidP="00391351">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440CB6" w:rsidRPr="00440CB6">
              <w:rPr>
                <w:rFonts w:ascii="Arial" w:eastAsia="Calibri" w:hAnsi="Arial" w:cs="Arial"/>
                <w:szCs w:val="22"/>
                <w:lang w:val="en-IN"/>
              </w:rPr>
              <w:t>Integrated treatments significantly enhanced soil CEC and OC, with T6 (organic amendments +Bio fertilizer+ 100% RDF) recording the highest values. Available nitrogen, phosphorus, and potassium were consistently higher in integrated nutrient treatments compared to sole chemical fertilizers, reflecting improved nutrient retention and slow mineralization from organic sources.</w:t>
            </w:r>
            <w:r w:rsidR="00440CB6">
              <w:rPr>
                <w:rFonts w:ascii="Arial" w:eastAsia="Calibri" w:hAnsi="Arial" w:cs="Arial"/>
                <w:szCs w:val="22"/>
                <w:lang w:val="en-IN"/>
              </w:rPr>
              <w:t xml:space="preserve"> </w:t>
            </w:r>
            <w:r w:rsidR="00391351" w:rsidRPr="00391351">
              <w:rPr>
                <w:rFonts w:ascii="Arial" w:eastAsia="Calibri" w:hAnsi="Arial" w:cs="Arial"/>
                <w:szCs w:val="22"/>
                <w:lang w:val="en-IN"/>
              </w:rPr>
              <w:t>Significant variations (p &lt; 0.05) were observed among treatments for growth and yield parameters. The highest plant height (</w:t>
            </w:r>
            <w:r w:rsidR="0075235A">
              <w:rPr>
                <w:rFonts w:ascii="Arial" w:eastAsia="Calibri" w:hAnsi="Arial" w:cs="Arial"/>
                <w:szCs w:val="22"/>
                <w:lang w:val="en-IN"/>
              </w:rPr>
              <w:t>107</w:t>
            </w:r>
            <w:r w:rsidR="00391351" w:rsidRPr="00391351">
              <w:rPr>
                <w:rFonts w:ascii="Arial" w:eastAsia="Calibri" w:hAnsi="Arial" w:cs="Arial"/>
                <w:szCs w:val="22"/>
                <w:lang w:val="en-IN"/>
              </w:rPr>
              <w:t xml:space="preserve"> cm), </w:t>
            </w:r>
            <w:r w:rsidR="0075235A">
              <w:rPr>
                <w:rFonts w:ascii="Arial" w:eastAsia="Calibri" w:hAnsi="Arial" w:cs="Arial"/>
                <w:szCs w:val="22"/>
                <w:lang w:val="en-IN"/>
              </w:rPr>
              <w:t xml:space="preserve">Crop growth </w:t>
            </w:r>
            <w:r w:rsidR="00154741">
              <w:rPr>
                <w:rFonts w:ascii="Arial" w:eastAsia="Calibri" w:hAnsi="Arial" w:cs="Arial"/>
                <w:szCs w:val="22"/>
                <w:lang w:val="en-IN"/>
              </w:rPr>
              <w:t xml:space="preserve">rate </w:t>
            </w:r>
            <w:r w:rsidR="00154741" w:rsidRPr="00391351">
              <w:rPr>
                <w:rFonts w:ascii="Arial" w:eastAsia="Calibri" w:hAnsi="Arial" w:cs="Arial"/>
                <w:szCs w:val="22"/>
                <w:lang w:val="en-IN"/>
              </w:rPr>
              <w:t>(</w:t>
            </w:r>
            <w:r w:rsidR="00154741">
              <w:rPr>
                <w:rFonts w:ascii="Arial" w:eastAsia="Calibri" w:hAnsi="Arial" w:cs="Arial"/>
                <w:szCs w:val="22"/>
                <w:lang w:val="en-IN"/>
              </w:rPr>
              <w:t>24.76 g</w:t>
            </w:r>
            <w:r w:rsidR="00391351" w:rsidRPr="00391351">
              <w:rPr>
                <w:rFonts w:ascii="Arial" w:eastAsia="Calibri" w:hAnsi="Arial" w:cs="Arial"/>
                <w:szCs w:val="22"/>
                <w:lang w:val="en-IN"/>
              </w:rPr>
              <w:t xml:space="preserve"> m</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²</w:t>
            </w:r>
            <w:r w:rsidR="00154741">
              <w:rPr>
                <w:rFonts w:ascii="Arial" w:eastAsia="Calibri" w:hAnsi="Arial" w:cs="Arial"/>
                <w:szCs w:val="22"/>
                <w:lang w:val="en-IN"/>
              </w:rPr>
              <w:t xml:space="preserve"> day</w:t>
            </w:r>
            <w:r w:rsidR="00154741" w:rsidRPr="00154741">
              <w:rPr>
                <w:rFonts w:ascii="Arial" w:eastAsia="Calibri" w:hAnsi="Arial" w:cs="Arial"/>
                <w:szCs w:val="22"/>
                <w:vertAlign w:val="superscript"/>
                <w:lang w:val="en-IN"/>
              </w:rPr>
              <w:t>-1</w:t>
            </w:r>
            <w:r w:rsidR="00391351" w:rsidRPr="00391351">
              <w:rPr>
                <w:rFonts w:ascii="Arial" w:eastAsia="Calibri" w:hAnsi="Arial" w:cs="Arial"/>
                <w:szCs w:val="22"/>
                <w:lang w:val="en-IN"/>
              </w:rPr>
              <w:t>), and dry matter accumulation (12</w:t>
            </w:r>
            <w:r w:rsidR="00154741">
              <w:rPr>
                <w:rFonts w:ascii="Arial" w:eastAsia="Calibri" w:hAnsi="Arial" w:cs="Arial"/>
                <w:szCs w:val="22"/>
                <w:lang w:val="en-IN"/>
              </w:rPr>
              <w:t xml:space="preserve">66.74 </w:t>
            </w:r>
            <w:r w:rsidR="00391351" w:rsidRPr="00391351">
              <w:rPr>
                <w:rFonts w:ascii="Arial" w:eastAsia="Calibri" w:hAnsi="Arial" w:cs="Arial"/>
                <w:szCs w:val="22"/>
                <w:lang w:val="en-IN"/>
              </w:rPr>
              <w:t>g m</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²) were recorded at harvest under integrated nutrient management</w:t>
            </w:r>
            <w:r w:rsidR="00154741">
              <w:rPr>
                <w:rFonts w:ascii="Arial" w:eastAsia="Calibri" w:hAnsi="Arial" w:cs="Arial"/>
                <w:szCs w:val="22"/>
                <w:lang w:val="en-IN"/>
              </w:rPr>
              <w:t xml:space="preserve"> which involved organic amendments, biofertilizer and chemical </w:t>
            </w:r>
            <w:r w:rsidR="00901E27">
              <w:rPr>
                <w:rFonts w:ascii="Arial" w:eastAsia="Calibri" w:hAnsi="Arial" w:cs="Arial"/>
                <w:szCs w:val="22"/>
                <w:lang w:val="en-IN"/>
              </w:rPr>
              <w:t>fertilizer (T5 and T6)</w:t>
            </w:r>
            <w:r w:rsidR="00154741">
              <w:rPr>
                <w:rFonts w:ascii="Arial" w:eastAsia="Calibri" w:hAnsi="Arial" w:cs="Arial"/>
                <w:szCs w:val="22"/>
                <w:lang w:val="en-IN"/>
              </w:rPr>
              <w:t>.</w:t>
            </w:r>
            <w:r w:rsidR="00391351" w:rsidRPr="00391351">
              <w:rPr>
                <w:rFonts w:ascii="Arial" w:eastAsia="Calibri" w:hAnsi="Arial" w:cs="Arial"/>
                <w:szCs w:val="22"/>
                <w:lang w:val="en-IN"/>
              </w:rPr>
              <w:t xml:space="preserve"> Grain yield increased significantly from 27.</w:t>
            </w:r>
            <w:r w:rsidR="00154741">
              <w:rPr>
                <w:rFonts w:ascii="Arial" w:eastAsia="Calibri" w:hAnsi="Arial" w:cs="Arial"/>
                <w:szCs w:val="22"/>
                <w:lang w:val="en-IN"/>
              </w:rPr>
              <w:t>37</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 xml:space="preserve">¹ in control to </w:t>
            </w:r>
            <w:r w:rsidR="00154741">
              <w:rPr>
                <w:rFonts w:ascii="Arial" w:eastAsia="Calibri" w:hAnsi="Arial" w:cs="Arial"/>
                <w:szCs w:val="22"/>
                <w:lang w:val="en-IN"/>
              </w:rPr>
              <w:t>45.48</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¹ in the treatment</w:t>
            </w:r>
            <w:r w:rsidR="00154741">
              <w:rPr>
                <w:rFonts w:ascii="Arial" w:eastAsia="Calibri" w:hAnsi="Arial" w:cs="Arial"/>
                <w:szCs w:val="22"/>
                <w:lang w:val="en-IN"/>
              </w:rPr>
              <w:t>(T5)</w:t>
            </w:r>
            <w:r w:rsidR="00391351" w:rsidRPr="00391351">
              <w:rPr>
                <w:rFonts w:ascii="Arial" w:eastAsia="Calibri" w:hAnsi="Arial" w:cs="Arial"/>
                <w:szCs w:val="22"/>
                <w:lang w:val="en-IN"/>
              </w:rPr>
              <w:t>, while straw yield rose from 38.3</w:t>
            </w:r>
            <w:r w:rsidR="00154741">
              <w:rPr>
                <w:rFonts w:ascii="Arial" w:eastAsia="Calibri" w:hAnsi="Arial" w:cs="Arial"/>
                <w:szCs w:val="22"/>
                <w:lang w:val="en-IN"/>
              </w:rPr>
              <w:t>4</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 xml:space="preserve">¹ to </w:t>
            </w:r>
            <w:r w:rsidR="00154741">
              <w:rPr>
                <w:rFonts w:ascii="Arial" w:eastAsia="Calibri" w:hAnsi="Arial" w:cs="Arial"/>
                <w:szCs w:val="22"/>
                <w:lang w:val="en-IN"/>
              </w:rPr>
              <w:t>58.31</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¹. ANOVA confirmed treatment effects were significant (p &lt; 0.05) for all major growth and yield traits.</w:t>
            </w:r>
          </w:p>
          <w:p w14:paraId="3853D0A3" w14:textId="1086E56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D1075B" w:rsidRPr="00B379B6">
              <w:rPr>
                <w:rFonts w:ascii="Times New Roman" w:hAnsi="Times New Roman"/>
              </w:rPr>
              <w:t xml:space="preserve"> </w:t>
            </w:r>
            <w:r w:rsidR="00D1075B" w:rsidRPr="00D1075B">
              <w:rPr>
                <w:rFonts w:ascii="Arial" w:hAnsi="Arial" w:cs="Arial"/>
              </w:rPr>
              <w:t>These findings highlight the potential of INM as a sustainable strategy for intensive rice cultivation in Gangetic alluvial soils.</w:t>
            </w:r>
            <w:r w:rsidR="00D1075B">
              <w:rPr>
                <w:rFonts w:ascii="Arial" w:hAnsi="Arial" w:cs="Arial"/>
              </w:rPr>
              <w:t xml:space="preserve"> </w:t>
            </w:r>
            <w:r w:rsidR="00440CB6" w:rsidRPr="00440CB6">
              <w:rPr>
                <w:rFonts w:ascii="Arial" w:eastAsia="Calibri" w:hAnsi="Arial" w:cs="Arial"/>
                <w:szCs w:val="22"/>
                <w:lang w:val="en-IN"/>
              </w:rPr>
              <w:t xml:space="preserve">Although short-term effects on soil </w:t>
            </w:r>
            <w:proofErr w:type="spellStart"/>
            <w:r w:rsidR="00440CB6" w:rsidRPr="00440CB6">
              <w:rPr>
                <w:rFonts w:ascii="Arial" w:eastAsia="Calibri" w:hAnsi="Arial" w:cs="Arial"/>
                <w:szCs w:val="22"/>
                <w:lang w:val="en-IN"/>
              </w:rPr>
              <w:t>physico</w:t>
            </w:r>
            <w:proofErr w:type="spellEnd"/>
            <w:r w:rsidR="00440CB6" w:rsidRPr="00440CB6">
              <w:rPr>
                <w:rFonts w:ascii="Arial" w:eastAsia="Calibri" w:hAnsi="Arial" w:cs="Arial"/>
                <w:szCs w:val="22"/>
                <w:lang w:val="en-IN"/>
              </w:rPr>
              <w:t xml:space="preserve">-chemical properties were observed, substantial improvements require repeated application over multiple seasons. </w:t>
            </w:r>
          </w:p>
        </w:tc>
      </w:tr>
    </w:tbl>
    <w:p w14:paraId="4ABE630B" w14:textId="77777777" w:rsidR="00636EB2" w:rsidRDefault="00636EB2" w:rsidP="00441B6F">
      <w:pPr>
        <w:pStyle w:val="Body"/>
        <w:spacing w:after="0"/>
        <w:rPr>
          <w:rFonts w:ascii="Arial" w:hAnsi="Arial" w:cs="Arial"/>
          <w:i/>
        </w:rPr>
      </w:pPr>
    </w:p>
    <w:p w14:paraId="694D9938" w14:textId="2F1919B1" w:rsidR="0024282C" w:rsidRPr="00440CB6" w:rsidRDefault="00A24E7E" w:rsidP="00441B6F">
      <w:pPr>
        <w:pStyle w:val="Body"/>
        <w:spacing w:after="0"/>
        <w:rPr>
          <w:rFonts w:ascii="Arial" w:hAnsi="Arial" w:cs="Arial"/>
          <w:i/>
        </w:rPr>
      </w:pPr>
      <w:r>
        <w:rPr>
          <w:rFonts w:ascii="Arial" w:hAnsi="Arial" w:cs="Arial"/>
          <w:i/>
        </w:rPr>
        <w:t xml:space="preserve">Keywords: </w:t>
      </w:r>
      <w:r w:rsidR="00440CB6" w:rsidRPr="00440CB6">
        <w:rPr>
          <w:rFonts w:ascii="Arial" w:hAnsi="Arial" w:cs="Arial"/>
          <w:i/>
          <w:lang w:val="en-IN"/>
        </w:rPr>
        <w:t>Bio-fertilizer, INM, Physio- chemical Property, Rice productivity, Sustainability.</w:t>
      </w:r>
    </w:p>
    <w:p w14:paraId="60FBEA42" w14:textId="77777777" w:rsidR="00505F06" w:rsidRPr="00A24E7E" w:rsidRDefault="00505F06" w:rsidP="00441B6F">
      <w:pPr>
        <w:pStyle w:val="Body"/>
        <w:spacing w:after="0"/>
        <w:rPr>
          <w:rFonts w:ascii="Arial" w:hAnsi="Arial" w:cs="Arial"/>
          <w:i/>
        </w:rPr>
      </w:pPr>
    </w:p>
    <w:p w14:paraId="3B56DBEA" w14:textId="544002F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E3F761B" w14:textId="77777777" w:rsidR="00790ADA" w:rsidRPr="00FB3A86" w:rsidRDefault="00790ADA" w:rsidP="00441B6F">
      <w:pPr>
        <w:pStyle w:val="AbstHead"/>
        <w:spacing w:after="0"/>
        <w:jc w:val="both"/>
        <w:rPr>
          <w:rFonts w:ascii="Arial" w:hAnsi="Arial" w:cs="Arial"/>
        </w:rPr>
      </w:pPr>
    </w:p>
    <w:p w14:paraId="7B685726"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The growing global population and its increasing demand for food have placed tremendous pressure on agricultural systems, leading to excessive exploitation of natural resources and degradation of soil health. Ensuring food and nutritional security through sustainable agricultural practices has thus become one of the most critical challenges, particularly in developing nations like India. After the era of green revolution (1960’s), the widespread use of chemical fertilizers has significantly boosted agricultural productivity; however, their indiscriminate and imbalanced application has resulted in nutrient depletion, soil degradation, and environmental pollution. The dependence on inorganic fertilizers alone has disrupted soil microbial balance, reduced soil organic matter, and adversely affected soil structure and fertility.</w:t>
      </w:r>
    </w:p>
    <w:p w14:paraId="6CE44EBA"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Recent estimates indicate that the fertilizer industry in India has achieved substantial growth, with its market value reaching approximately Rs. 887 billion. Projections suggest a continued upward trend, with an anticipated compound annual growth rate (CAGR) of about 5.5% by the year 2026 (International Fertilizer Association, 2020). This steady expansion reflects the rising demand for fertilizers driven by the country’s intensive agricultural practices and the growing need to sustain crop productivity under increasing population pressure.</w:t>
      </w:r>
    </w:p>
    <w:p w14:paraId="0DAD3494"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India, being the world’s third-largest producer and consumer of chemical fertilizers, faces a widening nutrient gap as nutrient removal by crops exceeds replenishment through fertilizer application. Continuous reliance on NPK-based formulations has caused deterioration in soil </w:t>
      </w:r>
      <w:proofErr w:type="spellStart"/>
      <w:r w:rsidRPr="00F5387A">
        <w:rPr>
          <w:rFonts w:ascii="Arial" w:hAnsi="Arial" w:cs="Arial"/>
          <w:lang w:val="en-IN"/>
        </w:rPr>
        <w:t>physico</w:t>
      </w:r>
      <w:proofErr w:type="spellEnd"/>
      <w:r w:rsidRPr="00F5387A">
        <w:rPr>
          <w:rFonts w:ascii="Arial" w:hAnsi="Arial" w:cs="Arial"/>
          <w:lang w:val="en-IN"/>
        </w:rPr>
        <w:t>-chemical properties, leading to reduced nutrient-use efficiency and increased greenhouse gas emissions. Hence, sustainable management of soil fertility is imperative to restore and maintain soil productivity while minimizing environmental impact.</w:t>
      </w:r>
    </w:p>
    <w:p w14:paraId="48C6C0BF"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Integrated Nutrient Management (INM) offers a holistic approach by combining chemical fertilizers with organic manures, crop residues, and biofertilizers to ensure balanced nutrient supply and improved soil health. The synergistic use of these nutrient sources enhances soil structure, microbial activity, and nutrient availability, thereby improving crop growth and yield sustainably. </w:t>
      </w:r>
    </w:p>
    <w:p w14:paraId="0BDD34F5"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West Bengal is a predominantly agrarian state where rice constitutes the principal staple food and occupies a central role in the state’s agricultural economy. The </w:t>
      </w:r>
      <w:proofErr w:type="spellStart"/>
      <w:r w:rsidRPr="00F5387A">
        <w:rPr>
          <w:rFonts w:ascii="Arial" w:hAnsi="Arial" w:cs="Arial"/>
          <w:lang w:val="en-IN"/>
        </w:rPr>
        <w:t>agro</w:t>
      </w:r>
      <w:proofErr w:type="spellEnd"/>
      <w:r w:rsidRPr="00F5387A">
        <w:rPr>
          <w:rFonts w:ascii="Arial" w:hAnsi="Arial" w:cs="Arial"/>
          <w:lang w:val="en-IN"/>
        </w:rPr>
        <w:t>-climatic conditions, characterized by high rainfall, humid subtropical climate, and fertile alluvial soils, are highly conducive to rice cultivation. Owing to its extensive rice-growing area and substantial contribution to national rice output, the state is often referred to as the “Rice Bowl of India.”</w:t>
      </w:r>
    </w:p>
    <w:p w14:paraId="40455F1D"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According to the </w:t>
      </w:r>
      <w:commentRangeStart w:id="1"/>
      <w:r w:rsidRPr="00F5387A">
        <w:rPr>
          <w:rFonts w:ascii="Arial" w:hAnsi="Arial" w:cs="Arial"/>
          <w:lang w:val="en-IN"/>
        </w:rPr>
        <w:t xml:space="preserve">Indian Council of Agricultural Research (ICAR), rice cultivation in West Bengal covers approximately 5.8 million hectares of the total cultivated area. Data from the Ministry of Agriculture and Farmers Welfare (2023–24) indicate that the state produced about 15.69 million tonnes of rice, contributing nearly 11.4% to the total national production. In terms of area under cultivation, West Bengal ranks second, while in production it stands third among all Indian states. These figures highlight the state’s pivotal role in ensuring national food security </w:t>
      </w:r>
      <w:commentRangeEnd w:id="1"/>
      <w:r w:rsidR="00060811">
        <w:rPr>
          <w:rStyle w:val="CommentReference"/>
          <w:rFonts w:ascii="Times New Roman" w:hAnsi="Times New Roman"/>
          <w:lang w:val="nb-NO" w:eastAsia="nb-NO"/>
        </w:rPr>
        <w:commentReference w:id="1"/>
      </w:r>
      <w:r w:rsidRPr="00F5387A">
        <w:rPr>
          <w:rFonts w:ascii="Arial" w:hAnsi="Arial" w:cs="Arial"/>
          <w:lang w:val="en-IN"/>
        </w:rPr>
        <w:t>and sustaining the livelihood of millions of farming household’s dependent on rice-based cropping systems.</w:t>
      </w:r>
    </w:p>
    <w:p w14:paraId="405EB9A5"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Rice, a major staple crop in India, demands substantial nutrient inputs for optimal growth. However, conventional fertilizer-based practices often fail to maintain long-term soil fertility. Therefore, adopting diversified nutrient management approaches is essential for sustaining rice productivity while improving soil </w:t>
      </w:r>
      <w:proofErr w:type="spellStart"/>
      <w:r w:rsidRPr="00F5387A">
        <w:rPr>
          <w:rFonts w:ascii="Arial" w:hAnsi="Arial" w:cs="Arial"/>
          <w:lang w:val="en-IN"/>
        </w:rPr>
        <w:t>physico</w:t>
      </w:r>
      <w:proofErr w:type="spellEnd"/>
      <w:r w:rsidRPr="00F5387A">
        <w:rPr>
          <w:rFonts w:ascii="Arial" w:hAnsi="Arial" w:cs="Arial"/>
          <w:lang w:val="en-IN"/>
        </w:rPr>
        <w:t xml:space="preserve">-chemical characteristics. </w:t>
      </w:r>
    </w:p>
    <w:p w14:paraId="00630790" w14:textId="77777777" w:rsidR="00790ADA" w:rsidRPr="00FB3A86" w:rsidRDefault="00790ADA" w:rsidP="00441B6F">
      <w:pPr>
        <w:pStyle w:val="Body"/>
        <w:spacing w:after="0"/>
        <w:rPr>
          <w:rFonts w:ascii="Arial" w:hAnsi="Arial" w:cs="Arial"/>
        </w:rPr>
      </w:pPr>
    </w:p>
    <w:p w14:paraId="2F428A80" w14:textId="7020A44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CBB922" w14:textId="77777777" w:rsidR="00440CB6" w:rsidRPr="00FB3A86" w:rsidRDefault="00440CB6" w:rsidP="00441B6F">
      <w:pPr>
        <w:pStyle w:val="AbstHead"/>
        <w:spacing w:after="0"/>
        <w:jc w:val="both"/>
        <w:rPr>
          <w:rFonts w:ascii="Arial" w:hAnsi="Arial" w:cs="Arial"/>
        </w:rPr>
      </w:pPr>
    </w:p>
    <w:p w14:paraId="2FAF1969"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A field experiment was carried out during the </w:t>
      </w:r>
      <w:r w:rsidRPr="005653F9">
        <w:rPr>
          <w:rFonts w:ascii="Arial" w:hAnsi="Arial" w:cs="Arial"/>
          <w:i/>
          <w:iCs/>
          <w:lang w:val="en-IN"/>
        </w:rPr>
        <w:t xml:space="preserve">Rabi </w:t>
      </w:r>
      <w:r w:rsidRPr="005653F9">
        <w:rPr>
          <w:rFonts w:ascii="Arial" w:hAnsi="Arial" w:cs="Arial"/>
          <w:lang w:val="en-IN"/>
        </w:rPr>
        <w:t xml:space="preserve">season of 2024–2025 at the Agricultural Experimental Farm of Calcutta University, </w:t>
      </w:r>
      <w:proofErr w:type="spellStart"/>
      <w:r w:rsidRPr="005653F9">
        <w:rPr>
          <w:rFonts w:ascii="Arial" w:hAnsi="Arial" w:cs="Arial"/>
          <w:lang w:val="en-IN"/>
        </w:rPr>
        <w:t>Baruipur</w:t>
      </w:r>
      <w:proofErr w:type="spellEnd"/>
      <w:r w:rsidRPr="005653F9">
        <w:rPr>
          <w:rFonts w:ascii="Arial" w:hAnsi="Arial" w:cs="Arial"/>
          <w:lang w:val="en-IN"/>
        </w:rPr>
        <w:t xml:space="preserve">, South 24 Parganas, West Bengal. The experimental site is geographically situated at 22°22′ N latitude and 88°26′ E longitude with an elevation of 128.93 m above mean sea level. The soils of the region come under lower Gangetic alluvial zone, developed from alluvial deposits of the river Ganga, are dominated by </w:t>
      </w:r>
      <w:proofErr w:type="spellStart"/>
      <w:r w:rsidRPr="005653F9">
        <w:rPr>
          <w:rFonts w:ascii="Arial" w:hAnsi="Arial" w:cs="Arial"/>
          <w:lang w:val="en-IN"/>
        </w:rPr>
        <w:t>illite</w:t>
      </w:r>
      <w:proofErr w:type="spellEnd"/>
      <w:r w:rsidRPr="005653F9">
        <w:rPr>
          <w:rFonts w:ascii="Arial" w:hAnsi="Arial" w:cs="Arial"/>
          <w:lang w:val="en-IN"/>
        </w:rPr>
        <w:t>, quartz, and feldspar minerals.</w:t>
      </w:r>
    </w:p>
    <w:p w14:paraId="6B6EA37D"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experiment consisted of six treatment combinations laid out in a Randomized Block Design (RBD) with four replications. The rice variety MTU1153 was selected for the study. Nutrient applications were made as per the respective treatment specifications. Treatment details are T1: Control, T2: 50% RDF(NPK) , T3:100% RDF(NPK) </w:t>
      </w:r>
      <w:commentRangeStart w:id="2"/>
      <w:r w:rsidRPr="005653F9">
        <w:rPr>
          <w:rFonts w:ascii="Arial" w:hAnsi="Arial" w:cs="Arial"/>
          <w:lang w:val="en-IN"/>
        </w:rPr>
        <w:t>, T4: 0.1% Azotobacter + 1% Vermi Compost + 1% Poultry Litter + 1% Oil Cake + 1% Farm Yard Manure</w:t>
      </w:r>
      <w:commentRangeEnd w:id="2"/>
      <w:r w:rsidR="00C37C28">
        <w:rPr>
          <w:rStyle w:val="CommentReference"/>
          <w:rFonts w:ascii="Times New Roman" w:hAnsi="Times New Roman"/>
          <w:lang w:val="nb-NO" w:eastAsia="nb-NO"/>
        </w:rPr>
        <w:commentReference w:id="2"/>
      </w:r>
      <w:r w:rsidRPr="005653F9">
        <w:rPr>
          <w:rFonts w:ascii="Arial" w:hAnsi="Arial" w:cs="Arial"/>
          <w:lang w:val="en-IN"/>
        </w:rPr>
        <w:t>, T5: T4  + 50% RDF(NPK) , T6: T4 + 100% RDF(NPK) , where RDF denotes the recommended dose of fertilizer (120:60:40 kg ha</w:t>
      </w:r>
      <w:r w:rsidRPr="005653F9">
        <w:rPr>
          <w:rFonts w:ascii="Cambria Math" w:hAnsi="Cambria Math" w:cs="Cambria Math"/>
          <w:lang w:val="en-IN"/>
        </w:rPr>
        <w:t>⁻</w:t>
      </w:r>
      <w:r w:rsidRPr="005653F9">
        <w:rPr>
          <w:rFonts w:ascii="Arial" w:hAnsi="Arial" w:cs="Arial"/>
          <w:lang w:val="en-IN"/>
        </w:rPr>
        <w:t>¹ of N:P</w:t>
      </w:r>
      <w:r w:rsidRPr="005653F9">
        <w:rPr>
          <w:rFonts w:ascii="Cambria Math" w:hAnsi="Cambria Math" w:cs="Cambria Math"/>
          <w:lang w:val="en-IN"/>
        </w:rPr>
        <w:t>₂</w:t>
      </w:r>
      <w:r w:rsidRPr="005653F9">
        <w:rPr>
          <w:rFonts w:ascii="Arial" w:hAnsi="Arial" w:cs="Arial"/>
          <w:lang w:val="en-IN"/>
        </w:rPr>
        <w:t>O</w:t>
      </w:r>
      <w:r w:rsidRPr="005653F9">
        <w:rPr>
          <w:rFonts w:ascii="Cambria Math" w:hAnsi="Cambria Math" w:cs="Cambria Math"/>
          <w:lang w:val="en-IN"/>
        </w:rPr>
        <w:t>₅</w:t>
      </w:r>
      <w:r w:rsidRPr="005653F9">
        <w:rPr>
          <w:rFonts w:ascii="Arial" w:hAnsi="Arial" w:cs="Arial"/>
          <w:lang w:val="en-IN"/>
        </w:rPr>
        <w:t>:K</w:t>
      </w:r>
      <w:r w:rsidRPr="005653F9">
        <w:rPr>
          <w:rFonts w:ascii="Cambria Math" w:hAnsi="Cambria Math" w:cs="Cambria Math"/>
          <w:lang w:val="en-IN"/>
        </w:rPr>
        <w:t>₂</w:t>
      </w:r>
      <w:r w:rsidRPr="005653F9">
        <w:rPr>
          <w:rFonts w:ascii="Arial" w:hAnsi="Arial" w:cs="Arial"/>
          <w:lang w:val="en-IN"/>
        </w:rPr>
        <w:t>O). The entire dosage of Phosphorus and Potassium was applied at the time of final land preparation while Nitrogen was applied in 2 equal splits at the time of final land preparation and 45 DAT. The N, P and K fertilizers were applied in the form of urea (46% N), single super phosphate (16% P</w:t>
      </w:r>
      <w:r w:rsidRPr="005653F9">
        <w:rPr>
          <w:rFonts w:ascii="Arial" w:hAnsi="Arial" w:cs="Arial"/>
          <w:vertAlign w:val="subscript"/>
          <w:lang w:val="en-IN"/>
        </w:rPr>
        <w:t>2</w:t>
      </w:r>
      <w:r w:rsidRPr="005653F9">
        <w:rPr>
          <w:rFonts w:ascii="Arial" w:hAnsi="Arial" w:cs="Arial"/>
          <w:lang w:val="en-IN"/>
        </w:rPr>
        <w:t>O</w:t>
      </w:r>
      <w:r w:rsidRPr="005653F9">
        <w:rPr>
          <w:rFonts w:ascii="Arial" w:hAnsi="Arial" w:cs="Arial"/>
          <w:vertAlign w:val="subscript"/>
          <w:lang w:val="en-IN"/>
        </w:rPr>
        <w:t>5</w:t>
      </w:r>
      <w:r w:rsidRPr="005653F9">
        <w:rPr>
          <w:rFonts w:ascii="Arial" w:hAnsi="Arial" w:cs="Arial"/>
          <w:lang w:val="en-IN"/>
        </w:rPr>
        <w:t>) and muriate of potash (MOP) (60% K</w:t>
      </w:r>
      <w:r w:rsidRPr="005653F9">
        <w:rPr>
          <w:rFonts w:ascii="Arial" w:hAnsi="Arial" w:cs="Arial"/>
          <w:vertAlign w:val="subscript"/>
          <w:lang w:val="en-IN"/>
        </w:rPr>
        <w:t>2</w:t>
      </w:r>
      <w:r w:rsidRPr="005653F9">
        <w:rPr>
          <w:rFonts w:ascii="Arial" w:hAnsi="Arial" w:cs="Arial"/>
          <w:lang w:val="en-IN"/>
        </w:rPr>
        <w:t xml:space="preserve">O) respectively. </w:t>
      </w:r>
    </w:p>
    <w:p w14:paraId="0E82E428" w14:textId="77777777" w:rsidR="005653F9" w:rsidRPr="005653F9" w:rsidRDefault="005653F9" w:rsidP="005653F9">
      <w:pPr>
        <w:pStyle w:val="Body"/>
        <w:spacing w:after="0"/>
        <w:rPr>
          <w:rFonts w:ascii="Arial" w:hAnsi="Arial" w:cs="Arial"/>
          <w:lang w:val="en-IN"/>
        </w:rPr>
      </w:pPr>
      <w:commentRangeStart w:id="3"/>
      <w:r w:rsidRPr="005653F9">
        <w:rPr>
          <w:rFonts w:ascii="Arial" w:hAnsi="Arial" w:cs="Arial"/>
          <w:lang w:val="en-IN"/>
        </w:rPr>
        <w:t>Crop management practices, including irrigations, intercultural operations plant protection measures were undertaken following recommended package of practices</w:t>
      </w:r>
      <w:commentRangeEnd w:id="3"/>
      <w:r w:rsidR="00C37C28">
        <w:rPr>
          <w:rStyle w:val="CommentReference"/>
          <w:rFonts w:ascii="Times New Roman" w:hAnsi="Times New Roman"/>
          <w:lang w:val="nb-NO" w:eastAsia="nb-NO"/>
        </w:rPr>
        <w:commentReference w:id="3"/>
      </w:r>
      <w:r w:rsidRPr="005653F9">
        <w:rPr>
          <w:rFonts w:ascii="Arial" w:hAnsi="Arial" w:cs="Arial"/>
          <w:lang w:val="en-IN"/>
        </w:rPr>
        <w:t>.</w:t>
      </w:r>
    </w:p>
    <w:p w14:paraId="4E777BD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Soil samples were collected from each treatment plot, air-dried, gently crushed with a wooden roller, and sieved through a 2 mm mesh. The processed samples were </w:t>
      </w:r>
      <w:proofErr w:type="spellStart"/>
      <w:r w:rsidRPr="005653F9">
        <w:rPr>
          <w:rFonts w:ascii="Arial" w:hAnsi="Arial" w:cs="Arial"/>
          <w:lang w:val="en-IN"/>
        </w:rPr>
        <w:t>analyzed</w:t>
      </w:r>
      <w:proofErr w:type="spellEnd"/>
      <w:r w:rsidRPr="005653F9">
        <w:rPr>
          <w:rFonts w:ascii="Arial" w:hAnsi="Arial" w:cs="Arial"/>
          <w:lang w:val="en-IN"/>
        </w:rPr>
        <w:t xml:space="preserve"> for key chemical properties using standard procedures: organic carbon by the method of Walkley and Black (1934); available nitrogen following Subbiah and Asija (1956); available phosphorus using 0.5 M </w:t>
      </w:r>
      <w:proofErr w:type="spellStart"/>
      <w:r w:rsidRPr="005653F9">
        <w:rPr>
          <w:rFonts w:ascii="Arial" w:hAnsi="Arial" w:cs="Arial"/>
          <w:lang w:val="en-IN"/>
        </w:rPr>
        <w:t>NaHCO</w:t>
      </w:r>
      <w:proofErr w:type="spellEnd"/>
      <w:r w:rsidRPr="005653F9">
        <w:rPr>
          <w:rFonts w:ascii="Cambria Math" w:hAnsi="Cambria Math" w:cs="Cambria Math"/>
          <w:lang w:val="en-IN"/>
        </w:rPr>
        <w:t>₃</w:t>
      </w:r>
      <w:r w:rsidRPr="005653F9">
        <w:rPr>
          <w:rFonts w:ascii="Arial" w:hAnsi="Arial" w:cs="Arial"/>
          <w:lang w:val="en-IN"/>
        </w:rPr>
        <w:t xml:space="preserve"> (pH 8.5) extract as per Olsen </w:t>
      </w:r>
      <w:r w:rsidRPr="005653F9">
        <w:rPr>
          <w:rFonts w:ascii="Arial" w:hAnsi="Arial" w:cs="Arial"/>
          <w:i/>
          <w:iCs/>
          <w:lang w:val="en-IN"/>
        </w:rPr>
        <w:t>et al.</w:t>
      </w:r>
      <w:r w:rsidRPr="005653F9">
        <w:rPr>
          <w:rFonts w:ascii="Arial" w:hAnsi="Arial" w:cs="Arial"/>
          <w:lang w:val="en-IN"/>
        </w:rPr>
        <w:t xml:space="preserve"> (1954); exchangeable potassium with 1 N ammonium acetate.</w:t>
      </w:r>
    </w:p>
    <w:p w14:paraId="58D5DDFC" w14:textId="5B470C1B" w:rsidR="005653F9" w:rsidRPr="005653F9" w:rsidRDefault="005653F9" w:rsidP="005653F9">
      <w:pPr>
        <w:pStyle w:val="Body"/>
        <w:spacing w:after="0"/>
        <w:rPr>
          <w:rFonts w:ascii="Arial" w:hAnsi="Arial" w:cs="Arial"/>
          <w:lang w:val="en-IN"/>
        </w:rPr>
      </w:pPr>
      <w:r w:rsidRPr="005653F9">
        <w:rPr>
          <w:rFonts w:ascii="Arial" w:hAnsi="Arial" w:cs="Arial"/>
          <w:lang w:val="en-IN"/>
        </w:rPr>
        <w:t>Growth attributes such as plant height (cm), number of tillers m</w:t>
      </w:r>
      <w:r w:rsidRPr="005653F9">
        <w:rPr>
          <w:rFonts w:ascii="Arial" w:hAnsi="Arial" w:cs="Arial"/>
          <w:vertAlign w:val="superscript"/>
          <w:lang w:val="en-IN"/>
        </w:rPr>
        <w:t>-2</w:t>
      </w:r>
      <w:r w:rsidRPr="005653F9">
        <w:rPr>
          <w:rFonts w:ascii="Arial" w:hAnsi="Arial" w:cs="Arial"/>
          <w:lang w:val="en-IN"/>
        </w:rPr>
        <w:t>,</w:t>
      </w:r>
      <w:r w:rsidRPr="005653F9">
        <w:rPr>
          <w:rFonts w:ascii="Arial" w:hAnsi="Arial" w:cs="Arial"/>
          <w:vertAlign w:val="superscript"/>
          <w:lang w:val="en-IN"/>
        </w:rPr>
        <w:t xml:space="preserve"> </w:t>
      </w:r>
      <w:r w:rsidRPr="005653F9">
        <w:rPr>
          <w:rFonts w:ascii="Arial" w:hAnsi="Arial" w:cs="Arial"/>
          <w:lang w:val="en-IN"/>
        </w:rPr>
        <w:t>C</w:t>
      </w:r>
      <w:r>
        <w:rPr>
          <w:rFonts w:ascii="Arial" w:hAnsi="Arial" w:cs="Arial"/>
          <w:lang w:val="en-IN"/>
        </w:rPr>
        <w:t xml:space="preserve">rop </w:t>
      </w:r>
      <w:r w:rsidRPr="005653F9">
        <w:rPr>
          <w:rFonts w:ascii="Arial" w:hAnsi="Arial" w:cs="Arial"/>
          <w:lang w:val="en-IN"/>
        </w:rPr>
        <w:t>G</w:t>
      </w:r>
      <w:r>
        <w:rPr>
          <w:rFonts w:ascii="Arial" w:hAnsi="Arial" w:cs="Arial"/>
          <w:lang w:val="en-IN"/>
        </w:rPr>
        <w:t xml:space="preserve">rowth </w:t>
      </w:r>
      <w:r w:rsidRPr="005653F9">
        <w:rPr>
          <w:rFonts w:ascii="Arial" w:hAnsi="Arial" w:cs="Arial"/>
          <w:lang w:val="en-IN"/>
        </w:rPr>
        <w:t>R</w:t>
      </w:r>
      <w:r>
        <w:rPr>
          <w:rFonts w:ascii="Arial" w:hAnsi="Arial" w:cs="Arial"/>
          <w:lang w:val="en-IN"/>
        </w:rPr>
        <w:t>ate</w:t>
      </w:r>
      <w:r w:rsidRPr="005653F9">
        <w:rPr>
          <w:rFonts w:ascii="Arial" w:hAnsi="Arial" w:cs="Arial"/>
          <w:lang w:val="en-IN"/>
        </w:rPr>
        <w:t xml:space="preserve"> (g m</w:t>
      </w:r>
      <w:r w:rsidRPr="005653F9">
        <w:rPr>
          <w:rFonts w:ascii="Arial" w:hAnsi="Arial" w:cs="Arial"/>
          <w:vertAlign w:val="superscript"/>
          <w:lang w:val="en-IN"/>
        </w:rPr>
        <w:t xml:space="preserve">-2 </w:t>
      </w:r>
      <w:r w:rsidRPr="005653F9">
        <w:rPr>
          <w:rFonts w:ascii="Arial" w:hAnsi="Arial" w:cs="Arial"/>
          <w:lang w:val="en-IN"/>
        </w:rPr>
        <w:t>day</w:t>
      </w:r>
      <w:r w:rsidRPr="005653F9">
        <w:rPr>
          <w:rFonts w:ascii="Arial" w:hAnsi="Arial" w:cs="Arial"/>
          <w:vertAlign w:val="superscript"/>
          <w:lang w:val="en-IN"/>
        </w:rPr>
        <w:t>-1</w:t>
      </w:r>
      <w:r w:rsidRPr="005653F9">
        <w:rPr>
          <w:rFonts w:ascii="Arial" w:hAnsi="Arial" w:cs="Arial"/>
          <w:lang w:val="en-IN"/>
        </w:rPr>
        <w:t>) and dry matter accumulation (g m</w:t>
      </w:r>
      <w:r w:rsidRPr="005653F9">
        <w:rPr>
          <w:rFonts w:ascii="Arial" w:hAnsi="Arial" w:cs="Arial"/>
          <w:vertAlign w:val="superscript"/>
          <w:lang w:val="en-IN"/>
        </w:rPr>
        <w:t>-2</w:t>
      </w:r>
      <w:r w:rsidRPr="005653F9">
        <w:rPr>
          <w:rFonts w:ascii="Arial" w:hAnsi="Arial" w:cs="Arial"/>
          <w:lang w:val="en-IN"/>
        </w:rPr>
        <w:t xml:space="preserve">) were recorded from five tagged plants in each plot, and the mean values were computed. Grain yield </w:t>
      </w:r>
      <w:r w:rsidRPr="005653F9">
        <w:rPr>
          <w:rFonts w:ascii="Arial" w:hAnsi="Arial" w:cs="Arial"/>
          <w:lang w:val="en-IN"/>
        </w:rPr>
        <w:lastRenderedPageBreak/>
        <w:t xml:space="preserve">from the net plot area was recorded after proper cleaning and drying, expressed in grams, and subsequently converted to tonnes per hectare using appropriate conversion factors. Straw yield was estimated by recording the weight of stem and chaff after threshing and similarly expressed on a hectare basis. </w:t>
      </w:r>
    </w:p>
    <w:p w14:paraId="1FB1FD5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Data were statistically analysed using the standard procedure for RBD as suggested by </w:t>
      </w:r>
      <w:bookmarkStart w:id="4" w:name="_Hlk209450219"/>
      <w:r w:rsidRPr="005653F9">
        <w:rPr>
          <w:rFonts w:ascii="Arial" w:hAnsi="Arial" w:cs="Arial"/>
          <w:lang w:val="en-IN"/>
        </w:rPr>
        <w:t xml:space="preserve">Gomez and Gomez (1984), </w:t>
      </w:r>
      <w:bookmarkEnd w:id="4"/>
      <w:r w:rsidRPr="005653F9">
        <w:rPr>
          <w:rFonts w:ascii="Arial" w:hAnsi="Arial" w:cs="Arial"/>
          <w:lang w:val="en-IN"/>
        </w:rPr>
        <w:t>with treatment means compared at 5% level of significance.</w:t>
      </w:r>
    </w:p>
    <w:p w14:paraId="4DEF7241" w14:textId="77777777" w:rsidR="00790ADA" w:rsidRPr="00FB3A86" w:rsidRDefault="00790ADA" w:rsidP="00441B6F">
      <w:pPr>
        <w:pStyle w:val="Body"/>
        <w:spacing w:after="0"/>
        <w:rPr>
          <w:rFonts w:ascii="Arial" w:hAnsi="Arial" w:cs="Arial"/>
        </w:rPr>
      </w:pPr>
    </w:p>
    <w:p w14:paraId="75FEF4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FC06ED" w14:textId="77777777" w:rsidR="00790ADA" w:rsidRPr="00FB3A86" w:rsidRDefault="00790ADA" w:rsidP="00441B6F">
      <w:pPr>
        <w:pStyle w:val="Head1"/>
        <w:spacing w:after="0"/>
        <w:jc w:val="both"/>
        <w:rPr>
          <w:rFonts w:ascii="Arial" w:hAnsi="Arial" w:cs="Arial"/>
        </w:rPr>
      </w:pPr>
    </w:p>
    <w:p w14:paraId="03B75782" w14:textId="2E43BFD6" w:rsidR="005653F9" w:rsidRPr="005653F9" w:rsidRDefault="005653F9" w:rsidP="005653F9">
      <w:pPr>
        <w:pStyle w:val="Body"/>
        <w:spacing w:after="0"/>
        <w:rPr>
          <w:rFonts w:ascii="Arial" w:hAnsi="Arial" w:cs="Arial"/>
          <w:b/>
          <w:bCs/>
          <w:sz w:val="22"/>
          <w:szCs w:val="22"/>
          <w:lang w:val="en-IN"/>
        </w:rPr>
      </w:pPr>
      <w:r w:rsidRPr="005653F9">
        <w:rPr>
          <w:rFonts w:ascii="Arial" w:hAnsi="Arial" w:cs="Arial"/>
          <w:b/>
          <w:bCs/>
          <w:sz w:val="22"/>
          <w:szCs w:val="22"/>
          <w:lang w:val="en-IN"/>
        </w:rPr>
        <w:t xml:space="preserve">3.1 Effect on physio chemical properties </w:t>
      </w:r>
    </w:p>
    <w:p w14:paraId="2BA4B71F"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data presented in Table 1 depict the temporal variations in soil reaction, electrical conductivity (EC), cation exchange capacity (CEC) and organic carbon (OC) under different nutrient management practices. Soil pH remained nearly neutral throughout the crop growth stages, and the differences among treatments were statistically non-significant. The negligible variation in pH may be attributed to the inherent buffering capacity of the Gangetic alluvial soil, which resists abrupt changes in soil reaction even under contrasting nutrient management conditions. Electrical conductivity values also remained within a safe range (0.23–0.37 </w:t>
      </w:r>
      <w:proofErr w:type="spellStart"/>
      <w:r w:rsidRPr="005653F9">
        <w:rPr>
          <w:rFonts w:ascii="Arial" w:hAnsi="Arial" w:cs="Arial"/>
          <w:lang w:val="en-IN"/>
        </w:rPr>
        <w:t>dS</w:t>
      </w:r>
      <w:proofErr w:type="spellEnd"/>
      <w:r w:rsidRPr="005653F9">
        <w:rPr>
          <w:rFonts w:ascii="Arial" w:hAnsi="Arial" w:cs="Arial"/>
          <w:lang w:val="en-IN"/>
        </w:rPr>
        <w:t xml:space="preserve"> m</w:t>
      </w:r>
      <w:r w:rsidRPr="005653F9">
        <w:rPr>
          <w:rFonts w:ascii="Cambria Math" w:hAnsi="Cambria Math" w:cs="Cambria Math"/>
          <w:lang w:val="en-IN"/>
        </w:rPr>
        <w:t>⁻</w:t>
      </w:r>
      <w:r w:rsidRPr="005653F9">
        <w:rPr>
          <w:rFonts w:ascii="Arial" w:hAnsi="Arial" w:cs="Arial"/>
          <w:lang w:val="en-IN"/>
        </w:rPr>
        <w:t xml:space="preserve">¹) and did not vary significantly among treatments, suggesting that none of the applied inputs contributed to soil salinity. The slight reduction in EC towards harvest might be ascribed to uptake of soluble salts by plants and leaching losses. </w:t>
      </w:r>
    </w:p>
    <w:p w14:paraId="6911F022"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In contrast, CEC and OC exhibited noticeable improvement under the organic and integrated nutrient management treatments. The highest CEC (24.88 </w:t>
      </w:r>
      <w:proofErr w:type="spellStart"/>
      <w:r w:rsidRPr="005653F9">
        <w:rPr>
          <w:rFonts w:ascii="Arial" w:hAnsi="Arial" w:cs="Arial"/>
          <w:lang w:val="en-IN"/>
        </w:rPr>
        <w:t>cmol</w:t>
      </w:r>
      <w:proofErr w:type="spellEnd"/>
      <w:r w:rsidRPr="005653F9">
        <w:rPr>
          <w:rFonts w:ascii="Arial" w:hAnsi="Arial" w:cs="Arial"/>
          <w:lang w:val="en-IN"/>
        </w:rPr>
        <w:t xml:space="preserve"> (p</w:t>
      </w:r>
      <w:r w:rsidRPr="005653F9">
        <w:rPr>
          <w:rFonts w:ascii="Cambria Math" w:hAnsi="Cambria Math" w:cs="Cambria Math"/>
          <w:lang w:val="en-IN"/>
        </w:rPr>
        <w:t>⁺</w:t>
      </w:r>
      <w:r w:rsidRPr="005653F9">
        <w:rPr>
          <w:rFonts w:ascii="Arial" w:hAnsi="Arial" w:cs="Arial"/>
          <w:lang w:val="en-IN"/>
        </w:rPr>
        <w:t>) kg</w:t>
      </w:r>
      <w:r w:rsidRPr="005653F9">
        <w:rPr>
          <w:rFonts w:ascii="Cambria Math" w:hAnsi="Cambria Math" w:cs="Cambria Math"/>
          <w:lang w:val="en-IN"/>
        </w:rPr>
        <w:t>⁻</w:t>
      </w:r>
      <w:r w:rsidRPr="005653F9">
        <w:rPr>
          <w:rFonts w:ascii="Arial" w:hAnsi="Arial" w:cs="Arial"/>
          <w:lang w:val="en-IN"/>
        </w:rPr>
        <w:t xml:space="preserve">¹) was recorded under T6 (0.1 % Azotobacter + 1 % vermicompost + 1 % poultry litter + 1 % oil cake + 1 % FYM + 100 % RDF), followed by T4 and T5, while the control (T1) maintained the lowest value (21.06 </w:t>
      </w:r>
      <w:proofErr w:type="spellStart"/>
      <w:r w:rsidRPr="005653F9">
        <w:rPr>
          <w:rFonts w:ascii="Arial" w:hAnsi="Arial" w:cs="Arial"/>
          <w:lang w:val="en-IN"/>
        </w:rPr>
        <w:t>cmol</w:t>
      </w:r>
      <w:proofErr w:type="spellEnd"/>
      <w:r w:rsidRPr="005653F9">
        <w:rPr>
          <w:rFonts w:ascii="Arial" w:hAnsi="Arial" w:cs="Arial"/>
          <w:lang w:val="en-IN"/>
        </w:rPr>
        <w:t xml:space="preserve"> (p</w:t>
      </w:r>
      <w:r w:rsidRPr="005653F9">
        <w:rPr>
          <w:rFonts w:ascii="Cambria Math" w:hAnsi="Cambria Math" w:cs="Cambria Math"/>
          <w:lang w:val="en-IN"/>
        </w:rPr>
        <w:t>⁺</w:t>
      </w:r>
      <w:r w:rsidRPr="005653F9">
        <w:rPr>
          <w:rFonts w:ascii="Arial" w:hAnsi="Arial" w:cs="Arial"/>
          <w:lang w:val="en-IN"/>
        </w:rPr>
        <w:t>) kg</w:t>
      </w:r>
      <w:r w:rsidRPr="005653F9">
        <w:rPr>
          <w:rFonts w:ascii="Cambria Math" w:hAnsi="Cambria Math" w:cs="Cambria Math"/>
          <w:lang w:val="en-IN"/>
        </w:rPr>
        <w:t>⁻</w:t>
      </w:r>
      <w:r w:rsidRPr="005653F9">
        <w:rPr>
          <w:rFonts w:ascii="Arial" w:hAnsi="Arial" w:cs="Arial"/>
          <w:lang w:val="en-IN"/>
        </w:rPr>
        <w:t xml:space="preserve">¹). The increase in CEC under organic and integrated treatments may be attributed to the enhancement of humus content and formation of negatively charged colloids through decomposition of organic manures, which improved nutrient-retention capacity. Similar improvements in CEC due to organic matter addition have been reported by </w:t>
      </w:r>
      <w:proofErr w:type="spellStart"/>
      <w:r w:rsidRPr="005653F9">
        <w:rPr>
          <w:rFonts w:ascii="Arial" w:hAnsi="Arial" w:cs="Arial"/>
          <w:lang w:val="en-IN"/>
        </w:rPr>
        <w:t>Coêlho</w:t>
      </w:r>
      <w:proofErr w:type="spellEnd"/>
      <w:r w:rsidRPr="005653F9">
        <w:rPr>
          <w:rFonts w:ascii="Arial" w:hAnsi="Arial" w:cs="Arial"/>
          <w:lang w:val="en-IN"/>
        </w:rPr>
        <w:t xml:space="preserve"> et al. (2023), who emphasized the strong association between soil organic carbon and cation exchange sites. </w:t>
      </w:r>
    </w:p>
    <w:p w14:paraId="70363A5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A pronounced improvement in soil organic carbon was observed in treatments involving organics and integrated nutrient management. The maximum OC (1.36 %) was recorded under T4, followed by T6 (1.33 %) and T5 (1.32 %), whereas the lowest (1.07 %) occurred in the control. The increase in OC under these treatments could be due to the direct addition of carbonaceous materials from organic manures and enhanced microbial activity stimulated by </w:t>
      </w:r>
      <w:r w:rsidRPr="005653F9">
        <w:rPr>
          <w:rFonts w:ascii="Arial" w:hAnsi="Arial" w:cs="Arial"/>
          <w:i/>
          <w:iCs/>
          <w:lang w:val="en-IN"/>
        </w:rPr>
        <w:t>Azotobacter</w:t>
      </w:r>
      <w:r w:rsidRPr="005653F9">
        <w:rPr>
          <w:rFonts w:ascii="Arial" w:hAnsi="Arial" w:cs="Arial"/>
          <w:lang w:val="en-IN"/>
        </w:rPr>
        <w:t xml:space="preserve"> inoculation. </w:t>
      </w:r>
    </w:p>
    <w:p w14:paraId="6B6819D4"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present findings are well supported by earlier research that demonstrated similar improvements in soil chemical properties under integrated nutrient management systems. Bhatt et al. (2023) reported that the combined application of organic manures and inorganic fertilizers enhanced soil organic carbon and nutrient-retention capacity in long-term rice–wheat systems due to the synergistic contribution of humic substances and mineral nutrients. Likewise, Rahman et al. (2021) observed that integrated nutrient application significantly improved soil aggregation, cation exchange capacity, and total nitrogen by stimulating microbial activity and continuous nutrient cycling. The convergence of these reports with the present study clearly indicates that the integration of organic and inorganic nutrient sources promotes balanced nutrient supply, enhances soil colloidal charge, and maintains soil health in Gangetic alluvial ecosystems. </w:t>
      </w:r>
    </w:p>
    <w:p w14:paraId="13B3C325" w14:textId="193FD3D7"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3.2 Effect on Available macro nutrients</w:t>
      </w:r>
    </w:p>
    <w:p w14:paraId="72520FEC" w14:textId="440DB89E"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data in Table </w:t>
      </w:r>
      <w:r w:rsidR="00D908BF">
        <w:rPr>
          <w:rFonts w:ascii="Arial" w:hAnsi="Arial" w:cs="Arial"/>
          <w:lang w:val="en-IN"/>
        </w:rPr>
        <w:t>2</w:t>
      </w:r>
      <w:r w:rsidRPr="005653F9">
        <w:rPr>
          <w:rFonts w:ascii="Arial" w:hAnsi="Arial" w:cs="Arial"/>
          <w:lang w:val="en-IN"/>
        </w:rPr>
        <w:t xml:space="preserve"> depict the dynamic changes in soil available nitrogen (N), phosphorus (P), and potassium (K) as influenced by various nutrient management treatments during different growth stages of rice. A gradual decline in the available nutrient content was observed from the initial stage to harvest across all treatments, indicating nutrient uptake and utilization by the crop. However, the magnitude of reduction varied significantly among treatments, reflecting the differential effects of integrated nutrient management practices.</w:t>
      </w:r>
    </w:p>
    <w:p w14:paraId="5139B463"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Soil available nitrogen showed a consistent decreasing trend from the initial stage to harvest. The lowest nitrogen content at harvest (150.31 kg ha</w:t>
      </w:r>
      <w:r w:rsidRPr="005653F9">
        <w:rPr>
          <w:rFonts w:ascii="Cambria Math" w:hAnsi="Cambria Math" w:cs="Cambria Math"/>
          <w:lang w:val="en-IN"/>
        </w:rPr>
        <w:t>⁻</w:t>
      </w:r>
      <w:r w:rsidRPr="005653F9">
        <w:rPr>
          <w:rFonts w:ascii="Arial" w:hAnsi="Arial" w:cs="Arial"/>
          <w:lang w:val="en-IN"/>
        </w:rPr>
        <w:t>¹) was recorded under the control (T1), whereas the highest residual nitrogen (191.77 kg ha</w:t>
      </w:r>
      <w:r w:rsidRPr="005653F9">
        <w:rPr>
          <w:rFonts w:ascii="Cambria Math" w:hAnsi="Cambria Math" w:cs="Cambria Math"/>
          <w:lang w:val="en-IN"/>
        </w:rPr>
        <w:t>⁻</w:t>
      </w:r>
      <w:r w:rsidRPr="005653F9">
        <w:rPr>
          <w:rFonts w:ascii="Arial" w:hAnsi="Arial" w:cs="Arial"/>
          <w:lang w:val="en-IN"/>
        </w:rPr>
        <w:t>¹) was observed with the combined application of organic manures, biofertilizer, and 100% RDF (T6). Treatments receiving integrated sources of nutrients (T4, T5, and T6) maintained higher available N throughout the growth period compared to chemical fertilizer alone (T2 and T3), which may be attributed to the continuous mineralization of organic matter and improved microbial activity enhancing N availability (</w:t>
      </w:r>
      <w:proofErr w:type="spellStart"/>
      <w:r w:rsidRPr="005653F9">
        <w:rPr>
          <w:rFonts w:ascii="Arial" w:hAnsi="Arial" w:cs="Arial"/>
          <w:lang w:val="en-IN"/>
        </w:rPr>
        <w:t>Kharlukhi</w:t>
      </w:r>
      <w:proofErr w:type="spellEnd"/>
      <w:r w:rsidRPr="005653F9">
        <w:rPr>
          <w:rFonts w:ascii="Arial" w:hAnsi="Arial" w:cs="Arial"/>
          <w:lang w:val="en-IN"/>
        </w:rPr>
        <w:t xml:space="preserve"> et al., 2024). The trend clearly indicates that integration of organic and inorganic sources enhanced soil N status sustainably.</w:t>
      </w:r>
    </w:p>
    <w:p w14:paraId="2DCA2A49"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Available phosphorus also followed a similar declining pattern during crop growth, mainly due to plant uptake and fixation in soil colloids. The lowest P content (11.59 kg ha</w:t>
      </w:r>
      <w:r w:rsidRPr="005653F9">
        <w:rPr>
          <w:rFonts w:ascii="Cambria Math" w:hAnsi="Cambria Math" w:cs="Cambria Math"/>
          <w:lang w:val="en-IN"/>
        </w:rPr>
        <w:t>⁻</w:t>
      </w:r>
      <w:r w:rsidRPr="005653F9">
        <w:rPr>
          <w:rFonts w:ascii="Arial" w:hAnsi="Arial" w:cs="Arial"/>
          <w:lang w:val="en-IN"/>
        </w:rPr>
        <w:t>¹) at harvest was found in the control (T1), while the highest (17.01 kg ha</w:t>
      </w:r>
      <w:r w:rsidRPr="005653F9">
        <w:rPr>
          <w:rFonts w:ascii="Cambria Math" w:hAnsi="Cambria Math" w:cs="Cambria Math"/>
          <w:lang w:val="en-IN"/>
        </w:rPr>
        <w:t>⁻</w:t>
      </w:r>
      <w:r w:rsidRPr="005653F9">
        <w:rPr>
          <w:rFonts w:ascii="Arial" w:hAnsi="Arial" w:cs="Arial"/>
          <w:lang w:val="en-IN"/>
        </w:rPr>
        <w:t>¹) was recorded under T6. The integrated treatments (T5 and T6) exhibited significantly higher available P throughout the growth stages, suggesting the beneficial role of organic amendments and Azotobacter in solubilizing native phosphorus and reducing fixation losses. Organic manures might have released organic acids during decomposition, which helped in maintaining P availability in the rhizosphere.</w:t>
      </w:r>
    </w:p>
    <w:p w14:paraId="3FC4F0B6"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Available potassium also decreased gradually with crop growth but remained higher under integrated nutrient treatments. The lowest K content at harvest (231.88 kg ha</w:t>
      </w:r>
      <w:r w:rsidRPr="005653F9">
        <w:rPr>
          <w:rFonts w:ascii="Cambria Math" w:hAnsi="Cambria Math" w:cs="Cambria Math"/>
          <w:lang w:val="en-IN"/>
        </w:rPr>
        <w:t>⁻</w:t>
      </w:r>
      <w:r w:rsidRPr="005653F9">
        <w:rPr>
          <w:rFonts w:ascii="Arial" w:hAnsi="Arial" w:cs="Arial"/>
          <w:lang w:val="en-IN"/>
        </w:rPr>
        <w:t>¹) was found under control (T1), whereas the highest (275.37 kg ha</w:t>
      </w:r>
      <w:r w:rsidRPr="005653F9">
        <w:rPr>
          <w:rFonts w:ascii="Cambria Math" w:hAnsi="Cambria Math" w:cs="Cambria Math"/>
          <w:lang w:val="en-IN"/>
        </w:rPr>
        <w:t>⁻</w:t>
      </w:r>
      <w:r w:rsidRPr="005653F9">
        <w:rPr>
          <w:rFonts w:ascii="Arial" w:hAnsi="Arial" w:cs="Arial"/>
          <w:lang w:val="en-IN"/>
        </w:rPr>
        <w:t xml:space="preserve">¹) was recorded with the combined use of biofertilizer, organics, and 100% RDF (T6). The enhanced K status under these treatments could be ascribed to the slow mineralization of organic sources and improved cation exchange capacity, leading </w:t>
      </w:r>
      <w:r w:rsidRPr="005653F9">
        <w:rPr>
          <w:rFonts w:ascii="Arial" w:hAnsi="Arial" w:cs="Arial"/>
          <w:lang w:val="en-IN"/>
        </w:rPr>
        <w:lastRenderedPageBreak/>
        <w:t xml:space="preserve">to better retention and release of K to plants. The integrated application thus helped maintain a </w:t>
      </w:r>
      <w:proofErr w:type="spellStart"/>
      <w:r w:rsidRPr="005653F9">
        <w:rPr>
          <w:rFonts w:ascii="Arial" w:hAnsi="Arial" w:cs="Arial"/>
          <w:lang w:val="en-IN"/>
        </w:rPr>
        <w:t>favorable</w:t>
      </w:r>
      <w:proofErr w:type="spellEnd"/>
      <w:r w:rsidRPr="005653F9">
        <w:rPr>
          <w:rFonts w:ascii="Arial" w:hAnsi="Arial" w:cs="Arial"/>
          <w:lang w:val="en-IN"/>
        </w:rPr>
        <w:t xml:space="preserve"> nutrient balance even at the end of the crop cycle.</w:t>
      </w:r>
    </w:p>
    <w:p w14:paraId="015346D2"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observed increase in available soil potassium with the application of organic manures may be attributed to reduced potassium fixation and the gradual release of K resulting from interactions between organic matter and clay minerals, in addition to the direct contribution of potassium from the organic amendments. These results are in agreement with Kumar (2014), who reported that organic inputs can enhance soil K availability. Similarly, the incorporation of farmyard manure (FYM) along with N, P, and K fertilizers has been shown to improve soil organic carbon content, which in turn promotes higher availability of essential nutrients such as nitrogen, phosphorus, and potassium, as demonstrated by Gawde et al. (2017).</w:t>
      </w:r>
    </w:p>
    <w:p w14:paraId="72D08B73"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Overall, the integrated treatments (particularly T6) consistently maintained higher available macronutrient levels throughout the growth period, emphasizing the positive effect of combining organic manures, biofertilizers, and recommended fertilizer doses on sustaining soil fertility and nutrient availability. This improvement is likely due to synergistic interactions among nutrient sources that enhance microbial activity, nutrient mineralization, and soil structure. In contrast, the control and the treatments receiving only chemical fertilizers (T</w:t>
      </w:r>
      <w:r w:rsidRPr="005653F9">
        <w:rPr>
          <w:rFonts w:ascii="Cambria Math" w:hAnsi="Cambria Math" w:cs="Cambria Math"/>
          <w:lang w:val="en-IN"/>
        </w:rPr>
        <w:t>₁</w:t>
      </w:r>
      <w:r w:rsidRPr="005653F9">
        <w:rPr>
          <w:rFonts w:ascii="Arial" w:hAnsi="Arial" w:cs="Arial"/>
          <w:lang w:val="en-IN"/>
        </w:rPr>
        <w:t>–T</w:t>
      </w:r>
      <w:r w:rsidRPr="005653F9">
        <w:rPr>
          <w:rFonts w:ascii="Cambria Math" w:hAnsi="Cambria Math" w:cs="Cambria Math"/>
          <w:lang w:val="en-IN"/>
        </w:rPr>
        <w:t>₃</w:t>
      </w:r>
      <w:r w:rsidRPr="005653F9">
        <w:rPr>
          <w:rFonts w:ascii="Arial" w:hAnsi="Arial" w:cs="Arial"/>
          <w:lang w:val="en-IN"/>
        </w:rPr>
        <w:t>) showed comparatively lower nutrient availability, which might be due to rapid nutrient exhaustion, leaching losses, and limited microbial activity. The sole use of mineral fertilizers often accelerates nutrient depletion and leads to deterioration of soil health over time, whereas integration with organic manures enhances nutrient use efficiency and soil productivity in a sustainable manner.</w:t>
      </w:r>
    </w:p>
    <w:p w14:paraId="4582BE94" w14:textId="008FB9D7"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3.3 Effect on Growth attributes of Rice</w:t>
      </w:r>
    </w:p>
    <w:p w14:paraId="43D60643" w14:textId="261CAF53"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data on the growth attributes as affected by integrated nutrient management have been summarized in table </w:t>
      </w:r>
      <w:r w:rsidR="00D908BF">
        <w:rPr>
          <w:rFonts w:ascii="Arial" w:hAnsi="Arial" w:cs="Arial"/>
          <w:lang w:val="en-IN"/>
        </w:rPr>
        <w:t>3</w:t>
      </w:r>
      <w:r w:rsidRPr="005653F9">
        <w:rPr>
          <w:rFonts w:ascii="Arial" w:hAnsi="Arial" w:cs="Arial"/>
          <w:lang w:val="en-IN"/>
        </w:rPr>
        <w:t>. An interception of the data revealed that plant height, dry matter accumulation (DMA), and crop growth rate (CGR) were markedly influenced by the applied treatments throughout the crop growth period. A progressive increase in plant height was observed from 30 to 90 DAT across all treatments, with the tallest plants recorded under T6 at all growth stages (54.98 cm at 30 DAT, 69.00 cm at 60 DAT, and 107.50 cm at harvest). This treatment remained statistically superior over the others, followed by T5 and T3, while the minimum plant height was obtained in T1 (84.50 cm at harvest). The enhanced plant height under T6 may be attributed to improved nutrient availability and physiological activity that favoured rapid cell elongation and sustained vegetative growth.</w:t>
      </w:r>
    </w:p>
    <w:p w14:paraId="04BB11A9"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A similar trend was noted in Dry matter accumulation (DMA) and crop growth rate (CGR), where a consistent increase with crop age was recorded under all treatments. T6 recorded the highest DMA (213.16, 638.21, 1218.38 g m</w:t>
      </w:r>
      <w:r w:rsidRPr="005653F9">
        <w:rPr>
          <w:rFonts w:ascii="Cambria Math" w:hAnsi="Cambria Math" w:cs="Cambria Math"/>
          <w:lang w:val="en-IN"/>
        </w:rPr>
        <w:t>⁻</w:t>
      </w:r>
      <w:r w:rsidRPr="005653F9">
        <w:rPr>
          <w:rFonts w:ascii="Arial" w:hAnsi="Arial" w:cs="Arial"/>
          <w:lang w:val="en-IN"/>
        </w:rPr>
        <w:t>² at 30, 60 DAT, and harvest) and CGR (14.17 and 19.34 g m</w:t>
      </w:r>
      <w:r w:rsidRPr="005653F9">
        <w:rPr>
          <w:rFonts w:ascii="Cambria Math" w:hAnsi="Cambria Math" w:cs="Cambria Math"/>
          <w:lang w:val="en-IN"/>
        </w:rPr>
        <w:t>⁻</w:t>
      </w:r>
      <w:r w:rsidRPr="005653F9">
        <w:rPr>
          <w:rFonts w:ascii="Arial" w:hAnsi="Arial" w:cs="Arial"/>
          <w:lang w:val="en-IN"/>
        </w:rPr>
        <w:t>² day</w:t>
      </w:r>
      <w:r w:rsidRPr="005653F9">
        <w:rPr>
          <w:rFonts w:ascii="Cambria Math" w:hAnsi="Cambria Math" w:cs="Cambria Math"/>
          <w:lang w:val="en-IN"/>
        </w:rPr>
        <w:t>⁻</w:t>
      </w:r>
      <w:r w:rsidRPr="005653F9">
        <w:rPr>
          <w:rFonts w:ascii="Arial" w:hAnsi="Arial" w:cs="Arial"/>
          <w:lang w:val="en-IN"/>
        </w:rPr>
        <w:t>¹), followed by T5, while T1 showed the lowest values. The superior performance of T6 is attributed to efficient photosynthate assimilation, enhanced nutrient uptake, and improved physiological activity, which together supported greater biomass production and sustained growth during critical developmental stages.</w:t>
      </w:r>
    </w:p>
    <w:p w14:paraId="17A1214A"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This clearly demonstrates the positive impact of balanced and integrated nutrient management practices on the growth performance and physiological efficiency of the crop, leading to enhanced productivity potential. </w:t>
      </w:r>
    </w:p>
    <w:p w14:paraId="1B86E3C2"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findings are in accordance with </w:t>
      </w:r>
      <w:proofErr w:type="spellStart"/>
      <w:r w:rsidRPr="005653F9">
        <w:rPr>
          <w:rFonts w:ascii="Arial" w:hAnsi="Arial" w:cs="Arial"/>
          <w:lang w:val="en-IN"/>
        </w:rPr>
        <w:t>Nureti</w:t>
      </w:r>
      <w:proofErr w:type="spellEnd"/>
      <w:r w:rsidRPr="005653F9">
        <w:rPr>
          <w:rFonts w:ascii="Arial" w:hAnsi="Arial" w:cs="Arial"/>
          <w:lang w:val="en-IN"/>
        </w:rPr>
        <w:t xml:space="preserve"> et al. (2024), who reported that the combined application of organic and inorganic sources ensures a continuous flow of essential nutrients, fostering robust root development and stimulating metabolic functions. This promotes the synthesis of key biomolecules such as carbohydrates, amino acids, and proteins, which collectively enhance cell division, elongation, and tissue differentiation. The present findings, therefore, corroborate these earlier studies, underscoring that an integrated nutrient management approach effectively sustains growth, biomass accumulation, and overall productivity of rice under diverse environmental conditions.</w:t>
      </w:r>
    </w:p>
    <w:p w14:paraId="20DC5515" w14:textId="0DB99652"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3.4 Effect on Yield attributes of Rice</w:t>
      </w:r>
    </w:p>
    <w:p w14:paraId="3FB8C4AB" w14:textId="563E326D"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scrutiny of data from table </w:t>
      </w:r>
      <w:r w:rsidR="00D908BF">
        <w:rPr>
          <w:rFonts w:ascii="Arial" w:hAnsi="Arial" w:cs="Arial"/>
          <w:lang w:val="en-IN"/>
        </w:rPr>
        <w:t xml:space="preserve">4 </w:t>
      </w:r>
      <w:r w:rsidRPr="005653F9">
        <w:rPr>
          <w:rFonts w:ascii="Arial" w:hAnsi="Arial" w:cs="Arial"/>
          <w:lang w:val="en-IN"/>
        </w:rPr>
        <w:t>clearly reveals that there was a significant impact of different nutrient management on yield attributing characters. A consistent improvement in all yield attributes was observed with the integration of organic and inorganic sources of nutrients over the control.</w:t>
      </w:r>
    </w:p>
    <w:p w14:paraId="2E5DBD3F"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number of effective tillers m</w:t>
      </w:r>
      <w:r w:rsidRPr="005653F9">
        <w:rPr>
          <w:rFonts w:ascii="Arial" w:hAnsi="Arial" w:cs="Arial"/>
          <w:vertAlign w:val="superscript"/>
          <w:lang w:val="en-IN"/>
        </w:rPr>
        <w:t>-2</w:t>
      </w:r>
      <w:r w:rsidRPr="005653F9">
        <w:rPr>
          <w:rFonts w:ascii="Arial" w:hAnsi="Arial" w:cs="Arial"/>
          <w:lang w:val="en-IN"/>
        </w:rPr>
        <w:t xml:space="preserve"> varied significantly among the treatments, ranging from 181.08 in T1 (control) to 238.09 in T6. The maximum number of effective tillers was recorded under T6 (0.1% Azotobacter + 1% Vermicompost + 1% Poultry Litter + 1% Oil Cake + 1% FYM + 100% RDF), which was statistically superior to all other treatments. This was closely followed by T5 (224.56 tillers m²), whereas the minimum value was obtained in the control plot. The increase in effective tillers under integrated nutrient management may be attributed to improved nutrient supply, better soil structure, and enhanced microbial activity, which facilitated robust tiller initiation and survival. </w:t>
      </w:r>
    </w:p>
    <w:p w14:paraId="5D31EDA8"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Panicle length was also favourably influenced by the treatments, with T5 recording the longest panicle (24.68 cm), followed by T6 (23.35 cm) and T3 (23.16 cm), while the shortest panicles were observed under T1 (20.82 cm). The enhancement in panicle length due to integrated nutrient sources could be attributed to balanced nutrient availability and hormonal stimulation caused by </w:t>
      </w:r>
      <w:r w:rsidRPr="005653F9">
        <w:rPr>
          <w:rFonts w:ascii="Arial" w:hAnsi="Arial" w:cs="Arial"/>
          <w:i/>
          <w:iCs/>
          <w:lang w:val="en-IN"/>
        </w:rPr>
        <w:t>Azotobacter</w:t>
      </w:r>
      <w:r w:rsidRPr="005653F9">
        <w:rPr>
          <w:rFonts w:ascii="Arial" w:hAnsi="Arial" w:cs="Arial"/>
          <w:lang w:val="en-IN"/>
        </w:rPr>
        <w:t xml:space="preserve"> and organic manures, which promoted reproductive growth and spikelet development. </w:t>
      </w:r>
    </w:p>
    <w:p w14:paraId="5F7722B7"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number of filled grains panicle</w:t>
      </w:r>
      <w:r w:rsidRPr="005653F9">
        <w:rPr>
          <w:rFonts w:ascii="Cambria Math" w:hAnsi="Cambria Math" w:cs="Cambria Math"/>
          <w:lang w:val="en-IN"/>
        </w:rPr>
        <w:t>⁻</w:t>
      </w:r>
      <w:r w:rsidRPr="005653F9">
        <w:rPr>
          <w:rFonts w:ascii="Arial" w:hAnsi="Arial" w:cs="Arial"/>
          <w:lang w:val="en-IN"/>
        </w:rPr>
        <w:t xml:space="preserve">¹ exhibited significant variation among the treatments, ranging from 89.51 in T2 to 101.33 in T4. The maximum number of filled grains (101.33) recorded in T4 was statistically at par with T6 (98.71) and T3 (98.75). The increase in filled grains may be attributed to efficient nutrient translocation, better photosynthate partitioning, and improved pollen viability due to favourable physiological conditions induced by organic and biofertilizer combinations. </w:t>
      </w:r>
    </w:p>
    <w:p w14:paraId="787BBAC4"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lastRenderedPageBreak/>
        <w:t xml:space="preserve">The test weight did not differ significantly among the treatments, though the highest value (22.18 g) was recorded under T5, followed by T3 (21.42 g), while the lowest (19.66 g) was obtained under T1. The non-significant variation in test weight indicates that grain size and density are less affected by nutrient sources, as these are more genetically governed traits. </w:t>
      </w:r>
    </w:p>
    <w:p w14:paraId="3DB8EDCF"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present results are in close conformity with Singh </w:t>
      </w:r>
      <w:r w:rsidRPr="005653F9">
        <w:rPr>
          <w:rFonts w:ascii="Arial" w:hAnsi="Arial" w:cs="Arial"/>
          <w:i/>
          <w:iCs/>
          <w:lang w:val="en-IN"/>
        </w:rPr>
        <w:t>et al.</w:t>
      </w:r>
      <w:r w:rsidRPr="005653F9">
        <w:rPr>
          <w:rFonts w:ascii="Arial" w:hAnsi="Arial" w:cs="Arial"/>
          <w:lang w:val="en-IN"/>
        </w:rPr>
        <w:t xml:space="preserve"> (2018), who observed that the integration of organic manures with inorganic fertilizers markedly enhanced the yield-attributing characters of rice. The improvement may be ascribed to the continuous and balanced nutrient supply achieved through integrated nutrient management (INM). Organic manures, being rich in humic substances and beneficial microorganisms, gradually release nutrients through microbial mineralization, whereas inorganic fertilizers provide nutrients immediately after application. This complementary effect ensures a steady nutrient supply throughout the crop growth period, particularly during the grain-filling phase, thereby enhancing the development of productive tillers and filled grains. Similarly, </w:t>
      </w:r>
      <w:proofErr w:type="spellStart"/>
      <w:r w:rsidRPr="005653F9">
        <w:rPr>
          <w:rFonts w:ascii="Arial" w:hAnsi="Arial" w:cs="Arial"/>
          <w:lang w:val="en-IN"/>
        </w:rPr>
        <w:t>Senthamizhkumaran</w:t>
      </w:r>
      <w:proofErr w:type="spellEnd"/>
      <w:r w:rsidRPr="005653F9">
        <w:rPr>
          <w:rFonts w:ascii="Arial" w:hAnsi="Arial" w:cs="Arial"/>
          <w:lang w:val="en-IN"/>
        </w:rPr>
        <w:t xml:space="preserve"> </w:t>
      </w:r>
      <w:r w:rsidRPr="005653F9">
        <w:rPr>
          <w:rFonts w:ascii="Arial" w:hAnsi="Arial" w:cs="Arial"/>
          <w:i/>
          <w:iCs/>
          <w:lang w:val="en-IN"/>
        </w:rPr>
        <w:t>et al.</w:t>
      </w:r>
      <w:r w:rsidRPr="005653F9">
        <w:rPr>
          <w:rFonts w:ascii="Arial" w:hAnsi="Arial" w:cs="Arial"/>
          <w:lang w:val="en-IN"/>
        </w:rPr>
        <w:t xml:space="preserve"> (2021) reported that the combined application of organic and inorganic nitrogen sources enhances nutrient use efficiency and supports continuous nutrient uptake, leading to improved reproductive development and higher grain yield in rice. The contribution of vermicompost and farm yard manure, due to its gradual nutrient release and improvement of soil physical and biological properties, further aids in sustained nutrient supply and better utilization by plants. Neti </w:t>
      </w:r>
      <w:r w:rsidRPr="005653F9">
        <w:rPr>
          <w:rFonts w:ascii="Arial" w:hAnsi="Arial" w:cs="Arial"/>
          <w:i/>
          <w:iCs/>
          <w:lang w:val="en-IN"/>
        </w:rPr>
        <w:t>et al.</w:t>
      </w:r>
      <w:r w:rsidRPr="005653F9">
        <w:rPr>
          <w:rFonts w:ascii="Arial" w:hAnsi="Arial" w:cs="Arial"/>
          <w:lang w:val="en-IN"/>
        </w:rPr>
        <w:t xml:space="preserve"> (2022) also emphasized that organic manures provide nutrients in a slow-release form, thereby maintaining soil fertility and promoting higher yield attributes and productivity across the growth stages of rice.</w:t>
      </w:r>
    </w:p>
    <w:p w14:paraId="7A87FABB" w14:textId="5028DAEC"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3.5 Effect on Yield of Rice</w:t>
      </w:r>
    </w:p>
    <w:p w14:paraId="4DAAE4A6"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perusal of data (table 5) indicated a significant improvement in all yield parameters with integrated nutrient management (INM) and recommended doses of fertilizers compared to the control. Among the treatments, T5 (0.1% Azotobacter + 1% Vermi Compost + 1% Poultry Litter + 1% Oil Cake + 1% Farm Yard Manure + 50% RDF) recorded the highest grain yield (45.48 q ha</w:t>
      </w:r>
      <w:r w:rsidRPr="005653F9">
        <w:rPr>
          <w:rFonts w:ascii="Cambria Math" w:hAnsi="Cambria Math" w:cs="Cambria Math"/>
          <w:lang w:val="en-IN"/>
        </w:rPr>
        <w:t>⁻</w:t>
      </w:r>
      <w:r w:rsidRPr="005653F9">
        <w:rPr>
          <w:rFonts w:ascii="Arial" w:hAnsi="Arial" w:cs="Arial"/>
          <w:lang w:val="en-IN"/>
        </w:rPr>
        <w:t>¹), straw yield (58.31 q ha</w:t>
      </w:r>
      <w:r w:rsidRPr="005653F9">
        <w:rPr>
          <w:rFonts w:ascii="Cambria Math" w:hAnsi="Cambria Math" w:cs="Cambria Math"/>
          <w:lang w:val="en-IN"/>
        </w:rPr>
        <w:t>⁻</w:t>
      </w:r>
      <w:r w:rsidRPr="005653F9">
        <w:rPr>
          <w:rFonts w:ascii="Arial" w:hAnsi="Arial" w:cs="Arial"/>
          <w:lang w:val="en-IN"/>
        </w:rPr>
        <w:t>¹), and biological yield (104.59 q ha</w:t>
      </w:r>
      <w:r w:rsidRPr="005653F9">
        <w:rPr>
          <w:rFonts w:ascii="Cambria Math" w:hAnsi="Cambria Math" w:cs="Cambria Math"/>
          <w:lang w:val="en-IN"/>
        </w:rPr>
        <w:t>⁻</w:t>
      </w:r>
      <w:r w:rsidRPr="005653F9">
        <w:rPr>
          <w:rFonts w:ascii="Arial" w:hAnsi="Arial" w:cs="Arial"/>
          <w:lang w:val="en-IN"/>
        </w:rPr>
        <w:t>¹), followed closely by T6 (the same INM combination + 100% RDF) which produced 45.44 q ha</w:t>
      </w:r>
      <w:r w:rsidRPr="005653F9">
        <w:rPr>
          <w:rFonts w:ascii="Cambria Math" w:hAnsi="Cambria Math" w:cs="Cambria Math"/>
          <w:lang w:val="en-IN"/>
        </w:rPr>
        <w:t>⁻</w:t>
      </w:r>
      <w:r w:rsidRPr="005653F9">
        <w:rPr>
          <w:rFonts w:ascii="Arial" w:hAnsi="Arial" w:cs="Arial"/>
          <w:lang w:val="en-IN"/>
        </w:rPr>
        <w:t>¹ grain yield, 58.21 q ha</w:t>
      </w:r>
      <w:r w:rsidRPr="005653F9">
        <w:rPr>
          <w:rFonts w:ascii="Cambria Math" w:hAnsi="Cambria Math" w:cs="Cambria Math"/>
          <w:lang w:val="en-IN"/>
        </w:rPr>
        <w:t>⁻</w:t>
      </w:r>
      <w:r w:rsidRPr="005653F9">
        <w:rPr>
          <w:rFonts w:ascii="Arial" w:hAnsi="Arial" w:cs="Arial"/>
          <w:lang w:val="en-IN"/>
        </w:rPr>
        <w:t>¹ straw yield, and 104.44 q ha</w:t>
      </w:r>
      <w:r w:rsidRPr="005653F9">
        <w:rPr>
          <w:rFonts w:ascii="Cambria Math" w:hAnsi="Cambria Math" w:cs="Cambria Math"/>
          <w:lang w:val="en-IN"/>
        </w:rPr>
        <w:t>⁻</w:t>
      </w:r>
      <w:r w:rsidRPr="005653F9">
        <w:rPr>
          <w:rFonts w:ascii="Arial" w:hAnsi="Arial" w:cs="Arial"/>
          <w:lang w:val="en-IN"/>
        </w:rPr>
        <w:t>¹ biological yield. This indicates that partial substitution of chemical fertilizers with organic sources along with biofertilizers could achieve yield levels comparable to full RDF application.</w:t>
      </w:r>
    </w:p>
    <w:p w14:paraId="301292F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Treatment T3 (100% RDF) significantly improved grain yield (41.70 q ha</w:t>
      </w:r>
      <w:r w:rsidRPr="005653F9">
        <w:rPr>
          <w:rFonts w:ascii="Cambria Math" w:hAnsi="Cambria Math" w:cs="Cambria Math"/>
          <w:lang w:val="en-IN"/>
        </w:rPr>
        <w:t>⁻</w:t>
      </w:r>
      <w:r w:rsidRPr="005653F9">
        <w:rPr>
          <w:rFonts w:ascii="Arial" w:hAnsi="Arial" w:cs="Arial"/>
          <w:lang w:val="en-IN"/>
        </w:rPr>
        <w:t>¹) and straw yield (52.60 q ha</w:t>
      </w:r>
      <w:r w:rsidRPr="005653F9">
        <w:rPr>
          <w:rFonts w:ascii="Cambria Math" w:hAnsi="Cambria Math" w:cs="Cambria Math"/>
          <w:lang w:val="en-IN"/>
        </w:rPr>
        <w:t>⁻</w:t>
      </w:r>
      <w:r w:rsidRPr="005653F9">
        <w:rPr>
          <w:rFonts w:ascii="Arial" w:hAnsi="Arial" w:cs="Arial"/>
          <w:lang w:val="en-IN"/>
        </w:rPr>
        <w:t>¹) over control (T1), confirming the beneficial effect of balanced fertilization. The T4 treatment, which included only organic amendments and biofertilizer, enhanced yields over the control but was slightly lower than treatments combining organic sources with chemical fertilizers (T5 and T6).</w:t>
      </w:r>
    </w:p>
    <w:p w14:paraId="539BEAD6"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observed increase in grain and straw yield in plots receiving chemical fertilizers combined with organic manures may be attributed to enhanced colonization by arbuscular mycorrhizal fungi (AMF), improved activity of beneficial soil microbes, and elevated soil enzyme activity. These processes facilitate efficient nutrient mobilization, ensuring balanced and timely availability of nutrients throughout the crop growth period, which promotes the development of yield-contributing traits and ultimately results in higher economic yield. In support of these findings, </w:t>
      </w:r>
      <w:proofErr w:type="spellStart"/>
      <w:r w:rsidRPr="005653F9">
        <w:rPr>
          <w:rFonts w:ascii="Arial" w:hAnsi="Arial" w:cs="Arial"/>
          <w:lang w:val="en-IN"/>
        </w:rPr>
        <w:t>Hoseinzade</w:t>
      </w:r>
      <w:proofErr w:type="spellEnd"/>
      <w:r w:rsidRPr="005653F9">
        <w:rPr>
          <w:rFonts w:ascii="Arial" w:hAnsi="Arial" w:cs="Arial"/>
          <w:lang w:val="en-IN"/>
        </w:rPr>
        <w:t xml:space="preserve"> et al. (2016) reported that microbial inoculation, when applied alongside chemical and biological fertilizers, significantly improved nutrient uptake and rice growth, leading to enhanced grain yield. Similarly, Sekiya et al. (2025) demonstrated that the application of organic fertilizers positively influenced soil microbial communities, enhanced nitrogen mineralization, and increased rice productivity by improving fertilizer use efficiency. These studies corroborate the present results, confirming that integrated nutrient management combining organic, inorganic, and biofertilizer sources is highly effective in enhancing rice yield under Gangetic alluvial soils.</w:t>
      </w:r>
    </w:p>
    <w:p w14:paraId="2E8EA04F" w14:textId="77777777" w:rsidR="00790ADA" w:rsidRPr="00FB3A86" w:rsidRDefault="00790ADA" w:rsidP="00441B6F">
      <w:pPr>
        <w:pStyle w:val="Body"/>
        <w:spacing w:after="0"/>
        <w:rPr>
          <w:rFonts w:ascii="Arial" w:hAnsi="Arial" w:cs="Arial"/>
        </w:rPr>
      </w:pPr>
    </w:p>
    <w:p w14:paraId="30A8CA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B16DAA" w14:textId="0957BF34" w:rsidR="00790ADA" w:rsidRPr="00FB3A86" w:rsidRDefault="000B7950" w:rsidP="00441B6F">
      <w:pPr>
        <w:pStyle w:val="Body"/>
        <w:spacing w:after="0"/>
        <w:rPr>
          <w:rFonts w:ascii="Arial" w:hAnsi="Arial" w:cs="Arial"/>
        </w:rPr>
      </w:pPr>
      <w:r w:rsidRPr="000B7950">
        <w:rPr>
          <w:rFonts w:ascii="Arial" w:hAnsi="Arial" w:cs="Arial"/>
          <w:bCs/>
          <w:szCs w:val="18"/>
          <w:lang w:val="en-IN"/>
        </w:rPr>
        <w:t xml:space="preserve">Integrated nutrient management combining organic amendments, biofertilizer, and chemical fertilizers significantly enhanced rice growth, yield, and nutrient availability in lower </w:t>
      </w:r>
      <w:r>
        <w:rPr>
          <w:rFonts w:ascii="Arial" w:hAnsi="Arial" w:cs="Arial"/>
          <w:bCs/>
          <w:szCs w:val="18"/>
          <w:lang w:val="en-IN"/>
        </w:rPr>
        <w:t>G</w:t>
      </w:r>
      <w:r w:rsidRPr="000B7950">
        <w:rPr>
          <w:rFonts w:ascii="Arial" w:hAnsi="Arial" w:cs="Arial"/>
          <w:bCs/>
          <w:szCs w:val="18"/>
          <w:lang w:val="en-IN"/>
        </w:rPr>
        <w:t>angetic</w:t>
      </w:r>
      <w:r>
        <w:rPr>
          <w:rFonts w:ascii="Arial" w:hAnsi="Arial" w:cs="Arial"/>
          <w:bCs/>
          <w:szCs w:val="18"/>
          <w:lang w:val="en-IN"/>
        </w:rPr>
        <w:t xml:space="preserve"> </w:t>
      </w:r>
      <w:r w:rsidRPr="000B7950">
        <w:rPr>
          <w:rFonts w:ascii="Arial" w:hAnsi="Arial" w:cs="Arial"/>
          <w:bCs/>
          <w:szCs w:val="18"/>
          <w:lang w:val="en-IN"/>
        </w:rPr>
        <w:t xml:space="preserve">alluvial soils. Partial substitution of chemical fertilizers with organics and azotobacter achieved yields comparable to full recommended doses, highlighting the potential of </w:t>
      </w:r>
      <w:proofErr w:type="spellStart"/>
      <w:r w:rsidRPr="000B7950">
        <w:rPr>
          <w:rFonts w:ascii="Arial" w:hAnsi="Arial" w:cs="Arial"/>
          <w:bCs/>
          <w:szCs w:val="18"/>
          <w:lang w:val="en-IN"/>
        </w:rPr>
        <w:t>inm</w:t>
      </w:r>
      <w:proofErr w:type="spellEnd"/>
      <w:r w:rsidRPr="000B7950">
        <w:rPr>
          <w:rFonts w:ascii="Arial" w:hAnsi="Arial" w:cs="Arial"/>
          <w:bCs/>
          <w:szCs w:val="18"/>
          <w:lang w:val="en-IN"/>
        </w:rPr>
        <w:t xml:space="preserve"> for sustainable rice cultivation. Although short-term effects on soil </w:t>
      </w:r>
      <w:proofErr w:type="spellStart"/>
      <w:r w:rsidRPr="000B7950">
        <w:rPr>
          <w:rFonts w:ascii="Arial" w:hAnsi="Arial" w:cs="Arial"/>
          <w:bCs/>
          <w:szCs w:val="18"/>
          <w:lang w:val="en-IN"/>
        </w:rPr>
        <w:t>physi</w:t>
      </w:r>
      <w:r>
        <w:rPr>
          <w:rFonts w:ascii="Arial" w:hAnsi="Arial" w:cs="Arial"/>
          <w:bCs/>
          <w:szCs w:val="18"/>
          <w:lang w:val="en-IN"/>
        </w:rPr>
        <w:t>c</w:t>
      </w:r>
      <w:r w:rsidRPr="000B7950">
        <w:rPr>
          <w:rFonts w:ascii="Arial" w:hAnsi="Arial" w:cs="Arial"/>
          <w:bCs/>
          <w:szCs w:val="18"/>
          <w:lang w:val="en-IN"/>
        </w:rPr>
        <w:t>o</w:t>
      </w:r>
      <w:proofErr w:type="spellEnd"/>
      <w:r w:rsidRPr="000B7950">
        <w:rPr>
          <w:rFonts w:ascii="Arial" w:hAnsi="Arial" w:cs="Arial"/>
          <w:bCs/>
          <w:szCs w:val="18"/>
          <w:lang w:val="en-IN"/>
        </w:rPr>
        <w:t xml:space="preserve">-chemical properties were observed, substantial improvements require repeated application over multiple seasons. Adoption of </w:t>
      </w:r>
      <w:proofErr w:type="spellStart"/>
      <w:r w:rsidRPr="000B7950">
        <w:rPr>
          <w:rFonts w:ascii="Arial" w:hAnsi="Arial" w:cs="Arial"/>
          <w:bCs/>
          <w:szCs w:val="18"/>
          <w:lang w:val="en-IN"/>
        </w:rPr>
        <w:t>inm</w:t>
      </w:r>
      <w:proofErr w:type="spellEnd"/>
      <w:r w:rsidRPr="000B7950">
        <w:rPr>
          <w:rFonts w:ascii="Arial" w:hAnsi="Arial" w:cs="Arial"/>
          <w:bCs/>
          <w:szCs w:val="18"/>
          <w:lang w:val="en-IN"/>
        </w:rPr>
        <w:t xml:space="preserve"> can optimize productivity while maintaining soil health, offering a practical strategy for sustainable rice production in </w:t>
      </w:r>
      <w:r>
        <w:rPr>
          <w:rFonts w:ascii="Arial" w:hAnsi="Arial" w:cs="Arial"/>
          <w:bCs/>
          <w:szCs w:val="18"/>
          <w:lang w:val="en-IN"/>
        </w:rPr>
        <w:t>W</w:t>
      </w:r>
      <w:r w:rsidRPr="000B7950">
        <w:rPr>
          <w:rFonts w:ascii="Arial" w:hAnsi="Arial" w:cs="Arial"/>
          <w:bCs/>
          <w:szCs w:val="18"/>
          <w:lang w:val="en-IN"/>
        </w:rPr>
        <w:t xml:space="preserve">est </w:t>
      </w:r>
      <w:r>
        <w:rPr>
          <w:rFonts w:ascii="Arial" w:hAnsi="Arial" w:cs="Arial"/>
          <w:bCs/>
          <w:szCs w:val="18"/>
          <w:lang w:val="en-IN"/>
        </w:rPr>
        <w:t>B</w:t>
      </w:r>
      <w:r w:rsidRPr="000B7950">
        <w:rPr>
          <w:rFonts w:ascii="Arial" w:hAnsi="Arial" w:cs="Arial"/>
          <w:bCs/>
          <w:szCs w:val="18"/>
          <w:lang w:val="en-IN"/>
        </w:rPr>
        <w:t>engal.</w:t>
      </w:r>
    </w:p>
    <w:p w14:paraId="08A9D9B6" w14:textId="0E9E332D" w:rsidR="002B685A" w:rsidRDefault="002B685A" w:rsidP="00441B6F">
      <w:pPr>
        <w:pStyle w:val="ReferHead"/>
        <w:spacing w:after="0"/>
        <w:jc w:val="both"/>
        <w:rPr>
          <w:rFonts w:ascii="Arial" w:hAnsi="Arial" w:cs="Arial"/>
          <w:b w:val="0"/>
          <w:caps w:val="0"/>
          <w:sz w:val="20"/>
        </w:rPr>
      </w:pPr>
    </w:p>
    <w:p w14:paraId="723635D3" w14:textId="77777777" w:rsidR="00E035EB" w:rsidRPr="00E035EB" w:rsidRDefault="00E035EB" w:rsidP="00E035EB">
      <w:pPr>
        <w:spacing w:after="200" w:line="276" w:lineRule="auto"/>
        <w:jc w:val="both"/>
        <w:outlineLvl w:val="0"/>
        <w:rPr>
          <w:rFonts w:ascii="Arial" w:eastAsiaTheme="minorEastAsia" w:hAnsi="Arial" w:cs="Arial"/>
          <w:sz w:val="22"/>
          <w:szCs w:val="22"/>
          <w:lang w:val="en-GB" w:eastAsia="en-GB"/>
        </w:rPr>
      </w:pPr>
      <w:r w:rsidRPr="00E035EB">
        <w:rPr>
          <w:rFonts w:ascii="Arial" w:eastAsiaTheme="minorEastAsia" w:hAnsi="Arial" w:cs="Arial"/>
          <w:b/>
          <w:bCs/>
          <w:sz w:val="22"/>
          <w:szCs w:val="22"/>
          <w:lang w:val="en-GB" w:eastAsia="en-GB"/>
        </w:rPr>
        <w:t>COMPETING INTERESTS DISCLAIMER:</w:t>
      </w:r>
    </w:p>
    <w:p w14:paraId="24BBCABA" w14:textId="77777777" w:rsidR="00E035EB" w:rsidRPr="00E035EB" w:rsidRDefault="00E035EB" w:rsidP="00E035EB">
      <w:pPr>
        <w:spacing w:after="200" w:line="276" w:lineRule="auto"/>
        <w:rPr>
          <w:rFonts w:asciiTheme="minorHAnsi" w:eastAsiaTheme="minorEastAsia" w:hAnsiTheme="minorHAnsi" w:cstheme="minorBidi"/>
          <w:sz w:val="22"/>
          <w:szCs w:val="22"/>
          <w:lang w:val="en-GB" w:eastAsia="en-GB"/>
        </w:rPr>
      </w:pPr>
      <w:r w:rsidRPr="00E035E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03939B4" w14:textId="7BD8367A" w:rsidR="00B01FCD" w:rsidRDefault="00B01FCD" w:rsidP="00441B6F">
      <w:pPr>
        <w:pStyle w:val="ReferHead"/>
        <w:spacing w:after="0"/>
        <w:jc w:val="both"/>
        <w:rPr>
          <w:rFonts w:ascii="Arial" w:hAnsi="Arial" w:cs="Arial"/>
        </w:rPr>
      </w:pPr>
      <w:r w:rsidRPr="00FB3A86">
        <w:rPr>
          <w:rFonts w:ascii="Arial" w:hAnsi="Arial" w:cs="Arial"/>
        </w:rPr>
        <w:t>References</w:t>
      </w:r>
    </w:p>
    <w:p w14:paraId="1714C5B7" w14:textId="77777777" w:rsidR="006E7405" w:rsidRPr="006E7405" w:rsidRDefault="006E7405" w:rsidP="006E7405">
      <w:pPr>
        <w:pStyle w:val="Body"/>
        <w:spacing w:after="0"/>
        <w:rPr>
          <w:lang w:val="en-IN"/>
        </w:rPr>
      </w:pPr>
    </w:p>
    <w:p w14:paraId="7FDC62F2" w14:textId="77777777" w:rsidR="00334B59" w:rsidRDefault="00334B59" w:rsidP="00334B59">
      <w:pPr>
        <w:pStyle w:val="Body"/>
      </w:pPr>
      <w:r>
        <w:t xml:space="preserve">Bhatt, m. K., </w:t>
      </w:r>
      <w:proofErr w:type="spellStart"/>
      <w:r>
        <w:t>singh</w:t>
      </w:r>
      <w:proofErr w:type="spellEnd"/>
      <w:r>
        <w:t xml:space="preserve">, d. K., </w:t>
      </w:r>
      <w:proofErr w:type="spellStart"/>
      <w:r>
        <w:t>raverkar</w:t>
      </w:r>
      <w:proofErr w:type="spellEnd"/>
      <w:r>
        <w:t xml:space="preserve">, k. P., </w:t>
      </w:r>
      <w:proofErr w:type="spellStart"/>
      <w:r>
        <w:t>chandra</w:t>
      </w:r>
      <w:proofErr w:type="spellEnd"/>
      <w:r>
        <w:t xml:space="preserve">, r., </w:t>
      </w:r>
      <w:proofErr w:type="spellStart"/>
      <w:r>
        <w:t>pareek</w:t>
      </w:r>
      <w:proofErr w:type="spellEnd"/>
      <w:r>
        <w:t xml:space="preserve">, n., </w:t>
      </w:r>
      <w:proofErr w:type="spellStart"/>
      <w:r>
        <w:t>dey</w:t>
      </w:r>
      <w:proofErr w:type="spellEnd"/>
      <w:r>
        <w:t xml:space="preserve">, p., </w:t>
      </w:r>
      <w:proofErr w:type="spellStart"/>
      <w:r>
        <w:t>pramanick</w:t>
      </w:r>
      <w:proofErr w:type="spellEnd"/>
      <w:r>
        <w:t xml:space="preserve">, b., </w:t>
      </w:r>
      <w:proofErr w:type="spellStart"/>
      <w:r>
        <w:t>joshi</w:t>
      </w:r>
      <w:proofErr w:type="spellEnd"/>
      <w:r>
        <w:t xml:space="preserve">, h. C., </w:t>
      </w:r>
      <w:proofErr w:type="spellStart"/>
      <w:r>
        <w:t>kumar</w:t>
      </w:r>
      <w:proofErr w:type="spellEnd"/>
      <w:r>
        <w:t xml:space="preserve">, m., </w:t>
      </w:r>
      <w:proofErr w:type="spellStart"/>
      <w:r>
        <w:t>gaber</w:t>
      </w:r>
      <w:proofErr w:type="spellEnd"/>
      <w:r>
        <w:t xml:space="preserve">, a., </w:t>
      </w:r>
      <w:proofErr w:type="spellStart"/>
      <w:r>
        <w:t>alsuhaibani</w:t>
      </w:r>
      <w:proofErr w:type="spellEnd"/>
      <w:r>
        <w:t xml:space="preserve">, a. M., &amp; </w:t>
      </w:r>
      <w:proofErr w:type="spellStart"/>
      <w:r>
        <w:t>hossain</w:t>
      </w:r>
      <w:proofErr w:type="spellEnd"/>
      <w:r>
        <w:t xml:space="preserve">, a. (2023). Effects of varied nutrient regimes on soil health and long-term productivity in a rice–wheat system: insights from a 29-year study in the </w:t>
      </w:r>
      <w:proofErr w:type="spellStart"/>
      <w:r>
        <w:t>mollisols</w:t>
      </w:r>
      <w:proofErr w:type="spellEnd"/>
      <w:r>
        <w:t xml:space="preserve"> of the </w:t>
      </w:r>
      <w:proofErr w:type="spellStart"/>
      <w:r>
        <w:t>himalayan</w:t>
      </w:r>
      <w:proofErr w:type="spellEnd"/>
      <w:r>
        <w:t xml:space="preserve"> </w:t>
      </w:r>
      <w:proofErr w:type="spellStart"/>
      <w:r>
        <w:t>tarai</w:t>
      </w:r>
      <w:proofErr w:type="spellEnd"/>
      <w:r>
        <w:t xml:space="preserve"> region. Frontiers in sustainable food systems, 7, 1206878. Https://doi.org/10.3389/fsufs.2023.1206878</w:t>
      </w:r>
    </w:p>
    <w:p w14:paraId="44CCE011" w14:textId="77777777" w:rsidR="00334B59" w:rsidRDefault="00334B59" w:rsidP="00334B59">
      <w:pPr>
        <w:pStyle w:val="Body"/>
      </w:pPr>
      <w:proofErr w:type="spellStart"/>
      <w:r>
        <w:lastRenderedPageBreak/>
        <w:t>Coêlho</w:t>
      </w:r>
      <w:proofErr w:type="spellEnd"/>
      <w:r>
        <w:t xml:space="preserve">, D. D. L., </w:t>
      </w:r>
      <w:proofErr w:type="spellStart"/>
      <w:r>
        <w:t>Dubeux</w:t>
      </w:r>
      <w:proofErr w:type="spellEnd"/>
      <w:r>
        <w:t>, J. C. B. Jr., Santos, M. V. F. D., Mello, A. C. L. D., Cunha, M. V. D., Santos, D. C. D., Freitas, E. V. D., Santos, E. R. S. D., &amp; Silva, N. V. D. (2023). Management practices affect soil organic carbon stocks and soil fertility in cactus orchards. Agronomy, 13(12), 2986. https://doi.org/10.3390/agronomy13122986</w:t>
      </w:r>
    </w:p>
    <w:p w14:paraId="02BCB349" w14:textId="77777777" w:rsidR="00334B59" w:rsidRDefault="00334B59" w:rsidP="00334B59">
      <w:pPr>
        <w:pStyle w:val="Body"/>
      </w:pPr>
      <w:r>
        <w:t xml:space="preserve">Gawde, N., Singh, A. K., Agrawal, S. K., &amp; Kumar, R. (2017). Long-term effect of integrated nutrient management on soil nutrient status under rice–wheat cropping system in </w:t>
      </w:r>
      <w:proofErr w:type="spellStart"/>
      <w:r>
        <w:t>Inceptisols</w:t>
      </w:r>
      <w:proofErr w:type="spellEnd"/>
      <w:r>
        <w:t>. International Journal of Chemical Studies, 5(4), 1050–1057.</w:t>
      </w:r>
    </w:p>
    <w:p w14:paraId="1C36B975" w14:textId="77777777" w:rsidR="00334B59" w:rsidRDefault="00334B59" w:rsidP="00334B59">
      <w:pPr>
        <w:pStyle w:val="Body"/>
      </w:pPr>
      <w:proofErr w:type="spellStart"/>
      <w:r>
        <w:t>Hoseinzade</w:t>
      </w:r>
      <w:proofErr w:type="spellEnd"/>
      <w:r>
        <w:t xml:space="preserve">, H., </w:t>
      </w:r>
      <w:proofErr w:type="spellStart"/>
      <w:r>
        <w:t>Ardakani</w:t>
      </w:r>
      <w:proofErr w:type="spellEnd"/>
      <w:r>
        <w:t xml:space="preserve">, M. R., Shahdi, A., Asadi Rahmani, H., </w:t>
      </w:r>
      <w:proofErr w:type="spellStart"/>
      <w:r>
        <w:t>Noormohammadi</w:t>
      </w:r>
      <w:proofErr w:type="spellEnd"/>
      <w:r>
        <w:t xml:space="preserve">, G., &amp; </w:t>
      </w:r>
      <w:proofErr w:type="spellStart"/>
      <w:r>
        <w:t>Miransari</w:t>
      </w:r>
      <w:proofErr w:type="spellEnd"/>
      <w:r>
        <w:t xml:space="preserve">, M. (2016). Rice (Oryza sativa L.) nutrient management using mycorrhizal fungi and endophytic </w:t>
      </w:r>
      <w:proofErr w:type="spellStart"/>
      <w:r>
        <w:t>Herbaspirillum</w:t>
      </w:r>
      <w:proofErr w:type="spellEnd"/>
      <w:r>
        <w:t xml:space="preserve"> </w:t>
      </w:r>
      <w:proofErr w:type="spellStart"/>
      <w:r>
        <w:t>seropedicae</w:t>
      </w:r>
      <w:proofErr w:type="spellEnd"/>
      <w:r>
        <w:t>. Journal of Integrative Agriculture, 15(6), 1385–1394. https://doi.org/10.1016/S2095-3119(15)61241-2</w:t>
      </w:r>
    </w:p>
    <w:p w14:paraId="7A759159" w14:textId="77777777" w:rsidR="00334B59" w:rsidRDefault="00334B59" w:rsidP="00334B59">
      <w:pPr>
        <w:pStyle w:val="Body"/>
      </w:pPr>
      <w:r>
        <w:t>International Fertilizer Association (IFA). (2020). Short-term fertilizer outlook 2020–2021: Public summary of IFA virtual strategic forum (Paris, France: International Fertilizer Association), 17–19.</w:t>
      </w:r>
    </w:p>
    <w:p w14:paraId="0B55FDFE" w14:textId="77777777" w:rsidR="00334B59" w:rsidRDefault="00334B59" w:rsidP="00334B59">
      <w:pPr>
        <w:pStyle w:val="Body"/>
      </w:pPr>
      <w:proofErr w:type="spellStart"/>
      <w:r>
        <w:t>Kharlukhi</w:t>
      </w:r>
      <w:proofErr w:type="spellEnd"/>
      <w:r>
        <w:t>, D. G., Upadhyaya, K., &amp; Sahoo, U. K. (2024). Influence of integrated nutrient management on soil health, growth, and yield of paddy in “jhum lands” of north-eastern Himalayas. Discover Agriculture, 2, 107. https://doi.org/10.1007/s44279-024-00128-w</w:t>
      </w:r>
    </w:p>
    <w:p w14:paraId="7CFDBA15" w14:textId="77777777" w:rsidR="00334B59" w:rsidRDefault="00334B59" w:rsidP="00334B59">
      <w:pPr>
        <w:pStyle w:val="Body"/>
      </w:pPr>
      <w:r>
        <w:t>Kirtikumar, R., Tejashree, R., &amp; Sanjeevani, J. (2021). An overview of the global fertilizer trends and India’s position in 2020. Mineral Economics, 34(3), 371–384. https://doi.org/10.1007/s13563-021-00283-z</w:t>
      </w:r>
    </w:p>
    <w:p w14:paraId="2CD8BC67" w14:textId="77777777" w:rsidR="00334B59" w:rsidRDefault="00334B59" w:rsidP="00334B59">
      <w:pPr>
        <w:pStyle w:val="Body"/>
      </w:pPr>
      <w:r>
        <w:t xml:space="preserve">Kumar, A., </w:t>
      </w:r>
      <w:proofErr w:type="spellStart"/>
      <w:r>
        <w:t>Meenam</w:t>
      </w:r>
      <w:proofErr w:type="spellEnd"/>
      <w:r>
        <w:t xml:space="preserve">, R. N., Yadav, L., &amp; </w:t>
      </w:r>
      <w:proofErr w:type="spellStart"/>
      <w:r>
        <w:t>Gilotiya</w:t>
      </w:r>
      <w:proofErr w:type="spellEnd"/>
      <w:r>
        <w:t>, Y. K. (2014). Effect of organic and inorganic sources of nutrients on yield, yield attributes and nutrient uptake of rice cv. PRH-10. International Journal of Environmental Science, 9, 595–597.</w:t>
      </w:r>
    </w:p>
    <w:p w14:paraId="11C0902A" w14:textId="77777777" w:rsidR="00334B59" w:rsidRDefault="00334B59" w:rsidP="00334B59">
      <w:pPr>
        <w:pStyle w:val="Body"/>
      </w:pPr>
      <w:r>
        <w:t xml:space="preserve">Neti, S., Sidar, R. S., Singh, V. K., &amp; Yadav, D. (2022). Effect of integrated nutrient management on rice (Oryza sativa L.) yield under </w:t>
      </w:r>
      <w:proofErr w:type="spellStart"/>
      <w:r>
        <w:t>Surguja</w:t>
      </w:r>
      <w:proofErr w:type="spellEnd"/>
      <w:r>
        <w:t xml:space="preserve"> district. The Pharma Innovation Journal, 11(7), 3473–3476.</w:t>
      </w:r>
    </w:p>
    <w:p w14:paraId="23675F72" w14:textId="77777777" w:rsidR="00334B59" w:rsidRDefault="00334B59" w:rsidP="00334B59">
      <w:pPr>
        <w:pStyle w:val="Body"/>
      </w:pPr>
      <w:proofErr w:type="spellStart"/>
      <w:r>
        <w:t>Nureti</w:t>
      </w:r>
      <w:proofErr w:type="spellEnd"/>
      <w:r>
        <w:t xml:space="preserve">, V., Thakur, A., Kumar, N., </w:t>
      </w:r>
      <w:proofErr w:type="spellStart"/>
      <w:r>
        <w:t>Chandraker</w:t>
      </w:r>
      <w:proofErr w:type="spellEnd"/>
      <w:r>
        <w:t>, T., Singh, D. P., &amp; Verma, K. (2024). Effect of inorganic and organic sources of nutrients on yield and economics of direct-seeded rice under rainfed situations. The Pharma Innovation Journal, 13(3), 340–343.</w:t>
      </w:r>
    </w:p>
    <w:p w14:paraId="4FC55721" w14:textId="77777777" w:rsidR="00334B59" w:rsidRDefault="00334B59" w:rsidP="00334B59">
      <w:pPr>
        <w:pStyle w:val="Body"/>
      </w:pPr>
      <w:r>
        <w:t xml:space="preserve">Olsen, S. R., Cole, C. V., Watanabe, F. S., &amp; Dean, L. A. (1954). Estimation of available phosphorus in soils by extraction with </w:t>
      </w:r>
      <w:proofErr w:type="spellStart"/>
      <w:r>
        <w:t>NaHCO</w:t>
      </w:r>
      <w:proofErr w:type="spellEnd"/>
      <w:r>
        <w:rPr>
          <w:rFonts w:ascii="Cambria Math" w:hAnsi="Cambria Math" w:cs="Cambria Math"/>
        </w:rPr>
        <w:t>₃</w:t>
      </w:r>
      <w:r>
        <w:t xml:space="preserve"> (USDA Circular 939). U.S. Government Printing Office, Washington, D.C.</w:t>
      </w:r>
    </w:p>
    <w:p w14:paraId="60AC6819" w14:textId="77777777" w:rsidR="00334B59" w:rsidRDefault="00334B59" w:rsidP="00334B59">
      <w:pPr>
        <w:pStyle w:val="Body"/>
      </w:pPr>
      <w:r>
        <w:t xml:space="preserve">Rahman, m. M., </w:t>
      </w:r>
      <w:proofErr w:type="spellStart"/>
      <w:r>
        <w:t>uddin</w:t>
      </w:r>
      <w:proofErr w:type="spellEnd"/>
      <w:r>
        <w:t xml:space="preserve">, s., </w:t>
      </w:r>
      <w:proofErr w:type="spellStart"/>
      <w:r>
        <w:t>jahangir</w:t>
      </w:r>
      <w:proofErr w:type="spellEnd"/>
      <w:r>
        <w:t xml:space="preserve">, m. M. R., </w:t>
      </w:r>
      <w:proofErr w:type="spellStart"/>
      <w:r>
        <w:t>solaiman</w:t>
      </w:r>
      <w:proofErr w:type="spellEnd"/>
      <w:r>
        <w:t xml:space="preserve">, z. M., </w:t>
      </w:r>
      <w:proofErr w:type="spellStart"/>
      <w:r>
        <w:t>alamri</w:t>
      </w:r>
      <w:proofErr w:type="spellEnd"/>
      <w:r>
        <w:t xml:space="preserve">, s., </w:t>
      </w:r>
      <w:proofErr w:type="spellStart"/>
      <w:r>
        <w:t>siddiqui</w:t>
      </w:r>
      <w:proofErr w:type="spellEnd"/>
      <w:r>
        <w:t xml:space="preserve">, m. H., &amp; </w:t>
      </w:r>
      <w:proofErr w:type="spellStart"/>
      <w:r>
        <w:t>islam</w:t>
      </w:r>
      <w:proofErr w:type="spellEnd"/>
      <w:r>
        <w:t xml:space="preserve">, m. R. (2021). Integrated nutrient management enhances productivity and nitrogen use efficiency of crops in acidic and </w:t>
      </w:r>
      <w:proofErr w:type="spellStart"/>
      <w:r>
        <w:t>charland</w:t>
      </w:r>
      <w:proofErr w:type="spellEnd"/>
      <w:r>
        <w:t xml:space="preserve"> soils. Plants (</w:t>
      </w:r>
      <w:proofErr w:type="spellStart"/>
      <w:r>
        <w:t>basel</w:t>
      </w:r>
      <w:proofErr w:type="spellEnd"/>
      <w:r>
        <w:t>), 10(11), 2547. Https://doi.org/10.3390/plants10112547</w:t>
      </w:r>
    </w:p>
    <w:p w14:paraId="5122827D" w14:textId="77777777" w:rsidR="00334B59" w:rsidRDefault="00334B59" w:rsidP="00334B59">
      <w:pPr>
        <w:pStyle w:val="Body"/>
      </w:pPr>
      <w:proofErr w:type="spellStart"/>
      <w:r>
        <w:t>Samantaray</w:t>
      </w:r>
      <w:proofErr w:type="spellEnd"/>
      <w:r>
        <w:t>, K. K. (2021). Growth and disparities of fertilizer consumption in Indian states. Journal of Agricultural Economics and Development, 9(2), 45–</w:t>
      </w:r>
      <w:proofErr w:type="gramStart"/>
      <w:r>
        <w:t>52.*</w:t>
      </w:r>
      <w:proofErr w:type="gramEnd"/>
    </w:p>
    <w:p w14:paraId="33F4D578" w14:textId="77777777" w:rsidR="00334B59" w:rsidRDefault="00334B59" w:rsidP="00334B59">
      <w:pPr>
        <w:pStyle w:val="Body"/>
      </w:pPr>
      <w:r>
        <w:t>Sekiya, N., Mae, A., Murai, A., et al. (2025). Soil microbes and organic fertilizer efficiency are associated with rice field topography. Scientific Reports, 15, 24939. https://doi.org/10.1038/s41598-025-24939</w:t>
      </w:r>
    </w:p>
    <w:p w14:paraId="52AE3130" w14:textId="77777777" w:rsidR="00334B59" w:rsidRDefault="00334B59" w:rsidP="00334B59">
      <w:pPr>
        <w:pStyle w:val="Body"/>
      </w:pPr>
      <w:proofErr w:type="spellStart"/>
      <w:r>
        <w:t>Senthamizhkumaran</w:t>
      </w:r>
      <w:proofErr w:type="spellEnd"/>
      <w:r>
        <w:t>, V. R., Santhy, P., Selvi, D., Maragatham, N., Kalaiselvi, T., &amp; Sabarinathan, K. G. (2021). Effect of organic and inorganic nutrients on rice (Oryza sativa var. CO 51) productivity and soil fertility in the western zone of Tamil Nadu, India. Plant Archives, 13(14), 1488–1498.</w:t>
      </w:r>
    </w:p>
    <w:p w14:paraId="7FA1DB0C" w14:textId="77777777" w:rsidR="00334B59" w:rsidRDefault="00334B59" w:rsidP="00334B59">
      <w:pPr>
        <w:pStyle w:val="Body"/>
      </w:pPr>
      <w:r>
        <w:t>Singh, S. K., Kumar, M., Singh, R. P., Bohra, J. S., Srivastava, J. P., Singh, S. P., &amp; Singh, Y. V. (2018). Conjoint application of organic and inorganic sources of nutrients on yield, nutrient uptake and soil fertility under rice (Oryza sativa)–wheat (Triticum aestivum) system. Journal of the Indian Society of Soil Science, 66(3), 287–294.</w:t>
      </w:r>
    </w:p>
    <w:p w14:paraId="7F5D48AD" w14:textId="77777777" w:rsidR="00334B59" w:rsidRDefault="00334B59" w:rsidP="00334B59">
      <w:pPr>
        <w:pStyle w:val="Body"/>
      </w:pPr>
      <w:r>
        <w:t>Subbaiah, B. V., &amp; Asija, G. L. (1956). A rapid procedure for the determination of available nitrogen in soil. Current Science, 25, 259–262.</w:t>
      </w:r>
    </w:p>
    <w:p w14:paraId="49C04796" w14:textId="38BA15A6" w:rsidR="00006EF3" w:rsidRDefault="00334B59" w:rsidP="00334B59">
      <w:pPr>
        <w:pStyle w:val="Body"/>
        <w:spacing w:after="0"/>
        <w:sectPr w:rsidR="00006EF3" w:rsidSect="004A4045">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pPr>
      <w:r>
        <w:t>Walkley, A. J., &amp; Black, I. A. (1934). Estimation of soil organic carbon by the chromic acid titration method. Soil Science, 37, 29–38.</w:t>
      </w:r>
    </w:p>
    <w:tbl>
      <w:tblPr>
        <w:tblpPr w:leftFromText="180" w:rightFromText="180" w:vertAnchor="text" w:horzAnchor="margin" w:tblpY="597"/>
        <w:tblW w:w="13703" w:type="dxa"/>
        <w:tblLook w:val="04A0" w:firstRow="1" w:lastRow="0" w:firstColumn="1" w:lastColumn="0" w:noHBand="0" w:noVBand="1"/>
      </w:tblPr>
      <w:tblGrid>
        <w:gridCol w:w="1228"/>
        <w:gridCol w:w="720"/>
        <w:gridCol w:w="686"/>
        <w:gridCol w:w="669"/>
        <w:gridCol w:w="906"/>
        <w:gridCol w:w="694"/>
        <w:gridCol w:w="669"/>
        <w:gridCol w:w="669"/>
        <w:gridCol w:w="906"/>
        <w:gridCol w:w="978"/>
        <w:gridCol w:w="753"/>
        <w:gridCol w:w="753"/>
        <w:gridCol w:w="926"/>
        <w:gridCol w:w="921"/>
        <w:gridCol w:w="669"/>
        <w:gridCol w:w="753"/>
        <w:gridCol w:w="1044"/>
      </w:tblGrid>
      <w:tr w:rsidR="00006EF3" w:rsidRPr="00BB10B6" w14:paraId="6BDA996A" w14:textId="77777777" w:rsidTr="00006EF3">
        <w:trPr>
          <w:trHeight w:val="283"/>
        </w:trPr>
        <w:tc>
          <w:tcPr>
            <w:tcW w:w="1122" w:type="dxa"/>
            <w:vMerge w:val="restart"/>
            <w:tcBorders>
              <w:top w:val="single" w:sz="4" w:space="0" w:color="auto"/>
              <w:left w:val="nil"/>
              <w:bottom w:val="single" w:sz="4" w:space="0" w:color="000000"/>
              <w:right w:val="single" w:sz="4" w:space="0" w:color="auto"/>
            </w:tcBorders>
            <w:noWrap/>
            <w:vAlign w:val="bottom"/>
            <w:hideMark/>
          </w:tcPr>
          <w:p w14:paraId="1165D29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lastRenderedPageBreak/>
              <w:t>Treatments</w:t>
            </w:r>
          </w:p>
        </w:tc>
        <w:tc>
          <w:tcPr>
            <w:tcW w:w="2914" w:type="dxa"/>
            <w:gridSpan w:val="4"/>
            <w:tcBorders>
              <w:top w:val="single" w:sz="4" w:space="0" w:color="auto"/>
              <w:left w:val="nil"/>
              <w:bottom w:val="single" w:sz="4" w:space="0" w:color="auto"/>
              <w:right w:val="single" w:sz="4" w:space="0" w:color="000000"/>
            </w:tcBorders>
            <w:noWrap/>
            <w:vAlign w:val="bottom"/>
            <w:hideMark/>
          </w:tcPr>
          <w:p w14:paraId="0A4CFFAB" w14:textId="77777777" w:rsidR="00006EF3" w:rsidRPr="008D36E3" w:rsidRDefault="00006EF3" w:rsidP="00006EF3">
            <w:pPr>
              <w:jc w:val="center"/>
              <w:rPr>
                <w:rFonts w:ascii="Arial" w:hAnsi="Arial" w:cs="Arial"/>
                <w:color w:val="000000"/>
                <w:lang w:eastAsia="en-IN" w:bidi="hi-IN"/>
              </w:rPr>
            </w:pPr>
            <w:r w:rsidRPr="008D36E3">
              <w:rPr>
                <w:rFonts w:ascii="Arial" w:hAnsi="Arial" w:cs="Arial"/>
                <w:color w:val="000000"/>
                <w:lang w:eastAsia="en-IN" w:bidi="hi-IN"/>
              </w:rPr>
              <w:t xml:space="preserve">PH </w:t>
            </w:r>
          </w:p>
        </w:tc>
        <w:tc>
          <w:tcPr>
            <w:tcW w:w="2870" w:type="dxa"/>
            <w:gridSpan w:val="4"/>
            <w:tcBorders>
              <w:top w:val="single" w:sz="4" w:space="0" w:color="auto"/>
              <w:left w:val="nil"/>
              <w:bottom w:val="single" w:sz="4" w:space="0" w:color="auto"/>
              <w:right w:val="single" w:sz="4" w:space="0" w:color="000000"/>
            </w:tcBorders>
            <w:noWrap/>
            <w:vAlign w:val="bottom"/>
            <w:hideMark/>
          </w:tcPr>
          <w:p w14:paraId="46F8EC8E" w14:textId="5D6A6D72" w:rsidR="00006EF3" w:rsidRPr="008D36E3" w:rsidRDefault="00006EF3" w:rsidP="00006EF3">
            <w:pPr>
              <w:jc w:val="center"/>
              <w:rPr>
                <w:rFonts w:ascii="Arial" w:hAnsi="Arial" w:cs="Arial"/>
                <w:color w:val="000000"/>
                <w:lang w:eastAsia="en-IN" w:bidi="hi-IN"/>
              </w:rPr>
            </w:pPr>
            <w:r w:rsidRPr="008D36E3">
              <w:rPr>
                <w:rFonts w:ascii="Arial" w:hAnsi="Arial" w:cs="Arial"/>
                <w:color w:val="000000"/>
                <w:lang w:eastAsia="en-IN" w:bidi="hi-IN"/>
              </w:rPr>
              <w:t>EC</w:t>
            </w:r>
            <w:r w:rsidR="008D36E3">
              <w:rPr>
                <w:rFonts w:ascii="Arial" w:hAnsi="Arial" w:cs="Arial"/>
                <w:color w:val="000000"/>
                <w:lang w:eastAsia="en-IN" w:bidi="hi-IN"/>
              </w:rPr>
              <w:t xml:space="preserve"> </w:t>
            </w:r>
            <w:proofErr w:type="gramStart"/>
            <w:r w:rsidR="008D36E3">
              <w:rPr>
                <w:rFonts w:ascii="Arial" w:hAnsi="Arial" w:cs="Arial"/>
                <w:color w:val="000000"/>
                <w:lang w:eastAsia="en-IN" w:bidi="hi-IN"/>
              </w:rPr>
              <w:t>(</w:t>
            </w:r>
            <w:r w:rsidR="008D36E3" w:rsidRPr="00F218B3">
              <w:rPr>
                <w:rFonts w:ascii="Times New Roman" w:hAnsi="Times New Roman"/>
              </w:rPr>
              <w:t xml:space="preserve"> </w:t>
            </w:r>
            <w:proofErr w:type="spellStart"/>
            <w:r w:rsidR="008D36E3" w:rsidRPr="008D36E3">
              <w:rPr>
                <w:rFonts w:ascii="Arial" w:hAnsi="Arial" w:cs="Arial"/>
              </w:rPr>
              <w:t>dS</w:t>
            </w:r>
            <w:proofErr w:type="spellEnd"/>
            <w:proofErr w:type="gramEnd"/>
            <w:r w:rsidR="008D36E3" w:rsidRPr="008D36E3">
              <w:rPr>
                <w:rFonts w:ascii="Arial" w:hAnsi="Arial" w:cs="Arial"/>
              </w:rPr>
              <w:t xml:space="preserve"> m</w:t>
            </w:r>
            <w:r w:rsidR="008D36E3" w:rsidRPr="008D36E3">
              <w:rPr>
                <w:rFonts w:ascii="Cambria Math" w:hAnsi="Cambria Math" w:cs="Cambria Math"/>
              </w:rPr>
              <w:t>⁻</w:t>
            </w:r>
            <w:r w:rsidR="008D36E3" w:rsidRPr="008D36E3">
              <w:rPr>
                <w:rFonts w:ascii="Arial" w:hAnsi="Arial" w:cs="Arial"/>
              </w:rPr>
              <w:t>¹)</w:t>
            </w:r>
          </w:p>
        </w:tc>
        <w:tc>
          <w:tcPr>
            <w:tcW w:w="3410" w:type="dxa"/>
            <w:gridSpan w:val="4"/>
            <w:tcBorders>
              <w:top w:val="single" w:sz="4" w:space="0" w:color="auto"/>
              <w:left w:val="nil"/>
              <w:bottom w:val="single" w:sz="4" w:space="0" w:color="auto"/>
              <w:right w:val="single" w:sz="4" w:space="0" w:color="000000"/>
            </w:tcBorders>
            <w:noWrap/>
            <w:vAlign w:val="bottom"/>
            <w:hideMark/>
          </w:tcPr>
          <w:p w14:paraId="5697EE95" w14:textId="6A56646E" w:rsidR="00006EF3" w:rsidRPr="008D36E3" w:rsidRDefault="008D36E3" w:rsidP="00006EF3">
            <w:pPr>
              <w:jc w:val="center"/>
              <w:rPr>
                <w:rFonts w:ascii="Arial" w:hAnsi="Arial" w:cs="Arial"/>
                <w:color w:val="000000"/>
                <w:lang w:eastAsia="en-IN" w:bidi="hi-IN"/>
              </w:rPr>
            </w:pPr>
            <w:r w:rsidRPr="008D36E3">
              <w:rPr>
                <w:rFonts w:ascii="Arial" w:hAnsi="Arial" w:cs="Arial"/>
                <w:color w:val="000000"/>
                <w:lang w:eastAsia="en-IN" w:bidi="hi-IN"/>
              </w:rPr>
              <w:t xml:space="preserve">CEC </w:t>
            </w:r>
            <w:r>
              <w:rPr>
                <w:rFonts w:ascii="Arial" w:hAnsi="Arial" w:cs="Arial"/>
                <w:color w:val="000000"/>
                <w:lang w:eastAsia="en-IN" w:bidi="hi-IN"/>
              </w:rPr>
              <w:t>(</w:t>
            </w:r>
            <w:proofErr w:type="spellStart"/>
            <w:r w:rsidRPr="008D36E3">
              <w:rPr>
                <w:rFonts w:ascii="Arial" w:hAnsi="Arial" w:cs="Arial"/>
              </w:rPr>
              <w:t>cmol</w:t>
            </w:r>
            <w:proofErr w:type="spellEnd"/>
            <w:r w:rsidR="00EB4769" w:rsidRPr="008D36E3">
              <w:rPr>
                <w:rFonts w:ascii="Arial" w:hAnsi="Arial" w:cs="Arial"/>
              </w:rPr>
              <w:t xml:space="preserve"> (p</w:t>
            </w:r>
            <w:r w:rsidR="00EB4769" w:rsidRPr="008D36E3">
              <w:rPr>
                <w:rFonts w:ascii="Cambria Math" w:hAnsi="Cambria Math" w:cs="Cambria Math"/>
              </w:rPr>
              <w:t>⁺</w:t>
            </w:r>
            <w:r w:rsidR="00EB4769" w:rsidRPr="008D36E3">
              <w:rPr>
                <w:rFonts w:ascii="Arial" w:hAnsi="Arial" w:cs="Arial"/>
              </w:rPr>
              <w:t>) kg</w:t>
            </w:r>
            <w:r w:rsidR="00EB4769" w:rsidRPr="008D36E3">
              <w:rPr>
                <w:rFonts w:ascii="Cambria Math" w:hAnsi="Cambria Math" w:cs="Cambria Math"/>
              </w:rPr>
              <w:t>⁻</w:t>
            </w:r>
            <w:r w:rsidR="00EB4769" w:rsidRPr="008D36E3">
              <w:rPr>
                <w:rFonts w:ascii="Arial" w:hAnsi="Arial" w:cs="Arial"/>
              </w:rPr>
              <w:t>¹)</w:t>
            </w:r>
            <w:r>
              <w:rPr>
                <w:rFonts w:ascii="Arial" w:hAnsi="Arial" w:cs="Arial"/>
              </w:rPr>
              <w:t>)</w:t>
            </w:r>
          </w:p>
        </w:tc>
        <w:tc>
          <w:tcPr>
            <w:tcW w:w="3387" w:type="dxa"/>
            <w:gridSpan w:val="4"/>
            <w:tcBorders>
              <w:top w:val="single" w:sz="4" w:space="0" w:color="auto"/>
              <w:left w:val="nil"/>
              <w:bottom w:val="single" w:sz="4" w:space="0" w:color="auto"/>
              <w:right w:val="nil"/>
            </w:tcBorders>
            <w:noWrap/>
            <w:vAlign w:val="bottom"/>
            <w:hideMark/>
          </w:tcPr>
          <w:p w14:paraId="1DA8B2A8" w14:textId="5F071A0C" w:rsidR="00006EF3" w:rsidRPr="008D36E3" w:rsidRDefault="00006EF3" w:rsidP="00006EF3">
            <w:pPr>
              <w:jc w:val="center"/>
              <w:rPr>
                <w:rFonts w:ascii="Arial" w:hAnsi="Arial" w:cs="Arial"/>
                <w:color w:val="000000"/>
                <w:lang w:eastAsia="en-IN" w:bidi="hi-IN"/>
              </w:rPr>
            </w:pPr>
            <w:r w:rsidRPr="008D36E3">
              <w:rPr>
                <w:rFonts w:ascii="Arial" w:hAnsi="Arial" w:cs="Arial"/>
                <w:color w:val="000000"/>
                <w:lang w:eastAsia="en-IN" w:bidi="hi-IN"/>
              </w:rPr>
              <w:t>OC</w:t>
            </w:r>
            <w:r w:rsidR="008D36E3">
              <w:rPr>
                <w:rFonts w:ascii="Arial" w:hAnsi="Arial" w:cs="Arial"/>
                <w:color w:val="000000"/>
                <w:lang w:eastAsia="en-IN" w:bidi="hi-IN"/>
              </w:rPr>
              <w:t xml:space="preserve"> (%)</w:t>
            </w:r>
          </w:p>
        </w:tc>
      </w:tr>
      <w:tr w:rsidR="00EB4769" w:rsidRPr="00BB10B6" w14:paraId="5C0C9D60" w14:textId="77777777" w:rsidTr="00006EF3">
        <w:trPr>
          <w:trHeight w:val="283"/>
        </w:trPr>
        <w:tc>
          <w:tcPr>
            <w:tcW w:w="1122" w:type="dxa"/>
            <w:vMerge/>
            <w:tcBorders>
              <w:top w:val="single" w:sz="4" w:space="0" w:color="auto"/>
              <w:left w:val="nil"/>
              <w:bottom w:val="single" w:sz="4" w:space="0" w:color="000000"/>
              <w:right w:val="single" w:sz="4" w:space="0" w:color="auto"/>
            </w:tcBorders>
            <w:vAlign w:val="center"/>
            <w:hideMark/>
          </w:tcPr>
          <w:p w14:paraId="3C3C752A" w14:textId="77777777" w:rsidR="00006EF3" w:rsidRPr="00EB4769" w:rsidRDefault="00006EF3" w:rsidP="00006EF3">
            <w:pPr>
              <w:rPr>
                <w:rFonts w:ascii="Arial" w:hAnsi="Arial" w:cs="Arial"/>
                <w:color w:val="000000"/>
                <w:lang w:eastAsia="en-IN" w:bidi="hi-IN"/>
              </w:rPr>
            </w:pPr>
          </w:p>
        </w:tc>
        <w:tc>
          <w:tcPr>
            <w:tcW w:w="720" w:type="dxa"/>
            <w:tcBorders>
              <w:top w:val="nil"/>
              <w:left w:val="nil"/>
              <w:bottom w:val="single" w:sz="4" w:space="0" w:color="auto"/>
              <w:right w:val="nil"/>
            </w:tcBorders>
            <w:noWrap/>
            <w:vAlign w:val="bottom"/>
            <w:hideMark/>
          </w:tcPr>
          <w:p w14:paraId="7667974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686" w:type="dxa"/>
            <w:tcBorders>
              <w:top w:val="nil"/>
              <w:left w:val="nil"/>
              <w:bottom w:val="single" w:sz="4" w:space="0" w:color="auto"/>
              <w:right w:val="nil"/>
            </w:tcBorders>
            <w:noWrap/>
            <w:vAlign w:val="bottom"/>
            <w:hideMark/>
          </w:tcPr>
          <w:p w14:paraId="7F22B85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669" w:type="dxa"/>
            <w:tcBorders>
              <w:top w:val="nil"/>
              <w:left w:val="nil"/>
              <w:bottom w:val="single" w:sz="4" w:space="0" w:color="auto"/>
              <w:right w:val="nil"/>
            </w:tcBorders>
            <w:noWrap/>
            <w:vAlign w:val="bottom"/>
            <w:hideMark/>
          </w:tcPr>
          <w:p w14:paraId="7207852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839" w:type="dxa"/>
            <w:tcBorders>
              <w:top w:val="nil"/>
              <w:left w:val="nil"/>
              <w:bottom w:val="single" w:sz="4" w:space="0" w:color="auto"/>
              <w:right w:val="single" w:sz="4" w:space="0" w:color="auto"/>
            </w:tcBorders>
            <w:noWrap/>
            <w:vAlign w:val="bottom"/>
            <w:hideMark/>
          </w:tcPr>
          <w:p w14:paraId="258BFA0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694" w:type="dxa"/>
            <w:tcBorders>
              <w:top w:val="nil"/>
              <w:left w:val="nil"/>
              <w:bottom w:val="single" w:sz="4" w:space="0" w:color="auto"/>
              <w:right w:val="nil"/>
            </w:tcBorders>
            <w:noWrap/>
            <w:vAlign w:val="bottom"/>
            <w:hideMark/>
          </w:tcPr>
          <w:p w14:paraId="060344F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669" w:type="dxa"/>
            <w:tcBorders>
              <w:top w:val="nil"/>
              <w:left w:val="nil"/>
              <w:bottom w:val="single" w:sz="4" w:space="0" w:color="auto"/>
              <w:right w:val="nil"/>
            </w:tcBorders>
            <w:noWrap/>
            <w:vAlign w:val="bottom"/>
            <w:hideMark/>
          </w:tcPr>
          <w:p w14:paraId="467AA06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669" w:type="dxa"/>
            <w:tcBorders>
              <w:top w:val="nil"/>
              <w:left w:val="nil"/>
              <w:bottom w:val="single" w:sz="4" w:space="0" w:color="auto"/>
              <w:right w:val="nil"/>
            </w:tcBorders>
            <w:noWrap/>
            <w:vAlign w:val="bottom"/>
            <w:hideMark/>
          </w:tcPr>
          <w:p w14:paraId="6969AC3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838" w:type="dxa"/>
            <w:tcBorders>
              <w:top w:val="nil"/>
              <w:left w:val="nil"/>
              <w:bottom w:val="single" w:sz="4" w:space="0" w:color="auto"/>
              <w:right w:val="single" w:sz="4" w:space="0" w:color="auto"/>
            </w:tcBorders>
            <w:noWrap/>
            <w:vAlign w:val="bottom"/>
            <w:hideMark/>
          </w:tcPr>
          <w:p w14:paraId="15FFED4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978" w:type="dxa"/>
            <w:tcBorders>
              <w:top w:val="nil"/>
              <w:left w:val="nil"/>
              <w:bottom w:val="single" w:sz="4" w:space="0" w:color="auto"/>
              <w:right w:val="nil"/>
            </w:tcBorders>
            <w:noWrap/>
            <w:vAlign w:val="bottom"/>
            <w:hideMark/>
          </w:tcPr>
          <w:p w14:paraId="163DB07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753" w:type="dxa"/>
            <w:tcBorders>
              <w:top w:val="nil"/>
              <w:left w:val="nil"/>
              <w:bottom w:val="single" w:sz="4" w:space="0" w:color="auto"/>
              <w:right w:val="nil"/>
            </w:tcBorders>
            <w:noWrap/>
            <w:vAlign w:val="bottom"/>
            <w:hideMark/>
          </w:tcPr>
          <w:p w14:paraId="57A723D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753" w:type="dxa"/>
            <w:tcBorders>
              <w:top w:val="nil"/>
              <w:left w:val="nil"/>
              <w:bottom w:val="single" w:sz="4" w:space="0" w:color="auto"/>
              <w:right w:val="nil"/>
            </w:tcBorders>
            <w:noWrap/>
            <w:vAlign w:val="bottom"/>
            <w:hideMark/>
          </w:tcPr>
          <w:p w14:paraId="4215BBF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926" w:type="dxa"/>
            <w:tcBorders>
              <w:top w:val="nil"/>
              <w:left w:val="nil"/>
              <w:bottom w:val="single" w:sz="4" w:space="0" w:color="auto"/>
              <w:right w:val="single" w:sz="4" w:space="0" w:color="auto"/>
            </w:tcBorders>
            <w:noWrap/>
            <w:vAlign w:val="bottom"/>
            <w:hideMark/>
          </w:tcPr>
          <w:p w14:paraId="56D84DD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921" w:type="dxa"/>
            <w:tcBorders>
              <w:top w:val="nil"/>
              <w:left w:val="nil"/>
              <w:bottom w:val="single" w:sz="4" w:space="0" w:color="auto"/>
              <w:right w:val="nil"/>
            </w:tcBorders>
            <w:noWrap/>
            <w:vAlign w:val="bottom"/>
            <w:hideMark/>
          </w:tcPr>
          <w:p w14:paraId="4330096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669" w:type="dxa"/>
            <w:tcBorders>
              <w:top w:val="nil"/>
              <w:left w:val="nil"/>
              <w:bottom w:val="single" w:sz="4" w:space="0" w:color="auto"/>
              <w:right w:val="nil"/>
            </w:tcBorders>
            <w:noWrap/>
            <w:vAlign w:val="bottom"/>
            <w:hideMark/>
          </w:tcPr>
          <w:p w14:paraId="24E5806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753" w:type="dxa"/>
            <w:tcBorders>
              <w:top w:val="nil"/>
              <w:left w:val="nil"/>
              <w:bottom w:val="single" w:sz="4" w:space="0" w:color="auto"/>
              <w:right w:val="nil"/>
            </w:tcBorders>
            <w:noWrap/>
            <w:vAlign w:val="bottom"/>
            <w:hideMark/>
          </w:tcPr>
          <w:p w14:paraId="137B839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044" w:type="dxa"/>
            <w:tcBorders>
              <w:top w:val="nil"/>
              <w:left w:val="nil"/>
              <w:bottom w:val="single" w:sz="4" w:space="0" w:color="auto"/>
              <w:right w:val="nil"/>
            </w:tcBorders>
            <w:noWrap/>
            <w:vAlign w:val="bottom"/>
            <w:hideMark/>
          </w:tcPr>
          <w:p w14:paraId="047372E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r>
      <w:tr w:rsidR="00EB4769" w:rsidRPr="00BB10B6" w14:paraId="5A4C896B" w14:textId="77777777" w:rsidTr="00006EF3">
        <w:trPr>
          <w:trHeight w:val="283"/>
        </w:trPr>
        <w:tc>
          <w:tcPr>
            <w:tcW w:w="1122" w:type="dxa"/>
            <w:tcBorders>
              <w:top w:val="nil"/>
              <w:left w:val="nil"/>
              <w:bottom w:val="nil"/>
              <w:right w:val="single" w:sz="4" w:space="0" w:color="auto"/>
            </w:tcBorders>
            <w:noWrap/>
            <w:vAlign w:val="bottom"/>
            <w:hideMark/>
          </w:tcPr>
          <w:p w14:paraId="6AFE5D50"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T1</w:t>
            </w:r>
          </w:p>
        </w:tc>
        <w:tc>
          <w:tcPr>
            <w:tcW w:w="720" w:type="dxa"/>
            <w:tcBorders>
              <w:top w:val="nil"/>
              <w:left w:val="nil"/>
              <w:bottom w:val="nil"/>
              <w:right w:val="nil"/>
            </w:tcBorders>
            <w:noWrap/>
            <w:vAlign w:val="bottom"/>
            <w:hideMark/>
          </w:tcPr>
          <w:p w14:paraId="3B4EC66A"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6.83</w:t>
            </w:r>
          </w:p>
        </w:tc>
        <w:tc>
          <w:tcPr>
            <w:tcW w:w="686" w:type="dxa"/>
            <w:tcBorders>
              <w:top w:val="nil"/>
              <w:left w:val="nil"/>
              <w:bottom w:val="nil"/>
              <w:right w:val="nil"/>
            </w:tcBorders>
            <w:noWrap/>
            <w:vAlign w:val="bottom"/>
            <w:hideMark/>
          </w:tcPr>
          <w:p w14:paraId="581EB031"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6.85</w:t>
            </w:r>
          </w:p>
        </w:tc>
        <w:tc>
          <w:tcPr>
            <w:tcW w:w="669" w:type="dxa"/>
            <w:tcBorders>
              <w:top w:val="nil"/>
              <w:left w:val="nil"/>
              <w:bottom w:val="nil"/>
              <w:right w:val="nil"/>
            </w:tcBorders>
            <w:noWrap/>
            <w:vAlign w:val="bottom"/>
            <w:hideMark/>
          </w:tcPr>
          <w:p w14:paraId="2C5A1FEB"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6.82</w:t>
            </w:r>
          </w:p>
        </w:tc>
        <w:tc>
          <w:tcPr>
            <w:tcW w:w="839" w:type="dxa"/>
            <w:tcBorders>
              <w:top w:val="nil"/>
              <w:left w:val="nil"/>
              <w:bottom w:val="nil"/>
              <w:right w:val="single" w:sz="4" w:space="0" w:color="auto"/>
            </w:tcBorders>
            <w:noWrap/>
            <w:vAlign w:val="bottom"/>
            <w:hideMark/>
          </w:tcPr>
          <w:p w14:paraId="1887453A"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6.79</w:t>
            </w:r>
          </w:p>
        </w:tc>
        <w:tc>
          <w:tcPr>
            <w:tcW w:w="694" w:type="dxa"/>
            <w:tcBorders>
              <w:top w:val="nil"/>
              <w:left w:val="nil"/>
              <w:bottom w:val="nil"/>
              <w:right w:val="nil"/>
            </w:tcBorders>
            <w:noWrap/>
            <w:vAlign w:val="bottom"/>
            <w:hideMark/>
          </w:tcPr>
          <w:p w14:paraId="18778728"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0.27</w:t>
            </w:r>
          </w:p>
        </w:tc>
        <w:tc>
          <w:tcPr>
            <w:tcW w:w="669" w:type="dxa"/>
            <w:tcBorders>
              <w:top w:val="nil"/>
              <w:left w:val="nil"/>
              <w:bottom w:val="nil"/>
              <w:right w:val="nil"/>
            </w:tcBorders>
            <w:noWrap/>
            <w:vAlign w:val="bottom"/>
            <w:hideMark/>
          </w:tcPr>
          <w:p w14:paraId="3C88CF24"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0.25</w:t>
            </w:r>
          </w:p>
        </w:tc>
        <w:tc>
          <w:tcPr>
            <w:tcW w:w="669" w:type="dxa"/>
            <w:tcBorders>
              <w:top w:val="nil"/>
              <w:left w:val="nil"/>
              <w:bottom w:val="nil"/>
              <w:right w:val="nil"/>
            </w:tcBorders>
            <w:noWrap/>
            <w:vAlign w:val="bottom"/>
            <w:hideMark/>
          </w:tcPr>
          <w:p w14:paraId="677F6819"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0.24</w:t>
            </w:r>
          </w:p>
        </w:tc>
        <w:tc>
          <w:tcPr>
            <w:tcW w:w="838" w:type="dxa"/>
            <w:tcBorders>
              <w:top w:val="nil"/>
              <w:left w:val="nil"/>
              <w:bottom w:val="nil"/>
              <w:right w:val="single" w:sz="4" w:space="0" w:color="auto"/>
            </w:tcBorders>
            <w:noWrap/>
            <w:vAlign w:val="bottom"/>
            <w:hideMark/>
          </w:tcPr>
          <w:p w14:paraId="1DC986FD"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0.23</w:t>
            </w:r>
          </w:p>
        </w:tc>
        <w:tc>
          <w:tcPr>
            <w:tcW w:w="978" w:type="dxa"/>
            <w:tcBorders>
              <w:top w:val="nil"/>
              <w:left w:val="nil"/>
              <w:bottom w:val="nil"/>
              <w:right w:val="nil"/>
            </w:tcBorders>
            <w:noWrap/>
            <w:vAlign w:val="bottom"/>
            <w:hideMark/>
          </w:tcPr>
          <w:p w14:paraId="574C4DB5"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21.83</w:t>
            </w:r>
          </w:p>
        </w:tc>
        <w:tc>
          <w:tcPr>
            <w:tcW w:w="753" w:type="dxa"/>
            <w:tcBorders>
              <w:top w:val="nil"/>
              <w:left w:val="nil"/>
              <w:bottom w:val="nil"/>
              <w:right w:val="nil"/>
            </w:tcBorders>
            <w:noWrap/>
            <w:vAlign w:val="bottom"/>
            <w:hideMark/>
          </w:tcPr>
          <w:p w14:paraId="254E02A1"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21.35</w:t>
            </w:r>
          </w:p>
        </w:tc>
        <w:tc>
          <w:tcPr>
            <w:tcW w:w="753" w:type="dxa"/>
            <w:tcBorders>
              <w:top w:val="nil"/>
              <w:left w:val="nil"/>
              <w:bottom w:val="nil"/>
              <w:right w:val="nil"/>
            </w:tcBorders>
            <w:noWrap/>
            <w:vAlign w:val="bottom"/>
            <w:hideMark/>
          </w:tcPr>
          <w:p w14:paraId="3CC7A737"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21.15</w:t>
            </w:r>
          </w:p>
        </w:tc>
        <w:tc>
          <w:tcPr>
            <w:tcW w:w="926" w:type="dxa"/>
            <w:tcBorders>
              <w:top w:val="nil"/>
              <w:left w:val="nil"/>
              <w:bottom w:val="nil"/>
              <w:right w:val="single" w:sz="4" w:space="0" w:color="auto"/>
            </w:tcBorders>
            <w:noWrap/>
            <w:vAlign w:val="bottom"/>
            <w:hideMark/>
          </w:tcPr>
          <w:p w14:paraId="5266C2D2"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21.06</w:t>
            </w:r>
          </w:p>
        </w:tc>
        <w:tc>
          <w:tcPr>
            <w:tcW w:w="921" w:type="dxa"/>
            <w:tcBorders>
              <w:top w:val="nil"/>
              <w:left w:val="nil"/>
              <w:bottom w:val="nil"/>
              <w:right w:val="nil"/>
            </w:tcBorders>
            <w:noWrap/>
            <w:vAlign w:val="bottom"/>
            <w:hideMark/>
          </w:tcPr>
          <w:p w14:paraId="4B4CC3F6"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1.12</w:t>
            </w:r>
          </w:p>
        </w:tc>
        <w:tc>
          <w:tcPr>
            <w:tcW w:w="669" w:type="dxa"/>
            <w:tcBorders>
              <w:top w:val="nil"/>
              <w:left w:val="nil"/>
              <w:bottom w:val="nil"/>
              <w:right w:val="nil"/>
            </w:tcBorders>
            <w:noWrap/>
            <w:vAlign w:val="bottom"/>
            <w:hideMark/>
          </w:tcPr>
          <w:p w14:paraId="5B068DC1"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1.09</w:t>
            </w:r>
          </w:p>
        </w:tc>
        <w:tc>
          <w:tcPr>
            <w:tcW w:w="753" w:type="dxa"/>
            <w:tcBorders>
              <w:top w:val="nil"/>
              <w:left w:val="nil"/>
              <w:bottom w:val="nil"/>
              <w:right w:val="nil"/>
            </w:tcBorders>
            <w:noWrap/>
            <w:vAlign w:val="bottom"/>
            <w:hideMark/>
          </w:tcPr>
          <w:p w14:paraId="257919B4"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0.98</w:t>
            </w:r>
          </w:p>
        </w:tc>
        <w:tc>
          <w:tcPr>
            <w:tcW w:w="1044" w:type="dxa"/>
            <w:tcBorders>
              <w:top w:val="nil"/>
              <w:left w:val="nil"/>
              <w:bottom w:val="nil"/>
              <w:right w:val="nil"/>
            </w:tcBorders>
            <w:noWrap/>
            <w:vAlign w:val="bottom"/>
            <w:hideMark/>
          </w:tcPr>
          <w:p w14:paraId="31DBDA25"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1.07</w:t>
            </w:r>
          </w:p>
        </w:tc>
      </w:tr>
      <w:tr w:rsidR="00EB4769" w:rsidRPr="00BB10B6" w14:paraId="07BBEB99" w14:textId="77777777" w:rsidTr="00006EF3">
        <w:trPr>
          <w:trHeight w:val="283"/>
        </w:trPr>
        <w:tc>
          <w:tcPr>
            <w:tcW w:w="1122" w:type="dxa"/>
            <w:tcBorders>
              <w:top w:val="nil"/>
              <w:left w:val="nil"/>
              <w:bottom w:val="nil"/>
              <w:right w:val="single" w:sz="4" w:space="0" w:color="auto"/>
            </w:tcBorders>
            <w:noWrap/>
            <w:vAlign w:val="bottom"/>
            <w:hideMark/>
          </w:tcPr>
          <w:p w14:paraId="4540AEC1"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T2</w:t>
            </w:r>
          </w:p>
        </w:tc>
        <w:tc>
          <w:tcPr>
            <w:tcW w:w="720" w:type="dxa"/>
            <w:tcBorders>
              <w:top w:val="nil"/>
              <w:left w:val="nil"/>
              <w:bottom w:val="nil"/>
              <w:right w:val="nil"/>
            </w:tcBorders>
            <w:noWrap/>
            <w:vAlign w:val="bottom"/>
            <w:hideMark/>
          </w:tcPr>
          <w:p w14:paraId="5D7CF6A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7.07</w:t>
            </w:r>
          </w:p>
        </w:tc>
        <w:tc>
          <w:tcPr>
            <w:tcW w:w="686" w:type="dxa"/>
            <w:tcBorders>
              <w:top w:val="nil"/>
              <w:left w:val="nil"/>
              <w:bottom w:val="nil"/>
              <w:right w:val="nil"/>
            </w:tcBorders>
            <w:noWrap/>
            <w:vAlign w:val="bottom"/>
            <w:hideMark/>
          </w:tcPr>
          <w:p w14:paraId="1E0E7A7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7.10</w:t>
            </w:r>
          </w:p>
        </w:tc>
        <w:tc>
          <w:tcPr>
            <w:tcW w:w="669" w:type="dxa"/>
            <w:tcBorders>
              <w:top w:val="nil"/>
              <w:left w:val="nil"/>
              <w:bottom w:val="nil"/>
              <w:right w:val="nil"/>
            </w:tcBorders>
            <w:noWrap/>
            <w:vAlign w:val="bottom"/>
            <w:hideMark/>
          </w:tcPr>
          <w:p w14:paraId="2C7E253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7.07</w:t>
            </w:r>
          </w:p>
        </w:tc>
        <w:tc>
          <w:tcPr>
            <w:tcW w:w="839" w:type="dxa"/>
            <w:tcBorders>
              <w:top w:val="nil"/>
              <w:left w:val="nil"/>
              <w:bottom w:val="nil"/>
              <w:right w:val="single" w:sz="4" w:space="0" w:color="auto"/>
            </w:tcBorders>
            <w:noWrap/>
            <w:vAlign w:val="bottom"/>
            <w:hideMark/>
          </w:tcPr>
          <w:p w14:paraId="7E6688F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7.06</w:t>
            </w:r>
          </w:p>
        </w:tc>
        <w:tc>
          <w:tcPr>
            <w:tcW w:w="694" w:type="dxa"/>
            <w:tcBorders>
              <w:top w:val="nil"/>
              <w:left w:val="nil"/>
              <w:bottom w:val="nil"/>
              <w:right w:val="nil"/>
            </w:tcBorders>
            <w:noWrap/>
            <w:vAlign w:val="bottom"/>
            <w:hideMark/>
          </w:tcPr>
          <w:p w14:paraId="3EA171B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0.28</w:t>
            </w:r>
          </w:p>
        </w:tc>
        <w:tc>
          <w:tcPr>
            <w:tcW w:w="669" w:type="dxa"/>
            <w:tcBorders>
              <w:top w:val="nil"/>
              <w:left w:val="nil"/>
              <w:bottom w:val="nil"/>
              <w:right w:val="nil"/>
            </w:tcBorders>
            <w:noWrap/>
            <w:vAlign w:val="bottom"/>
            <w:hideMark/>
          </w:tcPr>
          <w:p w14:paraId="5293D78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669" w:type="dxa"/>
            <w:tcBorders>
              <w:top w:val="nil"/>
              <w:left w:val="nil"/>
              <w:bottom w:val="nil"/>
              <w:right w:val="nil"/>
            </w:tcBorders>
            <w:noWrap/>
            <w:vAlign w:val="bottom"/>
            <w:hideMark/>
          </w:tcPr>
          <w:p w14:paraId="0CC0981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838" w:type="dxa"/>
            <w:tcBorders>
              <w:top w:val="nil"/>
              <w:left w:val="nil"/>
              <w:bottom w:val="nil"/>
              <w:right w:val="single" w:sz="4" w:space="0" w:color="auto"/>
            </w:tcBorders>
            <w:noWrap/>
            <w:vAlign w:val="bottom"/>
            <w:hideMark/>
          </w:tcPr>
          <w:p w14:paraId="53982EE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0.23</w:t>
            </w:r>
          </w:p>
        </w:tc>
        <w:tc>
          <w:tcPr>
            <w:tcW w:w="978" w:type="dxa"/>
            <w:tcBorders>
              <w:top w:val="nil"/>
              <w:left w:val="nil"/>
              <w:bottom w:val="nil"/>
              <w:right w:val="nil"/>
            </w:tcBorders>
            <w:noWrap/>
            <w:vAlign w:val="bottom"/>
            <w:hideMark/>
          </w:tcPr>
          <w:p w14:paraId="104B5D3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21.68</w:t>
            </w:r>
          </w:p>
        </w:tc>
        <w:tc>
          <w:tcPr>
            <w:tcW w:w="753" w:type="dxa"/>
            <w:tcBorders>
              <w:top w:val="nil"/>
              <w:left w:val="nil"/>
              <w:bottom w:val="nil"/>
              <w:right w:val="nil"/>
            </w:tcBorders>
            <w:noWrap/>
            <w:vAlign w:val="bottom"/>
            <w:hideMark/>
          </w:tcPr>
          <w:p w14:paraId="3644851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21.89</w:t>
            </w:r>
          </w:p>
        </w:tc>
        <w:tc>
          <w:tcPr>
            <w:tcW w:w="753" w:type="dxa"/>
            <w:tcBorders>
              <w:top w:val="nil"/>
              <w:left w:val="nil"/>
              <w:bottom w:val="nil"/>
              <w:right w:val="nil"/>
            </w:tcBorders>
            <w:noWrap/>
            <w:vAlign w:val="bottom"/>
            <w:hideMark/>
          </w:tcPr>
          <w:p w14:paraId="7DB18E7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22.30</w:t>
            </w:r>
          </w:p>
        </w:tc>
        <w:tc>
          <w:tcPr>
            <w:tcW w:w="926" w:type="dxa"/>
            <w:tcBorders>
              <w:top w:val="nil"/>
              <w:left w:val="nil"/>
              <w:bottom w:val="nil"/>
              <w:right w:val="single" w:sz="4" w:space="0" w:color="auto"/>
            </w:tcBorders>
            <w:noWrap/>
            <w:vAlign w:val="bottom"/>
            <w:hideMark/>
          </w:tcPr>
          <w:p w14:paraId="1FB3CC1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23.41</w:t>
            </w:r>
          </w:p>
        </w:tc>
        <w:tc>
          <w:tcPr>
            <w:tcW w:w="921" w:type="dxa"/>
            <w:tcBorders>
              <w:top w:val="nil"/>
              <w:left w:val="nil"/>
              <w:bottom w:val="nil"/>
              <w:right w:val="nil"/>
            </w:tcBorders>
            <w:noWrap/>
            <w:vAlign w:val="bottom"/>
            <w:hideMark/>
          </w:tcPr>
          <w:p w14:paraId="4FA96C3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1.19</w:t>
            </w:r>
          </w:p>
        </w:tc>
        <w:tc>
          <w:tcPr>
            <w:tcW w:w="669" w:type="dxa"/>
            <w:tcBorders>
              <w:top w:val="nil"/>
              <w:left w:val="nil"/>
              <w:bottom w:val="nil"/>
              <w:right w:val="nil"/>
            </w:tcBorders>
            <w:noWrap/>
            <w:vAlign w:val="bottom"/>
            <w:hideMark/>
          </w:tcPr>
          <w:p w14:paraId="31AA50D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1.16</w:t>
            </w:r>
          </w:p>
        </w:tc>
        <w:tc>
          <w:tcPr>
            <w:tcW w:w="753" w:type="dxa"/>
            <w:tcBorders>
              <w:top w:val="nil"/>
              <w:left w:val="nil"/>
              <w:bottom w:val="nil"/>
              <w:right w:val="nil"/>
            </w:tcBorders>
            <w:noWrap/>
            <w:vAlign w:val="bottom"/>
            <w:hideMark/>
          </w:tcPr>
          <w:p w14:paraId="6DEC9C3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1.10</w:t>
            </w:r>
          </w:p>
        </w:tc>
        <w:tc>
          <w:tcPr>
            <w:tcW w:w="1044" w:type="dxa"/>
            <w:tcBorders>
              <w:top w:val="nil"/>
              <w:left w:val="nil"/>
              <w:bottom w:val="nil"/>
              <w:right w:val="nil"/>
            </w:tcBorders>
            <w:noWrap/>
            <w:vAlign w:val="bottom"/>
            <w:hideMark/>
          </w:tcPr>
          <w:p w14:paraId="29323F8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1.15</w:t>
            </w:r>
          </w:p>
        </w:tc>
      </w:tr>
      <w:tr w:rsidR="00EB4769" w:rsidRPr="00BB10B6" w14:paraId="3283F630" w14:textId="77777777" w:rsidTr="00006EF3">
        <w:trPr>
          <w:trHeight w:val="283"/>
        </w:trPr>
        <w:tc>
          <w:tcPr>
            <w:tcW w:w="1122" w:type="dxa"/>
            <w:tcBorders>
              <w:top w:val="nil"/>
              <w:left w:val="nil"/>
              <w:bottom w:val="nil"/>
              <w:right w:val="single" w:sz="4" w:space="0" w:color="auto"/>
            </w:tcBorders>
            <w:noWrap/>
            <w:vAlign w:val="bottom"/>
            <w:hideMark/>
          </w:tcPr>
          <w:p w14:paraId="4F49FFFB"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T3</w:t>
            </w:r>
          </w:p>
        </w:tc>
        <w:tc>
          <w:tcPr>
            <w:tcW w:w="720" w:type="dxa"/>
            <w:tcBorders>
              <w:top w:val="nil"/>
              <w:left w:val="nil"/>
              <w:bottom w:val="nil"/>
              <w:right w:val="nil"/>
            </w:tcBorders>
            <w:noWrap/>
            <w:vAlign w:val="bottom"/>
            <w:hideMark/>
          </w:tcPr>
          <w:p w14:paraId="64EE314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7.06</w:t>
            </w:r>
          </w:p>
        </w:tc>
        <w:tc>
          <w:tcPr>
            <w:tcW w:w="686" w:type="dxa"/>
            <w:tcBorders>
              <w:top w:val="nil"/>
              <w:left w:val="nil"/>
              <w:bottom w:val="nil"/>
              <w:right w:val="nil"/>
            </w:tcBorders>
            <w:noWrap/>
            <w:vAlign w:val="bottom"/>
            <w:hideMark/>
          </w:tcPr>
          <w:p w14:paraId="20E441C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7.11</w:t>
            </w:r>
          </w:p>
        </w:tc>
        <w:tc>
          <w:tcPr>
            <w:tcW w:w="669" w:type="dxa"/>
            <w:tcBorders>
              <w:top w:val="nil"/>
              <w:left w:val="nil"/>
              <w:bottom w:val="nil"/>
              <w:right w:val="nil"/>
            </w:tcBorders>
            <w:noWrap/>
            <w:vAlign w:val="bottom"/>
            <w:hideMark/>
          </w:tcPr>
          <w:p w14:paraId="6FBBA3B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7.08</w:t>
            </w:r>
          </w:p>
        </w:tc>
        <w:tc>
          <w:tcPr>
            <w:tcW w:w="839" w:type="dxa"/>
            <w:tcBorders>
              <w:top w:val="nil"/>
              <w:left w:val="nil"/>
              <w:bottom w:val="nil"/>
              <w:right w:val="single" w:sz="4" w:space="0" w:color="auto"/>
            </w:tcBorders>
            <w:noWrap/>
            <w:vAlign w:val="bottom"/>
            <w:hideMark/>
          </w:tcPr>
          <w:p w14:paraId="0C838C9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7.04</w:t>
            </w:r>
          </w:p>
        </w:tc>
        <w:tc>
          <w:tcPr>
            <w:tcW w:w="694" w:type="dxa"/>
            <w:tcBorders>
              <w:top w:val="nil"/>
              <w:left w:val="nil"/>
              <w:bottom w:val="nil"/>
              <w:right w:val="nil"/>
            </w:tcBorders>
            <w:noWrap/>
            <w:vAlign w:val="bottom"/>
            <w:hideMark/>
          </w:tcPr>
          <w:p w14:paraId="2DB4C42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0.31</w:t>
            </w:r>
          </w:p>
        </w:tc>
        <w:tc>
          <w:tcPr>
            <w:tcW w:w="669" w:type="dxa"/>
            <w:tcBorders>
              <w:top w:val="nil"/>
              <w:left w:val="nil"/>
              <w:bottom w:val="nil"/>
              <w:right w:val="nil"/>
            </w:tcBorders>
            <w:noWrap/>
            <w:vAlign w:val="bottom"/>
            <w:hideMark/>
          </w:tcPr>
          <w:p w14:paraId="0AD5394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0.30</w:t>
            </w:r>
          </w:p>
        </w:tc>
        <w:tc>
          <w:tcPr>
            <w:tcW w:w="669" w:type="dxa"/>
            <w:tcBorders>
              <w:top w:val="nil"/>
              <w:left w:val="nil"/>
              <w:bottom w:val="nil"/>
              <w:right w:val="nil"/>
            </w:tcBorders>
            <w:noWrap/>
            <w:vAlign w:val="bottom"/>
            <w:hideMark/>
          </w:tcPr>
          <w:p w14:paraId="3103F67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838" w:type="dxa"/>
            <w:tcBorders>
              <w:top w:val="nil"/>
              <w:left w:val="nil"/>
              <w:bottom w:val="nil"/>
              <w:right w:val="single" w:sz="4" w:space="0" w:color="auto"/>
            </w:tcBorders>
            <w:noWrap/>
            <w:vAlign w:val="bottom"/>
            <w:hideMark/>
          </w:tcPr>
          <w:p w14:paraId="0014307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0.24</w:t>
            </w:r>
          </w:p>
        </w:tc>
        <w:tc>
          <w:tcPr>
            <w:tcW w:w="978" w:type="dxa"/>
            <w:tcBorders>
              <w:top w:val="nil"/>
              <w:left w:val="nil"/>
              <w:bottom w:val="nil"/>
              <w:right w:val="nil"/>
            </w:tcBorders>
            <w:noWrap/>
            <w:vAlign w:val="bottom"/>
            <w:hideMark/>
          </w:tcPr>
          <w:p w14:paraId="2194264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21.83</w:t>
            </w:r>
          </w:p>
        </w:tc>
        <w:tc>
          <w:tcPr>
            <w:tcW w:w="753" w:type="dxa"/>
            <w:tcBorders>
              <w:top w:val="nil"/>
              <w:left w:val="nil"/>
              <w:bottom w:val="nil"/>
              <w:right w:val="nil"/>
            </w:tcBorders>
            <w:noWrap/>
            <w:vAlign w:val="bottom"/>
            <w:hideMark/>
          </w:tcPr>
          <w:p w14:paraId="4B8CBAC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22.11</w:t>
            </w:r>
          </w:p>
        </w:tc>
        <w:tc>
          <w:tcPr>
            <w:tcW w:w="753" w:type="dxa"/>
            <w:tcBorders>
              <w:top w:val="nil"/>
              <w:left w:val="nil"/>
              <w:bottom w:val="nil"/>
              <w:right w:val="nil"/>
            </w:tcBorders>
            <w:noWrap/>
            <w:vAlign w:val="bottom"/>
            <w:hideMark/>
          </w:tcPr>
          <w:p w14:paraId="70E6FF2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22.60</w:t>
            </w:r>
          </w:p>
        </w:tc>
        <w:tc>
          <w:tcPr>
            <w:tcW w:w="926" w:type="dxa"/>
            <w:tcBorders>
              <w:top w:val="nil"/>
              <w:left w:val="nil"/>
              <w:bottom w:val="nil"/>
              <w:right w:val="single" w:sz="4" w:space="0" w:color="auto"/>
            </w:tcBorders>
            <w:noWrap/>
            <w:vAlign w:val="bottom"/>
            <w:hideMark/>
          </w:tcPr>
          <w:p w14:paraId="68D722E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22.43</w:t>
            </w:r>
          </w:p>
        </w:tc>
        <w:tc>
          <w:tcPr>
            <w:tcW w:w="921" w:type="dxa"/>
            <w:tcBorders>
              <w:top w:val="nil"/>
              <w:left w:val="nil"/>
              <w:bottom w:val="nil"/>
              <w:right w:val="nil"/>
            </w:tcBorders>
            <w:noWrap/>
            <w:vAlign w:val="bottom"/>
            <w:hideMark/>
          </w:tcPr>
          <w:p w14:paraId="2061F61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1.28</w:t>
            </w:r>
          </w:p>
        </w:tc>
        <w:tc>
          <w:tcPr>
            <w:tcW w:w="669" w:type="dxa"/>
            <w:tcBorders>
              <w:top w:val="nil"/>
              <w:left w:val="nil"/>
              <w:bottom w:val="nil"/>
              <w:right w:val="nil"/>
            </w:tcBorders>
            <w:noWrap/>
            <w:vAlign w:val="bottom"/>
            <w:hideMark/>
          </w:tcPr>
          <w:p w14:paraId="6929CC5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1.26</w:t>
            </w:r>
          </w:p>
        </w:tc>
        <w:tc>
          <w:tcPr>
            <w:tcW w:w="753" w:type="dxa"/>
            <w:tcBorders>
              <w:top w:val="nil"/>
              <w:left w:val="nil"/>
              <w:bottom w:val="nil"/>
              <w:right w:val="nil"/>
            </w:tcBorders>
            <w:noWrap/>
            <w:vAlign w:val="bottom"/>
            <w:hideMark/>
          </w:tcPr>
          <w:p w14:paraId="0390B0C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1.23</w:t>
            </w:r>
          </w:p>
        </w:tc>
        <w:tc>
          <w:tcPr>
            <w:tcW w:w="1044" w:type="dxa"/>
            <w:tcBorders>
              <w:top w:val="nil"/>
              <w:left w:val="nil"/>
              <w:bottom w:val="nil"/>
              <w:right w:val="nil"/>
            </w:tcBorders>
            <w:noWrap/>
            <w:vAlign w:val="bottom"/>
            <w:hideMark/>
          </w:tcPr>
          <w:p w14:paraId="60DA51E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1.27</w:t>
            </w:r>
          </w:p>
        </w:tc>
      </w:tr>
      <w:tr w:rsidR="00EB4769" w:rsidRPr="00BB10B6" w14:paraId="36417618" w14:textId="77777777" w:rsidTr="00006EF3">
        <w:trPr>
          <w:trHeight w:val="283"/>
        </w:trPr>
        <w:tc>
          <w:tcPr>
            <w:tcW w:w="1122" w:type="dxa"/>
            <w:tcBorders>
              <w:top w:val="nil"/>
              <w:left w:val="nil"/>
              <w:bottom w:val="nil"/>
              <w:right w:val="single" w:sz="4" w:space="0" w:color="auto"/>
            </w:tcBorders>
            <w:noWrap/>
            <w:vAlign w:val="bottom"/>
            <w:hideMark/>
          </w:tcPr>
          <w:p w14:paraId="0B8853ED"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T4</w:t>
            </w:r>
          </w:p>
        </w:tc>
        <w:tc>
          <w:tcPr>
            <w:tcW w:w="720" w:type="dxa"/>
            <w:tcBorders>
              <w:top w:val="nil"/>
              <w:left w:val="nil"/>
              <w:bottom w:val="nil"/>
              <w:right w:val="nil"/>
            </w:tcBorders>
            <w:noWrap/>
            <w:vAlign w:val="bottom"/>
            <w:hideMark/>
          </w:tcPr>
          <w:p w14:paraId="08085F5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7.17</w:t>
            </w:r>
          </w:p>
        </w:tc>
        <w:tc>
          <w:tcPr>
            <w:tcW w:w="686" w:type="dxa"/>
            <w:tcBorders>
              <w:top w:val="nil"/>
              <w:left w:val="nil"/>
              <w:bottom w:val="nil"/>
              <w:right w:val="nil"/>
            </w:tcBorders>
            <w:noWrap/>
            <w:vAlign w:val="bottom"/>
            <w:hideMark/>
          </w:tcPr>
          <w:p w14:paraId="443DBDC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7.21</w:t>
            </w:r>
          </w:p>
        </w:tc>
        <w:tc>
          <w:tcPr>
            <w:tcW w:w="669" w:type="dxa"/>
            <w:tcBorders>
              <w:top w:val="nil"/>
              <w:left w:val="nil"/>
              <w:bottom w:val="nil"/>
              <w:right w:val="nil"/>
            </w:tcBorders>
            <w:noWrap/>
            <w:vAlign w:val="bottom"/>
            <w:hideMark/>
          </w:tcPr>
          <w:p w14:paraId="0FA6783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7.18</w:t>
            </w:r>
          </w:p>
        </w:tc>
        <w:tc>
          <w:tcPr>
            <w:tcW w:w="839" w:type="dxa"/>
            <w:tcBorders>
              <w:top w:val="nil"/>
              <w:left w:val="nil"/>
              <w:bottom w:val="nil"/>
              <w:right w:val="single" w:sz="4" w:space="0" w:color="auto"/>
            </w:tcBorders>
            <w:noWrap/>
            <w:vAlign w:val="bottom"/>
            <w:hideMark/>
          </w:tcPr>
          <w:p w14:paraId="005E0E8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7.10</w:t>
            </w:r>
          </w:p>
        </w:tc>
        <w:tc>
          <w:tcPr>
            <w:tcW w:w="694" w:type="dxa"/>
            <w:tcBorders>
              <w:top w:val="nil"/>
              <w:left w:val="nil"/>
              <w:bottom w:val="nil"/>
              <w:right w:val="nil"/>
            </w:tcBorders>
            <w:noWrap/>
            <w:vAlign w:val="bottom"/>
            <w:hideMark/>
          </w:tcPr>
          <w:p w14:paraId="335F136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0.37</w:t>
            </w:r>
          </w:p>
        </w:tc>
        <w:tc>
          <w:tcPr>
            <w:tcW w:w="669" w:type="dxa"/>
            <w:tcBorders>
              <w:top w:val="nil"/>
              <w:left w:val="nil"/>
              <w:bottom w:val="nil"/>
              <w:right w:val="nil"/>
            </w:tcBorders>
            <w:noWrap/>
            <w:vAlign w:val="bottom"/>
            <w:hideMark/>
          </w:tcPr>
          <w:p w14:paraId="6178142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0.33</w:t>
            </w:r>
          </w:p>
        </w:tc>
        <w:tc>
          <w:tcPr>
            <w:tcW w:w="669" w:type="dxa"/>
            <w:tcBorders>
              <w:top w:val="nil"/>
              <w:left w:val="nil"/>
              <w:bottom w:val="nil"/>
              <w:right w:val="nil"/>
            </w:tcBorders>
            <w:noWrap/>
            <w:vAlign w:val="bottom"/>
            <w:hideMark/>
          </w:tcPr>
          <w:p w14:paraId="56AA448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838" w:type="dxa"/>
            <w:tcBorders>
              <w:top w:val="nil"/>
              <w:left w:val="nil"/>
              <w:bottom w:val="nil"/>
              <w:right w:val="single" w:sz="4" w:space="0" w:color="auto"/>
            </w:tcBorders>
            <w:noWrap/>
            <w:vAlign w:val="bottom"/>
            <w:hideMark/>
          </w:tcPr>
          <w:p w14:paraId="5D13F4D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0.23</w:t>
            </w:r>
          </w:p>
        </w:tc>
        <w:tc>
          <w:tcPr>
            <w:tcW w:w="978" w:type="dxa"/>
            <w:tcBorders>
              <w:top w:val="nil"/>
              <w:left w:val="nil"/>
              <w:bottom w:val="nil"/>
              <w:right w:val="nil"/>
            </w:tcBorders>
            <w:noWrap/>
            <w:vAlign w:val="bottom"/>
            <w:hideMark/>
          </w:tcPr>
          <w:p w14:paraId="61A5ABD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21.81</w:t>
            </w:r>
          </w:p>
        </w:tc>
        <w:tc>
          <w:tcPr>
            <w:tcW w:w="753" w:type="dxa"/>
            <w:tcBorders>
              <w:top w:val="nil"/>
              <w:left w:val="nil"/>
              <w:bottom w:val="nil"/>
              <w:right w:val="nil"/>
            </w:tcBorders>
            <w:noWrap/>
            <w:vAlign w:val="bottom"/>
            <w:hideMark/>
          </w:tcPr>
          <w:p w14:paraId="2BBEEE2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23.13</w:t>
            </w:r>
          </w:p>
        </w:tc>
        <w:tc>
          <w:tcPr>
            <w:tcW w:w="753" w:type="dxa"/>
            <w:tcBorders>
              <w:top w:val="nil"/>
              <w:left w:val="nil"/>
              <w:bottom w:val="nil"/>
              <w:right w:val="nil"/>
            </w:tcBorders>
            <w:noWrap/>
            <w:vAlign w:val="bottom"/>
            <w:hideMark/>
          </w:tcPr>
          <w:p w14:paraId="56C29F0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24.02</w:t>
            </w:r>
          </w:p>
        </w:tc>
        <w:tc>
          <w:tcPr>
            <w:tcW w:w="926" w:type="dxa"/>
            <w:tcBorders>
              <w:top w:val="nil"/>
              <w:left w:val="nil"/>
              <w:bottom w:val="nil"/>
              <w:right w:val="single" w:sz="4" w:space="0" w:color="auto"/>
            </w:tcBorders>
            <w:noWrap/>
            <w:vAlign w:val="bottom"/>
            <w:hideMark/>
          </w:tcPr>
          <w:p w14:paraId="035C12C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24.70</w:t>
            </w:r>
          </w:p>
        </w:tc>
        <w:tc>
          <w:tcPr>
            <w:tcW w:w="921" w:type="dxa"/>
            <w:tcBorders>
              <w:top w:val="nil"/>
              <w:left w:val="nil"/>
              <w:bottom w:val="nil"/>
              <w:right w:val="nil"/>
            </w:tcBorders>
            <w:noWrap/>
            <w:vAlign w:val="bottom"/>
            <w:hideMark/>
          </w:tcPr>
          <w:p w14:paraId="7E4A504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1.27</w:t>
            </w:r>
          </w:p>
        </w:tc>
        <w:tc>
          <w:tcPr>
            <w:tcW w:w="669" w:type="dxa"/>
            <w:tcBorders>
              <w:top w:val="nil"/>
              <w:left w:val="nil"/>
              <w:bottom w:val="nil"/>
              <w:right w:val="nil"/>
            </w:tcBorders>
            <w:noWrap/>
            <w:vAlign w:val="bottom"/>
            <w:hideMark/>
          </w:tcPr>
          <w:p w14:paraId="03F7E0F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1.29</w:t>
            </w:r>
          </w:p>
        </w:tc>
        <w:tc>
          <w:tcPr>
            <w:tcW w:w="753" w:type="dxa"/>
            <w:tcBorders>
              <w:top w:val="nil"/>
              <w:left w:val="nil"/>
              <w:bottom w:val="nil"/>
              <w:right w:val="nil"/>
            </w:tcBorders>
            <w:noWrap/>
            <w:vAlign w:val="bottom"/>
            <w:hideMark/>
          </w:tcPr>
          <w:p w14:paraId="577EE7CE"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1.33</w:t>
            </w:r>
          </w:p>
        </w:tc>
        <w:tc>
          <w:tcPr>
            <w:tcW w:w="1044" w:type="dxa"/>
            <w:tcBorders>
              <w:top w:val="nil"/>
              <w:left w:val="nil"/>
              <w:bottom w:val="nil"/>
              <w:right w:val="nil"/>
            </w:tcBorders>
            <w:noWrap/>
            <w:vAlign w:val="bottom"/>
            <w:hideMark/>
          </w:tcPr>
          <w:p w14:paraId="3A8FB5E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1.36</w:t>
            </w:r>
          </w:p>
        </w:tc>
      </w:tr>
      <w:tr w:rsidR="00EB4769" w:rsidRPr="00BB10B6" w14:paraId="3AB70700" w14:textId="77777777" w:rsidTr="00006EF3">
        <w:trPr>
          <w:trHeight w:val="283"/>
        </w:trPr>
        <w:tc>
          <w:tcPr>
            <w:tcW w:w="1122" w:type="dxa"/>
            <w:tcBorders>
              <w:top w:val="nil"/>
              <w:left w:val="nil"/>
              <w:bottom w:val="nil"/>
              <w:right w:val="single" w:sz="4" w:space="0" w:color="auto"/>
            </w:tcBorders>
            <w:noWrap/>
            <w:vAlign w:val="bottom"/>
            <w:hideMark/>
          </w:tcPr>
          <w:p w14:paraId="085C4C24"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T5</w:t>
            </w:r>
          </w:p>
        </w:tc>
        <w:tc>
          <w:tcPr>
            <w:tcW w:w="720" w:type="dxa"/>
            <w:tcBorders>
              <w:top w:val="nil"/>
              <w:left w:val="nil"/>
              <w:bottom w:val="nil"/>
              <w:right w:val="nil"/>
            </w:tcBorders>
            <w:noWrap/>
            <w:vAlign w:val="bottom"/>
            <w:hideMark/>
          </w:tcPr>
          <w:p w14:paraId="57E1B74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7.13</w:t>
            </w:r>
          </w:p>
        </w:tc>
        <w:tc>
          <w:tcPr>
            <w:tcW w:w="686" w:type="dxa"/>
            <w:tcBorders>
              <w:top w:val="nil"/>
              <w:left w:val="nil"/>
              <w:bottom w:val="nil"/>
              <w:right w:val="nil"/>
            </w:tcBorders>
            <w:noWrap/>
            <w:vAlign w:val="bottom"/>
            <w:hideMark/>
          </w:tcPr>
          <w:p w14:paraId="093FF89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7.12</w:t>
            </w:r>
          </w:p>
        </w:tc>
        <w:tc>
          <w:tcPr>
            <w:tcW w:w="669" w:type="dxa"/>
            <w:tcBorders>
              <w:top w:val="nil"/>
              <w:left w:val="nil"/>
              <w:bottom w:val="nil"/>
              <w:right w:val="nil"/>
            </w:tcBorders>
            <w:noWrap/>
            <w:vAlign w:val="bottom"/>
            <w:hideMark/>
          </w:tcPr>
          <w:p w14:paraId="76310A6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7.11</w:t>
            </w:r>
          </w:p>
        </w:tc>
        <w:tc>
          <w:tcPr>
            <w:tcW w:w="839" w:type="dxa"/>
            <w:tcBorders>
              <w:top w:val="nil"/>
              <w:left w:val="nil"/>
              <w:bottom w:val="nil"/>
              <w:right w:val="single" w:sz="4" w:space="0" w:color="auto"/>
            </w:tcBorders>
            <w:noWrap/>
            <w:vAlign w:val="bottom"/>
            <w:hideMark/>
          </w:tcPr>
          <w:p w14:paraId="5269F9A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7.10</w:t>
            </w:r>
          </w:p>
        </w:tc>
        <w:tc>
          <w:tcPr>
            <w:tcW w:w="694" w:type="dxa"/>
            <w:tcBorders>
              <w:top w:val="nil"/>
              <w:left w:val="nil"/>
              <w:bottom w:val="nil"/>
              <w:right w:val="nil"/>
            </w:tcBorders>
            <w:noWrap/>
            <w:vAlign w:val="bottom"/>
            <w:hideMark/>
          </w:tcPr>
          <w:p w14:paraId="469C21E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0.32</w:t>
            </w:r>
          </w:p>
        </w:tc>
        <w:tc>
          <w:tcPr>
            <w:tcW w:w="669" w:type="dxa"/>
            <w:tcBorders>
              <w:top w:val="nil"/>
              <w:left w:val="nil"/>
              <w:bottom w:val="nil"/>
              <w:right w:val="nil"/>
            </w:tcBorders>
            <w:noWrap/>
            <w:vAlign w:val="bottom"/>
            <w:hideMark/>
          </w:tcPr>
          <w:p w14:paraId="6ECDCD1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0.30</w:t>
            </w:r>
          </w:p>
        </w:tc>
        <w:tc>
          <w:tcPr>
            <w:tcW w:w="669" w:type="dxa"/>
            <w:tcBorders>
              <w:top w:val="nil"/>
              <w:left w:val="nil"/>
              <w:bottom w:val="nil"/>
              <w:right w:val="nil"/>
            </w:tcBorders>
            <w:noWrap/>
            <w:vAlign w:val="bottom"/>
            <w:hideMark/>
          </w:tcPr>
          <w:p w14:paraId="68420FA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0.32</w:t>
            </w:r>
          </w:p>
        </w:tc>
        <w:tc>
          <w:tcPr>
            <w:tcW w:w="838" w:type="dxa"/>
            <w:tcBorders>
              <w:top w:val="nil"/>
              <w:left w:val="nil"/>
              <w:bottom w:val="nil"/>
              <w:right w:val="single" w:sz="4" w:space="0" w:color="auto"/>
            </w:tcBorders>
            <w:noWrap/>
            <w:vAlign w:val="bottom"/>
            <w:hideMark/>
          </w:tcPr>
          <w:p w14:paraId="4960205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0.26</w:t>
            </w:r>
          </w:p>
        </w:tc>
        <w:tc>
          <w:tcPr>
            <w:tcW w:w="978" w:type="dxa"/>
            <w:tcBorders>
              <w:top w:val="nil"/>
              <w:left w:val="nil"/>
              <w:bottom w:val="nil"/>
              <w:right w:val="nil"/>
            </w:tcBorders>
            <w:noWrap/>
            <w:vAlign w:val="bottom"/>
            <w:hideMark/>
          </w:tcPr>
          <w:p w14:paraId="07C6525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21.59</w:t>
            </w:r>
          </w:p>
        </w:tc>
        <w:tc>
          <w:tcPr>
            <w:tcW w:w="753" w:type="dxa"/>
            <w:tcBorders>
              <w:top w:val="nil"/>
              <w:left w:val="nil"/>
              <w:bottom w:val="nil"/>
              <w:right w:val="nil"/>
            </w:tcBorders>
            <w:noWrap/>
            <w:vAlign w:val="bottom"/>
            <w:hideMark/>
          </w:tcPr>
          <w:p w14:paraId="5E50F90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23.06</w:t>
            </w:r>
          </w:p>
        </w:tc>
        <w:tc>
          <w:tcPr>
            <w:tcW w:w="753" w:type="dxa"/>
            <w:tcBorders>
              <w:top w:val="nil"/>
              <w:left w:val="nil"/>
              <w:bottom w:val="nil"/>
              <w:right w:val="nil"/>
            </w:tcBorders>
            <w:noWrap/>
            <w:vAlign w:val="bottom"/>
            <w:hideMark/>
          </w:tcPr>
          <w:p w14:paraId="636DF78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23.67</w:t>
            </w:r>
          </w:p>
        </w:tc>
        <w:tc>
          <w:tcPr>
            <w:tcW w:w="926" w:type="dxa"/>
            <w:tcBorders>
              <w:top w:val="nil"/>
              <w:left w:val="nil"/>
              <w:bottom w:val="nil"/>
              <w:right w:val="single" w:sz="4" w:space="0" w:color="auto"/>
            </w:tcBorders>
            <w:noWrap/>
            <w:vAlign w:val="bottom"/>
            <w:hideMark/>
          </w:tcPr>
          <w:p w14:paraId="0CBCDCA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24.68</w:t>
            </w:r>
          </w:p>
        </w:tc>
        <w:tc>
          <w:tcPr>
            <w:tcW w:w="921" w:type="dxa"/>
            <w:tcBorders>
              <w:top w:val="nil"/>
              <w:left w:val="nil"/>
              <w:bottom w:val="nil"/>
              <w:right w:val="nil"/>
            </w:tcBorders>
            <w:noWrap/>
            <w:vAlign w:val="bottom"/>
            <w:hideMark/>
          </w:tcPr>
          <w:p w14:paraId="446A469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1.26</w:t>
            </w:r>
          </w:p>
        </w:tc>
        <w:tc>
          <w:tcPr>
            <w:tcW w:w="669" w:type="dxa"/>
            <w:tcBorders>
              <w:top w:val="nil"/>
              <w:left w:val="nil"/>
              <w:bottom w:val="nil"/>
              <w:right w:val="nil"/>
            </w:tcBorders>
            <w:noWrap/>
            <w:vAlign w:val="bottom"/>
            <w:hideMark/>
          </w:tcPr>
          <w:p w14:paraId="3C21F63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1.29</w:t>
            </w:r>
          </w:p>
        </w:tc>
        <w:tc>
          <w:tcPr>
            <w:tcW w:w="753" w:type="dxa"/>
            <w:tcBorders>
              <w:top w:val="nil"/>
              <w:left w:val="nil"/>
              <w:bottom w:val="nil"/>
              <w:right w:val="nil"/>
            </w:tcBorders>
            <w:noWrap/>
            <w:vAlign w:val="bottom"/>
            <w:hideMark/>
          </w:tcPr>
          <w:p w14:paraId="7DEFE8D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1.31</w:t>
            </w:r>
          </w:p>
        </w:tc>
        <w:tc>
          <w:tcPr>
            <w:tcW w:w="1044" w:type="dxa"/>
            <w:tcBorders>
              <w:top w:val="nil"/>
              <w:left w:val="nil"/>
              <w:bottom w:val="nil"/>
              <w:right w:val="nil"/>
            </w:tcBorders>
            <w:noWrap/>
            <w:vAlign w:val="bottom"/>
            <w:hideMark/>
          </w:tcPr>
          <w:p w14:paraId="77C4247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1.32</w:t>
            </w:r>
          </w:p>
        </w:tc>
      </w:tr>
      <w:tr w:rsidR="00EB4769" w:rsidRPr="00BB10B6" w14:paraId="206B8B2E" w14:textId="77777777" w:rsidTr="00006EF3">
        <w:trPr>
          <w:trHeight w:val="283"/>
        </w:trPr>
        <w:tc>
          <w:tcPr>
            <w:tcW w:w="1122" w:type="dxa"/>
            <w:tcBorders>
              <w:top w:val="nil"/>
              <w:left w:val="nil"/>
              <w:bottom w:val="nil"/>
              <w:right w:val="single" w:sz="4" w:space="0" w:color="auto"/>
            </w:tcBorders>
            <w:noWrap/>
            <w:vAlign w:val="bottom"/>
            <w:hideMark/>
          </w:tcPr>
          <w:p w14:paraId="1A945FE5"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T6</w:t>
            </w:r>
          </w:p>
        </w:tc>
        <w:tc>
          <w:tcPr>
            <w:tcW w:w="720" w:type="dxa"/>
            <w:tcBorders>
              <w:top w:val="nil"/>
              <w:left w:val="nil"/>
              <w:bottom w:val="nil"/>
              <w:right w:val="nil"/>
            </w:tcBorders>
            <w:noWrap/>
            <w:vAlign w:val="bottom"/>
            <w:hideMark/>
          </w:tcPr>
          <w:p w14:paraId="492FA65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7.15</w:t>
            </w:r>
          </w:p>
        </w:tc>
        <w:tc>
          <w:tcPr>
            <w:tcW w:w="686" w:type="dxa"/>
            <w:tcBorders>
              <w:top w:val="nil"/>
              <w:left w:val="nil"/>
              <w:bottom w:val="nil"/>
              <w:right w:val="nil"/>
            </w:tcBorders>
            <w:noWrap/>
            <w:vAlign w:val="bottom"/>
            <w:hideMark/>
          </w:tcPr>
          <w:p w14:paraId="440C27E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7.18</w:t>
            </w:r>
          </w:p>
        </w:tc>
        <w:tc>
          <w:tcPr>
            <w:tcW w:w="669" w:type="dxa"/>
            <w:tcBorders>
              <w:top w:val="nil"/>
              <w:left w:val="nil"/>
              <w:bottom w:val="nil"/>
              <w:right w:val="nil"/>
            </w:tcBorders>
            <w:noWrap/>
            <w:vAlign w:val="bottom"/>
            <w:hideMark/>
          </w:tcPr>
          <w:p w14:paraId="21637E6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7.17</w:t>
            </w:r>
          </w:p>
        </w:tc>
        <w:tc>
          <w:tcPr>
            <w:tcW w:w="839" w:type="dxa"/>
            <w:tcBorders>
              <w:top w:val="nil"/>
              <w:left w:val="nil"/>
              <w:bottom w:val="nil"/>
              <w:right w:val="single" w:sz="4" w:space="0" w:color="auto"/>
            </w:tcBorders>
            <w:noWrap/>
            <w:vAlign w:val="bottom"/>
            <w:hideMark/>
          </w:tcPr>
          <w:p w14:paraId="00F59CE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7.06</w:t>
            </w:r>
          </w:p>
        </w:tc>
        <w:tc>
          <w:tcPr>
            <w:tcW w:w="694" w:type="dxa"/>
            <w:tcBorders>
              <w:top w:val="nil"/>
              <w:left w:val="nil"/>
              <w:bottom w:val="nil"/>
              <w:right w:val="nil"/>
            </w:tcBorders>
            <w:noWrap/>
            <w:vAlign w:val="bottom"/>
            <w:hideMark/>
          </w:tcPr>
          <w:p w14:paraId="698FF43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0.35</w:t>
            </w:r>
          </w:p>
        </w:tc>
        <w:tc>
          <w:tcPr>
            <w:tcW w:w="669" w:type="dxa"/>
            <w:tcBorders>
              <w:top w:val="nil"/>
              <w:left w:val="nil"/>
              <w:bottom w:val="nil"/>
              <w:right w:val="nil"/>
            </w:tcBorders>
            <w:noWrap/>
            <w:vAlign w:val="bottom"/>
            <w:hideMark/>
          </w:tcPr>
          <w:p w14:paraId="5299070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0.32</w:t>
            </w:r>
          </w:p>
        </w:tc>
        <w:tc>
          <w:tcPr>
            <w:tcW w:w="669" w:type="dxa"/>
            <w:tcBorders>
              <w:top w:val="nil"/>
              <w:left w:val="nil"/>
              <w:bottom w:val="nil"/>
              <w:right w:val="nil"/>
            </w:tcBorders>
            <w:noWrap/>
            <w:vAlign w:val="bottom"/>
            <w:hideMark/>
          </w:tcPr>
          <w:p w14:paraId="53B0429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0.33</w:t>
            </w:r>
          </w:p>
        </w:tc>
        <w:tc>
          <w:tcPr>
            <w:tcW w:w="838" w:type="dxa"/>
            <w:tcBorders>
              <w:top w:val="nil"/>
              <w:left w:val="nil"/>
              <w:bottom w:val="nil"/>
              <w:right w:val="single" w:sz="4" w:space="0" w:color="auto"/>
            </w:tcBorders>
            <w:noWrap/>
            <w:vAlign w:val="bottom"/>
            <w:hideMark/>
          </w:tcPr>
          <w:p w14:paraId="2BF7253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0.28</w:t>
            </w:r>
          </w:p>
        </w:tc>
        <w:tc>
          <w:tcPr>
            <w:tcW w:w="978" w:type="dxa"/>
            <w:tcBorders>
              <w:top w:val="nil"/>
              <w:left w:val="nil"/>
              <w:bottom w:val="nil"/>
              <w:right w:val="nil"/>
            </w:tcBorders>
            <w:noWrap/>
            <w:vAlign w:val="bottom"/>
            <w:hideMark/>
          </w:tcPr>
          <w:p w14:paraId="435ACB8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21.53</w:t>
            </w:r>
          </w:p>
        </w:tc>
        <w:tc>
          <w:tcPr>
            <w:tcW w:w="753" w:type="dxa"/>
            <w:tcBorders>
              <w:top w:val="nil"/>
              <w:left w:val="nil"/>
              <w:bottom w:val="nil"/>
              <w:right w:val="nil"/>
            </w:tcBorders>
            <w:noWrap/>
            <w:vAlign w:val="bottom"/>
            <w:hideMark/>
          </w:tcPr>
          <w:p w14:paraId="0D3FB8A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23.81</w:t>
            </w:r>
          </w:p>
        </w:tc>
        <w:tc>
          <w:tcPr>
            <w:tcW w:w="753" w:type="dxa"/>
            <w:tcBorders>
              <w:top w:val="nil"/>
              <w:left w:val="nil"/>
              <w:bottom w:val="nil"/>
              <w:right w:val="nil"/>
            </w:tcBorders>
            <w:noWrap/>
            <w:vAlign w:val="bottom"/>
            <w:hideMark/>
          </w:tcPr>
          <w:p w14:paraId="609B2BF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24.15</w:t>
            </w:r>
          </w:p>
        </w:tc>
        <w:tc>
          <w:tcPr>
            <w:tcW w:w="926" w:type="dxa"/>
            <w:tcBorders>
              <w:top w:val="nil"/>
              <w:left w:val="nil"/>
              <w:bottom w:val="nil"/>
              <w:right w:val="single" w:sz="4" w:space="0" w:color="auto"/>
            </w:tcBorders>
            <w:noWrap/>
            <w:vAlign w:val="bottom"/>
            <w:hideMark/>
          </w:tcPr>
          <w:p w14:paraId="3BF1978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24.88</w:t>
            </w:r>
          </w:p>
        </w:tc>
        <w:tc>
          <w:tcPr>
            <w:tcW w:w="921" w:type="dxa"/>
            <w:tcBorders>
              <w:top w:val="nil"/>
              <w:left w:val="nil"/>
              <w:bottom w:val="nil"/>
              <w:right w:val="nil"/>
            </w:tcBorders>
            <w:noWrap/>
            <w:vAlign w:val="bottom"/>
            <w:hideMark/>
          </w:tcPr>
          <w:p w14:paraId="3E4E6A0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1.25</w:t>
            </w:r>
          </w:p>
        </w:tc>
        <w:tc>
          <w:tcPr>
            <w:tcW w:w="669" w:type="dxa"/>
            <w:tcBorders>
              <w:top w:val="nil"/>
              <w:left w:val="nil"/>
              <w:bottom w:val="nil"/>
              <w:right w:val="nil"/>
            </w:tcBorders>
            <w:noWrap/>
            <w:vAlign w:val="bottom"/>
            <w:hideMark/>
          </w:tcPr>
          <w:p w14:paraId="6147A9B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1.32</w:t>
            </w:r>
          </w:p>
        </w:tc>
        <w:tc>
          <w:tcPr>
            <w:tcW w:w="753" w:type="dxa"/>
            <w:tcBorders>
              <w:top w:val="nil"/>
              <w:left w:val="nil"/>
              <w:bottom w:val="nil"/>
              <w:right w:val="nil"/>
            </w:tcBorders>
            <w:noWrap/>
            <w:vAlign w:val="bottom"/>
            <w:hideMark/>
          </w:tcPr>
          <w:p w14:paraId="1547FE9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1.30</w:t>
            </w:r>
          </w:p>
        </w:tc>
        <w:tc>
          <w:tcPr>
            <w:tcW w:w="1044" w:type="dxa"/>
            <w:tcBorders>
              <w:top w:val="nil"/>
              <w:left w:val="nil"/>
              <w:bottom w:val="nil"/>
              <w:right w:val="nil"/>
            </w:tcBorders>
            <w:noWrap/>
            <w:vAlign w:val="bottom"/>
            <w:hideMark/>
          </w:tcPr>
          <w:p w14:paraId="05FEF0E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1.33</w:t>
            </w:r>
          </w:p>
        </w:tc>
      </w:tr>
      <w:tr w:rsidR="00EB4769" w:rsidRPr="00BB10B6" w14:paraId="45BA2C3D" w14:textId="77777777" w:rsidTr="00006EF3">
        <w:trPr>
          <w:trHeight w:val="307"/>
        </w:trPr>
        <w:tc>
          <w:tcPr>
            <w:tcW w:w="1122" w:type="dxa"/>
            <w:tcBorders>
              <w:top w:val="single" w:sz="4" w:space="0" w:color="auto"/>
              <w:left w:val="nil"/>
              <w:bottom w:val="nil"/>
              <w:right w:val="single" w:sz="4" w:space="0" w:color="auto"/>
            </w:tcBorders>
            <w:noWrap/>
            <w:vAlign w:val="bottom"/>
            <w:hideMark/>
          </w:tcPr>
          <w:p w14:paraId="58C73A54" w14:textId="77777777" w:rsidR="00006EF3" w:rsidRPr="00EB4769" w:rsidRDefault="00006EF3" w:rsidP="00006EF3">
            <w:pPr>
              <w:rPr>
                <w:rFonts w:ascii="Arial" w:hAnsi="Arial" w:cs="Arial"/>
                <w:color w:val="000000"/>
                <w:lang w:eastAsia="en-IN" w:bidi="hi-IN"/>
              </w:rPr>
            </w:pPr>
            <w:proofErr w:type="spellStart"/>
            <w:proofErr w:type="gramStart"/>
            <w:r w:rsidRPr="00EB4769">
              <w:rPr>
                <w:rFonts w:ascii="Arial" w:hAnsi="Arial" w:cs="Arial"/>
                <w:color w:val="000000"/>
                <w:lang w:eastAsia="en-IN" w:bidi="hi-IN"/>
              </w:rPr>
              <w:t>SEm</w:t>
            </w:r>
            <w:proofErr w:type="spellEnd"/>
            <w:r w:rsidRPr="00EB4769">
              <w:rPr>
                <w:rFonts w:ascii="Arial" w:hAnsi="Arial" w:cs="Arial"/>
                <w:color w:val="000000"/>
                <w:lang w:eastAsia="en-IN" w:bidi="hi-IN"/>
              </w:rPr>
              <w:t>(</w:t>
            </w:r>
            <w:proofErr w:type="gramEnd"/>
            <w:r w:rsidRPr="00EB4769">
              <w:rPr>
                <w:rFonts w:ascii="Arial" w:hAnsi="Arial" w:cs="Arial"/>
                <w:color w:val="000000"/>
                <w:lang w:eastAsia="en-IN" w:bidi="hi-IN"/>
              </w:rPr>
              <w:t xml:space="preserve">±) </w:t>
            </w:r>
          </w:p>
        </w:tc>
        <w:tc>
          <w:tcPr>
            <w:tcW w:w="720" w:type="dxa"/>
            <w:tcBorders>
              <w:top w:val="single" w:sz="4" w:space="0" w:color="auto"/>
              <w:left w:val="nil"/>
              <w:bottom w:val="nil"/>
              <w:right w:val="nil"/>
            </w:tcBorders>
            <w:noWrap/>
            <w:vAlign w:val="bottom"/>
            <w:hideMark/>
          </w:tcPr>
          <w:p w14:paraId="6E158174"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0.01</w:t>
            </w:r>
          </w:p>
        </w:tc>
        <w:tc>
          <w:tcPr>
            <w:tcW w:w="686" w:type="dxa"/>
            <w:tcBorders>
              <w:top w:val="single" w:sz="4" w:space="0" w:color="auto"/>
              <w:left w:val="nil"/>
              <w:bottom w:val="nil"/>
              <w:right w:val="nil"/>
            </w:tcBorders>
            <w:noWrap/>
            <w:vAlign w:val="bottom"/>
            <w:hideMark/>
          </w:tcPr>
          <w:p w14:paraId="4A143048"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0.02</w:t>
            </w:r>
          </w:p>
        </w:tc>
        <w:tc>
          <w:tcPr>
            <w:tcW w:w="669" w:type="dxa"/>
            <w:tcBorders>
              <w:top w:val="single" w:sz="4" w:space="0" w:color="auto"/>
              <w:left w:val="nil"/>
              <w:bottom w:val="nil"/>
              <w:right w:val="nil"/>
            </w:tcBorders>
            <w:noWrap/>
            <w:vAlign w:val="bottom"/>
            <w:hideMark/>
          </w:tcPr>
          <w:p w14:paraId="038D1EC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839" w:type="dxa"/>
            <w:tcBorders>
              <w:top w:val="single" w:sz="4" w:space="0" w:color="auto"/>
              <w:left w:val="nil"/>
              <w:bottom w:val="nil"/>
              <w:right w:val="single" w:sz="4" w:space="0" w:color="auto"/>
            </w:tcBorders>
            <w:noWrap/>
            <w:vAlign w:val="bottom"/>
            <w:hideMark/>
          </w:tcPr>
          <w:p w14:paraId="57E2DCAF"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0.01</w:t>
            </w:r>
          </w:p>
        </w:tc>
        <w:tc>
          <w:tcPr>
            <w:tcW w:w="694" w:type="dxa"/>
            <w:tcBorders>
              <w:top w:val="single" w:sz="4" w:space="0" w:color="auto"/>
              <w:left w:val="nil"/>
              <w:bottom w:val="nil"/>
              <w:right w:val="nil"/>
            </w:tcBorders>
            <w:noWrap/>
            <w:vAlign w:val="bottom"/>
            <w:hideMark/>
          </w:tcPr>
          <w:p w14:paraId="3539135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669" w:type="dxa"/>
            <w:tcBorders>
              <w:top w:val="single" w:sz="4" w:space="0" w:color="auto"/>
              <w:left w:val="nil"/>
              <w:bottom w:val="nil"/>
              <w:right w:val="nil"/>
            </w:tcBorders>
            <w:noWrap/>
            <w:vAlign w:val="bottom"/>
            <w:hideMark/>
          </w:tcPr>
          <w:p w14:paraId="69A7F4C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669" w:type="dxa"/>
            <w:tcBorders>
              <w:top w:val="single" w:sz="4" w:space="0" w:color="auto"/>
              <w:left w:val="nil"/>
              <w:bottom w:val="nil"/>
              <w:right w:val="nil"/>
            </w:tcBorders>
            <w:noWrap/>
            <w:vAlign w:val="bottom"/>
            <w:hideMark/>
          </w:tcPr>
          <w:p w14:paraId="6B66600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838" w:type="dxa"/>
            <w:tcBorders>
              <w:top w:val="single" w:sz="4" w:space="0" w:color="auto"/>
              <w:left w:val="nil"/>
              <w:bottom w:val="nil"/>
              <w:right w:val="single" w:sz="4" w:space="0" w:color="auto"/>
            </w:tcBorders>
            <w:noWrap/>
            <w:vAlign w:val="bottom"/>
            <w:hideMark/>
          </w:tcPr>
          <w:p w14:paraId="517E5E9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978" w:type="dxa"/>
            <w:tcBorders>
              <w:top w:val="single" w:sz="4" w:space="0" w:color="auto"/>
              <w:left w:val="nil"/>
              <w:bottom w:val="nil"/>
              <w:right w:val="nil"/>
            </w:tcBorders>
            <w:noWrap/>
            <w:vAlign w:val="bottom"/>
            <w:hideMark/>
          </w:tcPr>
          <w:p w14:paraId="7800428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0.23</w:t>
            </w:r>
          </w:p>
        </w:tc>
        <w:tc>
          <w:tcPr>
            <w:tcW w:w="753" w:type="dxa"/>
            <w:tcBorders>
              <w:top w:val="single" w:sz="4" w:space="0" w:color="auto"/>
              <w:left w:val="nil"/>
              <w:bottom w:val="nil"/>
              <w:right w:val="nil"/>
            </w:tcBorders>
            <w:noWrap/>
            <w:vAlign w:val="bottom"/>
            <w:hideMark/>
          </w:tcPr>
          <w:p w14:paraId="3D0586FE"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0.26</w:t>
            </w:r>
          </w:p>
        </w:tc>
        <w:tc>
          <w:tcPr>
            <w:tcW w:w="753" w:type="dxa"/>
            <w:tcBorders>
              <w:top w:val="single" w:sz="4" w:space="0" w:color="auto"/>
              <w:left w:val="nil"/>
              <w:bottom w:val="nil"/>
              <w:right w:val="nil"/>
            </w:tcBorders>
            <w:noWrap/>
            <w:vAlign w:val="bottom"/>
            <w:hideMark/>
          </w:tcPr>
          <w:p w14:paraId="1818969E"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0.22</w:t>
            </w:r>
          </w:p>
        </w:tc>
        <w:tc>
          <w:tcPr>
            <w:tcW w:w="926" w:type="dxa"/>
            <w:tcBorders>
              <w:top w:val="single" w:sz="4" w:space="0" w:color="auto"/>
              <w:left w:val="nil"/>
              <w:bottom w:val="nil"/>
              <w:right w:val="single" w:sz="4" w:space="0" w:color="auto"/>
            </w:tcBorders>
            <w:noWrap/>
            <w:vAlign w:val="bottom"/>
            <w:hideMark/>
          </w:tcPr>
          <w:p w14:paraId="0256E4C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0.24</w:t>
            </w:r>
          </w:p>
        </w:tc>
        <w:tc>
          <w:tcPr>
            <w:tcW w:w="921" w:type="dxa"/>
            <w:tcBorders>
              <w:top w:val="single" w:sz="4" w:space="0" w:color="auto"/>
              <w:left w:val="nil"/>
              <w:bottom w:val="nil"/>
              <w:right w:val="nil"/>
            </w:tcBorders>
            <w:noWrap/>
            <w:vAlign w:val="bottom"/>
            <w:hideMark/>
          </w:tcPr>
          <w:p w14:paraId="5A941ED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0.02</w:t>
            </w:r>
          </w:p>
        </w:tc>
        <w:tc>
          <w:tcPr>
            <w:tcW w:w="669" w:type="dxa"/>
            <w:tcBorders>
              <w:top w:val="single" w:sz="4" w:space="0" w:color="auto"/>
              <w:left w:val="nil"/>
              <w:bottom w:val="nil"/>
              <w:right w:val="nil"/>
            </w:tcBorders>
            <w:noWrap/>
            <w:vAlign w:val="bottom"/>
            <w:hideMark/>
          </w:tcPr>
          <w:p w14:paraId="7F6F981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753" w:type="dxa"/>
            <w:tcBorders>
              <w:top w:val="single" w:sz="4" w:space="0" w:color="auto"/>
              <w:left w:val="nil"/>
              <w:bottom w:val="nil"/>
              <w:right w:val="nil"/>
            </w:tcBorders>
            <w:noWrap/>
            <w:vAlign w:val="bottom"/>
            <w:hideMark/>
          </w:tcPr>
          <w:p w14:paraId="772B6CFE"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0.02</w:t>
            </w:r>
          </w:p>
        </w:tc>
        <w:tc>
          <w:tcPr>
            <w:tcW w:w="1044" w:type="dxa"/>
            <w:tcBorders>
              <w:top w:val="single" w:sz="4" w:space="0" w:color="auto"/>
              <w:left w:val="nil"/>
              <w:bottom w:val="nil"/>
              <w:right w:val="nil"/>
            </w:tcBorders>
            <w:noWrap/>
            <w:vAlign w:val="bottom"/>
            <w:hideMark/>
          </w:tcPr>
          <w:p w14:paraId="5801522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0.02</w:t>
            </w:r>
          </w:p>
        </w:tc>
      </w:tr>
      <w:tr w:rsidR="00EB4769" w:rsidRPr="00BB10B6" w14:paraId="6F71F447" w14:textId="77777777" w:rsidTr="00006EF3">
        <w:trPr>
          <w:trHeight w:val="283"/>
        </w:trPr>
        <w:tc>
          <w:tcPr>
            <w:tcW w:w="1122" w:type="dxa"/>
            <w:tcBorders>
              <w:top w:val="nil"/>
              <w:left w:val="nil"/>
              <w:bottom w:val="single" w:sz="4" w:space="0" w:color="auto"/>
              <w:right w:val="single" w:sz="4" w:space="0" w:color="auto"/>
            </w:tcBorders>
            <w:noWrap/>
            <w:vAlign w:val="bottom"/>
            <w:hideMark/>
          </w:tcPr>
          <w:p w14:paraId="123FFA3A"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 xml:space="preserve">CD (0.05) </w:t>
            </w:r>
          </w:p>
        </w:tc>
        <w:tc>
          <w:tcPr>
            <w:tcW w:w="720" w:type="dxa"/>
            <w:tcBorders>
              <w:top w:val="nil"/>
              <w:left w:val="nil"/>
              <w:bottom w:val="single" w:sz="4" w:space="0" w:color="auto"/>
              <w:right w:val="nil"/>
            </w:tcBorders>
            <w:noWrap/>
            <w:vAlign w:val="bottom"/>
            <w:hideMark/>
          </w:tcPr>
          <w:p w14:paraId="3B6F434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86" w:type="dxa"/>
            <w:tcBorders>
              <w:top w:val="nil"/>
              <w:left w:val="nil"/>
              <w:bottom w:val="single" w:sz="4" w:space="0" w:color="auto"/>
              <w:right w:val="nil"/>
            </w:tcBorders>
            <w:noWrap/>
            <w:vAlign w:val="bottom"/>
            <w:hideMark/>
          </w:tcPr>
          <w:p w14:paraId="3675148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69" w:type="dxa"/>
            <w:tcBorders>
              <w:top w:val="nil"/>
              <w:left w:val="nil"/>
              <w:bottom w:val="single" w:sz="4" w:space="0" w:color="auto"/>
              <w:right w:val="nil"/>
            </w:tcBorders>
            <w:noWrap/>
            <w:vAlign w:val="bottom"/>
            <w:hideMark/>
          </w:tcPr>
          <w:p w14:paraId="44A20E3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839" w:type="dxa"/>
            <w:tcBorders>
              <w:top w:val="nil"/>
              <w:left w:val="nil"/>
              <w:bottom w:val="single" w:sz="4" w:space="0" w:color="auto"/>
              <w:right w:val="single" w:sz="4" w:space="0" w:color="auto"/>
            </w:tcBorders>
            <w:noWrap/>
            <w:vAlign w:val="bottom"/>
            <w:hideMark/>
          </w:tcPr>
          <w:p w14:paraId="1807EEC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94" w:type="dxa"/>
            <w:tcBorders>
              <w:top w:val="nil"/>
              <w:left w:val="nil"/>
              <w:bottom w:val="single" w:sz="4" w:space="0" w:color="auto"/>
              <w:right w:val="nil"/>
            </w:tcBorders>
            <w:noWrap/>
            <w:vAlign w:val="bottom"/>
            <w:hideMark/>
          </w:tcPr>
          <w:p w14:paraId="03612FB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69" w:type="dxa"/>
            <w:tcBorders>
              <w:top w:val="nil"/>
              <w:left w:val="nil"/>
              <w:bottom w:val="single" w:sz="4" w:space="0" w:color="auto"/>
              <w:right w:val="nil"/>
            </w:tcBorders>
            <w:noWrap/>
            <w:vAlign w:val="bottom"/>
            <w:hideMark/>
          </w:tcPr>
          <w:p w14:paraId="4270B2B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69" w:type="dxa"/>
            <w:tcBorders>
              <w:top w:val="nil"/>
              <w:left w:val="nil"/>
              <w:bottom w:val="single" w:sz="4" w:space="0" w:color="auto"/>
              <w:right w:val="nil"/>
            </w:tcBorders>
            <w:noWrap/>
            <w:vAlign w:val="bottom"/>
            <w:hideMark/>
          </w:tcPr>
          <w:p w14:paraId="7884B62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838" w:type="dxa"/>
            <w:tcBorders>
              <w:top w:val="nil"/>
              <w:left w:val="nil"/>
              <w:bottom w:val="single" w:sz="4" w:space="0" w:color="auto"/>
              <w:right w:val="single" w:sz="4" w:space="0" w:color="auto"/>
            </w:tcBorders>
            <w:noWrap/>
            <w:vAlign w:val="bottom"/>
            <w:hideMark/>
          </w:tcPr>
          <w:p w14:paraId="164DAFD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978" w:type="dxa"/>
            <w:tcBorders>
              <w:top w:val="nil"/>
              <w:left w:val="nil"/>
              <w:bottom w:val="single" w:sz="4" w:space="0" w:color="auto"/>
              <w:right w:val="nil"/>
            </w:tcBorders>
            <w:noWrap/>
            <w:vAlign w:val="bottom"/>
            <w:hideMark/>
          </w:tcPr>
          <w:p w14:paraId="3D5ECC4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753" w:type="dxa"/>
            <w:tcBorders>
              <w:top w:val="nil"/>
              <w:left w:val="nil"/>
              <w:bottom w:val="single" w:sz="4" w:space="0" w:color="auto"/>
              <w:right w:val="nil"/>
            </w:tcBorders>
            <w:noWrap/>
            <w:vAlign w:val="bottom"/>
            <w:hideMark/>
          </w:tcPr>
          <w:p w14:paraId="78CE9F9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0.76</w:t>
            </w:r>
          </w:p>
        </w:tc>
        <w:tc>
          <w:tcPr>
            <w:tcW w:w="753" w:type="dxa"/>
            <w:tcBorders>
              <w:top w:val="nil"/>
              <w:left w:val="nil"/>
              <w:bottom w:val="single" w:sz="4" w:space="0" w:color="auto"/>
              <w:right w:val="nil"/>
            </w:tcBorders>
            <w:noWrap/>
            <w:vAlign w:val="bottom"/>
            <w:hideMark/>
          </w:tcPr>
          <w:p w14:paraId="29CD7D1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0.65</w:t>
            </w:r>
          </w:p>
        </w:tc>
        <w:tc>
          <w:tcPr>
            <w:tcW w:w="926" w:type="dxa"/>
            <w:tcBorders>
              <w:top w:val="nil"/>
              <w:left w:val="nil"/>
              <w:bottom w:val="single" w:sz="4" w:space="0" w:color="auto"/>
              <w:right w:val="single" w:sz="4" w:space="0" w:color="auto"/>
            </w:tcBorders>
            <w:noWrap/>
            <w:vAlign w:val="bottom"/>
            <w:hideMark/>
          </w:tcPr>
          <w:p w14:paraId="4B447A0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0.69</w:t>
            </w:r>
          </w:p>
        </w:tc>
        <w:tc>
          <w:tcPr>
            <w:tcW w:w="921" w:type="dxa"/>
            <w:tcBorders>
              <w:top w:val="nil"/>
              <w:left w:val="nil"/>
              <w:bottom w:val="single" w:sz="4" w:space="0" w:color="auto"/>
              <w:right w:val="nil"/>
            </w:tcBorders>
            <w:noWrap/>
            <w:vAlign w:val="bottom"/>
            <w:hideMark/>
          </w:tcPr>
          <w:p w14:paraId="1D093701" w14:textId="77777777" w:rsidR="00006EF3" w:rsidRPr="00EB4769" w:rsidRDefault="00006EF3" w:rsidP="00006EF3">
            <w:pPr>
              <w:jc w:val="center"/>
              <w:rPr>
                <w:rFonts w:ascii="Arial" w:hAnsi="Arial" w:cs="Arial"/>
                <w:color w:val="000000"/>
                <w:lang w:eastAsia="en-IN" w:bidi="hi-IN"/>
              </w:rPr>
            </w:pPr>
            <w:commentRangeStart w:id="5"/>
            <w:r w:rsidRPr="00EB4769">
              <w:rPr>
                <w:rFonts w:ascii="Arial" w:hAnsi="Arial" w:cs="Arial"/>
                <w:color w:val="000000"/>
                <w:lang w:eastAsia="en-IN" w:bidi="hi-IN"/>
              </w:rPr>
              <w:t>0.05</w:t>
            </w:r>
          </w:p>
        </w:tc>
        <w:tc>
          <w:tcPr>
            <w:tcW w:w="669" w:type="dxa"/>
            <w:tcBorders>
              <w:top w:val="nil"/>
              <w:left w:val="nil"/>
              <w:bottom w:val="single" w:sz="4" w:space="0" w:color="auto"/>
              <w:right w:val="nil"/>
            </w:tcBorders>
            <w:noWrap/>
            <w:vAlign w:val="bottom"/>
            <w:hideMark/>
          </w:tcPr>
          <w:p w14:paraId="058FF58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0.03</w:t>
            </w:r>
          </w:p>
        </w:tc>
        <w:tc>
          <w:tcPr>
            <w:tcW w:w="753" w:type="dxa"/>
            <w:tcBorders>
              <w:top w:val="nil"/>
              <w:left w:val="nil"/>
              <w:bottom w:val="single" w:sz="4" w:space="0" w:color="auto"/>
              <w:right w:val="nil"/>
            </w:tcBorders>
            <w:noWrap/>
            <w:vAlign w:val="bottom"/>
            <w:hideMark/>
          </w:tcPr>
          <w:p w14:paraId="7ECA556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0.05</w:t>
            </w:r>
          </w:p>
        </w:tc>
        <w:tc>
          <w:tcPr>
            <w:tcW w:w="1044" w:type="dxa"/>
            <w:tcBorders>
              <w:top w:val="nil"/>
              <w:left w:val="nil"/>
              <w:bottom w:val="single" w:sz="4" w:space="0" w:color="auto"/>
              <w:right w:val="nil"/>
            </w:tcBorders>
            <w:noWrap/>
            <w:vAlign w:val="bottom"/>
            <w:hideMark/>
          </w:tcPr>
          <w:p w14:paraId="333ABD0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0.06</w:t>
            </w:r>
            <w:commentRangeEnd w:id="5"/>
            <w:r w:rsidR="00060811">
              <w:rPr>
                <w:rStyle w:val="CommentReference"/>
                <w:rFonts w:ascii="Times New Roman" w:hAnsi="Times New Roman"/>
                <w:lang w:val="nb-NO" w:eastAsia="nb-NO"/>
              </w:rPr>
              <w:commentReference w:id="5"/>
            </w:r>
          </w:p>
        </w:tc>
      </w:tr>
    </w:tbl>
    <w:p w14:paraId="347E5D52" w14:textId="5F1606AF" w:rsidR="00006EF3" w:rsidRDefault="00006EF3" w:rsidP="00441B6F">
      <w:pPr>
        <w:pStyle w:val="Body"/>
        <w:spacing w:after="0"/>
      </w:pPr>
    </w:p>
    <w:p w14:paraId="3B961024" w14:textId="6E7F5508" w:rsidR="00006EF3" w:rsidRPr="0075235A" w:rsidRDefault="00006EF3" w:rsidP="00006EF3">
      <w:pPr>
        <w:rPr>
          <w:rFonts w:ascii="Arial" w:hAnsi="Arial" w:cs="Arial"/>
          <w:sz w:val="22"/>
          <w:szCs w:val="22"/>
          <w:lang w:val="en-IN"/>
        </w:rPr>
      </w:pPr>
      <w:r w:rsidRPr="00006EF3">
        <w:rPr>
          <w:rFonts w:ascii="Arial" w:hAnsi="Arial" w:cs="Arial"/>
          <w:sz w:val="22"/>
          <w:szCs w:val="22"/>
          <w:lang w:val="en-IN"/>
        </w:rPr>
        <w:t>Table1: Effect of various nutrient management approaches on physio chemical properties of soil during different growth stages of rice.</w:t>
      </w:r>
    </w:p>
    <w:p w14:paraId="022FDE0D" w14:textId="77777777" w:rsidR="00006EF3" w:rsidRDefault="00006EF3" w:rsidP="00006EF3">
      <w:pPr>
        <w:rPr>
          <w:rFonts w:ascii="Times New Roman" w:hAnsi="Times New Roman"/>
          <w:b/>
          <w:bCs/>
          <w:sz w:val="24"/>
          <w:szCs w:val="24"/>
        </w:rPr>
      </w:pPr>
    </w:p>
    <w:p w14:paraId="3442E4BB" w14:textId="508B119F" w:rsidR="00006EF3" w:rsidRPr="00006EF3" w:rsidRDefault="00006EF3" w:rsidP="00006EF3">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3EF1D8C6" w14:textId="77777777" w:rsidR="003763C1" w:rsidRDefault="003763C1" w:rsidP="00441B6F">
      <w:pPr>
        <w:pStyle w:val="Body"/>
        <w:spacing w:after="0"/>
      </w:pPr>
    </w:p>
    <w:p w14:paraId="6ECEE1FC" w14:textId="77777777" w:rsidR="00D74CB0" w:rsidRDefault="00D74CB0" w:rsidP="00441B6F">
      <w:pPr>
        <w:pStyle w:val="Body"/>
        <w:spacing w:after="0"/>
      </w:pPr>
    </w:p>
    <w:p w14:paraId="3A78B441" w14:textId="77777777" w:rsidR="00EB4769" w:rsidRPr="00EB4769" w:rsidRDefault="00EB4769" w:rsidP="00EB4769">
      <w:pPr>
        <w:pStyle w:val="Body"/>
        <w:spacing w:after="0"/>
        <w:rPr>
          <w:rFonts w:ascii="Arial" w:hAnsi="Arial" w:cs="Arial"/>
          <w:sz w:val="22"/>
          <w:szCs w:val="22"/>
          <w:lang w:val="en-IN"/>
        </w:rPr>
      </w:pPr>
      <w:r w:rsidRPr="00EB4769">
        <w:rPr>
          <w:rFonts w:ascii="Arial" w:hAnsi="Arial" w:cs="Arial"/>
          <w:sz w:val="22"/>
          <w:szCs w:val="22"/>
          <w:lang w:val="en-IN"/>
        </w:rPr>
        <w:t>Table2: Effect of various nutrient management approaches on Available macro nutrient of soil during different growth stages of rice.</w:t>
      </w:r>
    </w:p>
    <w:p w14:paraId="11C08087" w14:textId="77777777" w:rsidR="000D689F" w:rsidRDefault="000D689F" w:rsidP="00441B6F">
      <w:pPr>
        <w:pStyle w:val="Body"/>
        <w:spacing w:after="0"/>
      </w:pPr>
    </w:p>
    <w:tbl>
      <w:tblPr>
        <w:tblW w:w="12812" w:type="dxa"/>
        <w:tblLook w:val="04A0" w:firstRow="1" w:lastRow="0" w:firstColumn="1" w:lastColumn="0" w:noHBand="0" w:noVBand="1"/>
      </w:tblPr>
      <w:tblGrid>
        <w:gridCol w:w="1228"/>
        <w:gridCol w:w="828"/>
        <w:gridCol w:w="945"/>
        <w:gridCol w:w="945"/>
        <w:gridCol w:w="1246"/>
        <w:gridCol w:w="742"/>
        <w:gridCol w:w="970"/>
        <w:gridCol w:w="970"/>
        <w:gridCol w:w="1188"/>
        <w:gridCol w:w="828"/>
        <w:gridCol w:w="945"/>
        <w:gridCol w:w="945"/>
        <w:gridCol w:w="1157"/>
      </w:tblGrid>
      <w:tr w:rsidR="00EB4769" w:rsidRPr="00B92404" w14:paraId="6FFB7DEB" w14:textId="77777777" w:rsidTr="00D20749">
        <w:trPr>
          <w:trHeight w:val="288"/>
        </w:trPr>
        <w:tc>
          <w:tcPr>
            <w:tcW w:w="1206" w:type="dxa"/>
            <w:vMerge w:val="restart"/>
            <w:tcBorders>
              <w:top w:val="single" w:sz="4" w:space="0" w:color="auto"/>
              <w:left w:val="nil"/>
              <w:bottom w:val="single" w:sz="4" w:space="0" w:color="000000"/>
              <w:right w:val="nil"/>
            </w:tcBorders>
            <w:noWrap/>
            <w:vAlign w:val="bottom"/>
            <w:hideMark/>
          </w:tcPr>
          <w:p w14:paraId="51A50D2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Treatments</w:t>
            </w:r>
          </w:p>
        </w:tc>
        <w:tc>
          <w:tcPr>
            <w:tcW w:w="3868" w:type="dxa"/>
            <w:gridSpan w:val="4"/>
            <w:tcBorders>
              <w:top w:val="single" w:sz="4" w:space="0" w:color="auto"/>
              <w:left w:val="nil"/>
              <w:bottom w:val="nil"/>
              <w:right w:val="nil"/>
            </w:tcBorders>
            <w:noWrap/>
            <w:vAlign w:val="bottom"/>
            <w:hideMark/>
          </w:tcPr>
          <w:p w14:paraId="43F6167D" w14:textId="691641A6"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Available Nitrogen (kg ha</w:t>
            </w:r>
            <w:r w:rsidRPr="00EB4769">
              <w:rPr>
                <w:rFonts w:ascii="Arial" w:hAnsi="Arial" w:cs="Arial"/>
                <w:color w:val="000000"/>
                <w:vertAlign w:val="superscript"/>
                <w:lang w:eastAsia="en-IN" w:bidi="hi-IN"/>
              </w:rPr>
              <w:t>-1</w:t>
            </w:r>
            <w:r w:rsidRPr="00EB4769">
              <w:rPr>
                <w:rFonts w:ascii="Arial" w:hAnsi="Arial" w:cs="Arial"/>
                <w:color w:val="000000"/>
                <w:lang w:eastAsia="en-IN" w:bidi="hi-IN"/>
              </w:rPr>
              <w:t>)</w:t>
            </w:r>
          </w:p>
        </w:tc>
        <w:tc>
          <w:tcPr>
            <w:tcW w:w="3870" w:type="dxa"/>
            <w:gridSpan w:val="4"/>
            <w:tcBorders>
              <w:top w:val="single" w:sz="4" w:space="0" w:color="auto"/>
              <w:left w:val="nil"/>
              <w:bottom w:val="nil"/>
              <w:right w:val="nil"/>
            </w:tcBorders>
            <w:noWrap/>
            <w:vAlign w:val="bottom"/>
            <w:hideMark/>
          </w:tcPr>
          <w:p w14:paraId="52C98F47" w14:textId="57507D0F"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Available Phosphorous (kg ha</w:t>
            </w:r>
            <w:r w:rsidRPr="00EB4769">
              <w:rPr>
                <w:rFonts w:ascii="Arial" w:hAnsi="Arial" w:cs="Arial"/>
                <w:color w:val="000000"/>
                <w:vertAlign w:val="superscript"/>
                <w:lang w:eastAsia="en-IN" w:bidi="hi-IN"/>
              </w:rPr>
              <w:t>-1</w:t>
            </w:r>
            <w:r w:rsidRPr="00EB4769">
              <w:rPr>
                <w:rFonts w:ascii="Arial" w:hAnsi="Arial" w:cs="Arial"/>
                <w:color w:val="000000"/>
                <w:lang w:eastAsia="en-IN" w:bidi="hi-IN"/>
              </w:rPr>
              <w:t>)</w:t>
            </w:r>
          </w:p>
        </w:tc>
        <w:tc>
          <w:tcPr>
            <w:tcW w:w="3868" w:type="dxa"/>
            <w:gridSpan w:val="4"/>
            <w:tcBorders>
              <w:top w:val="single" w:sz="4" w:space="0" w:color="auto"/>
              <w:left w:val="nil"/>
              <w:bottom w:val="nil"/>
              <w:right w:val="nil"/>
            </w:tcBorders>
            <w:noWrap/>
            <w:vAlign w:val="bottom"/>
            <w:hideMark/>
          </w:tcPr>
          <w:p w14:paraId="198A76C7" w14:textId="6C5A7051"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Available Potassium (kg ha</w:t>
            </w:r>
            <w:r w:rsidRPr="00EB4769">
              <w:rPr>
                <w:rFonts w:ascii="Arial" w:hAnsi="Arial" w:cs="Arial"/>
                <w:color w:val="000000"/>
                <w:vertAlign w:val="superscript"/>
                <w:lang w:eastAsia="en-IN" w:bidi="hi-IN"/>
              </w:rPr>
              <w:t>-1</w:t>
            </w:r>
            <w:r w:rsidRPr="00EB4769">
              <w:rPr>
                <w:rFonts w:ascii="Arial" w:hAnsi="Arial" w:cs="Arial"/>
                <w:color w:val="000000"/>
                <w:lang w:eastAsia="en-IN" w:bidi="hi-IN"/>
              </w:rPr>
              <w:t>)</w:t>
            </w:r>
          </w:p>
        </w:tc>
      </w:tr>
      <w:tr w:rsidR="00EB4769" w:rsidRPr="00B92404" w14:paraId="02C88534" w14:textId="77777777" w:rsidTr="00D20749">
        <w:trPr>
          <w:trHeight w:val="288"/>
        </w:trPr>
        <w:tc>
          <w:tcPr>
            <w:tcW w:w="1206" w:type="dxa"/>
            <w:vMerge/>
            <w:tcBorders>
              <w:top w:val="single" w:sz="4" w:space="0" w:color="auto"/>
              <w:left w:val="nil"/>
              <w:bottom w:val="single" w:sz="4" w:space="0" w:color="000000"/>
              <w:right w:val="nil"/>
            </w:tcBorders>
            <w:vAlign w:val="center"/>
            <w:hideMark/>
          </w:tcPr>
          <w:p w14:paraId="1E1A811B" w14:textId="77777777" w:rsidR="00EB4769" w:rsidRPr="00EB4769" w:rsidRDefault="00EB4769" w:rsidP="00D20749">
            <w:pPr>
              <w:rPr>
                <w:rFonts w:ascii="Arial" w:hAnsi="Arial" w:cs="Arial"/>
                <w:color w:val="000000"/>
                <w:lang w:eastAsia="en-IN" w:bidi="hi-IN"/>
              </w:rPr>
            </w:pPr>
          </w:p>
        </w:tc>
        <w:tc>
          <w:tcPr>
            <w:tcW w:w="821" w:type="dxa"/>
            <w:tcBorders>
              <w:top w:val="single" w:sz="4" w:space="0" w:color="auto"/>
              <w:left w:val="single" w:sz="4" w:space="0" w:color="auto"/>
              <w:bottom w:val="single" w:sz="4" w:space="0" w:color="auto"/>
              <w:right w:val="nil"/>
            </w:tcBorders>
            <w:noWrap/>
            <w:vAlign w:val="bottom"/>
            <w:hideMark/>
          </w:tcPr>
          <w:p w14:paraId="79D7AF7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945" w:type="dxa"/>
            <w:tcBorders>
              <w:top w:val="single" w:sz="4" w:space="0" w:color="auto"/>
              <w:left w:val="nil"/>
              <w:bottom w:val="single" w:sz="4" w:space="0" w:color="auto"/>
              <w:right w:val="nil"/>
            </w:tcBorders>
            <w:noWrap/>
            <w:vAlign w:val="bottom"/>
            <w:hideMark/>
          </w:tcPr>
          <w:p w14:paraId="62734D1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945" w:type="dxa"/>
            <w:tcBorders>
              <w:top w:val="single" w:sz="4" w:space="0" w:color="auto"/>
              <w:left w:val="nil"/>
              <w:bottom w:val="single" w:sz="4" w:space="0" w:color="auto"/>
              <w:right w:val="nil"/>
            </w:tcBorders>
            <w:noWrap/>
            <w:vAlign w:val="bottom"/>
            <w:hideMark/>
          </w:tcPr>
          <w:p w14:paraId="7C610B5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157" w:type="dxa"/>
            <w:tcBorders>
              <w:top w:val="single" w:sz="4" w:space="0" w:color="auto"/>
              <w:left w:val="nil"/>
              <w:bottom w:val="single" w:sz="4" w:space="0" w:color="auto"/>
              <w:right w:val="single" w:sz="4" w:space="0" w:color="auto"/>
            </w:tcBorders>
            <w:noWrap/>
            <w:vAlign w:val="bottom"/>
            <w:hideMark/>
          </w:tcPr>
          <w:p w14:paraId="31FD44A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742" w:type="dxa"/>
            <w:tcBorders>
              <w:top w:val="single" w:sz="4" w:space="0" w:color="auto"/>
              <w:left w:val="nil"/>
              <w:bottom w:val="single" w:sz="4" w:space="0" w:color="auto"/>
              <w:right w:val="nil"/>
            </w:tcBorders>
            <w:noWrap/>
            <w:vAlign w:val="bottom"/>
            <w:hideMark/>
          </w:tcPr>
          <w:p w14:paraId="5C4077B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970" w:type="dxa"/>
            <w:tcBorders>
              <w:top w:val="single" w:sz="4" w:space="0" w:color="auto"/>
              <w:left w:val="nil"/>
              <w:bottom w:val="single" w:sz="4" w:space="0" w:color="auto"/>
              <w:right w:val="nil"/>
            </w:tcBorders>
            <w:noWrap/>
            <w:vAlign w:val="bottom"/>
            <w:hideMark/>
          </w:tcPr>
          <w:p w14:paraId="303C88C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970" w:type="dxa"/>
            <w:tcBorders>
              <w:top w:val="single" w:sz="4" w:space="0" w:color="auto"/>
              <w:left w:val="nil"/>
              <w:bottom w:val="single" w:sz="4" w:space="0" w:color="auto"/>
              <w:right w:val="nil"/>
            </w:tcBorders>
            <w:noWrap/>
            <w:vAlign w:val="bottom"/>
            <w:hideMark/>
          </w:tcPr>
          <w:p w14:paraId="1D58457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188" w:type="dxa"/>
            <w:tcBorders>
              <w:top w:val="single" w:sz="4" w:space="0" w:color="auto"/>
              <w:left w:val="nil"/>
              <w:bottom w:val="single" w:sz="4" w:space="0" w:color="auto"/>
              <w:right w:val="single" w:sz="4" w:space="0" w:color="auto"/>
            </w:tcBorders>
            <w:noWrap/>
            <w:vAlign w:val="bottom"/>
            <w:hideMark/>
          </w:tcPr>
          <w:p w14:paraId="5E6C98E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821" w:type="dxa"/>
            <w:tcBorders>
              <w:top w:val="single" w:sz="4" w:space="0" w:color="auto"/>
              <w:left w:val="nil"/>
              <w:bottom w:val="single" w:sz="4" w:space="0" w:color="auto"/>
              <w:right w:val="nil"/>
            </w:tcBorders>
            <w:noWrap/>
            <w:vAlign w:val="bottom"/>
            <w:hideMark/>
          </w:tcPr>
          <w:p w14:paraId="0733A1A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945" w:type="dxa"/>
            <w:tcBorders>
              <w:top w:val="single" w:sz="4" w:space="0" w:color="auto"/>
              <w:left w:val="nil"/>
              <w:bottom w:val="single" w:sz="4" w:space="0" w:color="auto"/>
              <w:right w:val="nil"/>
            </w:tcBorders>
            <w:noWrap/>
            <w:vAlign w:val="bottom"/>
            <w:hideMark/>
          </w:tcPr>
          <w:p w14:paraId="62CC55A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945" w:type="dxa"/>
            <w:tcBorders>
              <w:top w:val="single" w:sz="4" w:space="0" w:color="auto"/>
              <w:left w:val="nil"/>
              <w:bottom w:val="single" w:sz="4" w:space="0" w:color="auto"/>
              <w:right w:val="nil"/>
            </w:tcBorders>
            <w:noWrap/>
            <w:vAlign w:val="bottom"/>
            <w:hideMark/>
          </w:tcPr>
          <w:p w14:paraId="53FFFD4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157" w:type="dxa"/>
            <w:tcBorders>
              <w:top w:val="single" w:sz="4" w:space="0" w:color="auto"/>
              <w:left w:val="nil"/>
              <w:bottom w:val="single" w:sz="4" w:space="0" w:color="auto"/>
              <w:right w:val="nil"/>
            </w:tcBorders>
            <w:noWrap/>
            <w:vAlign w:val="bottom"/>
            <w:hideMark/>
          </w:tcPr>
          <w:p w14:paraId="1EA388E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at Harvest</w:t>
            </w:r>
          </w:p>
        </w:tc>
      </w:tr>
      <w:tr w:rsidR="00EB4769" w:rsidRPr="00B92404" w14:paraId="00F23B20" w14:textId="77777777" w:rsidTr="00D20749">
        <w:trPr>
          <w:trHeight w:val="288"/>
        </w:trPr>
        <w:tc>
          <w:tcPr>
            <w:tcW w:w="1206" w:type="dxa"/>
            <w:tcBorders>
              <w:top w:val="nil"/>
              <w:left w:val="nil"/>
              <w:bottom w:val="nil"/>
              <w:right w:val="single" w:sz="4" w:space="0" w:color="auto"/>
            </w:tcBorders>
            <w:noWrap/>
            <w:vAlign w:val="bottom"/>
            <w:hideMark/>
          </w:tcPr>
          <w:p w14:paraId="61AAC998"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T1</w:t>
            </w:r>
          </w:p>
        </w:tc>
        <w:tc>
          <w:tcPr>
            <w:tcW w:w="821" w:type="dxa"/>
            <w:tcBorders>
              <w:top w:val="nil"/>
              <w:left w:val="nil"/>
              <w:bottom w:val="nil"/>
              <w:right w:val="nil"/>
            </w:tcBorders>
            <w:shd w:val="clear" w:color="000000" w:fill="FFFFFF"/>
            <w:noWrap/>
            <w:vAlign w:val="bottom"/>
            <w:hideMark/>
          </w:tcPr>
          <w:p w14:paraId="7004C4C7"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170.94</w:t>
            </w:r>
          </w:p>
        </w:tc>
        <w:tc>
          <w:tcPr>
            <w:tcW w:w="945" w:type="dxa"/>
            <w:tcBorders>
              <w:top w:val="nil"/>
              <w:left w:val="nil"/>
              <w:bottom w:val="nil"/>
              <w:right w:val="nil"/>
            </w:tcBorders>
            <w:noWrap/>
            <w:vAlign w:val="bottom"/>
            <w:hideMark/>
          </w:tcPr>
          <w:p w14:paraId="01FE011B"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158.08</w:t>
            </w:r>
          </w:p>
        </w:tc>
        <w:tc>
          <w:tcPr>
            <w:tcW w:w="945" w:type="dxa"/>
            <w:tcBorders>
              <w:top w:val="nil"/>
              <w:left w:val="nil"/>
              <w:bottom w:val="nil"/>
              <w:right w:val="nil"/>
            </w:tcBorders>
            <w:noWrap/>
            <w:vAlign w:val="bottom"/>
            <w:hideMark/>
          </w:tcPr>
          <w:p w14:paraId="087D1133"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158.00</w:t>
            </w:r>
          </w:p>
        </w:tc>
        <w:tc>
          <w:tcPr>
            <w:tcW w:w="1157" w:type="dxa"/>
            <w:tcBorders>
              <w:top w:val="nil"/>
              <w:left w:val="nil"/>
              <w:bottom w:val="nil"/>
              <w:right w:val="single" w:sz="4" w:space="0" w:color="auto"/>
            </w:tcBorders>
            <w:noWrap/>
            <w:vAlign w:val="bottom"/>
            <w:hideMark/>
          </w:tcPr>
          <w:p w14:paraId="41098156"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150.31</w:t>
            </w:r>
          </w:p>
        </w:tc>
        <w:tc>
          <w:tcPr>
            <w:tcW w:w="742" w:type="dxa"/>
            <w:tcBorders>
              <w:top w:val="nil"/>
              <w:left w:val="nil"/>
              <w:bottom w:val="nil"/>
              <w:right w:val="nil"/>
            </w:tcBorders>
            <w:noWrap/>
            <w:vAlign w:val="bottom"/>
            <w:hideMark/>
          </w:tcPr>
          <w:p w14:paraId="24B3865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16.58</w:t>
            </w:r>
          </w:p>
        </w:tc>
        <w:tc>
          <w:tcPr>
            <w:tcW w:w="970" w:type="dxa"/>
            <w:tcBorders>
              <w:top w:val="nil"/>
              <w:left w:val="nil"/>
              <w:bottom w:val="nil"/>
              <w:right w:val="nil"/>
            </w:tcBorders>
            <w:noWrap/>
            <w:vAlign w:val="bottom"/>
            <w:hideMark/>
          </w:tcPr>
          <w:p w14:paraId="16368F4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13.47</w:t>
            </w:r>
          </w:p>
        </w:tc>
        <w:tc>
          <w:tcPr>
            <w:tcW w:w="970" w:type="dxa"/>
            <w:tcBorders>
              <w:top w:val="nil"/>
              <w:left w:val="nil"/>
              <w:bottom w:val="nil"/>
              <w:right w:val="nil"/>
            </w:tcBorders>
            <w:noWrap/>
            <w:vAlign w:val="bottom"/>
            <w:hideMark/>
          </w:tcPr>
          <w:p w14:paraId="46245DE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12.10</w:t>
            </w:r>
          </w:p>
        </w:tc>
        <w:tc>
          <w:tcPr>
            <w:tcW w:w="1188" w:type="dxa"/>
            <w:tcBorders>
              <w:top w:val="nil"/>
              <w:left w:val="nil"/>
              <w:bottom w:val="nil"/>
              <w:right w:val="single" w:sz="4" w:space="0" w:color="auto"/>
            </w:tcBorders>
            <w:noWrap/>
            <w:vAlign w:val="bottom"/>
            <w:hideMark/>
          </w:tcPr>
          <w:p w14:paraId="7C344EF2"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11.59</w:t>
            </w:r>
          </w:p>
        </w:tc>
        <w:tc>
          <w:tcPr>
            <w:tcW w:w="821" w:type="dxa"/>
            <w:tcBorders>
              <w:top w:val="nil"/>
              <w:left w:val="nil"/>
              <w:bottom w:val="nil"/>
              <w:right w:val="nil"/>
            </w:tcBorders>
            <w:noWrap/>
            <w:vAlign w:val="bottom"/>
            <w:hideMark/>
          </w:tcPr>
          <w:p w14:paraId="7DC591CC"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263.48</w:t>
            </w:r>
          </w:p>
        </w:tc>
        <w:tc>
          <w:tcPr>
            <w:tcW w:w="945" w:type="dxa"/>
            <w:tcBorders>
              <w:top w:val="nil"/>
              <w:left w:val="nil"/>
              <w:bottom w:val="nil"/>
              <w:right w:val="nil"/>
            </w:tcBorders>
            <w:noWrap/>
            <w:vAlign w:val="bottom"/>
            <w:hideMark/>
          </w:tcPr>
          <w:p w14:paraId="1F7730E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262.32</w:t>
            </w:r>
          </w:p>
        </w:tc>
        <w:tc>
          <w:tcPr>
            <w:tcW w:w="945" w:type="dxa"/>
            <w:tcBorders>
              <w:top w:val="nil"/>
              <w:left w:val="nil"/>
              <w:bottom w:val="nil"/>
              <w:right w:val="nil"/>
            </w:tcBorders>
            <w:noWrap/>
            <w:vAlign w:val="bottom"/>
            <w:hideMark/>
          </w:tcPr>
          <w:p w14:paraId="3A9CCAA4"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257.42</w:t>
            </w:r>
          </w:p>
        </w:tc>
        <w:tc>
          <w:tcPr>
            <w:tcW w:w="1157" w:type="dxa"/>
            <w:tcBorders>
              <w:top w:val="nil"/>
              <w:left w:val="nil"/>
              <w:bottom w:val="nil"/>
              <w:right w:val="nil"/>
            </w:tcBorders>
            <w:noWrap/>
            <w:vAlign w:val="bottom"/>
            <w:hideMark/>
          </w:tcPr>
          <w:p w14:paraId="2C16C78D"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231.88</w:t>
            </w:r>
          </w:p>
        </w:tc>
      </w:tr>
      <w:tr w:rsidR="00EB4769" w:rsidRPr="00B92404" w14:paraId="40A79EE7" w14:textId="77777777" w:rsidTr="00D20749">
        <w:trPr>
          <w:trHeight w:val="288"/>
        </w:trPr>
        <w:tc>
          <w:tcPr>
            <w:tcW w:w="1206" w:type="dxa"/>
            <w:tcBorders>
              <w:top w:val="nil"/>
              <w:left w:val="nil"/>
              <w:bottom w:val="nil"/>
              <w:right w:val="single" w:sz="4" w:space="0" w:color="auto"/>
            </w:tcBorders>
            <w:noWrap/>
            <w:vAlign w:val="bottom"/>
            <w:hideMark/>
          </w:tcPr>
          <w:p w14:paraId="67D2F85D"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T2</w:t>
            </w:r>
          </w:p>
        </w:tc>
        <w:tc>
          <w:tcPr>
            <w:tcW w:w="821" w:type="dxa"/>
            <w:tcBorders>
              <w:top w:val="nil"/>
              <w:left w:val="nil"/>
              <w:bottom w:val="nil"/>
              <w:right w:val="nil"/>
            </w:tcBorders>
            <w:shd w:val="clear" w:color="000000" w:fill="FFFFFF"/>
            <w:noWrap/>
            <w:vAlign w:val="bottom"/>
            <w:hideMark/>
          </w:tcPr>
          <w:p w14:paraId="238EFB6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172.36</w:t>
            </w:r>
          </w:p>
        </w:tc>
        <w:tc>
          <w:tcPr>
            <w:tcW w:w="945" w:type="dxa"/>
            <w:tcBorders>
              <w:top w:val="nil"/>
              <w:left w:val="nil"/>
              <w:bottom w:val="nil"/>
              <w:right w:val="nil"/>
            </w:tcBorders>
            <w:noWrap/>
            <w:vAlign w:val="bottom"/>
            <w:hideMark/>
          </w:tcPr>
          <w:p w14:paraId="3F4F67C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175.41</w:t>
            </w:r>
          </w:p>
        </w:tc>
        <w:tc>
          <w:tcPr>
            <w:tcW w:w="945" w:type="dxa"/>
            <w:tcBorders>
              <w:top w:val="nil"/>
              <w:left w:val="nil"/>
              <w:bottom w:val="nil"/>
              <w:right w:val="nil"/>
            </w:tcBorders>
            <w:noWrap/>
            <w:vAlign w:val="bottom"/>
            <w:hideMark/>
          </w:tcPr>
          <w:p w14:paraId="644CEA1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157.70</w:t>
            </w:r>
          </w:p>
        </w:tc>
        <w:tc>
          <w:tcPr>
            <w:tcW w:w="1157" w:type="dxa"/>
            <w:tcBorders>
              <w:top w:val="nil"/>
              <w:left w:val="nil"/>
              <w:bottom w:val="nil"/>
              <w:right w:val="single" w:sz="4" w:space="0" w:color="auto"/>
            </w:tcBorders>
            <w:noWrap/>
            <w:vAlign w:val="bottom"/>
            <w:hideMark/>
          </w:tcPr>
          <w:p w14:paraId="75BDB2B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164.70</w:t>
            </w:r>
          </w:p>
        </w:tc>
        <w:tc>
          <w:tcPr>
            <w:tcW w:w="742" w:type="dxa"/>
            <w:tcBorders>
              <w:top w:val="nil"/>
              <w:left w:val="nil"/>
              <w:bottom w:val="nil"/>
              <w:right w:val="nil"/>
            </w:tcBorders>
            <w:noWrap/>
            <w:vAlign w:val="bottom"/>
            <w:hideMark/>
          </w:tcPr>
          <w:p w14:paraId="097F384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16.85</w:t>
            </w:r>
          </w:p>
        </w:tc>
        <w:tc>
          <w:tcPr>
            <w:tcW w:w="970" w:type="dxa"/>
            <w:tcBorders>
              <w:top w:val="nil"/>
              <w:left w:val="nil"/>
              <w:bottom w:val="nil"/>
              <w:right w:val="nil"/>
            </w:tcBorders>
            <w:noWrap/>
            <w:vAlign w:val="bottom"/>
            <w:hideMark/>
          </w:tcPr>
          <w:p w14:paraId="709EF56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14.85</w:t>
            </w:r>
          </w:p>
        </w:tc>
        <w:tc>
          <w:tcPr>
            <w:tcW w:w="970" w:type="dxa"/>
            <w:tcBorders>
              <w:top w:val="nil"/>
              <w:left w:val="nil"/>
              <w:bottom w:val="nil"/>
              <w:right w:val="nil"/>
            </w:tcBorders>
            <w:noWrap/>
            <w:vAlign w:val="bottom"/>
            <w:hideMark/>
          </w:tcPr>
          <w:p w14:paraId="1D3942B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13.79</w:t>
            </w:r>
          </w:p>
        </w:tc>
        <w:tc>
          <w:tcPr>
            <w:tcW w:w="1188" w:type="dxa"/>
            <w:tcBorders>
              <w:top w:val="nil"/>
              <w:left w:val="nil"/>
              <w:bottom w:val="nil"/>
              <w:right w:val="single" w:sz="4" w:space="0" w:color="auto"/>
            </w:tcBorders>
            <w:noWrap/>
            <w:vAlign w:val="bottom"/>
            <w:hideMark/>
          </w:tcPr>
          <w:p w14:paraId="38C044D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12.93</w:t>
            </w:r>
          </w:p>
        </w:tc>
        <w:tc>
          <w:tcPr>
            <w:tcW w:w="821" w:type="dxa"/>
            <w:tcBorders>
              <w:top w:val="nil"/>
              <w:left w:val="nil"/>
              <w:bottom w:val="nil"/>
              <w:right w:val="nil"/>
            </w:tcBorders>
            <w:noWrap/>
            <w:vAlign w:val="bottom"/>
            <w:hideMark/>
          </w:tcPr>
          <w:p w14:paraId="431E8D7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265.66</w:t>
            </w:r>
          </w:p>
        </w:tc>
        <w:tc>
          <w:tcPr>
            <w:tcW w:w="945" w:type="dxa"/>
            <w:tcBorders>
              <w:top w:val="nil"/>
              <w:left w:val="nil"/>
              <w:bottom w:val="nil"/>
              <w:right w:val="nil"/>
            </w:tcBorders>
            <w:noWrap/>
            <w:vAlign w:val="bottom"/>
            <w:hideMark/>
          </w:tcPr>
          <w:p w14:paraId="06266E3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257.07</w:t>
            </w:r>
          </w:p>
        </w:tc>
        <w:tc>
          <w:tcPr>
            <w:tcW w:w="945" w:type="dxa"/>
            <w:tcBorders>
              <w:top w:val="nil"/>
              <w:left w:val="nil"/>
              <w:bottom w:val="nil"/>
              <w:right w:val="nil"/>
            </w:tcBorders>
            <w:noWrap/>
            <w:vAlign w:val="bottom"/>
            <w:hideMark/>
          </w:tcPr>
          <w:p w14:paraId="0B5E24B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260.09</w:t>
            </w:r>
          </w:p>
        </w:tc>
        <w:tc>
          <w:tcPr>
            <w:tcW w:w="1157" w:type="dxa"/>
            <w:tcBorders>
              <w:top w:val="nil"/>
              <w:left w:val="nil"/>
              <w:bottom w:val="nil"/>
              <w:right w:val="nil"/>
            </w:tcBorders>
            <w:noWrap/>
            <w:vAlign w:val="bottom"/>
            <w:hideMark/>
          </w:tcPr>
          <w:p w14:paraId="35B3754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263.29</w:t>
            </w:r>
          </w:p>
        </w:tc>
      </w:tr>
      <w:tr w:rsidR="00EB4769" w:rsidRPr="00B92404" w14:paraId="1048A180" w14:textId="77777777" w:rsidTr="00D20749">
        <w:trPr>
          <w:trHeight w:val="288"/>
        </w:trPr>
        <w:tc>
          <w:tcPr>
            <w:tcW w:w="1206" w:type="dxa"/>
            <w:tcBorders>
              <w:top w:val="nil"/>
              <w:left w:val="nil"/>
              <w:bottom w:val="nil"/>
              <w:right w:val="single" w:sz="4" w:space="0" w:color="auto"/>
            </w:tcBorders>
            <w:noWrap/>
            <w:vAlign w:val="bottom"/>
            <w:hideMark/>
          </w:tcPr>
          <w:p w14:paraId="7987E9E4"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T3</w:t>
            </w:r>
          </w:p>
        </w:tc>
        <w:tc>
          <w:tcPr>
            <w:tcW w:w="821" w:type="dxa"/>
            <w:tcBorders>
              <w:top w:val="nil"/>
              <w:left w:val="nil"/>
              <w:bottom w:val="nil"/>
              <w:right w:val="nil"/>
            </w:tcBorders>
            <w:shd w:val="clear" w:color="000000" w:fill="FFFFFF"/>
            <w:noWrap/>
            <w:vAlign w:val="bottom"/>
            <w:hideMark/>
          </w:tcPr>
          <w:p w14:paraId="6E24D83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175.26</w:t>
            </w:r>
          </w:p>
        </w:tc>
        <w:tc>
          <w:tcPr>
            <w:tcW w:w="945" w:type="dxa"/>
            <w:tcBorders>
              <w:top w:val="nil"/>
              <w:left w:val="nil"/>
              <w:bottom w:val="nil"/>
              <w:right w:val="nil"/>
            </w:tcBorders>
            <w:noWrap/>
            <w:vAlign w:val="bottom"/>
            <w:hideMark/>
          </w:tcPr>
          <w:p w14:paraId="1686E67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140.27</w:t>
            </w:r>
          </w:p>
        </w:tc>
        <w:tc>
          <w:tcPr>
            <w:tcW w:w="945" w:type="dxa"/>
            <w:tcBorders>
              <w:top w:val="nil"/>
              <w:left w:val="nil"/>
              <w:bottom w:val="nil"/>
              <w:right w:val="nil"/>
            </w:tcBorders>
            <w:noWrap/>
            <w:vAlign w:val="bottom"/>
            <w:hideMark/>
          </w:tcPr>
          <w:p w14:paraId="5044E15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145.45</w:t>
            </w:r>
          </w:p>
        </w:tc>
        <w:tc>
          <w:tcPr>
            <w:tcW w:w="1157" w:type="dxa"/>
            <w:tcBorders>
              <w:top w:val="nil"/>
              <w:left w:val="nil"/>
              <w:bottom w:val="nil"/>
              <w:right w:val="single" w:sz="4" w:space="0" w:color="auto"/>
            </w:tcBorders>
            <w:noWrap/>
            <w:vAlign w:val="bottom"/>
            <w:hideMark/>
          </w:tcPr>
          <w:p w14:paraId="7D8491B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169.79</w:t>
            </w:r>
          </w:p>
        </w:tc>
        <w:tc>
          <w:tcPr>
            <w:tcW w:w="742" w:type="dxa"/>
            <w:tcBorders>
              <w:top w:val="nil"/>
              <w:left w:val="nil"/>
              <w:bottom w:val="nil"/>
              <w:right w:val="nil"/>
            </w:tcBorders>
            <w:noWrap/>
            <w:vAlign w:val="bottom"/>
            <w:hideMark/>
          </w:tcPr>
          <w:p w14:paraId="61D77A5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16.09</w:t>
            </w:r>
          </w:p>
        </w:tc>
        <w:tc>
          <w:tcPr>
            <w:tcW w:w="970" w:type="dxa"/>
            <w:tcBorders>
              <w:top w:val="nil"/>
              <w:left w:val="nil"/>
              <w:bottom w:val="nil"/>
              <w:right w:val="nil"/>
            </w:tcBorders>
            <w:noWrap/>
            <w:vAlign w:val="bottom"/>
            <w:hideMark/>
          </w:tcPr>
          <w:p w14:paraId="227D397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15.45</w:t>
            </w:r>
          </w:p>
        </w:tc>
        <w:tc>
          <w:tcPr>
            <w:tcW w:w="970" w:type="dxa"/>
            <w:tcBorders>
              <w:top w:val="nil"/>
              <w:left w:val="nil"/>
              <w:bottom w:val="nil"/>
              <w:right w:val="nil"/>
            </w:tcBorders>
            <w:noWrap/>
            <w:vAlign w:val="bottom"/>
            <w:hideMark/>
          </w:tcPr>
          <w:p w14:paraId="3913611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14.66</w:t>
            </w:r>
          </w:p>
        </w:tc>
        <w:tc>
          <w:tcPr>
            <w:tcW w:w="1188" w:type="dxa"/>
            <w:tcBorders>
              <w:top w:val="nil"/>
              <w:left w:val="nil"/>
              <w:bottom w:val="nil"/>
              <w:right w:val="single" w:sz="4" w:space="0" w:color="auto"/>
            </w:tcBorders>
            <w:noWrap/>
            <w:vAlign w:val="bottom"/>
            <w:hideMark/>
          </w:tcPr>
          <w:p w14:paraId="3781037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13.94</w:t>
            </w:r>
          </w:p>
        </w:tc>
        <w:tc>
          <w:tcPr>
            <w:tcW w:w="821" w:type="dxa"/>
            <w:tcBorders>
              <w:top w:val="nil"/>
              <w:left w:val="nil"/>
              <w:bottom w:val="nil"/>
              <w:right w:val="nil"/>
            </w:tcBorders>
            <w:noWrap/>
            <w:vAlign w:val="bottom"/>
            <w:hideMark/>
          </w:tcPr>
          <w:p w14:paraId="6B6F41C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260.53</w:t>
            </w:r>
          </w:p>
        </w:tc>
        <w:tc>
          <w:tcPr>
            <w:tcW w:w="945" w:type="dxa"/>
            <w:tcBorders>
              <w:top w:val="nil"/>
              <w:left w:val="nil"/>
              <w:bottom w:val="nil"/>
              <w:right w:val="nil"/>
            </w:tcBorders>
            <w:noWrap/>
            <w:vAlign w:val="bottom"/>
            <w:hideMark/>
          </w:tcPr>
          <w:p w14:paraId="263B3CB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237.29</w:t>
            </w:r>
          </w:p>
        </w:tc>
        <w:tc>
          <w:tcPr>
            <w:tcW w:w="945" w:type="dxa"/>
            <w:tcBorders>
              <w:top w:val="nil"/>
              <w:left w:val="nil"/>
              <w:bottom w:val="nil"/>
              <w:right w:val="nil"/>
            </w:tcBorders>
            <w:noWrap/>
            <w:vAlign w:val="bottom"/>
            <w:hideMark/>
          </w:tcPr>
          <w:p w14:paraId="4994449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259.56</w:t>
            </w:r>
          </w:p>
        </w:tc>
        <w:tc>
          <w:tcPr>
            <w:tcW w:w="1157" w:type="dxa"/>
            <w:tcBorders>
              <w:top w:val="nil"/>
              <w:left w:val="nil"/>
              <w:bottom w:val="nil"/>
              <w:right w:val="nil"/>
            </w:tcBorders>
            <w:noWrap/>
            <w:vAlign w:val="bottom"/>
            <w:hideMark/>
          </w:tcPr>
          <w:p w14:paraId="5817489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265.22</w:t>
            </w:r>
          </w:p>
        </w:tc>
      </w:tr>
      <w:tr w:rsidR="00EB4769" w:rsidRPr="00B92404" w14:paraId="62093412" w14:textId="77777777" w:rsidTr="00D20749">
        <w:trPr>
          <w:trHeight w:val="288"/>
        </w:trPr>
        <w:tc>
          <w:tcPr>
            <w:tcW w:w="1206" w:type="dxa"/>
            <w:tcBorders>
              <w:top w:val="nil"/>
              <w:left w:val="nil"/>
              <w:bottom w:val="nil"/>
              <w:right w:val="single" w:sz="4" w:space="0" w:color="auto"/>
            </w:tcBorders>
            <w:noWrap/>
            <w:vAlign w:val="bottom"/>
            <w:hideMark/>
          </w:tcPr>
          <w:p w14:paraId="4D685A68"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T4</w:t>
            </w:r>
          </w:p>
        </w:tc>
        <w:tc>
          <w:tcPr>
            <w:tcW w:w="821" w:type="dxa"/>
            <w:tcBorders>
              <w:top w:val="nil"/>
              <w:left w:val="nil"/>
              <w:bottom w:val="nil"/>
              <w:right w:val="nil"/>
            </w:tcBorders>
            <w:shd w:val="clear" w:color="000000" w:fill="FFFFFF"/>
            <w:noWrap/>
            <w:vAlign w:val="bottom"/>
            <w:hideMark/>
          </w:tcPr>
          <w:p w14:paraId="3761166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171.50</w:t>
            </w:r>
          </w:p>
        </w:tc>
        <w:tc>
          <w:tcPr>
            <w:tcW w:w="945" w:type="dxa"/>
            <w:tcBorders>
              <w:top w:val="nil"/>
              <w:left w:val="nil"/>
              <w:bottom w:val="nil"/>
              <w:right w:val="nil"/>
            </w:tcBorders>
            <w:noWrap/>
            <w:vAlign w:val="bottom"/>
            <w:hideMark/>
          </w:tcPr>
          <w:p w14:paraId="22A475D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162.11</w:t>
            </w:r>
          </w:p>
        </w:tc>
        <w:tc>
          <w:tcPr>
            <w:tcW w:w="945" w:type="dxa"/>
            <w:tcBorders>
              <w:top w:val="nil"/>
              <w:left w:val="nil"/>
              <w:bottom w:val="nil"/>
              <w:right w:val="nil"/>
            </w:tcBorders>
            <w:noWrap/>
            <w:vAlign w:val="bottom"/>
            <w:hideMark/>
          </w:tcPr>
          <w:p w14:paraId="1A494A1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177.29</w:t>
            </w:r>
          </w:p>
        </w:tc>
        <w:tc>
          <w:tcPr>
            <w:tcW w:w="1157" w:type="dxa"/>
            <w:tcBorders>
              <w:top w:val="nil"/>
              <w:left w:val="nil"/>
              <w:bottom w:val="nil"/>
              <w:right w:val="single" w:sz="4" w:space="0" w:color="auto"/>
            </w:tcBorders>
            <w:noWrap/>
            <w:vAlign w:val="bottom"/>
            <w:hideMark/>
          </w:tcPr>
          <w:p w14:paraId="08AD1D4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178.10</w:t>
            </w:r>
          </w:p>
        </w:tc>
        <w:tc>
          <w:tcPr>
            <w:tcW w:w="742" w:type="dxa"/>
            <w:tcBorders>
              <w:top w:val="nil"/>
              <w:left w:val="nil"/>
              <w:bottom w:val="nil"/>
              <w:right w:val="nil"/>
            </w:tcBorders>
            <w:noWrap/>
            <w:vAlign w:val="bottom"/>
            <w:hideMark/>
          </w:tcPr>
          <w:p w14:paraId="7449892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16.90</w:t>
            </w:r>
          </w:p>
        </w:tc>
        <w:tc>
          <w:tcPr>
            <w:tcW w:w="970" w:type="dxa"/>
            <w:tcBorders>
              <w:top w:val="nil"/>
              <w:left w:val="nil"/>
              <w:bottom w:val="nil"/>
              <w:right w:val="nil"/>
            </w:tcBorders>
            <w:noWrap/>
            <w:vAlign w:val="bottom"/>
            <w:hideMark/>
          </w:tcPr>
          <w:p w14:paraId="441FA53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14.78</w:t>
            </w:r>
          </w:p>
        </w:tc>
        <w:tc>
          <w:tcPr>
            <w:tcW w:w="970" w:type="dxa"/>
            <w:tcBorders>
              <w:top w:val="nil"/>
              <w:left w:val="nil"/>
              <w:bottom w:val="nil"/>
              <w:right w:val="nil"/>
            </w:tcBorders>
            <w:noWrap/>
            <w:vAlign w:val="bottom"/>
            <w:hideMark/>
          </w:tcPr>
          <w:p w14:paraId="0D12E99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13.30</w:t>
            </w:r>
          </w:p>
        </w:tc>
        <w:tc>
          <w:tcPr>
            <w:tcW w:w="1188" w:type="dxa"/>
            <w:tcBorders>
              <w:top w:val="nil"/>
              <w:left w:val="nil"/>
              <w:bottom w:val="nil"/>
              <w:right w:val="single" w:sz="4" w:space="0" w:color="auto"/>
            </w:tcBorders>
            <w:noWrap/>
            <w:vAlign w:val="bottom"/>
            <w:hideMark/>
          </w:tcPr>
          <w:p w14:paraId="2998ADF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16.09</w:t>
            </w:r>
          </w:p>
        </w:tc>
        <w:tc>
          <w:tcPr>
            <w:tcW w:w="821" w:type="dxa"/>
            <w:tcBorders>
              <w:top w:val="nil"/>
              <w:left w:val="nil"/>
              <w:bottom w:val="nil"/>
              <w:right w:val="nil"/>
            </w:tcBorders>
            <w:noWrap/>
            <w:vAlign w:val="bottom"/>
            <w:hideMark/>
          </w:tcPr>
          <w:p w14:paraId="61576BB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267.80</w:t>
            </w:r>
          </w:p>
        </w:tc>
        <w:tc>
          <w:tcPr>
            <w:tcW w:w="945" w:type="dxa"/>
            <w:tcBorders>
              <w:top w:val="nil"/>
              <w:left w:val="nil"/>
              <w:bottom w:val="nil"/>
              <w:right w:val="nil"/>
            </w:tcBorders>
            <w:noWrap/>
            <w:vAlign w:val="bottom"/>
            <w:hideMark/>
          </w:tcPr>
          <w:p w14:paraId="71CD580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250.61</w:t>
            </w:r>
          </w:p>
        </w:tc>
        <w:tc>
          <w:tcPr>
            <w:tcW w:w="945" w:type="dxa"/>
            <w:tcBorders>
              <w:top w:val="nil"/>
              <w:left w:val="nil"/>
              <w:bottom w:val="nil"/>
              <w:right w:val="nil"/>
            </w:tcBorders>
            <w:noWrap/>
            <w:vAlign w:val="bottom"/>
            <w:hideMark/>
          </w:tcPr>
          <w:p w14:paraId="6DB5DB2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257.39</w:t>
            </w:r>
          </w:p>
        </w:tc>
        <w:tc>
          <w:tcPr>
            <w:tcW w:w="1157" w:type="dxa"/>
            <w:tcBorders>
              <w:top w:val="nil"/>
              <w:left w:val="nil"/>
              <w:bottom w:val="nil"/>
              <w:right w:val="nil"/>
            </w:tcBorders>
            <w:noWrap/>
            <w:vAlign w:val="bottom"/>
            <w:hideMark/>
          </w:tcPr>
          <w:p w14:paraId="74A466D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261.91</w:t>
            </w:r>
          </w:p>
        </w:tc>
      </w:tr>
      <w:tr w:rsidR="00EB4769" w:rsidRPr="00B92404" w14:paraId="64C75158" w14:textId="77777777" w:rsidTr="00D20749">
        <w:trPr>
          <w:trHeight w:val="288"/>
        </w:trPr>
        <w:tc>
          <w:tcPr>
            <w:tcW w:w="1206" w:type="dxa"/>
            <w:tcBorders>
              <w:top w:val="nil"/>
              <w:left w:val="nil"/>
              <w:bottom w:val="nil"/>
              <w:right w:val="single" w:sz="4" w:space="0" w:color="auto"/>
            </w:tcBorders>
            <w:noWrap/>
            <w:vAlign w:val="bottom"/>
            <w:hideMark/>
          </w:tcPr>
          <w:p w14:paraId="161F6FC8"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T5</w:t>
            </w:r>
          </w:p>
        </w:tc>
        <w:tc>
          <w:tcPr>
            <w:tcW w:w="821" w:type="dxa"/>
            <w:tcBorders>
              <w:top w:val="nil"/>
              <w:left w:val="nil"/>
              <w:bottom w:val="nil"/>
              <w:right w:val="nil"/>
            </w:tcBorders>
            <w:shd w:val="clear" w:color="000000" w:fill="FFFFFF"/>
            <w:noWrap/>
            <w:vAlign w:val="bottom"/>
            <w:hideMark/>
          </w:tcPr>
          <w:p w14:paraId="4F100BF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173.03</w:t>
            </w:r>
          </w:p>
        </w:tc>
        <w:tc>
          <w:tcPr>
            <w:tcW w:w="945" w:type="dxa"/>
            <w:tcBorders>
              <w:top w:val="nil"/>
              <w:left w:val="nil"/>
              <w:bottom w:val="nil"/>
              <w:right w:val="nil"/>
            </w:tcBorders>
            <w:noWrap/>
            <w:vAlign w:val="bottom"/>
            <w:hideMark/>
          </w:tcPr>
          <w:p w14:paraId="35A716E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161.77</w:t>
            </w:r>
          </w:p>
        </w:tc>
        <w:tc>
          <w:tcPr>
            <w:tcW w:w="945" w:type="dxa"/>
            <w:tcBorders>
              <w:top w:val="nil"/>
              <w:left w:val="nil"/>
              <w:bottom w:val="nil"/>
              <w:right w:val="nil"/>
            </w:tcBorders>
            <w:noWrap/>
            <w:vAlign w:val="bottom"/>
            <w:hideMark/>
          </w:tcPr>
          <w:p w14:paraId="6626B3D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171.95</w:t>
            </w:r>
          </w:p>
        </w:tc>
        <w:tc>
          <w:tcPr>
            <w:tcW w:w="1157" w:type="dxa"/>
            <w:tcBorders>
              <w:top w:val="nil"/>
              <w:left w:val="nil"/>
              <w:bottom w:val="nil"/>
              <w:right w:val="single" w:sz="4" w:space="0" w:color="auto"/>
            </w:tcBorders>
            <w:noWrap/>
            <w:vAlign w:val="bottom"/>
            <w:hideMark/>
          </w:tcPr>
          <w:p w14:paraId="75CF59E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180.85</w:t>
            </w:r>
          </w:p>
        </w:tc>
        <w:tc>
          <w:tcPr>
            <w:tcW w:w="742" w:type="dxa"/>
            <w:tcBorders>
              <w:top w:val="nil"/>
              <w:left w:val="nil"/>
              <w:bottom w:val="nil"/>
              <w:right w:val="nil"/>
            </w:tcBorders>
            <w:noWrap/>
            <w:vAlign w:val="bottom"/>
            <w:hideMark/>
          </w:tcPr>
          <w:p w14:paraId="2EBA238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16.04</w:t>
            </w:r>
          </w:p>
        </w:tc>
        <w:tc>
          <w:tcPr>
            <w:tcW w:w="970" w:type="dxa"/>
            <w:tcBorders>
              <w:top w:val="nil"/>
              <w:left w:val="nil"/>
              <w:bottom w:val="nil"/>
              <w:right w:val="nil"/>
            </w:tcBorders>
            <w:noWrap/>
            <w:vAlign w:val="bottom"/>
            <w:hideMark/>
          </w:tcPr>
          <w:p w14:paraId="35F2D0A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15.80</w:t>
            </w:r>
          </w:p>
        </w:tc>
        <w:tc>
          <w:tcPr>
            <w:tcW w:w="970" w:type="dxa"/>
            <w:tcBorders>
              <w:top w:val="nil"/>
              <w:left w:val="nil"/>
              <w:bottom w:val="nil"/>
              <w:right w:val="nil"/>
            </w:tcBorders>
            <w:noWrap/>
            <w:vAlign w:val="bottom"/>
            <w:hideMark/>
          </w:tcPr>
          <w:p w14:paraId="3F3AACB8"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15.01</w:t>
            </w:r>
          </w:p>
        </w:tc>
        <w:tc>
          <w:tcPr>
            <w:tcW w:w="1188" w:type="dxa"/>
            <w:tcBorders>
              <w:top w:val="nil"/>
              <w:left w:val="nil"/>
              <w:bottom w:val="nil"/>
              <w:right w:val="single" w:sz="4" w:space="0" w:color="auto"/>
            </w:tcBorders>
            <w:noWrap/>
            <w:vAlign w:val="bottom"/>
            <w:hideMark/>
          </w:tcPr>
          <w:p w14:paraId="4900EED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16.33</w:t>
            </w:r>
          </w:p>
        </w:tc>
        <w:tc>
          <w:tcPr>
            <w:tcW w:w="821" w:type="dxa"/>
            <w:tcBorders>
              <w:top w:val="nil"/>
              <w:left w:val="nil"/>
              <w:bottom w:val="nil"/>
              <w:right w:val="nil"/>
            </w:tcBorders>
            <w:noWrap/>
            <w:vAlign w:val="bottom"/>
            <w:hideMark/>
          </w:tcPr>
          <w:p w14:paraId="43D708A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264.96</w:t>
            </w:r>
          </w:p>
        </w:tc>
        <w:tc>
          <w:tcPr>
            <w:tcW w:w="945" w:type="dxa"/>
            <w:tcBorders>
              <w:top w:val="nil"/>
              <w:left w:val="nil"/>
              <w:bottom w:val="nil"/>
              <w:right w:val="nil"/>
            </w:tcBorders>
            <w:noWrap/>
            <w:vAlign w:val="bottom"/>
            <w:hideMark/>
          </w:tcPr>
          <w:p w14:paraId="2B735C5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252.23</w:t>
            </w:r>
          </w:p>
        </w:tc>
        <w:tc>
          <w:tcPr>
            <w:tcW w:w="945" w:type="dxa"/>
            <w:tcBorders>
              <w:top w:val="nil"/>
              <w:left w:val="nil"/>
              <w:bottom w:val="nil"/>
              <w:right w:val="nil"/>
            </w:tcBorders>
            <w:noWrap/>
            <w:vAlign w:val="bottom"/>
            <w:hideMark/>
          </w:tcPr>
          <w:p w14:paraId="03A92FA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259.60</w:t>
            </w:r>
          </w:p>
        </w:tc>
        <w:tc>
          <w:tcPr>
            <w:tcW w:w="1157" w:type="dxa"/>
            <w:tcBorders>
              <w:top w:val="nil"/>
              <w:left w:val="nil"/>
              <w:bottom w:val="nil"/>
              <w:right w:val="nil"/>
            </w:tcBorders>
            <w:noWrap/>
            <w:vAlign w:val="bottom"/>
            <w:hideMark/>
          </w:tcPr>
          <w:p w14:paraId="0C95AAD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273.85</w:t>
            </w:r>
          </w:p>
        </w:tc>
      </w:tr>
      <w:tr w:rsidR="00EB4769" w:rsidRPr="00B92404" w14:paraId="7B05DF0F" w14:textId="77777777" w:rsidTr="00D20749">
        <w:trPr>
          <w:trHeight w:val="288"/>
        </w:trPr>
        <w:tc>
          <w:tcPr>
            <w:tcW w:w="1206" w:type="dxa"/>
            <w:tcBorders>
              <w:top w:val="nil"/>
              <w:left w:val="nil"/>
              <w:bottom w:val="single" w:sz="4" w:space="0" w:color="auto"/>
              <w:right w:val="single" w:sz="4" w:space="0" w:color="auto"/>
            </w:tcBorders>
            <w:noWrap/>
            <w:vAlign w:val="bottom"/>
            <w:hideMark/>
          </w:tcPr>
          <w:p w14:paraId="4D887E00"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T6</w:t>
            </w:r>
          </w:p>
        </w:tc>
        <w:tc>
          <w:tcPr>
            <w:tcW w:w="821" w:type="dxa"/>
            <w:tcBorders>
              <w:top w:val="nil"/>
              <w:left w:val="nil"/>
              <w:bottom w:val="single" w:sz="4" w:space="0" w:color="auto"/>
              <w:right w:val="nil"/>
            </w:tcBorders>
            <w:shd w:val="clear" w:color="000000" w:fill="FFFFFF"/>
            <w:noWrap/>
            <w:vAlign w:val="bottom"/>
            <w:hideMark/>
          </w:tcPr>
          <w:p w14:paraId="0856A876" w14:textId="77777777" w:rsidR="00EB4769" w:rsidRPr="00EB4769" w:rsidRDefault="00EB4769" w:rsidP="00D20749">
            <w:pPr>
              <w:jc w:val="center"/>
              <w:rPr>
                <w:rFonts w:ascii="Arial" w:hAnsi="Arial" w:cs="Arial"/>
                <w:color w:val="000000"/>
                <w:lang w:eastAsia="en-IN" w:bidi="hi-IN"/>
              </w:rPr>
            </w:pPr>
            <w:commentRangeStart w:id="6"/>
            <w:r w:rsidRPr="00EB4769">
              <w:rPr>
                <w:rFonts w:ascii="Arial" w:hAnsi="Arial" w:cs="Arial"/>
                <w:color w:val="000000"/>
                <w:lang w:eastAsia="en-IN" w:bidi="hi-IN"/>
              </w:rPr>
              <w:t>179.09</w:t>
            </w:r>
          </w:p>
        </w:tc>
        <w:tc>
          <w:tcPr>
            <w:tcW w:w="945" w:type="dxa"/>
            <w:tcBorders>
              <w:top w:val="nil"/>
              <w:left w:val="nil"/>
              <w:bottom w:val="single" w:sz="4" w:space="0" w:color="auto"/>
              <w:right w:val="nil"/>
            </w:tcBorders>
            <w:noWrap/>
            <w:vAlign w:val="bottom"/>
            <w:hideMark/>
          </w:tcPr>
          <w:p w14:paraId="7F895DE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171.60</w:t>
            </w:r>
          </w:p>
        </w:tc>
        <w:tc>
          <w:tcPr>
            <w:tcW w:w="945" w:type="dxa"/>
            <w:tcBorders>
              <w:top w:val="nil"/>
              <w:left w:val="nil"/>
              <w:bottom w:val="single" w:sz="4" w:space="0" w:color="auto"/>
              <w:right w:val="nil"/>
            </w:tcBorders>
            <w:noWrap/>
            <w:vAlign w:val="bottom"/>
            <w:hideMark/>
          </w:tcPr>
          <w:p w14:paraId="53E4591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186.27</w:t>
            </w:r>
          </w:p>
        </w:tc>
        <w:tc>
          <w:tcPr>
            <w:tcW w:w="1157" w:type="dxa"/>
            <w:tcBorders>
              <w:top w:val="nil"/>
              <w:left w:val="nil"/>
              <w:bottom w:val="single" w:sz="4" w:space="0" w:color="auto"/>
              <w:right w:val="single" w:sz="4" w:space="0" w:color="auto"/>
            </w:tcBorders>
            <w:noWrap/>
            <w:vAlign w:val="bottom"/>
            <w:hideMark/>
          </w:tcPr>
          <w:p w14:paraId="7A3B5A1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191.77</w:t>
            </w:r>
            <w:commentRangeEnd w:id="6"/>
            <w:r w:rsidR="00060811">
              <w:rPr>
                <w:rStyle w:val="CommentReference"/>
                <w:rFonts w:ascii="Times New Roman" w:hAnsi="Times New Roman"/>
                <w:lang w:val="nb-NO" w:eastAsia="nb-NO"/>
              </w:rPr>
              <w:commentReference w:id="6"/>
            </w:r>
          </w:p>
        </w:tc>
        <w:tc>
          <w:tcPr>
            <w:tcW w:w="742" w:type="dxa"/>
            <w:tcBorders>
              <w:top w:val="nil"/>
              <w:left w:val="nil"/>
              <w:bottom w:val="single" w:sz="4" w:space="0" w:color="auto"/>
              <w:right w:val="nil"/>
            </w:tcBorders>
            <w:noWrap/>
            <w:vAlign w:val="bottom"/>
            <w:hideMark/>
          </w:tcPr>
          <w:p w14:paraId="51FD0DA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16.62</w:t>
            </w:r>
          </w:p>
        </w:tc>
        <w:tc>
          <w:tcPr>
            <w:tcW w:w="970" w:type="dxa"/>
            <w:tcBorders>
              <w:top w:val="nil"/>
              <w:left w:val="nil"/>
              <w:bottom w:val="single" w:sz="4" w:space="0" w:color="auto"/>
              <w:right w:val="nil"/>
            </w:tcBorders>
            <w:noWrap/>
            <w:vAlign w:val="bottom"/>
            <w:hideMark/>
          </w:tcPr>
          <w:p w14:paraId="7401E16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15.98</w:t>
            </w:r>
          </w:p>
        </w:tc>
        <w:tc>
          <w:tcPr>
            <w:tcW w:w="970" w:type="dxa"/>
            <w:tcBorders>
              <w:top w:val="nil"/>
              <w:left w:val="nil"/>
              <w:bottom w:val="single" w:sz="4" w:space="0" w:color="auto"/>
              <w:right w:val="nil"/>
            </w:tcBorders>
            <w:noWrap/>
            <w:vAlign w:val="bottom"/>
            <w:hideMark/>
          </w:tcPr>
          <w:p w14:paraId="073265C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16.51</w:t>
            </w:r>
          </w:p>
        </w:tc>
        <w:tc>
          <w:tcPr>
            <w:tcW w:w="1188" w:type="dxa"/>
            <w:tcBorders>
              <w:top w:val="nil"/>
              <w:left w:val="nil"/>
              <w:bottom w:val="single" w:sz="4" w:space="0" w:color="auto"/>
              <w:right w:val="single" w:sz="4" w:space="0" w:color="auto"/>
            </w:tcBorders>
            <w:noWrap/>
            <w:vAlign w:val="bottom"/>
            <w:hideMark/>
          </w:tcPr>
          <w:p w14:paraId="3376252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17.01</w:t>
            </w:r>
          </w:p>
        </w:tc>
        <w:tc>
          <w:tcPr>
            <w:tcW w:w="821" w:type="dxa"/>
            <w:tcBorders>
              <w:top w:val="nil"/>
              <w:left w:val="nil"/>
              <w:bottom w:val="single" w:sz="4" w:space="0" w:color="auto"/>
              <w:right w:val="nil"/>
            </w:tcBorders>
            <w:noWrap/>
            <w:vAlign w:val="bottom"/>
            <w:hideMark/>
          </w:tcPr>
          <w:p w14:paraId="567B4D8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265.47</w:t>
            </w:r>
          </w:p>
        </w:tc>
        <w:tc>
          <w:tcPr>
            <w:tcW w:w="945" w:type="dxa"/>
            <w:tcBorders>
              <w:top w:val="nil"/>
              <w:left w:val="nil"/>
              <w:bottom w:val="single" w:sz="4" w:space="0" w:color="auto"/>
              <w:right w:val="nil"/>
            </w:tcBorders>
            <w:noWrap/>
            <w:vAlign w:val="bottom"/>
            <w:hideMark/>
          </w:tcPr>
          <w:p w14:paraId="535A65D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253.51</w:t>
            </w:r>
          </w:p>
        </w:tc>
        <w:tc>
          <w:tcPr>
            <w:tcW w:w="945" w:type="dxa"/>
            <w:tcBorders>
              <w:top w:val="nil"/>
              <w:left w:val="nil"/>
              <w:bottom w:val="single" w:sz="4" w:space="0" w:color="auto"/>
              <w:right w:val="nil"/>
            </w:tcBorders>
            <w:noWrap/>
            <w:vAlign w:val="bottom"/>
            <w:hideMark/>
          </w:tcPr>
          <w:p w14:paraId="4E0210F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262.36</w:t>
            </w:r>
          </w:p>
        </w:tc>
        <w:tc>
          <w:tcPr>
            <w:tcW w:w="1157" w:type="dxa"/>
            <w:tcBorders>
              <w:top w:val="nil"/>
              <w:left w:val="nil"/>
              <w:bottom w:val="single" w:sz="4" w:space="0" w:color="auto"/>
              <w:right w:val="nil"/>
            </w:tcBorders>
            <w:noWrap/>
            <w:vAlign w:val="bottom"/>
            <w:hideMark/>
          </w:tcPr>
          <w:p w14:paraId="4050E8F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275.37</w:t>
            </w:r>
          </w:p>
        </w:tc>
      </w:tr>
      <w:tr w:rsidR="00EB4769" w:rsidRPr="00B92404" w14:paraId="37C757B0" w14:textId="77777777" w:rsidTr="00D20749">
        <w:trPr>
          <w:trHeight w:val="288"/>
        </w:trPr>
        <w:tc>
          <w:tcPr>
            <w:tcW w:w="1206" w:type="dxa"/>
            <w:tcBorders>
              <w:top w:val="nil"/>
              <w:left w:val="nil"/>
              <w:bottom w:val="nil"/>
              <w:right w:val="single" w:sz="4" w:space="0" w:color="auto"/>
            </w:tcBorders>
            <w:noWrap/>
            <w:vAlign w:val="center"/>
            <w:hideMark/>
          </w:tcPr>
          <w:p w14:paraId="2B4B3D68" w14:textId="77777777" w:rsidR="00EB4769" w:rsidRPr="00EB4769" w:rsidRDefault="00EB4769" w:rsidP="00D20749">
            <w:pPr>
              <w:rPr>
                <w:rFonts w:ascii="Arial" w:hAnsi="Arial" w:cs="Arial"/>
                <w:color w:val="000000"/>
                <w:lang w:eastAsia="en-IN" w:bidi="hi-IN"/>
              </w:rPr>
            </w:pPr>
            <w:proofErr w:type="spellStart"/>
            <w:proofErr w:type="gramStart"/>
            <w:r w:rsidRPr="00EB4769">
              <w:rPr>
                <w:rFonts w:ascii="Arial" w:hAnsi="Arial" w:cs="Arial"/>
                <w:color w:val="000000"/>
                <w:lang w:eastAsia="en-IN" w:bidi="hi-IN"/>
              </w:rPr>
              <w:t>SEm</w:t>
            </w:r>
            <w:proofErr w:type="spellEnd"/>
            <w:r w:rsidRPr="00EB4769">
              <w:rPr>
                <w:rFonts w:ascii="Arial" w:hAnsi="Arial" w:cs="Arial"/>
                <w:color w:val="000000"/>
                <w:lang w:eastAsia="en-IN" w:bidi="hi-IN"/>
              </w:rPr>
              <w:t>(</w:t>
            </w:r>
            <w:proofErr w:type="gramEnd"/>
            <w:r w:rsidRPr="00EB4769">
              <w:rPr>
                <w:rFonts w:ascii="Arial" w:hAnsi="Arial" w:cs="Arial"/>
                <w:color w:val="000000"/>
                <w:lang w:eastAsia="en-IN" w:bidi="hi-IN"/>
              </w:rPr>
              <w:t xml:space="preserve">±) </w:t>
            </w:r>
          </w:p>
        </w:tc>
        <w:tc>
          <w:tcPr>
            <w:tcW w:w="821" w:type="dxa"/>
            <w:tcBorders>
              <w:top w:val="nil"/>
              <w:left w:val="nil"/>
              <w:bottom w:val="nil"/>
              <w:right w:val="nil"/>
            </w:tcBorders>
            <w:shd w:val="clear" w:color="000000" w:fill="FFFFFF"/>
            <w:noWrap/>
            <w:vAlign w:val="bottom"/>
            <w:hideMark/>
          </w:tcPr>
          <w:p w14:paraId="007F9B7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7.81</w:t>
            </w:r>
          </w:p>
        </w:tc>
        <w:tc>
          <w:tcPr>
            <w:tcW w:w="945" w:type="dxa"/>
            <w:tcBorders>
              <w:top w:val="nil"/>
              <w:left w:val="nil"/>
              <w:bottom w:val="nil"/>
              <w:right w:val="nil"/>
            </w:tcBorders>
            <w:noWrap/>
            <w:vAlign w:val="bottom"/>
            <w:hideMark/>
          </w:tcPr>
          <w:p w14:paraId="3A7C1885"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3.77</w:t>
            </w:r>
          </w:p>
        </w:tc>
        <w:tc>
          <w:tcPr>
            <w:tcW w:w="945" w:type="dxa"/>
            <w:tcBorders>
              <w:top w:val="nil"/>
              <w:left w:val="nil"/>
              <w:bottom w:val="nil"/>
              <w:right w:val="nil"/>
            </w:tcBorders>
            <w:noWrap/>
            <w:vAlign w:val="bottom"/>
            <w:hideMark/>
          </w:tcPr>
          <w:p w14:paraId="45C57C8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3.48</w:t>
            </w:r>
          </w:p>
        </w:tc>
        <w:tc>
          <w:tcPr>
            <w:tcW w:w="1157" w:type="dxa"/>
            <w:tcBorders>
              <w:top w:val="nil"/>
              <w:left w:val="nil"/>
              <w:bottom w:val="nil"/>
              <w:right w:val="single" w:sz="4" w:space="0" w:color="auto"/>
            </w:tcBorders>
            <w:noWrap/>
            <w:vAlign w:val="bottom"/>
            <w:hideMark/>
          </w:tcPr>
          <w:p w14:paraId="444861E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3.96</w:t>
            </w:r>
          </w:p>
        </w:tc>
        <w:tc>
          <w:tcPr>
            <w:tcW w:w="742" w:type="dxa"/>
            <w:tcBorders>
              <w:top w:val="nil"/>
              <w:left w:val="nil"/>
              <w:bottom w:val="nil"/>
              <w:right w:val="nil"/>
            </w:tcBorders>
            <w:noWrap/>
            <w:vAlign w:val="bottom"/>
            <w:hideMark/>
          </w:tcPr>
          <w:p w14:paraId="27DFA5B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1.47</w:t>
            </w:r>
          </w:p>
        </w:tc>
        <w:tc>
          <w:tcPr>
            <w:tcW w:w="970" w:type="dxa"/>
            <w:tcBorders>
              <w:top w:val="nil"/>
              <w:left w:val="nil"/>
              <w:bottom w:val="nil"/>
              <w:right w:val="nil"/>
            </w:tcBorders>
            <w:noWrap/>
            <w:vAlign w:val="bottom"/>
            <w:hideMark/>
          </w:tcPr>
          <w:p w14:paraId="49E63BE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0.79</w:t>
            </w:r>
          </w:p>
        </w:tc>
        <w:tc>
          <w:tcPr>
            <w:tcW w:w="970" w:type="dxa"/>
            <w:tcBorders>
              <w:top w:val="nil"/>
              <w:left w:val="nil"/>
              <w:bottom w:val="nil"/>
              <w:right w:val="nil"/>
            </w:tcBorders>
            <w:noWrap/>
            <w:vAlign w:val="bottom"/>
            <w:hideMark/>
          </w:tcPr>
          <w:p w14:paraId="209594A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0.69</w:t>
            </w:r>
          </w:p>
        </w:tc>
        <w:tc>
          <w:tcPr>
            <w:tcW w:w="1188" w:type="dxa"/>
            <w:tcBorders>
              <w:top w:val="nil"/>
              <w:left w:val="nil"/>
              <w:bottom w:val="nil"/>
              <w:right w:val="single" w:sz="4" w:space="0" w:color="auto"/>
            </w:tcBorders>
            <w:noWrap/>
            <w:vAlign w:val="bottom"/>
            <w:hideMark/>
          </w:tcPr>
          <w:p w14:paraId="257525F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0.61</w:t>
            </w:r>
          </w:p>
        </w:tc>
        <w:tc>
          <w:tcPr>
            <w:tcW w:w="821" w:type="dxa"/>
            <w:tcBorders>
              <w:top w:val="nil"/>
              <w:left w:val="nil"/>
              <w:bottom w:val="nil"/>
              <w:right w:val="nil"/>
            </w:tcBorders>
            <w:noWrap/>
            <w:vAlign w:val="bottom"/>
            <w:hideMark/>
          </w:tcPr>
          <w:p w14:paraId="1A3F016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8.16</w:t>
            </w:r>
          </w:p>
        </w:tc>
        <w:tc>
          <w:tcPr>
            <w:tcW w:w="945" w:type="dxa"/>
            <w:tcBorders>
              <w:top w:val="nil"/>
              <w:left w:val="nil"/>
              <w:bottom w:val="nil"/>
              <w:right w:val="nil"/>
            </w:tcBorders>
            <w:noWrap/>
            <w:vAlign w:val="bottom"/>
            <w:hideMark/>
          </w:tcPr>
          <w:p w14:paraId="7E26740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4.74</w:t>
            </w:r>
          </w:p>
        </w:tc>
        <w:tc>
          <w:tcPr>
            <w:tcW w:w="945" w:type="dxa"/>
            <w:tcBorders>
              <w:top w:val="nil"/>
              <w:left w:val="nil"/>
              <w:bottom w:val="nil"/>
              <w:right w:val="nil"/>
            </w:tcBorders>
            <w:noWrap/>
            <w:vAlign w:val="bottom"/>
            <w:hideMark/>
          </w:tcPr>
          <w:p w14:paraId="243D608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2.92</w:t>
            </w:r>
          </w:p>
        </w:tc>
        <w:tc>
          <w:tcPr>
            <w:tcW w:w="1157" w:type="dxa"/>
            <w:tcBorders>
              <w:top w:val="nil"/>
              <w:left w:val="nil"/>
              <w:bottom w:val="nil"/>
              <w:right w:val="nil"/>
            </w:tcBorders>
            <w:noWrap/>
            <w:vAlign w:val="bottom"/>
            <w:hideMark/>
          </w:tcPr>
          <w:p w14:paraId="61ACA87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4.13</w:t>
            </w:r>
          </w:p>
        </w:tc>
      </w:tr>
      <w:tr w:rsidR="00EB4769" w:rsidRPr="00B92404" w14:paraId="6E6FBE17" w14:textId="77777777" w:rsidTr="00D20749">
        <w:trPr>
          <w:trHeight w:val="288"/>
        </w:trPr>
        <w:tc>
          <w:tcPr>
            <w:tcW w:w="1206" w:type="dxa"/>
            <w:tcBorders>
              <w:top w:val="nil"/>
              <w:left w:val="nil"/>
              <w:bottom w:val="single" w:sz="4" w:space="0" w:color="auto"/>
              <w:right w:val="single" w:sz="4" w:space="0" w:color="auto"/>
            </w:tcBorders>
            <w:noWrap/>
            <w:vAlign w:val="center"/>
            <w:hideMark/>
          </w:tcPr>
          <w:p w14:paraId="757BC3D7"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 xml:space="preserve">CD (0.05) </w:t>
            </w:r>
          </w:p>
        </w:tc>
        <w:tc>
          <w:tcPr>
            <w:tcW w:w="821" w:type="dxa"/>
            <w:tcBorders>
              <w:top w:val="nil"/>
              <w:left w:val="nil"/>
              <w:bottom w:val="single" w:sz="4" w:space="0" w:color="auto"/>
              <w:right w:val="nil"/>
            </w:tcBorders>
            <w:noWrap/>
            <w:vAlign w:val="bottom"/>
            <w:hideMark/>
          </w:tcPr>
          <w:p w14:paraId="2815053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45" w:type="dxa"/>
            <w:tcBorders>
              <w:top w:val="nil"/>
              <w:left w:val="nil"/>
              <w:bottom w:val="single" w:sz="4" w:space="0" w:color="auto"/>
              <w:right w:val="nil"/>
            </w:tcBorders>
            <w:noWrap/>
            <w:vAlign w:val="bottom"/>
            <w:hideMark/>
          </w:tcPr>
          <w:p w14:paraId="49750CD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11.04</w:t>
            </w:r>
          </w:p>
        </w:tc>
        <w:tc>
          <w:tcPr>
            <w:tcW w:w="945" w:type="dxa"/>
            <w:tcBorders>
              <w:top w:val="nil"/>
              <w:left w:val="nil"/>
              <w:bottom w:val="single" w:sz="4" w:space="0" w:color="auto"/>
              <w:right w:val="nil"/>
            </w:tcBorders>
            <w:noWrap/>
            <w:vAlign w:val="bottom"/>
            <w:hideMark/>
          </w:tcPr>
          <w:p w14:paraId="2A7A0DA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10.17</w:t>
            </w:r>
          </w:p>
        </w:tc>
        <w:tc>
          <w:tcPr>
            <w:tcW w:w="1157" w:type="dxa"/>
            <w:tcBorders>
              <w:top w:val="nil"/>
              <w:left w:val="nil"/>
              <w:bottom w:val="single" w:sz="4" w:space="0" w:color="auto"/>
              <w:right w:val="single" w:sz="4" w:space="0" w:color="auto"/>
            </w:tcBorders>
            <w:noWrap/>
            <w:vAlign w:val="bottom"/>
            <w:hideMark/>
          </w:tcPr>
          <w:p w14:paraId="276AF4C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11.59</w:t>
            </w:r>
          </w:p>
        </w:tc>
        <w:tc>
          <w:tcPr>
            <w:tcW w:w="742" w:type="dxa"/>
            <w:tcBorders>
              <w:top w:val="nil"/>
              <w:left w:val="nil"/>
              <w:bottom w:val="single" w:sz="4" w:space="0" w:color="auto"/>
              <w:right w:val="nil"/>
            </w:tcBorders>
            <w:noWrap/>
            <w:vAlign w:val="bottom"/>
            <w:hideMark/>
          </w:tcPr>
          <w:p w14:paraId="4D3D046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70" w:type="dxa"/>
            <w:tcBorders>
              <w:top w:val="nil"/>
              <w:left w:val="nil"/>
              <w:bottom w:val="single" w:sz="4" w:space="0" w:color="auto"/>
              <w:right w:val="nil"/>
            </w:tcBorders>
            <w:noWrap/>
            <w:vAlign w:val="bottom"/>
            <w:hideMark/>
          </w:tcPr>
          <w:p w14:paraId="38DDDCC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70" w:type="dxa"/>
            <w:tcBorders>
              <w:top w:val="nil"/>
              <w:left w:val="nil"/>
              <w:bottom w:val="single" w:sz="4" w:space="0" w:color="auto"/>
              <w:right w:val="nil"/>
            </w:tcBorders>
            <w:noWrap/>
            <w:vAlign w:val="bottom"/>
            <w:hideMark/>
          </w:tcPr>
          <w:p w14:paraId="326B621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2.03</w:t>
            </w:r>
          </w:p>
        </w:tc>
        <w:tc>
          <w:tcPr>
            <w:tcW w:w="1188" w:type="dxa"/>
            <w:tcBorders>
              <w:top w:val="nil"/>
              <w:left w:val="nil"/>
              <w:bottom w:val="single" w:sz="4" w:space="0" w:color="auto"/>
              <w:right w:val="single" w:sz="4" w:space="0" w:color="auto"/>
            </w:tcBorders>
            <w:noWrap/>
            <w:vAlign w:val="bottom"/>
            <w:hideMark/>
          </w:tcPr>
          <w:p w14:paraId="5C9F9F4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1.77</w:t>
            </w:r>
          </w:p>
        </w:tc>
        <w:tc>
          <w:tcPr>
            <w:tcW w:w="821" w:type="dxa"/>
            <w:tcBorders>
              <w:top w:val="nil"/>
              <w:left w:val="nil"/>
              <w:bottom w:val="single" w:sz="4" w:space="0" w:color="auto"/>
              <w:right w:val="nil"/>
            </w:tcBorders>
            <w:noWrap/>
            <w:vAlign w:val="bottom"/>
            <w:hideMark/>
          </w:tcPr>
          <w:p w14:paraId="72ADDE6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45" w:type="dxa"/>
            <w:tcBorders>
              <w:top w:val="nil"/>
              <w:left w:val="nil"/>
              <w:bottom w:val="single" w:sz="4" w:space="0" w:color="auto"/>
              <w:right w:val="nil"/>
            </w:tcBorders>
            <w:noWrap/>
            <w:vAlign w:val="bottom"/>
            <w:hideMark/>
          </w:tcPr>
          <w:p w14:paraId="1339E213"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13.87</w:t>
            </w:r>
          </w:p>
        </w:tc>
        <w:tc>
          <w:tcPr>
            <w:tcW w:w="945" w:type="dxa"/>
            <w:tcBorders>
              <w:top w:val="nil"/>
              <w:left w:val="nil"/>
              <w:bottom w:val="single" w:sz="4" w:space="0" w:color="auto"/>
              <w:right w:val="nil"/>
            </w:tcBorders>
            <w:noWrap/>
            <w:vAlign w:val="bottom"/>
            <w:hideMark/>
          </w:tcPr>
          <w:p w14:paraId="2EA29F7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8.54</w:t>
            </w:r>
          </w:p>
        </w:tc>
        <w:tc>
          <w:tcPr>
            <w:tcW w:w="1157" w:type="dxa"/>
            <w:tcBorders>
              <w:top w:val="nil"/>
              <w:left w:val="nil"/>
              <w:bottom w:val="single" w:sz="4" w:space="0" w:color="auto"/>
              <w:right w:val="nil"/>
            </w:tcBorders>
            <w:noWrap/>
            <w:vAlign w:val="bottom"/>
            <w:hideMark/>
          </w:tcPr>
          <w:p w14:paraId="2FCD34C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12.07</w:t>
            </w:r>
          </w:p>
        </w:tc>
      </w:tr>
    </w:tbl>
    <w:p w14:paraId="0CACBE6E" w14:textId="77777777" w:rsidR="00EB4769" w:rsidRPr="00006EF3" w:rsidRDefault="00EB4769" w:rsidP="00EB4769">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07E5823A" w14:textId="77777777" w:rsidR="00EB4769" w:rsidRDefault="00EB4769" w:rsidP="00441B6F">
      <w:pPr>
        <w:pStyle w:val="Appendix"/>
        <w:spacing w:after="0"/>
        <w:jc w:val="both"/>
        <w:rPr>
          <w:rFonts w:ascii="Arial" w:hAnsi="Arial" w:cs="Arial"/>
          <w:b w:val="0"/>
        </w:rPr>
        <w:sectPr w:rsidR="00EB4769" w:rsidSect="004A4045">
          <w:pgSz w:w="15840" w:h="12240" w:orient="landscape"/>
          <w:pgMar w:top="720" w:right="720" w:bottom="720" w:left="720" w:header="720" w:footer="720" w:gutter="0"/>
          <w:cols w:space="720"/>
          <w:docGrid w:linePitch="360"/>
        </w:sectPr>
      </w:pPr>
    </w:p>
    <w:p w14:paraId="7763A7F1" w14:textId="77777777" w:rsidR="00B01FCD" w:rsidRDefault="00B01FCD" w:rsidP="00441B6F">
      <w:pPr>
        <w:pStyle w:val="Appendix"/>
        <w:spacing w:after="0"/>
        <w:jc w:val="both"/>
        <w:rPr>
          <w:rFonts w:ascii="Arial" w:hAnsi="Arial" w:cs="Arial"/>
          <w:b w:val="0"/>
        </w:rPr>
      </w:pPr>
    </w:p>
    <w:p w14:paraId="31E48F19" w14:textId="77777777" w:rsidR="00EB4769" w:rsidRDefault="00EB4769" w:rsidP="00EB4769">
      <w:pPr>
        <w:jc w:val="both"/>
        <w:rPr>
          <w:rFonts w:ascii="Arial" w:hAnsi="Arial" w:cs="Arial"/>
          <w:sz w:val="22"/>
          <w:szCs w:val="22"/>
          <w:lang w:eastAsia="en-IN" w:bidi="hi-IN"/>
        </w:rPr>
      </w:pPr>
      <w:r w:rsidRPr="00EB4769">
        <w:rPr>
          <w:rFonts w:ascii="Arial" w:hAnsi="Arial" w:cs="Arial"/>
          <w:sz w:val="22"/>
          <w:szCs w:val="22"/>
        </w:rPr>
        <w:t xml:space="preserve">Table3: Effect of various nutrient management approaches on Growth attributes of rice </w:t>
      </w:r>
      <w:r w:rsidRPr="00EB4769">
        <w:rPr>
          <w:rFonts w:ascii="Arial" w:hAnsi="Arial" w:cs="Arial"/>
          <w:sz w:val="22"/>
          <w:szCs w:val="22"/>
          <w:lang w:eastAsia="en-IN" w:bidi="hi-IN"/>
        </w:rPr>
        <w:t>during different growth stages.</w:t>
      </w:r>
    </w:p>
    <w:p w14:paraId="55261C36" w14:textId="77777777" w:rsidR="00D908BF" w:rsidRDefault="00D908BF" w:rsidP="00EB4769">
      <w:pPr>
        <w:jc w:val="both"/>
        <w:rPr>
          <w:rFonts w:ascii="Arial" w:hAnsi="Arial" w:cs="Arial"/>
          <w:sz w:val="22"/>
          <w:szCs w:val="22"/>
          <w:lang w:eastAsia="en-IN" w:bidi="hi-IN"/>
        </w:rPr>
      </w:pPr>
    </w:p>
    <w:p w14:paraId="0339E164" w14:textId="77777777" w:rsidR="00D908BF" w:rsidRPr="00EB4769" w:rsidRDefault="00D908BF" w:rsidP="00EB4769">
      <w:pPr>
        <w:jc w:val="both"/>
        <w:rPr>
          <w:rFonts w:ascii="Arial" w:hAnsi="Arial" w:cs="Arial"/>
          <w:sz w:val="22"/>
          <w:szCs w:val="22"/>
          <w:lang w:eastAsia="en-IN" w:bidi="hi-IN"/>
        </w:rPr>
      </w:pPr>
    </w:p>
    <w:tbl>
      <w:tblPr>
        <w:tblpPr w:leftFromText="180" w:rightFromText="180" w:vertAnchor="page" w:horzAnchor="margin" w:tblpXSpec="center" w:tblpY="1813"/>
        <w:tblW w:w="10349" w:type="dxa"/>
        <w:tblLook w:val="04A0" w:firstRow="1" w:lastRow="0" w:firstColumn="1" w:lastColumn="0" w:noHBand="0" w:noVBand="1"/>
      </w:tblPr>
      <w:tblGrid>
        <w:gridCol w:w="1728"/>
        <w:gridCol w:w="920"/>
        <w:gridCol w:w="920"/>
        <w:gridCol w:w="1201"/>
        <w:gridCol w:w="1029"/>
        <w:gridCol w:w="1028"/>
        <w:gridCol w:w="1343"/>
        <w:gridCol w:w="1119"/>
        <w:gridCol w:w="1061"/>
      </w:tblGrid>
      <w:tr w:rsidR="00EB4769" w:rsidRPr="00B92404" w14:paraId="0EB6562F" w14:textId="77777777" w:rsidTr="00EB4769">
        <w:trPr>
          <w:trHeight w:val="288"/>
        </w:trPr>
        <w:tc>
          <w:tcPr>
            <w:tcW w:w="1728" w:type="dxa"/>
            <w:vMerge w:val="restart"/>
            <w:tcBorders>
              <w:top w:val="single" w:sz="4" w:space="0" w:color="auto"/>
              <w:left w:val="nil"/>
              <w:bottom w:val="single" w:sz="4" w:space="0" w:color="000000"/>
              <w:right w:val="nil"/>
            </w:tcBorders>
            <w:noWrap/>
            <w:vAlign w:val="bottom"/>
            <w:hideMark/>
          </w:tcPr>
          <w:p w14:paraId="4B67F6C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Treatments</w:t>
            </w:r>
          </w:p>
        </w:tc>
        <w:tc>
          <w:tcPr>
            <w:tcW w:w="3041" w:type="dxa"/>
            <w:gridSpan w:val="3"/>
            <w:tcBorders>
              <w:top w:val="single" w:sz="4" w:space="0" w:color="auto"/>
              <w:left w:val="single" w:sz="4" w:space="0" w:color="auto"/>
              <w:bottom w:val="single" w:sz="4" w:space="0" w:color="auto"/>
              <w:right w:val="single" w:sz="4" w:space="0" w:color="000000"/>
            </w:tcBorders>
            <w:noWrap/>
            <w:vAlign w:val="bottom"/>
            <w:hideMark/>
          </w:tcPr>
          <w:p w14:paraId="6E740D2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Plant height (cm)</w:t>
            </w:r>
          </w:p>
        </w:tc>
        <w:tc>
          <w:tcPr>
            <w:tcW w:w="3400" w:type="dxa"/>
            <w:gridSpan w:val="3"/>
            <w:tcBorders>
              <w:top w:val="single" w:sz="4" w:space="0" w:color="auto"/>
              <w:left w:val="nil"/>
              <w:bottom w:val="single" w:sz="4" w:space="0" w:color="auto"/>
              <w:right w:val="single" w:sz="4" w:space="0" w:color="000000"/>
            </w:tcBorders>
            <w:noWrap/>
            <w:vAlign w:val="bottom"/>
            <w:hideMark/>
          </w:tcPr>
          <w:p w14:paraId="7529BB5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DMA (g m</w:t>
            </w:r>
            <w:r w:rsidRPr="008D36E3">
              <w:rPr>
                <w:rFonts w:ascii="Arial" w:hAnsi="Arial" w:cs="Arial"/>
                <w:color w:val="000000"/>
                <w:vertAlign w:val="superscript"/>
                <w:lang w:eastAsia="en-IN" w:bidi="hi-IN"/>
              </w:rPr>
              <w:t>-2</w:t>
            </w:r>
            <w:r w:rsidRPr="008D36E3">
              <w:rPr>
                <w:rFonts w:ascii="Arial" w:hAnsi="Arial" w:cs="Arial"/>
                <w:color w:val="000000"/>
                <w:lang w:eastAsia="en-IN" w:bidi="hi-IN"/>
              </w:rPr>
              <w:t>)</w:t>
            </w:r>
          </w:p>
        </w:tc>
        <w:tc>
          <w:tcPr>
            <w:tcW w:w="2180" w:type="dxa"/>
            <w:gridSpan w:val="2"/>
            <w:tcBorders>
              <w:top w:val="single" w:sz="4" w:space="0" w:color="auto"/>
              <w:left w:val="nil"/>
              <w:bottom w:val="single" w:sz="4" w:space="0" w:color="auto"/>
              <w:right w:val="nil"/>
            </w:tcBorders>
            <w:noWrap/>
            <w:vAlign w:val="bottom"/>
            <w:hideMark/>
          </w:tcPr>
          <w:p w14:paraId="5D0472D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CGR</w:t>
            </w:r>
            <w:r w:rsidRPr="008D36E3">
              <w:rPr>
                <w:rFonts w:ascii="Arial" w:hAnsi="Arial" w:cs="Arial"/>
              </w:rPr>
              <w:t xml:space="preserve"> (g m</w:t>
            </w:r>
            <w:r w:rsidRPr="008D36E3">
              <w:rPr>
                <w:rFonts w:ascii="Arial" w:hAnsi="Arial" w:cs="Arial"/>
                <w:vertAlign w:val="superscript"/>
              </w:rPr>
              <w:t xml:space="preserve">-2 </w:t>
            </w:r>
            <w:r w:rsidRPr="008D36E3">
              <w:rPr>
                <w:rFonts w:ascii="Arial" w:hAnsi="Arial" w:cs="Arial"/>
              </w:rPr>
              <w:t>day</w:t>
            </w:r>
            <w:r w:rsidRPr="008D36E3">
              <w:rPr>
                <w:rFonts w:ascii="Arial" w:hAnsi="Arial" w:cs="Arial"/>
                <w:vertAlign w:val="superscript"/>
              </w:rPr>
              <w:t>-1</w:t>
            </w:r>
            <w:r w:rsidRPr="008D36E3">
              <w:rPr>
                <w:rFonts w:ascii="Arial" w:hAnsi="Arial" w:cs="Arial"/>
              </w:rPr>
              <w:t>)</w:t>
            </w:r>
          </w:p>
        </w:tc>
      </w:tr>
      <w:tr w:rsidR="00EB4769" w:rsidRPr="00B92404" w14:paraId="05BB9C01" w14:textId="77777777" w:rsidTr="00EB4769">
        <w:trPr>
          <w:trHeight w:val="288"/>
        </w:trPr>
        <w:tc>
          <w:tcPr>
            <w:tcW w:w="1728" w:type="dxa"/>
            <w:vMerge/>
            <w:tcBorders>
              <w:top w:val="single" w:sz="4" w:space="0" w:color="auto"/>
              <w:left w:val="nil"/>
              <w:bottom w:val="single" w:sz="4" w:space="0" w:color="000000"/>
              <w:right w:val="nil"/>
            </w:tcBorders>
            <w:vAlign w:val="center"/>
            <w:hideMark/>
          </w:tcPr>
          <w:p w14:paraId="041505C5" w14:textId="77777777" w:rsidR="00EB4769" w:rsidRPr="008D36E3" w:rsidRDefault="00EB4769" w:rsidP="00EB4769">
            <w:pPr>
              <w:rPr>
                <w:rFonts w:ascii="Arial" w:hAnsi="Arial" w:cs="Arial"/>
                <w:color w:val="000000"/>
                <w:lang w:eastAsia="en-IN" w:bidi="hi-IN"/>
              </w:rPr>
            </w:pPr>
          </w:p>
        </w:tc>
        <w:tc>
          <w:tcPr>
            <w:tcW w:w="920" w:type="dxa"/>
            <w:tcBorders>
              <w:top w:val="nil"/>
              <w:left w:val="single" w:sz="4" w:space="0" w:color="auto"/>
              <w:bottom w:val="single" w:sz="4" w:space="0" w:color="auto"/>
              <w:right w:val="nil"/>
            </w:tcBorders>
            <w:noWrap/>
            <w:vAlign w:val="bottom"/>
            <w:hideMark/>
          </w:tcPr>
          <w:p w14:paraId="358B0EF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 DAT</w:t>
            </w:r>
          </w:p>
        </w:tc>
        <w:tc>
          <w:tcPr>
            <w:tcW w:w="920" w:type="dxa"/>
            <w:tcBorders>
              <w:top w:val="nil"/>
              <w:left w:val="nil"/>
              <w:bottom w:val="single" w:sz="4" w:space="0" w:color="auto"/>
              <w:right w:val="nil"/>
            </w:tcBorders>
            <w:noWrap/>
            <w:vAlign w:val="bottom"/>
            <w:hideMark/>
          </w:tcPr>
          <w:p w14:paraId="32CAD12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60 DAT</w:t>
            </w:r>
          </w:p>
        </w:tc>
        <w:tc>
          <w:tcPr>
            <w:tcW w:w="1201" w:type="dxa"/>
            <w:tcBorders>
              <w:top w:val="nil"/>
              <w:left w:val="nil"/>
              <w:bottom w:val="single" w:sz="4" w:space="0" w:color="auto"/>
              <w:right w:val="single" w:sz="4" w:space="0" w:color="auto"/>
            </w:tcBorders>
            <w:noWrap/>
            <w:vAlign w:val="bottom"/>
            <w:hideMark/>
          </w:tcPr>
          <w:p w14:paraId="29C5DB4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At Harvest</w:t>
            </w:r>
          </w:p>
        </w:tc>
        <w:tc>
          <w:tcPr>
            <w:tcW w:w="1029" w:type="dxa"/>
            <w:tcBorders>
              <w:top w:val="nil"/>
              <w:left w:val="nil"/>
              <w:bottom w:val="single" w:sz="4" w:space="0" w:color="auto"/>
              <w:right w:val="nil"/>
            </w:tcBorders>
            <w:noWrap/>
            <w:vAlign w:val="bottom"/>
            <w:hideMark/>
          </w:tcPr>
          <w:p w14:paraId="267AB33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 DAT</w:t>
            </w:r>
          </w:p>
        </w:tc>
        <w:tc>
          <w:tcPr>
            <w:tcW w:w="1028" w:type="dxa"/>
            <w:tcBorders>
              <w:top w:val="nil"/>
              <w:left w:val="nil"/>
              <w:bottom w:val="single" w:sz="4" w:space="0" w:color="auto"/>
              <w:right w:val="nil"/>
            </w:tcBorders>
            <w:noWrap/>
            <w:vAlign w:val="bottom"/>
            <w:hideMark/>
          </w:tcPr>
          <w:p w14:paraId="4C39750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60 DAT</w:t>
            </w:r>
          </w:p>
        </w:tc>
        <w:tc>
          <w:tcPr>
            <w:tcW w:w="1343" w:type="dxa"/>
            <w:tcBorders>
              <w:top w:val="nil"/>
              <w:left w:val="nil"/>
              <w:bottom w:val="single" w:sz="4" w:space="0" w:color="auto"/>
              <w:right w:val="single" w:sz="4" w:space="0" w:color="auto"/>
            </w:tcBorders>
            <w:noWrap/>
            <w:vAlign w:val="bottom"/>
            <w:hideMark/>
          </w:tcPr>
          <w:p w14:paraId="534B950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At Harvest</w:t>
            </w:r>
          </w:p>
        </w:tc>
        <w:tc>
          <w:tcPr>
            <w:tcW w:w="1119" w:type="dxa"/>
            <w:tcBorders>
              <w:top w:val="nil"/>
              <w:left w:val="nil"/>
              <w:bottom w:val="single" w:sz="4" w:space="0" w:color="auto"/>
              <w:right w:val="nil"/>
            </w:tcBorders>
            <w:noWrap/>
            <w:vAlign w:val="bottom"/>
            <w:hideMark/>
          </w:tcPr>
          <w:p w14:paraId="15A07D8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30-60 DAT</w:t>
            </w:r>
          </w:p>
        </w:tc>
        <w:tc>
          <w:tcPr>
            <w:tcW w:w="1061" w:type="dxa"/>
            <w:tcBorders>
              <w:top w:val="nil"/>
              <w:left w:val="nil"/>
              <w:bottom w:val="single" w:sz="4" w:space="0" w:color="auto"/>
              <w:right w:val="nil"/>
            </w:tcBorders>
            <w:noWrap/>
            <w:vAlign w:val="bottom"/>
            <w:hideMark/>
          </w:tcPr>
          <w:p w14:paraId="48FBFA3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60-90DAT</w:t>
            </w:r>
          </w:p>
        </w:tc>
      </w:tr>
      <w:tr w:rsidR="00EB4769" w:rsidRPr="00B92404" w14:paraId="37E85093" w14:textId="77777777" w:rsidTr="00EB4769">
        <w:trPr>
          <w:trHeight w:val="288"/>
        </w:trPr>
        <w:tc>
          <w:tcPr>
            <w:tcW w:w="1728" w:type="dxa"/>
            <w:tcBorders>
              <w:top w:val="nil"/>
              <w:left w:val="nil"/>
              <w:bottom w:val="nil"/>
              <w:right w:val="nil"/>
            </w:tcBorders>
            <w:noWrap/>
            <w:vAlign w:val="bottom"/>
            <w:hideMark/>
          </w:tcPr>
          <w:p w14:paraId="095C7B6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T1</w:t>
            </w:r>
          </w:p>
        </w:tc>
        <w:tc>
          <w:tcPr>
            <w:tcW w:w="920" w:type="dxa"/>
            <w:tcBorders>
              <w:top w:val="nil"/>
              <w:left w:val="single" w:sz="4" w:space="0" w:color="auto"/>
              <w:bottom w:val="nil"/>
              <w:right w:val="nil"/>
            </w:tcBorders>
            <w:noWrap/>
            <w:vAlign w:val="bottom"/>
            <w:hideMark/>
          </w:tcPr>
          <w:p w14:paraId="3BF7CCC1"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41.08</w:t>
            </w:r>
          </w:p>
        </w:tc>
        <w:tc>
          <w:tcPr>
            <w:tcW w:w="920" w:type="dxa"/>
            <w:tcBorders>
              <w:top w:val="nil"/>
              <w:left w:val="nil"/>
              <w:bottom w:val="nil"/>
              <w:right w:val="nil"/>
            </w:tcBorders>
            <w:noWrap/>
            <w:vAlign w:val="bottom"/>
            <w:hideMark/>
          </w:tcPr>
          <w:p w14:paraId="2C76DEE2"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54.08</w:t>
            </w:r>
          </w:p>
        </w:tc>
        <w:tc>
          <w:tcPr>
            <w:tcW w:w="1201" w:type="dxa"/>
            <w:tcBorders>
              <w:top w:val="nil"/>
              <w:left w:val="nil"/>
              <w:bottom w:val="nil"/>
              <w:right w:val="single" w:sz="4" w:space="0" w:color="auto"/>
            </w:tcBorders>
            <w:noWrap/>
            <w:vAlign w:val="bottom"/>
            <w:hideMark/>
          </w:tcPr>
          <w:p w14:paraId="6751449D"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84.50</w:t>
            </w:r>
          </w:p>
        </w:tc>
        <w:tc>
          <w:tcPr>
            <w:tcW w:w="1029" w:type="dxa"/>
            <w:tcBorders>
              <w:top w:val="nil"/>
              <w:left w:val="nil"/>
              <w:bottom w:val="nil"/>
              <w:right w:val="nil"/>
            </w:tcBorders>
            <w:noWrap/>
            <w:vAlign w:val="bottom"/>
            <w:hideMark/>
          </w:tcPr>
          <w:p w14:paraId="33C223F0"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110.52</w:t>
            </w:r>
          </w:p>
        </w:tc>
        <w:tc>
          <w:tcPr>
            <w:tcW w:w="1028" w:type="dxa"/>
            <w:tcBorders>
              <w:top w:val="nil"/>
              <w:left w:val="nil"/>
              <w:bottom w:val="nil"/>
              <w:right w:val="nil"/>
            </w:tcBorders>
            <w:noWrap/>
            <w:vAlign w:val="bottom"/>
            <w:hideMark/>
          </w:tcPr>
          <w:p w14:paraId="39E96D0E"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358.23</w:t>
            </w:r>
          </w:p>
        </w:tc>
        <w:tc>
          <w:tcPr>
            <w:tcW w:w="1343" w:type="dxa"/>
            <w:tcBorders>
              <w:top w:val="nil"/>
              <w:left w:val="nil"/>
              <w:bottom w:val="nil"/>
              <w:right w:val="single" w:sz="4" w:space="0" w:color="auto"/>
            </w:tcBorders>
            <w:noWrap/>
            <w:vAlign w:val="bottom"/>
            <w:hideMark/>
          </w:tcPr>
          <w:p w14:paraId="4B0974C6"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625.67</w:t>
            </w:r>
          </w:p>
        </w:tc>
        <w:tc>
          <w:tcPr>
            <w:tcW w:w="1119" w:type="dxa"/>
            <w:tcBorders>
              <w:top w:val="nil"/>
              <w:left w:val="nil"/>
              <w:bottom w:val="nil"/>
              <w:right w:val="nil"/>
            </w:tcBorders>
            <w:noWrap/>
            <w:vAlign w:val="bottom"/>
            <w:hideMark/>
          </w:tcPr>
          <w:p w14:paraId="44D19CBB"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8.26</w:t>
            </w:r>
          </w:p>
        </w:tc>
        <w:tc>
          <w:tcPr>
            <w:tcW w:w="1061" w:type="dxa"/>
            <w:tcBorders>
              <w:top w:val="nil"/>
              <w:left w:val="nil"/>
              <w:bottom w:val="nil"/>
              <w:right w:val="nil"/>
            </w:tcBorders>
            <w:noWrap/>
            <w:vAlign w:val="bottom"/>
            <w:hideMark/>
          </w:tcPr>
          <w:p w14:paraId="387692BE"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8.91</w:t>
            </w:r>
          </w:p>
        </w:tc>
      </w:tr>
      <w:tr w:rsidR="00EB4769" w:rsidRPr="00B92404" w14:paraId="5C6A2379" w14:textId="77777777" w:rsidTr="00EB4769">
        <w:trPr>
          <w:trHeight w:val="288"/>
        </w:trPr>
        <w:tc>
          <w:tcPr>
            <w:tcW w:w="1728" w:type="dxa"/>
            <w:tcBorders>
              <w:top w:val="nil"/>
              <w:left w:val="nil"/>
              <w:bottom w:val="nil"/>
              <w:right w:val="nil"/>
            </w:tcBorders>
            <w:noWrap/>
            <w:vAlign w:val="bottom"/>
            <w:hideMark/>
          </w:tcPr>
          <w:p w14:paraId="6667F12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T2</w:t>
            </w:r>
          </w:p>
        </w:tc>
        <w:tc>
          <w:tcPr>
            <w:tcW w:w="920" w:type="dxa"/>
            <w:tcBorders>
              <w:top w:val="nil"/>
              <w:left w:val="single" w:sz="4" w:space="0" w:color="auto"/>
              <w:bottom w:val="nil"/>
              <w:right w:val="nil"/>
            </w:tcBorders>
            <w:noWrap/>
            <w:vAlign w:val="bottom"/>
            <w:hideMark/>
          </w:tcPr>
          <w:p w14:paraId="3C9BC95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49.71</w:t>
            </w:r>
          </w:p>
        </w:tc>
        <w:tc>
          <w:tcPr>
            <w:tcW w:w="920" w:type="dxa"/>
            <w:tcBorders>
              <w:top w:val="nil"/>
              <w:left w:val="nil"/>
              <w:bottom w:val="nil"/>
              <w:right w:val="nil"/>
            </w:tcBorders>
            <w:noWrap/>
            <w:vAlign w:val="bottom"/>
            <w:hideMark/>
          </w:tcPr>
          <w:p w14:paraId="3F8752A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64.86</w:t>
            </w:r>
          </w:p>
        </w:tc>
        <w:tc>
          <w:tcPr>
            <w:tcW w:w="1201" w:type="dxa"/>
            <w:tcBorders>
              <w:top w:val="nil"/>
              <w:left w:val="nil"/>
              <w:bottom w:val="nil"/>
              <w:right w:val="single" w:sz="4" w:space="0" w:color="auto"/>
            </w:tcBorders>
            <w:noWrap/>
            <w:vAlign w:val="bottom"/>
            <w:hideMark/>
          </w:tcPr>
          <w:p w14:paraId="457B119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94.86</w:t>
            </w:r>
          </w:p>
        </w:tc>
        <w:tc>
          <w:tcPr>
            <w:tcW w:w="1029" w:type="dxa"/>
            <w:tcBorders>
              <w:top w:val="nil"/>
              <w:left w:val="nil"/>
              <w:bottom w:val="nil"/>
              <w:right w:val="nil"/>
            </w:tcBorders>
            <w:noWrap/>
            <w:vAlign w:val="bottom"/>
            <w:hideMark/>
          </w:tcPr>
          <w:p w14:paraId="1D5F5CF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181.05</w:t>
            </w:r>
          </w:p>
        </w:tc>
        <w:tc>
          <w:tcPr>
            <w:tcW w:w="1028" w:type="dxa"/>
            <w:tcBorders>
              <w:top w:val="nil"/>
              <w:left w:val="nil"/>
              <w:bottom w:val="nil"/>
              <w:right w:val="nil"/>
            </w:tcBorders>
            <w:noWrap/>
            <w:vAlign w:val="bottom"/>
            <w:hideMark/>
          </w:tcPr>
          <w:p w14:paraId="6E7D907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472.05</w:t>
            </w:r>
          </w:p>
        </w:tc>
        <w:tc>
          <w:tcPr>
            <w:tcW w:w="1343" w:type="dxa"/>
            <w:tcBorders>
              <w:top w:val="nil"/>
              <w:left w:val="nil"/>
              <w:bottom w:val="nil"/>
              <w:right w:val="single" w:sz="4" w:space="0" w:color="auto"/>
            </w:tcBorders>
            <w:noWrap/>
            <w:vAlign w:val="bottom"/>
            <w:hideMark/>
          </w:tcPr>
          <w:p w14:paraId="621D372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994.79</w:t>
            </w:r>
          </w:p>
        </w:tc>
        <w:tc>
          <w:tcPr>
            <w:tcW w:w="1119" w:type="dxa"/>
            <w:tcBorders>
              <w:top w:val="nil"/>
              <w:left w:val="nil"/>
              <w:bottom w:val="nil"/>
              <w:right w:val="nil"/>
            </w:tcBorders>
            <w:noWrap/>
            <w:vAlign w:val="bottom"/>
            <w:hideMark/>
          </w:tcPr>
          <w:p w14:paraId="15D96C9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9.70</w:t>
            </w:r>
          </w:p>
        </w:tc>
        <w:tc>
          <w:tcPr>
            <w:tcW w:w="1061" w:type="dxa"/>
            <w:tcBorders>
              <w:top w:val="nil"/>
              <w:left w:val="nil"/>
              <w:bottom w:val="nil"/>
              <w:right w:val="nil"/>
            </w:tcBorders>
            <w:noWrap/>
            <w:vAlign w:val="bottom"/>
            <w:hideMark/>
          </w:tcPr>
          <w:p w14:paraId="5126E69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17.42</w:t>
            </w:r>
          </w:p>
        </w:tc>
      </w:tr>
      <w:tr w:rsidR="00EB4769" w:rsidRPr="00B92404" w14:paraId="10B2A3F3" w14:textId="77777777" w:rsidTr="00EB4769">
        <w:trPr>
          <w:trHeight w:val="288"/>
        </w:trPr>
        <w:tc>
          <w:tcPr>
            <w:tcW w:w="1728" w:type="dxa"/>
            <w:tcBorders>
              <w:top w:val="nil"/>
              <w:left w:val="nil"/>
              <w:bottom w:val="nil"/>
              <w:right w:val="nil"/>
            </w:tcBorders>
            <w:noWrap/>
            <w:vAlign w:val="bottom"/>
            <w:hideMark/>
          </w:tcPr>
          <w:p w14:paraId="6EDFBE4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T3</w:t>
            </w:r>
          </w:p>
        </w:tc>
        <w:tc>
          <w:tcPr>
            <w:tcW w:w="920" w:type="dxa"/>
            <w:tcBorders>
              <w:top w:val="nil"/>
              <w:left w:val="single" w:sz="4" w:space="0" w:color="auto"/>
              <w:bottom w:val="nil"/>
              <w:right w:val="nil"/>
            </w:tcBorders>
            <w:noWrap/>
            <w:vAlign w:val="bottom"/>
            <w:hideMark/>
          </w:tcPr>
          <w:p w14:paraId="1892D9F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50.60</w:t>
            </w:r>
          </w:p>
        </w:tc>
        <w:tc>
          <w:tcPr>
            <w:tcW w:w="920" w:type="dxa"/>
            <w:tcBorders>
              <w:top w:val="nil"/>
              <w:left w:val="nil"/>
              <w:bottom w:val="nil"/>
              <w:right w:val="nil"/>
            </w:tcBorders>
            <w:noWrap/>
            <w:vAlign w:val="bottom"/>
            <w:hideMark/>
          </w:tcPr>
          <w:p w14:paraId="54C1D46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65.30</w:t>
            </w:r>
          </w:p>
        </w:tc>
        <w:tc>
          <w:tcPr>
            <w:tcW w:w="1201" w:type="dxa"/>
            <w:tcBorders>
              <w:top w:val="nil"/>
              <w:left w:val="nil"/>
              <w:bottom w:val="nil"/>
              <w:right w:val="single" w:sz="4" w:space="0" w:color="auto"/>
            </w:tcBorders>
            <w:noWrap/>
            <w:vAlign w:val="bottom"/>
            <w:hideMark/>
          </w:tcPr>
          <w:p w14:paraId="2AFDE87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96.18</w:t>
            </w:r>
          </w:p>
        </w:tc>
        <w:tc>
          <w:tcPr>
            <w:tcW w:w="1029" w:type="dxa"/>
            <w:tcBorders>
              <w:top w:val="nil"/>
              <w:left w:val="nil"/>
              <w:bottom w:val="nil"/>
              <w:right w:val="nil"/>
            </w:tcBorders>
            <w:noWrap/>
            <w:vAlign w:val="bottom"/>
            <w:hideMark/>
          </w:tcPr>
          <w:p w14:paraId="69CC7C9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186.10</w:t>
            </w:r>
          </w:p>
        </w:tc>
        <w:tc>
          <w:tcPr>
            <w:tcW w:w="1028" w:type="dxa"/>
            <w:tcBorders>
              <w:top w:val="nil"/>
              <w:left w:val="nil"/>
              <w:bottom w:val="nil"/>
              <w:right w:val="nil"/>
            </w:tcBorders>
            <w:noWrap/>
            <w:vAlign w:val="bottom"/>
            <w:hideMark/>
          </w:tcPr>
          <w:p w14:paraId="64D498C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487.26</w:t>
            </w:r>
          </w:p>
        </w:tc>
        <w:tc>
          <w:tcPr>
            <w:tcW w:w="1343" w:type="dxa"/>
            <w:tcBorders>
              <w:top w:val="nil"/>
              <w:left w:val="nil"/>
              <w:bottom w:val="nil"/>
              <w:right w:val="single" w:sz="4" w:space="0" w:color="auto"/>
            </w:tcBorders>
            <w:noWrap/>
            <w:vAlign w:val="bottom"/>
            <w:hideMark/>
          </w:tcPr>
          <w:p w14:paraId="4AF4ED2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1004.49</w:t>
            </w:r>
          </w:p>
        </w:tc>
        <w:tc>
          <w:tcPr>
            <w:tcW w:w="1119" w:type="dxa"/>
            <w:tcBorders>
              <w:top w:val="nil"/>
              <w:left w:val="nil"/>
              <w:bottom w:val="nil"/>
              <w:right w:val="nil"/>
            </w:tcBorders>
            <w:noWrap/>
            <w:vAlign w:val="bottom"/>
            <w:hideMark/>
          </w:tcPr>
          <w:p w14:paraId="313B684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10.04</w:t>
            </w:r>
          </w:p>
        </w:tc>
        <w:tc>
          <w:tcPr>
            <w:tcW w:w="1061" w:type="dxa"/>
            <w:tcBorders>
              <w:top w:val="nil"/>
              <w:left w:val="nil"/>
              <w:bottom w:val="nil"/>
              <w:right w:val="nil"/>
            </w:tcBorders>
            <w:noWrap/>
            <w:vAlign w:val="bottom"/>
            <w:hideMark/>
          </w:tcPr>
          <w:p w14:paraId="4F1C6DF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17.24</w:t>
            </w:r>
          </w:p>
        </w:tc>
      </w:tr>
      <w:tr w:rsidR="00EB4769" w:rsidRPr="00B92404" w14:paraId="6A4A05D2" w14:textId="77777777" w:rsidTr="00EB4769">
        <w:trPr>
          <w:trHeight w:val="288"/>
        </w:trPr>
        <w:tc>
          <w:tcPr>
            <w:tcW w:w="1728" w:type="dxa"/>
            <w:tcBorders>
              <w:top w:val="nil"/>
              <w:left w:val="nil"/>
              <w:bottom w:val="nil"/>
              <w:right w:val="nil"/>
            </w:tcBorders>
            <w:noWrap/>
            <w:vAlign w:val="bottom"/>
            <w:hideMark/>
          </w:tcPr>
          <w:p w14:paraId="30485C3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T4</w:t>
            </w:r>
          </w:p>
        </w:tc>
        <w:tc>
          <w:tcPr>
            <w:tcW w:w="920" w:type="dxa"/>
            <w:tcBorders>
              <w:top w:val="nil"/>
              <w:left w:val="single" w:sz="4" w:space="0" w:color="auto"/>
              <w:bottom w:val="nil"/>
              <w:right w:val="nil"/>
            </w:tcBorders>
            <w:noWrap/>
            <w:vAlign w:val="bottom"/>
            <w:hideMark/>
          </w:tcPr>
          <w:p w14:paraId="6307B4D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46.76</w:t>
            </w:r>
          </w:p>
        </w:tc>
        <w:tc>
          <w:tcPr>
            <w:tcW w:w="920" w:type="dxa"/>
            <w:tcBorders>
              <w:top w:val="nil"/>
              <w:left w:val="nil"/>
              <w:bottom w:val="nil"/>
              <w:right w:val="nil"/>
            </w:tcBorders>
            <w:noWrap/>
            <w:vAlign w:val="bottom"/>
            <w:hideMark/>
          </w:tcPr>
          <w:p w14:paraId="39B1F27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58.71</w:t>
            </w:r>
          </w:p>
        </w:tc>
        <w:tc>
          <w:tcPr>
            <w:tcW w:w="1201" w:type="dxa"/>
            <w:tcBorders>
              <w:top w:val="nil"/>
              <w:left w:val="nil"/>
              <w:bottom w:val="nil"/>
              <w:right w:val="single" w:sz="4" w:space="0" w:color="auto"/>
            </w:tcBorders>
            <w:noWrap/>
            <w:vAlign w:val="bottom"/>
            <w:hideMark/>
          </w:tcPr>
          <w:p w14:paraId="7AAFFFA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90.41</w:t>
            </w:r>
          </w:p>
        </w:tc>
        <w:tc>
          <w:tcPr>
            <w:tcW w:w="1029" w:type="dxa"/>
            <w:tcBorders>
              <w:top w:val="nil"/>
              <w:left w:val="nil"/>
              <w:bottom w:val="nil"/>
              <w:right w:val="nil"/>
            </w:tcBorders>
            <w:noWrap/>
            <w:vAlign w:val="bottom"/>
            <w:hideMark/>
          </w:tcPr>
          <w:p w14:paraId="4CEF482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129.31</w:t>
            </w:r>
          </w:p>
        </w:tc>
        <w:tc>
          <w:tcPr>
            <w:tcW w:w="1028" w:type="dxa"/>
            <w:tcBorders>
              <w:top w:val="nil"/>
              <w:left w:val="nil"/>
              <w:bottom w:val="nil"/>
              <w:right w:val="nil"/>
            </w:tcBorders>
            <w:noWrap/>
            <w:vAlign w:val="bottom"/>
            <w:hideMark/>
          </w:tcPr>
          <w:p w14:paraId="12B04A6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395.61</w:t>
            </w:r>
          </w:p>
        </w:tc>
        <w:tc>
          <w:tcPr>
            <w:tcW w:w="1343" w:type="dxa"/>
            <w:tcBorders>
              <w:top w:val="nil"/>
              <w:left w:val="nil"/>
              <w:bottom w:val="nil"/>
              <w:right w:val="single" w:sz="4" w:space="0" w:color="auto"/>
            </w:tcBorders>
            <w:noWrap/>
            <w:vAlign w:val="bottom"/>
            <w:hideMark/>
          </w:tcPr>
          <w:p w14:paraId="10230E6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753.71</w:t>
            </w:r>
          </w:p>
        </w:tc>
        <w:tc>
          <w:tcPr>
            <w:tcW w:w="1119" w:type="dxa"/>
            <w:tcBorders>
              <w:top w:val="nil"/>
              <w:left w:val="nil"/>
              <w:bottom w:val="nil"/>
              <w:right w:val="nil"/>
            </w:tcBorders>
            <w:noWrap/>
            <w:vAlign w:val="bottom"/>
            <w:hideMark/>
          </w:tcPr>
          <w:p w14:paraId="2BECA67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8.88</w:t>
            </w:r>
          </w:p>
        </w:tc>
        <w:tc>
          <w:tcPr>
            <w:tcW w:w="1061" w:type="dxa"/>
            <w:tcBorders>
              <w:top w:val="nil"/>
              <w:left w:val="nil"/>
              <w:bottom w:val="nil"/>
              <w:right w:val="nil"/>
            </w:tcBorders>
            <w:noWrap/>
            <w:vAlign w:val="bottom"/>
            <w:hideMark/>
          </w:tcPr>
          <w:p w14:paraId="30B9FDC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11.94</w:t>
            </w:r>
          </w:p>
        </w:tc>
      </w:tr>
      <w:tr w:rsidR="00EB4769" w:rsidRPr="00B92404" w14:paraId="78AE1D63" w14:textId="77777777" w:rsidTr="00EB4769">
        <w:trPr>
          <w:trHeight w:val="288"/>
        </w:trPr>
        <w:tc>
          <w:tcPr>
            <w:tcW w:w="1728" w:type="dxa"/>
            <w:tcBorders>
              <w:top w:val="nil"/>
              <w:left w:val="nil"/>
              <w:bottom w:val="nil"/>
              <w:right w:val="nil"/>
            </w:tcBorders>
            <w:noWrap/>
            <w:vAlign w:val="bottom"/>
            <w:hideMark/>
          </w:tcPr>
          <w:p w14:paraId="34CE488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T5</w:t>
            </w:r>
          </w:p>
        </w:tc>
        <w:tc>
          <w:tcPr>
            <w:tcW w:w="920" w:type="dxa"/>
            <w:tcBorders>
              <w:top w:val="nil"/>
              <w:left w:val="single" w:sz="4" w:space="0" w:color="auto"/>
              <w:bottom w:val="nil"/>
              <w:right w:val="nil"/>
            </w:tcBorders>
            <w:noWrap/>
            <w:vAlign w:val="bottom"/>
            <w:hideMark/>
          </w:tcPr>
          <w:p w14:paraId="68C0DA2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52.55</w:t>
            </w:r>
          </w:p>
        </w:tc>
        <w:tc>
          <w:tcPr>
            <w:tcW w:w="920" w:type="dxa"/>
            <w:tcBorders>
              <w:top w:val="nil"/>
              <w:left w:val="nil"/>
              <w:bottom w:val="nil"/>
              <w:right w:val="nil"/>
            </w:tcBorders>
            <w:noWrap/>
            <w:vAlign w:val="bottom"/>
            <w:hideMark/>
          </w:tcPr>
          <w:p w14:paraId="497CE63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67.37</w:t>
            </w:r>
          </w:p>
        </w:tc>
        <w:tc>
          <w:tcPr>
            <w:tcW w:w="1201" w:type="dxa"/>
            <w:tcBorders>
              <w:top w:val="nil"/>
              <w:left w:val="nil"/>
              <w:bottom w:val="nil"/>
              <w:right w:val="single" w:sz="4" w:space="0" w:color="auto"/>
            </w:tcBorders>
            <w:noWrap/>
            <w:vAlign w:val="bottom"/>
            <w:hideMark/>
          </w:tcPr>
          <w:p w14:paraId="5799086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98.69</w:t>
            </w:r>
          </w:p>
        </w:tc>
        <w:tc>
          <w:tcPr>
            <w:tcW w:w="1029" w:type="dxa"/>
            <w:tcBorders>
              <w:top w:val="nil"/>
              <w:left w:val="nil"/>
              <w:bottom w:val="nil"/>
              <w:right w:val="nil"/>
            </w:tcBorders>
            <w:noWrap/>
            <w:vAlign w:val="bottom"/>
            <w:hideMark/>
          </w:tcPr>
          <w:p w14:paraId="24E510C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198.89</w:t>
            </w:r>
          </w:p>
        </w:tc>
        <w:tc>
          <w:tcPr>
            <w:tcW w:w="1028" w:type="dxa"/>
            <w:tcBorders>
              <w:top w:val="nil"/>
              <w:left w:val="nil"/>
              <w:bottom w:val="nil"/>
              <w:right w:val="nil"/>
            </w:tcBorders>
            <w:noWrap/>
            <w:vAlign w:val="bottom"/>
            <w:hideMark/>
          </w:tcPr>
          <w:p w14:paraId="02C120E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523.89</w:t>
            </w:r>
          </w:p>
        </w:tc>
        <w:tc>
          <w:tcPr>
            <w:tcW w:w="1343" w:type="dxa"/>
            <w:tcBorders>
              <w:top w:val="nil"/>
              <w:left w:val="nil"/>
              <w:bottom w:val="nil"/>
              <w:right w:val="single" w:sz="4" w:space="0" w:color="auto"/>
            </w:tcBorders>
            <w:noWrap/>
            <w:vAlign w:val="bottom"/>
            <w:hideMark/>
          </w:tcPr>
          <w:p w14:paraId="4616D38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1266.74</w:t>
            </w:r>
          </w:p>
        </w:tc>
        <w:tc>
          <w:tcPr>
            <w:tcW w:w="1119" w:type="dxa"/>
            <w:tcBorders>
              <w:top w:val="nil"/>
              <w:left w:val="nil"/>
              <w:bottom w:val="nil"/>
              <w:right w:val="nil"/>
            </w:tcBorders>
            <w:noWrap/>
            <w:vAlign w:val="bottom"/>
            <w:hideMark/>
          </w:tcPr>
          <w:p w14:paraId="74BE4E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10.83</w:t>
            </w:r>
          </w:p>
        </w:tc>
        <w:tc>
          <w:tcPr>
            <w:tcW w:w="1061" w:type="dxa"/>
            <w:tcBorders>
              <w:top w:val="nil"/>
              <w:left w:val="nil"/>
              <w:bottom w:val="nil"/>
              <w:right w:val="nil"/>
            </w:tcBorders>
            <w:noWrap/>
            <w:vAlign w:val="bottom"/>
            <w:hideMark/>
          </w:tcPr>
          <w:p w14:paraId="43DFB84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24.76</w:t>
            </w:r>
          </w:p>
        </w:tc>
      </w:tr>
      <w:tr w:rsidR="00EB4769" w:rsidRPr="00B92404" w14:paraId="46F11AA8" w14:textId="77777777" w:rsidTr="00EB4769">
        <w:trPr>
          <w:trHeight w:val="288"/>
        </w:trPr>
        <w:tc>
          <w:tcPr>
            <w:tcW w:w="1728" w:type="dxa"/>
            <w:tcBorders>
              <w:top w:val="nil"/>
              <w:left w:val="nil"/>
              <w:bottom w:val="single" w:sz="4" w:space="0" w:color="auto"/>
              <w:right w:val="nil"/>
            </w:tcBorders>
            <w:noWrap/>
            <w:vAlign w:val="bottom"/>
            <w:hideMark/>
          </w:tcPr>
          <w:p w14:paraId="4AAA60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T6</w:t>
            </w:r>
          </w:p>
        </w:tc>
        <w:tc>
          <w:tcPr>
            <w:tcW w:w="920" w:type="dxa"/>
            <w:tcBorders>
              <w:top w:val="nil"/>
              <w:left w:val="single" w:sz="4" w:space="0" w:color="auto"/>
              <w:bottom w:val="single" w:sz="4" w:space="0" w:color="auto"/>
              <w:right w:val="nil"/>
            </w:tcBorders>
            <w:noWrap/>
            <w:vAlign w:val="bottom"/>
            <w:hideMark/>
          </w:tcPr>
          <w:p w14:paraId="054E239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54.98</w:t>
            </w:r>
          </w:p>
        </w:tc>
        <w:tc>
          <w:tcPr>
            <w:tcW w:w="920" w:type="dxa"/>
            <w:tcBorders>
              <w:top w:val="nil"/>
              <w:left w:val="nil"/>
              <w:bottom w:val="single" w:sz="4" w:space="0" w:color="auto"/>
              <w:right w:val="nil"/>
            </w:tcBorders>
            <w:noWrap/>
            <w:vAlign w:val="bottom"/>
            <w:hideMark/>
          </w:tcPr>
          <w:p w14:paraId="21B7B45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69.00</w:t>
            </w:r>
          </w:p>
        </w:tc>
        <w:tc>
          <w:tcPr>
            <w:tcW w:w="1201" w:type="dxa"/>
            <w:tcBorders>
              <w:top w:val="nil"/>
              <w:left w:val="nil"/>
              <w:bottom w:val="single" w:sz="4" w:space="0" w:color="auto"/>
              <w:right w:val="single" w:sz="4" w:space="0" w:color="auto"/>
            </w:tcBorders>
            <w:noWrap/>
            <w:vAlign w:val="bottom"/>
            <w:hideMark/>
          </w:tcPr>
          <w:p w14:paraId="1F8E43B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107.50</w:t>
            </w:r>
          </w:p>
        </w:tc>
        <w:tc>
          <w:tcPr>
            <w:tcW w:w="1029" w:type="dxa"/>
            <w:tcBorders>
              <w:top w:val="nil"/>
              <w:left w:val="nil"/>
              <w:bottom w:val="single" w:sz="4" w:space="0" w:color="auto"/>
              <w:right w:val="nil"/>
            </w:tcBorders>
            <w:noWrap/>
            <w:vAlign w:val="bottom"/>
            <w:hideMark/>
          </w:tcPr>
          <w:p w14:paraId="2FC7F88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213.16</w:t>
            </w:r>
          </w:p>
        </w:tc>
        <w:tc>
          <w:tcPr>
            <w:tcW w:w="1028" w:type="dxa"/>
            <w:tcBorders>
              <w:top w:val="nil"/>
              <w:left w:val="nil"/>
              <w:bottom w:val="single" w:sz="4" w:space="0" w:color="auto"/>
              <w:right w:val="nil"/>
            </w:tcBorders>
            <w:noWrap/>
            <w:vAlign w:val="bottom"/>
            <w:hideMark/>
          </w:tcPr>
          <w:p w14:paraId="259720D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638.21</w:t>
            </w:r>
          </w:p>
        </w:tc>
        <w:tc>
          <w:tcPr>
            <w:tcW w:w="1343" w:type="dxa"/>
            <w:tcBorders>
              <w:top w:val="nil"/>
              <w:left w:val="nil"/>
              <w:bottom w:val="single" w:sz="4" w:space="0" w:color="auto"/>
              <w:right w:val="single" w:sz="4" w:space="0" w:color="auto"/>
            </w:tcBorders>
            <w:noWrap/>
            <w:vAlign w:val="bottom"/>
            <w:hideMark/>
          </w:tcPr>
          <w:p w14:paraId="31D406B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1218.38</w:t>
            </w:r>
          </w:p>
        </w:tc>
        <w:tc>
          <w:tcPr>
            <w:tcW w:w="1119" w:type="dxa"/>
            <w:tcBorders>
              <w:top w:val="nil"/>
              <w:left w:val="nil"/>
              <w:bottom w:val="single" w:sz="4" w:space="0" w:color="auto"/>
              <w:right w:val="nil"/>
            </w:tcBorders>
            <w:noWrap/>
            <w:vAlign w:val="bottom"/>
            <w:hideMark/>
          </w:tcPr>
          <w:p w14:paraId="2E11705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14.17</w:t>
            </w:r>
          </w:p>
        </w:tc>
        <w:tc>
          <w:tcPr>
            <w:tcW w:w="1061" w:type="dxa"/>
            <w:tcBorders>
              <w:top w:val="nil"/>
              <w:left w:val="nil"/>
              <w:bottom w:val="single" w:sz="4" w:space="0" w:color="auto"/>
              <w:right w:val="nil"/>
            </w:tcBorders>
            <w:noWrap/>
            <w:vAlign w:val="bottom"/>
            <w:hideMark/>
          </w:tcPr>
          <w:p w14:paraId="6E0EC03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19.34</w:t>
            </w:r>
          </w:p>
        </w:tc>
      </w:tr>
      <w:tr w:rsidR="00EB4769" w:rsidRPr="00B92404" w14:paraId="0FBE13ED" w14:textId="77777777" w:rsidTr="00EB4769">
        <w:trPr>
          <w:trHeight w:val="288"/>
        </w:trPr>
        <w:tc>
          <w:tcPr>
            <w:tcW w:w="1728" w:type="dxa"/>
            <w:tcBorders>
              <w:top w:val="nil"/>
              <w:left w:val="nil"/>
              <w:bottom w:val="nil"/>
              <w:right w:val="single" w:sz="4" w:space="0" w:color="auto"/>
            </w:tcBorders>
            <w:noWrap/>
            <w:vAlign w:val="center"/>
            <w:hideMark/>
          </w:tcPr>
          <w:p w14:paraId="2A9871AE" w14:textId="77777777" w:rsidR="00EB4769" w:rsidRPr="008D36E3" w:rsidRDefault="00EB4769" w:rsidP="00EB4769">
            <w:pPr>
              <w:jc w:val="center"/>
              <w:rPr>
                <w:rFonts w:ascii="Arial" w:hAnsi="Arial" w:cs="Arial"/>
                <w:color w:val="000000"/>
                <w:lang w:eastAsia="en-IN" w:bidi="hi-IN"/>
              </w:rPr>
            </w:pPr>
            <w:proofErr w:type="spellStart"/>
            <w:proofErr w:type="gramStart"/>
            <w:r w:rsidRPr="008D36E3">
              <w:rPr>
                <w:rFonts w:ascii="Arial" w:hAnsi="Arial" w:cs="Arial"/>
                <w:color w:val="000000"/>
                <w:lang w:eastAsia="en-IN" w:bidi="hi-IN"/>
              </w:rPr>
              <w:t>SEm</w:t>
            </w:r>
            <w:proofErr w:type="spellEnd"/>
            <w:r w:rsidRPr="008D36E3">
              <w:rPr>
                <w:rFonts w:ascii="Arial" w:hAnsi="Arial" w:cs="Arial"/>
                <w:color w:val="000000"/>
                <w:lang w:eastAsia="en-IN" w:bidi="hi-IN"/>
              </w:rPr>
              <w:t>(</w:t>
            </w:r>
            <w:proofErr w:type="gramEnd"/>
            <w:r w:rsidRPr="008D36E3">
              <w:rPr>
                <w:rFonts w:ascii="Arial" w:hAnsi="Arial" w:cs="Arial"/>
                <w:color w:val="000000"/>
                <w:lang w:eastAsia="en-IN" w:bidi="hi-IN"/>
              </w:rPr>
              <w:t xml:space="preserve">±) </w:t>
            </w:r>
          </w:p>
        </w:tc>
        <w:tc>
          <w:tcPr>
            <w:tcW w:w="920" w:type="dxa"/>
            <w:tcBorders>
              <w:top w:val="nil"/>
              <w:left w:val="nil"/>
              <w:bottom w:val="nil"/>
              <w:right w:val="nil"/>
            </w:tcBorders>
            <w:noWrap/>
            <w:vAlign w:val="bottom"/>
            <w:hideMark/>
          </w:tcPr>
          <w:p w14:paraId="354DE11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2.14</w:t>
            </w:r>
          </w:p>
        </w:tc>
        <w:tc>
          <w:tcPr>
            <w:tcW w:w="920" w:type="dxa"/>
            <w:tcBorders>
              <w:top w:val="nil"/>
              <w:left w:val="nil"/>
              <w:bottom w:val="nil"/>
              <w:right w:val="nil"/>
            </w:tcBorders>
            <w:noWrap/>
            <w:vAlign w:val="bottom"/>
            <w:hideMark/>
          </w:tcPr>
          <w:p w14:paraId="07C1617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1.55</w:t>
            </w:r>
          </w:p>
        </w:tc>
        <w:tc>
          <w:tcPr>
            <w:tcW w:w="1201" w:type="dxa"/>
            <w:tcBorders>
              <w:top w:val="nil"/>
              <w:left w:val="nil"/>
              <w:bottom w:val="nil"/>
              <w:right w:val="single" w:sz="4" w:space="0" w:color="auto"/>
            </w:tcBorders>
            <w:noWrap/>
            <w:vAlign w:val="bottom"/>
            <w:hideMark/>
          </w:tcPr>
          <w:p w14:paraId="20C4BC7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2.03</w:t>
            </w:r>
          </w:p>
        </w:tc>
        <w:tc>
          <w:tcPr>
            <w:tcW w:w="1029" w:type="dxa"/>
            <w:tcBorders>
              <w:top w:val="nil"/>
              <w:left w:val="nil"/>
              <w:bottom w:val="nil"/>
              <w:right w:val="nil"/>
            </w:tcBorders>
            <w:noWrap/>
            <w:vAlign w:val="bottom"/>
            <w:hideMark/>
          </w:tcPr>
          <w:p w14:paraId="367FF25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8.69</w:t>
            </w:r>
          </w:p>
        </w:tc>
        <w:tc>
          <w:tcPr>
            <w:tcW w:w="1028" w:type="dxa"/>
            <w:tcBorders>
              <w:top w:val="nil"/>
              <w:left w:val="nil"/>
              <w:bottom w:val="nil"/>
              <w:right w:val="nil"/>
            </w:tcBorders>
            <w:noWrap/>
            <w:vAlign w:val="bottom"/>
            <w:hideMark/>
          </w:tcPr>
          <w:p w14:paraId="6580886F"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19.94</w:t>
            </w:r>
          </w:p>
        </w:tc>
        <w:tc>
          <w:tcPr>
            <w:tcW w:w="1343" w:type="dxa"/>
            <w:tcBorders>
              <w:top w:val="nil"/>
              <w:left w:val="nil"/>
              <w:bottom w:val="nil"/>
              <w:right w:val="single" w:sz="4" w:space="0" w:color="auto"/>
            </w:tcBorders>
            <w:noWrap/>
            <w:vAlign w:val="bottom"/>
            <w:hideMark/>
          </w:tcPr>
          <w:p w14:paraId="0EFEF733"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39.29</w:t>
            </w:r>
          </w:p>
        </w:tc>
        <w:tc>
          <w:tcPr>
            <w:tcW w:w="1119" w:type="dxa"/>
            <w:tcBorders>
              <w:top w:val="nil"/>
              <w:left w:val="nil"/>
              <w:bottom w:val="nil"/>
              <w:right w:val="nil"/>
            </w:tcBorders>
            <w:noWrap/>
            <w:vAlign w:val="bottom"/>
            <w:hideMark/>
          </w:tcPr>
          <w:p w14:paraId="665E1014"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0.56</w:t>
            </w:r>
          </w:p>
        </w:tc>
        <w:tc>
          <w:tcPr>
            <w:tcW w:w="1061" w:type="dxa"/>
            <w:tcBorders>
              <w:top w:val="nil"/>
              <w:left w:val="nil"/>
              <w:bottom w:val="nil"/>
              <w:right w:val="nil"/>
            </w:tcBorders>
            <w:noWrap/>
            <w:vAlign w:val="bottom"/>
            <w:hideMark/>
          </w:tcPr>
          <w:p w14:paraId="419BC414"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1.53</w:t>
            </w:r>
          </w:p>
        </w:tc>
      </w:tr>
      <w:tr w:rsidR="00EB4769" w:rsidRPr="00B92404" w14:paraId="77077504" w14:textId="77777777" w:rsidTr="00EB4769">
        <w:trPr>
          <w:trHeight w:val="288"/>
        </w:trPr>
        <w:tc>
          <w:tcPr>
            <w:tcW w:w="1728" w:type="dxa"/>
            <w:tcBorders>
              <w:top w:val="nil"/>
              <w:left w:val="nil"/>
              <w:bottom w:val="single" w:sz="4" w:space="0" w:color="auto"/>
              <w:right w:val="single" w:sz="4" w:space="0" w:color="auto"/>
            </w:tcBorders>
            <w:noWrap/>
            <w:vAlign w:val="center"/>
            <w:hideMark/>
          </w:tcPr>
          <w:p w14:paraId="0A0F2AB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CD (0.05) </w:t>
            </w:r>
          </w:p>
        </w:tc>
        <w:tc>
          <w:tcPr>
            <w:tcW w:w="920" w:type="dxa"/>
            <w:tcBorders>
              <w:top w:val="nil"/>
              <w:left w:val="nil"/>
              <w:bottom w:val="single" w:sz="4" w:space="0" w:color="auto"/>
              <w:right w:val="nil"/>
            </w:tcBorders>
            <w:noWrap/>
            <w:vAlign w:val="bottom"/>
            <w:hideMark/>
          </w:tcPr>
          <w:p w14:paraId="02E66A2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6.27</w:t>
            </w:r>
          </w:p>
        </w:tc>
        <w:tc>
          <w:tcPr>
            <w:tcW w:w="920" w:type="dxa"/>
            <w:tcBorders>
              <w:top w:val="nil"/>
              <w:left w:val="nil"/>
              <w:bottom w:val="single" w:sz="4" w:space="0" w:color="auto"/>
              <w:right w:val="nil"/>
            </w:tcBorders>
            <w:noWrap/>
            <w:vAlign w:val="bottom"/>
            <w:hideMark/>
          </w:tcPr>
          <w:p w14:paraId="5C82179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4.55</w:t>
            </w:r>
          </w:p>
        </w:tc>
        <w:tc>
          <w:tcPr>
            <w:tcW w:w="1201" w:type="dxa"/>
            <w:tcBorders>
              <w:top w:val="nil"/>
              <w:left w:val="nil"/>
              <w:bottom w:val="single" w:sz="4" w:space="0" w:color="auto"/>
              <w:right w:val="single" w:sz="4" w:space="0" w:color="auto"/>
            </w:tcBorders>
            <w:noWrap/>
            <w:vAlign w:val="bottom"/>
            <w:hideMark/>
          </w:tcPr>
          <w:p w14:paraId="05CF6D5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5.95</w:t>
            </w:r>
          </w:p>
        </w:tc>
        <w:tc>
          <w:tcPr>
            <w:tcW w:w="1029" w:type="dxa"/>
            <w:tcBorders>
              <w:top w:val="nil"/>
              <w:left w:val="nil"/>
              <w:bottom w:val="single" w:sz="4" w:space="0" w:color="auto"/>
              <w:right w:val="nil"/>
            </w:tcBorders>
            <w:noWrap/>
            <w:vAlign w:val="bottom"/>
            <w:hideMark/>
          </w:tcPr>
          <w:p w14:paraId="01A1CA7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25.44</w:t>
            </w:r>
          </w:p>
        </w:tc>
        <w:tc>
          <w:tcPr>
            <w:tcW w:w="1028" w:type="dxa"/>
            <w:tcBorders>
              <w:top w:val="nil"/>
              <w:left w:val="nil"/>
              <w:bottom w:val="single" w:sz="4" w:space="0" w:color="auto"/>
              <w:right w:val="nil"/>
            </w:tcBorders>
            <w:noWrap/>
            <w:vAlign w:val="bottom"/>
            <w:hideMark/>
          </w:tcPr>
          <w:p w14:paraId="36E2063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58.35</w:t>
            </w:r>
          </w:p>
        </w:tc>
        <w:tc>
          <w:tcPr>
            <w:tcW w:w="1343" w:type="dxa"/>
            <w:tcBorders>
              <w:top w:val="nil"/>
              <w:left w:val="nil"/>
              <w:bottom w:val="single" w:sz="4" w:space="0" w:color="auto"/>
              <w:right w:val="single" w:sz="4" w:space="0" w:color="auto"/>
            </w:tcBorders>
            <w:noWrap/>
            <w:vAlign w:val="bottom"/>
            <w:hideMark/>
          </w:tcPr>
          <w:p w14:paraId="18160A1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114.94</w:t>
            </w:r>
          </w:p>
        </w:tc>
        <w:tc>
          <w:tcPr>
            <w:tcW w:w="1119" w:type="dxa"/>
            <w:tcBorders>
              <w:top w:val="nil"/>
              <w:left w:val="nil"/>
              <w:bottom w:val="single" w:sz="4" w:space="0" w:color="auto"/>
              <w:right w:val="nil"/>
            </w:tcBorders>
            <w:noWrap/>
            <w:vAlign w:val="bottom"/>
            <w:hideMark/>
          </w:tcPr>
          <w:p w14:paraId="208CB3B9"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1.64</w:t>
            </w:r>
          </w:p>
        </w:tc>
        <w:tc>
          <w:tcPr>
            <w:tcW w:w="1061" w:type="dxa"/>
            <w:tcBorders>
              <w:top w:val="nil"/>
              <w:left w:val="nil"/>
              <w:bottom w:val="single" w:sz="4" w:space="0" w:color="auto"/>
              <w:right w:val="nil"/>
            </w:tcBorders>
            <w:noWrap/>
            <w:vAlign w:val="bottom"/>
            <w:hideMark/>
          </w:tcPr>
          <w:p w14:paraId="50D7849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4.47</w:t>
            </w:r>
          </w:p>
        </w:tc>
      </w:tr>
    </w:tbl>
    <w:p w14:paraId="2E8784E2" w14:textId="77777777" w:rsidR="00EB4769" w:rsidRPr="00006EF3" w:rsidRDefault="00EB4769" w:rsidP="00EB4769">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1772F651" w14:textId="77777777" w:rsidR="00EB4769" w:rsidRDefault="00EB4769" w:rsidP="00441B6F">
      <w:pPr>
        <w:pStyle w:val="Appendix"/>
        <w:spacing w:after="0"/>
        <w:jc w:val="both"/>
        <w:rPr>
          <w:rFonts w:ascii="Arial" w:hAnsi="Arial" w:cs="Arial"/>
          <w:b w:val="0"/>
        </w:rPr>
      </w:pPr>
    </w:p>
    <w:p w14:paraId="0563078E" w14:textId="77777777" w:rsidR="00EB4769" w:rsidRPr="00EB4769" w:rsidRDefault="00EB4769" w:rsidP="00EB4769">
      <w:pPr>
        <w:jc w:val="both"/>
        <w:rPr>
          <w:rFonts w:ascii="Arial" w:hAnsi="Arial" w:cs="Arial"/>
          <w:sz w:val="22"/>
          <w:szCs w:val="22"/>
          <w:lang w:eastAsia="en-IN" w:bidi="hi-IN"/>
        </w:rPr>
      </w:pPr>
      <w:r w:rsidRPr="00EB4769">
        <w:rPr>
          <w:rFonts w:ascii="Arial" w:hAnsi="Arial" w:cs="Arial"/>
          <w:sz w:val="22"/>
          <w:szCs w:val="22"/>
        </w:rPr>
        <w:t xml:space="preserve">Table4: Effect of various nutrient management approaches on Yield attributes of rice </w:t>
      </w:r>
      <w:r w:rsidRPr="00EB4769">
        <w:rPr>
          <w:rFonts w:ascii="Arial" w:hAnsi="Arial" w:cs="Arial"/>
          <w:sz w:val="22"/>
          <w:szCs w:val="22"/>
          <w:lang w:eastAsia="en-IN" w:bidi="hi-IN"/>
        </w:rPr>
        <w:t>during different growth stages.</w:t>
      </w:r>
    </w:p>
    <w:tbl>
      <w:tblPr>
        <w:tblpPr w:leftFromText="180" w:rightFromText="180" w:vertAnchor="page" w:horzAnchor="page" w:tblpX="1321" w:tblpY="6265"/>
        <w:tblW w:w="8280" w:type="dxa"/>
        <w:tblLook w:val="04A0" w:firstRow="1" w:lastRow="0" w:firstColumn="1" w:lastColumn="0" w:noHBand="0" w:noVBand="1"/>
      </w:tblPr>
      <w:tblGrid>
        <w:gridCol w:w="1228"/>
        <w:gridCol w:w="2034"/>
        <w:gridCol w:w="1620"/>
        <w:gridCol w:w="1710"/>
        <w:gridCol w:w="1710"/>
      </w:tblGrid>
      <w:tr w:rsidR="00EB4769" w:rsidRPr="00D35149" w14:paraId="201973C8" w14:textId="77777777" w:rsidTr="00EB4769">
        <w:trPr>
          <w:trHeight w:val="530"/>
        </w:trPr>
        <w:tc>
          <w:tcPr>
            <w:tcW w:w="1206" w:type="dxa"/>
            <w:tcBorders>
              <w:top w:val="single" w:sz="4" w:space="0" w:color="auto"/>
              <w:left w:val="nil"/>
              <w:bottom w:val="single" w:sz="4" w:space="0" w:color="auto"/>
              <w:right w:val="nil"/>
            </w:tcBorders>
            <w:noWrap/>
            <w:vAlign w:val="bottom"/>
            <w:hideMark/>
          </w:tcPr>
          <w:p w14:paraId="332B8D7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Treatments</w:t>
            </w:r>
          </w:p>
        </w:tc>
        <w:tc>
          <w:tcPr>
            <w:tcW w:w="2034" w:type="dxa"/>
            <w:tcBorders>
              <w:top w:val="single" w:sz="4" w:space="0" w:color="auto"/>
              <w:left w:val="nil"/>
              <w:bottom w:val="single" w:sz="4" w:space="0" w:color="auto"/>
              <w:right w:val="nil"/>
            </w:tcBorders>
            <w:vAlign w:val="bottom"/>
            <w:hideMark/>
          </w:tcPr>
          <w:p w14:paraId="28DDE2C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Effective tillers </w:t>
            </w:r>
            <w:r w:rsidRPr="008D36E3">
              <w:rPr>
                <w:rFonts w:ascii="Arial" w:hAnsi="Arial" w:cs="Arial"/>
                <w:color w:val="000000"/>
                <w:lang w:eastAsia="en-IN" w:bidi="hi-IN"/>
              </w:rPr>
              <w:br/>
              <w:t>(m</w:t>
            </w:r>
            <w:r w:rsidRPr="008D36E3">
              <w:rPr>
                <w:rFonts w:ascii="Arial" w:hAnsi="Arial" w:cs="Arial"/>
                <w:color w:val="000000"/>
                <w:vertAlign w:val="superscript"/>
                <w:lang w:eastAsia="en-IN" w:bidi="hi-IN"/>
              </w:rPr>
              <w:t>-2</w:t>
            </w:r>
            <w:r w:rsidRPr="008D36E3">
              <w:rPr>
                <w:rFonts w:ascii="Arial" w:hAnsi="Arial" w:cs="Arial"/>
                <w:color w:val="000000"/>
                <w:lang w:eastAsia="en-IN" w:bidi="hi-IN"/>
              </w:rPr>
              <w:t>)</w:t>
            </w:r>
          </w:p>
        </w:tc>
        <w:tc>
          <w:tcPr>
            <w:tcW w:w="1620" w:type="dxa"/>
            <w:tcBorders>
              <w:top w:val="single" w:sz="4" w:space="0" w:color="auto"/>
              <w:left w:val="nil"/>
              <w:bottom w:val="single" w:sz="4" w:space="0" w:color="auto"/>
              <w:right w:val="nil"/>
            </w:tcBorders>
            <w:vAlign w:val="bottom"/>
            <w:hideMark/>
          </w:tcPr>
          <w:p w14:paraId="63526F2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Panicle length</w:t>
            </w:r>
            <w:r w:rsidRPr="008D36E3">
              <w:rPr>
                <w:rFonts w:ascii="Arial" w:hAnsi="Arial" w:cs="Arial"/>
                <w:color w:val="000000"/>
                <w:lang w:eastAsia="en-IN" w:bidi="hi-IN"/>
              </w:rPr>
              <w:br/>
              <w:t>(cm)</w:t>
            </w:r>
          </w:p>
        </w:tc>
        <w:tc>
          <w:tcPr>
            <w:tcW w:w="1710" w:type="dxa"/>
            <w:tcBorders>
              <w:top w:val="single" w:sz="4" w:space="0" w:color="auto"/>
              <w:left w:val="nil"/>
              <w:bottom w:val="single" w:sz="4" w:space="0" w:color="auto"/>
              <w:right w:val="nil"/>
            </w:tcBorders>
            <w:vAlign w:val="bottom"/>
            <w:hideMark/>
          </w:tcPr>
          <w:p w14:paraId="6C7FB44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Filled grains </w:t>
            </w:r>
            <w:r w:rsidRPr="008D36E3">
              <w:rPr>
                <w:rFonts w:ascii="Arial" w:hAnsi="Arial" w:cs="Arial"/>
                <w:color w:val="000000"/>
                <w:lang w:eastAsia="en-IN" w:bidi="hi-IN"/>
              </w:rPr>
              <w:br/>
              <w:t>(pancle</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p>
        </w:tc>
        <w:tc>
          <w:tcPr>
            <w:tcW w:w="1710" w:type="dxa"/>
            <w:tcBorders>
              <w:top w:val="single" w:sz="4" w:space="0" w:color="auto"/>
              <w:left w:val="nil"/>
              <w:bottom w:val="single" w:sz="4" w:space="0" w:color="auto"/>
              <w:right w:val="nil"/>
            </w:tcBorders>
            <w:vAlign w:val="bottom"/>
            <w:hideMark/>
          </w:tcPr>
          <w:p w14:paraId="7A3360E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Test Weight</w:t>
            </w:r>
            <w:r w:rsidRPr="008D36E3">
              <w:rPr>
                <w:rFonts w:ascii="Arial" w:hAnsi="Arial" w:cs="Arial"/>
                <w:color w:val="000000"/>
                <w:lang w:eastAsia="en-IN" w:bidi="hi-IN"/>
              </w:rPr>
              <w:br/>
              <w:t>(g)</w:t>
            </w:r>
          </w:p>
        </w:tc>
      </w:tr>
      <w:tr w:rsidR="00EB4769" w:rsidRPr="00D35149" w14:paraId="2E20F69B" w14:textId="77777777" w:rsidTr="00EB4769">
        <w:trPr>
          <w:trHeight w:val="288"/>
        </w:trPr>
        <w:tc>
          <w:tcPr>
            <w:tcW w:w="1206" w:type="dxa"/>
            <w:tcBorders>
              <w:top w:val="nil"/>
              <w:left w:val="nil"/>
              <w:bottom w:val="nil"/>
              <w:right w:val="nil"/>
            </w:tcBorders>
            <w:noWrap/>
            <w:vAlign w:val="bottom"/>
            <w:hideMark/>
          </w:tcPr>
          <w:p w14:paraId="0B7B8ED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T1</w:t>
            </w:r>
          </w:p>
        </w:tc>
        <w:tc>
          <w:tcPr>
            <w:tcW w:w="2034" w:type="dxa"/>
            <w:tcBorders>
              <w:top w:val="nil"/>
              <w:left w:val="nil"/>
              <w:bottom w:val="nil"/>
              <w:right w:val="nil"/>
            </w:tcBorders>
            <w:noWrap/>
            <w:vAlign w:val="bottom"/>
            <w:hideMark/>
          </w:tcPr>
          <w:p w14:paraId="1E24412D"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181.08</w:t>
            </w:r>
          </w:p>
        </w:tc>
        <w:tc>
          <w:tcPr>
            <w:tcW w:w="1620" w:type="dxa"/>
            <w:tcBorders>
              <w:top w:val="nil"/>
              <w:left w:val="nil"/>
              <w:bottom w:val="nil"/>
              <w:right w:val="nil"/>
            </w:tcBorders>
            <w:noWrap/>
            <w:vAlign w:val="bottom"/>
            <w:hideMark/>
          </w:tcPr>
          <w:p w14:paraId="6FE5181D"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20.82</w:t>
            </w:r>
          </w:p>
        </w:tc>
        <w:tc>
          <w:tcPr>
            <w:tcW w:w="1710" w:type="dxa"/>
            <w:tcBorders>
              <w:top w:val="nil"/>
              <w:left w:val="nil"/>
              <w:bottom w:val="nil"/>
              <w:right w:val="nil"/>
            </w:tcBorders>
            <w:noWrap/>
            <w:vAlign w:val="bottom"/>
            <w:hideMark/>
          </w:tcPr>
          <w:p w14:paraId="42DAF64A"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91.68</w:t>
            </w:r>
          </w:p>
        </w:tc>
        <w:tc>
          <w:tcPr>
            <w:tcW w:w="1710" w:type="dxa"/>
            <w:tcBorders>
              <w:top w:val="nil"/>
              <w:left w:val="nil"/>
              <w:bottom w:val="nil"/>
              <w:right w:val="nil"/>
            </w:tcBorders>
            <w:noWrap/>
            <w:vAlign w:val="bottom"/>
            <w:hideMark/>
          </w:tcPr>
          <w:p w14:paraId="65274222"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19.66</w:t>
            </w:r>
          </w:p>
        </w:tc>
      </w:tr>
      <w:tr w:rsidR="00EB4769" w:rsidRPr="00D35149" w14:paraId="02AB3E81" w14:textId="77777777" w:rsidTr="00EB4769">
        <w:trPr>
          <w:trHeight w:val="288"/>
        </w:trPr>
        <w:tc>
          <w:tcPr>
            <w:tcW w:w="1206" w:type="dxa"/>
            <w:tcBorders>
              <w:top w:val="nil"/>
              <w:left w:val="nil"/>
              <w:bottom w:val="nil"/>
              <w:right w:val="nil"/>
            </w:tcBorders>
            <w:noWrap/>
            <w:vAlign w:val="bottom"/>
            <w:hideMark/>
          </w:tcPr>
          <w:p w14:paraId="41A1737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T2</w:t>
            </w:r>
          </w:p>
        </w:tc>
        <w:tc>
          <w:tcPr>
            <w:tcW w:w="2034" w:type="dxa"/>
            <w:tcBorders>
              <w:top w:val="nil"/>
              <w:left w:val="nil"/>
              <w:bottom w:val="nil"/>
              <w:right w:val="nil"/>
            </w:tcBorders>
            <w:noWrap/>
            <w:vAlign w:val="bottom"/>
            <w:hideMark/>
          </w:tcPr>
          <w:p w14:paraId="69D8AB2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186.44</w:t>
            </w:r>
          </w:p>
        </w:tc>
        <w:tc>
          <w:tcPr>
            <w:tcW w:w="1620" w:type="dxa"/>
            <w:tcBorders>
              <w:top w:val="nil"/>
              <w:left w:val="nil"/>
              <w:bottom w:val="nil"/>
              <w:right w:val="nil"/>
            </w:tcBorders>
            <w:noWrap/>
            <w:vAlign w:val="bottom"/>
            <w:hideMark/>
          </w:tcPr>
          <w:p w14:paraId="382AAC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21.87</w:t>
            </w:r>
          </w:p>
        </w:tc>
        <w:tc>
          <w:tcPr>
            <w:tcW w:w="1710" w:type="dxa"/>
            <w:tcBorders>
              <w:top w:val="nil"/>
              <w:left w:val="nil"/>
              <w:bottom w:val="nil"/>
              <w:right w:val="nil"/>
            </w:tcBorders>
            <w:noWrap/>
            <w:vAlign w:val="bottom"/>
            <w:hideMark/>
          </w:tcPr>
          <w:p w14:paraId="5831C9F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89.51</w:t>
            </w:r>
          </w:p>
        </w:tc>
        <w:tc>
          <w:tcPr>
            <w:tcW w:w="1710" w:type="dxa"/>
            <w:tcBorders>
              <w:top w:val="nil"/>
              <w:left w:val="nil"/>
              <w:bottom w:val="nil"/>
              <w:right w:val="nil"/>
            </w:tcBorders>
            <w:noWrap/>
            <w:vAlign w:val="bottom"/>
            <w:hideMark/>
          </w:tcPr>
          <w:p w14:paraId="091EEE5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21.37</w:t>
            </w:r>
          </w:p>
        </w:tc>
      </w:tr>
      <w:tr w:rsidR="00EB4769" w:rsidRPr="00D35149" w14:paraId="5040C4C4" w14:textId="77777777" w:rsidTr="00EB4769">
        <w:trPr>
          <w:trHeight w:val="288"/>
        </w:trPr>
        <w:tc>
          <w:tcPr>
            <w:tcW w:w="1206" w:type="dxa"/>
            <w:tcBorders>
              <w:top w:val="nil"/>
              <w:left w:val="nil"/>
              <w:bottom w:val="nil"/>
              <w:right w:val="nil"/>
            </w:tcBorders>
            <w:noWrap/>
            <w:vAlign w:val="bottom"/>
            <w:hideMark/>
          </w:tcPr>
          <w:p w14:paraId="7E8990B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T3</w:t>
            </w:r>
          </w:p>
        </w:tc>
        <w:tc>
          <w:tcPr>
            <w:tcW w:w="2034" w:type="dxa"/>
            <w:tcBorders>
              <w:top w:val="nil"/>
              <w:left w:val="nil"/>
              <w:bottom w:val="nil"/>
              <w:right w:val="nil"/>
            </w:tcBorders>
            <w:noWrap/>
            <w:vAlign w:val="bottom"/>
            <w:hideMark/>
          </w:tcPr>
          <w:p w14:paraId="7E826D2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200.22</w:t>
            </w:r>
          </w:p>
        </w:tc>
        <w:tc>
          <w:tcPr>
            <w:tcW w:w="1620" w:type="dxa"/>
            <w:tcBorders>
              <w:top w:val="nil"/>
              <w:left w:val="nil"/>
              <w:bottom w:val="nil"/>
              <w:right w:val="nil"/>
            </w:tcBorders>
            <w:noWrap/>
            <w:vAlign w:val="bottom"/>
            <w:hideMark/>
          </w:tcPr>
          <w:p w14:paraId="6CA1DDC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23.16</w:t>
            </w:r>
          </w:p>
        </w:tc>
        <w:tc>
          <w:tcPr>
            <w:tcW w:w="1710" w:type="dxa"/>
            <w:tcBorders>
              <w:top w:val="nil"/>
              <w:left w:val="nil"/>
              <w:bottom w:val="nil"/>
              <w:right w:val="nil"/>
            </w:tcBorders>
            <w:noWrap/>
            <w:vAlign w:val="bottom"/>
            <w:hideMark/>
          </w:tcPr>
          <w:p w14:paraId="18C55A0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98.75</w:t>
            </w:r>
          </w:p>
        </w:tc>
        <w:tc>
          <w:tcPr>
            <w:tcW w:w="1710" w:type="dxa"/>
            <w:tcBorders>
              <w:top w:val="nil"/>
              <w:left w:val="nil"/>
              <w:bottom w:val="nil"/>
              <w:right w:val="nil"/>
            </w:tcBorders>
            <w:noWrap/>
            <w:vAlign w:val="bottom"/>
            <w:hideMark/>
          </w:tcPr>
          <w:p w14:paraId="661BB6C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21.42</w:t>
            </w:r>
          </w:p>
        </w:tc>
      </w:tr>
      <w:tr w:rsidR="00EB4769" w:rsidRPr="00D35149" w14:paraId="2C162A4D" w14:textId="77777777" w:rsidTr="00EB4769">
        <w:trPr>
          <w:trHeight w:val="288"/>
        </w:trPr>
        <w:tc>
          <w:tcPr>
            <w:tcW w:w="1206" w:type="dxa"/>
            <w:tcBorders>
              <w:top w:val="nil"/>
              <w:left w:val="nil"/>
              <w:bottom w:val="nil"/>
              <w:right w:val="nil"/>
            </w:tcBorders>
            <w:noWrap/>
            <w:vAlign w:val="bottom"/>
            <w:hideMark/>
          </w:tcPr>
          <w:p w14:paraId="5FC97B6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T4</w:t>
            </w:r>
          </w:p>
        </w:tc>
        <w:tc>
          <w:tcPr>
            <w:tcW w:w="2034" w:type="dxa"/>
            <w:tcBorders>
              <w:top w:val="nil"/>
              <w:left w:val="nil"/>
              <w:bottom w:val="nil"/>
              <w:right w:val="nil"/>
            </w:tcBorders>
            <w:noWrap/>
            <w:vAlign w:val="bottom"/>
            <w:hideMark/>
          </w:tcPr>
          <w:p w14:paraId="4F90F7D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193.62</w:t>
            </w:r>
          </w:p>
        </w:tc>
        <w:tc>
          <w:tcPr>
            <w:tcW w:w="1620" w:type="dxa"/>
            <w:tcBorders>
              <w:top w:val="nil"/>
              <w:left w:val="nil"/>
              <w:bottom w:val="nil"/>
              <w:right w:val="nil"/>
            </w:tcBorders>
            <w:noWrap/>
            <w:vAlign w:val="bottom"/>
            <w:hideMark/>
          </w:tcPr>
          <w:p w14:paraId="0780B48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22.88</w:t>
            </w:r>
          </w:p>
        </w:tc>
        <w:tc>
          <w:tcPr>
            <w:tcW w:w="1710" w:type="dxa"/>
            <w:tcBorders>
              <w:top w:val="nil"/>
              <w:left w:val="nil"/>
              <w:bottom w:val="nil"/>
              <w:right w:val="nil"/>
            </w:tcBorders>
            <w:noWrap/>
            <w:vAlign w:val="bottom"/>
            <w:hideMark/>
          </w:tcPr>
          <w:p w14:paraId="6F9A1B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101.33</w:t>
            </w:r>
          </w:p>
        </w:tc>
        <w:tc>
          <w:tcPr>
            <w:tcW w:w="1710" w:type="dxa"/>
            <w:tcBorders>
              <w:top w:val="nil"/>
              <w:left w:val="nil"/>
              <w:bottom w:val="nil"/>
              <w:right w:val="nil"/>
            </w:tcBorders>
            <w:noWrap/>
            <w:vAlign w:val="bottom"/>
            <w:hideMark/>
          </w:tcPr>
          <w:p w14:paraId="0627488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20.66</w:t>
            </w:r>
          </w:p>
        </w:tc>
      </w:tr>
      <w:tr w:rsidR="00EB4769" w:rsidRPr="00D35149" w14:paraId="08C67404" w14:textId="77777777" w:rsidTr="00EB4769">
        <w:trPr>
          <w:trHeight w:val="288"/>
        </w:trPr>
        <w:tc>
          <w:tcPr>
            <w:tcW w:w="1206" w:type="dxa"/>
            <w:tcBorders>
              <w:top w:val="nil"/>
              <w:left w:val="nil"/>
              <w:bottom w:val="nil"/>
              <w:right w:val="nil"/>
            </w:tcBorders>
            <w:noWrap/>
            <w:vAlign w:val="bottom"/>
            <w:hideMark/>
          </w:tcPr>
          <w:p w14:paraId="69619BD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T5</w:t>
            </w:r>
          </w:p>
        </w:tc>
        <w:tc>
          <w:tcPr>
            <w:tcW w:w="2034" w:type="dxa"/>
            <w:tcBorders>
              <w:top w:val="nil"/>
              <w:left w:val="nil"/>
              <w:bottom w:val="nil"/>
              <w:right w:val="nil"/>
            </w:tcBorders>
            <w:noWrap/>
            <w:vAlign w:val="bottom"/>
            <w:hideMark/>
          </w:tcPr>
          <w:p w14:paraId="60A49F6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224.56</w:t>
            </w:r>
          </w:p>
        </w:tc>
        <w:tc>
          <w:tcPr>
            <w:tcW w:w="1620" w:type="dxa"/>
            <w:tcBorders>
              <w:top w:val="nil"/>
              <w:left w:val="nil"/>
              <w:bottom w:val="nil"/>
              <w:right w:val="nil"/>
            </w:tcBorders>
            <w:noWrap/>
            <w:vAlign w:val="bottom"/>
            <w:hideMark/>
          </w:tcPr>
          <w:p w14:paraId="268549B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24.68</w:t>
            </w:r>
          </w:p>
        </w:tc>
        <w:tc>
          <w:tcPr>
            <w:tcW w:w="1710" w:type="dxa"/>
            <w:tcBorders>
              <w:top w:val="nil"/>
              <w:left w:val="nil"/>
              <w:bottom w:val="nil"/>
              <w:right w:val="nil"/>
            </w:tcBorders>
            <w:noWrap/>
            <w:vAlign w:val="bottom"/>
            <w:hideMark/>
          </w:tcPr>
          <w:p w14:paraId="626A4DB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96.78</w:t>
            </w:r>
          </w:p>
        </w:tc>
        <w:tc>
          <w:tcPr>
            <w:tcW w:w="1710" w:type="dxa"/>
            <w:tcBorders>
              <w:top w:val="nil"/>
              <w:left w:val="nil"/>
              <w:bottom w:val="nil"/>
              <w:right w:val="nil"/>
            </w:tcBorders>
            <w:noWrap/>
            <w:vAlign w:val="bottom"/>
            <w:hideMark/>
          </w:tcPr>
          <w:p w14:paraId="2333797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22.18</w:t>
            </w:r>
          </w:p>
        </w:tc>
      </w:tr>
      <w:tr w:rsidR="00EB4769" w:rsidRPr="00D35149" w14:paraId="4B0CBB37" w14:textId="77777777" w:rsidTr="00EB4769">
        <w:trPr>
          <w:trHeight w:val="288"/>
        </w:trPr>
        <w:tc>
          <w:tcPr>
            <w:tcW w:w="1206" w:type="dxa"/>
            <w:tcBorders>
              <w:top w:val="nil"/>
              <w:left w:val="nil"/>
              <w:bottom w:val="single" w:sz="4" w:space="0" w:color="auto"/>
              <w:right w:val="nil"/>
            </w:tcBorders>
            <w:noWrap/>
            <w:vAlign w:val="bottom"/>
            <w:hideMark/>
          </w:tcPr>
          <w:p w14:paraId="405D650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T6</w:t>
            </w:r>
          </w:p>
        </w:tc>
        <w:tc>
          <w:tcPr>
            <w:tcW w:w="2034" w:type="dxa"/>
            <w:tcBorders>
              <w:top w:val="nil"/>
              <w:left w:val="nil"/>
              <w:bottom w:val="single" w:sz="4" w:space="0" w:color="auto"/>
              <w:right w:val="nil"/>
            </w:tcBorders>
            <w:noWrap/>
            <w:vAlign w:val="bottom"/>
            <w:hideMark/>
          </w:tcPr>
          <w:p w14:paraId="59F920B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238.09</w:t>
            </w:r>
          </w:p>
        </w:tc>
        <w:tc>
          <w:tcPr>
            <w:tcW w:w="1620" w:type="dxa"/>
            <w:tcBorders>
              <w:top w:val="nil"/>
              <w:left w:val="nil"/>
              <w:bottom w:val="single" w:sz="4" w:space="0" w:color="auto"/>
              <w:right w:val="nil"/>
            </w:tcBorders>
            <w:noWrap/>
            <w:vAlign w:val="bottom"/>
            <w:hideMark/>
          </w:tcPr>
          <w:p w14:paraId="4568292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23.35</w:t>
            </w:r>
          </w:p>
        </w:tc>
        <w:tc>
          <w:tcPr>
            <w:tcW w:w="1710" w:type="dxa"/>
            <w:tcBorders>
              <w:top w:val="nil"/>
              <w:left w:val="nil"/>
              <w:bottom w:val="single" w:sz="4" w:space="0" w:color="auto"/>
              <w:right w:val="nil"/>
            </w:tcBorders>
            <w:noWrap/>
            <w:vAlign w:val="bottom"/>
            <w:hideMark/>
          </w:tcPr>
          <w:p w14:paraId="47FE900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98.71</w:t>
            </w:r>
          </w:p>
        </w:tc>
        <w:tc>
          <w:tcPr>
            <w:tcW w:w="1710" w:type="dxa"/>
            <w:tcBorders>
              <w:top w:val="nil"/>
              <w:left w:val="nil"/>
              <w:bottom w:val="single" w:sz="4" w:space="0" w:color="auto"/>
              <w:right w:val="nil"/>
            </w:tcBorders>
            <w:noWrap/>
            <w:vAlign w:val="bottom"/>
            <w:hideMark/>
          </w:tcPr>
          <w:p w14:paraId="0BE77F5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21.14</w:t>
            </w:r>
          </w:p>
        </w:tc>
      </w:tr>
      <w:tr w:rsidR="00EB4769" w:rsidRPr="00D35149" w14:paraId="112DAE4E" w14:textId="77777777" w:rsidTr="00EB4769">
        <w:trPr>
          <w:trHeight w:val="288"/>
        </w:trPr>
        <w:tc>
          <w:tcPr>
            <w:tcW w:w="1206" w:type="dxa"/>
            <w:tcBorders>
              <w:top w:val="nil"/>
              <w:left w:val="nil"/>
              <w:bottom w:val="nil"/>
              <w:right w:val="nil"/>
            </w:tcBorders>
            <w:noWrap/>
            <w:vAlign w:val="center"/>
            <w:hideMark/>
          </w:tcPr>
          <w:p w14:paraId="427716EE" w14:textId="77777777" w:rsidR="00EB4769" w:rsidRPr="008D36E3" w:rsidRDefault="00EB4769" w:rsidP="00EB4769">
            <w:pPr>
              <w:jc w:val="center"/>
              <w:rPr>
                <w:rFonts w:ascii="Arial" w:hAnsi="Arial" w:cs="Arial"/>
                <w:color w:val="000000"/>
                <w:lang w:eastAsia="en-IN" w:bidi="hi-IN"/>
              </w:rPr>
            </w:pPr>
            <w:proofErr w:type="spellStart"/>
            <w:r w:rsidRPr="008D36E3">
              <w:rPr>
                <w:rFonts w:ascii="Arial" w:hAnsi="Arial" w:cs="Arial"/>
                <w:color w:val="000000"/>
                <w:lang w:eastAsia="en-IN" w:bidi="hi-IN"/>
              </w:rPr>
              <w:t>SEm</w:t>
            </w:r>
            <w:proofErr w:type="spellEnd"/>
            <w:r w:rsidRPr="008D36E3">
              <w:rPr>
                <w:rFonts w:ascii="Arial" w:hAnsi="Arial" w:cs="Arial"/>
                <w:color w:val="000000"/>
                <w:lang w:eastAsia="en-IN" w:bidi="hi-IN"/>
              </w:rPr>
              <w:t xml:space="preserve"> (±) </w:t>
            </w:r>
          </w:p>
        </w:tc>
        <w:tc>
          <w:tcPr>
            <w:tcW w:w="2034" w:type="dxa"/>
            <w:tcBorders>
              <w:top w:val="nil"/>
              <w:left w:val="nil"/>
              <w:bottom w:val="nil"/>
              <w:right w:val="nil"/>
            </w:tcBorders>
            <w:noWrap/>
            <w:vAlign w:val="bottom"/>
            <w:hideMark/>
          </w:tcPr>
          <w:p w14:paraId="6DB77C27"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10.96</w:t>
            </w:r>
          </w:p>
        </w:tc>
        <w:tc>
          <w:tcPr>
            <w:tcW w:w="1620" w:type="dxa"/>
            <w:tcBorders>
              <w:top w:val="nil"/>
              <w:left w:val="nil"/>
              <w:bottom w:val="nil"/>
              <w:right w:val="nil"/>
            </w:tcBorders>
            <w:noWrap/>
            <w:vAlign w:val="bottom"/>
            <w:hideMark/>
          </w:tcPr>
          <w:p w14:paraId="3322E04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0.43</w:t>
            </w:r>
          </w:p>
        </w:tc>
        <w:tc>
          <w:tcPr>
            <w:tcW w:w="1710" w:type="dxa"/>
            <w:tcBorders>
              <w:top w:val="nil"/>
              <w:left w:val="nil"/>
              <w:bottom w:val="nil"/>
              <w:right w:val="nil"/>
            </w:tcBorders>
            <w:noWrap/>
            <w:vAlign w:val="bottom"/>
            <w:hideMark/>
          </w:tcPr>
          <w:p w14:paraId="5C01C94C"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2.23</w:t>
            </w:r>
          </w:p>
        </w:tc>
        <w:tc>
          <w:tcPr>
            <w:tcW w:w="1710" w:type="dxa"/>
            <w:tcBorders>
              <w:top w:val="nil"/>
              <w:left w:val="nil"/>
              <w:bottom w:val="nil"/>
              <w:right w:val="nil"/>
            </w:tcBorders>
            <w:noWrap/>
            <w:vAlign w:val="bottom"/>
            <w:hideMark/>
          </w:tcPr>
          <w:p w14:paraId="4B943E7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0.67</w:t>
            </w:r>
          </w:p>
        </w:tc>
      </w:tr>
      <w:tr w:rsidR="00EB4769" w:rsidRPr="00D35149" w14:paraId="67DF30C9" w14:textId="77777777" w:rsidTr="00EB4769">
        <w:trPr>
          <w:trHeight w:val="288"/>
        </w:trPr>
        <w:tc>
          <w:tcPr>
            <w:tcW w:w="1206" w:type="dxa"/>
            <w:tcBorders>
              <w:top w:val="nil"/>
              <w:left w:val="nil"/>
              <w:bottom w:val="single" w:sz="4" w:space="0" w:color="auto"/>
              <w:right w:val="nil"/>
            </w:tcBorders>
            <w:noWrap/>
            <w:vAlign w:val="center"/>
            <w:hideMark/>
          </w:tcPr>
          <w:p w14:paraId="2084B3F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CD (0.05) </w:t>
            </w:r>
          </w:p>
        </w:tc>
        <w:tc>
          <w:tcPr>
            <w:tcW w:w="2034" w:type="dxa"/>
            <w:tcBorders>
              <w:top w:val="nil"/>
              <w:left w:val="nil"/>
              <w:bottom w:val="single" w:sz="4" w:space="0" w:color="auto"/>
              <w:right w:val="nil"/>
            </w:tcBorders>
            <w:noWrap/>
            <w:vAlign w:val="bottom"/>
            <w:hideMark/>
          </w:tcPr>
          <w:p w14:paraId="1DF8C51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32.06</w:t>
            </w:r>
          </w:p>
        </w:tc>
        <w:tc>
          <w:tcPr>
            <w:tcW w:w="1620" w:type="dxa"/>
            <w:tcBorders>
              <w:top w:val="nil"/>
              <w:left w:val="nil"/>
              <w:bottom w:val="single" w:sz="4" w:space="0" w:color="auto"/>
              <w:right w:val="nil"/>
            </w:tcBorders>
            <w:noWrap/>
            <w:vAlign w:val="bottom"/>
            <w:hideMark/>
          </w:tcPr>
          <w:p w14:paraId="6BAE3D0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1.25</w:t>
            </w:r>
          </w:p>
        </w:tc>
        <w:tc>
          <w:tcPr>
            <w:tcW w:w="1710" w:type="dxa"/>
            <w:tcBorders>
              <w:top w:val="nil"/>
              <w:left w:val="nil"/>
              <w:bottom w:val="single" w:sz="4" w:space="0" w:color="auto"/>
              <w:right w:val="nil"/>
            </w:tcBorders>
            <w:noWrap/>
            <w:vAlign w:val="bottom"/>
            <w:hideMark/>
          </w:tcPr>
          <w:p w14:paraId="1668136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6.52</w:t>
            </w:r>
          </w:p>
        </w:tc>
        <w:tc>
          <w:tcPr>
            <w:tcW w:w="1710" w:type="dxa"/>
            <w:tcBorders>
              <w:top w:val="nil"/>
              <w:left w:val="nil"/>
              <w:bottom w:val="single" w:sz="4" w:space="0" w:color="auto"/>
              <w:right w:val="nil"/>
            </w:tcBorders>
            <w:noWrap/>
            <w:vAlign w:val="bottom"/>
            <w:hideMark/>
          </w:tcPr>
          <w:p w14:paraId="31BE2D5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NS</w:t>
            </w:r>
          </w:p>
        </w:tc>
      </w:tr>
    </w:tbl>
    <w:p w14:paraId="42A5C36C" w14:textId="77777777" w:rsidR="00EB4769" w:rsidRDefault="00EB4769" w:rsidP="00441B6F">
      <w:pPr>
        <w:pStyle w:val="Appendix"/>
        <w:spacing w:after="0"/>
        <w:jc w:val="both"/>
        <w:rPr>
          <w:rFonts w:ascii="Arial" w:hAnsi="Arial" w:cs="Arial"/>
          <w:b w:val="0"/>
        </w:rPr>
      </w:pPr>
    </w:p>
    <w:p w14:paraId="4F3D1E80" w14:textId="77777777" w:rsidR="00EB4769" w:rsidRPr="00EB4769" w:rsidRDefault="00EB4769" w:rsidP="00EB4769"/>
    <w:p w14:paraId="6F48CEB0" w14:textId="77777777" w:rsidR="00EB4769" w:rsidRPr="00EB4769" w:rsidRDefault="00EB4769" w:rsidP="00EB4769"/>
    <w:p w14:paraId="21F9DF2C" w14:textId="77777777" w:rsidR="00EB4769" w:rsidRPr="00EB4769" w:rsidRDefault="00EB4769" w:rsidP="00EB4769"/>
    <w:p w14:paraId="5A79C3F9" w14:textId="77777777" w:rsidR="00EB4769" w:rsidRPr="00EB4769" w:rsidRDefault="00EB4769" w:rsidP="00EB4769"/>
    <w:p w14:paraId="5A0A732F" w14:textId="77777777" w:rsidR="00EB4769" w:rsidRPr="00EB4769" w:rsidRDefault="00EB4769" w:rsidP="00EB4769"/>
    <w:p w14:paraId="1F9E70AB" w14:textId="77777777" w:rsidR="00EB4769" w:rsidRPr="00EB4769" w:rsidRDefault="00EB4769" w:rsidP="00EB4769"/>
    <w:p w14:paraId="24710511" w14:textId="77777777" w:rsidR="0075235A" w:rsidRDefault="0075235A" w:rsidP="00EB4769">
      <w:pPr>
        <w:rPr>
          <w:rFonts w:ascii="Arial" w:hAnsi="Arial" w:cs="Arial"/>
          <w:b/>
          <w:bCs/>
        </w:rPr>
      </w:pPr>
    </w:p>
    <w:p w14:paraId="4CFC144A" w14:textId="1516D689" w:rsidR="00EB4769" w:rsidRPr="00006EF3" w:rsidRDefault="00EB4769" w:rsidP="00EB4769">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74594F61" w14:textId="77777777" w:rsidR="00EB4769" w:rsidRDefault="00EB4769" w:rsidP="00EB4769">
      <w:pPr>
        <w:jc w:val="both"/>
        <w:rPr>
          <w:rFonts w:ascii="Times New Roman" w:hAnsi="Times New Roman"/>
          <w:sz w:val="24"/>
          <w:szCs w:val="24"/>
        </w:rPr>
      </w:pPr>
    </w:p>
    <w:p w14:paraId="214726A3" w14:textId="77777777" w:rsidR="00EB4769" w:rsidRPr="00EB4769" w:rsidRDefault="00EB4769" w:rsidP="00EB4769">
      <w:pPr>
        <w:jc w:val="both"/>
        <w:rPr>
          <w:rFonts w:ascii="Arial" w:hAnsi="Arial" w:cs="Arial"/>
          <w:sz w:val="22"/>
          <w:szCs w:val="22"/>
          <w:lang w:eastAsia="en-IN" w:bidi="hi-IN"/>
        </w:rPr>
      </w:pPr>
      <w:r w:rsidRPr="00EB4769">
        <w:rPr>
          <w:rFonts w:ascii="Arial" w:hAnsi="Arial" w:cs="Arial"/>
          <w:sz w:val="22"/>
          <w:szCs w:val="22"/>
        </w:rPr>
        <w:t xml:space="preserve">Table 5: Effect of various nutrient management approaches on Yield of rice </w:t>
      </w:r>
      <w:r w:rsidRPr="00EB4769">
        <w:rPr>
          <w:rFonts w:ascii="Arial" w:hAnsi="Arial" w:cs="Arial"/>
          <w:sz w:val="22"/>
          <w:szCs w:val="22"/>
          <w:lang w:eastAsia="en-IN" w:bidi="hi-IN"/>
        </w:rPr>
        <w:t>during different growth stages.</w:t>
      </w:r>
    </w:p>
    <w:tbl>
      <w:tblPr>
        <w:tblpPr w:leftFromText="180" w:rightFromText="180" w:vertAnchor="text" w:horzAnchor="page" w:tblpX="1609" w:tblpY="110"/>
        <w:tblW w:w="7747" w:type="dxa"/>
        <w:tblLook w:val="04A0" w:firstRow="1" w:lastRow="0" w:firstColumn="1" w:lastColumn="0" w:noHBand="0" w:noVBand="1"/>
      </w:tblPr>
      <w:tblGrid>
        <w:gridCol w:w="1228"/>
        <w:gridCol w:w="1700"/>
        <w:gridCol w:w="1440"/>
        <w:gridCol w:w="1691"/>
        <w:gridCol w:w="1710"/>
      </w:tblGrid>
      <w:tr w:rsidR="00EB4769" w:rsidRPr="00F218B3" w14:paraId="33F8CE4A" w14:textId="77777777" w:rsidTr="00EB4769">
        <w:trPr>
          <w:trHeight w:val="530"/>
        </w:trPr>
        <w:tc>
          <w:tcPr>
            <w:tcW w:w="1206" w:type="dxa"/>
            <w:tcBorders>
              <w:top w:val="single" w:sz="4" w:space="0" w:color="auto"/>
              <w:left w:val="nil"/>
              <w:bottom w:val="single" w:sz="4" w:space="0" w:color="auto"/>
              <w:right w:val="nil"/>
            </w:tcBorders>
            <w:noWrap/>
            <w:vAlign w:val="bottom"/>
            <w:hideMark/>
          </w:tcPr>
          <w:p w14:paraId="0D14E2B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Treatments</w:t>
            </w:r>
          </w:p>
        </w:tc>
        <w:tc>
          <w:tcPr>
            <w:tcW w:w="1700" w:type="dxa"/>
            <w:tcBorders>
              <w:top w:val="single" w:sz="4" w:space="0" w:color="auto"/>
              <w:left w:val="nil"/>
              <w:bottom w:val="single" w:sz="4" w:space="0" w:color="auto"/>
              <w:right w:val="nil"/>
            </w:tcBorders>
            <w:vAlign w:val="bottom"/>
            <w:hideMark/>
          </w:tcPr>
          <w:p w14:paraId="7549B003" w14:textId="77777777" w:rsidR="00EB4769" w:rsidRPr="008D36E3" w:rsidRDefault="00EB4769" w:rsidP="00EB4769">
            <w:pPr>
              <w:jc w:val="center"/>
              <w:rPr>
                <w:rFonts w:ascii="Arial" w:hAnsi="Arial" w:cs="Arial"/>
                <w:color w:val="000000"/>
                <w:lang w:eastAsia="en-IN" w:bidi="hi-IN"/>
              </w:rPr>
            </w:pPr>
            <w:commentRangeStart w:id="7"/>
            <w:r w:rsidRPr="008D36E3">
              <w:rPr>
                <w:rFonts w:ascii="Arial" w:hAnsi="Arial" w:cs="Arial"/>
                <w:color w:val="000000"/>
                <w:lang w:eastAsia="en-IN" w:bidi="hi-IN"/>
              </w:rPr>
              <w:t>Grain Yield</w:t>
            </w:r>
            <w:r w:rsidRPr="008D36E3">
              <w:rPr>
                <w:rFonts w:ascii="Arial" w:hAnsi="Arial" w:cs="Arial"/>
                <w:color w:val="000000"/>
                <w:lang w:eastAsia="en-IN" w:bidi="hi-IN"/>
              </w:rPr>
              <w:br/>
              <w:t>(q ha</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p>
        </w:tc>
        <w:tc>
          <w:tcPr>
            <w:tcW w:w="1440" w:type="dxa"/>
            <w:tcBorders>
              <w:top w:val="single" w:sz="4" w:space="0" w:color="auto"/>
              <w:left w:val="nil"/>
              <w:bottom w:val="single" w:sz="4" w:space="0" w:color="auto"/>
              <w:right w:val="nil"/>
            </w:tcBorders>
            <w:vAlign w:val="bottom"/>
            <w:hideMark/>
          </w:tcPr>
          <w:p w14:paraId="26F24BC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Straw yield</w:t>
            </w:r>
            <w:r w:rsidRPr="008D36E3">
              <w:rPr>
                <w:rFonts w:ascii="Arial" w:hAnsi="Arial" w:cs="Arial"/>
                <w:color w:val="000000"/>
                <w:lang w:eastAsia="en-IN" w:bidi="hi-IN"/>
              </w:rPr>
              <w:br/>
              <w:t>(q ha</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commentRangeEnd w:id="7"/>
            <w:r w:rsidR="00700AF1">
              <w:rPr>
                <w:rStyle w:val="CommentReference"/>
                <w:rFonts w:ascii="Times New Roman" w:hAnsi="Times New Roman"/>
                <w:lang w:val="nb-NO" w:eastAsia="nb-NO"/>
              </w:rPr>
              <w:commentReference w:id="7"/>
            </w:r>
          </w:p>
        </w:tc>
        <w:tc>
          <w:tcPr>
            <w:tcW w:w="1691" w:type="dxa"/>
            <w:tcBorders>
              <w:top w:val="single" w:sz="4" w:space="0" w:color="auto"/>
              <w:left w:val="nil"/>
              <w:bottom w:val="single" w:sz="4" w:space="0" w:color="auto"/>
              <w:right w:val="nil"/>
            </w:tcBorders>
            <w:vAlign w:val="bottom"/>
            <w:hideMark/>
          </w:tcPr>
          <w:p w14:paraId="38516E9A" w14:textId="77777777" w:rsidR="00EB4769" w:rsidRPr="008D36E3" w:rsidRDefault="00EB4769" w:rsidP="00EB4769">
            <w:pPr>
              <w:jc w:val="center"/>
              <w:rPr>
                <w:rFonts w:ascii="Arial" w:hAnsi="Arial" w:cs="Arial"/>
                <w:color w:val="000000"/>
                <w:lang w:eastAsia="en-IN" w:bidi="hi-IN"/>
              </w:rPr>
            </w:pPr>
            <w:commentRangeStart w:id="8"/>
            <w:r w:rsidRPr="008D36E3">
              <w:rPr>
                <w:rFonts w:ascii="Arial" w:hAnsi="Arial" w:cs="Arial"/>
                <w:color w:val="000000"/>
                <w:lang w:eastAsia="en-IN" w:bidi="hi-IN"/>
              </w:rPr>
              <w:t>Biological yield</w:t>
            </w:r>
            <w:r w:rsidRPr="008D36E3">
              <w:rPr>
                <w:rFonts w:ascii="Arial" w:hAnsi="Arial" w:cs="Arial"/>
                <w:color w:val="000000"/>
                <w:lang w:eastAsia="en-IN" w:bidi="hi-IN"/>
              </w:rPr>
              <w:br/>
              <w:t>(q ha</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commentRangeEnd w:id="8"/>
            <w:r w:rsidR="00700AF1">
              <w:rPr>
                <w:rStyle w:val="CommentReference"/>
                <w:rFonts w:ascii="Times New Roman" w:hAnsi="Times New Roman"/>
                <w:lang w:val="nb-NO" w:eastAsia="nb-NO"/>
              </w:rPr>
              <w:commentReference w:id="8"/>
            </w:r>
          </w:p>
        </w:tc>
        <w:tc>
          <w:tcPr>
            <w:tcW w:w="1710" w:type="dxa"/>
            <w:tcBorders>
              <w:top w:val="single" w:sz="4" w:space="0" w:color="auto"/>
              <w:left w:val="nil"/>
              <w:bottom w:val="single" w:sz="4" w:space="0" w:color="auto"/>
              <w:right w:val="nil"/>
            </w:tcBorders>
            <w:vAlign w:val="bottom"/>
            <w:hideMark/>
          </w:tcPr>
          <w:p w14:paraId="270CDFF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Harvest Index</w:t>
            </w:r>
            <w:r w:rsidRPr="008D36E3">
              <w:rPr>
                <w:rFonts w:ascii="Arial" w:hAnsi="Arial" w:cs="Arial"/>
                <w:color w:val="000000"/>
                <w:lang w:eastAsia="en-IN" w:bidi="hi-IN"/>
              </w:rPr>
              <w:br/>
              <w:t xml:space="preserve"> (%)</w:t>
            </w:r>
          </w:p>
        </w:tc>
      </w:tr>
      <w:tr w:rsidR="00EB4769" w:rsidRPr="00F218B3" w14:paraId="2CF6C118" w14:textId="77777777" w:rsidTr="00EB4769">
        <w:trPr>
          <w:trHeight w:val="288"/>
        </w:trPr>
        <w:tc>
          <w:tcPr>
            <w:tcW w:w="1206" w:type="dxa"/>
            <w:tcBorders>
              <w:top w:val="nil"/>
              <w:left w:val="nil"/>
              <w:bottom w:val="nil"/>
              <w:right w:val="nil"/>
            </w:tcBorders>
            <w:noWrap/>
            <w:vAlign w:val="bottom"/>
            <w:hideMark/>
          </w:tcPr>
          <w:p w14:paraId="6B0EB24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T1</w:t>
            </w:r>
          </w:p>
        </w:tc>
        <w:tc>
          <w:tcPr>
            <w:tcW w:w="1700" w:type="dxa"/>
            <w:tcBorders>
              <w:top w:val="nil"/>
              <w:left w:val="nil"/>
              <w:bottom w:val="nil"/>
              <w:right w:val="nil"/>
            </w:tcBorders>
            <w:noWrap/>
            <w:vAlign w:val="bottom"/>
            <w:hideMark/>
          </w:tcPr>
          <w:p w14:paraId="2DD9BC30"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27.37</w:t>
            </w:r>
          </w:p>
        </w:tc>
        <w:tc>
          <w:tcPr>
            <w:tcW w:w="1440" w:type="dxa"/>
            <w:tcBorders>
              <w:top w:val="nil"/>
              <w:left w:val="nil"/>
              <w:bottom w:val="nil"/>
              <w:right w:val="nil"/>
            </w:tcBorders>
            <w:noWrap/>
            <w:vAlign w:val="bottom"/>
            <w:hideMark/>
          </w:tcPr>
          <w:p w14:paraId="15153D0E"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38.34</w:t>
            </w:r>
          </w:p>
        </w:tc>
        <w:tc>
          <w:tcPr>
            <w:tcW w:w="1691" w:type="dxa"/>
            <w:tcBorders>
              <w:top w:val="nil"/>
              <w:left w:val="nil"/>
              <w:bottom w:val="nil"/>
              <w:right w:val="nil"/>
            </w:tcBorders>
            <w:noWrap/>
            <w:vAlign w:val="bottom"/>
            <w:hideMark/>
          </w:tcPr>
          <w:p w14:paraId="6AD3FDBA"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66.12</w:t>
            </w:r>
          </w:p>
        </w:tc>
        <w:tc>
          <w:tcPr>
            <w:tcW w:w="1710" w:type="dxa"/>
            <w:tcBorders>
              <w:top w:val="nil"/>
              <w:left w:val="nil"/>
              <w:bottom w:val="nil"/>
              <w:right w:val="nil"/>
            </w:tcBorders>
            <w:shd w:val="clear" w:color="000000" w:fill="FFFFFF"/>
            <w:noWrap/>
            <w:vAlign w:val="bottom"/>
            <w:hideMark/>
          </w:tcPr>
          <w:p w14:paraId="61B9B8E3"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41.04</w:t>
            </w:r>
          </w:p>
        </w:tc>
      </w:tr>
      <w:tr w:rsidR="00EB4769" w:rsidRPr="00F218B3" w14:paraId="1E3C4C1B" w14:textId="77777777" w:rsidTr="00EB4769">
        <w:trPr>
          <w:trHeight w:val="288"/>
        </w:trPr>
        <w:tc>
          <w:tcPr>
            <w:tcW w:w="1206" w:type="dxa"/>
            <w:tcBorders>
              <w:top w:val="nil"/>
              <w:left w:val="nil"/>
              <w:bottom w:val="nil"/>
              <w:right w:val="nil"/>
            </w:tcBorders>
            <w:noWrap/>
            <w:vAlign w:val="bottom"/>
            <w:hideMark/>
          </w:tcPr>
          <w:p w14:paraId="115A8D6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T2</w:t>
            </w:r>
          </w:p>
        </w:tc>
        <w:tc>
          <w:tcPr>
            <w:tcW w:w="1700" w:type="dxa"/>
            <w:tcBorders>
              <w:top w:val="nil"/>
              <w:left w:val="nil"/>
              <w:bottom w:val="nil"/>
              <w:right w:val="nil"/>
            </w:tcBorders>
            <w:noWrap/>
            <w:vAlign w:val="bottom"/>
            <w:hideMark/>
          </w:tcPr>
          <w:p w14:paraId="59EED65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36.16</w:t>
            </w:r>
          </w:p>
        </w:tc>
        <w:tc>
          <w:tcPr>
            <w:tcW w:w="1440" w:type="dxa"/>
            <w:tcBorders>
              <w:top w:val="nil"/>
              <w:left w:val="nil"/>
              <w:bottom w:val="nil"/>
              <w:right w:val="nil"/>
            </w:tcBorders>
            <w:noWrap/>
            <w:vAlign w:val="bottom"/>
            <w:hideMark/>
          </w:tcPr>
          <w:p w14:paraId="3AA2D85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48.12</w:t>
            </w:r>
          </w:p>
        </w:tc>
        <w:tc>
          <w:tcPr>
            <w:tcW w:w="1691" w:type="dxa"/>
            <w:tcBorders>
              <w:top w:val="nil"/>
              <w:left w:val="nil"/>
              <w:bottom w:val="nil"/>
              <w:right w:val="nil"/>
            </w:tcBorders>
            <w:noWrap/>
            <w:vAlign w:val="bottom"/>
            <w:hideMark/>
          </w:tcPr>
          <w:p w14:paraId="1451AB8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84.82</w:t>
            </w:r>
          </w:p>
        </w:tc>
        <w:tc>
          <w:tcPr>
            <w:tcW w:w="1710" w:type="dxa"/>
            <w:tcBorders>
              <w:top w:val="nil"/>
              <w:left w:val="nil"/>
              <w:bottom w:val="nil"/>
              <w:right w:val="nil"/>
            </w:tcBorders>
            <w:shd w:val="clear" w:color="000000" w:fill="FFFFFF"/>
            <w:noWrap/>
            <w:vAlign w:val="bottom"/>
            <w:hideMark/>
          </w:tcPr>
          <w:p w14:paraId="1C2DA5B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42.54</w:t>
            </w:r>
          </w:p>
        </w:tc>
      </w:tr>
      <w:tr w:rsidR="00EB4769" w:rsidRPr="00F218B3" w14:paraId="5794C9D1" w14:textId="77777777" w:rsidTr="00EB4769">
        <w:trPr>
          <w:trHeight w:val="288"/>
        </w:trPr>
        <w:tc>
          <w:tcPr>
            <w:tcW w:w="1206" w:type="dxa"/>
            <w:tcBorders>
              <w:top w:val="nil"/>
              <w:left w:val="nil"/>
              <w:bottom w:val="nil"/>
              <w:right w:val="nil"/>
            </w:tcBorders>
            <w:noWrap/>
            <w:vAlign w:val="bottom"/>
            <w:hideMark/>
          </w:tcPr>
          <w:p w14:paraId="0A4078B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T3</w:t>
            </w:r>
          </w:p>
        </w:tc>
        <w:tc>
          <w:tcPr>
            <w:tcW w:w="1700" w:type="dxa"/>
            <w:tcBorders>
              <w:top w:val="nil"/>
              <w:left w:val="nil"/>
              <w:bottom w:val="nil"/>
              <w:right w:val="nil"/>
            </w:tcBorders>
            <w:noWrap/>
            <w:vAlign w:val="bottom"/>
            <w:hideMark/>
          </w:tcPr>
          <w:p w14:paraId="66647E5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41.70</w:t>
            </w:r>
          </w:p>
        </w:tc>
        <w:tc>
          <w:tcPr>
            <w:tcW w:w="1440" w:type="dxa"/>
            <w:tcBorders>
              <w:top w:val="nil"/>
              <w:left w:val="nil"/>
              <w:bottom w:val="nil"/>
              <w:right w:val="nil"/>
            </w:tcBorders>
            <w:noWrap/>
            <w:vAlign w:val="bottom"/>
            <w:hideMark/>
          </w:tcPr>
          <w:p w14:paraId="3850AD39"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52.60</w:t>
            </w:r>
          </w:p>
        </w:tc>
        <w:tc>
          <w:tcPr>
            <w:tcW w:w="1691" w:type="dxa"/>
            <w:tcBorders>
              <w:top w:val="nil"/>
              <w:left w:val="nil"/>
              <w:bottom w:val="nil"/>
              <w:right w:val="nil"/>
            </w:tcBorders>
            <w:noWrap/>
            <w:vAlign w:val="bottom"/>
            <w:hideMark/>
          </w:tcPr>
          <w:p w14:paraId="0A122BB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94.94</w:t>
            </w:r>
          </w:p>
        </w:tc>
        <w:tc>
          <w:tcPr>
            <w:tcW w:w="1710" w:type="dxa"/>
            <w:tcBorders>
              <w:top w:val="nil"/>
              <w:left w:val="nil"/>
              <w:bottom w:val="nil"/>
              <w:right w:val="nil"/>
            </w:tcBorders>
            <w:shd w:val="clear" w:color="000000" w:fill="FFFFFF"/>
            <w:noWrap/>
            <w:vAlign w:val="bottom"/>
            <w:hideMark/>
          </w:tcPr>
          <w:p w14:paraId="7623D44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43.99</w:t>
            </w:r>
          </w:p>
        </w:tc>
      </w:tr>
      <w:tr w:rsidR="00EB4769" w:rsidRPr="00F218B3" w14:paraId="619734ED" w14:textId="77777777" w:rsidTr="00EB4769">
        <w:trPr>
          <w:trHeight w:val="288"/>
        </w:trPr>
        <w:tc>
          <w:tcPr>
            <w:tcW w:w="1206" w:type="dxa"/>
            <w:tcBorders>
              <w:top w:val="nil"/>
              <w:left w:val="nil"/>
              <w:bottom w:val="nil"/>
              <w:right w:val="nil"/>
            </w:tcBorders>
            <w:noWrap/>
            <w:vAlign w:val="bottom"/>
            <w:hideMark/>
          </w:tcPr>
          <w:p w14:paraId="020F3F2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T4</w:t>
            </w:r>
          </w:p>
        </w:tc>
        <w:tc>
          <w:tcPr>
            <w:tcW w:w="1700" w:type="dxa"/>
            <w:tcBorders>
              <w:top w:val="nil"/>
              <w:left w:val="nil"/>
              <w:bottom w:val="nil"/>
              <w:right w:val="nil"/>
            </w:tcBorders>
            <w:noWrap/>
            <w:vAlign w:val="bottom"/>
            <w:hideMark/>
          </w:tcPr>
          <w:p w14:paraId="1DF6880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34.94</w:t>
            </w:r>
          </w:p>
        </w:tc>
        <w:tc>
          <w:tcPr>
            <w:tcW w:w="1440" w:type="dxa"/>
            <w:tcBorders>
              <w:top w:val="nil"/>
              <w:left w:val="nil"/>
              <w:bottom w:val="nil"/>
              <w:right w:val="nil"/>
            </w:tcBorders>
            <w:noWrap/>
            <w:vAlign w:val="bottom"/>
            <w:hideMark/>
          </w:tcPr>
          <w:p w14:paraId="15CDF5C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47.87</w:t>
            </w:r>
          </w:p>
        </w:tc>
        <w:tc>
          <w:tcPr>
            <w:tcW w:w="1691" w:type="dxa"/>
            <w:tcBorders>
              <w:top w:val="nil"/>
              <w:left w:val="nil"/>
              <w:bottom w:val="nil"/>
              <w:right w:val="nil"/>
            </w:tcBorders>
            <w:noWrap/>
            <w:vAlign w:val="bottom"/>
            <w:hideMark/>
          </w:tcPr>
          <w:p w14:paraId="195A8D5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83.57</w:t>
            </w:r>
          </w:p>
        </w:tc>
        <w:tc>
          <w:tcPr>
            <w:tcW w:w="1710" w:type="dxa"/>
            <w:tcBorders>
              <w:top w:val="nil"/>
              <w:left w:val="nil"/>
              <w:bottom w:val="nil"/>
              <w:right w:val="nil"/>
            </w:tcBorders>
            <w:shd w:val="clear" w:color="000000" w:fill="FFFFFF"/>
            <w:noWrap/>
            <w:vAlign w:val="bottom"/>
            <w:hideMark/>
          </w:tcPr>
          <w:p w14:paraId="41EDF9D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41.67</w:t>
            </w:r>
          </w:p>
        </w:tc>
      </w:tr>
      <w:tr w:rsidR="00EB4769" w:rsidRPr="00F218B3" w14:paraId="3F3105CD" w14:textId="77777777" w:rsidTr="00EB4769">
        <w:trPr>
          <w:trHeight w:val="288"/>
        </w:trPr>
        <w:tc>
          <w:tcPr>
            <w:tcW w:w="1206" w:type="dxa"/>
            <w:tcBorders>
              <w:top w:val="nil"/>
              <w:left w:val="nil"/>
              <w:bottom w:val="nil"/>
              <w:right w:val="nil"/>
            </w:tcBorders>
            <w:noWrap/>
            <w:vAlign w:val="bottom"/>
            <w:hideMark/>
          </w:tcPr>
          <w:p w14:paraId="00D6574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T5</w:t>
            </w:r>
          </w:p>
        </w:tc>
        <w:tc>
          <w:tcPr>
            <w:tcW w:w="1700" w:type="dxa"/>
            <w:tcBorders>
              <w:top w:val="nil"/>
              <w:left w:val="nil"/>
              <w:bottom w:val="nil"/>
              <w:right w:val="nil"/>
            </w:tcBorders>
            <w:noWrap/>
            <w:vAlign w:val="bottom"/>
            <w:hideMark/>
          </w:tcPr>
          <w:p w14:paraId="39DFA10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45.48</w:t>
            </w:r>
          </w:p>
        </w:tc>
        <w:tc>
          <w:tcPr>
            <w:tcW w:w="1440" w:type="dxa"/>
            <w:tcBorders>
              <w:top w:val="nil"/>
              <w:left w:val="nil"/>
              <w:bottom w:val="nil"/>
              <w:right w:val="nil"/>
            </w:tcBorders>
            <w:noWrap/>
            <w:vAlign w:val="bottom"/>
            <w:hideMark/>
          </w:tcPr>
          <w:p w14:paraId="5330652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58.31</w:t>
            </w:r>
          </w:p>
        </w:tc>
        <w:tc>
          <w:tcPr>
            <w:tcW w:w="1691" w:type="dxa"/>
            <w:tcBorders>
              <w:top w:val="nil"/>
              <w:left w:val="nil"/>
              <w:bottom w:val="nil"/>
              <w:right w:val="nil"/>
            </w:tcBorders>
            <w:noWrap/>
            <w:vAlign w:val="bottom"/>
            <w:hideMark/>
          </w:tcPr>
          <w:p w14:paraId="02A55A8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104.59</w:t>
            </w:r>
          </w:p>
        </w:tc>
        <w:tc>
          <w:tcPr>
            <w:tcW w:w="1710" w:type="dxa"/>
            <w:tcBorders>
              <w:top w:val="nil"/>
              <w:left w:val="nil"/>
              <w:bottom w:val="nil"/>
              <w:right w:val="nil"/>
            </w:tcBorders>
            <w:shd w:val="clear" w:color="000000" w:fill="FFFFFF"/>
            <w:noWrap/>
            <w:vAlign w:val="bottom"/>
            <w:hideMark/>
          </w:tcPr>
          <w:p w14:paraId="1C8F440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43.58</w:t>
            </w:r>
          </w:p>
        </w:tc>
      </w:tr>
      <w:tr w:rsidR="00EB4769" w:rsidRPr="00F218B3" w14:paraId="5EEA85F4" w14:textId="77777777" w:rsidTr="00EB4769">
        <w:trPr>
          <w:trHeight w:val="288"/>
        </w:trPr>
        <w:tc>
          <w:tcPr>
            <w:tcW w:w="1206" w:type="dxa"/>
            <w:tcBorders>
              <w:top w:val="nil"/>
              <w:left w:val="nil"/>
              <w:bottom w:val="nil"/>
              <w:right w:val="nil"/>
            </w:tcBorders>
            <w:noWrap/>
            <w:vAlign w:val="bottom"/>
            <w:hideMark/>
          </w:tcPr>
          <w:p w14:paraId="56B86AB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T6</w:t>
            </w:r>
          </w:p>
        </w:tc>
        <w:tc>
          <w:tcPr>
            <w:tcW w:w="1700" w:type="dxa"/>
            <w:tcBorders>
              <w:top w:val="nil"/>
              <w:left w:val="nil"/>
              <w:bottom w:val="nil"/>
              <w:right w:val="nil"/>
            </w:tcBorders>
            <w:noWrap/>
            <w:vAlign w:val="bottom"/>
            <w:hideMark/>
          </w:tcPr>
          <w:p w14:paraId="7BE358E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45.44</w:t>
            </w:r>
          </w:p>
        </w:tc>
        <w:tc>
          <w:tcPr>
            <w:tcW w:w="1440" w:type="dxa"/>
            <w:tcBorders>
              <w:top w:val="nil"/>
              <w:left w:val="nil"/>
              <w:bottom w:val="nil"/>
              <w:right w:val="nil"/>
            </w:tcBorders>
            <w:noWrap/>
            <w:vAlign w:val="bottom"/>
            <w:hideMark/>
          </w:tcPr>
          <w:p w14:paraId="5BD789D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58.21</w:t>
            </w:r>
          </w:p>
        </w:tc>
        <w:tc>
          <w:tcPr>
            <w:tcW w:w="1691" w:type="dxa"/>
            <w:tcBorders>
              <w:top w:val="nil"/>
              <w:left w:val="nil"/>
              <w:bottom w:val="nil"/>
              <w:right w:val="nil"/>
            </w:tcBorders>
            <w:noWrap/>
            <w:vAlign w:val="bottom"/>
            <w:hideMark/>
          </w:tcPr>
          <w:p w14:paraId="76D0B03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104.44</w:t>
            </w:r>
          </w:p>
        </w:tc>
        <w:tc>
          <w:tcPr>
            <w:tcW w:w="1710" w:type="dxa"/>
            <w:tcBorders>
              <w:top w:val="nil"/>
              <w:left w:val="nil"/>
              <w:bottom w:val="nil"/>
              <w:right w:val="nil"/>
            </w:tcBorders>
            <w:shd w:val="clear" w:color="000000" w:fill="FFFFFF"/>
            <w:noWrap/>
            <w:vAlign w:val="bottom"/>
            <w:hideMark/>
          </w:tcPr>
          <w:p w14:paraId="3F05DC8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43.41</w:t>
            </w:r>
          </w:p>
        </w:tc>
      </w:tr>
      <w:tr w:rsidR="00EB4769" w:rsidRPr="00F218B3" w14:paraId="7EC3D0C7" w14:textId="77777777" w:rsidTr="00EB4769">
        <w:trPr>
          <w:trHeight w:val="288"/>
        </w:trPr>
        <w:tc>
          <w:tcPr>
            <w:tcW w:w="1206" w:type="dxa"/>
            <w:tcBorders>
              <w:top w:val="single" w:sz="4" w:space="0" w:color="auto"/>
              <w:left w:val="nil"/>
              <w:bottom w:val="nil"/>
              <w:right w:val="nil"/>
            </w:tcBorders>
            <w:noWrap/>
            <w:vAlign w:val="center"/>
            <w:hideMark/>
          </w:tcPr>
          <w:p w14:paraId="6621CA17" w14:textId="77777777" w:rsidR="00EB4769" w:rsidRPr="008D36E3" w:rsidRDefault="00EB4769" w:rsidP="00EB4769">
            <w:pPr>
              <w:jc w:val="center"/>
              <w:rPr>
                <w:rFonts w:ascii="Arial" w:hAnsi="Arial" w:cs="Arial"/>
                <w:color w:val="000000"/>
                <w:lang w:eastAsia="en-IN" w:bidi="hi-IN"/>
              </w:rPr>
            </w:pPr>
            <w:proofErr w:type="spellStart"/>
            <w:proofErr w:type="gramStart"/>
            <w:r w:rsidRPr="008D36E3">
              <w:rPr>
                <w:rFonts w:ascii="Arial" w:hAnsi="Arial" w:cs="Arial"/>
                <w:color w:val="000000"/>
                <w:lang w:eastAsia="en-IN" w:bidi="hi-IN"/>
              </w:rPr>
              <w:t>SEm</w:t>
            </w:r>
            <w:proofErr w:type="spellEnd"/>
            <w:r w:rsidRPr="008D36E3">
              <w:rPr>
                <w:rFonts w:ascii="Arial" w:hAnsi="Arial" w:cs="Arial"/>
                <w:color w:val="000000"/>
                <w:lang w:eastAsia="en-IN" w:bidi="hi-IN"/>
              </w:rPr>
              <w:t>(</w:t>
            </w:r>
            <w:proofErr w:type="gramEnd"/>
            <w:r w:rsidRPr="008D36E3">
              <w:rPr>
                <w:rFonts w:ascii="Arial" w:hAnsi="Arial" w:cs="Arial"/>
                <w:color w:val="000000"/>
                <w:lang w:eastAsia="en-IN" w:bidi="hi-IN"/>
              </w:rPr>
              <w:t xml:space="preserve">±) </w:t>
            </w:r>
          </w:p>
        </w:tc>
        <w:tc>
          <w:tcPr>
            <w:tcW w:w="1700" w:type="dxa"/>
            <w:tcBorders>
              <w:top w:val="single" w:sz="4" w:space="0" w:color="auto"/>
              <w:left w:val="nil"/>
              <w:bottom w:val="nil"/>
              <w:right w:val="nil"/>
            </w:tcBorders>
            <w:noWrap/>
            <w:vAlign w:val="bottom"/>
            <w:hideMark/>
          </w:tcPr>
          <w:p w14:paraId="3952B623"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2.76</w:t>
            </w:r>
          </w:p>
        </w:tc>
        <w:tc>
          <w:tcPr>
            <w:tcW w:w="1440" w:type="dxa"/>
            <w:tcBorders>
              <w:top w:val="single" w:sz="4" w:space="0" w:color="auto"/>
              <w:left w:val="nil"/>
              <w:bottom w:val="nil"/>
              <w:right w:val="nil"/>
            </w:tcBorders>
            <w:noWrap/>
            <w:vAlign w:val="bottom"/>
            <w:hideMark/>
          </w:tcPr>
          <w:p w14:paraId="3522382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3.05</w:t>
            </w:r>
          </w:p>
        </w:tc>
        <w:tc>
          <w:tcPr>
            <w:tcW w:w="1691" w:type="dxa"/>
            <w:tcBorders>
              <w:top w:val="single" w:sz="4" w:space="0" w:color="auto"/>
              <w:left w:val="nil"/>
              <w:bottom w:val="nil"/>
              <w:right w:val="nil"/>
            </w:tcBorders>
            <w:noWrap/>
            <w:vAlign w:val="bottom"/>
            <w:hideMark/>
          </w:tcPr>
          <w:p w14:paraId="7CD0148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3.40</w:t>
            </w:r>
          </w:p>
        </w:tc>
        <w:tc>
          <w:tcPr>
            <w:tcW w:w="1710" w:type="dxa"/>
            <w:tcBorders>
              <w:top w:val="single" w:sz="4" w:space="0" w:color="auto"/>
              <w:left w:val="nil"/>
              <w:bottom w:val="nil"/>
              <w:right w:val="nil"/>
            </w:tcBorders>
            <w:shd w:val="clear" w:color="000000" w:fill="FFFFFF"/>
            <w:noWrap/>
            <w:vAlign w:val="bottom"/>
            <w:hideMark/>
          </w:tcPr>
          <w:p w14:paraId="55B0E81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0.98</w:t>
            </w:r>
          </w:p>
        </w:tc>
      </w:tr>
      <w:tr w:rsidR="00EB4769" w:rsidRPr="00F218B3" w14:paraId="45443D0B" w14:textId="77777777" w:rsidTr="00EB4769">
        <w:trPr>
          <w:trHeight w:val="288"/>
        </w:trPr>
        <w:tc>
          <w:tcPr>
            <w:tcW w:w="1206" w:type="dxa"/>
            <w:tcBorders>
              <w:top w:val="nil"/>
              <w:left w:val="nil"/>
              <w:bottom w:val="single" w:sz="4" w:space="0" w:color="auto"/>
              <w:right w:val="nil"/>
            </w:tcBorders>
            <w:noWrap/>
            <w:vAlign w:val="center"/>
            <w:hideMark/>
          </w:tcPr>
          <w:p w14:paraId="392D651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CD (0.05) </w:t>
            </w:r>
          </w:p>
        </w:tc>
        <w:tc>
          <w:tcPr>
            <w:tcW w:w="1700" w:type="dxa"/>
            <w:tcBorders>
              <w:top w:val="nil"/>
              <w:left w:val="nil"/>
              <w:bottom w:val="single" w:sz="4" w:space="0" w:color="auto"/>
              <w:right w:val="nil"/>
            </w:tcBorders>
            <w:noWrap/>
            <w:vAlign w:val="bottom"/>
            <w:hideMark/>
          </w:tcPr>
          <w:p w14:paraId="1D8D0F6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8.06</w:t>
            </w:r>
          </w:p>
        </w:tc>
        <w:tc>
          <w:tcPr>
            <w:tcW w:w="1440" w:type="dxa"/>
            <w:tcBorders>
              <w:top w:val="nil"/>
              <w:left w:val="nil"/>
              <w:bottom w:val="single" w:sz="4" w:space="0" w:color="auto"/>
              <w:right w:val="nil"/>
            </w:tcBorders>
            <w:noWrap/>
            <w:vAlign w:val="bottom"/>
            <w:hideMark/>
          </w:tcPr>
          <w:p w14:paraId="4795DF8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8.93</w:t>
            </w:r>
          </w:p>
        </w:tc>
        <w:tc>
          <w:tcPr>
            <w:tcW w:w="1691" w:type="dxa"/>
            <w:tcBorders>
              <w:top w:val="nil"/>
              <w:left w:val="nil"/>
              <w:bottom w:val="single" w:sz="4" w:space="0" w:color="auto"/>
              <w:right w:val="nil"/>
            </w:tcBorders>
            <w:noWrap/>
            <w:vAlign w:val="bottom"/>
            <w:hideMark/>
          </w:tcPr>
          <w:p w14:paraId="5BAC2AF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9.94</w:t>
            </w:r>
          </w:p>
        </w:tc>
        <w:tc>
          <w:tcPr>
            <w:tcW w:w="1710" w:type="dxa"/>
            <w:tcBorders>
              <w:top w:val="nil"/>
              <w:left w:val="nil"/>
              <w:bottom w:val="single" w:sz="4" w:space="0" w:color="auto"/>
              <w:right w:val="nil"/>
            </w:tcBorders>
            <w:noWrap/>
            <w:vAlign w:val="bottom"/>
            <w:hideMark/>
          </w:tcPr>
          <w:p w14:paraId="76F8E3B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NS</w:t>
            </w:r>
          </w:p>
        </w:tc>
      </w:tr>
    </w:tbl>
    <w:p w14:paraId="74CDB358" w14:textId="7DA33DEF" w:rsidR="00EB4769" w:rsidRDefault="00EB4769" w:rsidP="00EB4769">
      <w:pPr>
        <w:tabs>
          <w:tab w:val="left" w:pos="3216"/>
        </w:tabs>
      </w:pPr>
    </w:p>
    <w:p w14:paraId="2B74AD77" w14:textId="77777777" w:rsidR="00EB4769" w:rsidRDefault="00EB4769" w:rsidP="00EB4769">
      <w:pPr>
        <w:tabs>
          <w:tab w:val="left" w:pos="3216"/>
        </w:tabs>
      </w:pPr>
    </w:p>
    <w:p w14:paraId="4D0F8BDD" w14:textId="77777777" w:rsidR="00EB4769" w:rsidRDefault="00EB4769" w:rsidP="00EB4769">
      <w:pPr>
        <w:jc w:val="both"/>
        <w:rPr>
          <w:rFonts w:ascii="Times New Roman" w:hAnsi="Times New Roman"/>
          <w:b/>
          <w:bCs/>
          <w:sz w:val="24"/>
          <w:szCs w:val="24"/>
        </w:rPr>
      </w:pPr>
    </w:p>
    <w:p w14:paraId="5A8EF392" w14:textId="77777777" w:rsidR="00EB4769" w:rsidRDefault="00EB4769" w:rsidP="00EB4769">
      <w:pPr>
        <w:jc w:val="both"/>
        <w:rPr>
          <w:rFonts w:ascii="Times New Roman" w:hAnsi="Times New Roman"/>
          <w:b/>
          <w:bCs/>
          <w:sz w:val="24"/>
          <w:szCs w:val="24"/>
        </w:rPr>
      </w:pPr>
    </w:p>
    <w:p w14:paraId="5198C3FA" w14:textId="77777777" w:rsidR="00EB4769" w:rsidRDefault="00EB4769" w:rsidP="00EB4769">
      <w:pPr>
        <w:jc w:val="both"/>
        <w:rPr>
          <w:rFonts w:ascii="Times New Roman" w:hAnsi="Times New Roman"/>
          <w:b/>
          <w:bCs/>
          <w:sz w:val="24"/>
          <w:szCs w:val="24"/>
        </w:rPr>
      </w:pPr>
    </w:p>
    <w:p w14:paraId="27AE15A8" w14:textId="77777777" w:rsidR="00EB4769" w:rsidRDefault="00EB4769" w:rsidP="00EB4769">
      <w:pPr>
        <w:jc w:val="both"/>
        <w:rPr>
          <w:rFonts w:ascii="Times New Roman" w:hAnsi="Times New Roman"/>
          <w:b/>
          <w:bCs/>
          <w:sz w:val="24"/>
          <w:szCs w:val="24"/>
        </w:rPr>
      </w:pPr>
    </w:p>
    <w:p w14:paraId="0E8C0AAF" w14:textId="77777777" w:rsidR="00EB4769" w:rsidRDefault="00EB4769" w:rsidP="00EB4769">
      <w:pPr>
        <w:jc w:val="both"/>
        <w:rPr>
          <w:rFonts w:ascii="Times New Roman" w:hAnsi="Times New Roman"/>
          <w:b/>
          <w:bCs/>
          <w:sz w:val="24"/>
          <w:szCs w:val="24"/>
        </w:rPr>
      </w:pPr>
    </w:p>
    <w:p w14:paraId="38B3A780" w14:textId="77777777" w:rsidR="00EB4769" w:rsidRDefault="00EB4769" w:rsidP="00EB4769">
      <w:pPr>
        <w:jc w:val="both"/>
        <w:rPr>
          <w:rFonts w:ascii="Times New Roman" w:hAnsi="Times New Roman"/>
          <w:b/>
          <w:bCs/>
          <w:sz w:val="24"/>
          <w:szCs w:val="24"/>
        </w:rPr>
      </w:pPr>
    </w:p>
    <w:p w14:paraId="5EA47409" w14:textId="77777777" w:rsidR="00EB4769" w:rsidRDefault="00EB4769" w:rsidP="00EB4769">
      <w:pPr>
        <w:jc w:val="both"/>
        <w:rPr>
          <w:rFonts w:ascii="Times New Roman" w:hAnsi="Times New Roman"/>
          <w:b/>
          <w:bCs/>
          <w:sz w:val="24"/>
          <w:szCs w:val="24"/>
        </w:rPr>
      </w:pPr>
    </w:p>
    <w:p w14:paraId="3BDB811C" w14:textId="77777777" w:rsidR="00EB4769" w:rsidRDefault="00EB4769" w:rsidP="00EB4769">
      <w:pPr>
        <w:jc w:val="both"/>
        <w:rPr>
          <w:rFonts w:ascii="Times New Roman" w:hAnsi="Times New Roman"/>
          <w:b/>
          <w:bCs/>
          <w:sz w:val="24"/>
          <w:szCs w:val="24"/>
        </w:rPr>
      </w:pPr>
    </w:p>
    <w:p w14:paraId="5F7EA321" w14:textId="77777777" w:rsidR="00EB4769" w:rsidRDefault="00EB4769" w:rsidP="00EB4769">
      <w:pPr>
        <w:jc w:val="both"/>
        <w:rPr>
          <w:rFonts w:ascii="Times New Roman" w:hAnsi="Times New Roman"/>
          <w:b/>
          <w:bCs/>
          <w:sz w:val="24"/>
          <w:szCs w:val="24"/>
        </w:rPr>
      </w:pPr>
    </w:p>
    <w:p w14:paraId="283972D1" w14:textId="77777777" w:rsidR="00EB4769" w:rsidRDefault="00EB4769" w:rsidP="00EB4769">
      <w:pPr>
        <w:jc w:val="both"/>
        <w:rPr>
          <w:rFonts w:ascii="Times New Roman" w:hAnsi="Times New Roman"/>
          <w:b/>
          <w:bCs/>
          <w:sz w:val="24"/>
          <w:szCs w:val="24"/>
        </w:rPr>
      </w:pPr>
    </w:p>
    <w:p w14:paraId="35F142CF" w14:textId="573BB271" w:rsidR="00EB4769" w:rsidRPr="00EB4769" w:rsidRDefault="00EB4769" w:rsidP="00EB4769">
      <w:pPr>
        <w:jc w:val="both"/>
        <w:rPr>
          <w:rFonts w:ascii="Arial" w:hAnsi="Arial" w:cs="Arial"/>
        </w:rPr>
      </w:pPr>
      <w:r w:rsidRPr="00EB4769">
        <w:rPr>
          <w:rFonts w:ascii="Arial" w:hAnsi="Arial" w:cs="Arial"/>
          <w:b/>
          <w:bCs/>
        </w:rPr>
        <w:t>T1:</w:t>
      </w:r>
      <w:r w:rsidRPr="00EB4769">
        <w:rPr>
          <w:rFonts w:ascii="Arial" w:hAnsi="Arial" w:cs="Arial"/>
        </w:rPr>
        <w:t xml:space="preserve"> Control, </w:t>
      </w:r>
      <w:r w:rsidRPr="00EB4769">
        <w:rPr>
          <w:rFonts w:ascii="Arial" w:hAnsi="Arial" w:cs="Arial"/>
          <w:b/>
          <w:bCs/>
        </w:rPr>
        <w:t>T2:</w:t>
      </w:r>
      <w:r w:rsidRPr="00EB4769">
        <w:rPr>
          <w:rFonts w:ascii="Arial" w:hAnsi="Arial" w:cs="Arial"/>
        </w:rPr>
        <w:t xml:space="preserve"> 50% RDF(NPK), </w:t>
      </w:r>
      <w:r w:rsidRPr="00EB4769">
        <w:rPr>
          <w:rFonts w:ascii="Arial" w:hAnsi="Arial" w:cs="Arial"/>
          <w:b/>
          <w:bCs/>
        </w:rPr>
        <w:t>T3:</w:t>
      </w:r>
      <w:r w:rsidRPr="00EB4769">
        <w:rPr>
          <w:rFonts w:ascii="Arial" w:hAnsi="Arial" w:cs="Arial"/>
        </w:rPr>
        <w:t xml:space="preserve">100% RDF(NPK), </w:t>
      </w:r>
      <w:r w:rsidRPr="00EB4769">
        <w:rPr>
          <w:rFonts w:ascii="Arial" w:hAnsi="Arial" w:cs="Arial"/>
          <w:b/>
          <w:bCs/>
        </w:rPr>
        <w:t>T4:</w:t>
      </w:r>
      <w:r w:rsidRPr="00EB4769">
        <w:rPr>
          <w:rFonts w:ascii="Arial" w:hAnsi="Arial" w:cs="Arial"/>
        </w:rPr>
        <w:t xml:space="preserve"> 0.1% Azotobacter + 1% Vermi Compost + 1% Poultry Litter + 1% Oil Cake + 1% Farm Yard Manure, </w:t>
      </w:r>
      <w:r w:rsidRPr="00EB4769">
        <w:rPr>
          <w:rFonts w:ascii="Arial" w:hAnsi="Arial" w:cs="Arial"/>
          <w:b/>
          <w:bCs/>
        </w:rPr>
        <w:t>T5</w:t>
      </w:r>
      <w:r w:rsidRPr="00EB4769">
        <w:rPr>
          <w:rFonts w:ascii="Arial" w:hAnsi="Arial" w:cs="Arial"/>
        </w:rPr>
        <w:t xml:space="preserve">: T4 + 50% RDF(NPK), </w:t>
      </w:r>
      <w:r w:rsidRPr="00EB4769">
        <w:rPr>
          <w:rFonts w:ascii="Arial" w:hAnsi="Arial" w:cs="Arial"/>
          <w:b/>
          <w:bCs/>
        </w:rPr>
        <w:t>T6:</w:t>
      </w:r>
      <w:r w:rsidRPr="00EB4769">
        <w:rPr>
          <w:rFonts w:ascii="Arial" w:hAnsi="Arial" w:cs="Arial"/>
        </w:rPr>
        <w:t xml:space="preserve"> T4 + 100% RDF(NPK)</w:t>
      </w:r>
    </w:p>
    <w:p w14:paraId="3BB34F13" w14:textId="77777777" w:rsidR="00EB4769" w:rsidRPr="00EB4769" w:rsidRDefault="00EB4769" w:rsidP="00EB4769">
      <w:pPr>
        <w:tabs>
          <w:tab w:val="left" w:pos="3216"/>
        </w:tabs>
        <w:rPr>
          <w:rFonts w:ascii="Arial" w:hAnsi="Arial" w:cs="Arial"/>
          <w:sz w:val="16"/>
          <w:szCs w:val="16"/>
        </w:rPr>
      </w:pPr>
    </w:p>
    <w:sectPr w:rsidR="00EB4769" w:rsidRPr="00EB4769" w:rsidSect="004A404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 Dinesh" w:date="2025-10-23T12:53:00Z" w:initials="DD">
    <w:p w14:paraId="35CD7AC3" w14:textId="58190A1F" w:rsidR="00060811" w:rsidRDefault="00060811">
      <w:pPr>
        <w:pStyle w:val="CommentText"/>
      </w:pPr>
      <w:r>
        <w:rPr>
          <w:rStyle w:val="CommentReference"/>
        </w:rPr>
        <w:annotationRef/>
      </w:r>
      <w:r>
        <w:t xml:space="preserve">Need to be rewirte </w:t>
      </w:r>
    </w:p>
  </w:comment>
  <w:comment w:id="1" w:author="D Dinesh" w:date="2025-10-23T12:53:00Z" w:initials="DD">
    <w:p w14:paraId="53A62E5D" w14:textId="0AE077BC" w:rsidR="00060811" w:rsidRDefault="00060811">
      <w:pPr>
        <w:pStyle w:val="CommentText"/>
      </w:pPr>
      <w:r>
        <w:rPr>
          <w:rStyle w:val="CommentReference"/>
        </w:rPr>
        <w:annotationRef/>
      </w:r>
      <w:r>
        <w:t>Reference ?</w:t>
      </w:r>
    </w:p>
  </w:comment>
  <w:comment w:id="2" w:author="D Dinesh" w:date="2025-10-23T12:35:00Z" w:initials="DD">
    <w:p w14:paraId="7B0F02ED" w14:textId="77777777" w:rsidR="00C37C28" w:rsidRDefault="00C37C28">
      <w:pPr>
        <w:pStyle w:val="CommentText"/>
      </w:pPr>
      <w:r>
        <w:rPr>
          <w:rStyle w:val="CommentReference"/>
        </w:rPr>
        <w:annotationRef/>
      </w:r>
      <w:r>
        <w:t>It  is not clear what is qnatity applied actual 0.1% azotobacter +1% vermicompost is it soil application or spray .. explain it clearly ???</w:t>
      </w:r>
    </w:p>
    <w:p w14:paraId="0746C005" w14:textId="3F45EFF6" w:rsidR="00C37C28" w:rsidRDefault="00C37C28">
      <w:pPr>
        <w:pStyle w:val="CommentText"/>
      </w:pPr>
    </w:p>
  </w:comment>
  <w:comment w:id="3" w:author="D Dinesh" w:date="2025-10-23T12:39:00Z" w:initials="DD">
    <w:p w14:paraId="09F03B02" w14:textId="5201DAA6" w:rsidR="00C37C28" w:rsidRDefault="00C37C28">
      <w:pPr>
        <w:pStyle w:val="CommentText"/>
      </w:pPr>
      <w:r>
        <w:rPr>
          <w:rStyle w:val="CommentReference"/>
        </w:rPr>
        <w:annotationRef/>
      </w:r>
      <w:r>
        <w:t>Reference?</w:t>
      </w:r>
    </w:p>
  </w:comment>
  <w:comment w:id="5" w:author="D Dinesh" w:date="2025-10-23T12:54:00Z" w:initials="DD">
    <w:p w14:paraId="605E1C45" w14:textId="58CED8A0" w:rsidR="00060811" w:rsidRDefault="00060811">
      <w:pPr>
        <w:pStyle w:val="CommentText"/>
      </w:pPr>
      <w:r>
        <w:rPr>
          <w:rStyle w:val="CommentReference"/>
        </w:rPr>
        <w:annotationRef/>
      </w:r>
      <w:r>
        <w:t xml:space="preserve">Valuse seems to be high </w:t>
      </w:r>
    </w:p>
  </w:comment>
  <w:comment w:id="6" w:author="D Dinesh" w:date="2025-10-23T12:54:00Z" w:initials="DD">
    <w:p w14:paraId="12595988" w14:textId="14ACEDBA" w:rsidR="00060811" w:rsidRDefault="00060811">
      <w:pPr>
        <w:pStyle w:val="CommentText"/>
      </w:pPr>
      <w:r>
        <w:rPr>
          <w:rStyle w:val="CommentReference"/>
        </w:rPr>
        <w:annotationRef/>
      </w:r>
      <w:r>
        <w:t xml:space="preserve">Valusle is too low with respect to soil OC valuse concern need to rechecked the valuses </w:t>
      </w:r>
    </w:p>
  </w:comment>
  <w:comment w:id="7" w:author="D Dinesh" w:date="2025-10-23T12:59:00Z" w:initials="DD">
    <w:p w14:paraId="6F88029A" w14:textId="78FD11C7" w:rsidR="00700AF1" w:rsidRDefault="00700AF1">
      <w:pPr>
        <w:pStyle w:val="CommentText"/>
      </w:pPr>
      <w:r>
        <w:rPr>
          <w:rStyle w:val="CommentReference"/>
        </w:rPr>
        <w:annotationRef/>
      </w:r>
      <w:r>
        <w:t>Unit should be either kg/ha or t/ha not qha-1</w:t>
      </w:r>
    </w:p>
  </w:comment>
  <w:comment w:id="8" w:author="D Dinesh" w:date="2025-10-23T12:59:00Z" w:initials="DD">
    <w:p w14:paraId="6ED5B2BD" w14:textId="5AF7CD33" w:rsidR="00700AF1" w:rsidRDefault="00700AF1">
      <w:pPr>
        <w:pStyle w:val="CommentText"/>
      </w:pPr>
      <w:r>
        <w:rPr>
          <w:rStyle w:val="CommentReference"/>
        </w:rPr>
        <w:annotationRef/>
      </w:r>
      <w:r>
        <w:t xml:space="preserve">What is mean ? how it is calculated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D7AC3" w15:done="0"/>
  <w15:commentEx w15:paraId="53A62E5D" w15:done="0"/>
  <w15:commentEx w15:paraId="0746C005" w15:done="0"/>
  <w15:commentEx w15:paraId="09F03B02" w15:done="0"/>
  <w15:commentEx w15:paraId="605E1C45" w15:done="0"/>
  <w15:commentEx w15:paraId="12595988" w15:done="0"/>
  <w15:commentEx w15:paraId="6F88029A" w15:done="0"/>
  <w15:commentEx w15:paraId="6ED5B2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3FF1E" w16cex:dateUtc="2025-10-23T07:23:00Z"/>
  <w16cex:commentExtensible w16cex:durableId="7D1EA33E" w16cex:dateUtc="2025-10-23T07:23:00Z"/>
  <w16cex:commentExtensible w16cex:durableId="5C3E72AB" w16cex:dateUtc="2025-10-23T07:05:00Z"/>
  <w16cex:commentExtensible w16cex:durableId="782DE47F" w16cex:dateUtc="2025-10-23T07:09:00Z"/>
  <w16cex:commentExtensible w16cex:durableId="17CDB6BE" w16cex:dateUtc="2025-10-23T07:24:00Z"/>
  <w16cex:commentExtensible w16cex:durableId="209C5C23" w16cex:dateUtc="2025-10-23T07:24:00Z"/>
  <w16cex:commentExtensible w16cex:durableId="090AEFBA" w16cex:dateUtc="2025-10-23T07:29:00Z"/>
  <w16cex:commentExtensible w16cex:durableId="10AE60C3" w16cex:dateUtc="2025-10-23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D7AC3" w16cid:durableId="1603FF1E"/>
  <w16cid:commentId w16cid:paraId="53A62E5D" w16cid:durableId="7D1EA33E"/>
  <w16cid:commentId w16cid:paraId="0746C005" w16cid:durableId="5C3E72AB"/>
  <w16cid:commentId w16cid:paraId="09F03B02" w16cid:durableId="782DE47F"/>
  <w16cid:commentId w16cid:paraId="605E1C45" w16cid:durableId="17CDB6BE"/>
  <w16cid:commentId w16cid:paraId="12595988" w16cid:durableId="209C5C23"/>
  <w16cid:commentId w16cid:paraId="6F88029A" w16cid:durableId="090AEFBA"/>
  <w16cid:commentId w16cid:paraId="6ED5B2BD" w16cid:durableId="10AE60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3F25" w14:textId="77777777" w:rsidR="00CC05CA" w:rsidRDefault="00CC05CA" w:rsidP="00C37E61">
      <w:r>
        <w:separator/>
      </w:r>
    </w:p>
  </w:endnote>
  <w:endnote w:type="continuationSeparator" w:id="0">
    <w:p w14:paraId="64E6FFD5" w14:textId="77777777" w:rsidR="00CC05CA" w:rsidRDefault="00CC05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5CA2" w14:textId="77777777" w:rsidR="004A4045" w:rsidRDefault="004A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8624" w14:textId="77777777" w:rsidR="004A4045" w:rsidRDefault="004A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61DF" w14:textId="77777777" w:rsidR="009E048A" w:rsidRDefault="009E048A">
    <w:pPr>
      <w:pStyle w:val="Footer"/>
      <w:rPr>
        <w:rFonts w:ascii="Arial" w:hAnsi="Arial" w:cs="Arial"/>
        <w:sz w:val="16"/>
      </w:rPr>
    </w:pPr>
  </w:p>
  <w:p w14:paraId="351B69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7B98340" w14:textId="77777777" w:rsidR="009E048A" w:rsidRDefault="009E048A">
    <w:pPr>
      <w:pStyle w:val="Footer"/>
      <w:rPr>
        <w:rFonts w:ascii="Arial" w:hAnsi="Arial" w:cs="Arial"/>
        <w:sz w:val="16"/>
      </w:rPr>
    </w:pPr>
  </w:p>
  <w:p w14:paraId="22ED160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B1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2688" w14:textId="77777777" w:rsidR="00CC05CA" w:rsidRDefault="00CC05CA" w:rsidP="00C37E61">
      <w:r>
        <w:separator/>
      </w:r>
    </w:p>
  </w:footnote>
  <w:footnote w:type="continuationSeparator" w:id="0">
    <w:p w14:paraId="7AADA080" w14:textId="77777777" w:rsidR="00CC05CA" w:rsidRDefault="00CC05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64B4" w14:textId="49CD2011" w:rsidR="004A4045" w:rsidRDefault="00000000">
    <w:pPr>
      <w:pStyle w:val="Header"/>
    </w:pPr>
    <w:r>
      <w:rPr>
        <w:noProof/>
      </w:rPr>
      <w:pict w14:anchorId="2F2C1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E6C9" w14:textId="60E2B710" w:rsidR="004A4045" w:rsidRDefault="00000000">
    <w:pPr>
      <w:pStyle w:val="Header"/>
    </w:pPr>
    <w:r>
      <w:rPr>
        <w:noProof/>
      </w:rPr>
      <w:pict w14:anchorId="65148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A8B6" w14:textId="4E678D5F" w:rsidR="00296529" w:rsidRPr="00296529" w:rsidRDefault="00000000" w:rsidP="00296529">
    <w:pPr>
      <w:ind w:left="2160"/>
      <w:jc w:val="center"/>
      <w:rPr>
        <w:rFonts w:ascii="Times New Roman" w:eastAsia="Calibri" w:hAnsi="Times New Roman"/>
        <w:i/>
        <w:sz w:val="18"/>
        <w:szCs w:val="22"/>
      </w:rPr>
    </w:pPr>
    <w:r>
      <w:rPr>
        <w:noProof/>
      </w:rPr>
      <w:pict w14:anchorId="7E2E3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BC25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FC97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53FA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C594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F0D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5514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577F" w14:textId="69AC2187" w:rsidR="004A4045" w:rsidRDefault="00000000">
    <w:pPr>
      <w:pStyle w:val="Header"/>
    </w:pPr>
    <w:r>
      <w:rPr>
        <w:noProof/>
      </w:rPr>
      <w:pict w14:anchorId="21022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3FC" w14:textId="4C30905B" w:rsidR="004A4045" w:rsidRDefault="00000000">
    <w:pPr>
      <w:pStyle w:val="Header"/>
    </w:pPr>
    <w:r>
      <w:rPr>
        <w:noProof/>
      </w:rPr>
      <w:pict w14:anchorId="785AB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1249" w14:textId="412D30A5" w:rsidR="004A4045" w:rsidRDefault="00000000">
    <w:pPr>
      <w:pStyle w:val="Header"/>
    </w:pPr>
    <w:r>
      <w:rPr>
        <w:noProof/>
      </w:rPr>
      <w:pict w14:anchorId="6640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380099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7336553">
    <w:abstractNumId w:val="15"/>
  </w:num>
  <w:num w:numId="3" w16cid:durableId="1989967248">
    <w:abstractNumId w:val="23"/>
  </w:num>
  <w:num w:numId="4" w16cid:durableId="13876110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24269283">
    <w:abstractNumId w:val="7"/>
  </w:num>
  <w:num w:numId="6" w16cid:durableId="609052917">
    <w:abstractNumId w:val="6"/>
  </w:num>
  <w:num w:numId="7" w16cid:durableId="870721960">
    <w:abstractNumId w:val="1"/>
  </w:num>
  <w:num w:numId="8" w16cid:durableId="773020346">
    <w:abstractNumId w:val="12"/>
  </w:num>
  <w:num w:numId="9" w16cid:durableId="1925410425">
    <w:abstractNumId w:val="25"/>
  </w:num>
  <w:num w:numId="10" w16cid:durableId="94443395">
    <w:abstractNumId w:val="2"/>
  </w:num>
  <w:num w:numId="11" w16cid:durableId="1735615070">
    <w:abstractNumId w:val="18"/>
  </w:num>
  <w:num w:numId="12" w16cid:durableId="635570709">
    <w:abstractNumId w:val="3"/>
  </w:num>
  <w:num w:numId="13" w16cid:durableId="1513564432">
    <w:abstractNumId w:val="17"/>
  </w:num>
  <w:num w:numId="14" w16cid:durableId="1928490575">
    <w:abstractNumId w:val="8"/>
  </w:num>
  <w:num w:numId="15" w16cid:durableId="748355955">
    <w:abstractNumId w:val="21"/>
  </w:num>
  <w:num w:numId="16" w16cid:durableId="707149323">
    <w:abstractNumId w:val="5"/>
  </w:num>
  <w:num w:numId="17" w16cid:durableId="940334493">
    <w:abstractNumId w:val="22"/>
  </w:num>
  <w:num w:numId="18" w16cid:durableId="59137162">
    <w:abstractNumId w:val="14"/>
  </w:num>
  <w:num w:numId="19" w16cid:durableId="573125082">
    <w:abstractNumId w:val="28"/>
  </w:num>
  <w:num w:numId="20" w16cid:durableId="1948930903">
    <w:abstractNumId w:val="11"/>
  </w:num>
  <w:num w:numId="21" w16cid:durableId="1354527981">
    <w:abstractNumId w:val="9"/>
  </w:num>
  <w:num w:numId="22" w16cid:durableId="217933839">
    <w:abstractNumId w:val="13"/>
  </w:num>
  <w:num w:numId="23" w16cid:durableId="55713456">
    <w:abstractNumId w:val="19"/>
  </w:num>
  <w:num w:numId="24" w16cid:durableId="949123713">
    <w:abstractNumId w:val="26"/>
  </w:num>
  <w:num w:numId="25" w16cid:durableId="1460370803">
    <w:abstractNumId w:val="4"/>
  </w:num>
  <w:num w:numId="26" w16cid:durableId="2137021513">
    <w:abstractNumId w:val="16"/>
  </w:num>
  <w:num w:numId="27" w16cid:durableId="974139340">
    <w:abstractNumId w:val="20"/>
  </w:num>
  <w:num w:numId="28" w16cid:durableId="1754012737">
    <w:abstractNumId w:val="27"/>
  </w:num>
  <w:num w:numId="29" w16cid:durableId="815146063">
    <w:abstractNumId w:val="24"/>
  </w:num>
  <w:num w:numId="30" w16cid:durableId="4765322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Dinesh">
    <w15:presenceInfo w15:providerId="Windows Live" w15:userId="3a9da1a2e2220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EF3"/>
    <w:rsid w:val="000263CF"/>
    <w:rsid w:val="00030174"/>
    <w:rsid w:val="0004579C"/>
    <w:rsid w:val="00060811"/>
    <w:rsid w:val="000A47FA"/>
    <w:rsid w:val="000A65D3"/>
    <w:rsid w:val="000B1E33"/>
    <w:rsid w:val="000B4B7B"/>
    <w:rsid w:val="000B7950"/>
    <w:rsid w:val="000D689F"/>
    <w:rsid w:val="000E0167"/>
    <w:rsid w:val="000E7B7B"/>
    <w:rsid w:val="000E7D62"/>
    <w:rsid w:val="00103357"/>
    <w:rsid w:val="00123C9F"/>
    <w:rsid w:val="00126190"/>
    <w:rsid w:val="00130F17"/>
    <w:rsid w:val="001320BF"/>
    <w:rsid w:val="00154741"/>
    <w:rsid w:val="00163BC4"/>
    <w:rsid w:val="00191062"/>
    <w:rsid w:val="00192B72"/>
    <w:rsid w:val="001A29D8"/>
    <w:rsid w:val="001A5CAA"/>
    <w:rsid w:val="001B0427"/>
    <w:rsid w:val="001D3A51"/>
    <w:rsid w:val="001E10D2"/>
    <w:rsid w:val="001E25B4"/>
    <w:rsid w:val="001E44FE"/>
    <w:rsid w:val="00200595"/>
    <w:rsid w:val="00204835"/>
    <w:rsid w:val="00224061"/>
    <w:rsid w:val="00231920"/>
    <w:rsid w:val="0023195C"/>
    <w:rsid w:val="002413F5"/>
    <w:rsid w:val="0024282C"/>
    <w:rsid w:val="00245653"/>
    <w:rsid w:val="002460DC"/>
    <w:rsid w:val="00250985"/>
    <w:rsid w:val="00250A3F"/>
    <w:rsid w:val="002556F6"/>
    <w:rsid w:val="00283105"/>
    <w:rsid w:val="00284C4C"/>
    <w:rsid w:val="00287E68"/>
    <w:rsid w:val="00296529"/>
    <w:rsid w:val="002B27FB"/>
    <w:rsid w:val="002B685A"/>
    <w:rsid w:val="002C57D2"/>
    <w:rsid w:val="002E0D56"/>
    <w:rsid w:val="00315186"/>
    <w:rsid w:val="0033343E"/>
    <w:rsid w:val="00334B59"/>
    <w:rsid w:val="003512C2"/>
    <w:rsid w:val="00371FB6"/>
    <w:rsid w:val="003763C1"/>
    <w:rsid w:val="00376BBE"/>
    <w:rsid w:val="00391351"/>
    <w:rsid w:val="0039224F"/>
    <w:rsid w:val="003A43A4"/>
    <w:rsid w:val="003A7E18"/>
    <w:rsid w:val="003C4C86"/>
    <w:rsid w:val="003C6258"/>
    <w:rsid w:val="003E2904"/>
    <w:rsid w:val="00401927"/>
    <w:rsid w:val="004040E3"/>
    <w:rsid w:val="0041027F"/>
    <w:rsid w:val="00412475"/>
    <w:rsid w:val="00423789"/>
    <w:rsid w:val="00440CB6"/>
    <w:rsid w:val="00440F43"/>
    <w:rsid w:val="00441B6F"/>
    <w:rsid w:val="00446221"/>
    <w:rsid w:val="00450E62"/>
    <w:rsid w:val="004539DB"/>
    <w:rsid w:val="00471A80"/>
    <w:rsid w:val="004A4045"/>
    <w:rsid w:val="004B4B78"/>
    <w:rsid w:val="004D305E"/>
    <w:rsid w:val="004D4277"/>
    <w:rsid w:val="00502516"/>
    <w:rsid w:val="00505F06"/>
    <w:rsid w:val="00506828"/>
    <w:rsid w:val="0053056E"/>
    <w:rsid w:val="00554FDA"/>
    <w:rsid w:val="005653F9"/>
    <w:rsid w:val="005A76B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405"/>
    <w:rsid w:val="006F11EC"/>
    <w:rsid w:val="0070082C"/>
    <w:rsid w:val="00700AF1"/>
    <w:rsid w:val="007369E6"/>
    <w:rsid w:val="00746E59"/>
    <w:rsid w:val="0075235A"/>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6E3"/>
    <w:rsid w:val="008E13AE"/>
    <w:rsid w:val="008E1506"/>
    <w:rsid w:val="008E710C"/>
    <w:rsid w:val="008F69D6"/>
    <w:rsid w:val="00901E27"/>
    <w:rsid w:val="00902823"/>
    <w:rsid w:val="0091384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CBF"/>
    <w:rsid w:val="00BE62AD"/>
    <w:rsid w:val="00BF121F"/>
    <w:rsid w:val="00BF1F80"/>
    <w:rsid w:val="00C166EF"/>
    <w:rsid w:val="00C17EB0"/>
    <w:rsid w:val="00C27F5F"/>
    <w:rsid w:val="00C30A0F"/>
    <w:rsid w:val="00C37C28"/>
    <w:rsid w:val="00C37E61"/>
    <w:rsid w:val="00C70F1B"/>
    <w:rsid w:val="00C71A47"/>
    <w:rsid w:val="00C7464C"/>
    <w:rsid w:val="00C85588"/>
    <w:rsid w:val="00CC05CA"/>
    <w:rsid w:val="00CD6755"/>
    <w:rsid w:val="00CD6856"/>
    <w:rsid w:val="00CE0089"/>
    <w:rsid w:val="00CE793C"/>
    <w:rsid w:val="00CF193C"/>
    <w:rsid w:val="00D1075B"/>
    <w:rsid w:val="00D139AD"/>
    <w:rsid w:val="00D173F1"/>
    <w:rsid w:val="00D52EFA"/>
    <w:rsid w:val="00D74CB0"/>
    <w:rsid w:val="00D8295D"/>
    <w:rsid w:val="00D908BF"/>
    <w:rsid w:val="00DC2A65"/>
    <w:rsid w:val="00DE15F0"/>
    <w:rsid w:val="00DE5663"/>
    <w:rsid w:val="00DE78AA"/>
    <w:rsid w:val="00E035EB"/>
    <w:rsid w:val="00E053D0"/>
    <w:rsid w:val="00E15994"/>
    <w:rsid w:val="00E3114E"/>
    <w:rsid w:val="00E31A70"/>
    <w:rsid w:val="00E35B02"/>
    <w:rsid w:val="00E66496"/>
    <w:rsid w:val="00E66B35"/>
    <w:rsid w:val="00E66E10"/>
    <w:rsid w:val="00E769F6"/>
    <w:rsid w:val="00E8407C"/>
    <w:rsid w:val="00E84F3C"/>
    <w:rsid w:val="00EA012C"/>
    <w:rsid w:val="00EB4769"/>
    <w:rsid w:val="00EC6A55"/>
    <w:rsid w:val="00ED0288"/>
    <w:rsid w:val="00EE52CB"/>
    <w:rsid w:val="00EF581D"/>
    <w:rsid w:val="00EF7FD8"/>
    <w:rsid w:val="00F06F59"/>
    <w:rsid w:val="00F17988"/>
    <w:rsid w:val="00F469F0"/>
    <w:rsid w:val="00F53273"/>
    <w:rsid w:val="00F5387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62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91351"/>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C37C28"/>
    <w:rPr>
      <w:rFonts w:ascii="Helvetica" w:hAnsi="Helvetica"/>
      <w:b/>
      <w:bCs/>
      <w:lang w:val="en-US" w:eastAsia="en-US"/>
    </w:rPr>
  </w:style>
  <w:style w:type="character" w:customStyle="1" w:styleId="CommentSubjectChar">
    <w:name w:val="Comment Subject Char"/>
    <w:basedOn w:val="CommentTextChar"/>
    <w:link w:val="CommentSubject"/>
    <w:semiHidden/>
    <w:rsid w:val="00C37C2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82A8-A554-4C42-A3CB-C03E88D9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TotalTime>
  <Pages>8</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 Dinesh</cp:lastModifiedBy>
  <cp:revision>2</cp:revision>
  <cp:lastPrinted>2025-10-23T06:03:00Z</cp:lastPrinted>
  <dcterms:created xsi:type="dcterms:W3CDTF">2025-10-23T07:30:00Z</dcterms:created>
  <dcterms:modified xsi:type="dcterms:W3CDTF">2025-10-23T07:30:00Z</dcterms:modified>
</cp:coreProperties>
</file>