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1CE2" w14:textId="39DE99F3" w:rsidR="00B767D8" w:rsidRPr="00360BC2" w:rsidRDefault="00B767D8" w:rsidP="00EF4030">
      <w:pPr>
        <w:pStyle w:val="TOC3"/>
        <w:rPr>
          <w:iCs/>
        </w:rPr>
      </w:pPr>
      <w:r w:rsidRPr="00360BC2">
        <w:t xml:space="preserve">Original Research Article </w:t>
      </w:r>
    </w:p>
    <w:p w14:paraId="2BC4CCE8" w14:textId="77777777" w:rsidR="00B767D8" w:rsidRPr="00B767D8" w:rsidRDefault="00B767D8" w:rsidP="00B767D8"/>
    <w:p w14:paraId="749B9AA6" w14:textId="32F8C34E" w:rsidR="001D389D" w:rsidRPr="00EF4030" w:rsidRDefault="001D389D" w:rsidP="00EF4030">
      <w:pPr>
        <w:pStyle w:val="TOC3"/>
        <w:rPr>
          <w:i/>
          <w:iCs/>
        </w:rPr>
      </w:pPr>
      <w:r w:rsidRPr="00EF4030">
        <w:t>Hydroclimatic Signatures of ENSO Over India</w:t>
      </w:r>
      <w:r w:rsidR="005B0F95" w:rsidRPr="00EF4030">
        <w:t xml:space="preserve"> </w:t>
      </w:r>
      <w:r w:rsidRPr="00EF4030">
        <w:t>Understanding Rainfall Variability</w:t>
      </w:r>
      <w:r w:rsidR="005B0F95" w:rsidRPr="00EF4030">
        <w:t xml:space="preserve"> </w:t>
      </w:r>
      <w:r w:rsidRPr="00EF4030">
        <w:t>and Regional Sensitivity</w:t>
      </w:r>
    </w:p>
    <w:p w14:paraId="20F6A8B0" w14:textId="77777777" w:rsidR="00A96A9B" w:rsidRPr="00A96A9B" w:rsidRDefault="00A96A9B" w:rsidP="00A96A9B"/>
    <w:p w14:paraId="24C0C029" w14:textId="22160A67" w:rsidR="00050CD3" w:rsidRPr="00B238F4" w:rsidRDefault="00B238F4" w:rsidP="00940F12">
      <w:pPr>
        <w:tabs>
          <w:tab w:val="right" w:pos="9026"/>
        </w:tabs>
        <w:spacing w:after="120" w:line="276" w:lineRule="auto"/>
        <w:rPr>
          <w:rFonts w:ascii="Arial" w:hAnsi="Arial" w:cs="Arial"/>
          <w:b/>
          <w:bCs/>
          <w:color w:val="0070C0"/>
          <w:sz w:val="20"/>
          <w:szCs w:val="20"/>
        </w:rPr>
      </w:pPr>
      <w:r w:rsidRPr="008A651C">
        <w:rPr>
          <w:noProof/>
        </w:rPr>
        <mc:AlternateContent>
          <mc:Choice Requires="wps">
            <w:drawing>
              <wp:anchor distT="45720" distB="45720" distL="114300" distR="114300" simplePos="0" relativeHeight="251662336" behindDoc="0" locked="0" layoutInCell="1" allowOverlap="1" wp14:anchorId="7DFF6CCB" wp14:editId="159F8030">
                <wp:simplePos x="0" y="0"/>
                <wp:positionH relativeFrom="column">
                  <wp:posOffset>10795</wp:posOffset>
                </wp:positionH>
                <wp:positionV relativeFrom="paragraph">
                  <wp:posOffset>203200</wp:posOffset>
                </wp:positionV>
                <wp:extent cx="5710555" cy="2451100"/>
                <wp:effectExtent l="0" t="0" r="23495"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451100"/>
                        </a:xfrm>
                        <a:prstGeom prst="rect">
                          <a:avLst/>
                        </a:prstGeom>
                        <a:solidFill>
                          <a:srgbClr val="FFFFFF"/>
                        </a:solidFill>
                        <a:ln w="9525">
                          <a:solidFill>
                            <a:srgbClr val="000000"/>
                          </a:solidFill>
                          <a:miter lim="800000"/>
                          <a:headEnd/>
                          <a:tailEnd/>
                        </a:ln>
                      </wps:spPr>
                      <wps:txbx>
                        <w:txbxContent>
                          <w:p w14:paraId="62C899B8" w14:textId="77777777" w:rsidR="001D389D" w:rsidRPr="001D389D" w:rsidRDefault="001D389D" w:rsidP="001D389D">
                            <w:pPr>
                              <w:spacing w:line="240" w:lineRule="auto"/>
                              <w:jc w:val="both"/>
                              <w:rPr>
                                <w:rFonts w:ascii="Arial" w:hAnsi="Arial" w:cs="Arial"/>
                                <w:sz w:val="20"/>
                                <w:szCs w:val="20"/>
                              </w:rPr>
                            </w:pPr>
                            <w:r w:rsidRPr="001D389D">
                              <w:rPr>
                                <w:rFonts w:ascii="Arial" w:hAnsi="Arial" w:cs="Arial"/>
                                <w:sz w:val="20"/>
                                <w:szCs w:val="20"/>
                              </w:rPr>
                              <w:t>This study investigates the relationship between the El Niño–Southern Oscillation (ENSO) and regional rainfall variability across India using high-resolution gridded rainfall data and the Nino 3.4 index for the period 1951–2023. The Pearson Correlation Coefficient (PCC) was employed to assess the strength and direction of the association between rainfall anomalies and ENSO phases (El Niño and La Niña). Results reveal a strong negative correlation during El Niño years, indicating widespread rainfall deficiency, while La Niña years generally correspond to enhanced precipitation across most regions. Among the five studied regions, North India exhibited the highest negative correlation (r = -0.65) with El Niño, reflecting its pronounced vulnerability to monsoon weakening, whereas South India showed the strongest positive correlation (r = 0.55) with La Niña, suggesting greater rainfall enhancement. Central, East, and West regions displayed moderate correlations, highlighting spatial variations in ENSO influence. The analysis underscores that ENSO remains a major large-scale climate driver affecting India’s rainfall distribution, though its effects are region-specific and modulated by local climatic factors. Understanding these spatial dynamics is essential for improving seasonal monsoon forecasts, agricultural planning, and drought preparedness, thereby contributing to more resilient water resource management strategies under climate variability.</w:t>
                            </w:r>
                          </w:p>
                          <w:p w14:paraId="0ECB24EB" w14:textId="77777777" w:rsidR="001D389D" w:rsidRDefault="001D389D" w:rsidP="001D3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F6CCB" id="_x0000_t202" coordsize="21600,21600" o:spt="202" path="m,l,21600r21600,l21600,xe">
                <v:stroke joinstyle="miter"/>
                <v:path gradientshapeok="t" o:connecttype="rect"/>
              </v:shapetype>
              <v:shape id="Text Box 2" o:spid="_x0000_s1026" type="#_x0000_t202" style="position:absolute;margin-left:.85pt;margin-top:16pt;width:449.65pt;height:19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">
                <v:textbox>
                  <w:txbxContent>
                    <w:p w14:paraId="62C899B8" w14:textId="77777777" w:rsidR="001D389D" w:rsidRPr="001D389D" w:rsidRDefault="001D389D" w:rsidP="001D389D">
                      <w:pPr>
                        <w:spacing w:line="240" w:lineRule="auto"/>
                        <w:jc w:val="both"/>
                        <w:rPr>
                          <w:rFonts w:ascii="Arial" w:hAnsi="Arial" w:cs="Arial"/>
                          <w:sz w:val="20"/>
                          <w:szCs w:val="20"/>
                        </w:rPr>
                      </w:pPr>
                      <w:r w:rsidRPr="001D389D">
                        <w:rPr>
                          <w:rFonts w:ascii="Arial" w:hAnsi="Arial" w:cs="Arial"/>
                          <w:sz w:val="20"/>
                          <w:szCs w:val="20"/>
                        </w:rPr>
                        <w:t>This study investigates the relationship between the El Niño–Southern Oscillation (ENSO) and regional rainfall variability across India using high-resolution gridded rainfall data and the Nino 3.4 index for the period 1951–2023. The Pearson Correlation Coefficient (PCC) was employed to assess the strength and direction of the association between rainfall anomalies and ENSO phases (El Niño and La Niña). Results reveal a strong negative correlation during El Niño years, indicating widespread rainfall deficiency, while La Niña years generally correspond to enhanced precipitation across most regions. Among the five studied regions, North India exhibited the highest negative correlation (r = -0.65) with El Niño, reflecting its pronounced vulnerability to monsoon weakening, whereas South India showed the strongest positive correlation (r = 0.55) with La Niña, suggesting greater rainfall enhancement. Central, East, and West regions displayed moderate correlations, highlighting spatial variations in ENSO influence. The analysis underscores that ENSO remains a major large-scale climate driver affecting India’s rainfall distribution, though its effects are region-specific and modulated by local climatic factors. Understanding these spatial dynamics is essential for improving seasonal monsoon forecasts, agricultural planning, and drought preparedness, thereby contributing to more resilient water resource management strategies under climate variability.</w:t>
                      </w:r>
                    </w:p>
                    <w:p w14:paraId="0ECB24EB" w14:textId="77777777" w:rsidR="001D389D" w:rsidRDefault="001D389D" w:rsidP="001D389D"/>
                  </w:txbxContent>
                </v:textbox>
                <w10:wrap type="topAndBottom"/>
              </v:shape>
            </w:pict>
          </mc:Fallback>
        </mc:AlternateContent>
      </w:r>
      <w:r w:rsidR="00050CD3" w:rsidRPr="00B238F4">
        <w:rPr>
          <w:rFonts w:ascii="Arial" w:hAnsi="Arial" w:cs="Arial"/>
          <w:b/>
          <w:bCs/>
          <w:color w:val="0070C0"/>
          <w:sz w:val="20"/>
          <w:szCs w:val="20"/>
        </w:rPr>
        <w:t>ABSTRACT</w:t>
      </w:r>
    </w:p>
    <w:p w14:paraId="0ED434EF" w14:textId="468B22E0" w:rsidR="001D389D" w:rsidRDefault="00940F12" w:rsidP="00EF4030">
      <w:pPr>
        <w:pStyle w:val="TOC3"/>
      </w:pPr>
      <w:r w:rsidRPr="004D1542">
        <w:t>Keywords: El Niño, La Niña, Rainfall Anomaly, Indian Monsoon,</w:t>
      </w:r>
      <w:r w:rsidRPr="004D1542">
        <w:rPr>
          <w:rFonts w:ascii="Times New Roman" w:eastAsiaTheme="minorHAnsi" w:hAnsi="Times New Roman" w:cs="Times New Roman"/>
        </w:rPr>
        <w:t xml:space="preserve"> </w:t>
      </w:r>
      <w:r w:rsidRPr="004D1542">
        <w:t xml:space="preserve">Pearson Correlation Coefficient, </w:t>
      </w:r>
      <w:r w:rsidR="009B1DFB" w:rsidRPr="004D1542">
        <w:t>Drought.</w:t>
      </w:r>
    </w:p>
    <w:p w14:paraId="32970364" w14:textId="77777777" w:rsidR="004D1542" w:rsidRPr="004D1542" w:rsidRDefault="004D1542" w:rsidP="004D1542"/>
    <w:p w14:paraId="5A19DE29" w14:textId="4CC3E4B7" w:rsidR="00B74011" w:rsidRPr="004D1542" w:rsidRDefault="004D1542" w:rsidP="004D1542">
      <w:pPr>
        <w:pStyle w:val="ListParagraph"/>
        <w:numPr>
          <w:ilvl w:val="0"/>
          <w:numId w:val="2"/>
        </w:numPr>
        <w:tabs>
          <w:tab w:val="left" w:pos="270"/>
        </w:tabs>
        <w:spacing w:line="240" w:lineRule="auto"/>
        <w:ind w:left="0" w:firstLine="0"/>
        <w:jc w:val="both"/>
        <w:rPr>
          <w:rFonts w:ascii="Arial" w:hAnsi="Arial" w:cs="Arial"/>
          <w:b/>
          <w:bCs/>
          <w:color w:val="0070C0"/>
          <w:sz w:val="22"/>
          <w:szCs w:val="22"/>
        </w:rPr>
      </w:pPr>
      <w:r w:rsidRPr="004D1542">
        <w:rPr>
          <w:rFonts w:ascii="Arial" w:hAnsi="Arial" w:cs="Arial"/>
          <w:b/>
          <w:bCs/>
          <w:color w:val="0070C0"/>
          <w:sz w:val="22"/>
          <w:szCs w:val="22"/>
        </w:rPr>
        <w:t>INTRODUCTION</w:t>
      </w:r>
    </w:p>
    <w:p w14:paraId="35E78106" w14:textId="11E4E191"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Precipitation is one of the most critical components of the hydrological cycle, directly influencing water availability, agricultural productivity, and ecosystem health across the Indian subcontinent [1]. India, being largely dependent on the Indian Summer Monsoon (ISM), receives nearly 70–90% of its annual rainfall from this season [2,3]. The variability in this rainfall, both in space and time, plays a pivotal role in shaping the socio-economic and environmental landscape of the country. Changes in rainfall patterns can affect crop yields, water supply, and natural ecosystems, making a thorough understanding of climatic drivers essential for effective water resource management and climate adaptation planning [1,4]. Climate variability, defined as deviations from long-term mean climate conditions, encompasses fluctuations in precipitation, temperature, soil moisture, runoff, and ecological parameters such as vegetation growth [5]. Monitoring these hydrological and ecological indicators is crucial to assess the impacts of climate variability and to design mitigation strategies for extreme events like floods and droughts [6].</w:t>
      </w:r>
    </w:p>
    <w:p w14:paraId="0D4DA51D" w14:textId="395D5F17"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 xml:space="preserve">The Indian Summer Monsoon is influenced by multiple large-scale ocean-atmosphere interactions, including the El Niño–Southern Oscillation (ENSO), Indian Ocean Dipole (IOD), Pacific Decadal Oscillation (PDO), Atlantic Multidecadal Oscillation (AMO), Madden-Julian Oscillation (MJO), and the Atlantic Zonal Mode (AZM) [7–10]. Among these, ENSO and IOD are considered the primary drivers of interannual monsoon variability due to their strong influence on sea surface temperatures (SSTs) and atmospheric circulation patterns over the Indian Ocean and adjoining regions [11–14]. ENSO, originating in the equatorial Pacific Ocean, manifests as El Niño (warm SST anomalies) and La Niña (cold SST anomalies) events, which are closely associated with below- and above-average monsoon rainfall, respectively [15]. Historical analyses have shown that El Niño events often result in widespread droughts over India, whereas La Niña events are linked to enhanced rainfall and flooding in certain regions [16]. These impacts are not uniform across the country; the influence of ENSO varies significantly among northern, central, southern, eastern, and western regions due to differences in topography, distance from the ocean, and regional circulation patterns [17]. For example, northern India, </w:t>
      </w:r>
      <w:r w:rsidRPr="001D389D">
        <w:rPr>
          <w:rFonts w:ascii="Arial" w:hAnsi="Arial" w:cs="Arial"/>
          <w:sz w:val="20"/>
          <w:szCs w:val="20"/>
        </w:rPr>
        <w:lastRenderedPageBreak/>
        <w:t>which lies farther from the ocean and receives the monsoon winds later, tends to experience a stronger negative correlation with El Niño events, while southern India, being closer to the ocean, often exhibits more moderate impacts [12,18].</w:t>
      </w:r>
    </w:p>
    <w:p w14:paraId="5A2132FD" w14:textId="5517C6CE"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The IOD, originating in the equatorial Indian Ocean, can reinforce or counteract the effects of ENSO. Positive IOD (PIOD) events are associated with enhanced monsoon rainfall over India, whereas negative IOD (NIOD) events often coincide with deficient rainfall [19,20]. The interactions between ENSO and IOD are complex, with some studies indicating that the cumulative effect of a concurrent El Niño and PIOD can moderate rainfall deficits over India, while other combinations may exacerbate drought conditions [21,22]. Unlike ENSO, which is largely driven by Pacific Ocean dynamics, IOD is primarily governed by local Indian Ocean processes, allowing it to operate independently in modulating regional rainfall patterns [23].</w:t>
      </w:r>
      <w:r w:rsidR="00DD138C">
        <w:rPr>
          <w:rFonts w:ascii="Arial" w:hAnsi="Arial" w:cs="Arial"/>
          <w:sz w:val="20"/>
          <w:szCs w:val="20"/>
        </w:rPr>
        <w:t xml:space="preserve"> </w:t>
      </w:r>
      <w:r w:rsidRPr="001D389D">
        <w:rPr>
          <w:rFonts w:ascii="Arial" w:hAnsi="Arial" w:cs="Arial"/>
          <w:sz w:val="20"/>
          <w:szCs w:val="20"/>
        </w:rPr>
        <w:t>Beyond ENSO and IOD, other teleconnections such as PDO and the North Atlantic Oscillation (NAO) influence the intensity and spatial distribution of monsoon rainfall [24,25]. Studies have shown that multi-decadal variability in these teleconnections can alter the ENSO-monsoon relationship, sometimes weakening or strengthening correlations over particular regions of India [24,26]. These time-varying relationships are especially relevant for long-term planning and climate prediction, as they highlight the non-stationarity of ENSO impacts across different decades. For instance, northern India exhibits an increasing relationship with ENSO influence, central India a decreasing trend, and southern India maintains relatively consistent responses over time [12].</w:t>
      </w:r>
    </w:p>
    <w:p w14:paraId="1DDC3E81" w14:textId="119AE535"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 xml:space="preserve">The consequences of ENSO-driven rainfall variability extend to hydrological processes. Variations in rainfall patterns directly affect surface runoff, soil moisture, evapotranspiration, and vegetation dynamics, which are essential for agricultural productivity and ecosystem functioning [5,27,28]. Runoff responses to rainfall are particularly sensitive to antecedent soil moisture, with higher rainfall thresholds required to generate runoff in drier soils [29]. ENSO and IOD events have been shown to significantly impact crop yields in western </w:t>
      </w:r>
      <w:proofErr w:type="spellStart"/>
      <w:r w:rsidRPr="001D389D">
        <w:rPr>
          <w:rFonts w:ascii="Arial" w:hAnsi="Arial" w:cs="Arial"/>
          <w:sz w:val="20"/>
          <w:szCs w:val="20"/>
        </w:rPr>
        <w:t>agro</w:t>
      </w:r>
      <w:proofErr w:type="spellEnd"/>
      <w:r w:rsidRPr="001D389D">
        <w:rPr>
          <w:rFonts w:ascii="Arial" w:hAnsi="Arial" w:cs="Arial"/>
          <w:sz w:val="20"/>
          <w:szCs w:val="20"/>
        </w:rPr>
        <w:t>-climatic zones of India, highlighting the socio-economic importance of understanding regional monsoon variability [30]. Moreover, shifts in rainfall patterns due to climate variability can lead to extreme hydrological events such as droughts and floods, posing challenges for water management and disaster mitigation [6,30].</w:t>
      </w:r>
      <w:r w:rsidR="00DD138C">
        <w:rPr>
          <w:rFonts w:ascii="Arial" w:hAnsi="Arial" w:cs="Arial"/>
          <w:sz w:val="20"/>
          <w:szCs w:val="20"/>
        </w:rPr>
        <w:t xml:space="preserve"> </w:t>
      </w:r>
      <w:r w:rsidRPr="001D389D">
        <w:rPr>
          <w:rFonts w:ascii="Arial" w:hAnsi="Arial" w:cs="Arial"/>
          <w:sz w:val="20"/>
          <w:szCs w:val="20"/>
        </w:rPr>
        <w:t xml:space="preserve">Accurate quantification of ENSO impacts on regional rainfall requires high-resolution datasets. Gridded rainfall products from the India Meteorological Department (IMD) and global datasets like </w:t>
      </w:r>
      <w:proofErr w:type="spellStart"/>
      <w:r w:rsidRPr="001D389D">
        <w:rPr>
          <w:rFonts w:ascii="Arial" w:hAnsi="Arial" w:cs="Arial"/>
          <w:sz w:val="20"/>
          <w:szCs w:val="20"/>
        </w:rPr>
        <w:t>TerraClimate</w:t>
      </w:r>
      <w:proofErr w:type="spellEnd"/>
      <w:r w:rsidRPr="001D389D">
        <w:rPr>
          <w:rFonts w:ascii="Arial" w:hAnsi="Arial" w:cs="Arial"/>
          <w:sz w:val="20"/>
          <w:szCs w:val="20"/>
        </w:rPr>
        <w:t xml:space="preserve"> provide detailed spatial and temporal coverage, enabling precise analysis of rainfall anomalies across India [15]. Comparisons of multiple rainfall datasets have demonstrated that fine-resolution gridded products are well-suited for regional-scale studies, ensuring reliable assessments of climate variability impacts. Utilizing these datasets, researchers can explore differential regional responses to ENSO events, revealing areas that are particularly vulnerable to drought or excess rainfall [12].</w:t>
      </w:r>
    </w:p>
    <w:p w14:paraId="4AC16A9D" w14:textId="77777777" w:rsidR="0083195B" w:rsidRDefault="00172E24" w:rsidP="001D389D">
      <w:pPr>
        <w:spacing w:line="240" w:lineRule="auto"/>
        <w:jc w:val="both"/>
        <w:rPr>
          <w:rFonts w:ascii="Arial" w:hAnsi="Arial" w:cs="Arial"/>
          <w:sz w:val="20"/>
          <w:szCs w:val="20"/>
        </w:rPr>
      </w:pPr>
      <w:r w:rsidRPr="001D389D">
        <w:rPr>
          <w:rFonts w:ascii="Arial" w:hAnsi="Arial" w:cs="Arial"/>
          <w:sz w:val="20"/>
          <w:szCs w:val="20"/>
        </w:rPr>
        <w:t>Despite extensive research on ENSO-ISMR teleconnections, knowledge gaps remain regarding the differential regional responses across India’s diverse climatic zones. Most previous studies have focused on macro-scale analyses or single-region investigations, leaving a lack of comprehensive assessments of how ENSO influences rainfall in multiple regions simultaneously [12,21,22]. Recent studies indicate that the regional impacts of ENSO are modulated not only by the phase of the event but also by interactions with other oceanic and atmospheric drivers, as well as local topography and land-sea contrasts [12,17,18]. For example, compositing standardized rainfall anomalies during ENSO years shows that northern and central India experience pronounced deficits, whereas southern and coastal regions exhibit relatively moderate responses [12,18,21]. Such spatial variability necessitates detailed, region-specific analyses for improved understanding and forecasting of rainfall anomalies.</w:t>
      </w:r>
      <w:r w:rsidR="00DD138C">
        <w:rPr>
          <w:rFonts w:ascii="Arial" w:hAnsi="Arial" w:cs="Arial"/>
          <w:sz w:val="20"/>
          <w:szCs w:val="20"/>
        </w:rPr>
        <w:t xml:space="preserve"> </w:t>
      </w:r>
      <w:r w:rsidRPr="001D389D">
        <w:rPr>
          <w:rFonts w:ascii="Arial" w:hAnsi="Arial" w:cs="Arial"/>
          <w:sz w:val="20"/>
          <w:szCs w:val="20"/>
        </w:rPr>
        <w:t>Given the increasing intensity and frequency of ENSO events under global climate change, quantifying their regional impacts is crucial for enhancing climate resilience. Understanding the spatial and temporal heterogeneity of ENSO effects allows for better prediction of drought-prone or flood-prone areas, aiding policymakers, farmers, and water managers in devising regionally tailored mitigation strategies [6]. By combining high-resolution rainfall datasets, ENSO indices, and advanced statistical methods, it is possible to derive robust estimates of rainfall anomalies attributable to ENSO phases and identify the most vulnerable regions [12].</w:t>
      </w:r>
    </w:p>
    <w:p w14:paraId="502D90BB" w14:textId="0AFA98B7" w:rsidR="00F86ECA" w:rsidRDefault="00172E24" w:rsidP="001D389D">
      <w:pPr>
        <w:spacing w:line="240" w:lineRule="auto"/>
        <w:jc w:val="both"/>
        <w:rPr>
          <w:rFonts w:ascii="Arial" w:hAnsi="Arial" w:cs="Arial"/>
          <w:sz w:val="20"/>
          <w:szCs w:val="20"/>
        </w:rPr>
      </w:pPr>
      <w:r w:rsidRPr="001D389D">
        <w:rPr>
          <w:rFonts w:ascii="Arial" w:hAnsi="Arial" w:cs="Arial"/>
          <w:sz w:val="20"/>
          <w:szCs w:val="20"/>
        </w:rPr>
        <w:t xml:space="preserve">In this context, the present study aims to assess the influence of ENSO on rainfall anomalies across various regions of India by utilizing gridded high-resolution rainfall datasets and statistical correlation analyses. The study focuses on evaluating regional variations in ENSO-rainfall relationships, exploring the extent of rainfall anomalies during El Niño and La Niña events, and providing insights to support effective climate adaptation and water resource management strategies. By emphasizing regional </w:t>
      </w:r>
      <w:r w:rsidRPr="001D389D">
        <w:rPr>
          <w:rFonts w:ascii="Arial" w:hAnsi="Arial" w:cs="Arial"/>
          <w:sz w:val="20"/>
          <w:szCs w:val="20"/>
        </w:rPr>
        <w:lastRenderedPageBreak/>
        <w:t>differences, the study seeks to enhance the understanding of ENSO impacts and contribute to improved forecasting and risk mitigation for climate-sensitive sectors throughout India.</w:t>
      </w:r>
    </w:p>
    <w:p w14:paraId="039B8AD4" w14:textId="77777777" w:rsidR="004D1542" w:rsidRPr="001D389D" w:rsidRDefault="004D1542" w:rsidP="001D389D">
      <w:pPr>
        <w:spacing w:line="240" w:lineRule="auto"/>
        <w:jc w:val="both"/>
        <w:rPr>
          <w:rFonts w:ascii="Arial" w:hAnsi="Arial" w:cs="Arial"/>
          <w:sz w:val="20"/>
          <w:szCs w:val="20"/>
        </w:rPr>
      </w:pPr>
    </w:p>
    <w:p w14:paraId="403ECE46" w14:textId="4E3AE277" w:rsidR="001D389D" w:rsidRPr="004D1542" w:rsidRDefault="004D1542" w:rsidP="004D1542">
      <w:pPr>
        <w:pStyle w:val="ListParagraph"/>
        <w:numPr>
          <w:ilvl w:val="0"/>
          <w:numId w:val="2"/>
        </w:numPr>
        <w:spacing w:line="240" w:lineRule="auto"/>
        <w:ind w:left="270" w:hanging="270"/>
        <w:jc w:val="both"/>
        <w:rPr>
          <w:rFonts w:ascii="Arial" w:hAnsi="Arial" w:cs="Arial"/>
          <w:b/>
          <w:bCs/>
          <w:color w:val="0070C0"/>
          <w:sz w:val="22"/>
          <w:szCs w:val="22"/>
        </w:rPr>
      </w:pPr>
      <w:r w:rsidRPr="004D1542">
        <w:rPr>
          <w:rFonts w:ascii="Arial" w:hAnsi="Arial" w:cs="Arial"/>
          <w:b/>
          <w:color w:val="0070C0"/>
          <w:sz w:val="22"/>
          <w:szCs w:val="22"/>
        </w:rPr>
        <w:t>MATERIALS AND METHODS</w:t>
      </w:r>
    </w:p>
    <w:p w14:paraId="072F5CB1" w14:textId="23A04CD9" w:rsidR="009C6825" w:rsidRPr="001D389D" w:rsidRDefault="00DD138C" w:rsidP="004D1542">
      <w:pPr>
        <w:tabs>
          <w:tab w:val="left" w:pos="360"/>
        </w:tabs>
        <w:spacing w:line="240" w:lineRule="auto"/>
        <w:jc w:val="both"/>
        <w:rPr>
          <w:rFonts w:ascii="Arial" w:hAnsi="Arial" w:cs="Arial"/>
          <w:b/>
          <w:bCs/>
          <w:sz w:val="20"/>
          <w:szCs w:val="20"/>
        </w:rPr>
      </w:pPr>
      <w:r>
        <w:rPr>
          <w:rFonts w:ascii="Arial" w:hAnsi="Arial" w:cs="Arial"/>
          <w:b/>
          <w:bCs/>
          <w:sz w:val="20"/>
          <w:szCs w:val="20"/>
        </w:rPr>
        <w:t>2.1</w:t>
      </w:r>
      <w:r w:rsidR="00CF6047">
        <w:rPr>
          <w:rFonts w:ascii="Arial" w:hAnsi="Arial" w:cs="Arial"/>
          <w:b/>
          <w:bCs/>
          <w:sz w:val="20"/>
          <w:szCs w:val="20"/>
        </w:rPr>
        <w:t xml:space="preserve">     </w:t>
      </w:r>
      <w:r w:rsidR="009C6825" w:rsidRPr="001D389D">
        <w:rPr>
          <w:rFonts w:ascii="Arial" w:hAnsi="Arial" w:cs="Arial"/>
          <w:b/>
          <w:bCs/>
          <w:sz w:val="20"/>
          <w:szCs w:val="20"/>
        </w:rPr>
        <w:t>Study Area</w:t>
      </w:r>
    </w:p>
    <w:p w14:paraId="7A86D046" w14:textId="4597ED4E" w:rsidR="00306668" w:rsidRPr="001D389D" w:rsidRDefault="009C6825" w:rsidP="001D389D">
      <w:pPr>
        <w:spacing w:line="240" w:lineRule="auto"/>
        <w:jc w:val="both"/>
        <w:rPr>
          <w:rFonts w:ascii="Arial" w:hAnsi="Arial" w:cs="Arial"/>
          <w:sz w:val="20"/>
          <w:szCs w:val="20"/>
        </w:rPr>
      </w:pPr>
      <w:r w:rsidRPr="001D389D">
        <w:rPr>
          <w:rFonts w:ascii="Arial" w:hAnsi="Arial" w:cs="Arial"/>
          <w:sz w:val="20"/>
          <w:szCs w:val="20"/>
        </w:rPr>
        <w:t>India, extending from 8°4'N to 37°6'N latitude and 68°7'E to 97°25'E longitude, covers an area of about 3.287 million km² and exhibits diverse climatic and topographic conditions [31]. The Indian Summer Monsoon contributes approximately 70–90% of the annual rainfall, but its distribution varies significantly across regions [32].</w:t>
      </w:r>
      <w:r w:rsidR="00DD138C">
        <w:rPr>
          <w:rFonts w:ascii="Arial" w:hAnsi="Arial" w:cs="Arial"/>
          <w:sz w:val="20"/>
          <w:szCs w:val="20"/>
        </w:rPr>
        <w:t xml:space="preserve"> </w:t>
      </w:r>
      <w:r w:rsidRPr="001D389D">
        <w:rPr>
          <w:rFonts w:ascii="Arial" w:hAnsi="Arial" w:cs="Arial"/>
          <w:sz w:val="20"/>
          <w:szCs w:val="20"/>
        </w:rPr>
        <w:t>For this study, India is divided into five regions to examine ENSO impacts on rainfall: North (Himalayas and Indo-Gangetic plains), South (Peninsular Plateau and coastal plains), Central (Madhya Pradesh and Chhattisgarh), East (eastern coastal plains and hilly terrains), and West (Thar Desert and western coastal areas) [33]. North India is more susceptible to rainfall deficits during El Niño due to its distance from the ocean, while South India receives early monsoon rainfall and shows moderate ENSO sensitivity. Central India has semi-arid to sub-humid conditions with variable responses, East India experiences heavy rainfall influenced by monsoon and cyclones, and West India remains arid and prone to droughts [34].</w:t>
      </w:r>
      <w:r w:rsidR="00DD138C">
        <w:rPr>
          <w:rFonts w:ascii="Arial" w:hAnsi="Arial" w:cs="Arial"/>
          <w:sz w:val="20"/>
          <w:szCs w:val="20"/>
        </w:rPr>
        <w:t xml:space="preserve"> </w:t>
      </w:r>
      <w:r w:rsidRPr="001D389D">
        <w:rPr>
          <w:rFonts w:ascii="Arial" w:hAnsi="Arial" w:cs="Arial"/>
          <w:sz w:val="20"/>
          <w:szCs w:val="20"/>
        </w:rPr>
        <w:t>This regional classification captures the spatial variability of ENSO impacts, enabling better assessment of hydrological and agricultural risks and supporting region-specific climate adaptation strategies [35].</w:t>
      </w:r>
      <w:r w:rsidR="009B1DFB">
        <w:rPr>
          <w:rFonts w:ascii="Arial" w:hAnsi="Arial" w:cs="Arial"/>
          <w:sz w:val="20"/>
          <w:szCs w:val="20"/>
        </w:rPr>
        <w:t xml:space="preserve"> </w:t>
      </w:r>
      <w:r w:rsidR="00EE199A" w:rsidRPr="00EE199A">
        <w:rPr>
          <w:rFonts w:ascii="Arial" w:hAnsi="Arial" w:cs="Arial"/>
          <w:color w:val="0070C0"/>
          <w:sz w:val="20"/>
          <w:szCs w:val="20"/>
        </w:rPr>
        <w:t xml:space="preserve">The </w:t>
      </w:r>
      <w:r w:rsidR="00EE199A">
        <w:rPr>
          <w:rFonts w:ascii="Arial" w:hAnsi="Arial" w:cs="Arial"/>
          <w:sz w:val="20"/>
          <w:szCs w:val="20"/>
        </w:rPr>
        <w:t xml:space="preserve">study area </w:t>
      </w:r>
      <w:r w:rsidR="00EE199A" w:rsidRPr="00EE199A">
        <w:rPr>
          <w:rFonts w:ascii="Arial" w:hAnsi="Arial" w:cs="Arial"/>
          <w:color w:val="0070C0"/>
          <w:sz w:val="20"/>
          <w:szCs w:val="20"/>
        </w:rPr>
        <w:t>map is</w:t>
      </w:r>
      <w:r w:rsidR="009B1DFB" w:rsidRPr="00EE199A">
        <w:rPr>
          <w:rFonts w:ascii="Arial" w:hAnsi="Arial" w:cs="Arial"/>
          <w:color w:val="0070C0"/>
          <w:sz w:val="20"/>
          <w:szCs w:val="20"/>
        </w:rPr>
        <w:t xml:space="preserve"> shown in </w:t>
      </w:r>
      <w:r w:rsidR="009B1DFB">
        <w:rPr>
          <w:rFonts w:ascii="Arial" w:hAnsi="Arial" w:cs="Arial"/>
          <w:sz w:val="20"/>
          <w:szCs w:val="20"/>
        </w:rPr>
        <w:t>Figure 1.</w:t>
      </w:r>
    </w:p>
    <w:p w14:paraId="6562A9B7" w14:textId="1515CC4A" w:rsidR="0027586D" w:rsidRDefault="0027586D" w:rsidP="00DD138C">
      <w:pPr>
        <w:spacing w:after="120" w:line="240" w:lineRule="auto"/>
        <w:jc w:val="center"/>
        <w:rPr>
          <w:rFonts w:ascii="Arial" w:hAnsi="Arial" w:cs="Arial"/>
          <w:b/>
          <w:bCs/>
          <w:sz w:val="20"/>
          <w:szCs w:val="20"/>
        </w:rPr>
      </w:pPr>
      <w:r w:rsidRPr="001D389D">
        <w:rPr>
          <w:rFonts w:ascii="Arial" w:hAnsi="Arial" w:cs="Arial"/>
          <w:noProof/>
          <w:sz w:val="20"/>
          <w:szCs w:val="20"/>
        </w:rPr>
        <w:drawing>
          <wp:inline distT="0" distB="0" distL="0" distR="0" wp14:anchorId="004B0190" wp14:editId="58879A26">
            <wp:extent cx="4038600" cy="4105275"/>
            <wp:effectExtent l="19050" t="19050" r="19050" b="28575"/>
            <wp:docPr id="78995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52" t="974" r="1152" b="29059"/>
                    <a:stretch>
                      <a:fillRect/>
                    </a:stretch>
                  </pic:blipFill>
                  <pic:spPr bwMode="auto">
                    <a:xfrm>
                      <a:off x="0" y="0"/>
                      <a:ext cx="4038600" cy="41052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AB84F86" w14:textId="756601DE" w:rsidR="00DD138C" w:rsidRPr="009C65B4" w:rsidRDefault="00DD138C" w:rsidP="00DD138C">
      <w:pPr>
        <w:spacing w:after="120" w:line="240" w:lineRule="auto"/>
        <w:jc w:val="center"/>
        <w:rPr>
          <w:rFonts w:ascii="Arial" w:hAnsi="Arial" w:cs="Arial"/>
          <w:b/>
          <w:bCs/>
          <w:sz w:val="20"/>
          <w:szCs w:val="20"/>
        </w:rPr>
      </w:pPr>
      <w:r w:rsidRPr="009C65B4">
        <w:rPr>
          <w:rFonts w:ascii="Arial" w:hAnsi="Arial" w:cs="Arial"/>
          <w:b/>
          <w:bCs/>
          <w:sz w:val="20"/>
          <w:szCs w:val="20"/>
        </w:rPr>
        <w:t>Fig</w:t>
      </w:r>
      <w:r>
        <w:rPr>
          <w:rFonts w:ascii="Arial" w:hAnsi="Arial" w:cs="Arial"/>
          <w:b/>
          <w:bCs/>
          <w:sz w:val="20"/>
          <w:szCs w:val="20"/>
        </w:rPr>
        <w:t>ure</w:t>
      </w:r>
      <w:r w:rsidRPr="009C65B4">
        <w:rPr>
          <w:rFonts w:ascii="Arial" w:hAnsi="Arial" w:cs="Arial"/>
          <w:b/>
          <w:bCs/>
          <w:sz w:val="20"/>
          <w:szCs w:val="20"/>
        </w:rPr>
        <w:t xml:space="preserve"> 1</w:t>
      </w:r>
      <w:r>
        <w:rPr>
          <w:rFonts w:ascii="Arial" w:hAnsi="Arial" w:cs="Arial"/>
          <w:b/>
          <w:bCs/>
          <w:sz w:val="20"/>
          <w:szCs w:val="20"/>
        </w:rPr>
        <w:t>:</w:t>
      </w:r>
      <w:r w:rsidRPr="009C65B4">
        <w:rPr>
          <w:rFonts w:ascii="Arial" w:hAnsi="Arial" w:cs="Arial"/>
          <w:b/>
          <w:bCs/>
          <w:sz w:val="20"/>
          <w:szCs w:val="20"/>
        </w:rPr>
        <w:t xml:space="preserve"> </w:t>
      </w:r>
      <w:r>
        <w:rPr>
          <w:rFonts w:ascii="Arial" w:hAnsi="Arial" w:cs="Arial"/>
          <w:b/>
          <w:bCs/>
          <w:sz w:val="20"/>
          <w:szCs w:val="20"/>
        </w:rPr>
        <w:t>Study area map</w:t>
      </w:r>
    </w:p>
    <w:p w14:paraId="3505D8A9" w14:textId="77777777" w:rsidR="009B1DFB" w:rsidRDefault="009B1DFB" w:rsidP="001D389D">
      <w:pPr>
        <w:spacing w:line="240" w:lineRule="auto"/>
        <w:jc w:val="both"/>
        <w:rPr>
          <w:rFonts w:ascii="Arial" w:hAnsi="Arial" w:cs="Arial"/>
          <w:b/>
          <w:bCs/>
          <w:sz w:val="20"/>
          <w:szCs w:val="20"/>
        </w:rPr>
      </w:pPr>
    </w:p>
    <w:p w14:paraId="783B8243" w14:textId="20E9664A" w:rsidR="009C6825" w:rsidRPr="001D389D"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2.2     </w:t>
      </w:r>
      <w:r w:rsidR="00C433F3" w:rsidRPr="001D389D">
        <w:rPr>
          <w:rFonts w:ascii="Arial" w:hAnsi="Arial" w:cs="Arial"/>
          <w:b/>
          <w:bCs/>
          <w:sz w:val="20"/>
          <w:szCs w:val="20"/>
        </w:rPr>
        <w:t>Pearson Correlation Coefficient (PCC)</w:t>
      </w:r>
    </w:p>
    <w:p w14:paraId="02075655" w14:textId="3F5F568D" w:rsidR="00C97B8A" w:rsidRPr="001D389D" w:rsidRDefault="00C97B8A" w:rsidP="001D389D">
      <w:pPr>
        <w:spacing w:line="240" w:lineRule="auto"/>
        <w:jc w:val="both"/>
        <w:rPr>
          <w:rFonts w:ascii="Arial" w:hAnsi="Arial" w:cs="Arial"/>
          <w:sz w:val="20"/>
          <w:szCs w:val="20"/>
        </w:rPr>
      </w:pPr>
      <w:r w:rsidRPr="001D389D">
        <w:rPr>
          <w:rFonts w:ascii="Arial" w:hAnsi="Arial" w:cs="Arial"/>
          <w:sz w:val="20"/>
          <w:szCs w:val="20"/>
        </w:rPr>
        <w:t>Pearson Correlation Coefficient (PCC) was used to quantify the strength and direction of the linear relationship between rainfall and ENSO indices. PCC values range from -1 to +1, where positive values indicate a direct relationship, negative values signify an inverse relationship, and values near zero suggest weak or no correlation [39, 40]. This statistical approach provides insight into the interdependencies and patterns between climate variables.</w:t>
      </w:r>
    </w:p>
    <w:p w14:paraId="6D49CCEB" w14:textId="22B6FB88" w:rsidR="00C433F3" w:rsidRPr="001D389D" w:rsidRDefault="00CF6047" w:rsidP="001D389D">
      <w:pPr>
        <w:tabs>
          <w:tab w:val="num" w:pos="720"/>
        </w:tabs>
        <w:spacing w:before="120" w:after="0" w:line="240" w:lineRule="auto"/>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2.3    </w:t>
      </w:r>
      <w:r w:rsidR="00C433F3" w:rsidRPr="001D389D">
        <w:rPr>
          <w:rFonts w:ascii="Arial" w:hAnsi="Arial" w:cs="Arial"/>
          <w:b/>
          <w:bCs/>
          <w:color w:val="000000" w:themeColor="text1"/>
          <w:sz w:val="20"/>
          <w:szCs w:val="20"/>
        </w:rPr>
        <w:t>Nino 3.4 index</w:t>
      </w:r>
    </w:p>
    <w:p w14:paraId="6E87A61C" w14:textId="160F1B79" w:rsidR="00C97B8A" w:rsidRPr="001D389D" w:rsidRDefault="009B1DFB" w:rsidP="001D389D">
      <w:pPr>
        <w:spacing w:line="240" w:lineRule="auto"/>
        <w:jc w:val="both"/>
        <w:rPr>
          <w:rFonts w:ascii="Arial" w:hAnsi="Arial" w:cs="Arial"/>
          <w:sz w:val="20"/>
          <w:szCs w:val="20"/>
        </w:rPr>
      </w:pPr>
      <w:r w:rsidRPr="001D389D">
        <w:rPr>
          <w:rFonts w:ascii="Arial" w:hAnsi="Arial" w:cs="Arial"/>
          <w:noProof/>
          <w:sz w:val="20"/>
          <w:szCs w:val="20"/>
        </w:rPr>
        <w:drawing>
          <wp:anchor distT="0" distB="0" distL="114300" distR="114300" simplePos="0" relativeHeight="251660288" behindDoc="0" locked="0" layoutInCell="1" allowOverlap="1" wp14:anchorId="2F6E24BD" wp14:editId="6AF5BAC9">
            <wp:simplePos x="0" y="0"/>
            <wp:positionH relativeFrom="column">
              <wp:posOffset>641350</wp:posOffset>
            </wp:positionH>
            <wp:positionV relativeFrom="paragraph">
              <wp:posOffset>852805</wp:posOffset>
            </wp:positionV>
            <wp:extent cx="3990975" cy="1476375"/>
            <wp:effectExtent l="19050" t="19050" r="28575" b="28575"/>
            <wp:wrapTopAndBottom/>
            <wp:docPr id="996332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52" t="73864" r="2303" b="974"/>
                    <a:stretch>
                      <a:fillRect/>
                    </a:stretch>
                  </pic:blipFill>
                  <pic:spPr bwMode="auto">
                    <a:xfrm>
                      <a:off x="0" y="0"/>
                      <a:ext cx="3990975" cy="147637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7B8A" w:rsidRPr="001D389D">
        <w:rPr>
          <w:rFonts w:ascii="Arial" w:hAnsi="Arial" w:cs="Arial"/>
          <w:sz w:val="20"/>
          <w:szCs w:val="20"/>
        </w:rPr>
        <w:t>The Nino 3.4 Index, representing sea surface temperature anomalies in the central Pacific (5°N–5°S, 170°W–120°W), was used as the key indicator of El Niño and La Niña events. El Niño events are defined when anomalies exceed +0.5°C for at least three consecutive months, while La Niña events occur when anomalies are below -0.5°C for the same duration [41, 42].</w:t>
      </w:r>
      <w:r>
        <w:rPr>
          <w:rFonts w:ascii="Arial" w:hAnsi="Arial" w:cs="Arial"/>
          <w:sz w:val="20"/>
          <w:szCs w:val="20"/>
        </w:rPr>
        <w:t xml:space="preserve"> The Index map of </w:t>
      </w:r>
      <w:r w:rsidR="00B238F4" w:rsidRPr="00B238F4">
        <w:rPr>
          <w:rFonts w:ascii="Arial" w:hAnsi="Arial" w:cs="Arial"/>
          <w:color w:val="0070C0"/>
          <w:sz w:val="20"/>
          <w:szCs w:val="20"/>
        </w:rPr>
        <w:t xml:space="preserve">the Niño </w:t>
      </w:r>
      <w:r w:rsidR="00B238F4">
        <w:rPr>
          <w:rFonts w:ascii="Arial" w:hAnsi="Arial" w:cs="Arial"/>
          <w:sz w:val="20"/>
          <w:szCs w:val="20"/>
        </w:rPr>
        <w:t xml:space="preserve">index </w:t>
      </w:r>
      <w:r w:rsidR="00B238F4" w:rsidRPr="00B238F4">
        <w:rPr>
          <w:rFonts w:ascii="Arial" w:hAnsi="Arial" w:cs="Arial"/>
          <w:color w:val="0070C0"/>
          <w:sz w:val="20"/>
          <w:szCs w:val="20"/>
        </w:rPr>
        <w:t>region is</w:t>
      </w:r>
      <w:r w:rsidRPr="00B238F4">
        <w:rPr>
          <w:rFonts w:ascii="Arial" w:hAnsi="Arial" w:cs="Arial"/>
          <w:color w:val="0070C0"/>
          <w:sz w:val="20"/>
          <w:szCs w:val="20"/>
        </w:rPr>
        <w:t xml:space="preserve"> shown </w:t>
      </w:r>
      <w:r>
        <w:rPr>
          <w:rFonts w:ascii="Arial" w:hAnsi="Arial" w:cs="Arial"/>
          <w:sz w:val="20"/>
          <w:szCs w:val="20"/>
        </w:rPr>
        <w:t>in Figure 2.</w:t>
      </w:r>
    </w:p>
    <w:p w14:paraId="6231377F" w14:textId="77777777" w:rsidR="009B1DFB" w:rsidRPr="009C65B4" w:rsidRDefault="009B1DFB" w:rsidP="009B1DFB">
      <w:pPr>
        <w:spacing w:after="120" w:line="240" w:lineRule="auto"/>
        <w:jc w:val="center"/>
        <w:rPr>
          <w:rFonts w:ascii="Arial" w:hAnsi="Arial" w:cs="Arial"/>
          <w:b/>
          <w:bCs/>
          <w:sz w:val="20"/>
          <w:szCs w:val="20"/>
        </w:rPr>
      </w:pPr>
      <w:r w:rsidRPr="009C65B4">
        <w:rPr>
          <w:rFonts w:ascii="Arial" w:hAnsi="Arial" w:cs="Arial"/>
          <w:b/>
          <w:bCs/>
          <w:sz w:val="20"/>
          <w:szCs w:val="20"/>
        </w:rPr>
        <w:t>Fig</w:t>
      </w:r>
      <w:r>
        <w:rPr>
          <w:rFonts w:ascii="Arial" w:hAnsi="Arial" w:cs="Arial"/>
          <w:b/>
          <w:bCs/>
          <w:sz w:val="20"/>
          <w:szCs w:val="20"/>
        </w:rPr>
        <w:t>ure</w:t>
      </w:r>
      <w:r w:rsidRPr="009C65B4">
        <w:rPr>
          <w:rFonts w:ascii="Arial" w:hAnsi="Arial" w:cs="Arial"/>
          <w:b/>
          <w:bCs/>
          <w:sz w:val="20"/>
          <w:szCs w:val="20"/>
        </w:rPr>
        <w:t xml:space="preserve"> </w:t>
      </w:r>
      <w:r>
        <w:rPr>
          <w:rFonts w:ascii="Arial" w:hAnsi="Arial" w:cs="Arial"/>
          <w:b/>
          <w:bCs/>
          <w:sz w:val="20"/>
          <w:szCs w:val="20"/>
        </w:rPr>
        <w:t>2:</w:t>
      </w:r>
      <w:r w:rsidRPr="009C65B4">
        <w:rPr>
          <w:rFonts w:ascii="Arial" w:hAnsi="Arial" w:cs="Arial"/>
          <w:b/>
          <w:bCs/>
          <w:sz w:val="20"/>
          <w:szCs w:val="20"/>
        </w:rPr>
        <w:t xml:space="preserve"> </w:t>
      </w:r>
      <w:r>
        <w:rPr>
          <w:rFonts w:ascii="Arial" w:hAnsi="Arial" w:cs="Arial"/>
          <w:b/>
          <w:bCs/>
          <w:sz w:val="20"/>
          <w:szCs w:val="20"/>
        </w:rPr>
        <w:t>Nino Index regions</w:t>
      </w:r>
    </w:p>
    <w:p w14:paraId="64FC78F5" w14:textId="345266C0" w:rsidR="00C97B8A" w:rsidRPr="001D389D" w:rsidRDefault="00C97B8A" w:rsidP="001D389D">
      <w:pPr>
        <w:spacing w:line="240" w:lineRule="auto"/>
        <w:jc w:val="both"/>
        <w:rPr>
          <w:rFonts w:ascii="Arial" w:hAnsi="Arial" w:cs="Arial"/>
          <w:sz w:val="20"/>
          <w:szCs w:val="20"/>
        </w:rPr>
      </w:pPr>
      <w:r w:rsidRPr="001D389D">
        <w:rPr>
          <w:rFonts w:ascii="Arial" w:hAnsi="Arial" w:cs="Arial"/>
          <w:sz w:val="20"/>
          <w:szCs w:val="20"/>
        </w:rPr>
        <w:t>Spatial maps of PCC were generated to illustrate regional differences in ENSO-rainfall relationships, highlighting both positive and negative impacts across northern, central, southern, eastern, and western regions of India. This analysis provides essential information for understanding regional climate variability and planning adaptation strategies for water resources and agriculture [43, 44].</w:t>
      </w:r>
    </w:p>
    <w:p w14:paraId="14039BDE" w14:textId="6F99DD39" w:rsidR="009C6825" w:rsidRPr="004D1542" w:rsidRDefault="004D1542" w:rsidP="004D1542">
      <w:pPr>
        <w:pStyle w:val="ListParagraph"/>
        <w:numPr>
          <w:ilvl w:val="0"/>
          <w:numId w:val="2"/>
        </w:numPr>
        <w:tabs>
          <w:tab w:val="left" w:pos="450"/>
        </w:tabs>
        <w:spacing w:line="240" w:lineRule="auto"/>
        <w:ind w:left="180" w:hanging="180"/>
        <w:jc w:val="both"/>
        <w:rPr>
          <w:rFonts w:ascii="Arial" w:hAnsi="Arial" w:cs="Arial"/>
          <w:b/>
          <w:bCs/>
          <w:color w:val="0070C0"/>
          <w:sz w:val="22"/>
          <w:szCs w:val="22"/>
        </w:rPr>
      </w:pPr>
      <w:r w:rsidRPr="004D1542">
        <w:rPr>
          <w:rFonts w:ascii="Arial" w:hAnsi="Arial" w:cs="Arial"/>
          <w:b/>
          <w:bCs/>
          <w:color w:val="0070C0"/>
          <w:sz w:val="22"/>
          <w:szCs w:val="22"/>
        </w:rPr>
        <w:t>RESULT AND DISCUSSION</w:t>
      </w:r>
    </w:p>
    <w:p w14:paraId="3009AADC" w14:textId="77777777" w:rsidR="00681E66" w:rsidRPr="001D389D" w:rsidRDefault="00681E66" w:rsidP="001D389D">
      <w:pPr>
        <w:spacing w:line="240" w:lineRule="auto"/>
        <w:jc w:val="both"/>
        <w:rPr>
          <w:rFonts w:ascii="Arial" w:hAnsi="Arial" w:cs="Arial"/>
          <w:sz w:val="20"/>
          <w:szCs w:val="20"/>
        </w:rPr>
      </w:pPr>
      <w:r w:rsidRPr="001D389D">
        <w:rPr>
          <w:rFonts w:ascii="Arial" w:hAnsi="Arial" w:cs="Arial"/>
          <w:sz w:val="20"/>
          <w:szCs w:val="20"/>
        </w:rPr>
        <w:t xml:space="preserve">The present section focuses on </w:t>
      </w:r>
      <w:proofErr w:type="spellStart"/>
      <w:r w:rsidRPr="001D389D">
        <w:rPr>
          <w:rFonts w:ascii="Arial" w:hAnsi="Arial" w:cs="Arial"/>
          <w:sz w:val="20"/>
          <w:szCs w:val="20"/>
        </w:rPr>
        <w:t>analyzing</w:t>
      </w:r>
      <w:proofErr w:type="spellEnd"/>
      <w:r w:rsidRPr="001D389D">
        <w:rPr>
          <w:rFonts w:ascii="Arial" w:hAnsi="Arial" w:cs="Arial"/>
          <w:sz w:val="20"/>
          <w:szCs w:val="20"/>
        </w:rPr>
        <w:t xml:space="preserve"> the impact of the El Niño–Southern Oscillation (ENSO) on regional rainfall patterns in India. Using high-resolution gridded rainfall data for the period 1951–2023 and the Nino 3.4 index, rainfall anomalies were examined to understand temporal deviations from the long-term average. This analysis allows for the identification of the influence of El Niño and La Niña events on seasonal rainfall across North, South, East, West, and Central India, highlighting regional variations and sensitivities.</w:t>
      </w:r>
    </w:p>
    <w:p w14:paraId="0A2FB3AB" w14:textId="746BBC26" w:rsidR="00681E66" w:rsidRPr="001D389D"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3.1    </w:t>
      </w:r>
      <w:r w:rsidR="00940F12">
        <w:rPr>
          <w:rFonts w:ascii="Arial" w:hAnsi="Arial" w:cs="Arial"/>
          <w:b/>
          <w:bCs/>
          <w:sz w:val="20"/>
          <w:szCs w:val="20"/>
        </w:rPr>
        <w:t>El Niño</w:t>
      </w:r>
      <w:r w:rsidR="00681E66" w:rsidRPr="001D389D">
        <w:rPr>
          <w:rFonts w:ascii="Arial" w:hAnsi="Arial" w:cs="Arial"/>
          <w:b/>
          <w:bCs/>
          <w:sz w:val="20"/>
          <w:szCs w:val="20"/>
        </w:rPr>
        <w:t xml:space="preserve"> and </w:t>
      </w:r>
      <w:r w:rsidR="00940F12">
        <w:rPr>
          <w:rFonts w:ascii="Arial" w:hAnsi="Arial" w:cs="Arial"/>
          <w:b/>
          <w:bCs/>
          <w:sz w:val="20"/>
          <w:szCs w:val="20"/>
        </w:rPr>
        <w:t>La Niña</w:t>
      </w:r>
      <w:r w:rsidR="00681E66" w:rsidRPr="001D389D">
        <w:rPr>
          <w:rFonts w:ascii="Arial" w:hAnsi="Arial" w:cs="Arial"/>
          <w:b/>
          <w:bCs/>
          <w:sz w:val="20"/>
          <w:szCs w:val="20"/>
        </w:rPr>
        <w:t xml:space="preserve"> years </w:t>
      </w:r>
    </w:p>
    <w:p w14:paraId="2AD2C8DD" w14:textId="50DDD10C" w:rsidR="00970B8C" w:rsidRPr="001D389D" w:rsidRDefault="00681E66" w:rsidP="001D389D">
      <w:pPr>
        <w:spacing w:line="240" w:lineRule="auto"/>
        <w:jc w:val="both"/>
        <w:rPr>
          <w:rFonts w:ascii="Arial" w:hAnsi="Arial" w:cs="Arial"/>
          <w:sz w:val="20"/>
          <w:szCs w:val="20"/>
        </w:rPr>
      </w:pPr>
      <w:r w:rsidRPr="001D389D">
        <w:rPr>
          <w:rFonts w:ascii="Arial" w:hAnsi="Arial" w:cs="Arial"/>
          <w:sz w:val="20"/>
          <w:szCs w:val="20"/>
        </w:rPr>
        <w:t xml:space="preserve">The occurrence of El Niño and La Niña events is determined using the Oceanic Niño Index (ONI), which measures the sea surface temperature anomalies in the central and eastern equatorial Pacific Ocean. A positive ONI exceeding +0.5°C for at least five consecutive overlapping 3-month seasons indicates an El Niño event, whereas a negative ONI below -0.5°C for a similar period signifies a La Niña event. These thresholds are widely used to identify ENSO phases affecting global and regional climate patterns. </w:t>
      </w:r>
      <w:r w:rsidR="009B1DFB">
        <w:rPr>
          <w:rFonts w:ascii="Arial" w:hAnsi="Arial" w:cs="Arial"/>
          <w:sz w:val="20"/>
          <w:szCs w:val="20"/>
        </w:rPr>
        <w:t xml:space="preserve">Sea surface temperature anomaly </w:t>
      </w:r>
      <w:r w:rsidR="00B238F4" w:rsidRPr="00B238F4">
        <w:rPr>
          <w:rFonts w:ascii="Arial" w:hAnsi="Arial" w:cs="Arial"/>
          <w:color w:val="0070C0"/>
          <w:sz w:val="20"/>
          <w:szCs w:val="20"/>
        </w:rPr>
        <w:t>is shown</w:t>
      </w:r>
      <w:r w:rsidR="009B1DFB" w:rsidRPr="00B238F4">
        <w:rPr>
          <w:rFonts w:ascii="Arial" w:hAnsi="Arial" w:cs="Arial"/>
          <w:color w:val="0070C0"/>
          <w:sz w:val="20"/>
          <w:szCs w:val="20"/>
        </w:rPr>
        <w:t xml:space="preserve"> </w:t>
      </w:r>
      <w:r w:rsidR="009B1DFB">
        <w:rPr>
          <w:rFonts w:ascii="Arial" w:hAnsi="Arial" w:cs="Arial"/>
          <w:sz w:val="20"/>
          <w:szCs w:val="20"/>
        </w:rPr>
        <w:t>in Figure 3 for the period of 1951 to 2023.</w:t>
      </w:r>
    </w:p>
    <w:p w14:paraId="6B461AE3" w14:textId="5B4484B5" w:rsidR="009B1DFB" w:rsidRDefault="00970B8C" w:rsidP="009B1DFB">
      <w:pPr>
        <w:spacing w:line="240" w:lineRule="auto"/>
        <w:jc w:val="center"/>
        <w:rPr>
          <w:rFonts w:ascii="Arial" w:hAnsi="Arial" w:cs="Arial"/>
          <w:sz w:val="20"/>
          <w:szCs w:val="20"/>
        </w:rPr>
      </w:pPr>
      <w:r w:rsidRPr="001D389D">
        <w:rPr>
          <w:rFonts w:ascii="Arial" w:hAnsi="Arial" w:cs="Arial"/>
          <w:noProof/>
          <w:sz w:val="20"/>
          <w:szCs w:val="20"/>
        </w:rPr>
        <w:drawing>
          <wp:inline distT="0" distB="0" distL="0" distR="0" wp14:anchorId="450FC7B1" wp14:editId="2ED1224A">
            <wp:extent cx="5731510" cy="2066925"/>
            <wp:effectExtent l="19050" t="19050" r="21590" b="28575"/>
            <wp:docPr id="1048874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066925"/>
                    </a:xfrm>
                    <a:prstGeom prst="rect">
                      <a:avLst/>
                    </a:prstGeom>
                    <a:noFill/>
                    <a:ln>
                      <a:solidFill>
                        <a:schemeClr val="tx1"/>
                      </a:solidFill>
                    </a:ln>
                  </pic:spPr>
                </pic:pic>
              </a:graphicData>
            </a:graphic>
          </wp:inline>
        </w:drawing>
      </w:r>
      <w:r w:rsidR="009B1DFB" w:rsidRPr="009B1DFB">
        <w:rPr>
          <w:rFonts w:ascii="Arial" w:hAnsi="Arial" w:cs="Arial"/>
          <w:b/>
          <w:bCs/>
          <w:sz w:val="20"/>
          <w:szCs w:val="20"/>
        </w:rPr>
        <w:t>Figure 3</w:t>
      </w:r>
      <w:r w:rsidR="009B1DFB">
        <w:rPr>
          <w:rFonts w:ascii="Arial" w:hAnsi="Arial" w:cs="Arial"/>
          <w:b/>
          <w:bCs/>
          <w:sz w:val="20"/>
          <w:szCs w:val="20"/>
        </w:rPr>
        <w:t>:</w:t>
      </w:r>
      <w:r w:rsidR="009B1DFB" w:rsidRPr="009B1DFB">
        <w:rPr>
          <w:rFonts w:ascii="Arial" w:hAnsi="Arial" w:cs="Arial"/>
          <w:b/>
          <w:bCs/>
          <w:sz w:val="20"/>
          <w:szCs w:val="20"/>
        </w:rPr>
        <w:t xml:space="preserve"> Sea surface temperature anomaly</w:t>
      </w:r>
    </w:p>
    <w:p w14:paraId="0930F06B" w14:textId="45AD24C1" w:rsidR="00681E66" w:rsidRPr="001D389D" w:rsidRDefault="009B1DFB" w:rsidP="001D389D">
      <w:pPr>
        <w:spacing w:line="240" w:lineRule="auto"/>
        <w:jc w:val="both"/>
        <w:rPr>
          <w:rFonts w:ascii="Arial" w:hAnsi="Arial" w:cs="Arial"/>
          <w:sz w:val="20"/>
          <w:szCs w:val="20"/>
        </w:rPr>
      </w:pPr>
      <w:r w:rsidRPr="001D389D">
        <w:rPr>
          <w:rFonts w:ascii="Arial" w:hAnsi="Arial" w:cs="Arial"/>
          <w:sz w:val="20"/>
          <w:szCs w:val="20"/>
        </w:rPr>
        <w:t>El Niño and La Niña</w:t>
      </w:r>
      <w:r>
        <w:rPr>
          <w:rFonts w:ascii="Arial" w:hAnsi="Arial" w:cs="Arial"/>
          <w:sz w:val="20"/>
          <w:szCs w:val="20"/>
        </w:rPr>
        <w:t xml:space="preserve"> decided based on this value. </w:t>
      </w:r>
      <w:r w:rsidR="00681E66" w:rsidRPr="001D389D">
        <w:rPr>
          <w:rFonts w:ascii="Arial" w:hAnsi="Arial" w:cs="Arial"/>
          <w:sz w:val="20"/>
          <w:szCs w:val="20"/>
        </w:rPr>
        <w:t>The table below shows the El Niño and La Niña years that occurred during the period 1951–2023.</w:t>
      </w:r>
    </w:p>
    <w:p w14:paraId="35840021" w14:textId="77777777" w:rsidR="00681E66" w:rsidRPr="001D389D" w:rsidRDefault="00681E66" w:rsidP="009B1DFB">
      <w:pPr>
        <w:spacing w:line="240" w:lineRule="auto"/>
        <w:jc w:val="center"/>
        <w:rPr>
          <w:rFonts w:ascii="Arial" w:hAnsi="Arial" w:cs="Arial"/>
          <w:b/>
          <w:bCs/>
          <w:sz w:val="20"/>
          <w:szCs w:val="20"/>
        </w:rPr>
      </w:pPr>
      <w:r w:rsidRPr="001D389D">
        <w:rPr>
          <w:rFonts w:ascii="Arial" w:hAnsi="Arial" w:cs="Arial"/>
          <w:b/>
          <w:bCs/>
          <w:sz w:val="20"/>
          <w:szCs w:val="20"/>
        </w:rPr>
        <w:t>Table 1: El Niño and La Niña Years (1951–2023)</w:t>
      </w:r>
    </w:p>
    <w:tbl>
      <w:tblPr>
        <w:tblStyle w:val="TableGrid"/>
        <w:tblW w:w="0" w:type="auto"/>
        <w:tblLook w:val="04A0" w:firstRow="1" w:lastRow="0" w:firstColumn="1" w:lastColumn="0" w:noHBand="0" w:noVBand="1"/>
      </w:tblPr>
      <w:tblGrid>
        <w:gridCol w:w="1838"/>
        <w:gridCol w:w="7178"/>
      </w:tblGrid>
      <w:tr w:rsidR="006B7340" w:rsidRPr="001D389D" w14:paraId="20133C1C" w14:textId="77777777" w:rsidTr="006B7340">
        <w:tc>
          <w:tcPr>
            <w:tcW w:w="1838" w:type="dxa"/>
          </w:tcPr>
          <w:p w14:paraId="45D214C6" w14:textId="3C9EFDBB"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lastRenderedPageBreak/>
              <w:t>El Niño Years</w:t>
            </w:r>
          </w:p>
        </w:tc>
        <w:tc>
          <w:tcPr>
            <w:tcW w:w="7178" w:type="dxa"/>
          </w:tcPr>
          <w:p w14:paraId="2773C9D8" w14:textId="25E5D66E"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1951</w:t>
            </w:r>
            <w:r w:rsidRPr="001D389D">
              <w:rPr>
                <w:rFonts w:ascii="Arial" w:hAnsi="Arial" w:cs="Arial"/>
                <w:b/>
                <w:bCs/>
                <w:sz w:val="20"/>
                <w:szCs w:val="20"/>
              </w:rPr>
              <w:tab/>
              <w:t>1953</w:t>
            </w:r>
            <w:r w:rsidRPr="001D389D">
              <w:rPr>
                <w:rFonts w:ascii="Arial" w:hAnsi="Arial" w:cs="Arial"/>
                <w:b/>
                <w:bCs/>
                <w:sz w:val="20"/>
                <w:szCs w:val="20"/>
              </w:rPr>
              <w:tab/>
              <w:t>1957</w:t>
            </w:r>
            <w:r w:rsidRPr="001D389D">
              <w:rPr>
                <w:rFonts w:ascii="Arial" w:hAnsi="Arial" w:cs="Arial"/>
                <w:b/>
                <w:bCs/>
                <w:sz w:val="20"/>
                <w:szCs w:val="20"/>
              </w:rPr>
              <w:tab/>
              <w:t>1965</w:t>
            </w:r>
            <w:r w:rsidRPr="001D389D">
              <w:rPr>
                <w:rFonts w:ascii="Arial" w:hAnsi="Arial" w:cs="Arial"/>
                <w:b/>
                <w:bCs/>
                <w:sz w:val="20"/>
                <w:szCs w:val="20"/>
              </w:rPr>
              <w:tab/>
              <w:t>1968</w:t>
            </w:r>
            <w:r w:rsidRPr="001D389D">
              <w:rPr>
                <w:rFonts w:ascii="Arial" w:hAnsi="Arial" w:cs="Arial"/>
                <w:b/>
                <w:bCs/>
                <w:sz w:val="20"/>
                <w:szCs w:val="20"/>
              </w:rPr>
              <w:tab/>
              <w:t>1972</w:t>
            </w:r>
            <w:r w:rsidRPr="001D389D">
              <w:rPr>
                <w:rFonts w:ascii="Arial" w:hAnsi="Arial" w:cs="Arial"/>
                <w:b/>
                <w:bCs/>
                <w:sz w:val="20"/>
                <w:szCs w:val="20"/>
              </w:rPr>
              <w:tab/>
              <w:t>1976</w:t>
            </w:r>
            <w:r w:rsidRPr="001D389D">
              <w:rPr>
                <w:rFonts w:ascii="Arial" w:hAnsi="Arial" w:cs="Arial"/>
                <w:b/>
                <w:bCs/>
                <w:sz w:val="20"/>
                <w:szCs w:val="20"/>
              </w:rPr>
              <w:tab/>
              <w:t>1982</w:t>
            </w:r>
            <w:r w:rsidRPr="001D389D">
              <w:rPr>
                <w:rFonts w:ascii="Arial" w:hAnsi="Arial" w:cs="Arial"/>
                <w:b/>
                <w:bCs/>
                <w:sz w:val="20"/>
                <w:szCs w:val="20"/>
              </w:rPr>
              <w:tab/>
              <w:t>1986</w:t>
            </w:r>
            <w:r w:rsidRPr="001D389D">
              <w:rPr>
                <w:rFonts w:ascii="Arial" w:hAnsi="Arial" w:cs="Arial"/>
                <w:b/>
                <w:bCs/>
                <w:sz w:val="20"/>
                <w:szCs w:val="20"/>
              </w:rPr>
              <w:tab/>
              <w:t>1991 1997</w:t>
            </w:r>
            <w:r w:rsidRPr="001D389D">
              <w:rPr>
                <w:rFonts w:ascii="Arial" w:hAnsi="Arial" w:cs="Arial"/>
                <w:b/>
                <w:bCs/>
                <w:sz w:val="20"/>
                <w:szCs w:val="20"/>
              </w:rPr>
              <w:tab/>
              <w:t>2002</w:t>
            </w:r>
            <w:r w:rsidRPr="001D389D">
              <w:rPr>
                <w:rFonts w:ascii="Arial" w:hAnsi="Arial" w:cs="Arial"/>
                <w:b/>
                <w:bCs/>
                <w:sz w:val="20"/>
                <w:szCs w:val="20"/>
              </w:rPr>
              <w:tab/>
              <w:t>2004</w:t>
            </w:r>
            <w:r w:rsidRPr="001D389D">
              <w:rPr>
                <w:rFonts w:ascii="Arial" w:hAnsi="Arial" w:cs="Arial"/>
                <w:b/>
                <w:bCs/>
                <w:sz w:val="20"/>
                <w:szCs w:val="20"/>
              </w:rPr>
              <w:tab/>
              <w:t>2009</w:t>
            </w:r>
            <w:r w:rsidRPr="001D389D">
              <w:rPr>
                <w:rFonts w:ascii="Arial" w:hAnsi="Arial" w:cs="Arial"/>
                <w:b/>
                <w:bCs/>
                <w:sz w:val="20"/>
                <w:szCs w:val="20"/>
              </w:rPr>
              <w:tab/>
              <w:t>2015</w:t>
            </w:r>
            <w:r w:rsidRPr="001D389D">
              <w:rPr>
                <w:rFonts w:ascii="Arial" w:hAnsi="Arial" w:cs="Arial"/>
                <w:b/>
                <w:bCs/>
                <w:sz w:val="20"/>
                <w:szCs w:val="20"/>
              </w:rPr>
              <w:tab/>
              <w:t>2023</w:t>
            </w:r>
          </w:p>
        </w:tc>
      </w:tr>
      <w:tr w:rsidR="006B7340" w:rsidRPr="001D389D" w14:paraId="05CB22E7" w14:textId="77777777" w:rsidTr="006B7340">
        <w:tc>
          <w:tcPr>
            <w:tcW w:w="1838" w:type="dxa"/>
          </w:tcPr>
          <w:p w14:paraId="1CF5D371" w14:textId="7EB9A8C6"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La Niña Years</w:t>
            </w:r>
          </w:p>
        </w:tc>
        <w:tc>
          <w:tcPr>
            <w:tcW w:w="7178" w:type="dxa"/>
          </w:tcPr>
          <w:p w14:paraId="1DBD64A7" w14:textId="68A27FA0"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1954</w:t>
            </w:r>
            <w:r w:rsidRPr="001D389D">
              <w:rPr>
                <w:rFonts w:ascii="Arial" w:hAnsi="Arial" w:cs="Arial"/>
                <w:b/>
                <w:bCs/>
                <w:sz w:val="20"/>
                <w:szCs w:val="20"/>
              </w:rPr>
              <w:tab/>
              <w:t>1955</w:t>
            </w:r>
            <w:r w:rsidRPr="001D389D">
              <w:rPr>
                <w:rFonts w:ascii="Arial" w:hAnsi="Arial" w:cs="Arial"/>
                <w:b/>
                <w:bCs/>
                <w:sz w:val="20"/>
                <w:szCs w:val="20"/>
              </w:rPr>
              <w:tab/>
              <w:t>1956</w:t>
            </w:r>
            <w:r w:rsidRPr="001D389D">
              <w:rPr>
                <w:rFonts w:ascii="Arial" w:hAnsi="Arial" w:cs="Arial"/>
                <w:b/>
                <w:bCs/>
                <w:sz w:val="20"/>
                <w:szCs w:val="20"/>
              </w:rPr>
              <w:tab/>
              <w:t>1963</w:t>
            </w:r>
            <w:r w:rsidRPr="001D389D">
              <w:rPr>
                <w:rFonts w:ascii="Arial" w:hAnsi="Arial" w:cs="Arial"/>
                <w:b/>
                <w:bCs/>
                <w:sz w:val="20"/>
                <w:szCs w:val="20"/>
              </w:rPr>
              <w:tab/>
              <w:t>1964</w:t>
            </w:r>
            <w:r w:rsidRPr="001D389D">
              <w:rPr>
                <w:rFonts w:ascii="Arial" w:hAnsi="Arial" w:cs="Arial"/>
                <w:b/>
                <w:bCs/>
                <w:sz w:val="20"/>
                <w:szCs w:val="20"/>
              </w:rPr>
              <w:tab/>
              <w:t>1970</w:t>
            </w:r>
            <w:r w:rsidRPr="001D389D">
              <w:rPr>
                <w:rFonts w:ascii="Arial" w:hAnsi="Arial" w:cs="Arial"/>
                <w:b/>
                <w:bCs/>
                <w:sz w:val="20"/>
                <w:szCs w:val="20"/>
              </w:rPr>
              <w:tab/>
              <w:t>1971</w:t>
            </w:r>
            <w:r w:rsidRPr="001D389D">
              <w:rPr>
                <w:rFonts w:ascii="Arial" w:hAnsi="Arial" w:cs="Arial"/>
                <w:b/>
                <w:bCs/>
                <w:sz w:val="20"/>
                <w:szCs w:val="20"/>
              </w:rPr>
              <w:tab/>
              <w:t>1973</w:t>
            </w:r>
            <w:r w:rsidRPr="001D389D">
              <w:rPr>
                <w:rFonts w:ascii="Arial" w:hAnsi="Arial" w:cs="Arial"/>
                <w:b/>
                <w:bCs/>
                <w:sz w:val="20"/>
                <w:szCs w:val="20"/>
              </w:rPr>
              <w:tab/>
              <w:t>1974</w:t>
            </w:r>
            <w:r w:rsidRPr="001D389D">
              <w:rPr>
                <w:rFonts w:ascii="Arial" w:hAnsi="Arial" w:cs="Arial"/>
                <w:b/>
                <w:bCs/>
                <w:sz w:val="20"/>
                <w:szCs w:val="20"/>
              </w:rPr>
              <w:tab/>
              <w:t>1975 1988</w:t>
            </w:r>
            <w:r w:rsidRPr="001D389D">
              <w:rPr>
                <w:rFonts w:ascii="Arial" w:hAnsi="Arial" w:cs="Arial"/>
                <w:b/>
                <w:bCs/>
                <w:sz w:val="20"/>
                <w:szCs w:val="20"/>
              </w:rPr>
              <w:tab/>
              <w:t>1998</w:t>
            </w:r>
            <w:r w:rsidRPr="001D389D">
              <w:rPr>
                <w:rFonts w:ascii="Arial" w:hAnsi="Arial" w:cs="Arial"/>
                <w:b/>
                <w:bCs/>
                <w:sz w:val="20"/>
                <w:szCs w:val="20"/>
              </w:rPr>
              <w:tab/>
              <w:t>1999</w:t>
            </w:r>
            <w:r w:rsidRPr="001D389D">
              <w:rPr>
                <w:rFonts w:ascii="Arial" w:hAnsi="Arial" w:cs="Arial"/>
                <w:b/>
                <w:bCs/>
                <w:sz w:val="20"/>
                <w:szCs w:val="20"/>
              </w:rPr>
              <w:tab/>
              <w:t>2000</w:t>
            </w:r>
            <w:r w:rsidRPr="001D389D">
              <w:rPr>
                <w:rFonts w:ascii="Arial" w:hAnsi="Arial" w:cs="Arial"/>
                <w:b/>
                <w:bCs/>
                <w:sz w:val="20"/>
                <w:szCs w:val="20"/>
              </w:rPr>
              <w:tab/>
              <w:t>2011</w:t>
            </w:r>
            <w:r w:rsidRPr="001D389D">
              <w:rPr>
                <w:rFonts w:ascii="Arial" w:hAnsi="Arial" w:cs="Arial"/>
                <w:b/>
                <w:bCs/>
                <w:sz w:val="20"/>
                <w:szCs w:val="20"/>
              </w:rPr>
              <w:tab/>
              <w:t>2020</w:t>
            </w:r>
            <w:r w:rsidRPr="001D389D">
              <w:rPr>
                <w:rFonts w:ascii="Arial" w:hAnsi="Arial" w:cs="Arial"/>
                <w:b/>
                <w:bCs/>
                <w:sz w:val="20"/>
                <w:szCs w:val="20"/>
              </w:rPr>
              <w:tab/>
              <w:t>2021</w:t>
            </w:r>
            <w:r w:rsidRPr="001D389D">
              <w:rPr>
                <w:rFonts w:ascii="Arial" w:hAnsi="Arial" w:cs="Arial"/>
                <w:b/>
                <w:bCs/>
                <w:sz w:val="20"/>
                <w:szCs w:val="20"/>
              </w:rPr>
              <w:tab/>
              <w:t>2022</w:t>
            </w:r>
          </w:p>
        </w:tc>
      </w:tr>
    </w:tbl>
    <w:p w14:paraId="66327BA3" w14:textId="77777777" w:rsidR="006B7340" w:rsidRPr="001D389D" w:rsidRDefault="006B7340" w:rsidP="001D389D">
      <w:pPr>
        <w:spacing w:line="240" w:lineRule="auto"/>
        <w:jc w:val="both"/>
        <w:rPr>
          <w:rFonts w:ascii="Arial" w:hAnsi="Arial" w:cs="Arial"/>
          <w:b/>
          <w:bCs/>
          <w:sz w:val="20"/>
          <w:szCs w:val="20"/>
        </w:rPr>
      </w:pPr>
    </w:p>
    <w:p w14:paraId="193C3E4C" w14:textId="76338EB7" w:rsidR="00681E66" w:rsidRPr="001D389D"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3.2    </w:t>
      </w:r>
      <w:r w:rsidR="00681E66" w:rsidRPr="001D389D">
        <w:rPr>
          <w:rFonts w:ascii="Arial" w:hAnsi="Arial" w:cs="Arial"/>
          <w:b/>
          <w:bCs/>
          <w:sz w:val="20"/>
          <w:szCs w:val="20"/>
        </w:rPr>
        <w:t>Rainfall anomaly</w:t>
      </w:r>
    </w:p>
    <w:p w14:paraId="66767FC4" w14:textId="2BFEA57D" w:rsidR="0091030E" w:rsidRDefault="00681E66" w:rsidP="001D389D">
      <w:pPr>
        <w:spacing w:line="240" w:lineRule="auto"/>
        <w:jc w:val="both"/>
        <w:rPr>
          <w:rFonts w:ascii="Arial" w:hAnsi="Arial" w:cs="Arial"/>
          <w:noProof/>
          <w:sz w:val="20"/>
          <w:szCs w:val="20"/>
        </w:rPr>
      </w:pPr>
      <w:r w:rsidRPr="001D389D">
        <w:rPr>
          <w:rFonts w:ascii="Arial" w:hAnsi="Arial" w:cs="Arial"/>
          <w:sz w:val="20"/>
          <w:szCs w:val="20"/>
        </w:rPr>
        <w:t>Rainfall anomalies provide a clear measure of deviations from the long-term average precipitation and are essential for understanding the impact of climatic phenomena such as ENSO on regional monsoon patterns. By comparing annual rainfall with the climatological mean, it becomes possible to identify periods of excess or deficient rainfall across different parts of India. These anomalies reflect the intensity and spatial distribution of monsoon variability and serve as indicators of droughts or flood-prone conditions.</w:t>
      </w:r>
      <w:r w:rsidR="003839D1">
        <w:rPr>
          <w:rFonts w:ascii="Arial" w:hAnsi="Arial" w:cs="Arial"/>
          <w:sz w:val="20"/>
          <w:szCs w:val="20"/>
        </w:rPr>
        <w:t xml:space="preserve"> </w:t>
      </w:r>
      <w:r w:rsidR="009B1DFB" w:rsidRPr="001D389D">
        <w:rPr>
          <w:rFonts w:ascii="Arial" w:hAnsi="Arial" w:cs="Arial"/>
          <w:sz w:val="20"/>
          <w:szCs w:val="20"/>
        </w:rPr>
        <w:t>Analysing</w:t>
      </w:r>
      <w:r w:rsidRPr="001D389D">
        <w:rPr>
          <w:rFonts w:ascii="Arial" w:hAnsi="Arial" w:cs="Arial"/>
          <w:sz w:val="20"/>
          <w:szCs w:val="20"/>
        </w:rPr>
        <w:t xml:space="preserve"> rainfall anomalies in relation to the Nino 3.4 index (ONI 3.4) allows for a direct assessment of how El Niño and La Niña events influence the monsoon. Positive ONI values typically correspond to El Niño conditions, which can lead to below-average rainfall in many regions, while negative ONI values indicate La Niña events, often resulting in above-average rainfall. Understanding these deviations is crucial for evaluating regional sensitivity to ENSO events and for planning adaptive measures in agriculture, water resource management, and disaster mitigation.</w:t>
      </w:r>
      <w:r w:rsidR="0091030E" w:rsidRPr="0091030E">
        <w:rPr>
          <w:rFonts w:ascii="Arial" w:hAnsi="Arial" w:cs="Arial"/>
          <w:sz w:val="20"/>
          <w:szCs w:val="20"/>
        </w:rPr>
        <w:t xml:space="preserve"> </w:t>
      </w:r>
      <w:r w:rsidR="0091030E">
        <w:rPr>
          <w:rFonts w:ascii="Arial" w:hAnsi="Arial" w:cs="Arial"/>
          <w:sz w:val="20"/>
          <w:szCs w:val="20"/>
        </w:rPr>
        <w:t xml:space="preserve">The annual anomaly of rainfall and </w:t>
      </w:r>
      <w:r w:rsidR="00B238F4" w:rsidRPr="00B238F4">
        <w:rPr>
          <w:rFonts w:ascii="Arial" w:hAnsi="Arial" w:cs="Arial"/>
          <w:color w:val="0070C0"/>
          <w:sz w:val="20"/>
          <w:szCs w:val="20"/>
        </w:rPr>
        <w:t xml:space="preserve">the ONI </w:t>
      </w:r>
      <w:r w:rsidR="00B238F4">
        <w:rPr>
          <w:rFonts w:ascii="Arial" w:hAnsi="Arial" w:cs="Arial"/>
          <w:sz w:val="20"/>
          <w:szCs w:val="20"/>
        </w:rPr>
        <w:t xml:space="preserve">3.4 index </w:t>
      </w:r>
      <w:r w:rsidR="00B238F4" w:rsidRPr="00B238F4">
        <w:rPr>
          <w:rFonts w:ascii="Arial" w:hAnsi="Arial" w:cs="Arial"/>
          <w:color w:val="0070C0"/>
          <w:sz w:val="20"/>
          <w:szCs w:val="20"/>
        </w:rPr>
        <w:t xml:space="preserve">are shown in </w:t>
      </w:r>
      <w:r w:rsidR="0091030E">
        <w:rPr>
          <w:rFonts w:ascii="Arial" w:hAnsi="Arial" w:cs="Arial"/>
          <w:sz w:val="20"/>
          <w:szCs w:val="20"/>
        </w:rPr>
        <w:t>Figure 4.</w:t>
      </w:r>
      <w:r w:rsidR="0091030E" w:rsidRPr="0091030E">
        <w:rPr>
          <w:rFonts w:ascii="Arial" w:hAnsi="Arial" w:cs="Arial"/>
          <w:noProof/>
          <w:sz w:val="20"/>
          <w:szCs w:val="20"/>
        </w:rPr>
        <w:t xml:space="preserve"> </w:t>
      </w:r>
    </w:p>
    <w:p w14:paraId="09798C7D" w14:textId="748326DA" w:rsidR="00681E66" w:rsidRDefault="0091030E" w:rsidP="001D389D">
      <w:pPr>
        <w:spacing w:line="240" w:lineRule="auto"/>
        <w:jc w:val="both"/>
        <w:rPr>
          <w:rFonts w:ascii="Arial" w:hAnsi="Arial" w:cs="Arial"/>
          <w:sz w:val="20"/>
          <w:szCs w:val="20"/>
        </w:rPr>
      </w:pPr>
      <w:r w:rsidRPr="001D389D">
        <w:rPr>
          <w:rFonts w:ascii="Arial" w:hAnsi="Arial" w:cs="Arial"/>
          <w:noProof/>
          <w:sz w:val="20"/>
          <w:szCs w:val="20"/>
        </w:rPr>
        <w:drawing>
          <wp:inline distT="0" distB="0" distL="0" distR="0" wp14:anchorId="03BCF936" wp14:editId="5CEFBF1A">
            <wp:extent cx="5731510" cy="2042160"/>
            <wp:effectExtent l="0" t="0" r="2540" b="15240"/>
            <wp:docPr id="102650815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092B23" w14:textId="77777777" w:rsidR="0091030E" w:rsidRDefault="0091030E" w:rsidP="0091030E">
      <w:pPr>
        <w:spacing w:line="240" w:lineRule="auto"/>
        <w:jc w:val="center"/>
        <w:rPr>
          <w:rFonts w:ascii="Arial" w:hAnsi="Arial" w:cs="Arial"/>
          <w:sz w:val="20"/>
          <w:szCs w:val="20"/>
        </w:rPr>
      </w:pPr>
      <w:r w:rsidRPr="009B1DFB">
        <w:rPr>
          <w:rFonts w:ascii="Arial" w:hAnsi="Arial" w:cs="Arial"/>
          <w:b/>
          <w:bCs/>
          <w:sz w:val="20"/>
          <w:szCs w:val="20"/>
        </w:rPr>
        <w:t xml:space="preserve">Figure </w:t>
      </w:r>
      <w:r>
        <w:rPr>
          <w:rFonts w:ascii="Arial" w:hAnsi="Arial" w:cs="Arial"/>
          <w:b/>
          <w:bCs/>
          <w:sz w:val="20"/>
          <w:szCs w:val="20"/>
        </w:rPr>
        <w:t>4:</w:t>
      </w:r>
      <w:r w:rsidRPr="009B1DFB">
        <w:rPr>
          <w:rFonts w:ascii="Arial" w:hAnsi="Arial" w:cs="Arial"/>
          <w:b/>
          <w:bCs/>
          <w:sz w:val="20"/>
          <w:szCs w:val="20"/>
        </w:rPr>
        <w:t xml:space="preserve"> </w:t>
      </w:r>
      <w:r>
        <w:rPr>
          <w:rFonts w:ascii="Arial" w:hAnsi="Arial" w:cs="Arial"/>
          <w:b/>
          <w:bCs/>
          <w:sz w:val="20"/>
          <w:szCs w:val="20"/>
        </w:rPr>
        <w:t>Annual anomaly of Rainfall and ONI 3.4</w:t>
      </w:r>
    </w:p>
    <w:p w14:paraId="407D5576" w14:textId="71F25047" w:rsidR="0091030E" w:rsidRPr="0091030E" w:rsidRDefault="0091030E" w:rsidP="0091030E">
      <w:pPr>
        <w:spacing w:line="240" w:lineRule="auto"/>
        <w:jc w:val="both"/>
        <w:rPr>
          <w:rFonts w:ascii="Arial" w:hAnsi="Arial" w:cs="Arial"/>
          <w:sz w:val="20"/>
          <w:szCs w:val="20"/>
        </w:rPr>
      </w:pPr>
      <w:r>
        <w:rPr>
          <w:rFonts w:ascii="Arial" w:hAnsi="Arial" w:cs="Arial"/>
          <w:sz w:val="20"/>
          <w:szCs w:val="20"/>
        </w:rPr>
        <w:t>Figure 4 i</w:t>
      </w:r>
      <w:r w:rsidRPr="0091030E">
        <w:rPr>
          <w:rFonts w:ascii="Arial" w:hAnsi="Arial" w:cs="Arial"/>
          <w:sz w:val="20"/>
          <w:szCs w:val="20"/>
        </w:rPr>
        <w:t>llustrates the annual deviation of rainfall across five regions of India—North, South, East, West, and Central</w:t>
      </w:r>
      <w:r>
        <w:rPr>
          <w:rFonts w:ascii="Arial" w:hAnsi="Arial" w:cs="Arial"/>
          <w:sz w:val="20"/>
          <w:szCs w:val="20"/>
        </w:rPr>
        <w:t xml:space="preserve">, </w:t>
      </w:r>
      <w:r w:rsidRPr="0091030E">
        <w:rPr>
          <w:rFonts w:ascii="Arial" w:hAnsi="Arial" w:cs="Arial"/>
          <w:sz w:val="20"/>
          <w:szCs w:val="20"/>
        </w:rPr>
        <w:t xml:space="preserve">in relation to the ONI 3.4 index. The blue bars represent the </w:t>
      </w:r>
      <w:r w:rsidR="00B238F4">
        <w:rPr>
          <w:rFonts w:ascii="Arial" w:hAnsi="Arial" w:cs="Arial"/>
          <w:sz w:val="20"/>
          <w:szCs w:val="20"/>
        </w:rPr>
        <w:t>Niño</w:t>
      </w:r>
      <w:r w:rsidRPr="0091030E">
        <w:rPr>
          <w:rFonts w:ascii="Arial" w:hAnsi="Arial" w:cs="Arial"/>
          <w:sz w:val="20"/>
          <w:szCs w:val="20"/>
        </w:rPr>
        <w:t xml:space="preserve"> 3.4 index (ONI 3.4), while the colo</w:t>
      </w:r>
      <w:r>
        <w:rPr>
          <w:rFonts w:ascii="Arial" w:hAnsi="Arial" w:cs="Arial"/>
          <w:sz w:val="20"/>
          <w:szCs w:val="20"/>
        </w:rPr>
        <w:t>u</w:t>
      </w:r>
      <w:r w:rsidRPr="0091030E">
        <w:rPr>
          <w:rFonts w:ascii="Arial" w:hAnsi="Arial" w:cs="Arial"/>
          <w:sz w:val="20"/>
          <w:szCs w:val="20"/>
        </w:rPr>
        <w:t>red lines indicate rainfall anomalies for each region. A clear pattern emerges where positive ONI 3.4 values (El Niño events) generally correspond with negative rainfall anomalies, indicating below-average rainfall, while negative ONI 3.4 values (La Niña events) align with above-average rainfall, especially in the North and East regions.</w:t>
      </w:r>
    </w:p>
    <w:p w14:paraId="2344680F" w14:textId="77777777" w:rsidR="0091030E" w:rsidRPr="0091030E" w:rsidRDefault="0091030E" w:rsidP="0091030E">
      <w:pPr>
        <w:spacing w:line="240" w:lineRule="auto"/>
        <w:jc w:val="both"/>
        <w:rPr>
          <w:rFonts w:ascii="Arial" w:hAnsi="Arial" w:cs="Arial"/>
          <w:sz w:val="20"/>
          <w:szCs w:val="20"/>
        </w:rPr>
      </w:pPr>
      <w:r w:rsidRPr="0091030E">
        <w:rPr>
          <w:rFonts w:ascii="Arial" w:hAnsi="Arial" w:cs="Arial"/>
          <w:sz w:val="20"/>
          <w:szCs w:val="20"/>
        </w:rPr>
        <w:t>The South region demonstrates higher volatility in rainfall deviations during both El Niño and La Niña events, with several instances of extreme positive and negative anomalies. The East and West regions show comparatively moderate variations, indicating that ENSO impacts are region-specific and vary in intensity. The Central region also exhibits a consistent negative correlation with positive ONI 3.4 anomalies, suggesting its vulnerability to rainfall deficits during El Niño events. This regional differentiation highlights the importance of localized climate adaptation strategies for water resource management.</w:t>
      </w:r>
    </w:p>
    <w:p w14:paraId="6AD8277A" w14:textId="654D20D8" w:rsidR="00970B8C" w:rsidRPr="00970B8C"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3.3     </w:t>
      </w:r>
      <w:r w:rsidR="00970B8C" w:rsidRPr="00970B8C">
        <w:rPr>
          <w:rFonts w:ascii="Arial" w:hAnsi="Arial" w:cs="Arial"/>
          <w:b/>
          <w:bCs/>
          <w:sz w:val="20"/>
          <w:szCs w:val="20"/>
        </w:rPr>
        <w:t>Relationship between Rainfall and ENSO</w:t>
      </w:r>
    </w:p>
    <w:p w14:paraId="016F6D9C" w14:textId="106DC758"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The relationship between the El Niño–Southern Oscillation (ENSO) and rainfall variability across India was </w:t>
      </w:r>
      <w:r w:rsidR="0091030E" w:rsidRPr="00970B8C">
        <w:rPr>
          <w:rFonts w:ascii="Arial" w:hAnsi="Arial" w:cs="Arial"/>
          <w:sz w:val="20"/>
          <w:szCs w:val="20"/>
        </w:rPr>
        <w:t>analysed</w:t>
      </w:r>
      <w:r w:rsidRPr="00970B8C">
        <w:rPr>
          <w:rFonts w:ascii="Arial" w:hAnsi="Arial" w:cs="Arial"/>
          <w:sz w:val="20"/>
          <w:szCs w:val="20"/>
        </w:rPr>
        <w:t xml:space="preserve"> to understand how large-scale ocean–atmosphere interactions influence the spatial distribution of monsoon rainfall. ENSO events significantly alter global circulation patterns, thereby modulating the strength and extent of the Indian Summer Monsoon Rainfall (ISMR). When El Niño conditions prevail, the warming of the central and eastern equatorial Pacific Ocean weakens the Walker circulation, reduces convection over the Indian Ocean, and suppresses moisture inflow toward the subcontinent. This leads to below-average rainfall and drought-like conditions in several regions. </w:t>
      </w:r>
      <w:r w:rsidRPr="00970B8C">
        <w:rPr>
          <w:rFonts w:ascii="Arial" w:hAnsi="Arial" w:cs="Arial"/>
          <w:sz w:val="20"/>
          <w:szCs w:val="20"/>
        </w:rPr>
        <w:lastRenderedPageBreak/>
        <w:t xml:space="preserve">Conversely, during La Niña events, enhanced convection in the western Pacific and stronger cross-equatorial moisture transport </w:t>
      </w:r>
      <w:proofErr w:type="gramStart"/>
      <w:r w:rsidR="00B238F4">
        <w:rPr>
          <w:rFonts w:ascii="Arial" w:hAnsi="Arial" w:cs="Arial"/>
          <w:color w:val="0070C0"/>
          <w:sz w:val="20"/>
          <w:szCs w:val="20"/>
        </w:rPr>
        <w:t>intensify</w:t>
      </w:r>
      <w:proofErr w:type="gramEnd"/>
      <w:r w:rsidRPr="00B238F4">
        <w:rPr>
          <w:rFonts w:ascii="Arial" w:hAnsi="Arial" w:cs="Arial"/>
          <w:color w:val="0070C0"/>
          <w:sz w:val="20"/>
          <w:szCs w:val="20"/>
        </w:rPr>
        <w:t xml:space="preserve"> </w:t>
      </w:r>
      <w:r w:rsidRPr="00970B8C">
        <w:rPr>
          <w:rFonts w:ascii="Arial" w:hAnsi="Arial" w:cs="Arial"/>
          <w:sz w:val="20"/>
          <w:szCs w:val="20"/>
        </w:rPr>
        <w:t>the Indian monsoon circulation, often resulting in above-average rainfall.</w:t>
      </w:r>
    </w:p>
    <w:p w14:paraId="2ACC9792"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To quantify this relationship, the Pearson Correlation Coefficient (PCC) was calculated between the Nino 3.4 index and regional rainfall anomalies. The results are summarized in Table 2, which presents the correlation values for five major regions of India—North, South, Central, East, and West—during both El Niño and La Niña phases.</w:t>
      </w:r>
    </w:p>
    <w:p w14:paraId="05DF81BA" w14:textId="36A24A0B" w:rsidR="00970B8C" w:rsidRPr="00970B8C" w:rsidRDefault="00970B8C" w:rsidP="009B1DFB">
      <w:pPr>
        <w:spacing w:line="240" w:lineRule="auto"/>
        <w:jc w:val="center"/>
        <w:rPr>
          <w:rFonts w:ascii="Arial" w:hAnsi="Arial" w:cs="Arial"/>
          <w:b/>
          <w:bCs/>
          <w:sz w:val="20"/>
          <w:szCs w:val="20"/>
        </w:rPr>
      </w:pPr>
      <w:r w:rsidRPr="00970B8C">
        <w:rPr>
          <w:rFonts w:ascii="Arial" w:hAnsi="Arial" w:cs="Arial"/>
          <w:b/>
          <w:bCs/>
          <w:sz w:val="20"/>
          <w:szCs w:val="20"/>
        </w:rPr>
        <w:t>Table 2</w:t>
      </w:r>
      <w:r w:rsidR="009B1DFB">
        <w:rPr>
          <w:rFonts w:ascii="Arial" w:hAnsi="Arial" w:cs="Arial"/>
          <w:b/>
          <w:bCs/>
          <w:sz w:val="20"/>
          <w:szCs w:val="20"/>
        </w:rPr>
        <w:t>:</w:t>
      </w:r>
      <w:r w:rsidRPr="00970B8C">
        <w:rPr>
          <w:rFonts w:ascii="Arial" w:hAnsi="Arial" w:cs="Arial"/>
          <w:b/>
          <w:bCs/>
          <w:sz w:val="20"/>
          <w:szCs w:val="20"/>
        </w:rPr>
        <w:t xml:space="preserve"> Correlation Coefficients Between ENSO Indices and Rainfall Anomalies</w:t>
      </w:r>
    </w:p>
    <w:tbl>
      <w:tblPr>
        <w:tblpPr w:leftFromText="180" w:rightFromText="180" w:vertAnchor="text" w:horzAnchor="margin" w:tblpXSpec="center" w:tblpY="62"/>
        <w:tblW w:w="7984" w:type="dxa"/>
        <w:tblLook w:val="04A0" w:firstRow="1" w:lastRow="0" w:firstColumn="1" w:lastColumn="0" w:noHBand="0" w:noVBand="1"/>
      </w:tblPr>
      <w:tblGrid>
        <w:gridCol w:w="1331"/>
        <w:gridCol w:w="1996"/>
        <w:gridCol w:w="2217"/>
        <w:gridCol w:w="2440"/>
      </w:tblGrid>
      <w:tr w:rsidR="009B1DFB" w:rsidRPr="001D389D" w14:paraId="551D8EBA" w14:textId="77777777" w:rsidTr="009B1DFB">
        <w:trPr>
          <w:trHeight w:val="394"/>
        </w:trPr>
        <w:tc>
          <w:tcPr>
            <w:tcW w:w="1331" w:type="dxa"/>
            <w:tcBorders>
              <w:top w:val="single" w:sz="4" w:space="0" w:color="auto"/>
              <w:left w:val="nil"/>
              <w:bottom w:val="single" w:sz="4" w:space="0" w:color="auto"/>
              <w:right w:val="nil"/>
            </w:tcBorders>
          </w:tcPr>
          <w:p w14:paraId="0E9E893C"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sidRPr="001D389D">
              <w:rPr>
                <w:rFonts w:ascii="Arial" w:eastAsia="Times New Roman" w:hAnsi="Arial" w:cs="Arial"/>
                <w:b/>
                <w:bCs/>
                <w:color w:val="000000"/>
                <w:sz w:val="20"/>
                <w:szCs w:val="20"/>
                <w:lang w:eastAsia="en-IN" w:bidi="hi-IN"/>
              </w:rPr>
              <w:t>S. No.</w:t>
            </w:r>
          </w:p>
        </w:tc>
        <w:tc>
          <w:tcPr>
            <w:tcW w:w="1996" w:type="dxa"/>
            <w:tcBorders>
              <w:top w:val="single" w:sz="4" w:space="0" w:color="auto"/>
              <w:left w:val="nil"/>
              <w:bottom w:val="single" w:sz="4" w:space="0" w:color="auto"/>
              <w:right w:val="nil"/>
            </w:tcBorders>
            <w:noWrap/>
            <w:vAlign w:val="bottom"/>
            <w:hideMark/>
          </w:tcPr>
          <w:p w14:paraId="73038388"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sidRPr="001D389D">
              <w:rPr>
                <w:rFonts w:ascii="Arial" w:eastAsia="Times New Roman" w:hAnsi="Arial" w:cs="Arial"/>
                <w:b/>
                <w:bCs/>
                <w:color w:val="000000"/>
                <w:sz w:val="20"/>
                <w:szCs w:val="20"/>
                <w:lang w:eastAsia="en-IN" w:bidi="hi-IN"/>
              </w:rPr>
              <w:t>Region</w:t>
            </w:r>
          </w:p>
        </w:tc>
        <w:tc>
          <w:tcPr>
            <w:tcW w:w="2217" w:type="dxa"/>
            <w:tcBorders>
              <w:top w:val="single" w:sz="4" w:space="0" w:color="auto"/>
              <w:left w:val="nil"/>
              <w:bottom w:val="single" w:sz="4" w:space="0" w:color="auto"/>
              <w:right w:val="nil"/>
            </w:tcBorders>
            <w:noWrap/>
            <w:vAlign w:val="bottom"/>
            <w:hideMark/>
          </w:tcPr>
          <w:p w14:paraId="68D9F635"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Pr>
                <w:rFonts w:ascii="Arial" w:eastAsia="Times New Roman" w:hAnsi="Arial" w:cs="Arial"/>
                <w:b/>
                <w:bCs/>
                <w:color w:val="000000"/>
                <w:sz w:val="20"/>
                <w:szCs w:val="20"/>
                <w:lang w:eastAsia="en-IN" w:bidi="hi-IN"/>
              </w:rPr>
              <w:t>El Niño</w:t>
            </w:r>
          </w:p>
        </w:tc>
        <w:tc>
          <w:tcPr>
            <w:tcW w:w="2440" w:type="dxa"/>
            <w:tcBorders>
              <w:top w:val="single" w:sz="4" w:space="0" w:color="auto"/>
              <w:left w:val="nil"/>
              <w:bottom w:val="single" w:sz="4" w:space="0" w:color="auto"/>
              <w:right w:val="nil"/>
            </w:tcBorders>
            <w:noWrap/>
            <w:vAlign w:val="bottom"/>
            <w:hideMark/>
          </w:tcPr>
          <w:p w14:paraId="0CC74E8F"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Pr>
                <w:rFonts w:ascii="Arial" w:eastAsia="Times New Roman" w:hAnsi="Arial" w:cs="Arial"/>
                <w:b/>
                <w:bCs/>
                <w:color w:val="000000"/>
                <w:sz w:val="20"/>
                <w:szCs w:val="20"/>
                <w:lang w:eastAsia="en-IN" w:bidi="hi-IN"/>
              </w:rPr>
              <w:t>La Niña</w:t>
            </w:r>
          </w:p>
        </w:tc>
      </w:tr>
      <w:tr w:rsidR="009B1DFB" w:rsidRPr="001D389D" w14:paraId="1AA8D8D2" w14:textId="77777777" w:rsidTr="009B1DFB">
        <w:trPr>
          <w:trHeight w:val="394"/>
        </w:trPr>
        <w:tc>
          <w:tcPr>
            <w:tcW w:w="1331" w:type="dxa"/>
            <w:tcBorders>
              <w:top w:val="single" w:sz="4" w:space="0" w:color="auto"/>
              <w:left w:val="nil"/>
              <w:bottom w:val="nil"/>
              <w:right w:val="nil"/>
            </w:tcBorders>
          </w:tcPr>
          <w:p w14:paraId="69F95A0C"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1</w:t>
            </w:r>
          </w:p>
        </w:tc>
        <w:tc>
          <w:tcPr>
            <w:tcW w:w="1996" w:type="dxa"/>
            <w:tcBorders>
              <w:top w:val="single" w:sz="4" w:space="0" w:color="auto"/>
              <w:left w:val="nil"/>
              <w:bottom w:val="nil"/>
              <w:right w:val="nil"/>
            </w:tcBorders>
            <w:vAlign w:val="center"/>
            <w:hideMark/>
          </w:tcPr>
          <w:p w14:paraId="1E006E74"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 xml:space="preserve">North </w:t>
            </w:r>
          </w:p>
        </w:tc>
        <w:tc>
          <w:tcPr>
            <w:tcW w:w="2217" w:type="dxa"/>
            <w:tcBorders>
              <w:top w:val="single" w:sz="4" w:space="0" w:color="auto"/>
              <w:left w:val="nil"/>
              <w:bottom w:val="nil"/>
              <w:right w:val="nil"/>
            </w:tcBorders>
            <w:vAlign w:val="center"/>
            <w:hideMark/>
          </w:tcPr>
          <w:p w14:paraId="119A27CB"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-0.65</w:t>
            </w:r>
          </w:p>
        </w:tc>
        <w:tc>
          <w:tcPr>
            <w:tcW w:w="2440" w:type="dxa"/>
            <w:tcBorders>
              <w:top w:val="single" w:sz="4" w:space="0" w:color="auto"/>
              <w:left w:val="nil"/>
              <w:bottom w:val="nil"/>
              <w:right w:val="nil"/>
            </w:tcBorders>
            <w:vAlign w:val="center"/>
            <w:hideMark/>
          </w:tcPr>
          <w:p w14:paraId="61F54D71"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0.45</w:t>
            </w:r>
          </w:p>
        </w:tc>
      </w:tr>
      <w:tr w:rsidR="009B1DFB" w:rsidRPr="001D389D" w14:paraId="312EDE74" w14:textId="77777777" w:rsidTr="009B1DFB">
        <w:trPr>
          <w:trHeight w:val="394"/>
        </w:trPr>
        <w:tc>
          <w:tcPr>
            <w:tcW w:w="1331" w:type="dxa"/>
            <w:tcBorders>
              <w:top w:val="nil"/>
              <w:left w:val="nil"/>
              <w:bottom w:val="nil"/>
              <w:right w:val="nil"/>
            </w:tcBorders>
          </w:tcPr>
          <w:p w14:paraId="5A92B1ED"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2</w:t>
            </w:r>
          </w:p>
        </w:tc>
        <w:tc>
          <w:tcPr>
            <w:tcW w:w="1996" w:type="dxa"/>
            <w:tcBorders>
              <w:top w:val="nil"/>
              <w:left w:val="nil"/>
              <w:bottom w:val="nil"/>
              <w:right w:val="nil"/>
            </w:tcBorders>
            <w:vAlign w:val="center"/>
          </w:tcPr>
          <w:p w14:paraId="48C0AF6F"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South</w:t>
            </w:r>
          </w:p>
        </w:tc>
        <w:tc>
          <w:tcPr>
            <w:tcW w:w="2217" w:type="dxa"/>
            <w:tcBorders>
              <w:top w:val="nil"/>
              <w:left w:val="nil"/>
              <w:bottom w:val="nil"/>
              <w:right w:val="nil"/>
            </w:tcBorders>
            <w:vAlign w:val="center"/>
          </w:tcPr>
          <w:p w14:paraId="2317031A"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-0.1</w:t>
            </w:r>
          </w:p>
        </w:tc>
        <w:tc>
          <w:tcPr>
            <w:tcW w:w="2440" w:type="dxa"/>
            <w:tcBorders>
              <w:top w:val="nil"/>
              <w:left w:val="nil"/>
              <w:bottom w:val="nil"/>
              <w:right w:val="nil"/>
            </w:tcBorders>
            <w:vAlign w:val="center"/>
          </w:tcPr>
          <w:p w14:paraId="44DEC4C0"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0.55</w:t>
            </w:r>
          </w:p>
        </w:tc>
      </w:tr>
      <w:tr w:rsidR="009B1DFB" w:rsidRPr="001D389D" w14:paraId="4F337503" w14:textId="77777777" w:rsidTr="009B1DFB">
        <w:trPr>
          <w:trHeight w:val="394"/>
        </w:trPr>
        <w:tc>
          <w:tcPr>
            <w:tcW w:w="1331" w:type="dxa"/>
            <w:tcBorders>
              <w:top w:val="nil"/>
              <w:left w:val="nil"/>
              <w:bottom w:val="nil"/>
              <w:right w:val="nil"/>
            </w:tcBorders>
          </w:tcPr>
          <w:p w14:paraId="6E18E6C6"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3</w:t>
            </w:r>
          </w:p>
        </w:tc>
        <w:tc>
          <w:tcPr>
            <w:tcW w:w="1996" w:type="dxa"/>
            <w:tcBorders>
              <w:top w:val="nil"/>
              <w:left w:val="nil"/>
              <w:bottom w:val="nil"/>
              <w:right w:val="nil"/>
            </w:tcBorders>
            <w:vAlign w:val="center"/>
          </w:tcPr>
          <w:p w14:paraId="4C5A2394"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Central</w:t>
            </w:r>
          </w:p>
        </w:tc>
        <w:tc>
          <w:tcPr>
            <w:tcW w:w="2217" w:type="dxa"/>
            <w:tcBorders>
              <w:top w:val="nil"/>
              <w:left w:val="nil"/>
              <w:bottom w:val="nil"/>
              <w:right w:val="nil"/>
            </w:tcBorders>
            <w:vAlign w:val="center"/>
          </w:tcPr>
          <w:p w14:paraId="3913C31A"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-0.35</w:t>
            </w:r>
          </w:p>
        </w:tc>
        <w:tc>
          <w:tcPr>
            <w:tcW w:w="2440" w:type="dxa"/>
            <w:tcBorders>
              <w:top w:val="nil"/>
              <w:left w:val="nil"/>
              <w:bottom w:val="nil"/>
              <w:right w:val="nil"/>
            </w:tcBorders>
            <w:vAlign w:val="center"/>
          </w:tcPr>
          <w:p w14:paraId="46308A39"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0.3</w:t>
            </w:r>
          </w:p>
        </w:tc>
      </w:tr>
      <w:tr w:rsidR="009B1DFB" w:rsidRPr="001D389D" w14:paraId="588D2C81" w14:textId="77777777" w:rsidTr="009B1DFB">
        <w:trPr>
          <w:trHeight w:val="394"/>
        </w:trPr>
        <w:tc>
          <w:tcPr>
            <w:tcW w:w="1331" w:type="dxa"/>
            <w:tcBorders>
              <w:top w:val="nil"/>
              <w:left w:val="nil"/>
              <w:bottom w:val="nil"/>
              <w:right w:val="nil"/>
            </w:tcBorders>
          </w:tcPr>
          <w:p w14:paraId="041CD8CC"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4</w:t>
            </w:r>
          </w:p>
        </w:tc>
        <w:tc>
          <w:tcPr>
            <w:tcW w:w="1996" w:type="dxa"/>
            <w:tcBorders>
              <w:top w:val="nil"/>
              <w:left w:val="nil"/>
              <w:bottom w:val="nil"/>
              <w:right w:val="nil"/>
            </w:tcBorders>
            <w:vAlign w:val="center"/>
          </w:tcPr>
          <w:p w14:paraId="61B5C261"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East</w:t>
            </w:r>
          </w:p>
        </w:tc>
        <w:tc>
          <w:tcPr>
            <w:tcW w:w="2217" w:type="dxa"/>
            <w:tcBorders>
              <w:top w:val="nil"/>
              <w:left w:val="nil"/>
              <w:bottom w:val="nil"/>
              <w:right w:val="nil"/>
            </w:tcBorders>
            <w:vAlign w:val="center"/>
          </w:tcPr>
          <w:p w14:paraId="14EEECE4"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-0.25</w:t>
            </w:r>
          </w:p>
        </w:tc>
        <w:tc>
          <w:tcPr>
            <w:tcW w:w="2440" w:type="dxa"/>
            <w:tcBorders>
              <w:top w:val="nil"/>
              <w:left w:val="nil"/>
              <w:bottom w:val="nil"/>
              <w:right w:val="nil"/>
            </w:tcBorders>
            <w:vAlign w:val="center"/>
          </w:tcPr>
          <w:p w14:paraId="2D029EA7"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0.4</w:t>
            </w:r>
          </w:p>
        </w:tc>
      </w:tr>
      <w:tr w:rsidR="009B1DFB" w:rsidRPr="001D389D" w14:paraId="63AD02D2" w14:textId="77777777" w:rsidTr="009B1DFB">
        <w:trPr>
          <w:trHeight w:val="394"/>
        </w:trPr>
        <w:tc>
          <w:tcPr>
            <w:tcW w:w="1331" w:type="dxa"/>
            <w:tcBorders>
              <w:top w:val="nil"/>
              <w:left w:val="nil"/>
              <w:bottom w:val="single" w:sz="4" w:space="0" w:color="auto"/>
              <w:right w:val="nil"/>
            </w:tcBorders>
          </w:tcPr>
          <w:p w14:paraId="3AF147C6"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5</w:t>
            </w:r>
          </w:p>
        </w:tc>
        <w:tc>
          <w:tcPr>
            <w:tcW w:w="1996" w:type="dxa"/>
            <w:tcBorders>
              <w:top w:val="nil"/>
              <w:left w:val="nil"/>
              <w:bottom w:val="single" w:sz="4" w:space="0" w:color="auto"/>
              <w:right w:val="nil"/>
            </w:tcBorders>
            <w:vAlign w:val="center"/>
          </w:tcPr>
          <w:p w14:paraId="555B5AE2"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West</w:t>
            </w:r>
          </w:p>
        </w:tc>
        <w:tc>
          <w:tcPr>
            <w:tcW w:w="2217" w:type="dxa"/>
            <w:tcBorders>
              <w:top w:val="nil"/>
              <w:left w:val="nil"/>
              <w:bottom w:val="single" w:sz="4" w:space="0" w:color="auto"/>
              <w:right w:val="nil"/>
            </w:tcBorders>
            <w:vAlign w:val="center"/>
          </w:tcPr>
          <w:p w14:paraId="2CBA75C8"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-0.2</w:t>
            </w:r>
          </w:p>
        </w:tc>
        <w:tc>
          <w:tcPr>
            <w:tcW w:w="2440" w:type="dxa"/>
            <w:tcBorders>
              <w:top w:val="nil"/>
              <w:left w:val="nil"/>
              <w:bottom w:val="single" w:sz="4" w:space="0" w:color="auto"/>
              <w:right w:val="nil"/>
            </w:tcBorders>
            <w:vAlign w:val="center"/>
          </w:tcPr>
          <w:p w14:paraId="08453FCB"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0.25</w:t>
            </w:r>
          </w:p>
        </w:tc>
      </w:tr>
    </w:tbl>
    <w:p w14:paraId="23B1CD45" w14:textId="77777777" w:rsidR="004E1E64" w:rsidRPr="001D389D" w:rsidRDefault="004E1E64" w:rsidP="001D389D">
      <w:pPr>
        <w:spacing w:line="240" w:lineRule="auto"/>
        <w:jc w:val="both"/>
        <w:rPr>
          <w:rFonts w:ascii="Arial" w:hAnsi="Arial" w:cs="Arial"/>
          <w:sz w:val="20"/>
          <w:szCs w:val="20"/>
        </w:rPr>
      </w:pPr>
    </w:p>
    <w:p w14:paraId="7C3D1AF7" w14:textId="333ACF1F"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The correlation values reveal a distinct spatial variability in the ENSO–rainfall relationship across India. The North region exhibits the highest negative correlation (R = −0.65) during El Niño years, indicating that rainfall decreases sharply when El Niño intensity increases. This strong negative response can be attributed to the geographical positioning of northern India, which lies farthest from the oceanic moisture sources. The monsoon winds reach this region in the later phase of their progression, and any weakening due to ENSO events significantly reduces rainfall. During La Niña years, however, a moderate positive correlation (R = 0.45) is observed, showing that rainfall tends to increase when cooler Pacific conditions prevail.</w:t>
      </w:r>
    </w:p>
    <w:p w14:paraId="4F4074BC"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The South region, on the other hand, shows a weak negative correlation (R = −0.10) with El Niño events but the strongest positive correlation (R = 0.55) during La Niña phases. This pattern suggests that southern India is more responsive to La Niña-driven moisture enhancement than to El Niño-induced suppression. Its proximity to the Arabian Sea and the Bay of Bengal, along with orographic influences from the Western Ghats, contributes to complex rainfall dynamics that sometimes offset El Niño impacts. The high positive correlation during La Niña years reflects the strengthening of monsoon flow and the increased occurrence of heavy rainfall episodes in peninsular India.</w:t>
      </w:r>
    </w:p>
    <w:p w14:paraId="76CB25A3"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In the Central region, a moderate negative correlation (R = −0.35) is recorded during El Niño years, indicating that rainfall generally declines but not as severely as in the North. This region is often affected by both direct monsoon circulation and monsoon depressions originating from the Bay of Bengal, which can occasionally mitigate El Niño effects. The positive correlation (R = 0.30) during La Niña years implies partial recovery of rainfall, suggesting that while the central region experiences fluctuations, it maintains some resilience due to its geographical position and moisture inflow from both coastal and inland sources.</w:t>
      </w:r>
    </w:p>
    <w:p w14:paraId="6A6FDA25" w14:textId="6604AB8C"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The East region exhibits a weak-to-moderate negative correlation (R = −0.25) with El Niño events and a moderate positive correlation (R = 0.40) with La Niña. Eastern India’s rainfall pattern is influenced by both ENSO and Bay of Bengal depressions, which are sensitive to sea surface temperature variations. During El Niño years, the number and intensity of these depressions </w:t>
      </w:r>
      <w:r w:rsidR="00B238F4" w:rsidRPr="00B238F4">
        <w:rPr>
          <w:rFonts w:ascii="Arial" w:hAnsi="Arial" w:cs="Arial"/>
          <w:color w:val="0070C0"/>
          <w:sz w:val="20"/>
          <w:szCs w:val="20"/>
        </w:rPr>
        <w:t>decrease</w:t>
      </w:r>
      <w:r w:rsidRPr="00970B8C">
        <w:rPr>
          <w:rFonts w:ascii="Arial" w:hAnsi="Arial" w:cs="Arial"/>
          <w:sz w:val="20"/>
          <w:szCs w:val="20"/>
        </w:rPr>
        <w:t xml:space="preserve">, leading to rainfall deficits. Conversely, during La Niña years, </w:t>
      </w:r>
      <w:r w:rsidR="0037560D" w:rsidRPr="00970B8C">
        <w:rPr>
          <w:rFonts w:ascii="Arial" w:hAnsi="Arial" w:cs="Arial"/>
          <w:sz w:val="20"/>
          <w:szCs w:val="20"/>
        </w:rPr>
        <w:t>favourable</w:t>
      </w:r>
      <w:r w:rsidRPr="00970B8C">
        <w:rPr>
          <w:rFonts w:ascii="Arial" w:hAnsi="Arial" w:cs="Arial"/>
          <w:sz w:val="20"/>
          <w:szCs w:val="20"/>
        </w:rPr>
        <w:t xml:space="preserve"> SST and wind anomalies enhance convective activity over the Bay, resulting in increased rainfall </w:t>
      </w:r>
      <w:r w:rsidR="00B238F4" w:rsidRPr="00B238F4">
        <w:rPr>
          <w:rFonts w:ascii="Arial" w:hAnsi="Arial" w:cs="Arial"/>
          <w:color w:val="0070C0"/>
          <w:sz w:val="20"/>
          <w:szCs w:val="20"/>
        </w:rPr>
        <w:t>in states such as</w:t>
      </w:r>
      <w:r w:rsidRPr="00B238F4">
        <w:rPr>
          <w:rFonts w:ascii="Arial" w:hAnsi="Arial" w:cs="Arial"/>
          <w:color w:val="0070C0"/>
          <w:sz w:val="20"/>
          <w:szCs w:val="20"/>
        </w:rPr>
        <w:t xml:space="preserve"> Odisha</w:t>
      </w:r>
      <w:r w:rsidRPr="00970B8C">
        <w:rPr>
          <w:rFonts w:ascii="Arial" w:hAnsi="Arial" w:cs="Arial"/>
          <w:sz w:val="20"/>
          <w:szCs w:val="20"/>
        </w:rPr>
        <w:t>, West Bengal, and parts of Bihar.</w:t>
      </w:r>
    </w:p>
    <w:p w14:paraId="2BC99A5F" w14:textId="1194D1CF" w:rsidR="009B1DFB" w:rsidRPr="0083195B"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The West region demonstrates the weakest overall correlations, with R = −0.20 during El Niño and R = 0.25 during La Niña. Western India receives a substantial portion of its rainfall from the southwest monsoon, which is partly regulated by the strength of low-level jets over the Arabian Sea. While El Niño tends to weaken these jets, causing below-normal rainfall in Gujarat and western Maharashtra, the overall impact is comparatively less pronounced than in other regions. During La Niña, enhanced </w:t>
      </w:r>
      <w:r w:rsidRPr="00970B8C">
        <w:rPr>
          <w:rFonts w:ascii="Arial" w:hAnsi="Arial" w:cs="Arial"/>
          <w:sz w:val="20"/>
          <w:szCs w:val="20"/>
        </w:rPr>
        <w:lastRenderedPageBreak/>
        <w:t>monsoon circulation slightly increases rainfall, but topographical constraints and regional aridity limit the magnitude of the response.</w:t>
      </w:r>
      <w:r w:rsidR="0083195B">
        <w:t xml:space="preserve"> </w:t>
      </w:r>
      <w:r w:rsidR="0083195B" w:rsidRPr="00B238F4">
        <w:rPr>
          <w:rFonts w:ascii="Arial" w:hAnsi="Arial" w:cs="Arial"/>
          <w:color w:val="0070C0"/>
          <w:sz w:val="20"/>
          <w:szCs w:val="20"/>
        </w:rPr>
        <w:t xml:space="preserve">The </w:t>
      </w:r>
      <w:r w:rsidR="00B238F4" w:rsidRPr="00B238F4">
        <w:rPr>
          <w:rFonts w:ascii="Arial" w:hAnsi="Arial" w:cs="Arial"/>
          <w:color w:val="0070C0"/>
          <w:sz w:val="20"/>
          <w:szCs w:val="20"/>
        </w:rPr>
        <w:t>results of PCC are shown in</w:t>
      </w:r>
      <w:r w:rsidR="0083195B" w:rsidRPr="00B238F4">
        <w:rPr>
          <w:rFonts w:ascii="Arial" w:hAnsi="Arial" w:cs="Arial"/>
          <w:color w:val="0070C0"/>
          <w:sz w:val="20"/>
          <w:szCs w:val="20"/>
        </w:rPr>
        <w:t xml:space="preserve"> the spatial map in Figure 5</w:t>
      </w:r>
      <w:r w:rsidR="0083195B">
        <w:rPr>
          <w:rFonts w:ascii="Arial" w:hAnsi="Arial" w:cs="Arial"/>
          <w:sz w:val="20"/>
          <w:szCs w:val="20"/>
        </w:rPr>
        <w:t>.</w:t>
      </w:r>
    </w:p>
    <w:p w14:paraId="6010A810" w14:textId="4BFC5EB1" w:rsidR="00970B8C" w:rsidRPr="00970B8C" w:rsidRDefault="001D389D" w:rsidP="001D389D">
      <w:pPr>
        <w:spacing w:line="240" w:lineRule="auto"/>
        <w:jc w:val="both"/>
        <w:rPr>
          <w:rFonts w:ascii="Arial" w:hAnsi="Arial" w:cs="Arial"/>
          <w:sz w:val="20"/>
          <w:szCs w:val="20"/>
        </w:rPr>
      </w:pPr>
      <w:r>
        <w:rPr>
          <w:noProof/>
        </w:rPr>
        <w:drawing>
          <wp:inline distT="0" distB="0" distL="0" distR="0" wp14:anchorId="043B652F" wp14:editId="4C2FF3EF">
            <wp:extent cx="5731510" cy="3333750"/>
            <wp:effectExtent l="0" t="0" r="2540" b="0"/>
            <wp:docPr id="588593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333750"/>
                    </a:xfrm>
                    <a:prstGeom prst="rect">
                      <a:avLst/>
                    </a:prstGeom>
                    <a:noFill/>
                    <a:ln>
                      <a:noFill/>
                    </a:ln>
                  </pic:spPr>
                </pic:pic>
              </a:graphicData>
            </a:graphic>
          </wp:inline>
        </w:drawing>
      </w:r>
    </w:p>
    <w:p w14:paraId="290682F8" w14:textId="35C58131" w:rsidR="009B1DFB" w:rsidRDefault="009B1DFB" w:rsidP="009B1DFB">
      <w:pPr>
        <w:spacing w:line="240" w:lineRule="auto"/>
        <w:jc w:val="center"/>
        <w:rPr>
          <w:rFonts w:ascii="Arial" w:hAnsi="Arial" w:cs="Arial"/>
          <w:sz w:val="20"/>
          <w:szCs w:val="20"/>
        </w:rPr>
      </w:pPr>
      <w:r w:rsidRPr="009B1DFB">
        <w:rPr>
          <w:rFonts w:ascii="Arial" w:hAnsi="Arial" w:cs="Arial"/>
          <w:b/>
          <w:bCs/>
          <w:sz w:val="20"/>
          <w:szCs w:val="20"/>
        </w:rPr>
        <w:t xml:space="preserve">Figure </w:t>
      </w:r>
      <w:r>
        <w:rPr>
          <w:rFonts w:ascii="Arial" w:hAnsi="Arial" w:cs="Arial"/>
          <w:b/>
          <w:bCs/>
          <w:sz w:val="20"/>
          <w:szCs w:val="20"/>
        </w:rPr>
        <w:t>5:</w:t>
      </w:r>
      <w:r w:rsidR="00CB4CF0" w:rsidRPr="00CB4CF0">
        <w:t xml:space="preserve"> </w:t>
      </w:r>
      <w:r w:rsidR="00CB4CF0" w:rsidRPr="00CB4CF0">
        <w:rPr>
          <w:rFonts w:ascii="Arial" w:hAnsi="Arial" w:cs="Arial"/>
          <w:b/>
          <w:bCs/>
          <w:sz w:val="20"/>
          <w:szCs w:val="20"/>
        </w:rPr>
        <w:t xml:space="preserve">Spatial map </w:t>
      </w:r>
      <w:r w:rsidR="00CB4CF0">
        <w:rPr>
          <w:rFonts w:ascii="Arial" w:hAnsi="Arial" w:cs="Arial"/>
          <w:b/>
          <w:bCs/>
          <w:sz w:val="20"/>
          <w:szCs w:val="20"/>
        </w:rPr>
        <w:t>of</w:t>
      </w:r>
      <w:r w:rsidR="00CB4CF0" w:rsidRPr="00CB4CF0">
        <w:rPr>
          <w:rFonts w:ascii="Arial" w:hAnsi="Arial" w:cs="Arial"/>
          <w:b/>
          <w:bCs/>
          <w:sz w:val="20"/>
          <w:szCs w:val="20"/>
        </w:rPr>
        <w:t xml:space="preserve"> (a) PCC of El Nino and (b) for La Nina with rainfall  </w:t>
      </w:r>
      <w:r w:rsidRPr="009B1DFB">
        <w:rPr>
          <w:rFonts w:ascii="Arial" w:hAnsi="Arial" w:cs="Arial"/>
          <w:b/>
          <w:bCs/>
          <w:sz w:val="20"/>
          <w:szCs w:val="20"/>
        </w:rPr>
        <w:t xml:space="preserve"> </w:t>
      </w:r>
    </w:p>
    <w:p w14:paraId="7A0C59DB" w14:textId="24088056"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Figure </w:t>
      </w:r>
      <w:r w:rsidR="0037560D">
        <w:rPr>
          <w:rFonts w:ascii="Arial" w:hAnsi="Arial" w:cs="Arial"/>
          <w:sz w:val="20"/>
          <w:szCs w:val="20"/>
        </w:rPr>
        <w:t>5</w:t>
      </w:r>
      <w:r w:rsidRPr="00970B8C">
        <w:rPr>
          <w:rFonts w:ascii="Arial" w:hAnsi="Arial" w:cs="Arial"/>
          <w:sz w:val="20"/>
          <w:szCs w:val="20"/>
        </w:rPr>
        <w:t xml:space="preserve">(a) depicts the spatial distribution of PCC between El Niño events and rainfall, showing dominant negative correlations over northern and central India, signifying the suppressive influence of El Niño on monsoon rainfall. Meanwhile, Figure </w:t>
      </w:r>
      <w:r w:rsidR="0037560D">
        <w:rPr>
          <w:rFonts w:ascii="Arial" w:hAnsi="Arial" w:cs="Arial"/>
          <w:sz w:val="20"/>
          <w:szCs w:val="20"/>
        </w:rPr>
        <w:t>5</w:t>
      </w:r>
      <w:r w:rsidRPr="00970B8C">
        <w:rPr>
          <w:rFonts w:ascii="Arial" w:hAnsi="Arial" w:cs="Arial"/>
          <w:sz w:val="20"/>
          <w:szCs w:val="20"/>
        </w:rPr>
        <w:t>(b) illustrates the correlation pattern for La Niña events, highlighting positive correlations across southern and eastern India, where rainfall typically intensifies under La Niña conditions. Together, these spatial maps clearly delineate how ENSO phases modulate monsoon variability across different climatic zones.</w:t>
      </w:r>
    </w:p>
    <w:p w14:paraId="46E023EA" w14:textId="54B2D6AC"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These results affirm that El Niño episodes generally lead to weakened monsoon circulation and reduced precipitation, particularly in inland and northern regions, while La Niña events strengthen the monsoon system, producing above-average rainfall in southern and eastern India. The observed correlations are consistent with previous studies that identified ENSO as a key driver of interannual monsoon variability.</w:t>
      </w:r>
    </w:p>
    <w:p w14:paraId="1FCE9D81"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Understanding these regional differences is crucial for climate risk assessment and resource management. North and Central India, being more vulnerable to El Niño-induced droughts, require enhanced irrigation scheduling, drought-resistant crop planning, and early warning systems. Conversely, South and East India, which experience high variability and intense rainfall during La Niña events, need improved flood control, water harvesting infrastructure, and reservoir operation strategies.</w:t>
      </w:r>
    </w:p>
    <w:p w14:paraId="547D1B01" w14:textId="5187D3DC" w:rsidR="00970B8C" w:rsidRPr="001D389D"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Overall, this analysis emphasizes that the ENSO–rainfall relationship in India is spatially heterogeneous. While ENSO acts as a primary driver of large-scale rainfall variability, the response magnitude is modulated by regional factors such as local topography, proximity to the ocean, and interactions with other climate </w:t>
      </w:r>
      <w:r w:rsidR="002D5B29" w:rsidRPr="00970B8C">
        <w:rPr>
          <w:rFonts w:ascii="Arial" w:hAnsi="Arial" w:cs="Arial"/>
          <w:sz w:val="20"/>
          <w:szCs w:val="20"/>
        </w:rPr>
        <w:t>models</w:t>
      </w:r>
      <w:r w:rsidRPr="00970B8C">
        <w:rPr>
          <w:rFonts w:ascii="Arial" w:hAnsi="Arial" w:cs="Arial"/>
          <w:sz w:val="20"/>
          <w:szCs w:val="20"/>
        </w:rPr>
        <w:t xml:space="preserve"> like the Indian Ocean Dipole (IOD). These findings underscore the need for region-specific climate adaptation measures and predictive </w:t>
      </w:r>
      <w:r w:rsidR="002D5B29" w:rsidRPr="00970B8C">
        <w:rPr>
          <w:rFonts w:ascii="Arial" w:hAnsi="Arial" w:cs="Arial"/>
          <w:sz w:val="20"/>
          <w:szCs w:val="20"/>
        </w:rPr>
        <w:t>modelling</w:t>
      </w:r>
      <w:r w:rsidRPr="00970B8C">
        <w:rPr>
          <w:rFonts w:ascii="Arial" w:hAnsi="Arial" w:cs="Arial"/>
          <w:sz w:val="20"/>
          <w:szCs w:val="20"/>
        </w:rPr>
        <w:t xml:space="preserve"> frameworks to better anticipate monsoon </w:t>
      </w:r>
      <w:r w:rsidR="002D5B29" w:rsidRPr="00970B8C">
        <w:rPr>
          <w:rFonts w:ascii="Arial" w:hAnsi="Arial" w:cs="Arial"/>
          <w:sz w:val="20"/>
          <w:szCs w:val="20"/>
        </w:rPr>
        <w:t>behaviour</w:t>
      </w:r>
      <w:r w:rsidRPr="00970B8C">
        <w:rPr>
          <w:rFonts w:ascii="Arial" w:hAnsi="Arial" w:cs="Arial"/>
          <w:sz w:val="20"/>
          <w:szCs w:val="20"/>
        </w:rPr>
        <w:t xml:space="preserve"> under evolving global climate scenarios.</w:t>
      </w:r>
    </w:p>
    <w:p w14:paraId="360C50C8" w14:textId="7B5B733F" w:rsidR="001D389D" w:rsidRPr="00B238F4" w:rsidRDefault="00B238F4" w:rsidP="00CF6047">
      <w:pPr>
        <w:pStyle w:val="ListParagraph"/>
        <w:numPr>
          <w:ilvl w:val="0"/>
          <w:numId w:val="2"/>
        </w:numPr>
        <w:spacing w:line="240" w:lineRule="auto"/>
        <w:ind w:left="567" w:hanging="567"/>
        <w:jc w:val="both"/>
        <w:rPr>
          <w:rFonts w:ascii="Arial" w:hAnsi="Arial" w:cs="Arial"/>
          <w:color w:val="0070C0"/>
          <w:sz w:val="22"/>
          <w:szCs w:val="22"/>
        </w:rPr>
      </w:pPr>
      <w:r w:rsidRPr="00B238F4">
        <w:rPr>
          <w:rFonts w:ascii="Arial" w:hAnsi="Arial" w:cs="Arial"/>
          <w:b/>
          <w:color w:val="0070C0"/>
          <w:sz w:val="22"/>
          <w:szCs w:val="22"/>
        </w:rPr>
        <w:t>C</w:t>
      </w:r>
      <w:r w:rsidR="001D389D" w:rsidRPr="00B238F4">
        <w:rPr>
          <w:rFonts w:ascii="Arial" w:hAnsi="Arial" w:cs="Arial"/>
          <w:b/>
          <w:color w:val="0070C0"/>
          <w:sz w:val="22"/>
          <w:szCs w:val="22"/>
        </w:rPr>
        <w:t>onclusion</w:t>
      </w:r>
      <w:r w:rsidRPr="00B238F4">
        <w:rPr>
          <w:rFonts w:ascii="Arial" w:hAnsi="Arial" w:cs="Arial"/>
          <w:color w:val="0070C0"/>
          <w:sz w:val="22"/>
          <w:szCs w:val="22"/>
        </w:rPr>
        <w:t xml:space="preserve"> </w:t>
      </w:r>
    </w:p>
    <w:p w14:paraId="2D87AD47" w14:textId="234F58BF" w:rsidR="00B74011" w:rsidRPr="00B74011" w:rsidRDefault="00B74011" w:rsidP="001D389D">
      <w:pPr>
        <w:spacing w:line="240" w:lineRule="auto"/>
        <w:jc w:val="both"/>
        <w:rPr>
          <w:rFonts w:ascii="Arial" w:hAnsi="Arial" w:cs="Arial"/>
          <w:sz w:val="20"/>
          <w:szCs w:val="20"/>
        </w:rPr>
      </w:pPr>
      <w:r w:rsidRPr="00B74011">
        <w:rPr>
          <w:rFonts w:ascii="Arial" w:hAnsi="Arial" w:cs="Arial"/>
          <w:sz w:val="20"/>
          <w:szCs w:val="20"/>
        </w:rPr>
        <w:t>The analysis clearly establishes a strong linkage between the El Niño–Southern Oscillation (ENSO) and rainfall variability across different regions of India. The results demonstrate that El Niño events, represented by positive Nino 3.4 anomalies, are typically associated with below-normal rainfall and drought-like conditions, whereas La Niña events correspond to enhanced rainfall, often leading to wetter-than-average seasons. This relationship, however, varies notably across regions, emphasizing the spatial diversity of ENSO impacts on India’s hydroclimatic system.</w:t>
      </w:r>
    </w:p>
    <w:p w14:paraId="490F495F" w14:textId="77777777" w:rsidR="00B74011" w:rsidRPr="00B74011" w:rsidRDefault="00B74011" w:rsidP="001D389D">
      <w:pPr>
        <w:spacing w:line="240" w:lineRule="auto"/>
        <w:jc w:val="both"/>
        <w:rPr>
          <w:rFonts w:ascii="Arial" w:hAnsi="Arial" w:cs="Arial"/>
          <w:sz w:val="20"/>
          <w:szCs w:val="20"/>
        </w:rPr>
      </w:pPr>
      <w:r w:rsidRPr="00B74011">
        <w:rPr>
          <w:rFonts w:ascii="Arial" w:hAnsi="Arial" w:cs="Arial"/>
          <w:sz w:val="20"/>
          <w:szCs w:val="20"/>
        </w:rPr>
        <w:lastRenderedPageBreak/>
        <w:t>Among all regions, the North region exhibits the strongest response to ENSO fluctuations, with a high negative correlation (r = -0.65) during El Niño years and a moderately positive correlation (r = 0.45) during La Niña years. This pattern indicates that northern India is particularly vulnerable to rainfall deficits during El Niño episodes. The Central region also shows a negative association with El Niño (r = -0.35) and a positive one with La Niña (r = 0.30), suggesting its sensitivity to changes in global ocean-atmosphere circulation. The South region displays an opposite trend, where La Niña strongly enhances rainfall (r = 0.55), while El Niño has a relatively weak impact (r = -0.10). This highlights the complex interplay of ENSO with other climatic drivers, such as the Indian Ocean Dipole (IOD) and local topographical effects. The East and West regions show moderate correlations, implying that although ENSO influences their rainfall patterns, regional factors also play a significant role.</w:t>
      </w:r>
    </w:p>
    <w:p w14:paraId="6A7E8D69" w14:textId="77777777" w:rsidR="00B74011" w:rsidRPr="001D389D" w:rsidRDefault="00B74011" w:rsidP="001D389D">
      <w:pPr>
        <w:spacing w:line="240" w:lineRule="auto"/>
        <w:jc w:val="both"/>
        <w:rPr>
          <w:rFonts w:ascii="Arial" w:hAnsi="Arial" w:cs="Arial"/>
          <w:sz w:val="20"/>
          <w:szCs w:val="20"/>
        </w:rPr>
      </w:pPr>
      <w:r w:rsidRPr="00B74011">
        <w:rPr>
          <w:rFonts w:ascii="Arial" w:hAnsi="Arial" w:cs="Arial"/>
          <w:sz w:val="20"/>
          <w:szCs w:val="20"/>
        </w:rPr>
        <w:t>Overall, this study reaffirms that ENSO remains a dominant large-scale driver of rainfall variability over India, yet its impact is not uniform across regions. Recognizing these spatial differences is essential for improving monsoon prediction models, agricultural planning, and drought management. Integrating ENSO forecasts into early warning systems and water resource management frameworks can significantly enhance India’s capacity to mitigate adverse climatic impacts, ensuring sustainable agricultural productivity and water security under changing climate conditions.</w:t>
      </w:r>
    </w:p>
    <w:p w14:paraId="0A4A2EA4" w14:textId="77777777" w:rsidR="001D389D" w:rsidRPr="001D389D" w:rsidRDefault="001D389D" w:rsidP="001D389D">
      <w:pPr>
        <w:spacing w:after="120" w:line="240" w:lineRule="auto"/>
        <w:jc w:val="both"/>
        <w:rPr>
          <w:rFonts w:ascii="Arial" w:hAnsi="Arial" w:cs="Arial"/>
          <w:b/>
          <w:bCs/>
          <w:sz w:val="20"/>
          <w:szCs w:val="20"/>
        </w:rPr>
      </w:pPr>
      <w:r w:rsidRPr="001D389D">
        <w:rPr>
          <w:rFonts w:ascii="Arial" w:hAnsi="Arial" w:cs="Arial"/>
          <w:b/>
          <w:bCs/>
          <w:sz w:val="20"/>
          <w:szCs w:val="20"/>
        </w:rPr>
        <w:t xml:space="preserve">Declaration of using AI </w:t>
      </w:r>
    </w:p>
    <w:p w14:paraId="5AEBEFB7" w14:textId="6EE9A785" w:rsidR="001D389D" w:rsidRPr="00B238F4" w:rsidRDefault="001D389D" w:rsidP="00520FF3">
      <w:pPr>
        <w:spacing w:after="120" w:line="240" w:lineRule="auto"/>
        <w:jc w:val="both"/>
        <w:rPr>
          <w:rFonts w:ascii="Arial" w:hAnsi="Arial" w:cs="Arial"/>
          <w:color w:val="0070C0"/>
          <w:sz w:val="20"/>
          <w:szCs w:val="20"/>
        </w:rPr>
      </w:pPr>
      <w:r w:rsidRPr="00B238F4">
        <w:rPr>
          <w:rFonts w:ascii="Arial" w:hAnsi="Arial" w:cs="Arial"/>
          <w:color w:val="0070C0"/>
          <w:sz w:val="20"/>
          <w:szCs w:val="20"/>
        </w:rPr>
        <w:t>The Author</w:t>
      </w:r>
      <w:r w:rsidR="00B238F4" w:rsidRPr="00B238F4">
        <w:rPr>
          <w:rFonts w:ascii="Arial" w:hAnsi="Arial" w:cs="Arial"/>
          <w:color w:val="0070C0"/>
          <w:sz w:val="20"/>
          <w:szCs w:val="20"/>
        </w:rPr>
        <w:t xml:space="preserve"> hereby declares that no generative AI technologies have been used during the writing or editing of the </w:t>
      </w:r>
      <w:r w:rsidRPr="00B238F4">
        <w:rPr>
          <w:rFonts w:ascii="Arial" w:hAnsi="Arial" w:cs="Arial"/>
          <w:color w:val="0070C0"/>
          <w:sz w:val="20"/>
          <w:szCs w:val="20"/>
        </w:rPr>
        <w:t>manuscript.</w:t>
      </w:r>
    </w:p>
    <w:p w14:paraId="17BEF7EE" w14:textId="77777777" w:rsidR="00B74011" w:rsidRPr="001D389D" w:rsidRDefault="00B74011" w:rsidP="001D389D">
      <w:pPr>
        <w:spacing w:line="240" w:lineRule="auto"/>
        <w:jc w:val="both"/>
        <w:rPr>
          <w:rFonts w:ascii="Arial" w:hAnsi="Arial" w:cs="Arial"/>
          <w:b/>
          <w:bCs/>
          <w:sz w:val="20"/>
          <w:szCs w:val="20"/>
        </w:rPr>
      </w:pPr>
    </w:p>
    <w:p w14:paraId="7FAAF0A5" w14:textId="45684A9B" w:rsidR="004E1E64" w:rsidRPr="004E690B" w:rsidRDefault="004E690B" w:rsidP="001D389D">
      <w:pPr>
        <w:spacing w:line="240" w:lineRule="auto"/>
        <w:jc w:val="both"/>
        <w:rPr>
          <w:rFonts w:ascii="Arial" w:hAnsi="Arial" w:cs="Arial"/>
          <w:b/>
          <w:bCs/>
          <w:color w:val="0070C0"/>
          <w:sz w:val="20"/>
          <w:szCs w:val="20"/>
        </w:rPr>
      </w:pPr>
      <w:r w:rsidRPr="004E690B">
        <w:rPr>
          <w:rFonts w:ascii="Arial" w:hAnsi="Arial" w:cs="Arial"/>
          <w:b/>
          <w:bCs/>
          <w:color w:val="0070C0"/>
          <w:sz w:val="20"/>
          <w:szCs w:val="20"/>
        </w:rPr>
        <w:t>REFERENCES</w:t>
      </w:r>
    </w:p>
    <w:p w14:paraId="6B64C2C4" w14:textId="3E707975"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Harishnaika</w:t>
      </w:r>
      <w:proofErr w:type="spellEnd"/>
      <w:r w:rsidRPr="001D389D">
        <w:rPr>
          <w:rFonts w:ascii="Arial" w:hAnsi="Arial" w:cs="Arial"/>
          <w:sz w:val="20"/>
          <w:szCs w:val="20"/>
        </w:rPr>
        <w:t xml:space="preserve">, N., Ahmed, S. A., Kumar, S., &amp; Arpitha, M. (2022). Computation of the </w:t>
      </w:r>
      <w:proofErr w:type="spellStart"/>
      <w:r w:rsidRPr="001D389D">
        <w:rPr>
          <w:rFonts w:ascii="Arial" w:hAnsi="Arial" w:cs="Arial"/>
          <w:sz w:val="20"/>
          <w:szCs w:val="20"/>
        </w:rPr>
        <w:t>spatio</w:t>
      </w:r>
      <w:proofErr w:type="spellEnd"/>
      <w:r w:rsidRPr="001D389D">
        <w:rPr>
          <w:rFonts w:ascii="Arial" w:hAnsi="Arial" w:cs="Arial"/>
          <w:sz w:val="20"/>
          <w:szCs w:val="20"/>
        </w:rPr>
        <w:t xml:space="preserve">-temporal extent of rainfall and long-term meteorological drought assessment using standardized precipitation index over Kolar and Chikkaballapura districts, Karnataka during 1951-2019. Remote Sensing Applications: Society and Environment, 27, 100768. </w:t>
      </w:r>
    </w:p>
    <w:p w14:paraId="373359A1" w14:textId="3E64DC9E"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Harishnaika</w:t>
      </w:r>
      <w:proofErr w:type="spellEnd"/>
      <w:r w:rsidRPr="001D389D">
        <w:rPr>
          <w:rFonts w:ascii="Arial" w:hAnsi="Arial" w:cs="Arial"/>
          <w:sz w:val="20"/>
          <w:szCs w:val="20"/>
        </w:rPr>
        <w:t xml:space="preserve">, N., Arpitha, M., &amp; Ahmed, S. A. (2024). </w:t>
      </w:r>
      <w:proofErr w:type="spellStart"/>
      <w:r w:rsidRPr="001D389D">
        <w:rPr>
          <w:rFonts w:ascii="Arial" w:hAnsi="Arial" w:cs="Arial"/>
          <w:sz w:val="20"/>
          <w:szCs w:val="20"/>
        </w:rPr>
        <w:t>Spatio</w:t>
      </w:r>
      <w:proofErr w:type="spellEnd"/>
      <w:r w:rsidRPr="001D389D">
        <w:rPr>
          <w:rFonts w:ascii="Arial" w:hAnsi="Arial" w:cs="Arial"/>
          <w:sz w:val="20"/>
          <w:szCs w:val="20"/>
        </w:rPr>
        <w:t xml:space="preserve">-temporal characteristics of rainfall and drought conditions using different drought indices with geospatial approaches in Karnataka state. Journal of Atmospheric and Solar-Terrestrial Physics, 265, 106372. </w:t>
      </w:r>
    </w:p>
    <w:p w14:paraId="1AFAC314" w14:textId="22FC26AF"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Prasanna, V. (2014). Impact of monsoon rainfall on the total foodgrains yield over India. Journal of Earth System Science, 123(5), 1129–1145. </w:t>
      </w:r>
    </w:p>
    <w:p w14:paraId="153F4BE0" w14:textId="6D925CB9"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Shukla, R. P., &amp; Haung, B. (2016). Interannual variability of the Indian summer monsoon associated with air-sea feedback in the northern Indian Ocean. Climate Dynamics, 46, 1977–1990. </w:t>
      </w:r>
    </w:p>
    <w:p w14:paraId="387B247A" w14:textId="2CEBCFDF"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Yun, K. S., &amp; Timmermann, A. (2018). Decadal monsoon-ENSO relationships </w:t>
      </w:r>
      <w:proofErr w:type="spellStart"/>
      <w:r w:rsidRPr="001D389D">
        <w:rPr>
          <w:rFonts w:ascii="Arial" w:hAnsi="Arial" w:cs="Arial"/>
          <w:sz w:val="20"/>
          <w:szCs w:val="20"/>
        </w:rPr>
        <w:t>reexamined</w:t>
      </w:r>
      <w:proofErr w:type="spellEnd"/>
      <w:r w:rsidRPr="001D389D">
        <w:rPr>
          <w:rFonts w:ascii="Arial" w:hAnsi="Arial" w:cs="Arial"/>
          <w:sz w:val="20"/>
          <w:szCs w:val="20"/>
        </w:rPr>
        <w:t xml:space="preserve">. Geophysical Research Letters. </w:t>
      </w:r>
    </w:p>
    <w:p w14:paraId="33DF66FD" w14:textId="295B417B"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Nair, P. J., Chakraborty, A., </w:t>
      </w:r>
      <w:proofErr w:type="spellStart"/>
      <w:r w:rsidRPr="001D389D">
        <w:rPr>
          <w:rFonts w:ascii="Arial" w:hAnsi="Arial" w:cs="Arial"/>
          <w:sz w:val="20"/>
          <w:szCs w:val="20"/>
        </w:rPr>
        <w:t>Varikoden</w:t>
      </w:r>
      <w:proofErr w:type="spellEnd"/>
      <w:r w:rsidRPr="001D389D">
        <w:rPr>
          <w:rFonts w:ascii="Arial" w:hAnsi="Arial" w:cs="Arial"/>
          <w:sz w:val="20"/>
          <w:szCs w:val="20"/>
        </w:rPr>
        <w:t xml:space="preserve">, H., Francis, P. A., &amp; </w:t>
      </w:r>
      <w:proofErr w:type="spellStart"/>
      <w:r w:rsidRPr="001D389D">
        <w:rPr>
          <w:rFonts w:ascii="Arial" w:hAnsi="Arial" w:cs="Arial"/>
          <w:sz w:val="20"/>
          <w:szCs w:val="20"/>
        </w:rPr>
        <w:t>Kuttipurath</w:t>
      </w:r>
      <w:proofErr w:type="spellEnd"/>
      <w:r w:rsidRPr="001D389D">
        <w:rPr>
          <w:rFonts w:ascii="Arial" w:hAnsi="Arial" w:cs="Arial"/>
          <w:sz w:val="20"/>
          <w:szCs w:val="20"/>
        </w:rPr>
        <w:t>, J. (2018). The local and global climate forcings induced inhomogeneity of Indian rainfall. Scientific Reports, 8, 6062.</w:t>
      </w:r>
    </w:p>
    <w:p w14:paraId="469537B1" w14:textId="6A285BEB"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Sabeerali</w:t>
      </w:r>
      <w:proofErr w:type="spellEnd"/>
      <w:r w:rsidRPr="001D389D">
        <w:rPr>
          <w:rFonts w:ascii="Arial" w:hAnsi="Arial" w:cs="Arial"/>
          <w:sz w:val="20"/>
          <w:szCs w:val="20"/>
        </w:rPr>
        <w:t xml:space="preserve">, C. T., </w:t>
      </w:r>
      <w:proofErr w:type="spellStart"/>
      <w:r w:rsidRPr="001D389D">
        <w:rPr>
          <w:rFonts w:ascii="Arial" w:hAnsi="Arial" w:cs="Arial"/>
          <w:sz w:val="20"/>
          <w:szCs w:val="20"/>
        </w:rPr>
        <w:t>Ajayamohan</w:t>
      </w:r>
      <w:proofErr w:type="spellEnd"/>
      <w:r w:rsidRPr="001D389D">
        <w:rPr>
          <w:rFonts w:ascii="Arial" w:hAnsi="Arial" w:cs="Arial"/>
          <w:sz w:val="20"/>
          <w:szCs w:val="20"/>
        </w:rPr>
        <w:t xml:space="preserve">, R. S., </w:t>
      </w:r>
      <w:proofErr w:type="spellStart"/>
      <w:r w:rsidRPr="001D389D">
        <w:rPr>
          <w:rFonts w:ascii="Arial" w:hAnsi="Arial" w:cs="Arial"/>
          <w:sz w:val="20"/>
          <w:szCs w:val="20"/>
        </w:rPr>
        <w:t>Bangalath</w:t>
      </w:r>
      <w:proofErr w:type="spellEnd"/>
      <w:r w:rsidRPr="001D389D">
        <w:rPr>
          <w:rFonts w:ascii="Arial" w:hAnsi="Arial" w:cs="Arial"/>
          <w:sz w:val="20"/>
          <w:szCs w:val="20"/>
        </w:rPr>
        <w:t xml:space="preserve">, H. K., &amp; Chen, N. (2019). Atlantic Zonal Mode: an emerging source of Indian summer monsoon variability in a warming world. Geophysical Research Letters, 46, 4460–4464. </w:t>
      </w:r>
    </w:p>
    <w:p w14:paraId="6E5AA623" w14:textId="73785380"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Krishnaswami, J., Vaidyanathan, S., Rajagopalan, B., Bonnel, M., Sankaran, M., Bhalla, R. S., Badiger, S. (2015). Non-stationary and non-linear influence of ENSO and Indian Ocean Dipole on Indian summer monsoon rainfall and extreme rain events. Climate Dynamics, 45, 175–184. </w:t>
      </w:r>
    </w:p>
    <w:p w14:paraId="0DC832D9" w14:textId="52C1E4EE"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Pothapakula</w:t>
      </w:r>
      <w:proofErr w:type="spellEnd"/>
      <w:r w:rsidRPr="001D389D">
        <w:rPr>
          <w:rFonts w:ascii="Arial" w:hAnsi="Arial" w:cs="Arial"/>
          <w:sz w:val="20"/>
          <w:szCs w:val="20"/>
        </w:rPr>
        <w:t xml:space="preserve">, P. K., Primo, C., Sørland, S., &amp; Ahrens, B. (2020). The synergistic impact of ENSO and IOD on Indian summer monsoon rainfall in observations and climate simulations: an information theory perspective. Earth System Dynamics, 11(4), 903–923. </w:t>
      </w:r>
    </w:p>
    <w:p w14:paraId="26286B54" w14:textId="447BA769"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Ashok, K., Guan, Z., Saji, N. H., &amp; Yamagata, T. (2004). Individual and combined influences of ENSO and the Indian Ocean Dipole on the Indian summer monsoon. Journal of Climate, 17, 3141–3155. </w:t>
      </w:r>
    </w:p>
    <w:p w14:paraId="77AA4A7B" w14:textId="7D6CD204"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Behera, S. K., &amp; Yamagata, T. (2003). Influence of the Indian Ocean dipole on the Southern Oscillation. Journal of the Meteorological Society of Japan. Ser. II, 81(1), 169–177. </w:t>
      </w:r>
    </w:p>
    <w:p w14:paraId="10236312" w14:textId="4E239BE9"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Anil, N., Kumar, M. R. R., Sajeev, R., &amp; Saji, P. K. (2016). Role of distinct flavours of IOD events on Indian summer monsoon. Natural Hazards, 82(2), 1317–1326. </w:t>
      </w:r>
    </w:p>
    <w:p w14:paraId="6D13A5F3" w14:textId="77777777" w:rsidR="00FB4CFB" w:rsidRPr="001D389D" w:rsidRDefault="00FB4CFB" w:rsidP="00FB4CFB">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Yadav, V. S., </w:t>
      </w:r>
      <w:proofErr w:type="spellStart"/>
      <w:r w:rsidRPr="001D389D">
        <w:rPr>
          <w:rFonts w:ascii="Arial" w:hAnsi="Arial" w:cs="Arial"/>
          <w:sz w:val="20"/>
          <w:szCs w:val="20"/>
        </w:rPr>
        <w:t>Galkate</w:t>
      </w:r>
      <w:proofErr w:type="spellEnd"/>
      <w:r w:rsidRPr="001D389D">
        <w:rPr>
          <w:rFonts w:ascii="Arial" w:hAnsi="Arial" w:cs="Arial"/>
          <w:sz w:val="20"/>
          <w:szCs w:val="20"/>
        </w:rPr>
        <w:t xml:space="preserve">, R. V., Chandola, V. K., Shukla, A. K., Panda, S., &amp; Shukla, S. (2025). Spatiotemporal characterization of meteorological drought and rainfall variation during El Niño/La Niña event over Bundelkhand region of India. </w:t>
      </w:r>
      <w:r w:rsidRPr="001D389D">
        <w:rPr>
          <w:rFonts w:ascii="Arial" w:hAnsi="Arial" w:cs="Arial"/>
          <w:i/>
          <w:iCs/>
          <w:sz w:val="20"/>
          <w:szCs w:val="20"/>
        </w:rPr>
        <w:t>Discover Applied Sciences, 7</w:t>
      </w:r>
      <w:r w:rsidRPr="001D389D">
        <w:rPr>
          <w:rFonts w:ascii="Arial" w:hAnsi="Arial" w:cs="Arial"/>
          <w:sz w:val="20"/>
          <w:szCs w:val="20"/>
        </w:rPr>
        <w:t xml:space="preserve">(5), 464. </w:t>
      </w:r>
    </w:p>
    <w:p w14:paraId="71C21C35" w14:textId="1A69D963"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lastRenderedPageBreak/>
        <w:t xml:space="preserve">Athira, K. S., Roxy, M. K., Dasgupta, P., Saranya, J. S., Singh, V. K., &amp; </w:t>
      </w:r>
      <w:proofErr w:type="spellStart"/>
      <w:r w:rsidRPr="001D389D">
        <w:rPr>
          <w:rFonts w:ascii="Arial" w:hAnsi="Arial" w:cs="Arial"/>
          <w:sz w:val="20"/>
          <w:szCs w:val="20"/>
        </w:rPr>
        <w:t>Attada</w:t>
      </w:r>
      <w:proofErr w:type="spellEnd"/>
      <w:r w:rsidRPr="001D389D">
        <w:rPr>
          <w:rFonts w:ascii="Arial" w:hAnsi="Arial" w:cs="Arial"/>
          <w:sz w:val="20"/>
          <w:szCs w:val="20"/>
        </w:rPr>
        <w:t xml:space="preserve">, R. (2023). Regional and temporal variability of Indian summer monsoon rainfall in relation to El Niño southern oscillation. Scientific Reports, 13(1). </w:t>
      </w:r>
    </w:p>
    <w:p w14:paraId="0EB12491" w14:textId="62AFCB2A"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Takle, J., &amp; Pai, D. S. (2020). Analysis of summer monsoon rainfall over Maharashtra and its relation with SSTs. Journal of Earth System Science, 129(1). </w:t>
      </w:r>
    </w:p>
    <w:p w14:paraId="3F55868E" w14:textId="27CFD671"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Ummenhofer</w:t>
      </w:r>
      <w:proofErr w:type="spellEnd"/>
      <w:r w:rsidRPr="001D389D">
        <w:rPr>
          <w:rFonts w:ascii="Arial" w:hAnsi="Arial" w:cs="Arial"/>
          <w:sz w:val="20"/>
          <w:szCs w:val="20"/>
        </w:rPr>
        <w:t xml:space="preserve">, C. C., Gupta, A. S., Li, Y., </w:t>
      </w:r>
      <w:proofErr w:type="spellStart"/>
      <w:r w:rsidRPr="001D389D">
        <w:rPr>
          <w:rFonts w:ascii="Arial" w:hAnsi="Arial" w:cs="Arial"/>
          <w:sz w:val="20"/>
          <w:szCs w:val="20"/>
        </w:rPr>
        <w:t>Taschetto</w:t>
      </w:r>
      <w:proofErr w:type="spellEnd"/>
      <w:r w:rsidRPr="001D389D">
        <w:rPr>
          <w:rFonts w:ascii="Arial" w:hAnsi="Arial" w:cs="Arial"/>
          <w:sz w:val="20"/>
          <w:szCs w:val="20"/>
        </w:rPr>
        <w:t xml:space="preserve">, A. S., &amp; England, M. H. (2011). Multi-decadal modulation of the El Niño–Indian monsoon relationship by Indian Ocean variability. Environmental Research Letters, 6(3), 034006. </w:t>
      </w:r>
    </w:p>
    <w:p w14:paraId="60E4AA1A" w14:textId="1628313B"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Ashok, K., Guan, Z., Yamagata, T. (2001). Impact of the Indian Ocean dipole on the relationship between the Indian monsoon rainfall and ENSO. Geophysical Research Letters, 28(23), 4499–4502</w:t>
      </w:r>
    </w:p>
    <w:p w14:paraId="2ACB9A14" w14:textId="484F1CD3"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Saji, N. H., &amp; Yamagata, T. (2003). Possible impacts of Indian Ocean Dipole mode events on global climate. Climate Research, 25, 151–169. </w:t>
      </w:r>
    </w:p>
    <w:p w14:paraId="15BFB439" w14:textId="78BC4251"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Pillai, P. A., Kiran, V. G., &amp; Suneeth, K. V. (2024). The strengthened role of new predictors of Indian Ocean Dipole (IOD) during the recent decades of weakened ENSO-IOD relationship. Dynamics of Atmospheres and Oceans, 106, 101432. </w:t>
      </w:r>
    </w:p>
    <w:p w14:paraId="7671AD32" w14:textId="69490EA4"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Chauhan, A. S., Rani, A., Dahiya, P., Maurya, R. K. S., &amp; </w:t>
      </w:r>
      <w:proofErr w:type="spellStart"/>
      <w:r w:rsidRPr="001D389D">
        <w:rPr>
          <w:rFonts w:ascii="Arial" w:hAnsi="Arial" w:cs="Arial"/>
          <w:sz w:val="20"/>
          <w:szCs w:val="20"/>
        </w:rPr>
        <w:t>Danodia</w:t>
      </w:r>
      <w:proofErr w:type="spellEnd"/>
      <w:r w:rsidRPr="001D389D">
        <w:rPr>
          <w:rFonts w:ascii="Arial" w:hAnsi="Arial" w:cs="Arial"/>
          <w:sz w:val="20"/>
          <w:szCs w:val="20"/>
        </w:rPr>
        <w:t xml:space="preserve">, A. (2024). Understanding the influence of teleconnections on Indian summer monsoon rainfall and agricultural productivity: a case study of Haryana, India (1980–2023). Journal of Water and Climate Change. </w:t>
      </w:r>
    </w:p>
    <w:p w14:paraId="57B0C46A" w14:textId="77777777" w:rsidR="00FB4CFB" w:rsidRPr="001D389D" w:rsidRDefault="00FB4CFB" w:rsidP="00FB4CFB">
      <w:pPr>
        <w:pStyle w:val="ListParagraph"/>
        <w:numPr>
          <w:ilvl w:val="0"/>
          <w:numId w:val="1"/>
        </w:numPr>
        <w:spacing w:line="240" w:lineRule="auto"/>
        <w:ind w:left="426" w:hanging="426"/>
        <w:jc w:val="both"/>
        <w:rPr>
          <w:rFonts w:ascii="Arial" w:hAnsi="Arial" w:cs="Arial"/>
          <w:sz w:val="20"/>
          <w:szCs w:val="20"/>
        </w:rPr>
      </w:pPr>
      <w:r w:rsidRPr="00FB4CFB">
        <w:rPr>
          <w:rFonts w:ascii="Arial" w:hAnsi="Arial" w:cs="Arial"/>
          <w:sz w:val="20"/>
          <w:szCs w:val="20"/>
        </w:rPr>
        <w:t xml:space="preserve">Vijay Shankar Yadav, R. V. </w:t>
      </w:r>
      <w:proofErr w:type="spellStart"/>
      <w:r w:rsidRPr="00FB4CFB">
        <w:rPr>
          <w:rFonts w:ascii="Arial" w:hAnsi="Arial" w:cs="Arial"/>
          <w:sz w:val="20"/>
          <w:szCs w:val="20"/>
        </w:rPr>
        <w:t>Galkate</w:t>
      </w:r>
      <w:proofErr w:type="spellEnd"/>
      <w:r w:rsidRPr="00FB4CFB">
        <w:rPr>
          <w:rFonts w:ascii="Arial" w:hAnsi="Arial" w:cs="Arial"/>
          <w:sz w:val="20"/>
          <w:szCs w:val="20"/>
        </w:rPr>
        <w:t>, V. K. Chandola, Ankit Patel, Samikshya Panda, Archana Kaushal &amp; H. R. Ahirwar. (2025). Evaluation of Rainfall Variability and Meteorological Drought in Bundelkhand Region, India. </w:t>
      </w:r>
      <w:r w:rsidRPr="00FB4CFB">
        <w:rPr>
          <w:rFonts w:ascii="Arial" w:hAnsi="Arial" w:cs="Arial"/>
          <w:i/>
          <w:iCs/>
          <w:sz w:val="20"/>
          <w:szCs w:val="20"/>
        </w:rPr>
        <w:t>Journal of Experimental Agriculture International</w:t>
      </w:r>
      <w:r w:rsidRPr="00FB4CFB">
        <w:rPr>
          <w:rFonts w:ascii="Arial" w:hAnsi="Arial" w:cs="Arial"/>
          <w:sz w:val="20"/>
          <w:szCs w:val="20"/>
        </w:rPr>
        <w:t>, </w:t>
      </w:r>
      <w:r w:rsidRPr="00FB4CFB">
        <w:rPr>
          <w:rFonts w:ascii="Arial" w:hAnsi="Arial" w:cs="Arial"/>
          <w:i/>
          <w:iCs/>
          <w:sz w:val="20"/>
          <w:szCs w:val="20"/>
        </w:rPr>
        <w:t>47</w:t>
      </w:r>
      <w:r w:rsidRPr="00FB4CFB">
        <w:rPr>
          <w:rFonts w:ascii="Arial" w:hAnsi="Arial" w:cs="Arial"/>
          <w:sz w:val="20"/>
          <w:szCs w:val="20"/>
        </w:rPr>
        <w:t xml:space="preserve">(4), 181–200. </w:t>
      </w:r>
    </w:p>
    <w:p w14:paraId="784964C7" w14:textId="50D62226"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Meyers, G., McIntosh, P., Pigot, L., &amp; Pook, M. (2007). The years of El Niño, La Niña, and interactions with the tropical Indian Ocean. Journal of Climate, 20(13), 2872–2880. </w:t>
      </w:r>
    </w:p>
    <w:p w14:paraId="0D5CCC49" w14:textId="143BD306"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Stuecker</w:t>
      </w:r>
      <w:proofErr w:type="spellEnd"/>
      <w:r w:rsidRPr="001D389D">
        <w:rPr>
          <w:rFonts w:ascii="Arial" w:hAnsi="Arial" w:cs="Arial"/>
          <w:sz w:val="20"/>
          <w:szCs w:val="20"/>
        </w:rPr>
        <w:t xml:space="preserve">, M. F., Timmermann, A., Jin, F. F., et al. (2017). Revisiting ENSO/Indian Ocean dipole phase relationships. Geophysical Research Letters, 44, 2481–2492. </w:t>
      </w:r>
    </w:p>
    <w:p w14:paraId="275FA33C" w14:textId="561B5915"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Saji, N. H., Goswami, B. N., </w:t>
      </w:r>
      <w:proofErr w:type="spellStart"/>
      <w:r w:rsidRPr="001D389D">
        <w:rPr>
          <w:rFonts w:ascii="Arial" w:hAnsi="Arial" w:cs="Arial"/>
          <w:sz w:val="20"/>
          <w:szCs w:val="20"/>
        </w:rPr>
        <w:t>Vinayachandran</w:t>
      </w:r>
      <w:proofErr w:type="spellEnd"/>
      <w:r w:rsidRPr="001D389D">
        <w:rPr>
          <w:rFonts w:ascii="Arial" w:hAnsi="Arial" w:cs="Arial"/>
          <w:sz w:val="20"/>
          <w:szCs w:val="20"/>
        </w:rPr>
        <w:t xml:space="preserve">, P. N., &amp; Yamagata, T. (1999). A dipole mode in the tropical Indian Ocean. Nature, 401(6751), 360–363. </w:t>
      </w:r>
    </w:p>
    <w:p w14:paraId="51A03E11" w14:textId="7235548A"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Athira, K. S., Roxy, M. K., Dasgupta, P., Saranya, J. S., Singh, V. K., &amp; </w:t>
      </w:r>
      <w:proofErr w:type="spellStart"/>
      <w:r w:rsidRPr="001D389D">
        <w:rPr>
          <w:rFonts w:ascii="Arial" w:hAnsi="Arial" w:cs="Arial"/>
          <w:sz w:val="20"/>
          <w:szCs w:val="20"/>
        </w:rPr>
        <w:t>Attada</w:t>
      </w:r>
      <w:proofErr w:type="spellEnd"/>
      <w:r w:rsidRPr="001D389D">
        <w:rPr>
          <w:rFonts w:ascii="Arial" w:hAnsi="Arial" w:cs="Arial"/>
          <w:sz w:val="20"/>
          <w:szCs w:val="20"/>
        </w:rPr>
        <w:t xml:space="preserve">, R. (2023). Regional and temporal variability of Indian summer monsoon rainfall in relation to El Niño southern oscillation. Scientific Reports, 13(1). </w:t>
      </w:r>
    </w:p>
    <w:p w14:paraId="03B0E7F1" w14:textId="02F93124"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Pokhrel, S., Chaudhari, H. S., Saha, S. K., et al. (2012). ENSO, IOD and Indian summer monsoon in NCEP climate forecast system. Climate Dynamics, 39, 2143–2165. </w:t>
      </w:r>
    </w:p>
    <w:p w14:paraId="0F858C9B" w14:textId="77777777" w:rsidR="00FB4CFB" w:rsidRPr="001D389D" w:rsidRDefault="00FB4CFB" w:rsidP="00FB4CFB">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Ashok, K., &amp; Saji, N. H. (2007). On the impacts of ENSO and Indian Ocean Dipole events on sub-regional Indian summer monsoon rainfall. Natural Hazards, 42, 273–285. </w:t>
      </w:r>
    </w:p>
    <w:p w14:paraId="04DDB1E4" w14:textId="58F6B848" w:rsidR="009C6825" w:rsidRPr="001D389D" w:rsidRDefault="009C6825"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Londhe, D. S., </w:t>
      </w:r>
      <w:proofErr w:type="spellStart"/>
      <w:r w:rsidRPr="001D389D">
        <w:rPr>
          <w:rFonts w:ascii="Arial" w:hAnsi="Arial" w:cs="Arial"/>
          <w:sz w:val="20"/>
          <w:szCs w:val="20"/>
        </w:rPr>
        <w:t>Katpatal</w:t>
      </w:r>
      <w:proofErr w:type="spellEnd"/>
      <w:r w:rsidRPr="001D389D">
        <w:rPr>
          <w:rFonts w:ascii="Arial" w:hAnsi="Arial" w:cs="Arial"/>
          <w:sz w:val="20"/>
          <w:szCs w:val="20"/>
        </w:rPr>
        <w:t xml:space="preserve">, Y. B., Singh, C. K., &amp; </w:t>
      </w:r>
      <w:proofErr w:type="spellStart"/>
      <w:r w:rsidRPr="001D389D">
        <w:rPr>
          <w:rFonts w:ascii="Arial" w:hAnsi="Arial" w:cs="Arial"/>
          <w:sz w:val="20"/>
          <w:szCs w:val="20"/>
        </w:rPr>
        <w:t>Bokde</w:t>
      </w:r>
      <w:proofErr w:type="spellEnd"/>
      <w:r w:rsidRPr="001D389D">
        <w:rPr>
          <w:rFonts w:ascii="Arial" w:hAnsi="Arial" w:cs="Arial"/>
          <w:sz w:val="20"/>
          <w:szCs w:val="20"/>
        </w:rPr>
        <w:t xml:space="preserve">, N. D. (2023). Assessment of vegetation variation and its response to ENSO and IOD in the semi-arid ecosystem of Western India. Journal of Water and Climate Change, 14(8), 2642–2662. </w:t>
      </w:r>
    </w:p>
    <w:p w14:paraId="2C90AAB6" w14:textId="2C4C81DF" w:rsidR="00A20EB3" w:rsidRPr="00FB4CFB" w:rsidRDefault="00FB4CFB" w:rsidP="00FB4CFB">
      <w:pPr>
        <w:pStyle w:val="ListParagraph"/>
        <w:numPr>
          <w:ilvl w:val="0"/>
          <w:numId w:val="1"/>
        </w:numPr>
        <w:spacing w:line="240" w:lineRule="auto"/>
        <w:ind w:left="426" w:hanging="426"/>
        <w:jc w:val="both"/>
        <w:rPr>
          <w:rFonts w:ascii="Arial" w:hAnsi="Arial" w:cs="Arial"/>
          <w:sz w:val="20"/>
          <w:szCs w:val="20"/>
        </w:rPr>
      </w:pPr>
      <w:r w:rsidRPr="00FB4CFB">
        <w:rPr>
          <w:rFonts w:ascii="Arial" w:hAnsi="Arial" w:cs="Arial"/>
          <w:sz w:val="20"/>
          <w:szCs w:val="20"/>
        </w:rPr>
        <w:t xml:space="preserve">Vijay Shankar Yadav, R. V. </w:t>
      </w:r>
      <w:proofErr w:type="spellStart"/>
      <w:r w:rsidRPr="00FB4CFB">
        <w:rPr>
          <w:rFonts w:ascii="Arial" w:hAnsi="Arial" w:cs="Arial"/>
          <w:sz w:val="20"/>
          <w:szCs w:val="20"/>
        </w:rPr>
        <w:t>Galkate</w:t>
      </w:r>
      <w:proofErr w:type="spellEnd"/>
      <w:r w:rsidRPr="00FB4CFB">
        <w:rPr>
          <w:rFonts w:ascii="Arial" w:hAnsi="Arial" w:cs="Arial"/>
          <w:sz w:val="20"/>
          <w:szCs w:val="20"/>
        </w:rPr>
        <w:t xml:space="preserve">, V.K. Chandola, </w:t>
      </w:r>
      <w:proofErr w:type="spellStart"/>
      <w:r w:rsidRPr="00FB4CFB">
        <w:rPr>
          <w:rFonts w:ascii="Arial" w:hAnsi="Arial" w:cs="Arial"/>
          <w:sz w:val="20"/>
          <w:szCs w:val="20"/>
        </w:rPr>
        <w:t>Samikshya</w:t>
      </w:r>
      <w:proofErr w:type="spellEnd"/>
      <w:r w:rsidRPr="00FB4CFB">
        <w:rPr>
          <w:rFonts w:ascii="Arial" w:hAnsi="Arial" w:cs="Arial"/>
          <w:sz w:val="20"/>
          <w:szCs w:val="20"/>
        </w:rPr>
        <w:t xml:space="preserve"> Panda &amp; Ankit Patel. (2024). Trend Analysis and Change Point Detection of Climatic Parameters in Ambedkar Nagar District of Uttar Pradesh, India. </w:t>
      </w:r>
      <w:r w:rsidRPr="00FB4CFB">
        <w:rPr>
          <w:rFonts w:ascii="Arial" w:hAnsi="Arial" w:cs="Arial"/>
          <w:i/>
          <w:iCs/>
          <w:sz w:val="20"/>
          <w:szCs w:val="20"/>
        </w:rPr>
        <w:t>International Journal of Environment and Climate Change</w:t>
      </w:r>
      <w:r w:rsidRPr="00FB4CFB">
        <w:rPr>
          <w:rFonts w:ascii="Arial" w:hAnsi="Arial" w:cs="Arial"/>
          <w:sz w:val="20"/>
          <w:szCs w:val="20"/>
        </w:rPr>
        <w:t>, </w:t>
      </w:r>
      <w:r w:rsidRPr="00FB4CFB">
        <w:rPr>
          <w:rFonts w:ascii="Arial" w:hAnsi="Arial" w:cs="Arial"/>
          <w:i/>
          <w:iCs/>
          <w:sz w:val="20"/>
          <w:szCs w:val="20"/>
        </w:rPr>
        <w:t>14</w:t>
      </w:r>
      <w:r w:rsidRPr="00FB4CFB">
        <w:rPr>
          <w:rFonts w:ascii="Arial" w:hAnsi="Arial" w:cs="Arial"/>
          <w:sz w:val="20"/>
          <w:szCs w:val="20"/>
        </w:rPr>
        <w:t xml:space="preserve">(9), 578–605. </w:t>
      </w:r>
    </w:p>
    <w:p w14:paraId="593D027F" w14:textId="55A5272D" w:rsidR="00522BE5"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IMD. (2021). IMD Annual Report. India Meteorological Department. </w:t>
      </w:r>
      <w:hyperlink r:id="rId12" w:history="1">
        <w:r w:rsidR="00522BE5" w:rsidRPr="001D389D">
          <w:rPr>
            <w:rStyle w:val="Hyperlink"/>
            <w:rFonts w:ascii="Arial" w:hAnsi="Arial" w:cs="Arial"/>
            <w:sz w:val="20"/>
            <w:szCs w:val="20"/>
          </w:rPr>
          <w:t>https://metnet.imd.gov.in/docs/imdnews/ANNUAL_REPORT2021English.pdf</w:t>
        </w:r>
      </w:hyperlink>
    </w:p>
    <w:p w14:paraId="7F428686" w14:textId="20A18BC5"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Prasanna, V. (2014). Impact of monsoon rainfall on the total foodgrains yield over India. Journal of Earth System Science, 123(5), 1129–1145. </w:t>
      </w:r>
    </w:p>
    <w:p w14:paraId="5DF5D0A5" w14:textId="2C934986"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Athira, K. S., Roxy, M. K., Dasgupta, P., Saranya, J. S., &amp; Singh, V. K. (2023). Regional and temporal variability of Indian summer monsoon rainfall in relation to El Niño southern oscillation. Scientific Reports, 13(1). </w:t>
      </w:r>
    </w:p>
    <w:p w14:paraId="7E7B0712" w14:textId="3FE43741"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Chauhan, A. S., Rani, A., Dahiya, P., Maurya, R. K. S., &amp; </w:t>
      </w:r>
      <w:proofErr w:type="spellStart"/>
      <w:r w:rsidRPr="001D389D">
        <w:rPr>
          <w:rFonts w:ascii="Arial" w:hAnsi="Arial" w:cs="Arial"/>
          <w:sz w:val="20"/>
          <w:szCs w:val="20"/>
        </w:rPr>
        <w:t>Danodia</w:t>
      </w:r>
      <w:proofErr w:type="spellEnd"/>
      <w:r w:rsidRPr="001D389D">
        <w:rPr>
          <w:rFonts w:ascii="Arial" w:hAnsi="Arial" w:cs="Arial"/>
          <w:sz w:val="20"/>
          <w:szCs w:val="20"/>
        </w:rPr>
        <w:t xml:space="preserve">, A. (2024). Understanding the influence of teleconnections on Indian summer monsoon rainfall and agricultural productivity: A case study of Haryana, India (1980–2023). Journal of Water and Climate Change. </w:t>
      </w:r>
    </w:p>
    <w:p w14:paraId="50CB44B6" w14:textId="31288843"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Pokhrel, S., Chaudhari, H. S., Saha, S. K., et al. (2012). ENSO, IOD and Indian summer monsoon in NCEP climate forecast system. Climate Dynamics, 39, 2143–2165. </w:t>
      </w:r>
    </w:p>
    <w:p w14:paraId="30B5032B" w14:textId="07258A5F"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Pai, D. S., Rajeevan, M., Sreejith, O. P., Mukhopadhyay, B., &amp; </w:t>
      </w:r>
      <w:proofErr w:type="spellStart"/>
      <w:r w:rsidRPr="001D389D">
        <w:rPr>
          <w:rFonts w:ascii="Arial" w:hAnsi="Arial" w:cs="Arial"/>
          <w:sz w:val="20"/>
          <w:szCs w:val="20"/>
        </w:rPr>
        <w:t>Satbha</w:t>
      </w:r>
      <w:proofErr w:type="spellEnd"/>
      <w:r w:rsidRPr="001D389D">
        <w:rPr>
          <w:rFonts w:ascii="Arial" w:hAnsi="Arial" w:cs="Arial"/>
          <w:sz w:val="20"/>
          <w:szCs w:val="20"/>
        </w:rPr>
        <w:t xml:space="preserve">, N. S. (2014). Development of a new high spatial resolution (0.25° × 0.25°) long period (1901–2010) daily gridded rainfall dataset over India and its comparison with existing datasets over the region. MAUSAM, 65(1), 1–18. </w:t>
      </w:r>
    </w:p>
    <w:p w14:paraId="6D25F433" w14:textId="418FF3F7"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Huang, B., Thorne, P. W., Banzon, V. F., Boyer, T., Chepurin, G., Lawrimore, J. H., Menne, M. J., Smith, T. M., Vose, R. S., &amp; Zhang, H. (2017). Extended Reconstructed Sea Surface Temperature, </w:t>
      </w:r>
      <w:r w:rsidRPr="001D389D">
        <w:rPr>
          <w:rFonts w:ascii="Arial" w:hAnsi="Arial" w:cs="Arial"/>
          <w:sz w:val="20"/>
          <w:szCs w:val="20"/>
        </w:rPr>
        <w:lastRenderedPageBreak/>
        <w:t>Version 5 (ERSSTv5): Upgrades, validations, and intercomparisons. Journal of Climate, 30(20), 8179–8205.</w:t>
      </w:r>
    </w:p>
    <w:p w14:paraId="7A97808C" w14:textId="4908EFB5"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NOAA National </w:t>
      </w:r>
      <w:proofErr w:type="spellStart"/>
      <w:r w:rsidRPr="001D389D">
        <w:rPr>
          <w:rFonts w:ascii="Arial" w:hAnsi="Arial" w:cs="Arial"/>
          <w:sz w:val="20"/>
          <w:szCs w:val="20"/>
        </w:rPr>
        <w:t>Centers</w:t>
      </w:r>
      <w:proofErr w:type="spellEnd"/>
      <w:r w:rsidRPr="001D389D">
        <w:rPr>
          <w:rFonts w:ascii="Arial" w:hAnsi="Arial" w:cs="Arial"/>
          <w:sz w:val="20"/>
          <w:szCs w:val="20"/>
        </w:rPr>
        <w:t xml:space="preserve"> for Environmental Information. (2023). Nino 3.4 index data. </w:t>
      </w:r>
      <w:hyperlink r:id="rId13" w:history="1">
        <w:r w:rsidR="00C433F3" w:rsidRPr="001D389D">
          <w:rPr>
            <w:rStyle w:val="Hyperlink"/>
            <w:rFonts w:ascii="Arial" w:hAnsi="Arial" w:cs="Arial"/>
            <w:sz w:val="20"/>
            <w:szCs w:val="20"/>
          </w:rPr>
          <w:t>https://www.ncdc.noaa.gov</w:t>
        </w:r>
      </w:hyperlink>
    </w:p>
    <w:p w14:paraId="5B968623" w14:textId="7A71BEC0"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Abatzoglou</w:t>
      </w:r>
      <w:proofErr w:type="spellEnd"/>
      <w:r w:rsidRPr="001D389D">
        <w:rPr>
          <w:rFonts w:ascii="Arial" w:hAnsi="Arial" w:cs="Arial"/>
          <w:sz w:val="20"/>
          <w:szCs w:val="20"/>
        </w:rPr>
        <w:t xml:space="preserve">, J., Dobrowski, S., Parks, S., et al. (2018). </w:t>
      </w:r>
      <w:proofErr w:type="spellStart"/>
      <w:r w:rsidRPr="001D389D">
        <w:rPr>
          <w:rFonts w:ascii="Arial" w:hAnsi="Arial" w:cs="Arial"/>
          <w:sz w:val="20"/>
          <w:szCs w:val="20"/>
        </w:rPr>
        <w:t>TerraClimate</w:t>
      </w:r>
      <w:proofErr w:type="spellEnd"/>
      <w:r w:rsidRPr="001D389D">
        <w:rPr>
          <w:rFonts w:ascii="Arial" w:hAnsi="Arial" w:cs="Arial"/>
          <w:sz w:val="20"/>
          <w:szCs w:val="20"/>
        </w:rPr>
        <w:t>, a high-resolution global dataset of monthly climate and climatic water balance from 1958–2015. Scientific Data, 5, 170191</w:t>
      </w:r>
      <w:r w:rsidR="009D3FE4" w:rsidRPr="001D389D">
        <w:rPr>
          <w:rFonts w:ascii="Arial" w:hAnsi="Arial" w:cs="Arial"/>
          <w:sz w:val="20"/>
          <w:szCs w:val="20"/>
        </w:rPr>
        <w:t>.</w:t>
      </w:r>
    </w:p>
    <w:p w14:paraId="23A44FCC" w14:textId="78AFC249"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Wiwoho</w:t>
      </w:r>
      <w:proofErr w:type="spellEnd"/>
      <w:r w:rsidRPr="001D389D">
        <w:rPr>
          <w:rFonts w:ascii="Arial" w:hAnsi="Arial" w:cs="Arial"/>
          <w:sz w:val="20"/>
          <w:szCs w:val="20"/>
        </w:rPr>
        <w:t xml:space="preserve">, B. S., &amp; Astuti, I. S. (2022). Runoff observation in a tropical Brantas watershed as observed from long-term globally available </w:t>
      </w:r>
      <w:proofErr w:type="spellStart"/>
      <w:r w:rsidRPr="001D389D">
        <w:rPr>
          <w:rFonts w:ascii="Arial" w:hAnsi="Arial" w:cs="Arial"/>
          <w:sz w:val="20"/>
          <w:szCs w:val="20"/>
        </w:rPr>
        <w:t>TerraClimate</w:t>
      </w:r>
      <w:proofErr w:type="spellEnd"/>
      <w:r w:rsidRPr="001D389D">
        <w:rPr>
          <w:rFonts w:ascii="Arial" w:hAnsi="Arial" w:cs="Arial"/>
          <w:sz w:val="20"/>
          <w:szCs w:val="20"/>
        </w:rPr>
        <w:t xml:space="preserve"> data 2001–2020. Geoenvironmental Disasters, 9, 12. </w:t>
      </w:r>
    </w:p>
    <w:p w14:paraId="21E15EFE" w14:textId="09BD5226"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Huang, B., Thorne, P. W., Banzon, V. F., Boyer, T., Chepurin, G., Lawrimore, J. H., Menne, M. J., Smith, T. M., Vose, R. S., &amp; Zhang, H. (2017). Extended Reconstructed Sea Surface Temperature, Version 5 (ERSSTv5): Upgrades, validations, and intercomparisons. Journal of Climate, 30(20), 8179–8205. </w:t>
      </w:r>
    </w:p>
    <w:p w14:paraId="27E48E62" w14:textId="3F053760"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Takle, J., &amp; Pai, D. S. (2020). Analysis of summer monsoon rainfall over Maharashtra and its relation with SSTs. Journal of Earth System Science, 129(1). </w:t>
      </w:r>
    </w:p>
    <w:p w14:paraId="12D16980" w14:textId="462A20DC"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Prakash, S. (2019). Performance assessment of CHIRPS, MSWEP, SM2RAIN-CCI, and TMPA precipitation products across India. Journal of Hydrology, 571, 50–59. </w:t>
      </w:r>
    </w:p>
    <w:p w14:paraId="155902F9" w14:textId="593B8098" w:rsidR="00C433F3"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Paul, S., Sharma, P. J., &amp; </w:t>
      </w:r>
      <w:proofErr w:type="spellStart"/>
      <w:r w:rsidRPr="001D389D">
        <w:rPr>
          <w:rFonts w:ascii="Arial" w:hAnsi="Arial" w:cs="Arial"/>
          <w:sz w:val="20"/>
          <w:szCs w:val="20"/>
        </w:rPr>
        <w:t>Teegavarapu</w:t>
      </w:r>
      <w:proofErr w:type="spellEnd"/>
      <w:r w:rsidRPr="001D389D">
        <w:rPr>
          <w:rFonts w:ascii="Arial" w:hAnsi="Arial" w:cs="Arial"/>
          <w:sz w:val="20"/>
          <w:szCs w:val="20"/>
        </w:rPr>
        <w:t xml:space="preserve">, R. S. V. (2024). Spatial assessment of the reproducibility of Indian summer monsoon rainfall regimes in multiple gridded rainfall products. Scientific Reports, 14, 29269. </w:t>
      </w:r>
    </w:p>
    <w:p w14:paraId="3530F5A8" w14:textId="13B2061A" w:rsidR="00B6396B" w:rsidRPr="001D389D" w:rsidRDefault="007E1B6C" w:rsidP="001D389D">
      <w:pPr>
        <w:pStyle w:val="ListParagraph"/>
        <w:numPr>
          <w:ilvl w:val="0"/>
          <w:numId w:val="1"/>
        </w:numPr>
        <w:spacing w:line="240" w:lineRule="auto"/>
        <w:ind w:left="426" w:hanging="426"/>
        <w:jc w:val="both"/>
        <w:rPr>
          <w:rFonts w:ascii="Arial" w:hAnsi="Arial" w:cs="Arial"/>
          <w:sz w:val="20"/>
          <w:szCs w:val="20"/>
        </w:rPr>
      </w:pPr>
      <w:r w:rsidRPr="007E1B6C">
        <w:rPr>
          <w:rFonts w:ascii="Arial" w:hAnsi="Arial" w:cs="Arial"/>
          <w:sz w:val="20"/>
          <w:szCs w:val="20"/>
        </w:rPr>
        <w:t>Huang, B., L'Heureux, M., Hu, Z. Z., &amp; Zhang, H. M. (2016). Ranking the strongest ENSO events while incorporating SST uncertainty. </w:t>
      </w:r>
      <w:r w:rsidRPr="007E1B6C">
        <w:rPr>
          <w:rFonts w:ascii="Arial" w:hAnsi="Arial" w:cs="Arial"/>
          <w:i/>
          <w:iCs/>
          <w:sz w:val="20"/>
          <w:szCs w:val="20"/>
        </w:rPr>
        <w:t>Geophysical Research Letters</w:t>
      </w:r>
      <w:r w:rsidRPr="007E1B6C">
        <w:rPr>
          <w:rFonts w:ascii="Arial" w:hAnsi="Arial" w:cs="Arial"/>
          <w:sz w:val="20"/>
          <w:szCs w:val="20"/>
        </w:rPr>
        <w:t>, </w:t>
      </w:r>
      <w:r w:rsidRPr="007E1B6C">
        <w:rPr>
          <w:rFonts w:ascii="Arial" w:hAnsi="Arial" w:cs="Arial"/>
          <w:i/>
          <w:iCs/>
          <w:sz w:val="20"/>
          <w:szCs w:val="20"/>
        </w:rPr>
        <w:t>43</w:t>
      </w:r>
      <w:r w:rsidRPr="007E1B6C">
        <w:rPr>
          <w:rFonts w:ascii="Arial" w:hAnsi="Arial" w:cs="Arial"/>
          <w:sz w:val="20"/>
          <w:szCs w:val="20"/>
        </w:rPr>
        <w:t>(17), 9165-9172.</w:t>
      </w:r>
    </w:p>
    <w:sectPr w:rsidR="00B6396B" w:rsidRPr="001D389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94AB" w14:textId="77777777" w:rsidR="00E0772C" w:rsidRDefault="00E0772C" w:rsidP="00E84B85">
      <w:pPr>
        <w:spacing w:after="0" w:line="240" w:lineRule="auto"/>
      </w:pPr>
      <w:r>
        <w:separator/>
      </w:r>
    </w:p>
  </w:endnote>
  <w:endnote w:type="continuationSeparator" w:id="0">
    <w:p w14:paraId="40C095B6" w14:textId="77777777" w:rsidR="00E0772C" w:rsidRDefault="00E0772C" w:rsidP="00E8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683E" w14:textId="77777777" w:rsidR="00E84B85" w:rsidRDefault="00E84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279A" w14:textId="77777777" w:rsidR="00E84B85" w:rsidRDefault="00E84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3EBB" w14:textId="77777777" w:rsidR="00E84B85" w:rsidRDefault="00E84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AD29" w14:textId="77777777" w:rsidR="00E0772C" w:rsidRDefault="00E0772C" w:rsidP="00E84B85">
      <w:pPr>
        <w:spacing w:after="0" w:line="240" w:lineRule="auto"/>
      </w:pPr>
      <w:r>
        <w:separator/>
      </w:r>
    </w:p>
  </w:footnote>
  <w:footnote w:type="continuationSeparator" w:id="0">
    <w:p w14:paraId="16266BDA" w14:textId="77777777" w:rsidR="00E0772C" w:rsidRDefault="00E0772C" w:rsidP="00E8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1D57" w14:textId="2096A6FC" w:rsidR="00E84B85" w:rsidRDefault="00000000">
    <w:pPr>
      <w:pStyle w:val="Header"/>
    </w:pPr>
    <w:r>
      <w:rPr>
        <w:noProof/>
      </w:rPr>
      <w:pict w14:anchorId="06FFD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38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F88D" w14:textId="1CD79673" w:rsidR="00E84B85" w:rsidRDefault="00000000">
    <w:pPr>
      <w:pStyle w:val="Header"/>
    </w:pPr>
    <w:r>
      <w:rPr>
        <w:noProof/>
      </w:rPr>
      <w:pict w14:anchorId="4087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38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3EFD" w14:textId="47965632" w:rsidR="00E84B85" w:rsidRDefault="00000000">
    <w:pPr>
      <w:pStyle w:val="Header"/>
    </w:pPr>
    <w:r>
      <w:rPr>
        <w:noProof/>
      </w:rPr>
      <w:pict w14:anchorId="06215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38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11DC0"/>
    <w:multiLevelType w:val="hybridMultilevel"/>
    <w:tmpl w:val="0F64AA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C3262E"/>
    <w:multiLevelType w:val="hybridMultilevel"/>
    <w:tmpl w:val="86CCE6FE"/>
    <w:lvl w:ilvl="0" w:tplc="19CAA06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64194458">
    <w:abstractNumId w:val="0"/>
  </w:num>
  <w:num w:numId="2" w16cid:durableId="97545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4"/>
    <w:rsid w:val="00050CD3"/>
    <w:rsid w:val="000C5EB8"/>
    <w:rsid w:val="00172E24"/>
    <w:rsid w:val="001D389D"/>
    <w:rsid w:val="00254FE8"/>
    <w:rsid w:val="0027586D"/>
    <w:rsid w:val="002D5B29"/>
    <w:rsid w:val="00306668"/>
    <w:rsid w:val="00360BC2"/>
    <w:rsid w:val="0037560D"/>
    <w:rsid w:val="003839D1"/>
    <w:rsid w:val="00413F0E"/>
    <w:rsid w:val="00496F1F"/>
    <w:rsid w:val="004A6505"/>
    <w:rsid w:val="004D1542"/>
    <w:rsid w:val="004E1E64"/>
    <w:rsid w:val="004E690B"/>
    <w:rsid w:val="00520FF3"/>
    <w:rsid w:val="00522BE5"/>
    <w:rsid w:val="005B0F95"/>
    <w:rsid w:val="005B7250"/>
    <w:rsid w:val="005F392E"/>
    <w:rsid w:val="0062087D"/>
    <w:rsid w:val="006444B2"/>
    <w:rsid w:val="00681E66"/>
    <w:rsid w:val="006B7340"/>
    <w:rsid w:val="00755F5A"/>
    <w:rsid w:val="007E1B6C"/>
    <w:rsid w:val="007E5702"/>
    <w:rsid w:val="0083195B"/>
    <w:rsid w:val="0088352D"/>
    <w:rsid w:val="008A1595"/>
    <w:rsid w:val="0091030E"/>
    <w:rsid w:val="00940F12"/>
    <w:rsid w:val="00941E63"/>
    <w:rsid w:val="00947DCC"/>
    <w:rsid w:val="00970B8C"/>
    <w:rsid w:val="009B1DFB"/>
    <w:rsid w:val="009C6825"/>
    <w:rsid w:val="009D3FE4"/>
    <w:rsid w:val="009E6D8F"/>
    <w:rsid w:val="00A20EB3"/>
    <w:rsid w:val="00A5622C"/>
    <w:rsid w:val="00A95027"/>
    <w:rsid w:val="00A96A9B"/>
    <w:rsid w:val="00B238F4"/>
    <w:rsid w:val="00B2578F"/>
    <w:rsid w:val="00B6396B"/>
    <w:rsid w:val="00B74011"/>
    <w:rsid w:val="00B767D8"/>
    <w:rsid w:val="00C421E2"/>
    <w:rsid w:val="00C433F3"/>
    <w:rsid w:val="00C97B8A"/>
    <w:rsid w:val="00CB4CF0"/>
    <w:rsid w:val="00CF6047"/>
    <w:rsid w:val="00D539BF"/>
    <w:rsid w:val="00DD138C"/>
    <w:rsid w:val="00E0772C"/>
    <w:rsid w:val="00E84B85"/>
    <w:rsid w:val="00EE199A"/>
    <w:rsid w:val="00EF4030"/>
    <w:rsid w:val="00F16DE5"/>
    <w:rsid w:val="00F41271"/>
    <w:rsid w:val="00F57C41"/>
    <w:rsid w:val="00F632C8"/>
    <w:rsid w:val="00F86ECA"/>
    <w:rsid w:val="00F87DAB"/>
    <w:rsid w:val="00FB4CFB"/>
    <w:rsid w:val="00FC10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673DE"/>
  <w15:chartTrackingRefBased/>
  <w15:docId w15:val="{97F8CF12-5BA4-44FC-A3C4-295F02B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E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E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2E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2E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2E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2E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2E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E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E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2E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2E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2E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2E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2E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2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2E24"/>
    <w:pPr>
      <w:spacing w:before="160"/>
      <w:jc w:val="center"/>
    </w:pPr>
    <w:rPr>
      <w:i/>
      <w:iCs/>
      <w:color w:val="404040" w:themeColor="text1" w:themeTint="BF"/>
    </w:rPr>
  </w:style>
  <w:style w:type="character" w:customStyle="1" w:styleId="QuoteChar">
    <w:name w:val="Quote Char"/>
    <w:basedOn w:val="DefaultParagraphFont"/>
    <w:link w:val="Quote"/>
    <w:uiPriority w:val="29"/>
    <w:rsid w:val="00172E24"/>
    <w:rPr>
      <w:i/>
      <w:iCs/>
      <w:color w:val="404040" w:themeColor="text1" w:themeTint="BF"/>
    </w:rPr>
  </w:style>
  <w:style w:type="paragraph" w:styleId="ListParagraph">
    <w:name w:val="List Paragraph"/>
    <w:basedOn w:val="Normal"/>
    <w:uiPriority w:val="34"/>
    <w:qFormat/>
    <w:rsid w:val="00172E24"/>
    <w:pPr>
      <w:ind w:left="720"/>
      <w:contextualSpacing/>
    </w:pPr>
  </w:style>
  <w:style w:type="character" w:styleId="IntenseEmphasis">
    <w:name w:val="Intense Emphasis"/>
    <w:basedOn w:val="DefaultParagraphFont"/>
    <w:uiPriority w:val="21"/>
    <w:qFormat/>
    <w:rsid w:val="00172E24"/>
    <w:rPr>
      <w:i/>
      <w:iCs/>
      <w:color w:val="0F4761" w:themeColor="accent1" w:themeShade="BF"/>
    </w:rPr>
  </w:style>
  <w:style w:type="paragraph" w:styleId="IntenseQuote">
    <w:name w:val="Intense Quote"/>
    <w:basedOn w:val="Normal"/>
    <w:next w:val="Normal"/>
    <w:link w:val="IntenseQuoteChar"/>
    <w:uiPriority w:val="30"/>
    <w:qFormat/>
    <w:rsid w:val="00172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E24"/>
    <w:rPr>
      <w:i/>
      <w:iCs/>
      <w:color w:val="0F4761" w:themeColor="accent1" w:themeShade="BF"/>
    </w:rPr>
  </w:style>
  <w:style w:type="character" w:styleId="IntenseReference">
    <w:name w:val="Intense Reference"/>
    <w:basedOn w:val="DefaultParagraphFont"/>
    <w:uiPriority w:val="32"/>
    <w:qFormat/>
    <w:rsid w:val="00172E24"/>
    <w:rPr>
      <w:b/>
      <w:bCs/>
      <w:smallCaps/>
      <w:color w:val="0F4761" w:themeColor="accent1" w:themeShade="BF"/>
      <w:spacing w:val="5"/>
    </w:rPr>
  </w:style>
  <w:style w:type="character" w:styleId="Hyperlink">
    <w:name w:val="Hyperlink"/>
    <w:basedOn w:val="DefaultParagraphFont"/>
    <w:uiPriority w:val="99"/>
    <w:unhideWhenUsed/>
    <w:rsid w:val="00755F5A"/>
    <w:rPr>
      <w:color w:val="467886" w:themeColor="hyperlink"/>
      <w:u w:val="single"/>
    </w:rPr>
  </w:style>
  <w:style w:type="character" w:styleId="UnresolvedMention">
    <w:name w:val="Unresolved Mention"/>
    <w:basedOn w:val="DefaultParagraphFont"/>
    <w:uiPriority w:val="99"/>
    <w:semiHidden/>
    <w:unhideWhenUsed/>
    <w:rsid w:val="00755F5A"/>
    <w:rPr>
      <w:color w:val="605E5C"/>
      <w:shd w:val="clear" w:color="auto" w:fill="E1DFDD"/>
    </w:rPr>
  </w:style>
  <w:style w:type="table" w:styleId="TableGrid">
    <w:name w:val="Table Grid"/>
    <w:basedOn w:val="TableNormal"/>
    <w:uiPriority w:val="39"/>
    <w:rsid w:val="006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F4030"/>
    <w:pPr>
      <w:spacing w:after="120" w:line="276" w:lineRule="auto"/>
      <w:contextualSpacing/>
    </w:pPr>
    <w:rPr>
      <w:rFonts w:ascii="Arial" w:eastAsiaTheme="minorEastAsia" w:hAnsi="Arial" w:cs="Arial"/>
      <w:bCs/>
      <w:color w:val="000000" w:themeColor="text1"/>
      <w:sz w:val="20"/>
      <w:szCs w:val="20"/>
    </w:rPr>
  </w:style>
  <w:style w:type="paragraph" w:styleId="BodyText">
    <w:name w:val="Body Text"/>
    <w:basedOn w:val="Normal"/>
    <w:link w:val="BodyTextChar"/>
    <w:uiPriority w:val="1"/>
    <w:qFormat/>
    <w:rsid w:val="00940F12"/>
    <w:pPr>
      <w:spacing w:before="120" w:after="120" w:line="360" w:lineRule="auto"/>
      <w:jc w:val="both"/>
    </w:pPr>
    <w:rPr>
      <w:rFonts w:eastAsia="Times New Roman"/>
      <w:sz w:val="28"/>
      <w:lang w:val="en-US"/>
    </w:rPr>
  </w:style>
  <w:style w:type="character" w:customStyle="1" w:styleId="BodyTextChar">
    <w:name w:val="Body Text Char"/>
    <w:basedOn w:val="DefaultParagraphFont"/>
    <w:link w:val="BodyText"/>
    <w:uiPriority w:val="1"/>
    <w:rsid w:val="00940F12"/>
    <w:rPr>
      <w:rFonts w:eastAsia="Times New Roman"/>
      <w:sz w:val="28"/>
      <w:lang w:val="en-US"/>
    </w:rPr>
  </w:style>
  <w:style w:type="paragraph" w:styleId="Revision">
    <w:name w:val="Revision"/>
    <w:hidden/>
    <w:uiPriority w:val="99"/>
    <w:semiHidden/>
    <w:rsid w:val="009B1DFB"/>
    <w:pPr>
      <w:spacing w:after="0" w:line="240" w:lineRule="auto"/>
    </w:pPr>
  </w:style>
  <w:style w:type="paragraph" w:styleId="Header">
    <w:name w:val="header"/>
    <w:basedOn w:val="Normal"/>
    <w:link w:val="HeaderChar"/>
    <w:uiPriority w:val="99"/>
    <w:unhideWhenUsed/>
    <w:rsid w:val="00E84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B85"/>
  </w:style>
  <w:style w:type="paragraph" w:styleId="Footer">
    <w:name w:val="footer"/>
    <w:basedOn w:val="Normal"/>
    <w:link w:val="FooterChar"/>
    <w:uiPriority w:val="99"/>
    <w:unhideWhenUsed/>
    <w:rsid w:val="00E84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dc.noa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etnet.imd.gov.in/docs/imdnews/ANNUAL_REPORT2021Englis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CRIDA\stat%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Sheet2!$B$1</c:f>
              <c:strCache>
                <c:ptCount val="1"/>
                <c:pt idx="0">
                  <c:v>ONI 3.4</c:v>
                </c:pt>
              </c:strCache>
            </c:strRef>
          </c:tx>
          <c:spPr>
            <a:solidFill>
              <a:schemeClr val="accent1">
                <a:lumMod val="75000"/>
              </a:schemeClr>
            </a:solidFill>
            <a:ln>
              <a:noFill/>
            </a:ln>
            <a:effectLst/>
          </c:spPr>
          <c:invertIfNegative val="0"/>
          <c:cat>
            <c:numRef>
              <c:f>Sheet2!$A$2:$A$74</c:f>
              <c:numCache>
                <c:formatCode>General</c:formatCode>
                <c:ptCount val="73"/>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pt idx="20">
                  <c:v>1971</c:v>
                </c:pt>
                <c:pt idx="21">
                  <c:v>1972</c:v>
                </c:pt>
                <c:pt idx="22">
                  <c:v>1973</c:v>
                </c:pt>
                <c:pt idx="23">
                  <c:v>1974</c:v>
                </c:pt>
                <c:pt idx="24">
                  <c:v>1975</c:v>
                </c:pt>
                <c:pt idx="25">
                  <c:v>1976</c:v>
                </c:pt>
                <c:pt idx="26">
                  <c:v>1977</c:v>
                </c:pt>
                <c:pt idx="27">
                  <c:v>1978</c:v>
                </c:pt>
                <c:pt idx="28">
                  <c:v>1979</c:v>
                </c:pt>
                <c:pt idx="29">
                  <c:v>1980</c:v>
                </c:pt>
                <c:pt idx="30">
                  <c:v>1981</c:v>
                </c:pt>
                <c:pt idx="31">
                  <c:v>1982</c:v>
                </c:pt>
                <c:pt idx="32">
                  <c:v>1983</c:v>
                </c:pt>
                <c:pt idx="33">
                  <c:v>1984</c:v>
                </c:pt>
                <c:pt idx="34">
                  <c:v>1985</c:v>
                </c:pt>
                <c:pt idx="35">
                  <c:v>1986</c:v>
                </c:pt>
                <c:pt idx="36">
                  <c:v>1987</c:v>
                </c:pt>
                <c:pt idx="37">
                  <c:v>1988</c:v>
                </c:pt>
                <c:pt idx="38">
                  <c:v>1989</c:v>
                </c:pt>
                <c:pt idx="39">
                  <c:v>1990</c:v>
                </c:pt>
                <c:pt idx="40">
                  <c:v>1991</c:v>
                </c:pt>
                <c:pt idx="41">
                  <c:v>1992</c:v>
                </c:pt>
                <c:pt idx="42">
                  <c:v>1993</c:v>
                </c:pt>
                <c:pt idx="43">
                  <c:v>1994</c:v>
                </c:pt>
                <c:pt idx="44">
                  <c:v>1995</c:v>
                </c:pt>
                <c:pt idx="45">
                  <c:v>1996</c:v>
                </c:pt>
                <c:pt idx="46">
                  <c:v>1997</c:v>
                </c:pt>
                <c:pt idx="47">
                  <c:v>1998</c:v>
                </c:pt>
                <c:pt idx="48">
                  <c:v>1999</c:v>
                </c:pt>
                <c:pt idx="49">
                  <c:v>2000</c:v>
                </c:pt>
                <c:pt idx="50">
                  <c:v>2001</c:v>
                </c:pt>
                <c:pt idx="51">
                  <c:v>2002</c:v>
                </c:pt>
                <c:pt idx="52">
                  <c:v>2003</c:v>
                </c:pt>
                <c:pt idx="53">
                  <c:v>2004</c:v>
                </c:pt>
                <c:pt idx="54">
                  <c:v>2005</c:v>
                </c:pt>
                <c:pt idx="55">
                  <c:v>2006</c:v>
                </c:pt>
                <c:pt idx="56">
                  <c:v>2007</c:v>
                </c:pt>
                <c:pt idx="57">
                  <c:v>2008</c:v>
                </c:pt>
                <c:pt idx="58">
                  <c:v>2009</c:v>
                </c:pt>
                <c:pt idx="59">
                  <c:v>2010</c:v>
                </c:pt>
                <c:pt idx="60">
                  <c:v>2011</c:v>
                </c:pt>
                <c:pt idx="61">
                  <c:v>2012</c:v>
                </c:pt>
                <c:pt idx="62">
                  <c:v>2013</c:v>
                </c:pt>
                <c:pt idx="63">
                  <c:v>2014</c:v>
                </c:pt>
                <c:pt idx="64">
                  <c:v>2015</c:v>
                </c:pt>
                <c:pt idx="65">
                  <c:v>2016</c:v>
                </c:pt>
                <c:pt idx="66">
                  <c:v>2017</c:v>
                </c:pt>
                <c:pt idx="67">
                  <c:v>2018</c:v>
                </c:pt>
                <c:pt idx="68">
                  <c:v>2019</c:v>
                </c:pt>
                <c:pt idx="69">
                  <c:v>2020</c:v>
                </c:pt>
                <c:pt idx="70">
                  <c:v>2021</c:v>
                </c:pt>
                <c:pt idx="71">
                  <c:v>2022</c:v>
                </c:pt>
                <c:pt idx="72">
                  <c:v>2023</c:v>
                </c:pt>
              </c:numCache>
            </c:numRef>
          </c:cat>
          <c:val>
            <c:numRef>
              <c:f>Sheet2!$B$2:$B$74</c:f>
              <c:numCache>
                <c:formatCode>0.00</c:formatCode>
                <c:ptCount val="73"/>
                <c:pt idx="0">
                  <c:v>0.44166666666666665</c:v>
                </c:pt>
                <c:pt idx="1">
                  <c:v>0.16666666666666666</c:v>
                </c:pt>
                <c:pt idx="2">
                  <c:v>0.70833333333333337</c:v>
                </c:pt>
                <c:pt idx="3">
                  <c:v>-0.38333333333333336</c:v>
                </c:pt>
                <c:pt idx="4">
                  <c:v>-0.95000000000000007</c:v>
                </c:pt>
                <c:pt idx="5">
                  <c:v>-0.57500000000000007</c:v>
                </c:pt>
                <c:pt idx="6">
                  <c:v>0.95833333333333315</c:v>
                </c:pt>
                <c:pt idx="7">
                  <c:v>0.82500000000000007</c:v>
                </c:pt>
                <c:pt idx="8">
                  <c:v>0.125</c:v>
                </c:pt>
                <c:pt idx="9">
                  <c:v>5.8333333333333327E-2</c:v>
                </c:pt>
                <c:pt idx="10">
                  <c:v>-3.3333333333333326E-2</c:v>
                </c:pt>
                <c:pt idx="11">
                  <c:v>-0.20833333333333334</c:v>
                </c:pt>
                <c:pt idx="12">
                  <c:v>0.65833333333333333</c:v>
                </c:pt>
                <c:pt idx="13">
                  <c:v>-0.34999999999999992</c:v>
                </c:pt>
                <c:pt idx="14">
                  <c:v>0.89999999999999991</c:v>
                </c:pt>
                <c:pt idx="15">
                  <c:v>0.37500000000000006</c:v>
                </c:pt>
                <c:pt idx="16">
                  <c:v>-0.29999999999999993</c:v>
                </c:pt>
                <c:pt idx="17">
                  <c:v>0.14166666666666669</c:v>
                </c:pt>
                <c:pt idx="18">
                  <c:v>0.7416666666666667</c:v>
                </c:pt>
                <c:pt idx="19">
                  <c:v>-0.32500000000000001</c:v>
                </c:pt>
                <c:pt idx="20">
                  <c:v>-0.94166666666666676</c:v>
                </c:pt>
                <c:pt idx="21">
                  <c:v>0.92499999999999993</c:v>
                </c:pt>
                <c:pt idx="22">
                  <c:v>-0.625</c:v>
                </c:pt>
                <c:pt idx="23">
                  <c:v>-0.88333333333333341</c:v>
                </c:pt>
                <c:pt idx="24">
                  <c:v>-1.0583333333333333</c:v>
                </c:pt>
                <c:pt idx="25">
                  <c:v>-4.9999999999999989E-2</c:v>
                </c:pt>
                <c:pt idx="26">
                  <c:v>0.49999999999999994</c:v>
                </c:pt>
                <c:pt idx="27">
                  <c:v>-9.9999999999999992E-2</c:v>
                </c:pt>
                <c:pt idx="28">
                  <c:v>0.24166666666666667</c:v>
                </c:pt>
                <c:pt idx="29">
                  <c:v>0.25833333333333336</c:v>
                </c:pt>
                <c:pt idx="30">
                  <c:v>-0.28333333333333338</c:v>
                </c:pt>
                <c:pt idx="31">
                  <c:v>1.0083333333333331</c:v>
                </c:pt>
                <c:pt idx="32">
                  <c:v>0.47500000000000003</c:v>
                </c:pt>
                <c:pt idx="33">
                  <c:v>-0.4916666666666667</c:v>
                </c:pt>
                <c:pt idx="34">
                  <c:v>-0.6</c:v>
                </c:pt>
                <c:pt idx="35">
                  <c:v>0.2416666666666667</c:v>
                </c:pt>
                <c:pt idx="36">
                  <c:v>1.2750000000000001</c:v>
                </c:pt>
                <c:pt idx="37">
                  <c:v>-0.81666666666666676</c:v>
                </c:pt>
                <c:pt idx="38">
                  <c:v>-0.60833333333333328</c:v>
                </c:pt>
                <c:pt idx="39">
                  <c:v>0.30833333333333329</c:v>
                </c:pt>
                <c:pt idx="40">
                  <c:v>0.64166666666666672</c:v>
                </c:pt>
                <c:pt idx="41">
                  <c:v>0.64166666666666672</c:v>
                </c:pt>
                <c:pt idx="42">
                  <c:v>0.32500000000000001</c:v>
                </c:pt>
                <c:pt idx="43">
                  <c:v>0.47499999999999992</c:v>
                </c:pt>
                <c:pt idx="44">
                  <c:v>-0.15833333333333335</c:v>
                </c:pt>
                <c:pt idx="45">
                  <c:v>-0.46666666666666673</c:v>
                </c:pt>
                <c:pt idx="46">
                  <c:v>1.1666666666666667</c:v>
                </c:pt>
                <c:pt idx="47">
                  <c:v>-6.6666666666666652E-2</c:v>
                </c:pt>
                <c:pt idx="48">
                  <c:v>-1.2333333333333332</c:v>
                </c:pt>
                <c:pt idx="49">
                  <c:v>-0.82499999999999973</c:v>
                </c:pt>
                <c:pt idx="50">
                  <c:v>-0.3</c:v>
                </c:pt>
                <c:pt idx="51">
                  <c:v>0.6333333333333333</c:v>
                </c:pt>
                <c:pt idx="52">
                  <c:v>0.2583333333333333</c:v>
                </c:pt>
                <c:pt idx="53">
                  <c:v>0.45833333333333331</c:v>
                </c:pt>
                <c:pt idx="54">
                  <c:v>3.3333333333333305E-2</c:v>
                </c:pt>
                <c:pt idx="55">
                  <c:v>5.8333333333333313E-2</c:v>
                </c:pt>
                <c:pt idx="56">
                  <c:v>-0.60833333333333339</c:v>
                </c:pt>
                <c:pt idx="57">
                  <c:v>-0.77499999999999991</c:v>
                </c:pt>
                <c:pt idx="58">
                  <c:v>0.3</c:v>
                </c:pt>
                <c:pt idx="59">
                  <c:v>-0.47499999999999992</c:v>
                </c:pt>
                <c:pt idx="60">
                  <c:v>-0.84999999999999976</c:v>
                </c:pt>
                <c:pt idx="61">
                  <c:v>-0.15</c:v>
                </c:pt>
                <c:pt idx="62">
                  <c:v>-0.32500000000000001</c:v>
                </c:pt>
                <c:pt idx="63">
                  <c:v>0.10833333333333332</c:v>
                </c:pt>
                <c:pt idx="64">
                  <c:v>1.4583333333333333</c:v>
                </c:pt>
                <c:pt idx="65">
                  <c:v>0.32500000000000001</c:v>
                </c:pt>
                <c:pt idx="66">
                  <c:v>-0.20833333333333334</c:v>
                </c:pt>
                <c:pt idx="67">
                  <c:v>8.3333333333333506E-3</c:v>
                </c:pt>
                <c:pt idx="68">
                  <c:v>0.47499999999999992</c:v>
                </c:pt>
                <c:pt idx="69">
                  <c:v>-0.3666666666666667</c:v>
                </c:pt>
                <c:pt idx="70">
                  <c:v>-0.72500000000000009</c:v>
                </c:pt>
                <c:pt idx="71">
                  <c:v>-0.94166666666666687</c:v>
                </c:pt>
                <c:pt idx="72">
                  <c:v>-0.8583333333333335</c:v>
                </c:pt>
              </c:numCache>
            </c:numRef>
          </c:val>
          <c:extLst>
            <c:ext xmlns:c16="http://schemas.microsoft.com/office/drawing/2014/chart" uri="{C3380CC4-5D6E-409C-BE32-E72D297353CC}">
              <c16:uniqueId val="{00000000-A7EF-434A-8EA3-020D72EF9AEE}"/>
            </c:ext>
          </c:extLst>
        </c:ser>
        <c:dLbls>
          <c:showLegendKey val="0"/>
          <c:showVal val="0"/>
          <c:showCatName val="0"/>
          <c:showSerName val="0"/>
          <c:showPercent val="0"/>
          <c:showBubbleSize val="0"/>
        </c:dLbls>
        <c:gapWidth val="219"/>
        <c:overlap val="-27"/>
        <c:axId val="621828760"/>
        <c:axId val="621830720"/>
        <c:extLst>
          <c:ext xmlns:c15="http://schemas.microsoft.com/office/drawing/2012/chart" uri="{02D57815-91ED-43cb-92C2-25804820EDAC}">
            <c15:filteredBarSeries>
              <c15:ser>
                <c:idx val="0"/>
                <c:order val="0"/>
                <c:tx>
                  <c:strRef>
                    <c:extLst>
                      <c:ext uri="{02D57815-91ED-43cb-92C2-25804820EDAC}">
                        <c15:formulaRef>
                          <c15:sqref>Sheet2!$A$1</c15:sqref>
                        </c15:formulaRef>
                      </c:ext>
                    </c:extLst>
                    <c:strCache>
                      <c:ptCount val="1"/>
                      <c:pt idx="0">
                        <c:v>Time </c:v>
                      </c:pt>
                    </c:strCache>
                  </c:strRef>
                </c:tx>
                <c:spPr>
                  <a:solidFill>
                    <a:schemeClr val="accent1"/>
                  </a:solidFill>
                  <a:ln>
                    <a:noFill/>
                  </a:ln>
                  <a:effectLst/>
                </c:spPr>
                <c:invertIfNegative val="0"/>
                <c:cat>
                  <c:numRef>
                    <c:extLst>
                      <c:ext uri="{02D57815-91ED-43cb-92C2-25804820EDAC}">
                        <c15:formulaRef>
                          <c15:sqref>Sheet2!$A$2:$A$74</c15:sqref>
                        </c15:formulaRef>
                      </c:ext>
                    </c:extLst>
                    <c:numCache>
                      <c:formatCode>General</c:formatCode>
                      <c:ptCount val="73"/>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pt idx="20">
                        <c:v>1971</c:v>
                      </c:pt>
                      <c:pt idx="21">
                        <c:v>1972</c:v>
                      </c:pt>
                      <c:pt idx="22">
                        <c:v>1973</c:v>
                      </c:pt>
                      <c:pt idx="23">
                        <c:v>1974</c:v>
                      </c:pt>
                      <c:pt idx="24">
                        <c:v>1975</c:v>
                      </c:pt>
                      <c:pt idx="25">
                        <c:v>1976</c:v>
                      </c:pt>
                      <c:pt idx="26">
                        <c:v>1977</c:v>
                      </c:pt>
                      <c:pt idx="27">
                        <c:v>1978</c:v>
                      </c:pt>
                      <c:pt idx="28">
                        <c:v>1979</c:v>
                      </c:pt>
                      <c:pt idx="29">
                        <c:v>1980</c:v>
                      </c:pt>
                      <c:pt idx="30">
                        <c:v>1981</c:v>
                      </c:pt>
                      <c:pt idx="31">
                        <c:v>1982</c:v>
                      </c:pt>
                      <c:pt idx="32">
                        <c:v>1983</c:v>
                      </c:pt>
                      <c:pt idx="33">
                        <c:v>1984</c:v>
                      </c:pt>
                      <c:pt idx="34">
                        <c:v>1985</c:v>
                      </c:pt>
                      <c:pt idx="35">
                        <c:v>1986</c:v>
                      </c:pt>
                      <c:pt idx="36">
                        <c:v>1987</c:v>
                      </c:pt>
                      <c:pt idx="37">
                        <c:v>1988</c:v>
                      </c:pt>
                      <c:pt idx="38">
                        <c:v>1989</c:v>
                      </c:pt>
                      <c:pt idx="39">
                        <c:v>1990</c:v>
                      </c:pt>
                      <c:pt idx="40">
                        <c:v>1991</c:v>
                      </c:pt>
                      <c:pt idx="41">
                        <c:v>1992</c:v>
                      </c:pt>
                      <c:pt idx="42">
                        <c:v>1993</c:v>
                      </c:pt>
                      <c:pt idx="43">
                        <c:v>1994</c:v>
                      </c:pt>
                      <c:pt idx="44">
                        <c:v>1995</c:v>
                      </c:pt>
                      <c:pt idx="45">
                        <c:v>1996</c:v>
                      </c:pt>
                      <c:pt idx="46">
                        <c:v>1997</c:v>
                      </c:pt>
                      <c:pt idx="47">
                        <c:v>1998</c:v>
                      </c:pt>
                      <c:pt idx="48">
                        <c:v>1999</c:v>
                      </c:pt>
                      <c:pt idx="49">
                        <c:v>2000</c:v>
                      </c:pt>
                      <c:pt idx="50">
                        <c:v>2001</c:v>
                      </c:pt>
                      <c:pt idx="51">
                        <c:v>2002</c:v>
                      </c:pt>
                      <c:pt idx="52">
                        <c:v>2003</c:v>
                      </c:pt>
                      <c:pt idx="53">
                        <c:v>2004</c:v>
                      </c:pt>
                      <c:pt idx="54">
                        <c:v>2005</c:v>
                      </c:pt>
                      <c:pt idx="55">
                        <c:v>2006</c:v>
                      </c:pt>
                      <c:pt idx="56">
                        <c:v>2007</c:v>
                      </c:pt>
                      <c:pt idx="57">
                        <c:v>2008</c:v>
                      </c:pt>
                      <c:pt idx="58">
                        <c:v>2009</c:v>
                      </c:pt>
                      <c:pt idx="59">
                        <c:v>2010</c:v>
                      </c:pt>
                      <c:pt idx="60">
                        <c:v>2011</c:v>
                      </c:pt>
                      <c:pt idx="61">
                        <c:v>2012</c:v>
                      </c:pt>
                      <c:pt idx="62">
                        <c:v>2013</c:v>
                      </c:pt>
                      <c:pt idx="63">
                        <c:v>2014</c:v>
                      </c:pt>
                      <c:pt idx="64">
                        <c:v>2015</c:v>
                      </c:pt>
                      <c:pt idx="65">
                        <c:v>2016</c:v>
                      </c:pt>
                      <c:pt idx="66">
                        <c:v>2017</c:v>
                      </c:pt>
                      <c:pt idx="67">
                        <c:v>2018</c:v>
                      </c:pt>
                      <c:pt idx="68">
                        <c:v>2019</c:v>
                      </c:pt>
                      <c:pt idx="69">
                        <c:v>2020</c:v>
                      </c:pt>
                      <c:pt idx="70">
                        <c:v>2021</c:v>
                      </c:pt>
                      <c:pt idx="71">
                        <c:v>2022</c:v>
                      </c:pt>
                      <c:pt idx="72">
                        <c:v>2023</c:v>
                      </c:pt>
                    </c:numCache>
                  </c:numRef>
                </c:cat>
                <c:val>
                  <c:numRef>
                    <c:extLst>
                      <c:ext uri="{02D57815-91ED-43cb-92C2-25804820EDAC}">
                        <c15:formulaRef>
                          <c15:sqref>Sheet2!$A$2:$A$74</c15:sqref>
                        </c15:formulaRef>
                      </c:ext>
                    </c:extLst>
                    <c:numCache>
                      <c:formatCode>General</c:formatCode>
                      <c:ptCount val="73"/>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pt idx="20">
                        <c:v>1971</c:v>
                      </c:pt>
                      <c:pt idx="21">
                        <c:v>1972</c:v>
                      </c:pt>
                      <c:pt idx="22">
                        <c:v>1973</c:v>
                      </c:pt>
                      <c:pt idx="23">
                        <c:v>1974</c:v>
                      </c:pt>
                      <c:pt idx="24">
                        <c:v>1975</c:v>
                      </c:pt>
                      <c:pt idx="25">
                        <c:v>1976</c:v>
                      </c:pt>
                      <c:pt idx="26">
                        <c:v>1977</c:v>
                      </c:pt>
                      <c:pt idx="27">
                        <c:v>1978</c:v>
                      </c:pt>
                      <c:pt idx="28">
                        <c:v>1979</c:v>
                      </c:pt>
                      <c:pt idx="29">
                        <c:v>1980</c:v>
                      </c:pt>
                      <c:pt idx="30">
                        <c:v>1981</c:v>
                      </c:pt>
                      <c:pt idx="31">
                        <c:v>1982</c:v>
                      </c:pt>
                      <c:pt idx="32">
                        <c:v>1983</c:v>
                      </c:pt>
                      <c:pt idx="33">
                        <c:v>1984</c:v>
                      </c:pt>
                      <c:pt idx="34">
                        <c:v>1985</c:v>
                      </c:pt>
                      <c:pt idx="35">
                        <c:v>1986</c:v>
                      </c:pt>
                      <c:pt idx="36">
                        <c:v>1987</c:v>
                      </c:pt>
                      <c:pt idx="37">
                        <c:v>1988</c:v>
                      </c:pt>
                      <c:pt idx="38">
                        <c:v>1989</c:v>
                      </c:pt>
                      <c:pt idx="39">
                        <c:v>1990</c:v>
                      </c:pt>
                      <c:pt idx="40">
                        <c:v>1991</c:v>
                      </c:pt>
                      <c:pt idx="41">
                        <c:v>1992</c:v>
                      </c:pt>
                      <c:pt idx="42">
                        <c:v>1993</c:v>
                      </c:pt>
                      <c:pt idx="43">
                        <c:v>1994</c:v>
                      </c:pt>
                      <c:pt idx="44">
                        <c:v>1995</c:v>
                      </c:pt>
                      <c:pt idx="45">
                        <c:v>1996</c:v>
                      </c:pt>
                      <c:pt idx="46">
                        <c:v>1997</c:v>
                      </c:pt>
                      <c:pt idx="47">
                        <c:v>1998</c:v>
                      </c:pt>
                      <c:pt idx="48">
                        <c:v>1999</c:v>
                      </c:pt>
                      <c:pt idx="49">
                        <c:v>2000</c:v>
                      </c:pt>
                      <c:pt idx="50">
                        <c:v>2001</c:v>
                      </c:pt>
                      <c:pt idx="51">
                        <c:v>2002</c:v>
                      </c:pt>
                      <c:pt idx="52">
                        <c:v>2003</c:v>
                      </c:pt>
                      <c:pt idx="53">
                        <c:v>2004</c:v>
                      </c:pt>
                      <c:pt idx="54">
                        <c:v>2005</c:v>
                      </c:pt>
                      <c:pt idx="55">
                        <c:v>2006</c:v>
                      </c:pt>
                      <c:pt idx="56">
                        <c:v>2007</c:v>
                      </c:pt>
                      <c:pt idx="57">
                        <c:v>2008</c:v>
                      </c:pt>
                      <c:pt idx="58">
                        <c:v>2009</c:v>
                      </c:pt>
                      <c:pt idx="59">
                        <c:v>2010</c:v>
                      </c:pt>
                      <c:pt idx="60">
                        <c:v>2011</c:v>
                      </c:pt>
                      <c:pt idx="61">
                        <c:v>2012</c:v>
                      </c:pt>
                      <c:pt idx="62">
                        <c:v>2013</c:v>
                      </c:pt>
                      <c:pt idx="63">
                        <c:v>2014</c:v>
                      </c:pt>
                      <c:pt idx="64">
                        <c:v>2015</c:v>
                      </c:pt>
                      <c:pt idx="65">
                        <c:v>2016</c:v>
                      </c:pt>
                      <c:pt idx="66">
                        <c:v>2017</c:v>
                      </c:pt>
                      <c:pt idx="67">
                        <c:v>2018</c:v>
                      </c:pt>
                      <c:pt idx="68">
                        <c:v>2019</c:v>
                      </c:pt>
                      <c:pt idx="69">
                        <c:v>2020</c:v>
                      </c:pt>
                      <c:pt idx="70">
                        <c:v>2021</c:v>
                      </c:pt>
                      <c:pt idx="71">
                        <c:v>2022</c:v>
                      </c:pt>
                      <c:pt idx="72">
                        <c:v>2023</c:v>
                      </c:pt>
                    </c:numCache>
                  </c:numRef>
                </c:val>
                <c:extLst>
                  <c:ext xmlns:c16="http://schemas.microsoft.com/office/drawing/2014/chart" uri="{C3380CC4-5D6E-409C-BE32-E72D297353CC}">
                    <c16:uniqueId val="{00000006-A7EF-434A-8EA3-020D72EF9AEE}"/>
                  </c:ext>
                </c:extLst>
              </c15:ser>
            </c15:filteredBarSeries>
          </c:ext>
        </c:extLst>
      </c:barChart>
      <c:lineChart>
        <c:grouping val="standard"/>
        <c:varyColors val="0"/>
        <c:ser>
          <c:idx val="2"/>
          <c:order val="2"/>
          <c:tx>
            <c:strRef>
              <c:f>Sheet2!$C$1</c:f>
              <c:strCache>
                <c:ptCount val="1"/>
                <c:pt idx="0">
                  <c:v>North</c:v>
                </c:pt>
              </c:strCache>
            </c:strRef>
          </c:tx>
          <c:spPr>
            <a:ln w="28575" cap="rnd">
              <a:solidFill>
                <a:srgbClr val="FF0000"/>
              </a:solidFill>
              <a:round/>
            </a:ln>
            <a:effectLst/>
          </c:spPr>
          <c:marker>
            <c:symbol val="none"/>
          </c:marker>
          <c:val>
            <c:numRef>
              <c:f>Sheet2!$C$2:$C$74</c:f>
              <c:numCache>
                <c:formatCode>0.0</c:formatCode>
                <c:ptCount val="73"/>
                <c:pt idx="0">
                  <c:v>-191.49315068493138</c:v>
                </c:pt>
                <c:pt idx="1">
                  <c:v>488.10684931506876</c:v>
                </c:pt>
                <c:pt idx="2">
                  <c:v>41.006849315068848</c:v>
                </c:pt>
                <c:pt idx="3">
                  <c:v>-133.29315068493133</c:v>
                </c:pt>
                <c:pt idx="4">
                  <c:v>261.30684931506858</c:v>
                </c:pt>
                <c:pt idx="5">
                  <c:v>282.10684931506898</c:v>
                </c:pt>
                <c:pt idx="6">
                  <c:v>288.50684931506908</c:v>
                </c:pt>
                <c:pt idx="7">
                  <c:v>153.50684931506885</c:v>
                </c:pt>
                <c:pt idx="8">
                  <c:v>444.10684931506921</c:v>
                </c:pt>
                <c:pt idx="9">
                  <c:v>-296.79315068493133</c:v>
                </c:pt>
                <c:pt idx="10">
                  <c:v>187.50684931506817</c:v>
                </c:pt>
                <c:pt idx="11">
                  <c:v>114.20684931506867</c:v>
                </c:pt>
                <c:pt idx="12">
                  <c:v>539.60684931506921</c:v>
                </c:pt>
                <c:pt idx="13">
                  <c:v>136.20684931506889</c:v>
                </c:pt>
                <c:pt idx="14">
                  <c:v>131.00684931506885</c:v>
                </c:pt>
                <c:pt idx="15">
                  <c:v>48.906849315068712</c:v>
                </c:pt>
                <c:pt idx="16">
                  <c:v>126.70684931506867</c:v>
                </c:pt>
                <c:pt idx="17">
                  <c:v>91.906849315068939</c:v>
                </c:pt>
                <c:pt idx="18">
                  <c:v>-385.99315068493138</c:v>
                </c:pt>
                <c:pt idx="19">
                  <c:v>466.0068493150693</c:v>
                </c:pt>
                <c:pt idx="20">
                  <c:v>995.60684931506876</c:v>
                </c:pt>
                <c:pt idx="21">
                  <c:v>673.80684931506858</c:v>
                </c:pt>
                <c:pt idx="22">
                  <c:v>193.70684931506935</c:v>
                </c:pt>
                <c:pt idx="23">
                  <c:v>326.90684931506848</c:v>
                </c:pt>
                <c:pt idx="24">
                  <c:v>557.80684931506858</c:v>
                </c:pt>
                <c:pt idx="25">
                  <c:v>177.40684931506871</c:v>
                </c:pt>
                <c:pt idx="26">
                  <c:v>94.706849315068894</c:v>
                </c:pt>
                <c:pt idx="27">
                  <c:v>-84.693150684931425</c:v>
                </c:pt>
                <c:pt idx="28">
                  <c:v>-309.99315068493138</c:v>
                </c:pt>
                <c:pt idx="29">
                  <c:v>442.80684931506903</c:v>
                </c:pt>
                <c:pt idx="30">
                  <c:v>-257.99315068493161</c:v>
                </c:pt>
                <c:pt idx="31">
                  <c:v>-38.393150684931015</c:v>
                </c:pt>
                <c:pt idx="32">
                  <c:v>296.90684931506871</c:v>
                </c:pt>
                <c:pt idx="33">
                  <c:v>-416.39315068493102</c:v>
                </c:pt>
                <c:pt idx="34">
                  <c:v>-23.993150684931152</c:v>
                </c:pt>
                <c:pt idx="35">
                  <c:v>-370.49315068493161</c:v>
                </c:pt>
                <c:pt idx="36">
                  <c:v>89.406849315068484</c:v>
                </c:pt>
                <c:pt idx="37">
                  <c:v>-254.99315068493138</c:v>
                </c:pt>
                <c:pt idx="38">
                  <c:v>162.60684931506876</c:v>
                </c:pt>
                <c:pt idx="39">
                  <c:v>355.90684931506894</c:v>
                </c:pt>
                <c:pt idx="40">
                  <c:v>319.60684931506853</c:v>
                </c:pt>
                <c:pt idx="41">
                  <c:v>-242.59315068493106</c:v>
                </c:pt>
                <c:pt idx="42">
                  <c:v>146.80684931506903</c:v>
                </c:pt>
                <c:pt idx="43">
                  <c:v>33.30684931506903</c:v>
                </c:pt>
                <c:pt idx="44">
                  <c:v>-215.09315068493152</c:v>
                </c:pt>
                <c:pt idx="45">
                  <c:v>-297.09315068493129</c:v>
                </c:pt>
                <c:pt idx="46">
                  <c:v>-169.49315068493115</c:v>
                </c:pt>
                <c:pt idx="47">
                  <c:v>-5.4931506849311518</c:v>
                </c:pt>
                <c:pt idx="48">
                  <c:v>16.606849315068757</c:v>
                </c:pt>
                <c:pt idx="49">
                  <c:v>-275.59315068493152</c:v>
                </c:pt>
                <c:pt idx="50">
                  <c:v>-3.8931506849310153</c:v>
                </c:pt>
                <c:pt idx="51">
                  <c:v>41.406849315068939</c:v>
                </c:pt>
                <c:pt idx="52">
                  <c:v>80.80684931506903</c:v>
                </c:pt>
                <c:pt idx="53">
                  <c:v>173.10684931506853</c:v>
                </c:pt>
                <c:pt idx="54">
                  <c:v>-237.29315068493111</c:v>
                </c:pt>
                <c:pt idx="55">
                  <c:v>-537.09315068493129</c:v>
                </c:pt>
                <c:pt idx="56">
                  <c:v>-145.79315068493133</c:v>
                </c:pt>
                <c:pt idx="57">
                  <c:v>-318.99315068493115</c:v>
                </c:pt>
                <c:pt idx="58">
                  <c:v>-579.99315068493138</c:v>
                </c:pt>
                <c:pt idx="59">
                  <c:v>153.80684931506903</c:v>
                </c:pt>
                <c:pt idx="60">
                  <c:v>-341.49315068493138</c:v>
                </c:pt>
                <c:pt idx="61">
                  <c:v>-514.49315068493115</c:v>
                </c:pt>
                <c:pt idx="62">
                  <c:v>-320.89315068493079</c:v>
                </c:pt>
                <c:pt idx="63">
                  <c:v>-429.6931506849312</c:v>
                </c:pt>
                <c:pt idx="64">
                  <c:v>-327.39315068493124</c:v>
                </c:pt>
                <c:pt idx="65">
                  <c:v>44.706849315068666</c:v>
                </c:pt>
                <c:pt idx="66">
                  <c:v>49.406849315069167</c:v>
                </c:pt>
                <c:pt idx="67">
                  <c:v>-154.89315068493124</c:v>
                </c:pt>
                <c:pt idx="68">
                  <c:v>-29.193150684931425</c:v>
                </c:pt>
                <c:pt idx="69">
                  <c:v>-259.69315068493142</c:v>
                </c:pt>
                <c:pt idx="70">
                  <c:v>-430.29315068493111</c:v>
                </c:pt>
                <c:pt idx="71">
                  <c:v>-272.59315068493129</c:v>
                </c:pt>
                <c:pt idx="72">
                  <c:v>-354.29315068493111</c:v>
                </c:pt>
              </c:numCache>
            </c:numRef>
          </c:val>
          <c:smooth val="0"/>
          <c:extLst>
            <c:ext xmlns:c16="http://schemas.microsoft.com/office/drawing/2014/chart" uri="{C3380CC4-5D6E-409C-BE32-E72D297353CC}">
              <c16:uniqueId val="{00000001-A7EF-434A-8EA3-020D72EF9AEE}"/>
            </c:ext>
          </c:extLst>
        </c:ser>
        <c:ser>
          <c:idx val="3"/>
          <c:order val="3"/>
          <c:tx>
            <c:strRef>
              <c:f>Sheet2!$D$1</c:f>
              <c:strCache>
                <c:ptCount val="1"/>
                <c:pt idx="0">
                  <c:v>South</c:v>
                </c:pt>
              </c:strCache>
            </c:strRef>
          </c:tx>
          <c:spPr>
            <a:ln w="28575" cap="rnd">
              <a:solidFill>
                <a:schemeClr val="accent4"/>
              </a:solidFill>
              <a:round/>
            </a:ln>
            <a:effectLst/>
          </c:spPr>
          <c:marker>
            <c:symbol val="none"/>
          </c:marker>
          <c:val>
            <c:numRef>
              <c:f>Sheet2!$D$2:$D$74</c:f>
              <c:numCache>
                <c:formatCode>0.0</c:formatCode>
                <c:ptCount val="73"/>
                <c:pt idx="0">
                  <c:v>-1338.3684931506832</c:v>
                </c:pt>
                <c:pt idx="1">
                  <c:v>-383.6684931506843</c:v>
                </c:pt>
                <c:pt idx="2">
                  <c:v>977.63150684931679</c:v>
                </c:pt>
                <c:pt idx="3">
                  <c:v>589.03150684931825</c:v>
                </c:pt>
                <c:pt idx="4">
                  <c:v>214.53150684931643</c:v>
                </c:pt>
                <c:pt idx="5">
                  <c:v>2005.931506849317</c:v>
                </c:pt>
                <c:pt idx="6">
                  <c:v>1663.931506849317</c:v>
                </c:pt>
                <c:pt idx="7">
                  <c:v>2552.5315068493173</c:v>
                </c:pt>
                <c:pt idx="8">
                  <c:v>4537.1315068493177</c:v>
                </c:pt>
                <c:pt idx="9">
                  <c:v>315.1315068493177</c:v>
                </c:pt>
                <c:pt idx="10">
                  <c:v>4658.7315068493181</c:v>
                </c:pt>
                <c:pt idx="11">
                  <c:v>-2811.1684931506829</c:v>
                </c:pt>
                <c:pt idx="12">
                  <c:v>25.83150684931843</c:v>
                </c:pt>
                <c:pt idx="13">
                  <c:v>-326.46849315068266</c:v>
                </c:pt>
                <c:pt idx="14">
                  <c:v>-930.2684931506833</c:v>
                </c:pt>
                <c:pt idx="15">
                  <c:v>-1249.468493150684</c:v>
                </c:pt>
                <c:pt idx="16">
                  <c:v>140.13150684931679</c:v>
                </c:pt>
                <c:pt idx="17">
                  <c:v>124.13150684931679</c:v>
                </c:pt>
                <c:pt idx="18">
                  <c:v>1940.2315068493181</c:v>
                </c:pt>
                <c:pt idx="19">
                  <c:v>539.3315068493157</c:v>
                </c:pt>
                <c:pt idx="20">
                  <c:v>-362.16849315068339</c:v>
                </c:pt>
                <c:pt idx="21">
                  <c:v>-1050.1684931506829</c:v>
                </c:pt>
                <c:pt idx="22">
                  <c:v>-783.26849315068375</c:v>
                </c:pt>
                <c:pt idx="23">
                  <c:v>-357.3684931506823</c:v>
                </c:pt>
                <c:pt idx="24">
                  <c:v>-472.86849315068321</c:v>
                </c:pt>
                <c:pt idx="25">
                  <c:v>-1261.7684931506828</c:v>
                </c:pt>
                <c:pt idx="26">
                  <c:v>-306.26849315068284</c:v>
                </c:pt>
                <c:pt idx="27">
                  <c:v>2639.7315068493162</c:v>
                </c:pt>
                <c:pt idx="28">
                  <c:v>-1417.2684931506833</c:v>
                </c:pt>
                <c:pt idx="29">
                  <c:v>767.1315068493177</c:v>
                </c:pt>
                <c:pt idx="30">
                  <c:v>1699.7315068493172</c:v>
                </c:pt>
                <c:pt idx="31">
                  <c:v>1695.3315068493166</c:v>
                </c:pt>
                <c:pt idx="32">
                  <c:v>1352.4315068493179</c:v>
                </c:pt>
                <c:pt idx="33">
                  <c:v>314.53150684931552</c:v>
                </c:pt>
                <c:pt idx="34">
                  <c:v>61.731506849317157</c:v>
                </c:pt>
                <c:pt idx="35">
                  <c:v>39.731506849317157</c:v>
                </c:pt>
                <c:pt idx="36">
                  <c:v>-1025.8684931506832</c:v>
                </c:pt>
                <c:pt idx="37">
                  <c:v>-868.96849315068266</c:v>
                </c:pt>
                <c:pt idx="38">
                  <c:v>-988.46849315068266</c:v>
                </c:pt>
                <c:pt idx="39">
                  <c:v>458.53150684931734</c:v>
                </c:pt>
                <c:pt idx="40">
                  <c:v>-133.26849315068284</c:v>
                </c:pt>
                <c:pt idx="41">
                  <c:v>123.83150684931661</c:v>
                </c:pt>
                <c:pt idx="42">
                  <c:v>-750.16849315068339</c:v>
                </c:pt>
                <c:pt idx="43">
                  <c:v>80.131506849317702</c:v>
                </c:pt>
                <c:pt idx="44">
                  <c:v>-1076.9684931506836</c:v>
                </c:pt>
                <c:pt idx="45">
                  <c:v>-1211.8684931506832</c:v>
                </c:pt>
                <c:pt idx="46">
                  <c:v>-518.66849315068248</c:v>
                </c:pt>
                <c:pt idx="47">
                  <c:v>-49.268493150682843</c:v>
                </c:pt>
                <c:pt idx="48">
                  <c:v>-425.46849315068266</c:v>
                </c:pt>
                <c:pt idx="49">
                  <c:v>-652.96849315068357</c:v>
                </c:pt>
                <c:pt idx="50">
                  <c:v>-819.8684931506823</c:v>
                </c:pt>
                <c:pt idx="51">
                  <c:v>-1411.4684931506822</c:v>
                </c:pt>
                <c:pt idx="52">
                  <c:v>-1155.2684931506824</c:v>
                </c:pt>
                <c:pt idx="53">
                  <c:v>-1048.2684931506824</c:v>
                </c:pt>
                <c:pt idx="54">
                  <c:v>-1250.8684931506832</c:v>
                </c:pt>
                <c:pt idx="55">
                  <c:v>-215.26849315068375</c:v>
                </c:pt>
                <c:pt idx="56">
                  <c:v>1309.2315068493181</c:v>
                </c:pt>
                <c:pt idx="57">
                  <c:v>715.03150684931552</c:v>
                </c:pt>
                <c:pt idx="58">
                  <c:v>408.93150684931607</c:v>
                </c:pt>
                <c:pt idx="59">
                  <c:v>-166.66849315068248</c:v>
                </c:pt>
                <c:pt idx="60">
                  <c:v>1478.8315068493157</c:v>
                </c:pt>
                <c:pt idx="61">
                  <c:v>517.03150684931734</c:v>
                </c:pt>
                <c:pt idx="62">
                  <c:v>120.23150684931716</c:v>
                </c:pt>
                <c:pt idx="63">
                  <c:v>-435.66849315068248</c:v>
                </c:pt>
                <c:pt idx="64">
                  <c:v>-1368.2684931506828</c:v>
                </c:pt>
                <c:pt idx="65">
                  <c:v>-1740.9684931506827</c:v>
                </c:pt>
                <c:pt idx="66">
                  <c:v>-1131.7684931506838</c:v>
                </c:pt>
                <c:pt idx="67">
                  <c:v>-1030.9684931506827</c:v>
                </c:pt>
                <c:pt idx="68">
                  <c:v>208.6315068493177</c:v>
                </c:pt>
                <c:pt idx="69">
                  <c:v>408.73150684931625</c:v>
                </c:pt>
                <c:pt idx="70">
                  <c:v>-357.8684931506823</c:v>
                </c:pt>
                <c:pt idx="71">
                  <c:v>-359.16849315068248</c:v>
                </c:pt>
                <c:pt idx="72">
                  <c:v>-1438.8684931506837</c:v>
                </c:pt>
              </c:numCache>
            </c:numRef>
          </c:val>
          <c:smooth val="0"/>
          <c:extLst>
            <c:ext xmlns:c16="http://schemas.microsoft.com/office/drawing/2014/chart" uri="{C3380CC4-5D6E-409C-BE32-E72D297353CC}">
              <c16:uniqueId val="{00000002-A7EF-434A-8EA3-020D72EF9AEE}"/>
            </c:ext>
          </c:extLst>
        </c:ser>
        <c:ser>
          <c:idx val="4"/>
          <c:order val="4"/>
          <c:tx>
            <c:strRef>
              <c:f>Sheet2!$E$1</c:f>
              <c:strCache>
                <c:ptCount val="1"/>
                <c:pt idx="0">
                  <c:v>East</c:v>
                </c:pt>
              </c:strCache>
            </c:strRef>
          </c:tx>
          <c:spPr>
            <a:ln w="28575" cap="rnd">
              <a:solidFill>
                <a:srgbClr val="002060"/>
              </a:solidFill>
              <a:round/>
            </a:ln>
            <a:effectLst/>
          </c:spPr>
          <c:marker>
            <c:symbol val="none"/>
          </c:marker>
          <c:val>
            <c:numRef>
              <c:f>Sheet2!$E$2:$E$74</c:f>
              <c:numCache>
                <c:formatCode>0.0</c:formatCode>
                <c:ptCount val="73"/>
                <c:pt idx="0">
                  <c:v>-105.8000000000003</c:v>
                </c:pt>
                <c:pt idx="1">
                  <c:v>-185.3000000000003</c:v>
                </c:pt>
                <c:pt idx="2">
                  <c:v>235.99999999999966</c:v>
                </c:pt>
                <c:pt idx="3">
                  <c:v>87.499999999999659</c:v>
                </c:pt>
                <c:pt idx="4">
                  <c:v>335.5999999999998</c:v>
                </c:pt>
                <c:pt idx="5">
                  <c:v>194.79999999999984</c:v>
                </c:pt>
                <c:pt idx="6">
                  <c:v>630.99999999999989</c:v>
                </c:pt>
                <c:pt idx="7">
                  <c:v>858.29999999999961</c:v>
                </c:pt>
                <c:pt idx="8">
                  <c:v>-273.8000000000003</c:v>
                </c:pt>
                <c:pt idx="9">
                  <c:v>16.499999999999773</c:v>
                </c:pt>
                <c:pt idx="10">
                  <c:v>204.99999999999989</c:v>
                </c:pt>
                <c:pt idx="11">
                  <c:v>-110.60000000000048</c:v>
                </c:pt>
                <c:pt idx="12">
                  <c:v>-87.900000000000318</c:v>
                </c:pt>
                <c:pt idx="13">
                  <c:v>163.0999999999998</c:v>
                </c:pt>
                <c:pt idx="14">
                  <c:v>-195.00000000000034</c:v>
                </c:pt>
                <c:pt idx="15">
                  <c:v>-79.200000000000273</c:v>
                </c:pt>
                <c:pt idx="16">
                  <c:v>12.799999999999727</c:v>
                </c:pt>
                <c:pt idx="17">
                  <c:v>-262.60000000000025</c:v>
                </c:pt>
                <c:pt idx="18">
                  <c:v>-37.900000000000205</c:v>
                </c:pt>
                <c:pt idx="19">
                  <c:v>-2.8000000000002956</c:v>
                </c:pt>
                <c:pt idx="20">
                  <c:v>-92.800000000000182</c:v>
                </c:pt>
                <c:pt idx="21">
                  <c:v>-261.50000000000023</c:v>
                </c:pt>
                <c:pt idx="22">
                  <c:v>322.39999999999998</c:v>
                </c:pt>
                <c:pt idx="23">
                  <c:v>-323.80000000000041</c:v>
                </c:pt>
                <c:pt idx="24">
                  <c:v>222.79999999999984</c:v>
                </c:pt>
                <c:pt idx="25">
                  <c:v>-37.600000000000364</c:v>
                </c:pt>
                <c:pt idx="26">
                  <c:v>384.5999999999998</c:v>
                </c:pt>
                <c:pt idx="27">
                  <c:v>520.0999999999998</c:v>
                </c:pt>
                <c:pt idx="28">
                  <c:v>-428.8000000000003</c:v>
                </c:pt>
                <c:pt idx="29">
                  <c:v>-11.800000000000182</c:v>
                </c:pt>
                <c:pt idx="30">
                  <c:v>-276.30000000000018</c:v>
                </c:pt>
                <c:pt idx="31">
                  <c:v>-343.4000000000002</c:v>
                </c:pt>
                <c:pt idx="32">
                  <c:v>371.99999999999966</c:v>
                </c:pt>
                <c:pt idx="33">
                  <c:v>-16.900000000000318</c:v>
                </c:pt>
                <c:pt idx="34">
                  <c:v>225.1999999999997</c:v>
                </c:pt>
                <c:pt idx="35">
                  <c:v>-42.600000000000364</c:v>
                </c:pt>
                <c:pt idx="36">
                  <c:v>-615.20000000000027</c:v>
                </c:pt>
                <c:pt idx="37">
                  <c:v>272.89999999999975</c:v>
                </c:pt>
                <c:pt idx="38">
                  <c:v>-129.8000000000003</c:v>
                </c:pt>
                <c:pt idx="39">
                  <c:v>647.39999999999975</c:v>
                </c:pt>
                <c:pt idx="40">
                  <c:v>245.5999999999998</c:v>
                </c:pt>
                <c:pt idx="41">
                  <c:v>222.79999999999961</c:v>
                </c:pt>
                <c:pt idx="42">
                  <c:v>-176.4000000000002</c:v>
                </c:pt>
                <c:pt idx="43">
                  <c:v>-159.40000000000032</c:v>
                </c:pt>
                <c:pt idx="44">
                  <c:v>310.59999999999957</c:v>
                </c:pt>
                <c:pt idx="45">
                  <c:v>292.09999999999957</c:v>
                </c:pt>
                <c:pt idx="46">
                  <c:v>-623.40000000000032</c:v>
                </c:pt>
                <c:pt idx="47">
                  <c:v>239.69999999999948</c:v>
                </c:pt>
                <c:pt idx="48">
                  <c:v>-110.80000000000052</c:v>
                </c:pt>
                <c:pt idx="49">
                  <c:v>405.59999999999957</c:v>
                </c:pt>
                <c:pt idx="50">
                  <c:v>-319.90000000000032</c:v>
                </c:pt>
                <c:pt idx="51">
                  <c:v>9.9999999999681677E-2</c:v>
                </c:pt>
                <c:pt idx="52">
                  <c:v>434.09999999999957</c:v>
                </c:pt>
                <c:pt idx="53">
                  <c:v>-175.50000000000034</c:v>
                </c:pt>
                <c:pt idx="54">
                  <c:v>89.099999999999568</c:v>
                </c:pt>
                <c:pt idx="55">
                  <c:v>-169.80000000000018</c:v>
                </c:pt>
                <c:pt idx="56">
                  <c:v>-82.60000000000025</c:v>
                </c:pt>
                <c:pt idx="57">
                  <c:v>-157.50000000000023</c:v>
                </c:pt>
                <c:pt idx="58">
                  <c:v>-366.60000000000036</c:v>
                </c:pt>
                <c:pt idx="59">
                  <c:v>313.00000000000011</c:v>
                </c:pt>
                <c:pt idx="60">
                  <c:v>-64.60000000000025</c:v>
                </c:pt>
                <c:pt idx="61">
                  <c:v>-432.30000000000018</c:v>
                </c:pt>
                <c:pt idx="62">
                  <c:v>-100.50000000000034</c:v>
                </c:pt>
                <c:pt idx="63">
                  <c:v>-270.00000000000034</c:v>
                </c:pt>
                <c:pt idx="64">
                  <c:v>-210.00000000000023</c:v>
                </c:pt>
                <c:pt idx="65">
                  <c:v>-141.70000000000027</c:v>
                </c:pt>
                <c:pt idx="66">
                  <c:v>-92.60000000000025</c:v>
                </c:pt>
                <c:pt idx="67">
                  <c:v>-42.60000000000025</c:v>
                </c:pt>
                <c:pt idx="68">
                  <c:v>-263.00000000000023</c:v>
                </c:pt>
                <c:pt idx="69">
                  <c:v>-277.3000000000003</c:v>
                </c:pt>
                <c:pt idx="70">
                  <c:v>-94.10000000000025</c:v>
                </c:pt>
                <c:pt idx="71">
                  <c:v>-56.000000000000341</c:v>
                </c:pt>
                <c:pt idx="72">
                  <c:v>47.299999999999841</c:v>
                </c:pt>
              </c:numCache>
            </c:numRef>
          </c:val>
          <c:smooth val="0"/>
          <c:extLst>
            <c:ext xmlns:c16="http://schemas.microsoft.com/office/drawing/2014/chart" uri="{C3380CC4-5D6E-409C-BE32-E72D297353CC}">
              <c16:uniqueId val="{00000003-A7EF-434A-8EA3-020D72EF9AEE}"/>
            </c:ext>
          </c:extLst>
        </c:ser>
        <c:ser>
          <c:idx val="5"/>
          <c:order val="5"/>
          <c:tx>
            <c:strRef>
              <c:f>Sheet2!$F$1</c:f>
              <c:strCache>
                <c:ptCount val="1"/>
                <c:pt idx="0">
                  <c:v>West</c:v>
                </c:pt>
              </c:strCache>
            </c:strRef>
          </c:tx>
          <c:spPr>
            <a:ln w="28575" cap="rnd">
              <a:solidFill>
                <a:schemeClr val="accent6"/>
              </a:solidFill>
              <a:round/>
            </a:ln>
            <a:effectLst/>
          </c:spPr>
          <c:marker>
            <c:symbol val="none"/>
          </c:marker>
          <c:val>
            <c:numRef>
              <c:f>Sheet2!$F$2:$F$74</c:f>
              <c:numCache>
                <c:formatCode>0.0</c:formatCode>
                <c:ptCount val="73"/>
                <c:pt idx="0">
                  <c:v>-282.42054794520544</c:v>
                </c:pt>
                <c:pt idx="1">
                  <c:v>-126.32054794520542</c:v>
                </c:pt>
                <c:pt idx="2">
                  <c:v>170.17945205479452</c:v>
                </c:pt>
                <c:pt idx="3">
                  <c:v>97.77945205479466</c:v>
                </c:pt>
                <c:pt idx="4">
                  <c:v>-15.620547945205431</c:v>
                </c:pt>
                <c:pt idx="5">
                  <c:v>494.37945205479423</c:v>
                </c:pt>
                <c:pt idx="6">
                  <c:v>-186.12054794520537</c:v>
                </c:pt>
                <c:pt idx="7">
                  <c:v>-37.420547945205328</c:v>
                </c:pt>
                <c:pt idx="8">
                  <c:v>451.07945205479461</c:v>
                </c:pt>
                <c:pt idx="9">
                  <c:v>-365.82054794520536</c:v>
                </c:pt>
                <c:pt idx="10">
                  <c:v>136.67945205479452</c:v>
                </c:pt>
                <c:pt idx="11">
                  <c:v>9.1794520547946377</c:v>
                </c:pt>
                <c:pt idx="12">
                  <c:v>-11.320547945205476</c:v>
                </c:pt>
                <c:pt idx="13">
                  <c:v>-183.42054794520539</c:v>
                </c:pt>
                <c:pt idx="14">
                  <c:v>-95.320547945205362</c:v>
                </c:pt>
                <c:pt idx="15">
                  <c:v>-212.62054794520537</c:v>
                </c:pt>
                <c:pt idx="16">
                  <c:v>-2.2205479452054533</c:v>
                </c:pt>
                <c:pt idx="17">
                  <c:v>-350.82054794520542</c:v>
                </c:pt>
                <c:pt idx="18">
                  <c:v>-307.02054794520541</c:v>
                </c:pt>
                <c:pt idx="19">
                  <c:v>85.679452054794638</c:v>
                </c:pt>
                <c:pt idx="20">
                  <c:v>41.979452054794592</c:v>
                </c:pt>
                <c:pt idx="21">
                  <c:v>-408.62054794520543</c:v>
                </c:pt>
                <c:pt idx="22">
                  <c:v>65.179452054794524</c:v>
                </c:pt>
                <c:pt idx="23">
                  <c:v>-449.32054794520542</c:v>
                </c:pt>
                <c:pt idx="24">
                  <c:v>558.57945205479473</c:v>
                </c:pt>
                <c:pt idx="25">
                  <c:v>94.579452054794615</c:v>
                </c:pt>
                <c:pt idx="26">
                  <c:v>582.27945205479455</c:v>
                </c:pt>
                <c:pt idx="27">
                  <c:v>-96.120547945205374</c:v>
                </c:pt>
                <c:pt idx="28">
                  <c:v>-126.22054794520534</c:v>
                </c:pt>
                <c:pt idx="29">
                  <c:v>-28.72054794520534</c:v>
                </c:pt>
                <c:pt idx="30">
                  <c:v>-8.4205479452053851</c:v>
                </c:pt>
                <c:pt idx="31">
                  <c:v>-144.02054794520541</c:v>
                </c:pt>
                <c:pt idx="32">
                  <c:v>71.879452054794569</c:v>
                </c:pt>
                <c:pt idx="33">
                  <c:v>-16.720547945205453</c:v>
                </c:pt>
                <c:pt idx="34">
                  <c:v>-353.62054794520543</c:v>
                </c:pt>
                <c:pt idx="35">
                  <c:v>-357.12054794520543</c:v>
                </c:pt>
                <c:pt idx="36">
                  <c:v>-493.62054794520543</c:v>
                </c:pt>
                <c:pt idx="37">
                  <c:v>8.5794520547946149</c:v>
                </c:pt>
                <c:pt idx="38">
                  <c:v>-221.92054794520539</c:v>
                </c:pt>
                <c:pt idx="39">
                  <c:v>220.87945205479468</c:v>
                </c:pt>
                <c:pt idx="40">
                  <c:v>-258.62054794520532</c:v>
                </c:pt>
                <c:pt idx="41">
                  <c:v>-104.12054794520543</c:v>
                </c:pt>
                <c:pt idx="42">
                  <c:v>103.87945205479446</c:v>
                </c:pt>
                <c:pt idx="43">
                  <c:v>217.0794520547945</c:v>
                </c:pt>
                <c:pt idx="44">
                  <c:v>-142.12054794520537</c:v>
                </c:pt>
                <c:pt idx="45">
                  <c:v>-180.42054794520539</c:v>
                </c:pt>
                <c:pt idx="46">
                  <c:v>259.97945205479471</c:v>
                </c:pt>
                <c:pt idx="47">
                  <c:v>-40.420547945205385</c:v>
                </c:pt>
                <c:pt idx="48">
                  <c:v>-219.22054794520545</c:v>
                </c:pt>
                <c:pt idx="49">
                  <c:v>-151.52054794520541</c:v>
                </c:pt>
                <c:pt idx="50">
                  <c:v>-76.620547945205487</c:v>
                </c:pt>
                <c:pt idx="51">
                  <c:v>-312.7205479452054</c:v>
                </c:pt>
                <c:pt idx="52">
                  <c:v>295.37945205479457</c:v>
                </c:pt>
                <c:pt idx="53">
                  <c:v>-168.52054794520541</c:v>
                </c:pt>
                <c:pt idx="54">
                  <c:v>26.779452054794547</c:v>
                </c:pt>
                <c:pt idx="55">
                  <c:v>393.67945205479464</c:v>
                </c:pt>
                <c:pt idx="56">
                  <c:v>209.07945205479461</c:v>
                </c:pt>
                <c:pt idx="57">
                  <c:v>-56.120547945205487</c:v>
                </c:pt>
                <c:pt idx="58">
                  <c:v>-192.42054794520544</c:v>
                </c:pt>
                <c:pt idx="59">
                  <c:v>368.77945205479455</c:v>
                </c:pt>
                <c:pt idx="60">
                  <c:v>126.57945205479461</c:v>
                </c:pt>
                <c:pt idx="61">
                  <c:v>63.479452054794592</c:v>
                </c:pt>
                <c:pt idx="62">
                  <c:v>542.67945205479487</c:v>
                </c:pt>
                <c:pt idx="63">
                  <c:v>-119.02054794520546</c:v>
                </c:pt>
                <c:pt idx="64">
                  <c:v>214.47945205479459</c:v>
                </c:pt>
                <c:pt idx="65">
                  <c:v>-29.820547945205362</c:v>
                </c:pt>
                <c:pt idx="66">
                  <c:v>406.47945205479459</c:v>
                </c:pt>
                <c:pt idx="67">
                  <c:v>-374.42054794520539</c:v>
                </c:pt>
                <c:pt idx="68">
                  <c:v>238.47945205479459</c:v>
                </c:pt>
                <c:pt idx="69">
                  <c:v>199.37945205479457</c:v>
                </c:pt>
                <c:pt idx="70">
                  <c:v>-85.820547945205419</c:v>
                </c:pt>
                <c:pt idx="71">
                  <c:v>372.67945205479441</c:v>
                </c:pt>
                <c:pt idx="72">
                  <c:v>265.0794520547945</c:v>
                </c:pt>
              </c:numCache>
            </c:numRef>
          </c:val>
          <c:smooth val="0"/>
          <c:extLst>
            <c:ext xmlns:c16="http://schemas.microsoft.com/office/drawing/2014/chart" uri="{C3380CC4-5D6E-409C-BE32-E72D297353CC}">
              <c16:uniqueId val="{00000004-A7EF-434A-8EA3-020D72EF9AEE}"/>
            </c:ext>
          </c:extLst>
        </c:ser>
        <c:ser>
          <c:idx val="6"/>
          <c:order val="6"/>
          <c:tx>
            <c:strRef>
              <c:f>Sheet2!$G$1</c:f>
              <c:strCache>
                <c:ptCount val="1"/>
                <c:pt idx="0">
                  <c:v>Central</c:v>
                </c:pt>
              </c:strCache>
            </c:strRef>
          </c:tx>
          <c:spPr>
            <a:ln w="28575" cap="rnd">
              <a:solidFill>
                <a:schemeClr val="accent2">
                  <a:lumMod val="75000"/>
                </a:schemeClr>
              </a:solidFill>
              <a:round/>
            </a:ln>
            <a:effectLst/>
          </c:spPr>
          <c:marker>
            <c:symbol val="none"/>
          </c:marker>
          <c:val>
            <c:numRef>
              <c:f>Sheet2!$G$2:$G$74</c:f>
              <c:numCache>
                <c:formatCode>0.0</c:formatCode>
                <c:ptCount val="73"/>
                <c:pt idx="0">
                  <c:v>-94.468893572181059</c:v>
                </c:pt>
                <c:pt idx="1">
                  <c:v>63.66110642781905</c:v>
                </c:pt>
                <c:pt idx="2">
                  <c:v>150.11187565858813</c:v>
                </c:pt>
                <c:pt idx="3">
                  <c:v>-52.697355110642434</c:v>
                </c:pt>
                <c:pt idx="4">
                  <c:v>43.904952581665157</c:v>
                </c:pt>
                <c:pt idx="5">
                  <c:v>190.6364910432037</c:v>
                </c:pt>
                <c:pt idx="6">
                  <c:v>222.8549525816652</c:v>
                </c:pt>
                <c:pt idx="7">
                  <c:v>-78.947355110642548</c:v>
                </c:pt>
                <c:pt idx="8">
                  <c:v>92.667260273972829</c:v>
                </c:pt>
                <c:pt idx="9">
                  <c:v>58.728798735511191</c:v>
                </c:pt>
                <c:pt idx="10">
                  <c:v>228.52802950474211</c:v>
                </c:pt>
                <c:pt idx="11">
                  <c:v>327.41956796628051</c:v>
                </c:pt>
                <c:pt idx="12">
                  <c:v>80.344183350895946</c:v>
                </c:pt>
                <c:pt idx="13">
                  <c:v>-31.992739726027025</c:v>
                </c:pt>
                <c:pt idx="14">
                  <c:v>41.52572181243454</c:v>
                </c:pt>
                <c:pt idx="15">
                  <c:v>-291.81120126448877</c:v>
                </c:pt>
                <c:pt idx="16">
                  <c:v>-209.31043203371939</c:v>
                </c:pt>
                <c:pt idx="17">
                  <c:v>399.51802950474189</c:v>
                </c:pt>
                <c:pt idx="18">
                  <c:v>-170.34120126448875</c:v>
                </c:pt>
                <c:pt idx="19">
                  <c:v>151.68341412012683</c:v>
                </c:pt>
                <c:pt idx="20">
                  <c:v>80.77264488935748</c:v>
                </c:pt>
                <c:pt idx="21">
                  <c:v>214.50956796628066</c:v>
                </c:pt>
                <c:pt idx="22">
                  <c:v>-221.43581664910403</c:v>
                </c:pt>
                <c:pt idx="23">
                  <c:v>-156.6688935721811</c:v>
                </c:pt>
                <c:pt idx="24">
                  <c:v>-122.99504741833482</c:v>
                </c:pt>
                <c:pt idx="25">
                  <c:v>209.49341412012677</c:v>
                </c:pt>
                <c:pt idx="26">
                  <c:v>-189.71658587987349</c:v>
                </c:pt>
                <c:pt idx="27">
                  <c:v>-61.040432033719412</c:v>
                </c:pt>
                <c:pt idx="28">
                  <c:v>367.73341412012678</c:v>
                </c:pt>
                <c:pt idx="29">
                  <c:v>-303.30120126448867</c:v>
                </c:pt>
                <c:pt idx="30">
                  <c:v>324.1064910432035</c:v>
                </c:pt>
                <c:pt idx="31">
                  <c:v>-246.56735511064255</c:v>
                </c:pt>
                <c:pt idx="32">
                  <c:v>193.64495258166517</c:v>
                </c:pt>
                <c:pt idx="33">
                  <c:v>271.75264488935727</c:v>
                </c:pt>
                <c:pt idx="34">
                  <c:v>-22.428124341411831</c:v>
                </c:pt>
                <c:pt idx="35">
                  <c:v>197.26341412012675</c:v>
                </c:pt>
                <c:pt idx="36">
                  <c:v>-106.66350895679636</c:v>
                </c:pt>
                <c:pt idx="37">
                  <c:v>-28.16812434141184</c:v>
                </c:pt>
                <c:pt idx="38">
                  <c:v>-59.267355110642484</c:v>
                </c:pt>
                <c:pt idx="39">
                  <c:v>-246.71120126448875</c:v>
                </c:pt>
                <c:pt idx="40">
                  <c:v>256.57418335089596</c:v>
                </c:pt>
                <c:pt idx="41">
                  <c:v>-22.462739726027166</c:v>
                </c:pt>
                <c:pt idx="42">
                  <c:v>68.374952581665184</c:v>
                </c:pt>
                <c:pt idx="43">
                  <c:v>-41.789662802950147</c:v>
                </c:pt>
                <c:pt idx="44">
                  <c:v>71.571106427819018</c:v>
                </c:pt>
                <c:pt idx="45">
                  <c:v>-104.9742781875658</c:v>
                </c:pt>
                <c:pt idx="46">
                  <c:v>60.722644889357525</c:v>
                </c:pt>
                <c:pt idx="47">
                  <c:v>-66.464278187565355</c:v>
                </c:pt>
                <c:pt idx="48">
                  <c:v>-95.285047418335012</c:v>
                </c:pt>
                <c:pt idx="49">
                  <c:v>315.92341412012684</c:v>
                </c:pt>
                <c:pt idx="50">
                  <c:v>-163.5842781875657</c:v>
                </c:pt>
                <c:pt idx="51">
                  <c:v>32.962644889357421</c:v>
                </c:pt>
                <c:pt idx="52">
                  <c:v>-182.40966280295027</c:v>
                </c:pt>
                <c:pt idx="53">
                  <c:v>299.26572181243432</c:v>
                </c:pt>
                <c:pt idx="54">
                  <c:v>-113.66197049525783</c:v>
                </c:pt>
                <c:pt idx="55">
                  <c:v>-8.5858166491041175</c:v>
                </c:pt>
                <c:pt idx="56">
                  <c:v>-351.58043203371949</c:v>
                </c:pt>
                <c:pt idx="57">
                  <c:v>-398.40120126448869</c:v>
                </c:pt>
                <c:pt idx="58">
                  <c:v>61.408798735511368</c:v>
                </c:pt>
                <c:pt idx="59">
                  <c:v>-168.69350895679645</c:v>
                </c:pt>
                <c:pt idx="60">
                  <c:v>-220.43735511064267</c:v>
                </c:pt>
                <c:pt idx="61">
                  <c:v>38.476491043203623</c:v>
                </c:pt>
                <c:pt idx="62">
                  <c:v>-133.75197049525798</c:v>
                </c:pt>
                <c:pt idx="63">
                  <c:v>481.52110642781918</c:v>
                </c:pt>
                <c:pt idx="64">
                  <c:v>-233.57273972602718</c:v>
                </c:pt>
                <c:pt idx="65">
                  <c:v>-257.9519704952578</c:v>
                </c:pt>
                <c:pt idx="66">
                  <c:v>115.80649104320355</c:v>
                </c:pt>
                <c:pt idx="67">
                  <c:v>-315.01658587987333</c:v>
                </c:pt>
                <c:pt idx="68">
                  <c:v>-72.707355110642538</c:v>
                </c:pt>
                <c:pt idx="69">
                  <c:v>108.30649104320355</c:v>
                </c:pt>
                <c:pt idx="70">
                  <c:v>-220.28966280295026</c:v>
                </c:pt>
                <c:pt idx="71">
                  <c:v>-73.588893572181064</c:v>
                </c:pt>
                <c:pt idx="72">
                  <c:v>117.96726027397267</c:v>
                </c:pt>
              </c:numCache>
            </c:numRef>
          </c:val>
          <c:smooth val="0"/>
          <c:extLst>
            <c:ext xmlns:c16="http://schemas.microsoft.com/office/drawing/2014/chart" uri="{C3380CC4-5D6E-409C-BE32-E72D297353CC}">
              <c16:uniqueId val="{00000005-A7EF-434A-8EA3-020D72EF9AEE}"/>
            </c:ext>
          </c:extLst>
        </c:ser>
        <c:dLbls>
          <c:showLegendKey val="0"/>
          <c:showVal val="0"/>
          <c:showCatName val="0"/>
          <c:showSerName val="0"/>
          <c:showPercent val="0"/>
          <c:showBubbleSize val="0"/>
        </c:dLbls>
        <c:marker val="1"/>
        <c:smooth val="0"/>
        <c:axId val="621825232"/>
        <c:axId val="621824448"/>
      </c:lineChart>
      <c:catAx>
        <c:axId val="62182876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1830720"/>
        <c:crosses val="autoZero"/>
        <c:auto val="1"/>
        <c:lblAlgn val="ctr"/>
        <c:lblOffset val="100"/>
        <c:noMultiLvlLbl val="0"/>
      </c:catAx>
      <c:valAx>
        <c:axId val="621830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1828760"/>
        <c:crosses val="autoZero"/>
        <c:crossBetween val="between"/>
        <c:majorUnit val="0.8"/>
      </c:valAx>
      <c:valAx>
        <c:axId val="621824448"/>
        <c:scaling>
          <c:orientation val="minMax"/>
          <c:min val="-4000"/>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1825232"/>
        <c:crosses val="max"/>
        <c:crossBetween val="between"/>
        <c:majorUnit val="2000"/>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Thousands (mm)</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ispUnitsLbl>
        </c:dispUnits>
      </c:valAx>
      <c:catAx>
        <c:axId val="621825232"/>
        <c:scaling>
          <c:orientation val="minMax"/>
        </c:scaling>
        <c:delete val="1"/>
        <c:axPos val="b"/>
        <c:numFmt formatCode="General" sourceLinked="1"/>
        <c:majorTickMark val="out"/>
        <c:minorTickMark val="none"/>
        <c:tickLblPos val="nextTo"/>
        <c:crossAx val="621824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4925</Words>
  <Characters>28811</Characters>
  <Application>Microsoft Office Word</Application>
  <DocSecurity>0</DocSecurity>
  <Lines>426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SHANKAR YADAV</dc:creator>
  <cp:keywords/>
  <dc:description/>
  <cp:lastModifiedBy>Javed Pathan</cp:lastModifiedBy>
  <cp:revision>7</cp:revision>
  <dcterms:created xsi:type="dcterms:W3CDTF">2025-10-15T10:05:00Z</dcterms:created>
  <dcterms:modified xsi:type="dcterms:W3CDTF">2025-10-15T11:15:00Z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18ea75b0-8f3e-4573-96a6-2bf9bea8c527</vt:lpwstr>
  </property>
</Properties>
</file>