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BB19" w14:textId="77777777" w:rsidR="00A75D1A" w:rsidRDefault="00A75D1A">
      <w:pPr>
        <w:pStyle w:val="Title"/>
        <w:spacing w:after="0"/>
        <w:jc w:val="both"/>
        <w:rPr>
          <w:rFonts w:ascii="Arial" w:hAnsi="Arial" w:cs="Arial"/>
        </w:rPr>
      </w:pPr>
    </w:p>
    <w:p w14:paraId="31C780A7" w14:textId="77777777" w:rsidR="00A75D1A" w:rsidRDefault="00000000">
      <w:pPr>
        <w:spacing w:line="276" w:lineRule="auto"/>
        <w:jc w:val="right"/>
        <w:rPr>
          <w:rFonts w:ascii="Arial" w:hAnsi="Arial" w:cs="Arial"/>
          <w:b/>
          <w:bCs/>
          <w:sz w:val="36"/>
          <w:szCs w:val="36"/>
        </w:rPr>
      </w:pPr>
      <w:proofErr w:type="spellStart"/>
      <w:r>
        <w:rPr>
          <w:rFonts w:ascii="Arial" w:hAnsi="Arial" w:cs="Arial"/>
          <w:b/>
          <w:bCs/>
          <w:sz w:val="36"/>
          <w:szCs w:val="36"/>
        </w:rPr>
        <w:t>Tutok</w:t>
      </w:r>
      <w:proofErr w:type="spellEnd"/>
      <w:r>
        <w:rPr>
          <w:rFonts w:ascii="Arial" w:hAnsi="Arial" w:cs="Arial"/>
          <w:b/>
          <w:bCs/>
          <w:sz w:val="36"/>
          <w:szCs w:val="36"/>
        </w:rPr>
        <w:t xml:space="preserve">-Basa Program: Its Effect </w:t>
      </w:r>
      <w:proofErr w:type="gramStart"/>
      <w:r>
        <w:rPr>
          <w:rFonts w:ascii="Arial" w:hAnsi="Arial" w:cs="Arial"/>
          <w:b/>
          <w:bCs/>
          <w:sz w:val="36"/>
          <w:szCs w:val="36"/>
        </w:rPr>
        <w:t>On</w:t>
      </w:r>
      <w:proofErr w:type="gramEnd"/>
      <w:r>
        <w:rPr>
          <w:rFonts w:ascii="Arial" w:hAnsi="Arial" w:cs="Arial"/>
          <w:b/>
          <w:bCs/>
          <w:sz w:val="36"/>
          <w:szCs w:val="36"/>
        </w:rPr>
        <w:t xml:space="preserve"> </w:t>
      </w:r>
      <w:proofErr w:type="gramStart"/>
      <w:r>
        <w:rPr>
          <w:rFonts w:ascii="Arial" w:hAnsi="Arial" w:cs="Arial"/>
          <w:b/>
          <w:bCs/>
          <w:sz w:val="36"/>
          <w:szCs w:val="36"/>
        </w:rPr>
        <w:t>The</w:t>
      </w:r>
      <w:proofErr w:type="gramEnd"/>
      <w:r>
        <w:rPr>
          <w:rFonts w:ascii="Arial" w:hAnsi="Arial" w:cs="Arial"/>
          <w:b/>
          <w:bCs/>
          <w:sz w:val="36"/>
          <w:szCs w:val="36"/>
        </w:rPr>
        <w:t xml:space="preserve"> Reading Comprehension </w:t>
      </w:r>
      <w:proofErr w:type="gramStart"/>
      <w:r>
        <w:rPr>
          <w:rFonts w:ascii="Arial" w:hAnsi="Arial" w:cs="Arial"/>
          <w:b/>
          <w:bCs/>
          <w:sz w:val="36"/>
          <w:szCs w:val="36"/>
        </w:rPr>
        <w:t>Of</w:t>
      </w:r>
      <w:proofErr w:type="gramEnd"/>
      <w:r>
        <w:rPr>
          <w:rFonts w:ascii="Arial" w:hAnsi="Arial" w:cs="Arial"/>
          <w:b/>
          <w:bCs/>
          <w:sz w:val="36"/>
          <w:szCs w:val="36"/>
        </w:rPr>
        <w:t xml:space="preserve"> Grade 7 Students </w:t>
      </w:r>
      <w:proofErr w:type="gramStart"/>
      <w:r>
        <w:rPr>
          <w:rFonts w:ascii="Arial" w:hAnsi="Arial" w:cs="Arial"/>
          <w:b/>
          <w:bCs/>
          <w:sz w:val="36"/>
          <w:szCs w:val="36"/>
        </w:rPr>
        <w:t>In</w:t>
      </w:r>
      <w:proofErr w:type="gramEnd"/>
      <w:r>
        <w:rPr>
          <w:rFonts w:ascii="Arial" w:hAnsi="Arial" w:cs="Arial"/>
          <w:b/>
          <w:bCs/>
          <w:sz w:val="36"/>
          <w:szCs w:val="36"/>
        </w:rPr>
        <w:t xml:space="preserve"> </w:t>
      </w:r>
      <w:proofErr w:type="spellStart"/>
      <w:r>
        <w:rPr>
          <w:rFonts w:ascii="Arial" w:hAnsi="Arial" w:cs="Arial"/>
          <w:b/>
          <w:bCs/>
          <w:sz w:val="36"/>
          <w:szCs w:val="36"/>
        </w:rPr>
        <w:t>Calanasan</w:t>
      </w:r>
      <w:proofErr w:type="spellEnd"/>
      <w:r>
        <w:rPr>
          <w:rFonts w:ascii="Arial" w:hAnsi="Arial" w:cs="Arial"/>
          <w:b/>
          <w:bCs/>
          <w:sz w:val="36"/>
          <w:szCs w:val="36"/>
        </w:rPr>
        <w:t xml:space="preserve"> National High School</w:t>
      </w:r>
    </w:p>
    <w:p w14:paraId="4D9F66F3" w14:textId="77777777" w:rsidR="00A75D1A" w:rsidRDefault="00A75D1A">
      <w:pPr>
        <w:pStyle w:val="Author"/>
        <w:spacing w:line="240" w:lineRule="auto"/>
        <w:jc w:val="both"/>
        <w:rPr>
          <w:rFonts w:ascii="Arial" w:hAnsi="Arial" w:cs="Arial"/>
          <w:sz w:val="36"/>
        </w:rPr>
      </w:pPr>
    </w:p>
    <w:p w14:paraId="363F1531" w14:textId="77777777" w:rsidR="00A75D1A" w:rsidRDefault="00000000">
      <w:pPr>
        <w:pStyle w:val="AbstHead"/>
        <w:spacing w:after="0"/>
        <w:jc w:val="both"/>
        <w:rPr>
          <w:rFonts w:ascii="Arial" w:hAnsi="Arial" w:cs="Arial"/>
        </w:rPr>
      </w:pPr>
      <w:r>
        <w:rPr>
          <w:rFonts w:ascii="Arial" w:hAnsi="Arial" w:cs="Arial"/>
        </w:rPr>
        <w:t xml:space="preserve">ABSTRACT </w:t>
      </w:r>
    </w:p>
    <w:p w14:paraId="2D1CD9AF" w14:textId="77777777" w:rsidR="00A75D1A" w:rsidRDefault="00A75D1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75D1A" w14:paraId="0DFCE7AC" w14:textId="77777777">
        <w:tc>
          <w:tcPr>
            <w:tcW w:w="9576" w:type="dxa"/>
            <w:shd w:val="clear" w:color="auto" w:fill="F2F2F2"/>
          </w:tcPr>
          <w:p w14:paraId="1764D772" w14:textId="77777777" w:rsidR="00A75D1A" w:rsidRDefault="00A75D1A">
            <w:pPr>
              <w:pStyle w:val="Body"/>
              <w:spacing w:after="0"/>
              <w:rPr>
                <w:rFonts w:ascii="Arial" w:eastAsia="Calibri" w:hAnsi="Arial" w:cs="Arial"/>
                <w:szCs w:val="22"/>
              </w:rPr>
            </w:pPr>
          </w:p>
          <w:p w14:paraId="142DF97D" w14:textId="77777777" w:rsidR="00A75D1A" w:rsidRDefault="00000000">
            <w:pPr>
              <w:pStyle w:val="Body"/>
              <w:spacing w:after="0"/>
              <w:rPr>
                <w:rFonts w:ascii="Arial" w:eastAsia="Calibri" w:hAnsi="Arial" w:cs="Arial"/>
                <w:szCs w:val="22"/>
              </w:rPr>
            </w:pPr>
            <w:commentRangeStart w:id="0"/>
            <w:r>
              <w:rPr>
                <w:rFonts w:ascii="Arial" w:eastAsia="Calibri" w:hAnsi="Arial" w:cs="Arial"/>
                <w:szCs w:val="22"/>
              </w:rPr>
              <w:t xml:space="preserve">English language education continues to evolve, incorporating diverse methodologies to accommodate the varied learning styles and motivations of high school students. This study evaluated the effectiveness of the TUTOK-BASA program in enhancing the reading comprehension levels of Grade 7 students at </w:t>
            </w:r>
            <w:proofErr w:type="spellStart"/>
            <w:r>
              <w:rPr>
                <w:rFonts w:ascii="Arial" w:eastAsia="Calibri" w:hAnsi="Arial" w:cs="Arial"/>
                <w:szCs w:val="22"/>
              </w:rPr>
              <w:t>Calanasan</w:t>
            </w:r>
            <w:proofErr w:type="spellEnd"/>
            <w:r>
              <w:rPr>
                <w:rFonts w:ascii="Arial" w:eastAsia="Calibri" w:hAnsi="Arial" w:cs="Arial"/>
                <w:szCs w:val="22"/>
              </w:rPr>
              <w:t xml:space="preserve"> National High School. Utilizing a pre-test post-test one group research design and descriptive statistics, the study measured students' comprehension before and after program implementation. Findings revealed a significant improvement in reading performance, with post-program results indicating 48.57% of students at the independent level, 40.00% at the instructional level, and only 11.43% at the frustration level. The mean score increased from 60.31 to 78.94, demonstrating the program’s positive impact. Statistical analysis showed no significant differences in comprehension based on age, gender, or parental education, but confirmed a substantial overall enhancement in reading skills, validating the program’s effectiveness in this educational context. To further enhance the effectiveness of the TUTOK-BASA program, it is recommended that regular follow-up interventions and reading enrichment activities be integrated into the curriculum.</w:t>
            </w:r>
            <w:commentRangeEnd w:id="0"/>
            <w:r w:rsidR="00297BF8">
              <w:rPr>
                <w:rStyle w:val="CommentReference"/>
                <w:rFonts w:ascii="Times New Roman" w:hAnsi="Times New Roman"/>
                <w:lang w:val="nb-NO" w:eastAsia="nb-NO"/>
              </w:rPr>
              <w:commentReference w:id="0"/>
            </w:r>
          </w:p>
          <w:p w14:paraId="2B4B976D" w14:textId="77777777" w:rsidR="00A75D1A" w:rsidRDefault="00A75D1A">
            <w:pPr>
              <w:pStyle w:val="Body"/>
              <w:spacing w:after="0"/>
              <w:rPr>
                <w:rFonts w:ascii="Arial" w:eastAsia="Calibri" w:hAnsi="Arial" w:cs="Arial"/>
                <w:szCs w:val="22"/>
              </w:rPr>
            </w:pPr>
          </w:p>
        </w:tc>
      </w:tr>
    </w:tbl>
    <w:p w14:paraId="3A50785E" w14:textId="77777777" w:rsidR="00A75D1A" w:rsidRDefault="00A75D1A">
      <w:pPr>
        <w:pStyle w:val="Body"/>
        <w:spacing w:after="0"/>
        <w:rPr>
          <w:rFonts w:ascii="Arial" w:hAnsi="Arial" w:cs="Arial"/>
          <w:i/>
        </w:rPr>
      </w:pPr>
    </w:p>
    <w:p w14:paraId="3C26818B" w14:textId="77777777" w:rsidR="00A75D1A" w:rsidRDefault="00000000">
      <w:pPr>
        <w:pStyle w:val="Body"/>
        <w:spacing w:after="0"/>
        <w:rPr>
          <w:rFonts w:ascii="Arial" w:hAnsi="Arial" w:cs="Arial"/>
          <w:i/>
        </w:rPr>
      </w:pPr>
      <w:r>
        <w:rPr>
          <w:rFonts w:ascii="Arial" w:hAnsi="Arial" w:cs="Arial"/>
          <w:i/>
        </w:rPr>
        <w:t xml:space="preserve">Keywords: </w:t>
      </w:r>
      <w:proofErr w:type="spellStart"/>
      <w:r>
        <w:rPr>
          <w:rFonts w:ascii="Arial" w:hAnsi="Arial" w:cs="Arial"/>
          <w:i/>
        </w:rPr>
        <w:t>Tutok-basa</w:t>
      </w:r>
      <w:proofErr w:type="spellEnd"/>
      <w:r>
        <w:rPr>
          <w:rFonts w:ascii="Arial" w:hAnsi="Arial" w:cs="Arial"/>
          <w:i/>
        </w:rPr>
        <w:t>, reading, comprehension, students</w:t>
      </w:r>
    </w:p>
    <w:p w14:paraId="2C4491B5" w14:textId="77777777" w:rsidR="00A75D1A" w:rsidRDefault="00A75D1A">
      <w:pPr>
        <w:pStyle w:val="Body"/>
        <w:spacing w:after="0"/>
        <w:rPr>
          <w:rFonts w:ascii="Arial" w:hAnsi="Arial" w:cs="Arial"/>
          <w:i/>
        </w:rPr>
      </w:pPr>
    </w:p>
    <w:p w14:paraId="07F6FE48" w14:textId="77777777" w:rsidR="00A75D1A" w:rsidRDefault="00A75D1A">
      <w:pPr>
        <w:pStyle w:val="Body"/>
        <w:spacing w:after="0"/>
        <w:rPr>
          <w:rFonts w:ascii="Arial" w:hAnsi="Arial" w:cs="Arial"/>
          <w:b/>
          <w:i/>
          <w:sz w:val="18"/>
        </w:rPr>
      </w:pPr>
    </w:p>
    <w:p w14:paraId="413C1B97" w14:textId="77777777" w:rsidR="00A75D1A" w:rsidRDefault="00A75D1A">
      <w:pPr>
        <w:pStyle w:val="Body"/>
        <w:spacing w:after="0"/>
        <w:rPr>
          <w:rFonts w:ascii="Arial" w:hAnsi="Arial" w:cs="Arial"/>
          <w:i/>
          <w:sz w:val="18"/>
        </w:rPr>
      </w:pPr>
    </w:p>
    <w:p w14:paraId="438F328A" w14:textId="77777777" w:rsidR="00A75D1A" w:rsidRDefault="00A75D1A">
      <w:pPr>
        <w:pStyle w:val="Body"/>
        <w:spacing w:after="0"/>
        <w:rPr>
          <w:rFonts w:ascii="Arial" w:hAnsi="Arial" w:cs="Arial"/>
          <w:i/>
        </w:rPr>
      </w:pPr>
    </w:p>
    <w:p w14:paraId="6792BAA9" w14:textId="77777777" w:rsidR="00A75D1A" w:rsidRDefault="00000000">
      <w:pPr>
        <w:pStyle w:val="AbstHead"/>
        <w:spacing w:after="0"/>
        <w:jc w:val="both"/>
        <w:rPr>
          <w:rFonts w:ascii="Arial" w:hAnsi="Arial" w:cs="Arial"/>
        </w:rPr>
      </w:pPr>
      <w:r>
        <w:rPr>
          <w:rFonts w:ascii="Arial" w:hAnsi="Arial" w:cs="Arial"/>
        </w:rPr>
        <w:t xml:space="preserve">1. INTRODUCTION </w:t>
      </w:r>
    </w:p>
    <w:p w14:paraId="030FE022" w14:textId="77777777" w:rsidR="00A75D1A" w:rsidRDefault="00A75D1A">
      <w:pPr>
        <w:pStyle w:val="AbstHead"/>
        <w:spacing w:after="0"/>
        <w:jc w:val="both"/>
        <w:rPr>
          <w:rFonts w:ascii="Arial" w:hAnsi="Arial" w:cs="Arial"/>
        </w:rPr>
      </w:pPr>
    </w:p>
    <w:p w14:paraId="18405298" w14:textId="77777777" w:rsidR="00A75D1A" w:rsidRDefault="00000000">
      <w:pPr>
        <w:ind w:firstLine="720"/>
        <w:jc w:val="both"/>
        <w:rPr>
          <w:rFonts w:ascii="Arial" w:hAnsi="Arial" w:cs="Arial"/>
        </w:rPr>
      </w:pPr>
      <w:r>
        <w:rPr>
          <w:rFonts w:ascii="Arial" w:hAnsi="Arial" w:cs="Arial"/>
        </w:rPr>
        <w:t>In today's globalized era, English proficiency has become a cornerstone for academic success and effective communication worldwide. As a globally recognized lingua franca, English opens doors to a plethora of knowledge, opportunities, and cultural exchanges, significantly enhancing socio-economic mobility. Globally, English proficiency varies widely, encompassing a range of skills in reading, writing, speaking, and listening, each critical for the educational and communicative advancement of individuals, particularly students (</w:t>
      </w:r>
      <w:proofErr w:type="spellStart"/>
      <w:r>
        <w:rPr>
          <w:lang w:val="en-PH"/>
        </w:rPr>
        <w:t>Anossova</w:t>
      </w:r>
      <w:proofErr w:type="spellEnd"/>
      <w:r>
        <w:rPr>
          <w:lang w:val="en-PH"/>
        </w:rPr>
        <w:t>, 2020)</w:t>
      </w:r>
      <w:r>
        <w:rPr>
          <w:rFonts w:ascii="Arial" w:hAnsi="Arial" w:cs="Arial"/>
        </w:rPr>
        <w:t>.</w:t>
      </w:r>
    </w:p>
    <w:p w14:paraId="562281D4" w14:textId="77777777" w:rsidR="00A75D1A" w:rsidRDefault="00A75D1A">
      <w:pPr>
        <w:ind w:firstLine="720"/>
        <w:jc w:val="both"/>
        <w:rPr>
          <w:rFonts w:ascii="Arial" w:hAnsi="Arial" w:cs="Arial"/>
        </w:rPr>
      </w:pPr>
    </w:p>
    <w:p w14:paraId="76AD3F99" w14:textId="77777777" w:rsidR="00A75D1A" w:rsidRDefault="00000000">
      <w:pPr>
        <w:ind w:firstLine="720"/>
        <w:jc w:val="both"/>
        <w:rPr>
          <w:lang w:val="en-PH"/>
        </w:rPr>
      </w:pPr>
      <w:r>
        <w:rPr>
          <w:rFonts w:ascii="Arial" w:hAnsi="Arial" w:cs="Arial"/>
        </w:rPr>
        <w:t xml:space="preserve">In the </w:t>
      </w:r>
      <w:commentRangeStart w:id="1"/>
      <w:r>
        <w:rPr>
          <w:rFonts w:ascii="Arial" w:hAnsi="Arial" w:cs="Arial"/>
        </w:rPr>
        <w:t>national context of the Philippines, English language education has evolved to embrace diverse methodologies, reflecting the varied learning styles and motivations of high school students (</w:t>
      </w:r>
      <w:r>
        <w:rPr>
          <w:lang w:val="en-PH"/>
        </w:rPr>
        <w:t>Barrot, 2019).</w:t>
      </w:r>
      <w:r>
        <w:rPr>
          <w:rFonts w:ascii="Arial" w:hAnsi="Arial" w:cs="Arial"/>
        </w:rPr>
        <w:t xml:space="preserve"> From traditional lecture-based approaches </w:t>
      </w:r>
      <w:commentRangeEnd w:id="1"/>
      <w:r w:rsidR="00233070">
        <w:rPr>
          <w:rStyle w:val="CommentReference"/>
          <w:rFonts w:ascii="Times New Roman" w:hAnsi="Times New Roman"/>
          <w:lang w:val="nb-NO" w:eastAsia="nb-NO"/>
        </w:rPr>
        <w:commentReference w:id="1"/>
      </w:r>
      <w:r>
        <w:rPr>
          <w:rFonts w:ascii="Arial" w:hAnsi="Arial" w:cs="Arial"/>
        </w:rPr>
        <w:t>to more interactive, student-centered strategies like group discussions, project-based learning, and technology-integrated instruction, these methods aim to create inclusive and engaging learning environments (</w:t>
      </w:r>
      <w:proofErr w:type="spellStart"/>
      <w:r>
        <w:rPr>
          <w:lang w:val="en-PH"/>
        </w:rPr>
        <w:t>Labiste</w:t>
      </w:r>
      <w:proofErr w:type="spellEnd"/>
      <w:r>
        <w:rPr>
          <w:lang w:val="en-PH"/>
        </w:rPr>
        <w:t>, 2019).</w:t>
      </w:r>
    </w:p>
    <w:p w14:paraId="339F3586" w14:textId="77777777" w:rsidR="00A75D1A" w:rsidRDefault="00A75D1A">
      <w:pPr>
        <w:ind w:firstLine="720"/>
        <w:jc w:val="both"/>
        <w:rPr>
          <w:rFonts w:ascii="Arial" w:hAnsi="Arial" w:cs="Arial"/>
        </w:rPr>
      </w:pPr>
    </w:p>
    <w:p w14:paraId="39A86D0C" w14:textId="77777777" w:rsidR="00A75D1A" w:rsidRDefault="00000000">
      <w:pPr>
        <w:ind w:firstLine="720"/>
        <w:jc w:val="both"/>
        <w:rPr>
          <w:rFonts w:ascii="Arial" w:hAnsi="Arial" w:cs="Arial"/>
        </w:rPr>
      </w:pPr>
      <w:r>
        <w:rPr>
          <w:rFonts w:ascii="Arial" w:hAnsi="Arial" w:cs="Arial"/>
        </w:rPr>
        <w:lastRenderedPageBreak/>
        <w:t xml:space="preserve">Such environments are pivotal in enhancing English proficiency, as evidenced in initiatives like the “Brigada </w:t>
      </w:r>
      <w:proofErr w:type="spellStart"/>
      <w:r>
        <w:rPr>
          <w:rFonts w:ascii="Arial" w:hAnsi="Arial" w:cs="Arial"/>
        </w:rPr>
        <w:t>Pagbasa</w:t>
      </w:r>
      <w:proofErr w:type="spellEnd"/>
      <w:r>
        <w:rPr>
          <w:rFonts w:ascii="Arial" w:hAnsi="Arial" w:cs="Arial"/>
        </w:rPr>
        <w:t xml:space="preserve">” program. The "Brigada </w:t>
      </w:r>
      <w:proofErr w:type="spellStart"/>
      <w:r>
        <w:rPr>
          <w:rFonts w:ascii="Arial" w:hAnsi="Arial" w:cs="Arial"/>
        </w:rPr>
        <w:t>Pagbasa</w:t>
      </w:r>
      <w:proofErr w:type="spellEnd"/>
      <w:r>
        <w:rPr>
          <w:rFonts w:ascii="Arial" w:hAnsi="Arial" w:cs="Arial"/>
        </w:rPr>
        <w:t>" program by the Philippines' Department of Education (DepEd) aims to improve reading skills among Filipino students. Grounded in the Philippine Constitution and the Enhanced Basic Education Act of 2013, it targets struggling readers, especially in underprivileged areas (</w:t>
      </w:r>
      <w:r>
        <w:rPr>
          <w:rFonts w:eastAsia="Calibri"/>
        </w:rPr>
        <w:t>Department of Education, 2023)</w:t>
      </w:r>
      <w:r>
        <w:rPr>
          <w:rFonts w:ascii="Arial" w:hAnsi="Arial" w:cs="Arial"/>
        </w:rPr>
        <w:t>. The program, involving teachers, parents, and volunteers, focuses on reading camps, material distribution, and educator training, fostering a culture of reading and lifelong learning. However, the impact of these methodologies and programs is not uniform across all settings. The interplay of external factors, such as socio-economic background, cultural influences, and learning environments, plays a crucial role in shaping English academic achievement (</w:t>
      </w:r>
      <w:r>
        <w:rPr>
          <w:lang w:val="en-PH"/>
        </w:rPr>
        <w:t>Ginting, 2021)</w:t>
      </w:r>
      <w:r>
        <w:rPr>
          <w:rFonts w:ascii="Arial" w:hAnsi="Arial" w:cs="Arial"/>
        </w:rPr>
        <w:t>. This is especially true in varied educational contexts like rural secondary schools and higher education, where these factors can greatly influence the effectiveness of English enhancement strategies (</w:t>
      </w:r>
      <w:r>
        <w:rPr>
          <w:lang w:val="en-PH"/>
        </w:rPr>
        <w:t>Pascua, 2025)</w:t>
      </w:r>
      <w:r>
        <w:rPr>
          <w:rFonts w:ascii="Arial" w:hAnsi="Arial" w:cs="Arial"/>
        </w:rPr>
        <w:t>.</w:t>
      </w:r>
    </w:p>
    <w:p w14:paraId="2F90538A" w14:textId="77777777" w:rsidR="00A75D1A" w:rsidRDefault="00A75D1A">
      <w:pPr>
        <w:ind w:firstLine="720"/>
        <w:jc w:val="both"/>
        <w:rPr>
          <w:rFonts w:ascii="Arial" w:hAnsi="Arial" w:cs="Arial"/>
        </w:rPr>
      </w:pPr>
    </w:p>
    <w:p w14:paraId="3C50E1FB" w14:textId="77777777" w:rsidR="00A75D1A" w:rsidRDefault="00000000">
      <w:pPr>
        <w:ind w:firstLine="720"/>
        <w:jc w:val="both"/>
        <w:rPr>
          <w:rFonts w:ascii="Arial" w:hAnsi="Arial" w:cs="Arial"/>
        </w:rPr>
      </w:pPr>
      <w:r>
        <w:rPr>
          <w:rFonts w:ascii="Arial" w:hAnsi="Arial" w:cs="Arial"/>
        </w:rPr>
        <w:t xml:space="preserve">At </w:t>
      </w:r>
      <w:proofErr w:type="spellStart"/>
      <w:r>
        <w:rPr>
          <w:rFonts w:ascii="Arial" w:hAnsi="Arial" w:cs="Arial"/>
        </w:rPr>
        <w:t>Calanasan</w:t>
      </w:r>
      <w:proofErr w:type="spellEnd"/>
      <w:r>
        <w:rPr>
          <w:rFonts w:ascii="Arial" w:hAnsi="Arial" w:cs="Arial"/>
        </w:rPr>
        <w:t xml:space="preserve"> National High School in the Philippines, the TUTOK-BASA program under Brigada </w:t>
      </w:r>
      <w:proofErr w:type="spellStart"/>
      <w:r>
        <w:rPr>
          <w:rFonts w:ascii="Arial" w:hAnsi="Arial" w:cs="Arial"/>
        </w:rPr>
        <w:t>Pagbasa</w:t>
      </w:r>
      <w:proofErr w:type="spellEnd"/>
      <w:r>
        <w:rPr>
          <w:rFonts w:ascii="Arial" w:hAnsi="Arial" w:cs="Arial"/>
        </w:rPr>
        <w:t xml:space="preserve"> highlights a research gap in understanding its effect on Grade 7 English language learners. The 2022-2023 school report showed most of these students at a frustration reading level. This gap indicates a need to investigate the program's effectiveness on students' academic performance during key grading periods, their perceptions of the program, and the external factors influencing their academic progress.</w:t>
      </w:r>
    </w:p>
    <w:p w14:paraId="6DC9B66B" w14:textId="77777777" w:rsidR="00A75D1A" w:rsidRDefault="00A75D1A">
      <w:pPr>
        <w:ind w:firstLine="720"/>
        <w:jc w:val="both"/>
        <w:rPr>
          <w:rFonts w:ascii="Arial" w:hAnsi="Arial" w:cs="Arial"/>
        </w:rPr>
      </w:pPr>
    </w:p>
    <w:p w14:paraId="36481DBA" w14:textId="77777777" w:rsidR="00A75D1A" w:rsidRDefault="00000000">
      <w:pPr>
        <w:ind w:firstLine="720"/>
        <w:jc w:val="both"/>
        <w:rPr>
          <w:rFonts w:ascii="Arial" w:hAnsi="Arial" w:cs="Arial"/>
        </w:rPr>
      </w:pPr>
      <w:r>
        <w:rPr>
          <w:rFonts w:ascii="Arial" w:hAnsi="Arial" w:cs="Arial"/>
        </w:rPr>
        <w:t xml:space="preserve">This study </w:t>
      </w:r>
      <w:commentRangeStart w:id="2"/>
      <w:r>
        <w:rPr>
          <w:rFonts w:ascii="Arial" w:hAnsi="Arial" w:cs="Arial"/>
        </w:rPr>
        <w:t xml:space="preserve">aimed to assess </w:t>
      </w:r>
      <w:commentRangeEnd w:id="2"/>
      <w:r w:rsidR="00297BF8">
        <w:rPr>
          <w:rStyle w:val="CommentReference"/>
          <w:rFonts w:ascii="Times New Roman" w:hAnsi="Times New Roman"/>
          <w:lang w:val="nb-NO" w:eastAsia="nb-NO"/>
        </w:rPr>
        <w:commentReference w:id="2"/>
      </w:r>
      <w:r>
        <w:rPr>
          <w:rFonts w:ascii="Arial" w:hAnsi="Arial" w:cs="Arial"/>
        </w:rPr>
        <w:t xml:space="preserve">the impact of the TUTOK-BASA program on the reading comprehension levels of Grade 7 students at </w:t>
      </w:r>
      <w:proofErr w:type="spellStart"/>
      <w:r>
        <w:rPr>
          <w:rFonts w:ascii="Arial" w:hAnsi="Arial" w:cs="Arial"/>
        </w:rPr>
        <w:t>Calanasan</w:t>
      </w:r>
      <w:proofErr w:type="spellEnd"/>
      <w:r>
        <w:rPr>
          <w:rFonts w:ascii="Arial" w:hAnsi="Arial" w:cs="Arial"/>
        </w:rPr>
        <w:t xml:space="preserve"> National High School. It examined students' profiles based on age, gender, and parents' educational attainment, and measured their reading comprehension levels before and after the program's implementation. The research also explored whether significant differences existed in comprehension levels when students were grouped according to their profiles, and whether the program led to a measurable improvement in their reading comprehension</w:t>
      </w:r>
    </w:p>
    <w:p w14:paraId="7CE45DF7" w14:textId="77777777" w:rsidR="00A75D1A" w:rsidRDefault="00A75D1A">
      <w:pPr>
        <w:pStyle w:val="Body"/>
        <w:spacing w:after="0"/>
        <w:rPr>
          <w:rFonts w:ascii="Arial" w:hAnsi="Arial" w:cs="Arial"/>
        </w:rPr>
      </w:pPr>
    </w:p>
    <w:p w14:paraId="5FF5C7E9" w14:textId="77777777" w:rsidR="00A75D1A" w:rsidRDefault="00000000">
      <w:pPr>
        <w:pStyle w:val="AbstHead"/>
        <w:spacing w:after="0"/>
        <w:jc w:val="both"/>
        <w:rPr>
          <w:rFonts w:ascii="Arial" w:hAnsi="Arial" w:cs="Arial"/>
        </w:rPr>
      </w:pPr>
      <w:r>
        <w:rPr>
          <w:rFonts w:ascii="Arial" w:hAnsi="Arial" w:cs="Arial"/>
        </w:rPr>
        <w:t xml:space="preserve">2. methodology </w:t>
      </w:r>
    </w:p>
    <w:p w14:paraId="73032728" w14:textId="77777777" w:rsidR="00A75D1A" w:rsidRDefault="00A75D1A">
      <w:pPr>
        <w:pStyle w:val="AbstHead"/>
        <w:spacing w:after="0"/>
        <w:jc w:val="both"/>
        <w:rPr>
          <w:rFonts w:ascii="Arial" w:hAnsi="Arial" w:cs="Arial"/>
        </w:rPr>
      </w:pPr>
    </w:p>
    <w:p w14:paraId="54FF901B" w14:textId="77777777" w:rsidR="00A75D1A" w:rsidRDefault="00000000">
      <w:pPr>
        <w:jc w:val="both"/>
        <w:rPr>
          <w:rFonts w:ascii="Arial" w:hAnsi="Arial" w:cs="Arial"/>
          <w:b/>
          <w:bCs/>
        </w:rPr>
      </w:pPr>
      <w:r>
        <w:rPr>
          <w:rFonts w:ascii="Arial" w:hAnsi="Arial" w:cs="Arial"/>
          <w:b/>
          <w:bCs/>
        </w:rPr>
        <w:t>2.1. Research Design</w:t>
      </w:r>
    </w:p>
    <w:p w14:paraId="6B4843A8" w14:textId="77777777" w:rsidR="00A75D1A" w:rsidRDefault="00000000">
      <w:pPr>
        <w:ind w:firstLine="720"/>
        <w:jc w:val="both"/>
        <w:rPr>
          <w:rFonts w:ascii="Arial" w:hAnsi="Arial" w:cs="Arial"/>
        </w:rPr>
      </w:pPr>
      <w:bookmarkStart w:id="3" w:name="_Hlk166078621"/>
      <w:bookmarkEnd w:id="3"/>
      <w:r>
        <w:rPr>
          <w:rFonts w:ascii="Arial" w:hAnsi="Arial" w:cs="Arial"/>
        </w:rPr>
        <w:t xml:space="preserve">In this study, pre-test post-test one group research design was utilized to assess the impact of the TUTOK-BASA program on English proficiency levels of Grade 7 students at </w:t>
      </w:r>
      <w:proofErr w:type="spellStart"/>
      <w:r>
        <w:rPr>
          <w:rFonts w:ascii="Arial" w:hAnsi="Arial" w:cs="Arial"/>
        </w:rPr>
        <w:t>Calanasan</w:t>
      </w:r>
      <w:proofErr w:type="spellEnd"/>
      <w:r>
        <w:rPr>
          <w:rFonts w:ascii="Arial" w:hAnsi="Arial" w:cs="Arial"/>
        </w:rPr>
        <w:t xml:space="preserve"> National High School. This design is ideal for exploring and identifying patterns and relationships between variables without manipulating them. It involved the collection of quantitative data to analyze the correlation between the independent and the dependent variable (</w:t>
      </w:r>
      <w:proofErr w:type="spellStart"/>
      <w:r>
        <w:rPr>
          <w:rFonts w:ascii="Arial" w:hAnsi="Arial" w:cs="Arial"/>
        </w:rPr>
        <w:t>I</w:t>
      </w:r>
      <w:r>
        <w:t>zatullah</w:t>
      </w:r>
      <w:proofErr w:type="spellEnd"/>
      <w:r>
        <w:t xml:space="preserve"> et. al, 2022)</w:t>
      </w:r>
      <w:r>
        <w:rPr>
          <w:rFonts w:ascii="Arial" w:hAnsi="Arial" w:cs="Arial"/>
        </w:rPr>
        <w:t>. By employing this design, the study aimed to provide a comprehensive understanding of how student characteristics and program implementation are related to English proficiency outcomes, allowing for a detailed examination of the program's effectiveness in enhancing English language skills in this educational context.</w:t>
      </w:r>
    </w:p>
    <w:p w14:paraId="4E587ACB" w14:textId="77777777" w:rsidR="00A75D1A" w:rsidRDefault="00A75D1A">
      <w:pPr>
        <w:jc w:val="both"/>
        <w:rPr>
          <w:rFonts w:ascii="Arial" w:hAnsi="Arial" w:cs="Arial"/>
          <w:b/>
          <w:bCs/>
        </w:rPr>
      </w:pPr>
    </w:p>
    <w:p w14:paraId="336B93D7" w14:textId="77777777" w:rsidR="00A75D1A" w:rsidRDefault="00000000">
      <w:pPr>
        <w:jc w:val="both"/>
        <w:rPr>
          <w:rFonts w:ascii="Arial" w:hAnsi="Arial" w:cs="Arial"/>
          <w:b/>
          <w:bCs/>
        </w:rPr>
      </w:pPr>
      <w:commentRangeStart w:id="4"/>
      <w:r>
        <w:rPr>
          <w:rFonts w:ascii="Arial" w:hAnsi="Arial" w:cs="Arial"/>
          <w:b/>
          <w:bCs/>
        </w:rPr>
        <w:t>2.2. Locale of the Study</w:t>
      </w:r>
    </w:p>
    <w:p w14:paraId="41136DA1" w14:textId="77777777" w:rsidR="00A75D1A" w:rsidRDefault="00000000">
      <w:pPr>
        <w:jc w:val="both"/>
        <w:rPr>
          <w:rFonts w:ascii="Arial" w:hAnsi="Arial" w:cs="Arial"/>
        </w:rPr>
      </w:pPr>
      <w:r>
        <w:rPr>
          <w:rFonts w:ascii="Arial" w:hAnsi="Arial" w:cs="Arial"/>
        </w:rPr>
        <w:tab/>
      </w:r>
      <w:bookmarkStart w:id="5" w:name="_Hlk166078763"/>
      <w:bookmarkEnd w:id="5"/>
      <w:r>
        <w:rPr>
          <w:rFonts w:ascii="Arial" w:hAnsi="Arial" w:cs="Arial"/>
        </w:rPr>
        <w:t xml:space="preserve">This study was conducted at </w:t>
      </w:r>
      <w:proofErr w:type="spellStart"/>
      <w:r>
        <w:rPr>
          <w:rFonts w:ascii="Arial" w:hAnsi="Arial" w:cs="Arial"/>
        </w:rPr>
        <w:t>Calanasan</w:t>
      </w:r>
      <w:proofErr w:type="spellEnd"/>
      <w:r>
        <w:rPr>
          <w:rFonts w:ascii="Arial" w:hAnsi="Arial" w:cs="Arial"/>
        </w:rPr>
        <w:t xml:space="preserve"> National High School. It is a secondary school under the Department of Education Division of Apayao in the Philippines.</w:t>
      </w:r>
      <w:commentRangeEnd w:id="4"/>
      <w:r w:rsidR="00233070">
        <w:rPr>
          <w:rStyle w:val="CommentReference"/>
          <w:rFonts w:ascii="Times New Roman" w:hAnsi="Times New Roman"/>
          <w:lang w:val="nb-NO" w:eastAsia="nb-NO"/>
        </w:rPr>
        <w:commentReference w:id="4"/>
      </w:r>
    </w:p>
    <w:p w14:paraId="2161A11E" w14:textId="77777777" w:rsidR="00A75D1A" w:rsidRDefault="00000000">
      <w:pPr>
        <w:jc w:val="both"/>
        <w:rPr>
          <w:rFonts w:ascii="Arial" w:hAnsi="Arial" w:cs="Arial"/>
        </w:rPr>
      </w:pPr>
      <w:r>
        <w:rPr>
          <w:rFonts w:ascii="Arial" w:hAnsi="Arial" w:cs="Arial"/>
        </w:rPr>
        <w:t xml:space="preserve"> </w:t>
      </w:r>
    </w:p>
    <w:p w14:paraId="396EB764" w14:textId="77777777" w:rsidR="00A75D1A" w:rsidRDefault="00000000">
      <w:pPr>
        <w:jc w:val="both"/>
        <w:rPr>
          <w:rFonts w:ascii="Arial" w:hAnsi="Arial" w:cs="Arial"/>
          <w:b/>
          <w:bCs/>
        </w:rPr>
      </w:pPr>
      <w:commentRangeStart w:id="6"/>
      <w:r>
        <w:rPr>
          <w:rFonts w:ascii="Arial" w:hAnsi="Arial" w:cs="Arial"/>
          <w:b/>
          <w:bCs/>
        </w:rPr>
        <w:t>2.3. Participants of the Study</w:t>
      </w:r>
      <w:commentRangeEnd w:id="6"/>
      <w:r w:rsidR="000C2A9B">
        <w:rPr>
          <w:rStyle w:val="CommentReference"/>
          <w:rFonts w:ascii="Times New Roman" w:hAnsi="Times New Roman"/>
          <w:lang w:val="nb-NO" w:eastAsia="nb-NO"/>
        </w:rPr>
        <w:commentReference w:id="6"/>
      </w:r>
    </w:p>
    <w:p w14:paraId="677E59B5" w14:textId="77777777" w:rsidR="00A75D1A" w:rsidRDefault="00000000">
      <w:pPr>
        <w:jc w:val="both"/>
        <w:rPr>
          <w:rFonts w:ascii="Arial" w:hAnsi="Arial" w:cs="Arial"/>
        </w:rPr>
      </w:pPr>
      <w:r>
        <w:rPr>
          <w:rFonts w:ascii="Arial" w:hAnsi="Arial" w:cs="Arial"/>
        </w:rPr>
        <w:tab/>
      </w:r>
      <w:bookmarkStart w:id="7" w:name="_Hlk166078800"/>
      <w:bookmarkEnd w:id="7"/>
      <w:r>
        <w:rPr>
          <w:rFonts w:ascii="Arial" w:hAnsi="Arial" w:cs="Arial"/>
        </w:rPr>
        <w:t>The focus was on all Grade 7 students who have participated in the TUTOK-BASA program, totaling 35 students. This comprehensive approach, known as a total enumeration sampling method, involves including the entire population relevant to the research objectives. By encompassing all Grade 7 participants of the TUTOK-BASA program, the study ensures a complete analysis of the program's effect on the students' English proficiency levels. This method is particularly effective in providing an accurate reflection of the program's outcomes and allows for a detailed examination of the relationship between the students' demographic profiles and their English proficiency, fulfilling the study's objectives within this specific educational setting.</w:t>
      </w:r>
    </w:p>
    <w:p w14:paraId="7544618C" w14:textId="77777777" w:rsidR="00A75D1A" w:rsidRDefault="00000000">
      <w:pPr>
        <w:jc w:val="both"/>
        <w:rPr>
          <w:rFonts w:ascii="Arial" w:hAnsi="Arial" w:cs="Arial"/>
        </w:rPr>
      </w:pPr>
      <w:r>
        <w:rPr>
          <w:rFonts w:ascii="Arial" w:hAnsi="Arial" w:cs="Arial"/>
        </w:rPr>
        <w:t xml:space="preserve"> </w:t>
      </w:r>
    </w:p>
    <w:p w14:paraId="5B5F2E2B" w14:textId="77777777" w:rsidR="00A75D1A" w:rsidRDefault="00000000">
      <w:pPr>
        <w:rPr>
          <w:rFonts w:ascii="Arial" w:hAnsi="Arial" w:cs="Arial"/>
          <w:b/>
          <w:bCs/>
        </w:rPr>
      </w:pPr>
      <w:r>
        <w:rPr>
          <w:rFonts w:ascii="Arial" w:hAnsi="Arial" w:cs="Arial"/>
          <w:b/>
          <w:bCs/>
        </w:rPr>
        <w:t>2.4. Research Instrument</w:t>
      </w:r>
    </w:p>
    <w:p w14:paraId="6D7B20A1" w14:textId="77777777" w:rsidR="00A75D1A" w:rsidRDefault="00000000">
      <w:pPr>
        <w:ind w:firstLine="720"/>
        <w:jc w:val="both"/>
        <w:rPr>
          <w:rFonts w:ascii="Arial" w:hAnsi="Arial" w:cs="Arial"/>
        </w:rPr>
      </w:pPr>
      <w:r>
        <w:rPr>
          <w:rFonts w:ascii="Arial" w:hAnsi="Arial" w:cs="Arial"/>
        </w:rPr>
        <w:t xml:space="preserve">One distinct instrument was employed to comprehensively evaluate the effects of the TUTOK-BASA program on the English proficiency of Grade 7 students at </w:t>
      </w:r>
      <w:proofErr w:type="spellStart"/>
      <w:r>
        <w:rPr>
          <w:rFonts w:ascii="Arial" w:hAnsi="Arial" w:cs="Arial"/>
        </w:rPr>
        <w:t>Calanasan</w:t>
      </w:r>
      <w:proofErr w:type="spellEnd"/>
      <w:r>
        <w:rPr>
          <w:rFonts w:ascii="Arial" w:hAnsi="Arial" w:cs="Arial"/>
        </w:rPr>
        <w:t xml:space="preserve"> NHS. The study employed primary instrument for data collection and analysis. The instrument, informed by previous research (</w:t>
      </w:r>
      <w:proofErr w:type="spellStart"/>
      <w:r>
        <w:rPr>
          <w:lang w:val="en-PH"/>
        </w:rPr>
        <w:t>Tursunovich</w:t>
      </w:r>
      <w:proofErr w:type="spellEnd"/>
      <w:r>
        <w:rPr>
          <w:lang w:val="en-PH"/>
        </w:rPr>
        <w:t xml:space="preserve">, 2021), </w:t>
      </w:r>
      <w:r>
        <w:rPr>
          <w:rFonts w:ascii="Arial" w:hAnsi="Arial" w:cs="Arial"/>
        </w:rPr>
        <w:t xml:space="preserve">enables a quantitative analysis via pre-tests and post-tests, aiming to objectively assess the changes in English comprehension levels of the participants before and after the implementation of the program. Specifically, the study adopted a DepEd validated reading and assessment tool. </w:t>
      </w:r>
    </w:p>
    <w:p w14:paraId="1B01C752" w14:textId="77777777" w:rsidR="00A75D1A" w:rsidRDefault="00A75D1A">
      <w:pPr>
        <w:ind w:firstLine="720"/>
        <w:jc w:val="both"/>
        <w:rPr>
          <w:rFonts w:ascii="Arial" w:hAnsi="Arial" w:cs="Arial"/>
        </w:rPr>
      </w:pPr>
    </w:p>
    <w:p w14:paraId="2E4850BC" w14:textId="77777777" w:rsidR="00A75D1A" w:rsidRDefault="00000000">
      <w:pPr>
        <w:rPr>
          <w:rFonts w:ascii="Arial" w:hAnsi="Arial" w:cs="Arial"/>
          <w:b/>
          <w:bCs/>
        </w:rPr>
      </w:pPr>
      <w:r>
        <w:rPr>
          <w:rFonts w:ascii="Arial" w:hAnsi="Arial" w:cs="Arial"/>
          <w:b/>
          <w:bCs/>
        </w:rPr>
        <w:t>2.5. Statistical Analysis</w:t>
      </w:r>
    </w:p>
    <w:p w14:paraId="274DFBC3" w14:textId="77777777" w:rsidR="00A75D1A" w:rsidRDefault="00000000">
      <w:pPr>
        <w:ind w:firstLine="720"/>
        <w:jc w:val="both"/>
        <w:rPr>
          <w:rFonts w:ascii="Arial" w:hAnsi="Arial" w:cs="Arial"/>
        </w:rPr>
      </w:pPr>
      <w:r>
        <w:rPr>
          <w:rFonts w:ascii="Arial" w:hAnsi="Arial" w:cs="Arial"/>
        </w:rPr>
        <w:t xml:space="preserve">This study used descriptive statistics (frequency, percentage, mean, standard deviation) to profile the students based on age, gender, and parents' educational backgrounds. Following this, the study assessed students' reading comprehension levels before and after the TUTOK-BASA program implementation using paired sample t-tests or ANOVA. This approach helped determine any significant differences in reading comprehension due to the program, aligning with the study's objective to understand the program's effectiveness in improving students' reading skills. </w:t>
      </w:r>
    </w:p>
    <w:p w14:paraId="2A1B4525" w14:textId="77777777" w:rsidR="00A75D1A" w:rsidRDefault="00A75D1A">
      <w:pPr>
        <w:ind w:firstLine="720"/>
        <w:jc w:val="both"/>
        <w:rPr>
          <w:rFonts w:ascii="Arial" w:hAnsi="Arial" w:cs="Arial"/>
        </w:rPr>
      </w:pPr>
    </w:p>
    <w:p w14:paraId="599F5C51" w14:textId="77777777" w:rsidR="00A75D1A" w:rsidRDefault="00000000">
      <w:pPr>
        <w:pStyle w:val="Head1"/>
        <w:spacing w:after="0"/>
        <w:jc w:val="both"/>
        <w:rPr>
          <w:rFonts w:ascii="Arial" w:hAnsi="Arial" w:cs="Arial"/>
        </w:rPr>
      </w:pPr>
      <w:r>
        <w:rPr>
          <w:rFonts w:ascii="Arial" w:hAnsi="Arial" w:cs="Arial"/>
        </w:rPr>
        <w:t xml:space="preserve">3. </w:t>
      </w:r>
      <w:commentRangeStart w:id="8"/>
      <w:r>
        <w:rPr>
          <w:rFonts w:ascii="Arial" w:hAnsi="Arial" w:cs="Arial"/>
        </w:rPr>
        <w:t>results and discussion</w:t>
      </w:r>
      <w:commentRangeEnd w:id="8"/>
      <w:r w:rsidR="000C2A9B">
        <w:rPr>
          <w:rStyle w:val="CommentReference"/>
          <w:rFonts w:ascii="Times New Roman" w:hAnsi="Times New Roman"/>
          <w:b w:val="0"/>
          <w:caps w:val="0"/>
          <w:lang w:val="nb-NO" w:eastAsia="nb-NO"/>
        </w:rPr>
        <w:commentReference w:id="8"/>
      </w:r>
    </w:p>
    <w:p w14:paraId="2E0CACBD" w14:textId="77777777" w:rsidR="00A75D1A" w:rsidRDefault="00000000">
      <w:pPr>
        <w:spacing w:before="240"/>
        <w:rPr>
          <w:rFonts w:ascii="Arial" w:hAnsi="Arial" w:cs="Arial"/>
          <w:b/>
          <w:bCs/>
        </w:rPr>
      </w:pPr>
      <w:r>
        <w:rPr>
          <w:rFonts w:ascii="Arial" w:hAnsi="Arial" w:cs="Arial"/>
          <w:b/>
          <w:bCs/>
        </w:rPr>
        <w:t xml:space="preserve">3.1. Profile of the Grade 7 Students in </w:t>
      </w:r>
      <w:proofErr w:type="spellStart"/>
      <w:r>
        <w:rPr>
          <w:rFonts w:ascii="Arial" w:hAnsi="Arial" w:cs="Arial"/>
          <w:b/>
          <w:bCs/>
        </w:rPr>
        <w:t>Calanasan</w:t>
      </w:r>
      <w:proofErr w:type="spellEnd"/>
      <w:r>
        <w:rPr>
          <w:rFonts w:ascii="Arial" w:hAnsi="Arial" w:cs="Arial"/>
          <w:b/>
          <w:bCs/>
        </w:rPr>
        <w:t xml:space="preserve"> National High School in terms of age, sex and educational attainment of parents</w:t>
      </w:r>
    </w:p>
    <w:p w14:paraId="68E1F495" w14:textId="77777777" w:rsidR="00A75D1A" w:rsidRDefault="00A75D1A">
      <w:pPr>
        <w:spacing w:before="240"/>
        <w:rPr>
          <w:rFonts w:ascii="Arial" w:hAnsi="Arial" w:cs="Arial"/>
          <w:b/>
          <w:bCs/>
        </w:rPr>
      </w:pPr>
    </w:p>
    <w:p w14:paraId="4D4840E6" w14:textId="77777777" w:rsidR="00A75D1A" w:rsidRDefault="00000000">
      <w:pPr>
        <w:rPr>
          <w:rFonts w:ascii="Arial" w:hAnsi="Arial" w:cs="Arial"/>
          <w:b/>
          <w:bCs/>
        </w:rPr>
      </w:pPr>
      <w:r>
        <w:rPr>
          <w:rFonts w:ascii="Arial" w:hAnsi="Arial" w:cs="Arial"/>
          <w:b/>
          <w:bCs/>
        </w:rPr>
        <w:t xml:space="preserve">Table 1. </w:t>
      </w:r>
      <w:bookmarkStart w:id="9" w:name="_Hlk165752311"/>
      <w:r>
        <w:rPr>
          <w:rFonts w:ascii="Arial" w:hAnsi="Arial" w:cs="Arial"/>
          <w:b/>
          <w:bCs/>
        </w:rPr>
        <w:t>Frequency and Percentage Distribution of the grade 7 students in terms of age, sex, and educational attainment of parents</w:t>
      </w:r>
      <w:bookmarkEnd w:id="9"/>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701"/>
        <w:gridCol w:w="1417"/>
      </w:tblGrid>
      <w:tr w:rsidR="00A75D1A" w14:paraId="3814E986" w14:textId="77777777">
        <w:trPr>
          <w:trHeight w:val="300"/>
        </w:trPr>
        <w:tc>
          <w:tcPr>
            <w:tcW w:w="4820" w:type="dxa"/>
            <w:noWrap/>
            <w:vAlign w:val="bottom"/>
          </w:tcPr>
          <w:p w14:paraId="67EE852E" w14:textId="77777777" w:rsidR="00A75D1A" w:rsidRDefault="00000000">
            <w:pPr>
              <w:rPr>
                <w:rFonts w:ascii="Arial" w:hAnsi="Arial" w:cs="Arial"/>
                <w:color w:val="000000"/>
              </w:rPr>
            </w:pPr>
            <w:r>
              <w:rPr>
                <w:rFonts w:ascii="Arial" w:hAnsi="Arial" w:cs="Arial"/>
                <w:color w:val="000000"/>
              </w:rPr>
              <w:t xml:space="preserve">Profile      </w:t>
            </w:r>
          </w:p>
        </w:tc>
        <w:tc>
          <w:tcPr>
            <w:tcW w:w="1701" w:type="dxa"/>
            <w:noWrap/>
            <w:vAlign w:val="bottom"/>
          </w:tcPr>
          <w:p w14:paraId="44781672" w14:textId="77777777" w:rsidR="00A75D1A" w:rsidRDefault="00000000">
            <w:pPr>
              <w:jc w:val="center"/>
              <w:rPr>
                <w:rFonts w:ascii="Arial" w:hAnsi="Arial" w:cs="Arial"/>
                <w:color w:val="000000"/>
              </w:rPr>
            </w:pPr>
            <w:r>
              <w:rPr>
                <w:rFonts w:ascii="Arial" w:hAnsi="Arial" w:cs="Arial"/>
                <w:color w:val="000000"/>
              </w:rPr>
              <w:t>F</w:t>
            </w:r>
          </w:p>
        </w:tc>
        <w:tc>
          <w:tcPr>
            <w:tcW w:w="1417" w:type="dxa"/>
            <w:noWrap/>
            <w:vAlign w:val="bottom"/>
          </w:tcPr>
          <w:p w14:paraId="4E01D9FF" w14:textId="77777777" w:rsidR="00A75D1A" w:rsidRDefault="00000000">
            <w:pPr>
              <w:jc w:val="center"/>
              <w:rPr>
                <w:rFonts w:ascii="Arial" w:hAnsi="Arial" w:cs="Arial"/>
                <w:color w:val="000000"/>
              </w:rPr>
            </w:pPr>
            <w:r>
              <w:rPr>
                <w:rFonts w:ascii="Arial" w:hAnsi="Arial" w:cs="Arial"/>
                <w:color w:val="000000"/>
              </w:rPr>
              <w:t>%</w:t>
            </w:r>
          </w:p>
        </w:tc>
      </w:tr>
      <w:tr w:rsidR="00A75D1A" w14:paraId="13E52B3A" w14:textId="77777777">
        <w:trPr>
          <w:trHeight w:val="300"/>
        </w:trPr>
        <w:tc>
          <w:tcPr>
            <w:tcW w:w="4820" w:type="dxa"/>
            <w:noWrap/>
            <w:vAlign w:val="bottom"/>
          </w:tcPr>
          <w:p w14:paraId="154F8403" w14:textId="77777777" w:rsidR="00A75D1A" w:rsidRDefault="00000000">
            <w:pPr>
              <w:rPr>
                <w:rFonts w:ascii="Arial" w:hAnsi="Arial" w:cs="Arial"/>
                <w:color w:val="000000"/>
              </w:rPr>
            </w:pPr>
            <w:r>
              <w:rPr>
                <w:rFonts w:ascii="Arial" w:hAnsi="Arial" w:cs="Arial"/>
                <w:color w:val="000000"/>
              </w:rPr>
              <w:t>1. age</w:t>
            </w:r>
          </w:p>
        </w:tc>
        <w:tc>
          <w:tcPr>
            <w:tcW w:w="1701" w:type="dxa"/>
            <w:noWrap/>
            <w:vAlign w:val="bottom"/>
          </w:tcPr>
          <w:p w14:paraId="268821C3" w14:textId="77777777" w:rsidR="00A75D1A" w:rsidRDefault="00A75D1A">
            <w:pPr>
              <w:jc w:val="center"/>
              <w:rPr>
                <w:rFonts w:ascii="Arial" w:hAnsi="Arial" w:cs="Arial"/>
                <w:color w:val="000000"/>
              </w:rPr>
            </w:pPr>
          </w:p>
        </w:tc>
        <w:tc>
          <w:tcPr>
            <w:tcW w:w="1417" w:type="dxa"/>
            <w:noWrap/>
            <w:vAlign w:val="bottom"/>
          </w:tcPr>
          <w:p w14:paraId="4F83F1EF" w14:textId="77777777" w:rsidR="00A75D1A" w:rsidRDefault="00A75D1A">
            <w:pPr>
              <w:jc w:val="center"/>
              <w:rPr>
                <w:rFonts w:ascii="Arial" w:hAnsi="Arial" w:cs="Arial"/>
                <w:color w:val="000000"/>
              </w:rPr>
            </w:pPr>
          </w:p>
        </w:tc>
      </w:tr>
      <w:tr w:rsidR="00A75D1A" w14:paraId="05D07F3D" w14:textId="77777777">
        <w:trPr>
          <w:trHeight w:val="300"/>
        </w:trPr>
        <w:tc>
          <w:tcPr>
            <w:tcW w:w="4820" w:type="dxa"/>
            <w:noWrap/>
            <w:vAlign w:val="bottom"/>
          </w:tcPr>
          <w:p w14:paraId="59B81BE6" w14:textId="77777777" w:rsidR="00A75D1A" w:rsidRDefault="00000000">
            <w:pPr>
              <w:rPr>
                <w:rFonts w:ascii="Arial" w:hAnsi="Arial" w:cs="Arial"/>
                <w:color w:val="000000"/>
              </w:rPr>
            </w:pPr>
            <w:r>
              <w:rPr>
                <w:rFonts w:ascii="Arial" w:hAnsi="Arial" w:cs="Arial"/>
                <w:color w:val="000000"/>
              </w:rPr>
              <w:t>11 years old</w:t>
            </w:r>
          </w:p>
        </w:tc>
        <w:tc>
          <w:tcPr>
            <w:tcW w:w="1701" w:type="dxa"/>
            <w:noWrap/>
            <w:vAlign w:val="bottom"/>
          </w:tcPr>
          <w:p w14:paraId="07131981" w14:textId="77777777" w:rsidR="00A75D1A" w:rsidRDefault="00000000">
            <w:pPr>
              <w:jc w:val="center"/>
              <w:rPr>
                <w:rFonts w:ascii="Arial" w:hAnsi="Arial" w:cs="Arial"/>
                <w:color w:val="000000"/>
              </w:rPr>
            </w:pPr>
            <w:r>
              <w:rPr>
                <w:rFonts w:ascii="Arial" w:hAnsi="Arial" w:cs="Arial"/>
                <w:color w:val="000000"/>
              </w:rPr>
              <w:t>1</w:t>
            </w:r>
          </w:p>
        </w:tc>
        <w:tc>
          <w:tcPr>
            <w:tcW w:w="1417" w:type="dxa"/>
            <w:noWrap/>
            <w:vAlign w:val="bottom"/>
          </w:tcPr>
          <w:p w14:paraId="02C62044" w14:textId="77777777" w:rsidR="00A75D1A" w:rsidRDefault="00000000">
            <w:pPr>
              <w:jc w:val="center"/>
              <w:rPr>
                <w:rFonts w:ascii="Arial" w:hAnsi="Arial" w:cs="Arial"/>
                <w:color w:val="000000"/>
              </w:rPr>
            </w:pPr>
            <w:r>
              <w:rPr>
                <w:rFonts w:ascii="Arial" w:hAnsi="Arial" w:cs="Arial"/>
                <w:color w:val="000000"/>
              </w:rPr>
              <w:t>2.86</w:t>
            </w:r>
          </w:p>
        </w:tc>
      </w:tr>
      <w:tr w:rsidR="00A75D1A" w14:paraId="2CAFBF1E" w14:textId="77777777">
        <w:trPr>
          <w:trHeight w:val="133"/>
        </w:trPr>
        <w:tc>
          <w:tcPr>
            <w:tcW w:w="4820" w:type="dxa"/>
            <w:noWrap/>
            <w:vAlign w:val="bottom"/>
          </w:tcPr>
          <w:p w14:paraId="2AADF2EC" w14:textId="77777777" w:rsidR="00A75D1A" w:rsidRDefault="00000000">
            <w:pPr>
              <w:rPr>
                <w:rFonts w:ascii="Arial" w:hAnsi="Arial" w:cs="Arial"/>
                <w:color w:val="000000"/>
              </w:rPr>
            </w:pPr>
            <w:r>
              <w:rPr>
                <w:rFonts w:ascii="Arial" w:hAnsi="Arial" w:cs="Arial"/>
                <w:color w:val="000000"/>
              </w:rPr>
              <w:t>12 years old</w:t>
            </w:r>
          </w:p>
        </w:tc>
        <w:tc>
          <w:tcPr>
            <w:tcW w:w="1701" w:type="dxa"/>
            <w:noWrap/>
            <w:vAlign w:val="bottom"/>
          </w:tcPr>
          <w:p w14:paraId="6E4D1533" w14:textId="77777777" w:rsidR="00A75D1A" w:rsidRDefault="00000000">
            <w:pPr>
              <w:jc w:val="center"/>
              <w:rPr>
                <w:rFonts w:ascii="Arial" w:hAnsi="Arial" w:cs="Arial"/>
                <w:color w:val="000000"/>
              </w:rPr>
            </w:pPr>
            <w:r>
              <w:rPr>
                <w:rFonts w:ascii="Arial" w:hAnsi="Arial" w:cs="Arial"/>
                <w:color w:val="000000"/>
              </w:rPr>
              <w:t>11</w:t>
            </w:r>
          </w:p>
        </w:tc>
        <w:tc>
          <w:tcPr>
            <w:tcW w:w="1417" w:type="dxa"/>
            <w:noWrap/>
            <w:vAlign w:val="bottom"/>
          </w:tcPr>
          <w:p w14:paraId="1E332F71" w14:textId="77777777" w:rsidR="00A75D1A" w:rsidRDefault="00000000">
            <w:pPr>
              <w:jc w:val="center"/>
              <w:rPr>
                <w:rFonts w:ascii="Arial" w:hAnsi="Arial" w:cs="Arial"/>
                <w:color w:val="000000"/>
              </w:rPr>
            </w:pPr>
            <w:r>
              <w:rPr>
                <w:rFonts w:ascii="Arial" w:hAnsi="Arial" w:cs="Arial"/>
                <w:color w:val="000000"/>
              </w:rPr>
              <w:t>31.43</w:t>
            </w:r>
          </w:p>
        </w:tc>
      </w:tr>
      <w:tr w:rsidR="00A75D1A" w14:paraId="3A9F6204" w14:textId="77777777">
        <w:trPr>
          <w:trHeight w:val="315"/>
        </w:trPr>
        <w:tc>
          <w:tcPr>
            <w:tcW w:w="4820" w:type="dxa"/>
            <w:noWrap/>
            <w:vAlign w:val="bottom"/>
          </w:tcPr>
          <w:p w14:paraId="6D43BD29" w14:textId="77777777" w:rsidR="00A75D1A" w:rsidRDefault="00000000">
            <w:pPr>
              <w:rPr>
                <w:rFonts w:ascii="Arial" w:hAnsi="Arial" w:cs="Arial"/>
                <w:color w:val="000000"/>
              </w:rPr>
            </w:pPr>
            <w:r>
              <w:rPr>
                <w:rFonts w:ascii="Arial" w:hAnsi="Arial" w:cs="Arial"/>
                <w:color w:val="000000"/>
              </w:rPr>
              <w:t>13 years old</w:t>
            </w:r>
          </w:p>
        </w:tc>
        <w:tc>
          <w:tcPr>
            <w:tcW w:w="1701" w:type="dxa"/>
            <w:noWrap/>
            <w:vAlign w:val="bottom"/>
          </w:tcPr>
          <w:p w14:paraId="5ABCB0E0" w14:textId="77777777" w:rsidR="00A75D1A" w:rsidRDefault="00000000">
            <w:pPr>
              <w:jc w:val="center"/>
              <w:rPr>
                <w:rFonts w:ascii="Arial" w:hAnsi="Arial" w:cs="Arial"/>
                <w:color w:val="000000"/>
              </w:rPr>
            </w:pPr>
            <w:r>
              <w:rPr>
                <w:rFonts w:ascii="Arial" w:hAnsi="Arial" w:cs="Arial"/>
                <w:color w:val="000000"/>
              </w:rPr>
              <w:t>15</w:t>
            </w:r>
          </w:p>
        </w:tc>
        <w:tc>
          <w:tcPr>
            <w:tcW w:w="1417" w:type="dxa"/>
            <w:noWrap/>
            <w:vAlign w:val="bottom"/>
          </w:tcPr>
          <w:p w14:paraId="13DA5945" w14:textId="77777777" w:rsidR="00A75D1A" w:rsidRDefault="00000000">
            <w:pPr>
              <w:jc w:val="center"/>
              <w:rPr>
                <w:rFonts w:ascii="Arial" w:hAnsi="Arial" w:cs="Arial"/>
                <w:color w:val="000000"/>
              </w:rPr>
            </w:pPr>
            <w:r>
              <w:rPr>
                <w:rFonts w:ascii="Arial" w:hAnsi="Arial" w:cs="Arial"/>
                <w:color w:val="000000"/>
              </w:rPr>
              <w:t>42.86</w:t>
            </w:r>
          </w:p>
        </w:tc>
      </w:tr>
      <w:tr w:rsidR="00A75D1A" w14:paraId="357DFF5B" w14:textId="77777777">
        <w:trPr>
          <w:trHeight w:val="169"/>
        </w:trPr>
        <w:tc>
          <w:tcPr>
            <w:tcW w:w="4820" w:type="dxa"/>
            <w:noWrap/>
            <w:vAlign w:val="bottom"/>
          </w:tcPr>
          <w:p w14:paraId="0F8004E7" w14:textId="77777777" w:rsidR="00A75D1A" w:rsidRDefault="00000000">
            <w:pPr>
              <w:rPr>
                <w:rFonts w:ascii="Arial" w:hAnsi="Arial" w:cs="Arial"/>
                <w:color w:val="000000"/>
              </w:rPr>
            </w:pPr>
            <w:r>
              <w:rPr>
                <w:rFonts w:ascii="Arial" w:hAnsi="Arial" w:cs="Arial"/>
                <w:color w:val="000000"/>
              </w:rPr>
              <w:t>14 years old</w:t>
            </w:r>
          </w:p>
        </w:tc>
        <w:tc>
          <w:tcPr>
            <w:tcW w:w="1701" w:type="dxa"/>
            <w:noWrap/>
            <w:vAlign w:val="bottom"/>
          </w:tcPr>
          <w:p w14:paraId="3D48D667" w14:textId="77777777" w:rsidR="00A75D1A" w:rsidRDefault="00000000">
            <w:pPr>
              <w:jc w:val="center"/>
              <w:rPr>
                <w:rFonts w:ascii="Arial" w:hAnsi="Arial" w:cs="Arial"/>
                <w:color w:val="000000"/>
              </w:rPr>
            </w:pPr>
            <w:r>
              <w:rPr>
                <w:rFonts w:ascii="Arial" w:hAnsi="Arial" w:cs="Arial"/>
                <w:color w:val="000000"/>
              </w:rPr>
              <w:t>4</w:t>
            </w:r>
          </w:p>
        </w:tc>
        <w:tc>
          <w:tcPr>
            <w:tcW w:w="1417" w:type="dxa"/>
            <w:noWrap/>
            <w:vAlign w:val="bottom"/>
          </w:tcPr>
          <w:p w14:paraId="2E560802" w14:textId="77777777" w:rsidR="00A75D1A" w:rsidRDefault="00000000">
            <w:pPr>
              <w:jc w:val="center"/>
              <w:rPr>
                <w:rFonts w:ascii="Arial" w:hAnsi="Arial" w:cs="Arial"/>
                <w:color w:val="000000"/>
              </w:rPr>
            </w:pPr>
            <w:r>
              <w:rPr>
                <w:rFonts w:ascii="Arial" w:hAnsi="Arial" w:cs="Arial"/>
                <w:color w:val="000000"/>
              </w:rPr>
              <w:t>11.43</w:t>
            </w:r>
          </w:p>
        </w:tc>
      </w:tr>
      <w:tr w:rsidR="00A75D1A" w14:paraId="752FC22B" w14:textId="77777777">
        <w:trPr>
          <w:trHeight w:val="70"/>
        </w:trPr>
        <w:tc>
          <w:tcPr>
            <w:tcW w:w="4820" w:type="dxa"/>
            <w:noWrap/>
            <w:vAlign w:val="bottom"/>
          </w:tcPr>
          <w:p w14:paraId="3DBA1C9A" w14:textId="77777777" w:rsidR="00A75D1A" w:rsidRDefault="00000000">
            <w:pPr>
              <w:rPr>
                <w:rFonts w:ascii="Arial" w:hAnsi="Arial" w:cs="Arial"/>
                <w:color w:val="000000"/>
              </w:rPr>
            </w:pPr>
            <w:r>
              <w:rPr>
                <w:rFonts w:ascii="Arial" w:hAnsi="Arial" w:cs="Arial"/>
                <w:color w:val="000000"/>
              </w:rPr>
              <w:t>15 years old</w:t>
            </w:r>
          </w:p>
        </w:tc>
        <w:tc>
          <w:tcPr>
            <w:tcW w:w="1701" w:type="dxa"/>
            <w:noWrap/>
            <w:vAlign w:val="bottom"/>
          </w:tcPr>
          <w:p w14:paraId="27E811EB" w14:textId="77777777" w:rsidR="00A75D1A" w:rsidRDefault="00000000">
            <w:pPr>
              <w:jc w:val="center"/>
              <w:rPr>
                <w:rFonts w:ascii="Arial" w:hAnsi="Arial" w:cs="Arial"/>
                <w:color w:val="000000"/>
              </w:rPr>
            </w:pPr>
            <w:r>
              <w:rPr>
                <w:rFonts w:ascii="Arial" w:hAnsi="Arial" w:cs="Arial"/>
                <w:color w:val="000000"/>
              </w:rPr>
              <w:t>4</w:t>
            </w:r>
          </w:p>
        </w:tc>
        <w:tc>
          <w:tcPr>
            <w:tcW w:w="1417" w:type="dxa"/>
            <w:noWrap/>
            <w:vAlign w:val="bottom"/>
          </w:tcPr>
          <w:p w14:paraId="0D043346" w14:textId="77777777" w:rsidR="00A75D1A" w:rsidRDefault="00000000">
            <w:pPr>
              <w:jc w:val="center"/>
              <w:rPr>
                <w:rFonts w:ascii="Arial" w:hAnsi="Arial" w:cs="Arial"/>
                <w:color w:val="000000"/>
              </w:rPr>
            </w:pPr>
            <w:r>
              <w:rPr>
                <w:rFonts w:ascii="Arial" w:hAnsi="Arial" w:cs="Arial"/>
                <w:color w:val="000000"/>
              </w:rPr>
              <w:t>11.43</w:t>
            </w:r>
          </w:p>
        </w:tc>
      </w:tr>
      <w:tr w:rsidR="00A75D1A" w14:paraId="2AA1768C" w14:textId="77777777">
        <w:trPr>
          <w:trHeight w:val="300"/>
        </w:trPr>
        <w:tc>
          <w:tcPr>
            <w:tcW w:w="4820" w:type="dxa"/>
            <w:noWrap/>
            <w:vAlign w:val="bottom"/>
          </w:tcPr>
          <w:p w14:paraId="4438DF3C" w14:textId="77777777" w:rsidR="00A75D1A" w:rsidRDefault="00000000">
            <w:pPr>
              <w:rPr>
                <w:rFonts w:ascii="Arial" w:hAnsi="Arial" w:cs="Arial"/>
                <w:color w:val="000000"/>
              </w:rPr>
            </w:pPr>
            <w:r>
              <w:rPr>
                <w:rFonts w:ascii="Arial" w:hAnsi="Arial" w:cs="Arial"/>
                <w:color w:val="000000"/>
              </w:rPr>
              <w:t>Total</w:t>
            </w:r>
          </w:p>
        </w:tc>
        <w:tc>
          <w:tcPr>
            <w:tcW w:w="1701" w:type="dxa"/>
            <w:noWrap/>
            <w:vAlign w:val="bottom"/>
          </w:tcPr>
          <w:p w14:paraId="54D8E520" w14:textId="77777777" w:rsidR="00A75D1A" w:rsidRDefault="00000000">
            <w:pPr>
              <w:jc w:val="center"/>
              <w:rPr>
                <w:rFonts w:ascii="Arial" w:hAnsi="Arial" w:cs="Arial"/>
                <w:color w:val="000000"/>
              </w:rPr>
            </w:pPr>
            <w:r>
              <w:rPr>
                <w:rFonts w:ascii="Arial" w:hAnsi="Arial" w:cs="Arial"/>
                <w:color w:val="000000"/>
              </w:rPr>
              <w:t>35</w:t>
            </w:r>
          </w:p>
        </w:tc>
        <w:tc>
          <w:tcPr>
            <w:tcW w:w="1417" w:type="dxa"/>
            <w:noWrap/>
            <w:vAlign w:val="bottom"/>
          </w:tcPr>
          <w:p w14:paraId="1FDADEC9" w14:textId="77777777" w:rsidR="00A75D1A" w:rsidRDefault="00000000">
            <w:pPr>
              <w:jc w:val="center"/>
              <w:rPr>
                <w:rFonts w:ascii="Arial" w:hAnsi="Arial" w:cs="Arial"/>
                <w:color w:val="000000"/>
              </w:rPr>
            </w:pPr>
            <w:r>
              <w:rPr>
                <w:rFonts w:ascii="Arial" w:hAnsi="Arial" w:cs="Arial"/>
                <w:color w:val="000000"/>
              </w:rPr>
              <w:t>100.00</w:t>
            </w:r>
          </w:p>
        </w:tc>
      </w:tr>
      <w:tr w:rsidR="00A75D1A" w14:paraId="3444FB03" w14:textId="77777777">
        <w:trPr>
          <w:trHeight w:val="196"/>
        </w:trPr>
        <w:tc>
          <w:tcPr>
            <w:tcW w:w="4820" w:type="dxa"/>
            <w:noWrap/>
            <w:vAlign w:val="bottom"/>
          </w:tcPr>
          <w:p w14:paraId="0F4DB52D" w14:textId="77777777" w:rsidR="00A75D1A" w:rsidRDefault="00A75D1A">
            <w:pPr>
              <w:rPr>
                <w:rFonts w:ascii="Arial" w:hAnsi="Arial" w:cs="Arial"/>
                <w:color w:val="000000"/>
              </w:rPr>
            </w:pPr>
          </w:p>
          <w:p w14:paraId="332C2A6F" w14:textId="77777777" w:rsidR="00A75D1A" w:rsidRDefault="00000000">
            <w:pPr>
              <w:rPr>
                <w:rFonts w:ascii="Arial" w:hAnsi="Arial" w:cs="Arial"/>
                <w:color w:val="000000"/>
              </w:rPr>
            </w:pPr>
            <w:r>
              <w:rPr>
                <w:rFonts w:ascii="Arial" w:hAnsi="Arial" w:cs="Arial"/>
                <w:color w:val="000000"/>
              </w:rPr>
              <w:t xml:space="preserve">Mean Age= </w:t>
            </w:r>
            <w:proofErr w:type="gramStart"/>
            <w:r>
              <w:rPr>
                <w:rFonts w:ascii="Arial" w:hAnsi="Arial" w:cs="Arial"/>
                <w:color w:val="000000"/>
              </w:rPr>
              <w:t>12.97  years</w:t>
            </w:r>
            <w:proofErr w:type="gramEnd"/>
            <w:r>
              <w:rPr>
                <w:rFonts w:ascii="Arial" w:hAnsi="Arial" w:cs="Arial"/>
                <w:color w:val="000000"/>
              </w:rPr>
              <w:t xml:space="preserve"> old </w:t>
            </w:r>
          </w:p>
        </w:tc>
        <w:tc>
          <w:tcPr>
            <w:tcW w:w="1701" w:type="dxa"/>
            <w:noWrap/>
            <w:vAlign w:val="bottom"/>
          </w:tcPr>
          <w:p w14:paraId="4064A8CF" w14:textId="77777777" w:rsidR="00A75D1A" w:rsidRDefault="00A75D1A">
            <w:pPr>
              <w:jc w:val="center"/>
              <w:rPr>
                <w:rFonts w:ascii="Arial" w:hAnsi="Arial" w:cs="Arial"/>
                <w:color w:val="000000"/>
              </w:rPr>
            </w:pPr>
          </w:p>
        </w:tc>
        <w:tc>
          <w:tcPr>
            <w:tcW w:w="1417" w:type="dxa"/>
            <w:noWrap/>
            <w:vAlign w:val="bottom"/>
          </w:tcPr>
          <w:p w14:paraId="70ACE7C9" w14:textId="77777777" w:rsidR="00A75D1A" w:rsidRDefault="00A75D1A">
            <w:pPr>
              <w:jc w:val="center"/>
              <w:rPr>
                <w:rFonts w:ascii="Arial" w:hAnsi="Arial" w:cs="Arial"/>
                <w:color w:val="000000"/>
              </w:rPr>
            </w:pPr>
          </w:p>
        </w:tc>
      </w:tr>
      <w:tr w:rsidR="00A75D1A" w14:paraId="0DE3CE55" w14:textId="77777777">
        <w:trPr>
          <w:trHeight w:val="300"/>
        </w:trPr>
        <w:tc>
          <w:tcPr>
            <w:tcW w:w="4820" w:type="dxa"/>
            <w:noWrap/>
            <w:vAlign w:val="bottom"/>
          </w:tcPr>
          <w:p w14:paraId="555E78A2" w14:textId="77777777" w:rsidR="00A75D1A" w:rsidRDefault="00000000">
            <w:pPr>
              <w:rPr>
                <w:rFonts w:ascii="Arial" w:hAnsi="Arial" w:cs="Arial"/>
                <w:color w:val="000000"/>
              </w:rPr>
            </w:pPr>
            <w:r>
              <w:rPr>
                <w:rFonts w:ascii="Arial" w:hAnsi="Arial" w:cs="Arial"/>
                <w:color w:val="000000"/>
              </w:rPr>
              <w:t>2. Sex</w:t>
            </w:r>
          </w:p>
        </w:tc>
        <w:tc>
          <w:tcPr>
            <w:tcW w:w="1701" w:type="dxa"/>
            <w:noWrap/>
            <w:vAlign w:val="bottom"/>
          </w:tcPr>
          <w:p w14:paraId="2446B0D3" w14:textId="77777777" w:rsidR="00A75D1A" w:rsidRDefault="00A75D1A">
            <w:pPr>
              <w:jc w:val="center"/>
              <w:rPr>
                <w:rFonts w:ascii="Arial" w:hAnsi="Arial" w:cs="Arial"/>
                <w:color w:val="000000"/>
              </w:rPr>
            </w:pPr>
          </w:p>
        </w:tc>
        <w:tc>
          <w:tcPr>
            <w:tcW w:w="1417" w:type="dxa"/>
            <w:noWrap/>
            <w:vAlign w:val="bottom"/>
          </w:tcPr>
          <w:p w14:paraId="46FA5D8D" w14:textId="77777777" w:rsidR="00A75D1A" w:rsidRDefault="00A75D1A">
            <w:pPr>
              <w:jc w:val="center"/>
              <w:rPr>
                <w:rFonts w:ascii="Arial" w:hAnsi="Arial" w:cs="Arial"/>
                <w:color w:val="000000"/>
              </w:rPr>
            </w:pPr>
          </w:p>
        </w:tc>
      </w:tr>
      <w:tr w:rsidR="00A75D1A" w14:paraId="3142D10E" w14:textId="77777777">
        <w:trPr>
          <w:trHeight w:val="300"/>
        </w:trPr>
        <w:tc>
          <w:tcPr>
            <w:tcW w:w="4820" w:type="dxa"/>
            <w:noWrap/>
            <w:vAlign w:val="bottom"/>
          </w:tcPr>
          <w:p w14:paraId="776F39C3" w14:textId="77777777" w:rsidR="00A75D1A" w:rsidRDefault="00000000">
            <w:pPr>
              <w:rPr>
                <w:rFonts w:ascii="Arial" w:hAnsi="Arial" w:cs="Arial"/>
                <w:color w:val="000000"/>
              </w:rPr>
            </w:pPr>
            <w:r>
              <w:rPr>
                <w:rFonts w:ascii="Arial" w:hAnsi="Arial" w:cs="Arial"/>
                <w:color w:val="000000"/>
              </w:rPr>
              <w:t>Male</w:t>
            </w:r>
          </w:p>
        </w:tc>
        <w:tc>
          <w:tcPr>
            <w:tcW w:w="1701" w:type="dxa"/>
            <w:noWrap/>
            <w:vAlign w:val="bottom"/>
          </w:tcPr>
          <w:p w14:paraId="0107F876" w14:textId="77777777" w:rsidR="00A75D1A" w:rsidRDefault="00000000">
            <w:pPr>
              <w:jc w:val="center"/>
              <w:rPr>
                <w:rFonts w:ascii="Arial" w:hAnsi="Arial" w:cs="Arial"/>
                <w:color w:val="000000"/>
              </w:rPr>
            </w:pPr>
            <w:r>
              <w:rPr>
                <w:rFonts w:ascii="Arial" w:hAnsi="Arial" w:cs="Arial"/>
                <w:color w:val="000000"/>
              </w:rPr>
              <w:t>16</w:t>
            </w:r>
          </w:p>
        </w:tc>
        <w:tc>
          <w:tcPr>
            <w:tcW w:w="1417" w:type="dxa"/>
            <w:noWrap/>
            <w:vAlign w:val="bottom"/>
          </w:tcPr>
          <w:p w14:paraId="29D37BD8" w14:textId="77777777" w:rsidR="00A75D1A" w:rsidRDefault="00000000">
            <w:pPr>
              <w:jc w:val="center"/>
              <w:rPr>
                <w:rFonts w:ascii="Arial" w:hAnsi="Arial" w:cs="Arial"/>
                <w:color w:val="000000"/>
              </w:rPr>
            </w:pPr>
            <w:r>
              <w:rPr>
                <w:rFonts w:ascii="Arial" w:hAnsi="Arial" w:cs="Arial"/>
                <w:color w:val="000000"/>
              </w:rPr>
              <w:t>45.71</w:t>
            </w:r>
          </w:p>
        </w:tc>
      </w:tr>
      <w:tr w:rsidR="00A75D1A" w14:paraId="460D99AA" w14:textId="77777777">
        <w:trPr>
          <w:trHeight w:val="300"/>
        </w:trPr>
        <w:tc>
          <w:tcPr>
            <w:tcW w:w="4820" w:type="dxa"/>
            <w:noWrap/>
            <w:vAlign w:val="bottom"/>
          </w:tcPr>
          <w:p w14:paraId="6B5AE548" w14:textId="77777777" w:rsidR="00A75D1A" w:rsidRDefault="00000000">
            <w:pPr>
              <w:rPr>
                <w:rFonts w:ascii="Arial" w:hAnsi="Arial" w:cs="Arial"/>
                <w:color w:val="000000"/>
              </w:rPr>
            </w:pPr>
            <w:r>
              <w:rPr>
                <w:rFonts w:ascii="Arial" w:hAnsi="Arial" w:cs="Arial"/>
                <w:color w:val="000000"/>
              </w:rPr>
              <w:t>Female</w:t>
            </w:r>
          </w:p>
        </w:tc>
        <w:tc>
          <w:tcPr>
            <w:tcW w:w="1701" w:type="dxa"/>
            <w:noWrap/>
            <w:vAlign w:val="bottom"/>
          </w:tcPr>
          <w:p w14:paraId="191ADF87" w14:textId="77777777" w:rsidR="00A75D1A" w:rsidRDefault="00000000">
            <w:pPr>
              <w:jc w:val="center"/>
              <w:rPr>
                <w:rFonts w:ascii="Arial" w:hAnsi="Arial" w:cs="Arial"/>
                <w:color w:val="000000"/>
              </w:rPr>
            </w:pPr>
            <w:r>
              <w:rPr>
                <w:rFonts w:ascii="Arial" w:hAnsi="Arial" w:cs="Arial"/>
                <w:color w:val="000000"/>
              </w:rPr>
              <w:t>19</w:t>
            </w:r>
          </w:p>
        </w:tc>
        <w:tc>
          <w:tcPr>
            <w:tcW w:w="1417" w:type="dxa"/>
            <w:noWrap/>
            <w:vAlign w:val="bottom"/>
          </w:tcPr>
          <w:p w14:paraId="36FDEA2D" w14:textId="77777777" w:rsidR="00A75D1A" w:rsidRDefault="00000000">
            <w:pPr>
              <w:jc w:val="center"/>
              <w:rPr>
                <w:rFonts w:ascii="Arial" w:hAnsi="Arial" w:cs="Arial"/>
                <w:color w:val="000000"/>
              </w:rPr>
            </w:pPr>
            <w:r>
              <w:rPr>
                <w:rFonts w:ascii="Arial" w:hAnsi="Arial" w:cs="Arial"/>
                <w:color w:val="000000"/>
              </w:rPr>
              <w:t>54.29</w:t>
            </w:r>
          </w:p>
        </w:tc>
      </w:tr>
      <w:tr w:rsidR="00A75D1A" w14:paraId="7A129C4D" w14:textId="77777777">
        <w:trPr>
          <w:trHeight w:val="300"/>
        </w:trPr>
        <w:tc>
          <w:tcPr>
            <w:tcW w:w="4820" w:type="dxa"/>
            <w:noWrap/>
            <w:vAlign w:val="bottom"/>
          </w:tcPr>
          <w:p w14:paraId="12CCD605" w14:textId="77777777" w:rsidR="00A75D1A" w:rsidRDefault="00000000">
            <w:pPr>
              <w:rPr>
                <w:rFonts w:ascii="Arial" w:hAnsi="Arial" w:cs="Arial"/>
                <w:color w:val="000000"/>
              </w:rPr>
            </w:pPr>
            <w:r>
              <w:rPr>
                <w:rFonts w:ascii="Arial" w:hAnsi="Arial" w:cs="Arial"/>
                <w:color w:val="000000"/>
              </w:rPr>
              <w:t>Total</w:t>
            </w:r>
          </w:p>
        </w:tc>
        <w:tc>
          <w:tcPr>
            <w:tcW w:w="1701" w:type="dxa"/>
            <w:noWrap/>
            <w:vAlign w:val="bottom"/>
          </w:tcPr>
          <w:p w14:paraId="573B2753" w14:textId="77777777" w:rsidR="00A75D1A" w:rsidRDefault="00000000">
            <w:pPr>
              <w:jc w:val="center"/>
              <w:rPr>
                <w:rFonts w:ascii="Arial" w:hAnsi="Arial" w:cs="Arial"/>
                <w:color w:val="000000"/>
              </w:rPr>
            </w:pPr>
            <w:r>
              <w:rPr>
                <w:rFonts w:ascii="Arial" w:hAnsi="Arial" w:cs="Arial"/>
                <w:color w:val="000000"/>
              </w:rPr>
              <w:t>35</w:t>
            </w:r>
          </w:p>
        </w:tc>
        <w:tc>
          <w:tcPr>
            <w:tcW w:w="1417" w:type="dxa"/>
            <w:noWrap/>
            <w:vAlign w:val="bottom"/>
          </w:tcPr>
          <w:p w14:paraId="13608D1F" w14:textId="77777777" w:rsidR="00A75D1A" w:rsidRDefault="00000000">
            <w:pPr>
              <w:jc w:val="center"/>
              <w:rPr>
                <w:rFonts w:ascii="Arial" w:hAnsi="Arial" w:cs="Arial"/>
                <w:color w:val="000000"/>
              </w:rPr>
            </w:pPr>
            <w:r>
              <w:rPr>
                <w:rFonts w:ascii="Arial" w:hAnsi="Arial" w:cs="Arial"/>
                <w:color w:val="000000"/>
              </w:rPr>
              <w:t>100.00</w:t>
            </w:r>
          </w:p>
        </w:tc>
      </w:tr>
      <w:tr w:rsidR="00A75D1A" w14:paraId="251D5DEB" w14:textId="77777777">
        <w:trPr>
          <w:trHeight w:val="300"/>
        </w:trPr>
        <w:tc>
          <w:tcPr>
            <w:tcW w:w="4820" w:type="dxa"/>
            <w:noWrap/>
            <w:vAlign w:val="bottom"/>
          </w:tcPr>
          <w:p w14:paraId="37031F19" w14:textId="77777777" w:rsidR="00A75D1A" w:rsidRDefault="00000000">
            <w:pPr>
              <w:rPr>
                <w:rFonts w:ascii="Arial" w:hAnsi="Arial" w:cs="Arial"/>
                <w:color w:val="000000"/>
              </w:rPr>
            </w:pPr>
            <w:r>
              <w:rPr>
                <w:rFonts w:ascii="Arial" w:hAnsi="Arial" w:cs="Arial"/>
                <w:color w:val="000000"/>
              </w:rPr>
              <w:t>3. Fathers' educational attainment</w:t>
            </w:r>
          </w:p>
        </w:tc>
        <w:tc>
          <w:tcPr>
            <w:tcW w:w="1701" w:type="dxa"/>
            <w:noWrap/>
            <w:vAlign w:val="bottom"/>
          </w:tcPr>
          <w:p w14:paraId="0DCCD5EE" w14:textId="77777777" w:rsidR="00A75D1A" w:rsidRDefault="00A75D1A">
            <w:pPr>
              <w:jc w:val="center"/>
              <w:rPr>
                <w:rFonts w:ascii="Arial" w:hAnsi="Arial" w:cs="Arial"/>
                <w:color w:val="000000"/>
              </w:rPr>
            </w:pPr>
          </w:p>
        </w:tc>
        <w:tc>
          <w:tcPr>
            <w:tcW w:w="1417" w:type="dxa"/>
            <w:noWrap/>
            <w:vAlign w:val="bottom"/>
          </w:tcPr>
          <w:p w14:paraId="0637C8C2" w14:textId="77777777" w:rsidR="00A75D1A" w:rsidRDefault="00A75D1A">
            <w:pPr>
              <w:jc w:val="center"/>
              <w:rPr>
                <w:rFonts w:ascii="Arial" w:hAnsi="Arial" w:cs="Arial"/>
                <w:color w:val="000000"/>
              </w:rPr>
            </w:pPr>
          </w:p>
        </w:tc>
      </w:tr>
      <w:tr w:rsidR="00A75D1A" w14:paraId="52A715CE" w14:textId="77777777">
        <w:trPr>
          <w:trHeight w:val="300"/>
        </w:trPr>
        <w:tc>
          <w:tcPr>
            <w:tcW w:w="4820" w:type="dxa"/>
            <w:noWrap/>
            <w:vAlign w:val="bottom"/>
          </w:tcPr>
          <w:p w14:paraId="72A8D6FC" w14:textId="77777777" w:rsidR="00A75D1A" w:rsidRDefault="00000000">
            <w:pPr>
              <w:rPr>
                <w:rFonts w:ascii="Arial" w:hAnsi="Arial" w:cs="Arial"/>
                <w:color w:val="000000"/>
              </w:rPr>
            </w:pPr>
            <w:r>
              <w:rPr>
                <w:rFonts w:ascii="Arial" w:hAnsi="Arial" w:cs="Arial"/>
                <w:color w:val="000000"/>
              </w:rPr>
              <w:t>elementary level</w:t>
            </w:r>
          </w:p>
        </w:tc>
        <w:tc>
          <w:tcPr>
            <w:tcW w:w="1701" w:type="dxa"/>
            <w:noWrap/>
            <w:vAlign w:val="bottom"/>
          </w:tcPr>
          <w:p w14:paraId="524C80D9" w14:textId="77777777" w:rsidR="00A75D1A" w:rsidRDefault="00000000">
            <w:pPr>
              <w:jc w:val="center"/>
              <w:rPr>
                <w:rFonts w:ascii="Arial" w:hAnsi="Arial" w:cs="Arial"/>
                <w:color w:val="000000"/>
              </w:rPr>
            </w:pPr>
            <w:r>
              <w:rPr>
                <w:rFonts w:ascii="Arial" w:hAnsi="Arial" w:cs="Arial"/>
                <w:color w:val="000000"/>
              </w:rPr>
              <w:t>14</w:t>
            </w:r>
          </w:p>
        </w:tc>
        <w:tc>
          <w:tcPr>
            <w:tcW w:w="1417" w:type="dxa"/>
            <w:noWrap/>
            <w:vAlign w:val="bottom"/>
          </w:tcPr>
          <w:p w14:paraId="5BF7F60C" w14:textId="77777777" w:rsidR="00A75D1A" w:rsidRDefault="00000000">
            <w:pPr>
              <w:jc w:val="center"/>
              <w:rPr>
                <w:rFonts w:ascii="Arial" w:hAnsi="Arial" w:cs="Arial"/>
                <w:color w:val="000000"/>
              </w:rPr>
            </w:pPr>
            <w:r>
              <w:rPr>
                <w:rFonts w:ascii="Arial" w:hAnsi="Arial" w:cs="Arial"/>
                <w:color w:val="000000"/>
              </w:rPr>
              <w:t>40.00</w:t>
            </w:r>
          </w:p>
        </w:tc>
      </w:tr>
      <w:tr w:rsidR="00A75D1A" w14:paraId="4AE4F50C" w14:textId="77777777">
        <w:trPr>
          <w:trHeight w:val="300"/>
        </w:trPr>
        <w:tc>
          <w:tcPr>
            <w:tcW w:w="4820" w:type="dxa"/>
            <w:noWrap/>
            <w:vAlign w:val="bottom"/>
          </w:tcPr>
          <w:p w14:paraId="6EFC6BCE" w14:textId="77777777" w:rsidR="00A75D1A" w:rsidRDefault="00000000">
            <w:pPr>
              <w:rPr>
                <w:rFonts w:ascii="Arial" w:hAnsi="Arial" w:cs="Arial"/>
                <w:color w:val="000000"/>
              </w:rPr>
            </w:pPr>
            <w:r>
              <w:rPr>
                <w:rFonts w:ascii="Arial" w:hAnsi="Arial" w:cs="Arial"/>
                <w:color w:val="000000"/>
              </w:rPr>
              <w:t>High School</w:t>
            </w:r>
          </w:p>
        </w:tc>
        <w:tc>
          <w:tcPr>
            <w:tcW w:w="1701" w:type="dxa"/>
            <w:noWrap/>
            <w:vAlign w:val="bottom"/>
          </w:tcPr>
          <w:p w14:paraId="64C0B439" w14:textId="77777777" w:rsidR="00A75D1A" w:rsidRDefault="00000000">
            <w:pPr>
              <w:jc w:val="center"/>
              <w:rPr>
                <w:rFonts w:ascii="Arial" w:hAnsi="Arial" w:cs="Arial"/>
                <w:color w:val="000000"/>
              </w:rPr>
            </w:pPr>
            <w:r>
              <w:rPr>
                <w:rFonts w:ascii="Arial" w:hAnsi="Arial" w:cs="Arial"/>
                <w:color w:val="000000"/>
              </w:rPr>
              <w:t>19</w:t>
            </w:r>
          </w:p>
        </w:tc>
        <w:tc>
          <w:tcPr>
            <w:tcW w:w="1417" w:type="dxa"/>
            <w:noWrap/>
            <w:vAlign w:val="bottom"/>
          </w:tcPr>
          <w:p w14:paraId="4FCEC83F" w14:textId="77777777" w:rsidR="00A75D1A" w:rsidRDefault="00000000">
            <w:pPr>
              <w:jc w:val="center"/>
              <w:rPr>
                <w:rFonts w:ascii="Arial" w:hAnsi="Arial" w:cs="Arial"/>
                <w:color w:val="000000"/>
              </w:rPr>
            </w:pPr>
            <w:r>
              <w:rPr>
                <w:rFonts w:ascii="Arial" w:hAnsi="Arial" w:cs="Arial"/>
                <w:color w:val="000000"/>
              </w:rPr>
              <w:t>54.29</w:t>
            </w:r>
          </w:p>
        </w:tc>
      </w:tr>
      <w:tr w:rsidR="00A75D1A" w14:paraId="54A162FD" w14:textId="77777777">
        <w:trPr>
          <w:trHeight w:val="300"/>
        </w:trPr>
        <w:tc>
          <w:tcPr>
            <w:tcW w:w="4820" w:type="dxa"/>
            <w:noWrap/>
            <w:vAlign w:val="bottom"/>
          </w:tcPr>
          <w:p w14:paraId="4C99B73C" w14:textId="77777777" w:rsidR="00A75D1A" w:rsidRDefault="00000000">
            <w:pPr>
              <w:rPr>
                <w:rFonts w:ascii="Arial" w:hAnsi="Arial" w:cs="Arial"/>
                <w:color w:val="000000"/>
              </w:rPr>
            </w:pPr>
            <w:r>
              <w:rPr>
                <w:rFonts w:ascii="Arial" w:hAnsi="Arial" w:cs="Arial"/>
                <w:color w:val="000000"/>
              </w:rPr>
              <w:t xml:space="preserve">College Level </w:t>
            </w:r>
          </w:p>
        </w:tc>
        <w:tc>
          <w:tcPr>
            <w:tcW w:w="1701" w:type="dxa"/>
            <w:noWrap/>
            <w:vAlign w:val="bottom"/>
          </w:tcPr>
          <w:p w14:paraId="40174586" w14:textId="77777777" w:rsidR="00A75D1A" w:rsidRDefault="00000000">
            <w:pPr>
              <w:jc w:val="center"/>
              <w:rPr>
                <w:rFonts w:ascii="Arial" w:hAnsi="Arial" w:cs="Arial"/>
                <w:color w:val="000000"/>
              </w:rPr>
            </w:pPr>
            <w:r>
              <w:rPr>
                <w:rFonts w:ascii="Arial" w:hAnsi="Arial" w:cs="Arial"/>
                <w:color w:val="000000"/>
              </w:rPr>
              <w:t>1</w:t>
            </w:r>
          </w:p>
        </w:tc>
        <w:tc>
          <w:tcPr>
            <w:tcW w:w="1417" w:type="dxa"/>
            <w:noWrap/>
            <w:vAlign w:val="bottom"/>
          </w:tcPr>
          <w:p w14:paraId="57D2FF85" w14:textId="77777777" w:rsidR="00A75D1A" w:rsidRDefault="00000000">
            <w:pPr>
              <w:jc w:val="center"/>
              <w:rPr>
                <w:rFonts w:ascii="Arial" w:hAnsi="Arial" w:cs="Arial"/>
                <w:color w:val="000000"/>
              </w:rPr>
            </w:pPr>
            <w:r>
              <w:rPr>
                <w:rFonts w:ascii="Arial" w:hAnsi="Arial" w:cs="Arial"/>
                <w:color w:val="000000"/>
              </w:rPr>
              <w:t>2.86</w:t>
            </w:r>
          </w:p>
        </w:tc>
      </w:tr>
      <w:tr w:rsidR="00A75D1A" w14:paraId="10BE2F23" w14:textId="77777777">
        <w:trPr>
          <w:trHeight w:val="300"/>
        </w:trPr>
        <w:tc>
          <w:tcPr>
            <w:tcW w:w="4820" w:type="dxa"/>
            <w:noWrap/>
            <w:vAlign w:val="bottom"/>
          </w:tcPr>
          <w:p w14:paraId="4E5F5D4D" w14:textId="77777777" w:rsidR="00A75D1A" w:rsidRDefault="00000000">
            <w:pPr>
              <w:rPr>
                <w:rFonts w:ascii="Arial" w:hAnsi="Arial" w:cs="Arial"/>
                <w:color w:val="000000"/>
              </w:rPr>
            </w:pPr>
            <w:r>
              <w:rPr>
                <w:rFonts w:ascii="Arial" w:hAnsi="Arial" w:cs="Arial"/>
                <w:color w:val="000000"/>
              </w:rPr>
              <w:t>Total</w:t>
            </w:r>
          </w:p>
        </w:tc>
        <w:tc>
          <w:tcPr>
            <w:tcW w:w="1701" w:type="dxa"/>
            <w:noWrap/>
            <w:vAlign w:val="bottom"/>
          </w:tcPr>
          <w:p w14:paraId="3B8B2133" w14:textId="77777777" w:rsidR="00A75D1A" w:rsidRDefault="00000000">
            <w:pPr>
              <w:jc w:val="center"/>
              <w:rPr>
                <w:rFonts w:ascii="Arial" w:hAnsi="Arial" w:cs="Arial"/>
                <w:color w:val="000000"/>
              </w:rPr>
            </w:pPr>
            <w:r>
              <w:rPr>
                <w:rFonts w:ascii="Arial" w:hAnsi="Arial" w:cs="Arial"/>
                <w:color w:val="000000"/>
              </w:rPr>
              <w:t>35</w:t>
            </w:r>
          </w:p>
        </w:tc>
        <w:tc>
          <w:tcPr>
            <w:tcW w:w="1417" w:type="dxa"/>
            <w:noWrap/>
            <w:vAlign w:val="bottom"/>
          </w:tcPr>
          <w:p w14:paraId="63856D47" w14:textId="77777777" w:rsidR="00A75D1A" w:rsidRDefault="00000000">
            <w:pPr>
              <w:jc w:val="center"/>
              <w:rPr>
                <w:rFonts w:ascii="Arial" w:hAnsi="Arial" w:cs="Arial"/>
                <w:color w:val="000000"/>
              </w:rPr>
            </w:pPr>
            <w:r>
              <w:rPr>
                <w:rFonts w:ascii="Arial" w:hAnsi="Arial" w:cs="Arial"/>
                <w:color w:val="000000"/>
              </w:rPr>
              <w:t>100.00</w:t>
            </w:r>
          </w:p>
        </w:tc>
      </w:tr>
      <w:tr w:rsidR="00A75D1A" w14:paraId="74B15762" w14:textId="77777777">
        <w:trPr>
          <w:trHeight w:val="300"/>
        </w:trPr>
        <w:tc>
          <w:tcPr>
            <w:tcW w:w="4820" w:type="dxa"/>
            <w:noWrap/>
            <w:vAlign w:val="bottom"/>
          </w:tcPr>
          <w:p w14:paraId="6B230C3B" w14:textId="77777777" w:rsidR="00A75D1A" w:rsidRDefault="00A75D1A">
            <w:pPr>
              <w:rPr>
                <w:rFonts w:ascii="Arial" w:hAnsi="Arial" w:cs="Arial"/>
                <w:color w:val="000000"/>
              </w:rPr>
            </w:pPr>
          </w:p>
          <w:p w14:paraId="3A992E51" w14:textId="77777777" w:rsidR="00A75D1A" w:rsidRDefault="00000000">
            <w:pPr>
              <w:rPr>
                <w:rFonts w:ascii="Arial" w:hAnsi="Arial" w:cs="Arial"/>
                <w:color w:val="000000"/>
              </w:rPr>
            </w:pPr>
            <w:r>
              <w:rPr>
                <w:rFonts w:ascii="Arial" w:hAnsi="Arial" w:cs="Arial"/>
                <w:color w:val="000000"/>
              </w:rPr>
              <w:t>4. Mothers' educational attainment</w:t>
            </w:r>
          </w:p>
        </w:tc>
        <w:tc>
          <w:tcPr>
            <w:tcW w:w="1701" w:type="dxa"/>
            <w:noWrap/>
            <w:vAlign w:val="bottom"/>
          </w:tcPr>
          <w:p w14:paraId="2192AF12" w14:textId="77777777" w:rsidR="00A75D1A" w:rsidRDefault="00A75D1A">
            <w:pPr>
              <w:jc w:val="center"/>
              <w:rPr>
                <w:rFonts w:ascii="Arial" w:hAnsi="Arial" w:cs="Arial"/>
                <w:color w:val="000000"/>
              </w:rPr>
            </w:pPr>
          </w:p>
        </w:tc>
        <w:tc>
          <w:tcPr>
            <w:tcW w:w="1417" w:type="dxa"/>
            <w:noWrap/>
            <w:vAlign w:val="bottom"/>
          </w:tcPr>
          <w:p w14:paraId="1353109F" w14:textId="77777777" w:rsidR="00A75D1A" w:rsidRDefault="00A75D1A">
            <w:pPr>
              <w:jc w:val="center"/>
              <w:rPr>
                <w:rFonts w:ascii="Arial" w:hAnsi="Arial" w:cs="Arial"/>
                <w:color w:val="000000"/>
              </w:rPr>
            </w:pPr>
          </w:p>
        </w:tc>
      </w:tr>
      <w:tr w:rsidR="00A75D1A" w14:paraId="0A97C13D" w14:textId="77777777">
        <w:trPr>
          <w:trHeight w:val="300"/>
        </w:trPr>
        <w:tc>
          <w:tcPr>
            <w:tcW w:w="4820" w:type="dxa"/>
            <w:noWrap/>
            <w:vAlign w:val="bottom"/>
          </w:tcPr>
          <w:p w14:paraId="52725093" w14:textId="77777777" w:rsidR="00A75D1A" w:rsidRDefault="00000000">
            <w:pPr>
              <w:rPr>
                <w:rFonts w:ascii="Arial" w:hAnsi="Arial" w:cs="Arial"/>
                <w:color w:val="000000"/>
              </w:rPr>
            </w:pPr>
            <w:r>
              <w:rPr>
                <w:rFonts w:ascii="Arial" w:hAnsi="Arial" w:cs="Arial"/>
                <w:color w:val="000000"/>
              </w:rPr>
              <w:t>Elementary level</w:t>
            </w:r>
          </w:p>
        </w:tc>
        <w:tc>
          <w:tcPr>
            <w:tcW w:w="1701" w:type="dxa"/>
            <w:noWrap/>
            <w:vAlign w:val="bottom"/>
          </w:tcPr>
          <w:p w14:paraId="0689E88E" w14:textId="77777777" w:rsidR="00A75D1A" w:rsidRDefault="00000000">
            <w:pPr>
              <w:jc w:val="center"/>
              <w:rPr>
                <w:rFonts w:ascii="Arial" w:hAnsi="Arial" w:cs="Arial"/>
                <w:color w:val="000000"/>
              </w:rPr>
            </w:pPr>
            <w:r>
              <w:rPr>
                <w:rFonts w:ascii="Arial" w:hAnsi="Arial" w:cs="Arial"/>
                <w:color w:val="000000"/>
              </w:rPr>
              <w:t>10</w:t>
            </w:r>
          </w:p>
        </w:tc>
        <w:tc>
          <w:tcPr>
            <w:tcW w:w="1417" w:type="dxa"/>
            <w:noWrap/>
            <w:vAlign w:val="bottom"/>
          </w:tcPr>
          <w:p w14:paraId="73AB3832" w14:textId="77777777" w:rsidR="00A75D1A" w:rsidRDefault="00000000">
            <w:pPr>
              <w:jc w:val="center"/>
              <w:rPr>
                <w:rFonts w:ascii="Arial" w:hAnsi="Arial" w:cs="Arial"/>
                <w:color w:val="000000"/>
              </w:rPr>
            </w:pPr>
            <w:r>
              <w:rPr>
                <w:rFonts w:ascii="Arial" w:hAnsi="Arial" w:cs="Arial"/>
                <w:color w:val="000000"/>
              </w:rPr>
              <w:t>28.57</w:t>
            </w:r>
          </w:p>
        </w:tc>
      </w:tr>
      <w:tr w:rsidR="00A75D1A" w14:paraId="5E693596" w14:textId="77777777">
        <w:trPr>
          <w:trHeight w:val="300"/>
        </w:trPr>
        <w:tc>
          <w:tcPr>
            <w:tcW w:w="4820" w:type="dxa"/>
            <w:noWrap/>
            <w:vAlign w:val="bottom"/>
          </w:tcPr>
          <w:p w14:paraId="7ADD0A5D" w14:textId="77777777" w:rsidR="00A75D1A" w:rsidRDefault="00000000">
            <w:pPr>
              <w:rPr>
                <w:rFonts w:ascii="Arial" w:hAnsi="Arial" w:cs="Arial"/>
                <w:color w:val="000000"/>
              </w:rPr>
            </w:pPr>
            <w:r>
              <w:rPr>
                <w:rFonts w:ascii="Arial" w:hAnsi="Arial" w:cs="Arial"/>
                <w:color w:val="000000"/>
              </w:rPr>
              <w:t>High School</w:t>
            </w:r>
          </w:p>
        </w:tc>
        <w:tc>
          <w:tcPr>
            <w:tcW w:w="1701" w:type="dxa"/>
            <w:noWrap/>
            <w:vAlign w:val="bottom"/>
          </w:tcPr>
          <w:p w14:paraId="0CE37D63" w14:textId="77777777" w:rsidR="00A75D1A" w:rsidRDefault="00000000">
            <w:pPr>
              <w:jc w:val="center"/>
              <w:rPr>
                <w:rFonts w:ascii="Arial" w:hAnsi="Arial" w:cs="Arial"/>
                <w:color w:val="000000"/>
              </w:rPr>
            </w:pPr>
            <w:r>
              <w:rPr>
                <w:rFonts w:ascii="Arial" w:hAnsi="Arial" w:cs="Arial"/>
                <w:color w:val="000000"/>
              </w:rPr>
              <w:t>18</w:t>
            </w:r>
          </w:p>
        </w:tc>
        <w:tc>
          <w:tcPr>
            <w:tcW w:w="1417" w:type="dxa"/>
            <w:noWrap/>
            <w:vAlign w:val="bottom"/>
          </w:tcPr>
          <w:p w14:paraId="0E4DEC26" w14:textId="77777777" w:rsidR="00A75D1A" w:rsidRDefault="00000000">
            <w:pPr>
              <w:jc w:val="center"/>
              <w:rPr>
                <w:rFonts w:ascii="Arial" w:hAnsi="Arial" w:cs="Arial"/>
                <w:color w:val="000000"/>
              </w:rPr>
            </w:pPr>
            <w:r>
              <w:rPr>
                <w:rFonts w:ascii="Arial" w:hAnsi="Arial" w:cs="Arial"/>
                <w:color w:val="000000"/>
              </w:rPr>
              <w:t>51.43</w:t>
            </w:r>
          </w:p>
        </w:tc>
      </w:tr>
      <w:tr w:rsidR="00A75D1A" w14:paraId="11D06F7B" w14:textId="77777777">
        <w:trPr>
          <w:trHeight w:val="300"/>
        </w:trPr>
        <w:tc>
          <w:tcPr>
            <w:tcW w:w="4820" w:type="dxa"/>
            <w:noWrap/>
            <w:vAlign w:val="bottom"/>
          </w:tcPr>
          <w:p w14:paraId="053995C9" w14:textId="77777777" w:rsidR="00A75D1A" w:rsidRDefault="00000000">
            <w:pPr>
              <w:rPr>
                <w:rFonts w:ascii="Arial" w:hAnsi="Arial" w:cs="Arial"/>
                <w:color w:val="000000"/>
              </w:rPr>
            </w:pPr>
            <w:r>
              <w:rPr>
                <w:rFonts w:ascii="Arial" w:hAnsi="Arial" w:cs="Arial"/>
                <w:color w:val="000000"/>
              </w:rPr>
              <w:t xml:space="preserve">College Level </w:t>
            </w:r>
          </w:p>
        </w:tc>
        <w:tc>
          <w:tcPr>
            <w:tcW w:w="1701" w:type="dxa"/>
            <w:noWrap/>
            <w:vAlign w:val="bottom"/>
          </w:tcPr>
          <w:p w14:paraId="0D33EEC7" w14:textId="77777777" w:rsidR="00A75D1A" w:rsidRDefault="00000000">
            <w:pPr>
              <w:jc w:val="center"/>
              <w:rPr>
                <w:rFonts w:ascii="Arial" w:hAnsi="Arial" w:cs="Arial"/>
                <w:color w:val="000000"/>
              </w:rPr>
            </w:pPr>
            <w:r>
              <w:rPr>
                <w:rFonts w:ascii="Arial" w:hAnsi="Arial" w:cs="Arial"/>
                <w:color w:val="000000"/>
              </w:rPr>
              <w:t>3</w:t>
            </w:r>
          </w:p>
        </w:tc>
        <w:tc>
          <w:tcPr>
            <w:tcW w:w="1417" w:type="dxa"/>
            <w:noWrap/>
            <w:vAlign w:val="bottom"/>
          </w:tcPr>
          <w:p w14:paraId="1C5C08F5" w14:textId="77777777" w:rsidR="00A75D1A" w:rsidRDefault="00000000">
            <w:pPr>
              <w:jc w:val="center"/>
              <w:rPr>
                <w:rFonts w:ascii="Arial" w:hAnsi="Arial" w:cs="Arial"/>
                <w:color w:val="000000"/>
              </w:rPr>
            </w:pPr>
            <w:r>
              <w:rPr>
                <w:rFonts w:ascii="Arial" w:hAnsi="Arial" w:cs="Arial"/>
                <w:color w:val="000000"/>
              </w:rPr>
              <w:t>8.57</w:t>
            </w:r>
          </w:p>
        </w:tc>
      </w:tr>
      <w:tr w:rsidR="00A75D1A" w14:paraId="169CB5EC" w14:textId="77777777">
        <w:trPr>
          <w:trHeight w:val="300"/>
        </w:trPr>
        <w:tc>
          <w:tcPr>
            <w:tcW w:w="4820" w:type="dxa"/>
            <w:noWrap/>
            <w:vAlign w:val="bottom"/>
          </w:tcPr>
          <w:p w14:paraId="0451784F" w14:textId="77777777" w:rsidR="00A75D1A" w:rsidRDefault="00000000">
            <w:pPr>
              <w:rPr>
                <w:rFonts w:ascii="Arial" w:hAnsi="Arial" w:cs="Arial"/>
                <w:color w:val="000000"/>
              </w:rPr>
            </w:pPr>
            <w:r>
              <w:rPr>
                <w:rFonts w:ascii="Arial" w:hAnsi="Arial" w:cs="Arial"/>
                <w:color w:val="000000"/>
              </w:rPr>
              <w:t>College Graduate</w:t>
            </w:r>
          </w:p>
        </w:tc>
        <w:tc>
          <w:tcPr>
            <w:tcW w:w="1701" w:type="dxa"/>
            <w:noWrap/>
            <w:vAlign w:val="bottom"/>
          </w:tcPr>
          <w:p w14:paraId="44813222" w14:textId="77777777" w:rsidR="00A75D1A" w:rsidRDefault="00000000">
            <w:pPr>
              <w:jc w:val="center"/>
              <w:rPr>
                <w:rFonts w:ascii="Arial" w:hAnsi="Arial" w:cs="Arial"/>
                <w:color w:val="000000"/>
              </w:rPr>
            </w:pPr>
            <w:r>
              <w:rPr>
                <w:rFonts w:ascii="Arial" w:hAnsi="Arial" w:cs="Arial"/>
                <w:color w:val="000000"/>
              </w:rPr>
              <w:t>4</w:t>
            </w:r>
          </w:p>
        </w:tc>
        <w:tc>
          <w:tcPr>
            <w:tcW w:w="1417" w:type="dxa"/>
            <w:noWrap/>
            <w:vAlign w:val="bottom"/>
          </w:tcPr>
          <w:p w14:paraId="2B6D2E7A" w14:textId="77777777" w:rsidR="00A75D1A" w:rsidRDefault="00000000">
            <w:pPr>
              <w:jc w:val="center"/>
              <w:rPr>
                <w:rFonts w:ascii="Arial" w:hAnsi="Arial" w:cs="Arial"/>
                <w:color w:val="000000"/>
              </w:rPr>
            </w:pPr>
            <w:r>
              <w:rPr>
                <w:rFonts w:ascii="Arial" w:hAnsi="Arial" w:cs="Arial"/>
                <w:color w:val="000000"/>
              </w:rPr>
              <w:t>11.43</w:t>
            </w:r>
          </w:p>
        </w:tc>
      </w:tr>
      <w:tr w:rsidR="00A75D1A" w14:paraId="4DD8CF8A" w14:textId="77777777">
        <w:trPr>
          <w:trHeight w:val="300"/>
        </w:trPr>
        <w:tc>
          <w:tcPr>
            <w:tcW w:w="4820" w:type="dxa"/>
            <w:noWrap/>
            <w:vAlign w:val="bottom"/>
          </w:tcPr>
          <w:p w14:paraId="14FBC9AC" w14:textId="77777777" w:rsidR="00A75D1A" w:rsidRDefault="00000000">
            <w:pPr>
              <w:rPr>
                <w:rFonts w:ascii="Arial" w:hAnsi="Arial" w:cs="Arial"/>
                <w:color w:val="000000"/>
              </w:rPr>
            </w:pPr>
            <w:r>
              <w:rPr>
                <w:rFonts w:ascii="Arial" w:hAnsi="Arial" w:cs="Arial"/>
                <w:color w:val="000000"/>
              </w:rPr>
              <w:t>Total</w:t>
            </w:r>
          </w:p>
        </w:tc>
        <w:tc>
          <w:tcPr>
            <w:tcW w:w="1701" w:type="dxa"/>
            <w:noWrap/>
            <w:vAlign w:val="bottom"/>
          </w:tcPr>
          <w:p w14:paraId="1A748209" w14:textId="77777777" w:rsidR="00A75D1A" w:rsidRDefault="00000000">
            <w:pPr>
              <w:jc w:val="center"/>
              <w:rPr>
                <w:rFonts w:ascii="Arial" w:hAnsi="Arial" w:cs="Arial"/>
                <w:color w:val="000000"/>
              </w:rPr>
            </w:pPr>
            <w:r>
              <w:rPr>
                <w:rFonts w:ascii="Arial" w:hAnsi="Arial" w:cs="Arial"/>
                <w:color w:val="000000"/>
              </w:rPr>
              <w:t>35</w:t>
            </w:r>
          </w:p>
        </w:tc>
        <w:tc>
          <w:tcPr>
            <w:tcW w:w="1417" w:type="dxa"/>
            <w:noWrap/>
            <w:vAlign w:val="bottom"/>
          </w:tcPr>
          <w:p w14:paraId="02AD4FBE" w14:textId="77777777" w:rsidR="00A75D1A" w:rsidRDefault="00000000">
            <w:pPr>
              <w:jc w:val="center"/>
              <w:rPr>
                <w:rFonts w:ascii="Arial" w:hAnsi="Arial" w:cs="Arial"/>
                <w:color w:val="000000"/>
              </w:rPr>
            </w:pPr>
            <w:r>
              <w:rPr>
                <w:rFonts w:ascii="Arial" w:hAnsi="Arial" w:cs="Arial"/>
                <w:color w:val="000000"/>
              </w:rPr>
              <w:t>100.00</w:t>
            </w:r>
          </w:p>
        </w:tc>
      </w:tr>
    </w:tbl>
    <w:p w14:paraId="119EBEB9" w14:textId="77777777" w:rsidR="00A75D1A" w:rsidRDefault="00000000">
      <w:pPr>
        <w:jc w:val="both"/>
        <w:rPr>
          <w:rFonts w:ascii="Arial" w:hAnsi="Arial" w:cs="Arial"/>
        </w:rPr>
      </w:pPr>
      <w:r>
        <w:rPr>
          <w:rFonts w:ascii="Arial" w:hAnsi="Arial" w:cs="Arial"/>
        </w:rPr>
        <w:t xml:space="preserve"> </w:t>
      </w:r>
    </w:p>
    <w:p w14:paraId="120784AB" w14:textId="77777777" w:rsidR="00A75D1A" w:rsidRDefault="00000000">
      <w:pPr>
        <w:ind w:firstLine="720"/>
        <w:jc w:val="both"/>
        <w:rPr>
          <w:rFonts w:ascii="Arial" w:hAnsi="Arial" w:cs="Arial"/>
        </w:rPr>
      </w:pPr>
      <w:r>
        <w:rPr>
          <w:rFonts w:ascii="Arial" w:hAnsi="Arial" w:cs="Arial"/>
        </w:rPr>
        <w:t xml:space="preserve">Table 1 presents the frequency and percentage distribution of the grade 7 students in terms of age, sex, and educational attainment of parents. </w:t>
      </w:r>
    </w:p>
    <w:p w14:paraId="45795635" w14:textId="77777777" w:rsidR="00A75D1A" w:rsidRDefault="00000000">
      <w:pPr>
        <w:ind w:firstLine="720"/>
        <w:jc w:val="both"/>
        <w:rPr>
          <w:rFonts w:ascii="Arial" w:hAnsi="Arial" w:cs="Arial"/>
        </w:rPr>
      </w:pPr>
      <w:r>
        <w:rPr>
          <w:rFonts w:ascii="Arial" w:hAnsi="Arial" w:cs="Arial"/>
        </w:rPr>
        <w:t xml:space="preserve">The grade 7 students’ population at </w:t>
      </w:r>
      <w:proofErr w:type="spellStart"/>
      <w:r>
        <w:rPr>
          <w:rFonts w:ascii="Arial" w:hAnsi="Arial" w:cs="Arial"/>
        </w:rPr>
        <w:t>Calanasan</w:t>
      </w:r>
      <w:proofErr w:type="spellEnd"/>
      <w:r>
        <w:rPr>
          <w:rFonts w:ascii="Arial" w:hAnsi="Arial" w:cs="Arial"/>
        </w:rPr>
        <w:t xml:space="preserve"> National High School is diverse in terms of age, with the majority of students falling between 12 and 13 years old out of 35 students. Specifically, 42.86% of the students are 13 years old, while 31.43% are 12 years old. The mean age of the students is approximately 13 years old, indicating that the majority are in their early teenage years, which aligns with expectations for this grade level. </w:t>
      </w:r>
    </w:p>
    <w:p w14:paraId="5AED1109" w14:textId="77777777" w:rsidR="00A75D1A" w:rsidRDefault="00000000">
      <w:pPr>
        <w:ind w:firstLine="720"/>
        <w:jc w:val="both"/>
        <w:rPr>
          <w:rFonts w:ascii="Arial" w:hAnsi="Arial" w:cs="Arial"/>
        </w:rPr>
      </w:pPr>
      <w:r>
        <w:rPr>
          <w:rFonts w:ascii="Arial" w:hAnsi="Arial" w:cs="Arial"/>
        </w:rPr>
        <w:t xml:space="preserve">In regard to gender distribution, there are slightly more female students than male students, with females comprising 54.29% of the total population and males making up 45.71%. This indicates a slightly higher representation of female students within the grade 7 cohort at </w:t>
      </w:r>
      <w:proofErr w:type="spellStart"/>
      <w:r>
        <w:rPr>
          <w:rFonts w:ascii="Arial" w:hAnsi="Arial" w:cs="Arial"/>
        </w:rPr>
        <w:t>Calanasan</w:t>
      </w:r>
      <w:proofErr w:type="spellEnd"/>
      <w:r>
        <w:rPr>
          <w:rFonts w:ascii="Arial" w:hAnsi="Arial" w:cs="Arial"/>
        </w:rPr>
        <w:t xml:space="preserve"> National High School.</w:t>
      </w:r>
    </w:p>
    <w:p w14:paraId="53B361AE" w14:textId="77777777" w:rsidR="00A75D1A" w:rsidRDefault="00000000">
      <w:pPr>
        <w:ind w:firstLine="720"/>
        <w:jc w:val="both"/>
        <w:rPr>
          <w:rFonts w:ascii="Arial" w:hAnsi="Arial" w:cs="Arial"/>
        </w:rPr>
      </w:pPr>
      <w:r>
        <w:rPr>
          <w:rFonts w:ascii="Arial" w:hAnsi="Arial" w:cs="Arial"/>
        </w:rPr>
        <w:t>When considering the educational attainment of parents, it's evident that there is variability in the levels of education achieved. Among fathers, the majority (54.29%) have attained a high school level of education, while 40% have completed only elementary education, and a minimal proportion (2.86%) have reached college level. Similarly, among mothers, the highest proportion (51.43%) have completed high school, followed by 28.57% with only elementary education, 8.57% with college-level education, and 11.43% who are college graduates. This indicates a range of educational backgrounds among the parents of grade 7 students, with a notable emphasis on completion of high school education.</w:t>
      </w:r>
    </w:p>
    <w:p w14:paraId="48D264B9" w14:textId="77777777" w:rsidR="00A75D1A" w:rsidRDefault="00A75D1A">
      <w:pPr>
        <w:ind w:firstLine="720"/>
        <w:jc w:val="both"/>
        <w:rPr>
          <w:rFonts w:ascii="Arial" w:hAnsi="Arial" w:cs="Arial"/>
        </w:rPr>
      </w:pPr>
    </w:p>
    <w:p w14:paraId="23B74121" w14:textId="77777777" w:rsidR="00A75D1A" w:rsidRDefault="00000000">
      <w:pPr>
        <w:jc w:val="both"/>
        <w:rPr>
          <w:rFonts w:ascii="Arial" w:hAnsi="Arial" w:cs="Arial"/>
          <w:b/>
          <w:bCs/>
        </w:rPr>
      </w:pPr>
      <w:r>
        <w:rPr>
          <w:rFonts w:ascii="Arial" w:hAnsi="Arial" w:cs="Arial"/>
          <w:b/>
          <w:bCs/>
        </w:rPr>
        <w:t xml:space="preserve">Table 2. Level of reading comprehension of Grade 7 students at </w:t>
      </w:r>
      <w:proofErr w:type="spellStart"/>
      <w:r>
        <w:rPr>
          <w:rFonts w:ascii="Arial" w:hAnsi="Arial" w:cs="Arial"/>
          <w:b/>
          <w:bCs/>
        </w:rPr>
        <w:t>Calanasan</w:t>
      </w:r>
      <w:proofErr w:type="spellEnd"/>
      <w:r>
        <w:rPr>
          <w:rFonts w:ascii="Arial" w:hAnsi="Arial" w:cs="Arial"/>
          <w:b/>
          <w:bCs/>
        </w:rPr>
        <w:t xml:space="preserve"> NHS </w:t>
      </w:r>
      <w:proofErr w:type="gramStart"/>
      <w:r>
        <w:rPr>
          <w:rFonts w:ascii="Arial" w:hAnsi="Arial" w:cs="Arial"/>
          <w:b/>
          <w:bCs/>
        </w:rPr>
        <w:t>before  the</w:t>
      </w:r>
      <w:proofErr w:type="gramEnd"/>
      <w:r>
        <w:rPr>
          <w:rFonts w:ascii="Arial" w:hAnsi="Arial" w:cs="Arial"/>
          <w:b/>
          <w:bCs/>
        </w:rPr>
        <w:t xml:space="preserve"> implementation of the TUTOK-BASA program</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3"/>
        <w:gridCol w:w="1050"/>
        <w:gridCol w:w="1046"/>
      </w:tblGrid>
      <w:tr w:rsidR="00A75D1A" w14:paraId="746BFBF5" w14:textId="77777777">
        <w:trPr>
          <w:trHeight w:val="323"/>
        </w:trPr>
        <w:tc>
          <w:tcPr>
            <w:tcW w:w="7163" w:type="dxa"/>
            <w:noWrap/>
            <w:vAlign w:val="bottom"/>
          </w:tcPr>
          <w:p w14:paraId="484A5E90" w14:textId="77777777" w:rsidR="00A75D1A" w:rsidRDefault="00000000">
            <w:pPr>
              <w:rPr>
                <w:rFonts w:ascii="Arial" w:hAnsi="Arial" w:cs="Arial"/>
                <w:color w:val="000000"/>
              </w:rPr>
            </w:pPr>
            <w:r>
              <w:rPr>
                <w:rFonts w:ascii="Arial" w:hAnsi="Arial" w:cs="Arial"/>
                <w:color w:val="000000"/>
              </w:rPr>
              <w:t>Reading Level</w:t>
            </w:r>
          </w:p>
        </w:tc>
        <w:tc>
          <w:tcPr>
            <w:tcW w:w="1046" w:type="dxa"/>
            <w:noWrap/>
            <w:vAlign w:val="bottom"/>
          </w:tcPr>
          <w:p w14:paraId="681A9067" w14:textId="77777777" w:rsidR="00A75D1A" w:rsidRDefault="00000000">
            <w:pPr>
              <w:rPr>
                <w:rFonts w:ascii="Arial" w:hAnsi="Arial" w:cs="Arial"/>
                <w:color w:val="000000"/>
              </w:rPr>
            </w:pPr>
            <w:r>
              <w:rPr>
                <w:rFonts w:ascii="Arial" w:hAnsi="Arial" w:cs="Arial"/>
                <w:color w:val="000000"/>
              </w:rPr>
              <w:t xml:space="preserve">           f</w:t>
            </w:r>
          </w:p>
        </w:tc>
        <w:tc>
          <w:tcPr>
            <w:tcW w:w="1046" w:type="dxa"/>
            <w:noWrap/>
            <w:vAlign w:val="bottom"/>
          </w:tcPr>
          <w:p w14:paraId="5E22B44E" w14:textId="77777777" w:rsidR="00A75D1A" w:rsidRDefault="00000000">
            <w:pPr>
              <w:rPr>
                <w:rFonts w:ascii="Arial" w:hAnsi="Arial" w:cs="Arial"/>
                <w:color w:val="000000"/>
              </w:rPr>
            </w:pPr>
            <w:r>
              <w:rPr>
                <w:rFonts w:ascii="Arial" w:hAnsi="Arial" w:cs="Arial"/>
                <w:color w:val="000000"/>
              </w:rPr>
              <w:t xml:space="preserve">         %</w:t>
            </w:r>
          </w:p>
        </w:tc>
      </w:tr>
      <w:tr w:rsidR="00A75D1A" w14:paraId="4D905BFC" w14:textId="77777777">
        <w:trPr>
          <w:trHeight w:val="323"/>
        </w:trPr>
        <w:tc>
          <w:tcPr>
            <w:tcW w:w="7163" w:type="dxa"/>
            <w:noWrap/>
            <w:vAlign w:val="bottom"/>
          </w:tcPr>
          <w:p w14:paraId="6DADEE39" w14:textId="77777777" w:rsidR="00A75D1A" w:rsidRDefault="00000000">
            <w:pPr>
              <w:rPr>
                <w:rFonts w:ascii="Arial" w:hAnsi="Arial" w:cs="Arial"/>
                <w:color w:val="000000"/>
              </w:rPr>
            </w:pPr>
            <w:r>
              <w:rPr>
                <w:rFonts w:ascii="Arial" w:hAnsi="Arial" w:cs="Arial"/>
                <w:color w:val="000000"/>
              </w:rPr>
              <w:t>Independent Level</w:t>
            </w:r>
          </w:p>
        </w:tc>
        <w:tc>
          <w:tcPr>
            <w:tcW w:w="1046" w:type="dxa"/>
            <w:noWrap/>
            <w:vAlign w:val="bottom"/>
          </w:tcPr>
          <w:p w14:paraId="4498E33D" w14:textId="77777777" w:rsidR="00A75D1A" w:rsidRDefault="00000000">
            <w:pPr>
              <w:jc w:val="right"/>
              <w:rPr>
                <w:rFonts w:ascii="Arial" w:hAnsi="Arial" w:cs="Arial"/>
                <w:color w:val="000000"/>
              </w:rPr>
            </w:pPr>
            <w:r>
              <w:rPr>
                <w:rFonts w:ascii="Arial" w:hAnsi="Arial" w:cs="Arial"/>
                <w:color w:val="000000"/>
              </w:rPr>
              <w:t>5</w:t>
            </w:r>
          </w:p>
        </w:tc>
        <w:tc>
          <w:tcPr>
            <w:tcW w:w="1046" w:type="dxa"/>
            <w:noWrap/>
            <w:vAlign w:val="bottom"/>
          </w:tcPr>
          <w:p w14:paraId="38526F9B" w14:textId="77777777" w:rsidR="00A75D1A" w:rsidRDefault="00000000">
            <w:pPr>
              <w:jc w:val="right"/>
              <w:rPr>
                <w:rFonts w:ascii="Arial" w:hAnsi="Arial" w:cs="Arial"/>
                <w:color w:val="000000"/>
              </w:rPr>
            </w:pPr>
            <w:r>
              <w:rPr>
                <w:rFonts w:ascii="Arial" w:hAnsi="Arial" w:cs="Arial"/>
                <w:color w:val="000000"/>
              </w:rPr>
              <w:t>14.29</w:t>
            </w:r>
          </w:p>
        </w:tc>
      </w:tr>
      <w:tr w:rsidR="00A75D1A" w14:paraId="38DB74BE" w14:textId="77777777">
        <w:trPr>
          <w:trHeight w:val="323"/>
        </w:trPr>
        <w:tc>
          <w:tcPr>
            <w:tcW w:w="7163" w:type="dxa"/>
            <w:noWrap/>
            <w:vAlign w:val="bottom"/>
          </w:tcPr>
          <w:p w14:paraId="3625A1BF" w14:textId="77777777" w:rsidR="00A75D1A" w:rsidRDefault="00000000">
            <w:pPr>
              <w:rPr>
                <w:rFonts w:ascii="Arial" w:hAnsi="Arial" w:cs="Arial"/>
                <w:color w:val="000000"/>
              </w:rPr>
            </w:pPr>
            <w:r>
              <w:rPr>
                <w:rFonts w:ascii="Arial" w:hAnsi="Arial" w:cs="Arial"/>
                <w:color w:val="000000"/>
              </w:rPr>
              <w:t>Instructional Level</w:t>
            </w:r>
          </w:p>
        </w:tc>
        <w:tc>
          <w:tcPr>
            <w:tcW w:w="1046" w:type="dxa"/>
            <w:noWrap/>
            <w:vAlign w:val="bottom"/>
          </w:tcPr>
          <w:p w14:paraId="5CBAF600" w14:textId="77777777" w:rsidR="00A75D1A" w:rsidRDefault="00000000">
            <w:pPr>
              <w:jc w:val="right"/>
              <w:rPr>
                <w:rFonts w:ascii="Arial" w:hAnsi="Arial" w:cs="Arial"/>
                <w:color w:val="000000"/>
              </w:rPr>
            </w:pPr>
            <w:r>
              <w:rPr>
                <w:rFonts w:ascii="Arial" w:hAnsi="Arial" w:cs="Arial"/>
                <w:color w:val="000000"/>
              </w:rPr>
              <w:t>15</w:t>
            </w:r>
          </w:p>
        </w:tc>
        <w:tc>
          <w:tcPr>
            <w:tcW w:w="1046" w:type="dxa"/>
            <w:noWrap/>
            <w:vAlign w:val="bottom"/>
          </w:tcPr>
          <w:p w14:paraId="0B7C4122" w14:textId="77777777" w:rsidR="00A75D1A" w:rsidRDefault="00000000">
            <w:pPr>
              <w:jc w:val="right"/>
              <w:rPr>
                <w:rFonts w:ascii="Arial" w:hAnsi="Arial" w:cs="Arial"/>
                <w:color w:val="000000"/>
              </w:rPr>
            </w:pPr>
            <w:r>
              <w:rPr>
                <w:rFonts w:ascii="Arial" w:hAnsi="Arial" w:cs="Arial"/>
                <w:color w:val="000000"/>
              </w:rPr>
              <w:t>42.86</w:t>
            </w:r>
          </w:p>
        </w:tc>
      </w:tr>
      <w:tr w:rsidR="00A75D1A" w14:paraId="5507F372" w14:textId="77777777">
        <w:trPr>
          <w:trHeight w:val="323"/>
        </w:trPr>
        <w:tc>
          <w:tcPr>
            <w:tcW w:w="7163" w:type="dxa"/>
            <w:noWrap/>
            <w:vAlign w:val="bottom"/>
          </w:tcPr>
          <w:p w14:paraId="561A6A20" w14:textId="77777777" w:rsidR="00A75D1A" w:rsidRDefault="00000000">
            <w:pPr>
              <w:rPr>
                <w:rFonts w:ascii="Arial" w:hAnsi="Arial" w:cs="Arial"/>
                <w:color w:val="000000"/>
              </w:rPr>
            </w:pPr>
            <w:r>
              <w:rPr>
                <w:rFonts w:ascii="Arial" w:hAnsi="Arial" w:cs="Arial"/>
                <w:color w:val="000000"/>
              </w:rPr>
              <w:t xml:space="preserve">Frustration Level </w:t>
            </w:r>
          </w:p>
        </w:tc>
        <w:tc>
          <w:tcPr>
            <w:tcW w:w="1046" w:type="dxa"/>
            <w:noWrap/>
            <w:vAlign w:val="bottom"/>
          </w:tcPr>
          <w:p w14:paraId="4E6623F1" w14:textId="77777777" w:rsidR="00A75D1A" w:rsidRDefault="00000000">
            <w:pPr>
              <w:jc w:val="right"/>
              <w:rPr>
                <w:rFonts w:ascii="Arial" w:hAnsi="Arial" w:cs="Arial"/>
                <w:color w:val="000000"/>
              </w:rPr>
            </w:pPr>
            <w:r>
              <w:rPr>
                <w:rFonts w:ascii="Arial" w:hAnsi="Arial" w:cs="Arial"/>
                <w:color w:val="000000"/>
              </w:rPr>
              <w:t>15</w:t>
            </w:r>
          </w:p>
        </w:tc>
        <w:tc>
          <w:tcPr>
            <w:tcW w:w="1046" w:type="dxa"/>
            <w:noWrap/>
            <w:vAlign w:val="bottom"/>
          </w:tcPr>
          <w:p w14:paraId="3F7DB7FB" w14:textId="77777777" w:rsidR="00A75D1A" w:rsidRDefault="00000000">
            <w:pPr>
              <w:jc w:val="right"/>
              <w:rPr>
                <w:rFonts w:ascii="Arial" w:hAnsi="Arial" w:cs="Arial"/>
                <w:color w:val="000000"/>
              </w:rPr>
            </w:pPr>
            <w:r>
              <w:rPr>
                <w:rFonts w:ascii="Arial" w:hAnsi="Arial" w:cs="Arial"/>
                <w:color w:val="000000"/>
              </w:rPr>
              <w:t>42.86</w:t>
            </w:r>
          </w:p>
        </w:tc>
      </w:tr>
      <w:tr w:rsidR="00A75D1A" w14:paraId="0FE14B9C" w14:textId="77777777">
        <w:trPr>
          <w:trHeight w:val="323"/>
        </w:trPr>
        <w:tc>
          <w:tcPr>
            <w:tcW w:w="7163" w:type="dxa"/>
            <w:noWrap/>
            <w:vAlign w:val="bottom"/>
          </w:tcPr>
          <w:p w14:paraId="2D133F65" w14:textId="77777777" w:rsidR="00A75D1A" w:rsidRDefault="00000000">
            <w:pPr>
              <w:rPr>
                <w:rFonts w:ascii="Arial" w:hAnsi="Arial" w:cs="Arial"/>
                <w:color w:val="000000"/>
              </w:rPr>
            </w:pPr>
            <w:r>
              <w:rPr>
                <w:rFonts w:ascii="Arial" w:hAnsi="Arial" w:cs="Arial"/>
                <w:color w:val="000000"/>
              </w:rPr>
              <w:t xml:space="preserve"> Total </w:t>
            </w:r>
          </w:p>
        </w:tc>
        <w:tc>
          <w:tcPr>
            <w:tcW w:w="1046" w:type="dxa"/>
            <w:noWrap/>
            <w:vAlign w:val="bottom"/>
          </w:tcPr>
          <w:p w14:paraId="5673DD82" w14:textId="77777777" w:rsidR="00A75D1A" w:rsidRDefault="00000000">
            <w:pPr>
              <w:rPr>
                <w:rFonts w:ascii="Arial" w:hAnsi="Arial" w:cs="Arial"/>
                <w:color w:val="000000"/>
              </w:rPr>
            </w:pPr>
            <w:r>
              <w:rPr>
                <w:rFonts w:ascii="Arial" w:hAnsi="Arial" w:cs="Arial"/>
                <w:color w:val="000000"/>
              </w:rPr>
              <w:t>           35</w:t>
            </w:r>
          </w:p>
        </w:tc>
        <w:tc>
          <w:tcPr>
            <w:tcW w:w="1046" w:type="dxa"/>
            <w:noWrap/>
            <w:vAlign w:val="bottom"/>
          </w:tcPr>
          <w:p w14:paraId="36059992" w14:textId="77777777" w:rsidR="00A75D1A" w:rsidRDefault="00000000">
            <w:pPr>
              <w:jc w:val="right"/>
              <w:rPr>
                <w:rFonts w:ascii="Arial" w:hAnsi="Arial" w:cs="Arial"/>
                <w:color w:val="000000"/>
              </w:rPr>
            </w:pPr>
            <w:r>
              <w:rPr>
                <w:rFonts w:ascii="Arial" w:hAnsi="Arial" w:cs="Arial"/>
                <w:color w:val="000000"/>
              </w:rPr>
              <w:t>100.00</w:t>
            </w:r>
          </w:p>
        </w:tc>
      </w:tr>
      <w:tr w:rsidR="00A75D1A" w14:paraId="493A185B" w14:textId="77777777">
        <w:trPr>
          <w:trHeight w:val="323"/>
        </w:trPr>
        <w:tc>
          <w:tcPr>
            <w:tcW w:w="7163" w:type="dxa"/>
            <w:noWrap/>
            <w:vAlign w:val="bottom"/>
          </w:tcPr>
          <w:p w14:paraId="511E63C8" w14:textId="77777777" w:rsidR="00A75D1A" w:rsidRDefault="00000000">
            <w:pPr>
              <w:rPr>
                <w:rFonts w:ascii="Arial" w:hAnsi="Arial" w:cs="Arial"/>
                <w:color w:val="000000"/>
              </w:rPr>
            </w:pPr>
            <w:r>
              <w:rPr>
                <w:rFonts w:ascii="Arial" w:hAnsi="Arial" w:cs="Arial"/>
                <w:color w:val="000000"/>
              </w:rPr>
              <w:t xml:space="preserve">Mean Reading Performance= 60. 31  </w:t>
            </w:r>
          </w:p>
        </w:tc>
        <w:tc>
          <w:tcPr>
            <w:tcW w:w="1046" w:type="dxa"/>
            <w:noWrap/>
            <w:vAlign w:val="bottom"/>
          </w:tcPr>
          <w:p w14:paraId="15E6CDC5" w14:textId="77777777" w:rsidR="00A75D1A" w:rsidRDefault="00A75D1A">
            <w:pPr>
              <w:rPr>
                <w:rFonts w:ascii="Arial" w:hAnsi="Arial" w:cs="Arial"/>
                <w:color w:val="000000"/>
              </w:rPr>
            </w:pPr>
          </w:p>
        </w:tc>
        <w:tc>
          <w:tcPr>
            <w:tcW w:w="1046" w:type="dxa"/>
            <w:noWrap/>
            <w:vAlign w:val="bottom"/>
          </w:tcPr>
          <w:p w14:paraId="5270B770" w14:textId="77777777" w:rsidR="00A75D1A" w:rsidRDefault="00A75D1A">
            <w:pPr>
              <w:jc w:val="right"/>
              <w:rPr>
                <w:rFonts w:ascii="Arial" w:hAnsi="Arial" w:cs="Arial"/>
                <w:color w:val="000000"/>
              </w:rPr>
            </w:pPr>
          </w:p>
        </w:tc>
      </w:tr>
    </w:tbl>
    <w:p w14:paraId="54C53EA3" w14:textId="77777777" w:rsidR="00A75D1A" w:rsidRDefault="00000000">
      <w:pPr>
        <w:ind w:firstLine="720"/>
        <w:jc w:val="both"/>
        <w:rPr>
          <w:rFonts w:ascii="Arial" w:hAnsi="Arial" w:cs="Arial"/>
        </w:rPr>
      </w:pPr>
      <w:r>
        <w:rPr>
          <w:rFonts w:ascii="Arial" w:hAnsi="Arial" w:cs="Arial"/>
        </w:rPr>
        <w:t xml:space="preserve"> </w:t>
      </w:r>
    </w:p>
    <w:p w14:paraId="2E00DC6A" w14:textId="77777777" w:rsidR="00A75D1A" w:rsidRDefault="00000000">
      <w:pPr>
        <w:ind w:firstLine="720"/>
        <w:jc w:val="both"/>
        <w:rPr>
          <w:rFonts w:ascii="Arial" w:hAnsi="Arial" w:cs="Arial"/>
        </w:rPr>
      </w:pPr>
      <w:r>
        <w:rPr>
          <w:rFonts w:ascii="Arial" w:hAnsi="Arial" w:cs="Arial"/>
        </w:rPr>
        <w:t>Table 2 indicates that the majority of students were performing below the expected level in reading comprehension. Specifically, 42.86% of students were categorized as being at the instructional level, while another 42.86% were at the frustration level, indicating that they were struggling with comprehension. Only 14.29% of students were at the independent level, suggesting that they were able to comprehend texts with minimal assistance.</w:t>
      </w:r>
    </w:p>
    <w:p w14:paraId="7214A93E" w14:textId="77777777" w:rsidR="00A75D1A" w:rsidRDefault="00000000">
      <w:pPr>
        <w:ind w:firstLine="720"/>
        <w:jc w:val="both"/>
        <w:rPr>
          <w:rFonts w:ascii="Arial" w:hAnsi="Arial" w:cs="Arial"/>
        </w:rPr>
      </w:pPr>
      <w:r>
        <w:rPr>
          <w:rFonts w:ascii="Arial" w:hAnsi="Arial" w:cs="Arial"/>
        </w:rPr>
        <w:t>The mean reading performance across all students was calculated to be 60.31, which is relatively low. This indicates that, on average, students' reading comprehension abilities were not meeting expectations prior to the implementation of the TUTOK-BASA program.</w:t>
      </w:r>
    </w:p>
    <w:p w14:paraId="1DADAE74" w14:textId="77777777" w:rsidR="00A75D1A" w:rsidRDefault="00000000">
      <w:pPr>
        <w:ind w:firstLine="720"/>
        <w:jc w:val="both"/>
        <w:rPr>
          <w:rFonts w:ascii="Arial" w:hAnsi="Arial" w:cs="Arial"/>
        </w:rPr>
      </w:pPr>
      <w:r>
        <w:rPr>
          <w:rFonts w:ascii="Arial" w:hAnsi="Arial" w:cs="Arial"/>
        </w:rPr>
        <w:t>The findings are further supported by a recent study highlighting widespread deficiencies (</w:t>
      </w:r>
      <w:r>
        <w:t xml:space="preserve">Humaira, 2023), </w:t>
      </w:r>
      <w:r>
        <w:rPr>
          <w:rFonts w:ascii="Arial" w:hAnsi="Arial" w:cs="Arial"/>
        </w:rPr>
        <w:t>while the finding is contrasted against improvement with interventions like Scaffolding Strategies (</w:t>
      </w:r>
      <w:r>
        <w:t>Hessel &amp; Strand,2023</w:t>
      </w:r>
      <w:r>
        <w:rPr>
          <w:rFonts w:ascii="Arial" w:hAnsi="Arial" w:cs="Arial"/>
        </w:rPr>
        <w:t>). However, factors like reading fluency and habits also play significant roles, suggesting a need for multifaceted interventions to address comprehension challenges effectively (</w:t>
      </w:r>
      <w:r>
        <w:rPr>
          <w:lang w:val="en-PH"/>
        </w:rPr>
        <w:t>Leeming &amp; Harris, 2022)</w:t>
      </w:r>
    </w:p>
    <w:p w14:paraId="79211039" w14:textId="77777777" w:rsidR="00A75D1A" w:rsidRDefault="00A75D1A">
      <w:pPr>
        <w:ind w:firstLine="720"/>
        <w:jc w:val="both"/>
        <w:rPr>
          <w:rFonts w:ascii="Arial" w:hAnsi="Arial" w:cs="Arial"/>
        </w:rPr>
      </w:pPr>
    </w:p>
    <w:p w14:paraId="2B0A6698" w14:textId="77777777" w:rsidR="00A75D1A" w:rsidRDefault="00000000">
      <w:pPr>
        <w:jc w:val="both"/>
        <w:rPr>
          <w:rFonts w:ascii="Arial" w:hAnsi="Arial" w:cs="Arial"/>
          <w:b/>
          <w:bCs/>
        </w:rPr>
      </w:pPr>
      <w:r>
        <w:rPr>
          <w:rFonts w:ascii="Arial" w:hAnsi="Arial" w:cs="Arial"/>
          <w:b/>
          <w:bCs/>
        </w:rPr>
        <w:t xml:space="preserve">Table 3. Level of reading comprehension of Grade 7 students at </w:t>
      </w:r>
      <w:proofErr w:type="spellStart"/>
      <w:r>
        <w:rPr>
          <w:rFonts w:ascii="Arial" w:hAnsi="Arial" w:cs="Arial"/>
          <w:b/>
          <w:bCs/>
        </w:rPr>
        <w:t>Calanasan</w:t>
      </w:r>
      <w:proofErr w:type="spellEnd"/>
      <w:r>
        <w:rPr>
          <w:rFonts w:ascii="Arial" w:hAnsi="Arial" w:cs="Arial"/>
          <w:b/>
          <w:bCs/>
        </w:rPr>
        <w:t xml:space="preserve"> NHS after the implementation of the TUTOK-BASA program</w:t>
      </w:r>
    </w:p>
    <w:tbl>
      <w:tblPr>
        <w:tblStyle w:val="TableGrid"/>
        <w:tblW w:w="8304" w:type="dxa"/>
        <w:jc w:val="center"/>
        <w:tblLook w:val="04A0" w:firstRow="1" w:lastRow="0" w:firstColumn="1" w:lastColumn="0" w:noHBand="0" w:noVBand="1"/>
      </w:tblPr>
      <w:tblGrid>
        <w:gridCol w:w="4543"/>
        <w:gridCol w:w="1736"/>
        <w:gridCol w:w="2025"/>
      </w:tblGrid>
      <w:tr w:rsidR="00A75D1A" w14:paraId="4D177987" w14:textId="77777777">
        <w:trPr>
          <w:trHeight w:val="327"/>
          <w:jc w:val="center"/>
        </w:trPr>
        <w:tc>
          <w:tcPr>
            <w:tcW w:w="4543" w:type="dxa"/>
            <w:tcBorders>
              <w:top w:val="single" w:sz="4" w:space="0" w:color="auto"/>
              <w:left w:val="single" w:sz="4" w:space="0" w:color="auto"/>
              <w:bottom w:val="single" w:sz="4" w:space="0" w:color="auto"/>
              <w:right w:val="single" w:sz="4" w:space="0" w:color="auto"/>
            </w:tcBorders>
            <w:noWrap/>
          </w:tcPr>
          <w:p w14:paraId="490E8F83" w14:textId="77777777" w:rsidR="00A75D1A" w:rsidRDefault="00000000">
            <w:pPr>
              <w:rPr>
                <w:rFonts w:ascii="Arial" w:hAnsi="Arial" w:cs="Arial"/>
                <w:color w:val="000000"/>
                <w:sz w:val="20"/>
                <w:szCs w:val="20"/>
              </w:rPr>
            </w:pPr>
            <w:r>
              <w:rPr>
                <w:rFonts w:ascii="Arial" w:hAnsi="Arial" w:cs="Arial"/>
                <w:color w:val="000000"/>
                <w:sz w:val="20"/>
                <w:szCs w:val="20"/>
              </w:rPr>
              <w:t>Reading Level</w:t>
            </w:r>
          </w:p>
        </w:tc>
        <w:tc>
          <w:tcPr>
            <w:tcW w:w="1736" w:type="dxa"/>
            <w:tcBorders>
              <w:top w:val="single" w:sz="4" w:space="0" w:color="auto"/>
              <w:left w:val="single" w:sz="4" w:space="0" w:color="auto"/>
              <w:bottom w:val="single" w:sz="4" w:space="0" w:color="auto"/>
              <w:right w:val="single" w:sz="4" w:space="0" w:color="auto"/>
            </w:tcBorders>
            <w:noWrap/>
          </w:tcPr>
          <w:p w14:paraId="4EA47A91" w14:textId="77777777" w:rsidR="00A75D1A" w:rsidRDefault="00000000">
            <w:pPr>
              <w:rPr>
                <w:rFonts w:ascii="Arial" w:hAnsi="Arial" w:cs="Arial"/>
                <w:color w:val="000000"/>
                <w:sz w:val="20"/>
                <w:szCs w:val="20"/>
              </w:rPr>
            </w:pPr>
            <w:r>
              <w:rPr>
                <w:rFonts w:ascii="Arial" w:hAnsi="Arial" w:cs="Arial"/>
                <w:color w:val="000000"/>
                <w:sz w:val="20"/>
                <w:szCs w:val="20"/>
              </w:rPr>
              <w:t>F</w:t>
            </w:r>
          </w:p>
        </w:tc>
        <w:tc>
          <w:tcPr>
            <w:tcW w:w="2025" w:type="dxa"/>
            <w:tcBorders>
              <w:top w:val="single" w:sz="4" w:space="0" w:color="auto"/>
              <w:left w:val="single" w:sz="4" w:space="0" w:color="auto"/>
              <w:bottom w:val="single" w:sz="4" w:space="0" w:color="auto"/>
              <w:right w:val="single" w:sz="4" w:space="0" w:color="auto"/>
            </w:tcBorders>
            <w:noWrap/>
          </w:tcPr>
          <w:p w14:paraId="16FEEEAF" w14:textId="77777777" w:rsidR="00A75D1A" w:rsidRDefault="00000000">
            <w:pPr>
              <w:rPr>
                <w:rFonts w:ascii="Arial" w:hAnsi="Arial" w:cs="Arial"/>
                <w:color w:val="000000"/>
                <w:sz w:val="20"/>
                <w:szCs w:val="20"/>
              </w:rPr>
            </w:pPr>
            <w:r>
              <w:rPr>
                <w:rFonts w:ascii="Arial" w:hAnsi="Arial" w:cs="Arial"/>
                <w:color w:val="000000"/>
                <w:sz w:val="20"/>
                <w:szCs w:val="20"/>
              </w:rPr>
              <w:t>%</w:t>
            </w:r>
          </w:p>
        </w:tc>
      </w:tr>
      <w:tr w:rsidR="00A75D1A" w14:paraId="5DE2CA02" w14:textId="77777777">
        <w:trPr>
          <w:trHeight w:val="327"/>
          <w:jc w:val="center"/>
        </w:trPr>
        <w:tc>
          <w:tcPr>
            <w:tcW w:w="4543" w:type="dxa"/>
            <w:tcBorders>
              <w:top w:val="single" w:sz="4" w:space="0" w:color="auto"/>
              <w:left w:val="single" w:sz="4" w:space="0" w:color="auto"/>
              <w:bottom w:val="single" w:sz="4" w:space="0" w:color="auto"/>
              <w:right w:val="single" w:sz="4" w:space="0" w:color="auto"/>
            </w:tcBorders>
            <w:noWrap/>
          </w:tcPr>
          <w:p w14:paraId="189E1499" w14:textId="77777777" w:rsidR="00A75D1A" w:rsidRDefault="00000000">
            <w:pPr>
              <w:rPr>
                <w:rFonts w:ascii="Arial" w:hAnsi="Arial" w:cs="Arial"/>
                <w:color w:val="000000"/>
                <w:sz w:val="20"/>
                <w:szCs w:val="20"/>
              </w:rPr>
            </w:pPr>
            <w:r>
              <w:rPr>
                <w:rFonts w:ascii="Arial" w:hAnsi="Arial" w:cs="Arial"/>
                <w:color w:val="000000"/>
                <w:sz w:val="20"/>
                <w:szCs w:val="20"/>
              </w:rPr>
              <w:t>Independent Level</w:t>
            </w:r>
          </w:p>
        </w:tc>
        <w:tc>
          <w:tcPr>
            <w:tcW w:w="1736" w:type="dxa"/>
            <w:tcBorders>
              <w:top w:val="single" w:sz="4" w:space="0" w:color="auto"/>
              <w:left w:val="single" w:sz="4" w:space="0" w:color="auto"/>
              <w:bottom w:val="single" w:sz="4" w:space="0" w:color="auto"/>
              <w:right w:val="single" w:sz="4" w:space="0" w:color="auto"/>
            </w:tcBorders>
            <w:noWrap/>
          </w:tcPr>
          <w:p w14:paraId="03890249" w14:textId="77777777" w:rsidR="00A75D1A" w:rsidRDefault="00000000">
            <w:pPr>
              <w:jc w:val="right"/>
              <w:rPr>
                <w:rFonts w:ascii="Arial" w:hAnsi="Arial" w:cs="Arial"/>
                <w:color w:val="000000"/>
                <w:sz w:val="20"/>
                <w:szCs w:val="20"/>
              </w:rPr>
            </w:pPr>
            <w:r>
              <w:rPr>
                <w:rFonts w:ascii="Arial" w:hAnsi="Arial" w:cs="Arial"/>
                <w:color w:val="000000"/>
                <w:sz w:val="20"/>
                <w:szCs w:val="20"/>
              </w:rPr>
              <w:t>17</w:t>
            </w:r>
          </w:p>
        </w:tc>
        <w:tc>
          <w:tcPr>
            <w:tcW w:w="2025" w:type="dxa"/>
            <w:tcBorders>
              <w:top w:val="single" w:sz="4" w:space="0" w:color="auto"/>
              <w:left w:val="single" w:sz="4" w:space="0" w:color="auto"/>
              <w:bottom w:val="single" w:sz="4" w:space="0" w:color="auto"/>
              <w:right w:val="single" w:sz="4" w:space="0" w:color="auto"/>
            </w:tcBorders>
            <w:noWrap/>
          </w:tcPr>
          <w:p w14:paraId="3A294FAF" w14:textId="77777777" w:rsidR="00A75D1A" w:rsidRDefault="00000000">
            <w:pPr>
              <w:jc w:val="right"/>
              <w:rPr>
                <w:rFonts w:ascii="Arial" w:hAnsi="Arial" w:cs="Arial"/>
                <w:color w:val="000000"/>
                <w:sz w:val="20"/>
                <w:szCs w:val="20"/>
              </w:rPr>
            </w:pPr>
            <w:r>
              <w:rPr>
                <w:rFonts w:ascii="Arial" w:hAnsi="Arial" w:cs="Arial"/>
                <w:color w:val="000000"/>
                <w:sz w:val="20"/>
                <w:szCs w:val="20"/>
              </w:rPr>
              <w:t>48.57</w:t>
            </w:r>
          </w:p>
        </w:tc>
      </w:tr>
      <w:tr w:rsidR="00A75D1A" w14:paraId="34B552F3" w14:textId="77777777">
        <w:trPr>
          <w:trHeight w:val="327"/>
          <w:jc w:val="center"/>
        </w:trPr>
        <w:tc>
          <w:tcPr>
            <w:tcW w:w="4543" w:type="dxa"/>
            <w:tcBorders>
              <w:top w:val="single" w:sz="4" w:space="0" w:color="auto"/>
              <w:left w:val="single" w:sz="4" w:space="0" w:color="auto"/>
              <w:bottom w:val="single" w:sz="4" w:space="0" w:color="auto"/>
              <w:right w:val="single" w:sz="4" w:space="0" w:color="auto"/>
            </w:tcBorders>
            <w:noWrap/>
          </w:tcPr>
          <w:p w14:paraId="606C9BF8" w14:textId="77777777" w:rsidR="00A75D1A" w:rsidRDefault="00000000">
            <w:pPr>
              <w:rPr>
                <w:rFonts w:ascii="Arial" w:hAnsi="Arial" w:cs="Arial"/>
                <w:color w:val="000000"/>
                <w:sz w:val="20"/>
                <w:szCs w:val="20"/>
              </w:rPr>
            </w:pPr>
            <w:r>
              <w:rPr>
                <w:rFonts w:ascii="Arial" w:hAnsi="Arial" w:cs="Arial"/>
                <w:color w:val="000000"/>
                <w:sz w:val="20"/>
                <w:szCs w:val="20"/>
              </w:rPr>
              <w:t>Instructional Level</w:t>
            </w:r>
          </w:p>
        </w:tc>
        <w:tc>
          <w:tcPr>
            <w:tcW w:w="1736" w:type="dxa"/>
            <w:tcBorders>
              <w:top w:val="single" w:sz="4" w:space="0" w:color="auto"/>
              <w:left w:val="single" w:sz="4" w:space="0" w:color="auto"/>
              <w:bottom w:val="single" w:sz="4" w:space="0" w:color="auto"/>
              <w:right w:val="single" w:sz="4" w:space="0" w:color="auto"/>
            </w:tcBorders>
            <w:noWrap/>
          </w:tcPr>
          <w:p w14:paraId="41A872DA" w14:textId="77777777" w:rsidR="00A75D1A" w:rsidRDefault="00000000">
            <w:pPr>
              <w:jc w:val="right"/>
              <w:rPr>
                <w:rFonts w:ascii="Arial" w:hAnsi="Arial" w:cs="Arial"/>
                <w:color w:val="000000"/>
                <w:sz w:val="20"/>
                <w:szCs w:val="20"/>
              </w:rPr>
            </w:pPr>
            <w:r>
              <w:rPr>
                <w:rFonts w:ascii="Arial" w:hAnsi="Arial" w:cs="Arial"/>
                <w:color w:val="000000"/>
                <w:sz w:val="20"/>
                <w:szCs w:val="20"/>
              </w:rPr>
              <w:t>14</w:t>
            </w:r>
          </w:p>
        </w:tc>
        <w:tc>
          <w:tcPr>
            <w:tcW w:w="2025" w:type="dxa"/>
            <w:tcBorders>
              <w:top w:val="single" w:sz="4" w:space="0" w:color="auto"/>
              <w:left w:val="single" w:sz="4" w:space="0" w:color="auto"/>
              <w:bottom w:val="single" w:sz="4" w:space="0" w:color="auto"/>
              <w:right w:val="single" w:sz="4" w:space="0" w:color="auto"/>
            </w:tcBorders>
            <w:noWrap/>
          </w:tcPr>
          <w:p w14:paraId="764AF566" w14:textId="77777777" w:rsidR="00A75D1A" w:rsidRDefault="00000000">
            <w:pPr>
              <w:jc w:val="right"/>
              <w:rPr>
                <w:rFonts w:ascii="Arial" w:hAnsi="Arial" w:cs="Arial"/>
                <w:color w:val="000000"/>
                <w:sz w:val="20"/>
                <w:szCs w:val="20"/>
              </w:rPr>
            </w:pPr>
            <w:r>
              <w:rPr>
                <w:rFonts w:ascii="Arial" w:hAnsi="Arial" w:cs="Arial"/>
                <w:color w:val="000000"/>
                <w:sz w:val="20"/>
                <w:szCs w:val="20"/>
              </w:rPr>
              <w:t>40.00</w:t>
            </w:r>
          </w:p>
        </w:tc>
      </w:tr>
      <w:tr w:rsidR="00A75D1A" w14:paraId="36A46396" w14:textId="77777777">
        <w:trPr>
          <w:trHeight w:val="327"/>
          <w:jc w:val="center"/>
        </w:trPr>
        <w:tc>
          <w:tcPr>
            <w:tcW w:w="4543" w:type="dxa"/>
            <w:tcBorders>
              <w:top w:val="single" w:sz="4" w:space="0" w:color="auto"/>
              <w:left w:val="single" w:sz="4" w:space="0" w:color="auto"/>
              <w:bottom w:val="single" w:sz="4" w:space="0" w:color="auto"/>
              <w:right w:val="single" w:sz="4" w:space="0" w:color="auto"/>
            </w:tcBorders>
            <w:noWrap/>
          </w:tcPr>
          <w:p w14:paraId="2B3C08B9" w14:textId="77777777" w:rsidR="00A75D1A" w:rsidRDefault="00000000">
            <w:pPr>
              <w:rPr>
                <w:rFonts w:ascii="Arial" w:hAnsi="Arial" w:cs="Arial"/>
                <w:color w:val="000000"/>
                <w:sz w:val="20"/>
                <w:szCs w:val="20"/>
              </w:rPr>
            </w:pPr>
            <w:r>
              <w:rPr>
                <w:rFonts w:ascii="Arial" w:hAnsi="Arial" w:cs="Arial"/>
                <w:color w:val="000000"/>
                <w:sz w:val="20"/>
                <w:szCs w:val="20"/>
              </w:rPr>
              <w:t xml:space="preserve">Frustration Level </w:t>
            </w:r>
          </w:p>
        </w:tc>
        <w:tc>
          <w:tcPr>
            <w:tcW w:w="1736" w:type="dxa"/>
            <w:tcBorders>
              <w:top w:val="single" w:sz="4" w:space="0" w:color="auto"/>
              <w:left w:val="single" w:sz="4" w:space="0" w:color="auto"/>
              <w:bottom w:val="single" w:sz="4" w:space="0" w:color="auto"/>
              <w:right w:val="single" w:sz="4" w:space="0" w:color="auto"/>
            </w:tcBorders>
            <w:noWrap/>
          </w:tcPr>
          <w:p w14:paraId="39276FE2" w14:textId="77777777" w:rsidR="00A75D1A" w:rsidRDefault="00000000">
            <w:pPr>
              <w:jc w:val="right"/>
              <w:rPr>
                <w:rFonts w:ascii="Arial" w:hAnsi="Arial" w:cs="Arial"/>
                <w:color w:val="000000"/>
                <w:sz w:val="20"/>
                <w:szCs w:val="20"/>
              </w:rPr>
            </w:pPr>
            <w:r>
              <w:rPr>
                <w:rFonts w:ascii="Arial" w:hAnsi="Arial" w:cs="Arial"/>
                <w:color w:val="000000"/>
                <w:sz w:val="20"/>
                <w:szCs w:val="20"/>
              </w:rPr>
              <w:t>4</w:t>
            </w:r>
          </w:p>
        </w:tc>
        <w:tc>
          <w:tcPr>
            <w:tcW w:w="2025" w:type="dxa"/>
            <w:tcBorders>
              <w:top w:val="single" w:sz="4" w:space="0" w:color="auto"/>
              <w:left w:val="single" w:sz="4" w:space="0" w:color="auto"/>
              <w:bottom w:val="single" w:sz="4" w:space="0" w:color="auto"/>
              <w:right w:val="single" w:sz="4" w:space="0" w:color="auto"/>
            </w:tcBorders>
            <w:noWrap/>
          </w:tcPr>
          <w:p w14:paraId="38FC004D" w14:textId="77777777" w:rsidR="00A75D1A" w:rsidRDefault="00000000">
            <w:pPr>
              <w:jc w:val="right"/>
              <w:rPr>
                <w:rFonts w:ascii="Arial" w:hAnsi="Arial" w:cs="Arial"/>
                <w:color w:val="000000"/>
                <w:sz w:val="20"/>
                <w:szCs w:val="20"/>
              </w:rPr>
            </w:pPr>
            <w:r>
              <w:rPr>
                <w:rFonts w:ascii="Arial" w:hAnsi="Arial" w:cs="Arial"/>
                <w:color w:val="000000"/>
                <w:sz w:val="20"/>
                <w:szCs w:val="20"/>
              </w:rPr>
              <w:t>11.43</w:t>
            </w:r>
          </w:p>
        </w:tc>
      </w:tr>
      <w:tr w:rsidR="00A75D1A" w14:paraId="2ECFF568" w14:textId="77777777">
        <w:trPr>
          <w:trHeight w:val="327"/>
          <w:jc w:val="center"/>
        </w:trPr>
        <w:tc>
          <w:tcPr>
            <w:tcW w:w="4543" w:type="dxa"/>
            <w:tcBorders>
              <w:top w:val="single" w:sz="4" w:space="0" w:color="auto"/>
              <w:left w:val="single" w:sz="4" w:space="0" w:color="auto"/>
              <w:bottom w:val="single" w:sz="4" w:space="0" w:color="auto"/>
              <w:right w:val="single" w:sz="4" w:space="0" w:color="auto"/>
            </w:tcBorders>
            <w:noWrap/>
          </w:tcPr>
          <w:p w14:paraId="5B8D549F" w14:textId="77777777" w:rsidR="00A75D1A" w:rsidRDefault="00000000">
            <w:pPr>
              <w:rPr>
                <w:rFonts w:ascii="Arial" w:hAnsi="Arial" w:cs="Arial"/>
                <w:color w:val="000000"/>
                <w:sz w:val="20"/>
                <w:szCs w:val="20"/>
              </w:rPr>
            </w:pPr>
            <w:r>
              <w:rPr>
                <w:rFonts w:ascii="Arial" w:hAnsi="Arial" w:cs="Arial"/>
                <w:color w:val="000000"/>
                <w:sz w:val="20"/>
                <w:szCs w:val="20"/>
              </w:rPr>
              <w:t> Total</w:t>
            </w:r>
          </w:p>
        </w:tc>
        <w:tc>
          <w:tcPr>
            <w:tcW w:w="1736" w:type="dxa"/>
            <w:tcBorders>
              <w:top w:val="single" w:sz="4" w:space="0" w:color="auto"/>
              <w:left w:val="single" w:sz="4" w:space="0" w:color="auto"/>
              <w:bottom w:val="single" w:sz="4" w:space="0" w:color="auto"/>
              <w:right w:val="single" w:sz="4" w:space="0" w:color="auto"/>
            </w:tcBorders>
            <w:noWrap/>
          </w:tcPr>
          <w:p w14:paraId="57F43D83" w14:textId="77777777" w:rsidR="00A75D1A" w:rsidRDefault="00000000">
            <w:pPr>
              <w:rPr>
                <w:rFonts w:ascii="Arial" w:hAnsi="Arial" w:cs="Arial"/>
                <w:color w:val="000000"/>
                <w:sz w:val="20"/>
                <w:szCs w:val="20"/>
              </w:rPr>
            </w:pPr>
            <w:r>
              <w:rPr>
                <w:rFonts w:ascii="Arial" w:hAnsi="Arial" w:cs="Arial"/>
                <w:color w:val="000000"/>
                <w:sz w:val="20"/>
                <w:szCs w:val="20"/>
              </w:rPr>
              <w:t>35 </w:t>
            </w:r>
          </w:p>
        </w:tc>
        <w:tc>
          <w:tcPr>
            <w:tcW w:w="2025" w:type="dxa"/>
            <w:tcBorders>
              <w:top w:val="single" w:sz="4" w:space="0" w:color="auto"/>
              <w:left w:val="single" w:sz="4" w:space="0" w:color="auto"/>
              <w:bottom w:val="single" w:sz="4" w:space="0" w:color="auto"/>
              <w:right w:val="single" w:sz="4" w:space="0" w:color="auto"/>
            </w:tcBorders>
            <w:noWrap/>
          </w:tcPr>
          <w:p w14:paraId="4FE8BE0E" w14:textId="77777777" w:rsidR="00A75D1A" w:rsidRDefault="00000000">
            <w:pPr>
              <w:jc w:val="right"/>
              <w:rPr>
                <w:rFonts w:ascii="Arial" w:hAnsi="Arial" w:cs="Arial"/>
                <w:color w:val="000000"/>
                <w:sz w:val="20"/>
                <w:szCs w:val="20"/>
              </w:rPr>
            </w:pPr>
            <w:r>
              <w:rPr>
                <w:rFonts w:ascii="Arial" w:hAnsi="Arial" w:cs="Arial"/>
                <w:color w:val="000000"/>
                <w:sz w:val="20"/>
                <w:szCs w:val="20"/>
              </w:rPr>
              <w:t>100.00</w:t>
            </w:r>
          </w:p>
        </w:tc>
      </w:tr>
      <w:tr w:rsidR="00A75D1A" w14:paraId="19E41896" w14:textId="77777777">
        <w:trPr>
          <w:trHeight w:val="327"/>
          <w:jc w:val="center"/>
        </w:trPr>
        <w:tc>
          <w:tcPr>
            <w:tcW w:w="4543" w:type="dxa"/>
            <w:tcBorders>
              <w:top w:val="single" w:sz="4" w:space="0" w:color="auto"/>
              <w:left w:val="single" w:sz="4" w:space="0" w:color="auto"/>
              <w:bottom w:val="single" w:sz="4" w:space="0" w:color="auto"/>
              <w:right w:val="single" w:sz="4" w:space="0" w:color="auto"/>
            </w:tcBorders>
            <w:noWrap/>
          </w:tcPr>
          <w:p w14:paraId="7B0653D8" w14:textId="77777777" w:rsidR="00A75D1A" w:rsidRDefault="00000000">
            <w:pPr>
              <w:rPr>
                <w:rFonts w:ascii="Arial" w:hAnsi="Arial" w:cs="Arial"/>
                <w:color w:val="000000"/>
                <w:sz w:val="20"/>
                <w:szCs w:val="20"/>
              </w:rPr>
            </w:pPr>
            <w:r>
              <w:rPr>
                <w:rFonts w:ascii="Arial" w:hAnsi="Arial" w:cs="Arial"/>
                <w:color w:val="000000"/>
                <w:sz w:val="20"/>
                <w:szCs w:val="20"/>
              </w:rPr>
              <w:t xml:space="preserve">Mean Reading Performance= 78.94 </w:t>
            </w:r>
          </w:p>
        </w:tc>
        <w:tc>
          <w:tcPr>
            <w:tcW w:w="1736" w:type="dxa"/>
            <w:tcBorders>
              <w:top w:val="single" w:sz="4" w:space="0" w:color="auto"/>
              <w:left w:val="single" w:sz="4" w:space="0" w:color="auto"/>
              <w:bottom w:val="single" w:sz="4" w:space="0" w:color="auto"/>
              <w:right w:val="single" w:sz="4" w:space="0" w:color="auto"/>
            </w:tcBorders>
            <w:noWrap/>
          </w:tcPr>
          <w:p w14:paraId="3CCB8718" w14:textId="77777777" w:rsidR="00A75D1A" w:rsidRDefault="00A75D1A">
            <w:pPr>
              <w:rPr>
                <w:rFonts w:ascii="Arial" w:hAnsi="Arial" w:cs="Arial"/>
                <w:color w:val="000000"/>
                <w:sz w:val="20"/>
                <w:szCs w:val="20"/>
              </w:rPr>
            </w:pPr>
          </w:p>
        </w:tc>
        <w:tc>
          <w:tcPr>
            <w:tcW w:w="2025" w:type="dxa"/>
            <w:tcBorders>
              <w:top w:val="single" w:sz="4" w:space="0" w:color="auto"/>
              <w:left w:val="single" w:sz="4" w:space="0" w:color="auto"/>
              <w:bottom w:val="single" w:sz="4" w:space="0" w:color="auto"/>
              <w:right w:val="single" w:sz="4" w:space="0" w:color="auto"/>
            </w:tcBorders>
            <w:noWrap/>
          </w:tcPr>
          <w:p w14:paraId="670A86D9" w14:textId="77777777" w:rsidR="00A75D1A" w:rsidRDefault="00A75D1A">
            <w:pPr>
              <w:jc w:val="right"/>
              <w:rPr>
                <w:rFonts w:ascii="Arial" w:hAnsi="Arial" w:cs="Arial"/>
                <w:color w:val="000000"/>
                <w:sz w:val="20"/>
                <w:szCs w:val="20"/>
              </w:rPr>
            </w:pPr>
          </w:p>
        </w:tc>
      </w:tr>
    </w:tbl>
    <w:p w14:paraId="5E8FFF98" w14:textId="77777777" w:rsidR="00A75D1A" w:rsidRDefault="00000000">
      <w:pPr>
        <w:jc w:val="both"/>
        <w:rPr>
          <w:rFonts w:ascii="Arial" w:hAnsi="Arial" w:cs="Arial"/>
          <w:color w:val="FF0000"/>
        </w:rPr>
      </w:pPr>
      <w:r>
        <w:rPr>
          <w:rFonts w:ascii="Arial" w:hAnsi="Arial" w:cs="Arial"/>
          <w:color w:val="FF0000"/>
        </w:rPr>
        <w:t xml:space="preserve"> </w:t>
      </w:r>
    </w:p>
    <w:p w14:paraId="554D4089" w14:textId="77777777" w:rsidR="00A75D1A" w:rsidRDefault="00000000">
      <w:pPr>
        <w:ind w:firstLine="720"/>
        <w:jc w:val="both"/>
        <w:rPr>
          <w:rFonts w:ascii="Arial" w:hAnsi="Arial" w:cs="Arial"/>
        </w:rPr>
      </w:pPr>
      <w:r>
        <w:rPr>
          <w:rFonts w:ascii="Arial" w:hAnsi="Arial" w:cs="Arial"/>
        </w:rPr>
        <w:t xml:space="preserve">Table 3 indicates a notable improvement in students' reading comprehension levels following the implementation of the TUTOK-BASA program at </w:t>
      </w:r>
      <w:proofErr w:type="spellStart"/>
      <w:r>
        <w:rPr>
          <w:rFonts w:ascii="Arial" w:hAnsi="Arial" w:cs="Arial"/>
        </w:rPr>
        <w:t>Calanasan</w:t>
      </w:r>
      <w:proofErr w:type="spellEnd"/>
      <w:r>
        <w:rPr>
          <w:rFonts w:ascii="Arial" w:hAnsi="Arial" w:cs="Arial"/>
        </w:rPr>
        <w:t xml:space="preserve"> NHS. Currently, the majority of students (48.57%) are categorized at the independent level, signifying their ability to comprehend texts with minimal assistance. Additionally, 40.00% of students are at the instructional level, indicating progress in comprehension with some guidance. Only 11.43% of students remain at the frustration level, representing a decrease in the number of students struggling with comprehension compared to before the program implementation.</w:t>
      </w:r>
    </w:p>
    <w:p w14:paraId="0FB1AB34" w14:textId="77777777" w:rsidR="00A75D1A" w:rsidRDefault="00000000">
      <w:pPr>
        <w:ind w:firstLine="720"/>
        <w:jc w:val="both"/>
        <w:rPr>
          <w:rFonts w:ascii="Arial" w:hAnsi="Arial" w:cs="Arial"/>
        </w:rPr>
      </w:pPr>
      <w:r>
        <w:rPr>
          <w:rFonts w:ascii="Arial" w:hAnsi="Arial" w:cs="Arial"/>
        </w:rPr>
        <w:t xml:space="preserve">Moreover, the mean reading performance across all students has significantly increased to 78.94. This notable improvement in the mean reading performance reflects an overall enhancement in students' reading comprehension abilities compared to the period before the implementation of the TUTOK-BASA program. </w:t>
      </w:r>
    </w:p>
    <w:p w14:paraId="2E019ECB" w14:textId="77777777" w:rsidR="00A75D1A" w:rsidRDefault="00000000">
      <w:pPr>
        <w:ind w:firstLine="720"/>
        <w:jc w:val="both"/>
        <w:rPr>
          <w:rFonts w:ascii="Arial" w:hAnsi="Arial" w:cs="Arial"/>
        </w:rPr>
      </w:pPr>
      <w:r>
        <w:rPr>
          <w:rFonts w:ascii="Arial" w:hAnsi="Arial" w:cs="Arial"/>
        </w:rPr>
        <w:t>The findings are further supported by the effectiveness of intervention programs in enhancing Grade 7 students' reading comprehension skills. Programs integrating 21st-century skills demonstrate significant improvements in analyzing, synthesizing, and applying ideas from texts (</w:t>
      </w:r>
      <w:r>
        <w:t>Din &amp; Saeed, 2018)</w:t>
      </w:r>
      <w:r>
        <w:rPr>
          <w:rFonts w:ascii="Arial" w:hAnsi="Arial" w:cs="Arial"/>
        </w:rPr>
        <w:t>. Additionally, tutoring, whether one-to-one or small group, yields outcomes akin to achievements in mathematics and reading (</w:t>
      </w:r>
      <w:r>
        <w:t xml:space="preserve">Rudd &amp; </w:t>
      </w:r>
      <w:proofErr w:type="spellStart"/>
      <w:r>
        <w:t>Honkiss</w:t>
      </w:r>
      <w:proofErr w:type="spellEnd"/>
      <w:r>
        <w:t>, 2020)</w:t>
      </w:r>
      <w:r>
        <w:rPr>
          <w:rFonts w:ascii="Arial" w:hAnsi="Arial" w:cs="Arial"/>
        </w:rPr>
        <w:t>. Whole-class approaches, such as cooperative learning and whole-school strategies with tutoring, benefit a larger student population with results comparable to tutoring (</w:t>
      </w:r>
      <w:r>
        <w:t>Asio &amp; Quijano, 2023)</w:t>
      </w:r>
      <w:r>
        <w:rPr>
          <w:rFonts w:ascii="Arial" w:hAnsi="Arial" w:cs="Arial"/>
        </w:rPr>
        <w:t>. These findings suggest promise for interventions like the TUTOK-BASA program in improving Grade 7 students' reading comprehension.</w:t>
      </w:r>
    </w:p>
    <w:p w14:paraId="0A15AB22" w14:textId="77777777" w:rsidR="00A75D1A" w:rsidRDefault="00A75D1A">
      <w:pPr>
        <w:ind w:firstLine="720"/>
        <w:jc w:val="both"/>
        <w:rPr>
          <w:rFonts w:ascii="Arial" w:hAnsi="Arial" w:cs="Arial"/>
        </w:rPr>
      </w:pPr>
    </w:p>
    <w:p w14:paraId="0F358E5E" w14:textId="77777777" w:rsidR="00A75D1A" w:rsidRDefault="00000000">
      <w:pPr>
        <w:jc w:val="both"/>
        <w:rPr>
          <w:rFonts w:ascii="Arial" w:hAnsi="Arial" w:cs="Arial"/>
          <w:b/>
          <w:bCs/>
        </w:rPr>
      </w:pPr>
      <w:r>
        <w:rPr>
          <w:rFonts w:ascii="Arial" w:hAnsi="Arial" w:cs="Arial"/>
          <w:b/>
          <w:bCs/>
        </w:rPr>
        <w:t>Table 4. Test of Significant difference in the level of reading comprehension of the Grade 7 students when grouped according to profile</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1350"/>
        <w:gridCol w:w="830"/>
        <w:gridCol w:w="1006"/>
        <w:gridCol w:w="1924"/>
      </w:tblGrid>
      <w:tr w:rsidR="00A75D1A" w14:paraId="6ECECD86" w14:textId="77777777">
        <w:trPr>
          <w:trHeight w:val="305"/>
        </w:trPr>
        <w:tc>
          <w:tcPr>
            <w:tcW w:w="4160" w:type="dxa"/>
            <w:noWrap/>
            <w:vAlign w:val="bottom"/>
          </w:tcPr>
          <w:p w14:paraId="14A35D9B" w14:textId="77777777" w:rsidR="00A75D1A" w:rsidRDefault="00000000">
            <w:pPr>
              <w:rPr>
                <w:rFonts w:ascii="Arial" w:hAnsi="Arial" w:cs="Arial"/>
                <w:color w:val="000000"/>
              </w:rPr>
            </w:pPr>
            <w:r>
              <w:rPr>
                <w:rFonts w:ascii="Arial" w:hAnsi="Arial" w:cs="Arial"/>
                <w:color w:val="000000"/>
              </w:rPr>
              <w:t>Profile</w:t>
            </w:r>
          </w:p>
        </w:tc>
        <w:tc>
          <w:tcPr>
            <w:tcW w:w="1350" w:type="dxa"/>
            <w:noWrap/>
            <w:vAlign w:val="bottom"/>
          </w:tcPr>
          <w:p w14:paraId="5A4AB24A" w14:textId="77777777" w:rsidR="00A75D1A" w:rsidRDefault="00000000">
            <w:pPr>
              <w:rPr>
                <w:rFonts w:ascii="Arial" w:hAnsi="Arial" w:cs="Arial"/>
                <w:color w:val="000000"/>
              </w:rPr>
            </w:pPr>
            <w:r>
              <w:rPr>
                <w:rFonts w:ascii="Arial" w:hAnsi="Arial" w:cs="Arial"/>
                <w:color w:val="000000"/>
              </w:rPr>
              <w:t>t-value</w:t>
            </w:r>
          </w:p>
        </w:tc>
        <w:tc>
          <w:tcPr>
            <w:tcW w:w="830" w:type="dxa"/>
            <w:noWrap/>
            <w:vAlign w:val="bottom"/>
          </w:tcPr>
          <w:p w14:paraId="7EA69673" w14:textId="77777777" w:rsidR="00A75D1A" w:rsidRDefault="00000000">
            <w:pPr>
              <w:rPr>
                <w:rFonts w:ascii="Arial" w:hAnsi="Arial" w:cs="Arial"/>
                <w:color w:val="000000"/>
              </w:rPr>
            </w:pPr>
            <w:proofErr w:type="spellStart"/>
            <w:r>
              <w:rPr>
                <w:rFonts w:ascii="Arial" w:hAnsi="Arial" w:cs="Arial"/>
                <w:color w:val="000000"/>
              </w:rPr>
              <w:t>df</w:t>
            </w:r>
            <w:proofErr w:type="spellEnd"/>
          </w:p>
        </w:tc>
        <w:tc>
          <w:tcPr>
            <w:tcW w:w="1006" w:type="dxa"/>
          </w:tcPr>
          <w:p w14:paraId="57E6A440" w14:textId="77777777" w:rsidR="00A75D1A" w:rsidRDefault="00000000">
            <w:pPr>
              <w:rPr>
                <w:rFonts w:ascii="Arial" w:hAnsi="Arial" w:cs="Arial"/>
                <w:color w:val="000000"/>
              </w:rPr>
            </w:pPr>
            <w:r>
              <w:rPr>
                <w:rFonts w:ascii="Arial" w:hAnsi="Arial" w:cs="Arial"/>
                <w:color w:val="000000"/>
              </w:rPr>
              <w:t>p</w:t>
            </w:r>
          </w:p>
        </w:tc>
        <w:tc>
          <w:tcPr>
            <w:tcW w:w="1924" w:type="dxa"/>
          </w:tcPr>
          <w:p w14:paraId="4638096F" w14:textId="77777777" w:rsidR="00A75D1A" w:rsidRDefault="00000000">
            <w:pPr>
              <w:rPr>
                <w:rFonts w:ascii="Arial" w:hAnsi="Arial" w:cs="Arial"/>
                <w:b/>
              </w:rPr>
            </w:pPr>
            <w:r>
              <w:rPr>
                <w:rFonts w:ascii="Arial" w:hAnsi="Arial" w:cs="Arial"/>
                <w:b/>
              </w:rPr>
              <w:t>Decision atα= 0.05</w:t>
            </w:r>
          </w:p>
        </w:tc>
      </w:tr>
      <w:tr w:rsidR="00A75D1A" w14:paraId="055589FD" w14:textId="77777777">
        <w:trPr>
          <w:trHeight w:val="300"/>
        </w:trPr>
        <w:tc>
          <w:tcPr>
            <w:tcW w:w="4160" w:type="dxa"/>
            <w:noWrap/>
            <w:vAlign w:val="bottom"/>
          </w:tcPr>
          <w:p w14:paraId="0EAF8498" w14:textId="77777777" w:rsidR="00A75D1A" w:rsidRDefault="00000000">
            <w:pPr>
              <w:pStyle w:val="ListParagraph"/>
              <w:numPr>
                <w:ilvl w:val="0"/>
                <w:numId w:val="2"/>
              </w:numPr>
              <w:spacing w:before="100" w:beforeAutospacing="1" w:after="100" w:afterAutospacing="1"/>
              <w:ind w:left="255" w:hanging="255"/>
              <w:rPr>
                <w:rFonts w:ascii="Arial" w:hAnsi="Arial" w:cs="Arial"/>
                <w:color w:val="000000"/>
                <w:sz w:val="20"/>
                <w:szCs w:val="20"/>
              </w:rPr>
            </w:pPr>
            <w:r>
              <w:rPr>
                <w:rFonts w:ascii="Arial" w:hAnsi="Arial" w:cs="Arial"/>
                <w:color w:val="000000"/>
                <w:sz w:val="20"/>
                <w:szCs w:val="20"/>
              </w:rPr>
              <w:t>Sex</w:t>
            </w:r>
          </w:p>
        </w:tc>
        <w:tc>
          <w:tcPr>
            <w:tcW w:w="1350" w:type="dxa"/>
            <w:noWrap/>
            <w:vAlign w:val="bottom"/>
          </w:tcPr>
          <w:p w14:paraId="7E7E78E2" w14:textId="77777777" w:rsidR="00A75D1A" w:rsidRDefault="00000000">
            <w:pPr>
              <w:rPr>
                <w:rFonts w:ascii="Arial" w:hAnsi="Arial" w:cs="Arial"/>
                <w:color w:val="000000"/>
              </w:rPr>
            </w:pPr>
            <w:r>
              <w:rPr>
                <w:rFonts w:ascii="Arial" w:hAnsi="Arial" w:cs="Arial"/>
                <w:color w:val="000000"/>
              </w:rPr>
              <w:t>2.191</w:t>
            </w:r>
          </w:p>
        </w:tc>
        <w:tc>
          <w:tcPr>
            <w:tcW w:w="830" w:type="dxa"/>
            <w:noWrap/>
            <w:vAlign w:val="bottom"/>
          </w:tcPr>
          <w:p w14:paraId="54F062BF" w14:textId="77777777" w:rsidR="00A75D1A" w:rsidRDefault="00000000">
            <w:pPr>
              <w:rPr>
                <w:rFonts w:ascii="Arial" w:hAnsi="Arial" w:cs="Arial"/>
                <w:color w:val="000000"/>
              </w:rPr>
            </w:pPr>
            <w:r>
              <w:rPr>
                <w:rFonts w:ascii="Arial" w:hAnsi="Arial" w:cs="Arial"/>
                <w:color w:val="000000"/>
              </w:rPr>
              <w:t>33</w:t>
            </w:r>
          </w:p>
        </w:tc>
        <w:tc>
          <w:tcPr>
            <w:tcW w:w="1006" w:type="dxa"/>
          </w:tcPr>
          <w:p w14:paraId="250921EA" w14:textId="77777777" w:rsidR="00A75D1A" w:rsidRDefault="00000000">
            <w:pPr>
              <w:rPr>
                <w:rFonts w:ascii="Arial" w:hAnsi="Arial" w:cs="Arial"/>
                <w:color w:val="000000"/>
              </w:rPr>
            </w:pPr>
            <w:r>
              <w:rPr>
                <w:rFonts w:ascii="Arial" w:hAnsi="Arial" w:cs="Arial"/>
                <w:color w:val="000000"/>
              </w:rPr>
              <w:t>0.291</w:t>
            </w:r>
          </w:p>
        </w:tc>
        <w:tc>
          <w:tcPr>
            <w:tcW w:w="1924" w:type="dxa"/>
          </w:tcPr>
          <w:p w14:paraId="6A66D064" w14:textId="77777777" w:rsidR="00A75D1A" w:rsidRDefault="00000000">
            <w:pPr>
              <w:jc w:val="center"/>
              <w:rPr>
                <w:rFonts w:ascii="Arial" w:hAnsi="Arial" w:cs="Arial"/>
                <w:color w:val="000000"/>
              </w:rPr>
            </w:pPr>
            <w:r>
              <w:rPr>
                <w:rFonts w:ascii="Arial" w:hAnsi="Arial" w:cs="Arial"/>
                <w:color w:val="000000"/>
              </w:rPr>
              <w:t>Accept Ho</w:t>
            </w:r>
          </w:p>
        </w:tc>
      </w:tr>
      <w:tr w:rsidR="00A75D1A" w14:paraId="3D42BC47" w14:textId="77777777">
        <w:trPr>
          <w:trHeight w:val="300"/>
        </w:trPr>
        <w:tc>
          <w:tcPr>
            <w:tcW w:w="4160" w:type="dxa"/>
            <w:noWrap/>
            <w:vAlign w:val="bottom"/>
          </w:tcPr>
          <w:p w14:paraId="3D9B537A" w14:textId="77777777" w:rsidR="00A75D1A" w:rsidRDefault="00000000">
            <w:pPr>
              <w:pStyle w:val="ListParagraph"/>
              <w:numPr>
                <w:ilvl w:val="0"/>
                <w:numId w:val="2"/>
              </w:numPr>
              <w:spacing w:before="100" w:beforeAutospacing="1" w:after="100" w:afterAutospacing="1"/>
              <w:ind w:left="255" w:hanging="180"/>
              <w:rPr>
                <w:rFonts w:ascii="Arial" w:hAnsi="Arial" w:cs="Arial"/>
                <w:color w:val="000000"/>
                <w:sz w:val="20"/>
                <w:szCs w:val="20"/>
              </w:rPr>
            </w:pPr>
            <w:r>
              <w:rPr>
                <w:rFonts w:ascii="Arial" w:hAnsi="Arial" w:cs="Arial"/>
                <w:color w:val="000000"/>
                <w:sz w:val="20"/>
                <w:szCs w:val="20"/>
              </w:rPr>
              <w:t>Age</w:t>
            </w:r>
          </w:p>
        </w:tc>
        <w:tc>
          <w:tcPr>
            <w:tcW w:w="1350" w:type="dxa"/>
            <w:noWrap/>
            <w:vAlign w:val="bottom"/>
          </w:tcPr>
          <w:p w14:paraId="0ADE3B60" w14:textId="77777777" w:rsidR="00A75D1A" w:rsidRDefault="00000000">
            <w:pPr>
              <w:rPr>
                <w:rFonts w:ascii="Arial" w:hAnsi="Arial" w:cs="Arial"/>
                <w:color w:val="000000"/>
              </w:rPr>
            </w:pPr>
            <w:r>
              <w:rPr>
                <w:rFonts w:ascii="Arial" w:hAnsi="Arial" w:cs="Arial"/>
                <w:color w:val="000000"/>
              </w:rPr>
              <w:t>1.216</w:t>
            </w:r>
          </w:p>
        </w:tc>
        <w:tc>
          <w:tcPr>
            <w:tcW w:w="830" w:type="dxa"/>
            <w:noWrap/>
            <w:vAlign w:val="bottom"/>
          </w:tcPr>
          <w:p w14:paraId="0A98935E" w14:textId="77777777" w:rsidR="00A75D1A" w:rsidRDefault="00000000">
            <w:pPr>
              <w:rPr>
                <w:rFonts w:ascii="Arial" w:hAnsi="Arial" w:cs="Arial"/>
                <w:color w:val="000000"/>
              </w:rPr>
            </w:pPr>
            <w:r>
              <w:rPr>
                <w:rFonts w:ascii="Arial" w:hAnsi="Arial" w:cs="Arial"/>
                <w:color w:val="000000"/>
              </w:rPr>
              <w:t>4,30</w:t>
            </w:r>
          </w:p>
        </w:tc>
        <w:tc>
          <w:tcPr>
            <w:tcW w:w="1006" w:type="dxa"/>
          </w:tcPr>
          <w:p w14:paraId="1A5A2730" w14:textId="77777777" w:rsidR="00A75D1A" w:rsidRDefault="00000000">
            <w:pPr>
              <w:jc w:val="center"/>
              <w:rPr>
                <w:rFonts w:ascii="Arial" w:hAnsi="Arial" w:cs="Arial"/>
                <w:color w:val="000000"/>
              </w:rPr>
            </w:pPr>
            <w:r>
              <w:rPr>
                <w:rFonts w:ascii="Arial" w:hAnsi="Arial" w:cs="Arial"/>
                <w:color w:val="000000"/>
              </w:rPr>
              <w:t>0.325</w:t>
            </w:r>
          </w:p>
        </w:tc>
        <w:tc>
          <w:tcPr>
            <w:tcW w:w="1924" w:type="dxa"/>
          </w:tcPr>
          <w:p w14:paraId="0F9E0C18" w14:textId="77777777" w:rsidR="00A75D1A" w:rsidRDefault="00000000">
            <w:pPr>
              <w:jc w:val="center"/>
              <w:rPr>
                <w:rFonts w:ascii="Arial" w:hAnsi="Arial" w:cs="Arial"/>
                <w:color w:val="000000"/>
              </w:rPr>
            </w:pPr>
            <w:r>
              <w:rPr>
                <w:rFonts w:ascii="Arial" w:hAnsi="Arial" w:cs="Arial"/>
                <w:color w:val="000000"/>
              </w:rPr>
              <w:t>Accept Ho</w:t>
            </w:r>
          </w:p>
        </w:tc>
      </w:tr>
      <w:tr w:rsidR="00A75D1A" w14:paraId="63B13E85" w14:textId="77777777">
        <w:trPr>
          <w:trHeight w:val="300"/>
        </w:trPr>
        <w:tc>
          <w:tcPr>
            <w:tcW w:w="4160" w:type="dxa"/>
            <w:noWrap/>
            <w:vAlign w:val="bottom"/>
          </w:tcPr>
          <w:p w14:paraId="443DB52D" w14:textId="77777777" w:rsidR="00A75D1A" w:rsidRDefault="00000000">
            <w:pPr>
              <w:pStyle w:val="ListParagraph"/>
              <w:numPr>
                <w:ilvl w:val="0"/>
                <w:numId w:val="2"/>
              </w:numPr>
              <w:spacing w:before="100" w:beforeAutospacing="1" w:after="100" w:afterAutospacing="1"/>
              <w:ind w:left="255" w:hanging="180"/>
              <w:rPr>
                <w:rFonts w:ascii="Arial" w:hAnsi="Arial" w:cs="Arial"/>
                <w:color w:val="000000"/>
                <w:sz w:val="20"/>
                <w:szCs w:val="20"/>
              </w:rPr>
            </w:pPr>
            <w:r>
              <w:rPr>
                <w:rFonts w:ascii="Arial" w:hAnsi="Arial" w:cs="Arial"/>
                <w:color w:val="000000"/>
                <w:sz w:val="20"/>
                <w:szCs w:val="20"/>
              </w:rPr>
              <w:t>Fathers’ Educational Attainment</w:t>
            </w:r>
          </w:p>
        </w:tc>
        <w:tc>
          <w:tcPr>
            <w:tcW w:w="1350" w:type="dxa"/>
            <w:noWrap/>
            <w:vAlign w:val="bottom"/>
          </w:tcPr>
          <w:p w14:paraId="0E5C60D5" w14:textId="77777777" w:rsidR="00A75D1A" w:rsidRDefault="00000000">
            <w:pPr>
              <w:rPr>
                <w:rFonts w:ascii="Arial" w:hAnsi="Arial" w:cs="Arial"/>
                <w:color w:val="000000"/>
              </w:rPr>
            </w:pPr>
            <w:r>
              <w:rPr>
                <w:rFonts w:ascii="Arial" w:hAnsi="Arial" w:cs="Arial"/>
                <w:color w:val="000000"/>
              </w:rPr>
              <w:t>0.079</w:t>
            </w:r>
          </w:p>
        </w:tc>
        <w:tc>
          <w:tcPr>
            <w:tcW w:w="830" w:type="dxa"/>
            <w:noWrap/>
            <w:vAlign w:val="bottom"/>
          </w:tcPr>
          <w:p w14:paraId="08FB8AEC" w14:textId="77777777" w:rsidR="00A75D1A" w:rsidRDefault="00000000">
            <w:pPr>
              <w:rPr>
                <w:rFonts w:ascii="Arial" w:hAnsi="Arial" w:cs="Arial"/>
                <w:color w:val="000000"/>
              </w:rPr>
            </w:pPr>
            <w:r>
              <w:rPr>
                <w:rFonts w:ascii="Arial" w:hAnsi="Arial" w:cs="Arial"/>
                <w:color w:val="000000"/>
              </w:rPr>
              <w:t>2,32</w:t>
            </w:r>
          </w:p>
        </w:tc>
        <w:tc>
          <w:tcPr>
            <w:tcW w:w="1006" w:type="dxa"/>
          </w:tcPr>
          <w:p w14:paraId="350D3469" w14:textId="77777777" w:rsidR="00A75D1A" w:rsidRDefault="00000000">
            <w:pPr>
              <w:jc w:val="center"/>
              <w:rPr>
                <w:rFonts w:ascii="Arial" w:hAnsi="Arial" w:cs="Arial"/>
                <w:color w:val="000000"/>
              </w:rPr>
            </w:pPr>
            <w:r>
              <w:rPr>
                <w:rFonts w:ascii="Arial" w:hAnsi="Arial" w:cs="Arial"/>
                <w:color w:val="000000"/>
              </w:rPr>
              <w:t>0.924</w:t>
            </w:r>
          </w:p>
        </w:tc>
        <w:tc>
          <w:tcPr>
            <w:tcW w:w="1924" w:type="dxa"/>
          </w:tcPr>
          <w:p w14:paraId="56A06E38" w14:textId="77777777" w:rsidR="00A75D1A" w:rsidRDefault="00000000">
            <w:pPr>
              <w:jc w:val="center"/>
              <w:rPr>
                <w:rFonts w:ascii="Arial" w:hAnsi="Arial" w:cs="Arial"/>
                <w:color w:val="000000"/>
              </w:rPr>
            </w:pPr>
            <w:r>
              <w:rPr>
                <w:rFonts w:ascii="Arial" w:hAnsi="Arial" w:cs="Arial"/>
                <w:color w:val="000000"/>
              </w:rPr>
              <w:t>Accept Ho</w:t>
            </w:r>
          </w:p>
        </w:tc>
      </w:tr>
      <w:tr w:rsidR="00A75D1A" w14:paraId="4C21E626" w14:textId="77777777">
        <w:trPr>
          <w:trHeight w:val="300"/>
        </w:trPr>
        <w:tc>
          <w:tcPr>
            <w:tcW w:w="4160" w:type="dxa"/>
            <w:noWrap/>
            <w:vAlign w:val="bottom"/>
          </w:tcPr>
          <w:p w14:paraId="21B86EE7" w14:textId="77777777" w:rsidR="00A75D1A" w:rsidRDefault="00000000">
            <w:pPr>
              <w:pStyle w:val="ListParagraph"/>
              <w:numPr>
                <w:ilvl w:val="0"/>
                <w:numId w:val="2"/>
              </w:numPr>
              <w:spacing w:before="100" w:beforeAutospacing="1" w:after="100" w:afterAutospacing="1"/>
              <w:ind w:left="255" w:hanging="180"/>
              <w:rPr>
                <w:rFonts w:ascii="Arial" w:hAnsi="Arial" w:cs="Arial"/>
                <w:color w:val="000000"/>
                <w:sz w:val="20"/>
                <w:szCs w:val="20"/>
              </w:rPr>
            </w:pPr>
            <w:r>
              <w:rPr>
                <w:rFonts w:ascii="Arial" w:hAnsi="Arial" w:cs="Arial"/>
                <w:color w:val="000000"/>
                <w:sz w:val="20"/>
                <w:szCs w:val="20"/>
              </w:rPr>
              <w:t>Mothers’ Educational Attainment</w:t>
            </w:r>
          </w:p>
        </w:tc>
        <w:tc>
          <w:tcPr>
            <w:tcW w:w="1350" w:type="dxa"/>
            <w:noWrap/>
            <w:vAlign w:val="bottom"/>
          </w:tcPr>
          <w:p w14:paraId="3B834DB0" w14:textId="77777777" w:rsidR="00A75D1A" w:rsidRDefault="00000000">
            <w:pPr>
              <w:rPr>
                <w:rFonts w:ascii="Arial" w:hAnsi="Arial" w:cs="Arial"/>
                <w:color w:val="000000"/>
              </w:rPr>
            </w:pPr>
            <w:r>
              <w:rPr>
                <w:rFonts w:ascii="Arial" w:hAnsi="Arial" w:cs="Arial"/>
                <w:color w:val="000000"/>
              </w:rPr>
              <w:t>2.218</w:t>
            </w:r>
          </w:p>
        </w:tc>
        <w:tc>
          <w:tcPr>
            <w:tcW w:w="830" w:type="dxa"/>
            <w:noWrap/>
            <w:vAlign w:val="bottom"/>
          </w:tcPr>
          <w:p w14:paraId="37483480" w14:textId="77777777" w:rsidR="00A75D1A" w:rsidRDefault="00000000">
            <w:pPr>
              <w:rPr>
                <w:rFonts w:ascii="Arial" w:hAnsi="Arial" w:cs="Arial"/>
                <w:color w:val="000000"/>
              </w:rPr>
            </w:pPr>
            <w:r>
              <w:rPr>
                <w:rFonts w:ascii="Arial" w:hAnsi="Arial" w:cs="Arial"/>
                <w:color w:val="000000"/>
              </w:rPr>
              <w:t>3,31</w:t>
            </w:r>
          </w:p>
        </w:tc>
        <w:tc>
          <w:tcPr>
            <w:tcW w:w="1006" w:type="dxa"/>
          </w:tcPr>
          <w:p w14:paraId="6812EAFD" w14:textId="77777777" w:rsidR="00A75D1A" w:rsidRDefault="00000000">
            <w:pPr>
              <w:jc w:val="center"/>
              <w:rPr>
                <w:rFonts w:ascii="Arial" w:hAnsi="Arial" w:cs="Arial"/>
                <w:color w:val="000000"/>
              </w:rPr>
            </w:pPr>
            <w:r>
              <w:rPr>
                <w:rFonts w:ascii="Arial" w:hAnsi="Arial" w:cs="Arial"/>
                <w:color w:val="000000"/>
              </w:rPr>
              <w:t>0.106</w:t>
            </w:r>
          </w:p>
        </w:tc>
        <w:tc>
          <w:tcPr>
            <w:tcW w:w="1924" w:type="dxa"/>
          </w:tcPr>
          <w:p w14:paraId="38CDD99B" w14:textId="77777777" w:rsidR="00A75D1A" w:rsidRDefault="00000000">
            <w:pPr>
              <w:jc w:val="center"/>
              <w:rPr>
                <w:rFonts w:ascii="Arial" w:hAnsi="Arial" w:cs="Arial"/>
                <w:color w:val="000000"/>
              </w:rPr>
            </w:pPr>
            <w:r>
              <w:rPr>
                <w:rFonts w:ascii="Arial" w:hAnsi="Arial" w:cs="Arial"/>
                <w:color w:val="000000"/>
              </w:rPr>
              <w:t>Accept Ho</w:t>
            </w:r>
          </w:p>
        </w:tc>
      </w:tr>
    </w:tbl>
    <w:p w14:paraId="4B872DA6" w14:textId="77777777" w:rsidR="00A75D1A" w:rsidRDefault="00000000">
      <w:pPr>
        <w:jc w:val="both"/>
        <w:rPr>
          <w:rFonts w:ascii="Arial" w:hAnsi="Arial" w:cs="Arial"/>
        </w:rPr>
      </w:pPr>
      <w:r>
        <w:rPr>
          <w:rFonts w:ascii="Arial" w:hAnsi="Arial" w:cs="Arial"/>
        </w:rPr>
        <w:t xml:space="preserve"> </w:t>
      </w:r>
    </w:p>
    <w:p w14:paraId="1BEF1E16" w14:textId="77777777" w:rsidR="00A75D1A" w:rsidRDefault="00000000">
      <w:pPr>
        <w:ind w:firstLine="720"/>
        <w:jc w:val="both"/>
        <w:rPr>
          <w:rFonts w:ascii="Arial" w:hAnsi="Arial" w:cs="Arial"/>
        </w:rPr>
      </w:pPr>
      <w:r>
        <w:rPr>
          <w:rFonts w:ascii="Arial" w:hAnsi="Arial" w:cs="Arial"/>
        </w:rPr>
        <w:t>Table 4 indicates that the computed p-values for the tests of significant difference in the level of reading comprehension of Grade 7 students, when grouped according to profile, are all higher than the 0.05 alpha level. Consequently, the null hypotheses are accepted for all variables. Therefore, there is no significant difference in the level of reading comprehension of Grade 7 students when grouped according to profile. This implies that the level of reading comprehension of Grade 7 students does not significantly vary based on their age, sex, or educational attainment of parents.</w:t>
      </w:r>
    </w:p>
    <w:p w14:paraId="3F61F13B" w14:textId="77777777" w:rsidR="00A75D1A" w:rsidRDefault="00000000">
      <w:pPr>
        <w:ind w:firstLine="720"/>
        <w:jc w:val="both"/>
        <w:rPr>
          <w:rFonts w:ascii="Arial" w:hAnsi="Arial" w:cs="Arial"/>
        </w:rPr>
      </w:pPr>
      <w:r>
        <w:rPr>
          <w:rFonts w:ascii="Arial" w:hAnsi="Arial" w:cs="Arial"/>
        </w:rPr>
        <w:t>The relationship between sex and level of reading comprehension in Grade 7 students is further explored by studies. While the heritability of reading skills, including comprehension, remains consistent across genders, empirical findings suggest that female students tend to outperform male students in reading comprehension tasks (</w:t>
      </w:r>
      <w:proofErr w:type="spellStart"/>
      <w:r>
        <w:t>Glomo-Narzoles</w:t>
      </w:r>
      <w:proofErr w:type="spellEnd"/>
      <w:r>
        <w:t xml:space="preserve"> &amp; </w:t>
      </w:r>
      <w:proofErr w:type="spellStart"/>
      <w:r>
        <w:t>Glomo</w:t>
      </w:r>
      <w:proofErr w:type="spellEnd"/>
      <w:r>
        <w:t>-Palermo, 2020)</w:t>
      </w:r>
      <w:r>
        <w:rPr>
          <w:rFonts w:ascii="Arial" w:hAnsi="Arial" w:cs="Arial"/>
        </w:rPr>
        <w:t>. This implies a potential gender difference in reading comprehension abilities, indicating that factors beyond genetics, such as educational or social influences, may contribute to these observed disparities (</w:t>
      </w:r>
      <w:r>
        <w:t>Harper et. al, 2021)</w:t>
      </w:r>
      <w:r>
        <w:rPr>
          <w:rFonts w:ascii="Arial" w:hAnsi="Arial" w:cs="Arial"/>
        </w:rPr>
        <w:t>.</w:t>
      </w:r>
    </w:p>
    <w:p w14:paraId="2B7049F7" w14:textId="77777777" w:rsidR="00A75D1A" w:rsidRDefault="00000000">
      <w:pPr>
        <w:ind w:firstLine="720"/>
        <w:jc w:val="both"/>
        <w:rPr>
          <w:rFonts w:ascii="Arial" w:hAnsi="Arial" w:cs="Arial"/>
        </w:rPr>
      </w:pPr>
      <w:r>
        <w:rPr>
          <w:rFonts w:ascii="Arial" w:hAnsi="Arial" w:cs="Arial"/>
        </w:rPr>
        <w:t xml:space="preserve">The research findings are supported by studies examining Grade 7 students' reading comprehension and its correlation to age. The study of </w:t>
      </w:r>
      <w:proofErr w:type="spellStart"/>
      <w:r>
        <w:t>Eslit</w:t>
      </w:r>
      <w:proofErr w:type="spellEnd"/>
      <w:r>
        <w:t xml:space="preserve">, &amp; Valderama, (2023) </w:t>
      </w:r>
      <w:r>
        <w:rPr>
          <w:rFonts w:ascii="Arial" w:hAnsi="Arial" w:cs="Arial"/>
        </w:rPr>
        <w:t xml:space="preserve">indicates that Grade 7 students exhibit lower reported usage of self-regulated learning skills compared to those in neighboring grades, suggesting potential mediation by age or school organizational differences that could impact comprehension. Additionally, </w:t>
      </w:r>
      <w:proofErr w:type="spellStart"/>
      <w:r>
        <w:rPr>
          <w:lang w:val="en-PH"/>
        </w:rPr>
        <w:t>Sanunrum</w:t>
      </w:r>
      <w:proofErr w:type="spellEnd"/>
      <w:r>
        <w:rPr>
          <w:lang w:val="en-PH"/>
        </w:rPr>
        <w:t xml:space="preserve"> &amp; </w:t>
      </w:r>
      <w:proofErr w:type="spellStart"/>
      <w:r>
        <w:rPr>
          <w:lang w:val="en-PH"/>
        </w:rPr>
        <w:t>Wongleedee</w:t>
      </w:r>
      <w:proofErr w:type="spellEnd"/>
      <w:r>
        <w:rPr>
          <w:lang w:val="en-PH"/>
        </w:rPr>
        <w:t xml:space="preserve">, (2019) </w:t>
      </w:r>
      <w:r>
        <w:rPr>
          <w:rFonts w:ascii="Arial" w:hAnsi="Arial" w:cs="Arial"/>
        </w:rPr>
        <w:t xml:space="preserve">reveals a connection between reading fluency and comprehension among seventh-grade students, with age differences potentially influencing this relationship. </w:t>
      </w:r>
    </w:p>
    <w:p w14:paraId="0DD240EE" w14:textId="77777777" w:rsidR="00A75D1A" w:rsidRDefault="00000000">
      <w:pPr>
        <w:ind w:firstLine="720"/>
        <w:jc w:val="both"/>
        <w:rPr>
          <w:rFonts w:ascii="Arial" w:hAnsi="Arial" w:cs="Arial"/>
        </w:rPr>
      </w:pPr>
      <w:r>
        <w:rPr>
          <w:rFonts w:ascii="Arial" w:hAnsi="Arial" w:cs="Arial"/>
        </w:rPr>
        <w:t>The research findings are further supported by the significant impact of parental educational attainment and involvement on Grade 7 students' reading comprehension. Studies show that parental involvement positively influences academic performance, particularly with maternal engagement while parental factors like education level predict reading difficulties (</w:t>
      </w:r>
      <w:r>
        <w:t>Toyon, 2021)</w:t>
      </w:r>
      <w:r>
        <w:rPr>
          <w:rFonts w:ascii="Arial" w:hAnsi="Arial" w:cs="Arial"/>
        </w:rPr>
        <w:t>. Additionally, parental education correlates with reading promotion activities and subsequent achievement and higher parental educational attainment is linked with increased involvement and better academic performance (</w:t>
      </w:r>
      <w:proofErr w:type="spellStart"/>
      <w:r>
        <w:t>Mahriza</w:t>
      </w:r>
      <w:proofErr w:type="spellEnd"/>
      <w:r>
        <w:t xml:space="preserve"> &amp; </w:t>
      </w:r>
      <w:proofErr w:type="spellStart"/>
      <w:r>
        <w:t>Meutiar</w:t>
      </w:r>
      <w:proofErr w:type="spellEnd"/>
      <w:r>
        <w:t>, 2023)</w:t>
      </w:r>
      <w:r>
        <w:rPr>
          <w:rFonts w:ascii="Arial" w:hAnsi="Arial" w:cs="Arial"/>
        </w:rPr>
        <w:t xml:space="preserve">. </w:t>
      </w:r>
    </w:p>
    <w:p w14:paraId="2A279148" w14:textId="77777777" w:rsidR="00A75D1A" w:rsidRDefault="00A75D1A">
      <w:pPr>
        <w:ind w:firstLine="720"/>
        <w:jc w:val="both"/>
        <w:rPr>
          <w:rFonts w:ascii="Arial" w:hAnsi="Arial" w:cs="Arial"/>
          <w:b/>
          <w:bCs/>
        </w:rPr>
      </w:pPr>
    </w:p>
    <w:p w14:paraId="5611A6C7" w14:textId="77777777" w:rsidR="00A75D1A" w:rsidRDefault="00000000">
      <w:pPr>
        <w:jc w:val="both"/>
        <w:rPr>
          <w:rFonts w:ascii="Arial" w:hAnsi="Arial" w:cs="Arial"/>
          <w:b/>
          <w:bCs/>
        </w:rPr>
      </w:pPr>
      <w:r>
        <w:rPr>
          <w:rFonts w:ascii="Arial" w:hAnsi="Arial" w:cs="Arial"/>
          <w:b/>
          <w:bCs/>
        </w:rPr>
        <w:t>Table 5. Test of Significant difference in the level of reading comprehension of the Grade 7 students when grouped according to profile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571"/>
        <w:gridCol w:w="756"/>
        <w:gridCol w:w="894"/>
        <w:gridCol w:w="704"/>
        <w:gridCol w:w="630"/>
        <w:gridCol w:w="1051"/>
        <w:gridCol w:w="2165"/>
      </w:tblGrid>
      <w:tr w:rsidR="00A75D1A" w14:paraId="5A36D2FC" w14:textId="77777777">
        <w:trPr>
          <w:trHeight w:val="70"/>
          <w:jc w:val="center"/>
        </w:trPr>
        <w:tc>
          <w:tcPr>
            <w:tcW w:w="2160" w:type="dxa"/>
            <w:noWrap/>
            <w:vAlign w:val="bottom"/>
          </w:tcPr>
          <w:p w14:paraId="7E380298" w14:textId="77777777" w:rsidR="00A75D1A" w:rsidRDefault="00000000">
            <w:pPr>
              <w:rPr>
                <w:rFonts w:ascii="Arial" w:hAnsi="Arial" w:cs="Arial"/>
                <w:color w:val="000000"/>
              </w:rPr>
            </w:pPr>
            <w:r>
              <w:rPr>
                <w:rFonts w:ascii="Arial" w:hAnsi="Arial" w:cs="Arial"/>
                <w:color w:val="000000"/>
              </w:rPr>
              <w:t>Indicators</w:t>
            </w:r>
          </w:p>
        </w:tc>
        <w:tc>
          <w:tcPr>
            <w:tcW w:w="593" w:type="dxa"/>
          </w:tcPr>
          <w:p w14:paraId="45C88D69" w14:textId="77777777" w:rsidR="00A75D1A" w:rsidRDefault="00000000">
            <w:pPr>
              <w:rPr>
                <w:rFonts w:ascii="Arial" w:hAnsi="Arial" w:cs="Arial"/>
                <w:color w:val="000000"/>
              </w:rPr>
            </w:pPr>
            <w:r>
              <w:rPr>
                <w:rFonts w:ascii="Arial" w:hAnsi="Arial" w:cs="Arial"/>
                <w:color w:val="000000"/>
              </w:rPr>
              <w:t>N</w:t>
            </w:r>
          </w:p>
        </w:tc>
        <w:tc>
          <w:tcPr>
            <w:tcW w:w="763" w:type="dxa"/>
          </w:tcPr>
          <w:p w14:paraId="39E5C94A" w14:textId="77777777" w:rsidR="00A75D1A" w:rsidRDefault="00000000">
            <w:pPr>
              <w:rPr>
                <w:rFonts w:ascii="Arial" w:hAnsi="Arial" w:cs="Arial"/>
                <w:color w:val="000000"/>
              </w:rPr>
            </w:pPr>
            <w:r>
              <w:rPr>
                <w:rFonts w:ascii="Arial" w:hAnsi="Arial" w:cs="Arial"/>
                <w:color w:val="000000"/>
              </w:rPr>
              <w:t>Mean</w:t>
            </w:r>
          </w:p>
        </w:tc>
        <w:tc>
          <w:tcPr>
            <w:tcW w:w="894" w:type="dxa"/>
            <w:noWrap/>
            <w:vAlign w:val="bottom"/>
          </w:tcPr>
          <w:p w14:paraId="3F67F50C" w14:textId="77777777" w:rsidR="00A75D1A" w:rsidRDefault="00000000">
            <w:pPr>
              <w:rPr>
                <w:rFonts w:ascii="Arial" w:hAnsi="Arial" w:cs="Arial"/>
                <w:color w:val="000000"/>
              </w:rPr>
            </w:pPr>
            <w:r>
              <w:rPr>
                <w:rFonts w:ascii="Arial" w:hAnsi="Arial" w:cs="Arial"/>
                <w:color w:val="000000"/>
              </w:rPr>
              <w:t>Sd</w:t>
            </w:r>
          </w:p>
        </w:tc>
        <w:tc>
          <w:tcPr>
            <w:tcW w:w="720" w:type="dxa"/>
          </w:tcPr>
          <w:p w14:paraId="1230AD0C" w14:textId="77777777" w:rsidR="00A75D1A" w:rsidRDefault="00000000">
            <w:pPr>
              <w:rPr>
                <w:rFonts w:ascii="Arial" w:hAnsi="Arial" w:cs="Arial"/>
                <w:color w:val="000000"/>
              </w:rPr>
            </w:pPr>
            <w:r>
              <w:rPr>
                <w:rFonts w:ascii="Arial" w:hAnsi="Arial" w:cs="Arial"/>
                <w:color w:val="000000"/>
              </w:rPr>
              <w:t>t</w:t>
            </w:r>
          </w:p>
        </w:tc>
        <w:tc>
          <w:tcPr>
            <w:tcW w:w="630" w:type="dxa"/>
            <w:noWrap/>
            <w:vAlign w:val="bottom"/>
          </w:tcPr>
          <w:p w14:paraId="706B571C" w14:textId="77777777" w:rsidR="00A75D1A" w:rsidRDefault="00000000">
            <w:pPr>
              <w:rPr>
                <w:rFonts w:ascii="Arial" w:hAnsi="Arial" w:cs="Arial"/>
                <w:color w:val="000000"/>
              </w:rPr>
            </w:pPr>
            <w:proofErr w:type="spellStart"/>
            <w:r>
              <w:rPr>
                <w:rFonts w:ascii="Arial" w:hAnsi="Arial" w:cs="Arial"/>
                <w:color w:val="000000"/>
              </w:rPr>
              <w:t>Df</w:t>
            </w:r>
            <w:proofErr w:type="spellEnd"/>
          </w:p>
        </w:tc>
        <w:tc>
          <w:tcPr>
            <w:tcW w:w="810" w:type="dxa"/>
          </w:tcPr>
          <w:p w14:paraId="60F9BE63" w14:textId="77777777" w:rsidR="00A75D1A" w:rsidRDefault="00000000">
            <w:pPr>
              <w:rPr>
                <w:rFonts w:ascii="Arial" w:hAnsi="Arial" w:cs="Arial"/>
                <w:color w:val="000000"/>
              </w:rPr>
            </w:pPr>
            <w:r>
              <w:rPr>
                <w:rFonts w:ascii="Arial" w:hAnsi="Arial" w:cs="Arial"/>
                <w:color w:val="000000"/>
              </w:rPr>
              <w:t>P</w:t>
            </w:r>
          </w:p>
        </w:tc>
        <w:tc>
          <w:tcPr>
            <w:tcW w:w="2361" w:type="dxa"/>
          </w:tcPr>
          <w:p w14:paraId="6809C77C" w14:textId="77777777" w:rsidR="00A75D1A" w:rsidRDefault="00000000">
            <w:pPr>
              <w:jc w:val="center"/>
              <w:rPr>
                <w:rFonts w:ascii="Arial" w:hAnsi="Arial" w:cs="Arial"/>
                <w:bCs/>
              </w:rPr>
            </w:pPr>
            <w:r>
              <w:rPr>
                <w:rFonts w:ascii="Arial" w:hAnsi="Arial" w:cs="Arial"/>
                <w:bCs/>
              </w:rPr>
              <w:t>Decision at α=0.05</w:t>
            </w:r>
          </w:p>
        </w:tc>
      </w:tr>
      <w:tr w:rsidR="00A75D1A" w14:paraId="71191CD7" w14:textId="77777777">
        <w:trPr>
          <w:trHeight w:val="300"/>
          <w:jc w:val="center"/>
        </w:trPr>
        <w:tc>
          <w:tcPr>
            <w:tcW w:w="2160" w:type="dxa"/>
            <w:noWrap/>
            <w:vAlign w:val="bottom"/>
          </w:tcPr>
          <w:p w14:paraId="0448FFD1" w14:textId="77777777" w:rsidR="00A75D1A" w:rsidRDefault="00000000">
            <w:pPr>
              <w:pStyle w:val="ListParagraph"/>
              <w:ind w:left="-15" w:firstLine="15"/>
              <w:rPr>
                <w:rFonts w:ascii="Arial" w:hAnsi="Arial" w:cs="Arial"/>
                <w:color w:val="000000"/>
                <w:sz w:val="20"/>
                <w:szCs w:val="20"/>
              </w:rPr>
            </w:pPr>
            <w:r>
              <w:rPr>
                <w:rFonts w:ascii="Arial" w:hAnsi="Arial" w:cs="Arial"/>
                <w:color w:val="000000"/>
                <w:sz w:val="20"/>
                <w:szCs w:val="20"/>
              </w:rPr>
              <w:t xml:space="preserve">Reading Performance before the TUTOK BASA Program </w:t>
            </w:r>
          </w:p>
        </w:tc>
        <w:tc>
          <w:tcPr>
            <w:tcW w:w="593" w:type="dxa"/>
          </w:tcPr>
          <w:p w14:paraId="7F8AA879" w14:textId="77777777" w:rsidR="00A75D1A" w:rsidRDefault="00A75D1A">
            <w:pPr>
              <w:rPr>
                <w:rFonts w:ascii="Arial" w:hAnsi="Arial" w:cs="Arial"/>
                <w:color w:val="000000"/>
              </w:rPr>
            </w:pPr>
          </w:p>
          <w:p w14:paraId="056E28F7" w14:textId="77777777" w:rsidR="00A75D1A" w:rsidRDefault="00000000">
            <w:pPr>
              <w:rPr>
                <w:rFonts w:ascii="Arial" w:hAnsi="Arial" w:cs="Arial"/>
                <w:color w:val="000000"/>
              </w:rPr>
            </w:pPr>
            <w:r>
              <w:rPr>
                <w:rFonts w:ascii="Arial" w:hAnsi="Arial" w:cs="Arial"/>
                <w:color w:val="000000"/>
              </w:rPr>
              <w:t>35</w:t>
            </w:r>
          </w:p>
        </w:tc>
        <w:tc>
          <w:tcPr>
            <w:tcW w:w="763" w:type="dxa"/>
          </w:tcPr>
          <w:p w14:paraId="6E263AB5" w14:textId="77777777" w:rsidR="00A75D1A" w:rsidRDefault="00A75D1A">
            <w:pPr>
              <w:rPr>
                <w:rFonts w:ascii="Arial" w:hAnsi="Arial" w:cs="Arial"/>
                <w:color w:val="000000"/>
              </w:rPr>
            </w:pPr>
          </w:p>
          <w:p w14:paraId="4BA72DAF" w14:textId="77777777" w:rsidR="00A75D1A" w:rsidRDefault="00000000">
            <w:pPr>
              <w:rPr>
                <w:rFonts w:ascii="Arial" w:hAnsi="Arial" w:cs="Arial"/>
                <w:color w:val="000000"/>
              </w:rPr>
            </w:pPr>
            <w:r>
              <w:rPr>
                <w:rFonts w:ascii="Arial" w:hAnsi="Arial" w:cs="Arial"/>
                <w:color w:val="000000"/>
              </w:rPr>
              <w:t>60.31</w:t>
            </w:r>
          </w:p>
        </w:tc>
        <w:tc>
          <w:tcPr>
            <w:tcW w:w="894" w:type="dxa"/>
            <w:noWrap/>
            <w:vAlign w:val="bottom"/>
          </w:tcPr>
          <w:p w14:paraId="67907D32" w14:textId="77777777" w:rsidR="00A75D1A" w:rsidRDefault="00000000">
            <w:pPr>
              <w:rPr>
                <w:rFonts w:ascii="Arial" w:hAnsi="Arial" w:cs="Arial"/>
                <w:color w:val="000000"/>
              </w:rPr>
            </w:pPr>
            <w:r>
              <w:rPr>
                <w:rFonts w:ascii="Arial" w:hAnsi="Arial" w:cs="Arial"/>
                <w:color w:val="000000"/>
              </w:rPr>
              <w:t>22. 18</w:t>
            </w:r>
          </w:p>
          <w:p w14:paraId="2D1FD336" w14:textId="77777777" w:rsidR="00A75D1A" w:rsidRDefault="00A75D1A">
            <w:pPr>
              <w:rPr>
                <w:rFonts w:ascii="Arial" w:hAnsi="Arial" w:cs="Arial"/>
                <w:color w:val="000000"/>
              </w:rPr>
            </w:pPr>
          </w:p>
          <w:p w14:paraId="38F6959C" w14:textId="77777777" w:rsidR="00A75D1A" w:rsidRDefault="00A75D1A">
            <w:pPr>
              <w:rPr>
                <w:rFonts w:ascii="Arial" w:hAnsi="Arial" w:cs="Arial"/>
                <w:color w:val="000000"/>
              </w:rPr>
            </w:pPr>
          </w:p>
        </w:tc>
        <w:tc>
          <w:tcPr>
            <w:tcW w:w="720" w:type="dxa"/>
            <w:vMerge w:val="restart"/>
          </w:tcPr>
          <w:p w14:paraId="66D65717" w14:textId="77777777" w:rsidR="00A75D1A" w:rsidRDefault="00A75D1A">
            <w:pPr>
              <w:rPr>
                <w:rFonts w:ascii="Arial" w:hAnsi="Arial" w:cs="Arial"/>
                <w:color w:val="000000"/>
              </w:rPr>
            </w:pPr>
          </w:p>
          <w:p w14:paraId="47D7E9E4" w14:textId="77777777" w:rsidR="00A75D1A" w:rsidRDefault="00A75D1A">
            <w:pPr>
              <w:rPr>
                <w:rFonts w:ascii="Arial" w:hAnsi="Arial" w:cs="Arial"/>
                <w:color w:val="000000"/>
              </w:rPr>
            </w:pPr>
          </w:p>
          <w:p w14:paraId="4134B62E" w14:textId="77777777" w:rsidR="00A75D1A" w:rsidRDefault="00A75D1A">
            <w:pPr>
              <w:rPr>
                <w:rFonts w:ascii="Arial" w:hAnsi="Arial" w:cs="Arial"/>
                <w:color w:val="000000"/>
              </w:rPr>
            </w:pPr>
          </w:p>
          <w:p w14:paraId="1E3DE133" w14:textId="77777777" w:rsidR="00A75D1A" w:rsidRDefault="00000000">
            <w:pPr>
              <w:rPr>
                <w:rFonts w:ascii="Arial" w:hAnsi="Arial" w:cs="Arial"/>
                <w:color w:val="000000"/>
              </w:rPr>
            </w:pPr>
            <w:r>
              <w:rPr>
                <w:rFonts w:ascii="Arial" w:hAnsi="Arial" w:cs="Arial"/>
                <w:color w:val="000000"/>
              </w:rPr>
              <w:t>7.85</w:t>
            </w:r>
          </w:p>
        </w:tc>
        <w:tc>
          <w:tcPr>
            <w:tcW w:w="630" w:type="dxa"/>
            <w:vMerge w:val="restart"/>
            <w:noWrap/>
            <w:vAlign w:val="bottom"/>
          </w:tcPr>
          <w:p w14:paraId="46F516E0" w14:textId="77777777" w:rsidR="00A75D1A" w:rsidRDefault="00A75D1A">
            <w:pPr>
              <w:rPr>
                <w:rFonts w:ascii="Arial" w:hAnsi="Arial" w:cs="Arial"/>
                <w:color w:val="000000"/>
              </w:rPr>
            </w:pPr>
          </w:p>
          <w:p w14:paraId="437B75CD" w14:textId="77777777" w:rsidR="00A75D1A" w:rsidRDefault="00000000">
            <w:pPr>
              <w:rPr>
                <w:rFonts w:ascii="Arial" w:hAnsi="Arial" w:cs="Arial"/>
                <w:color w:val="000000"/>
              </w:rPr>
            </w:pPr>
            <w:r>
              <w:rPr>
                <w:rFonts w:ascii="Arial" w:hAnsi="Arial" w:cs="Arial"/>
                <w:color w:val="000000"/>
              </w:rPr>
              <w:t xml:space="preserve">        </w:t>
            </w:r>
          </w:p>
          <w:p w14:paraId="72631EEC" w14:textId="77777777" w:rsidR="00A75D1A" w:rsidRDefault="00A75D1A">
            <w:pPr>
              <w:rPr>
                <w:rFonts w:ascii="Arial" w:hAnsi="Arial" w:cs="Arial"/>
                <w:color w:val="000000"/>
              </w:rPr>
            </w:pPr>
          </w:p>
          <w:p w14:paraId="5FA641B0" w14:textId="77777777" w:rsidR="00A75D1A" w:rsidRDefault="00000000">
            <w:pPr>
              <w:rPr>
                <w:rFonts w:ascii="Arial" w:hAnsi="Arial" w:cs="Arial"/>
                <w:color w:val="000000"/>
              </w:rPr>
            </w:pPr>
            <w:r>
              <w:rPr>
                <w:rFonts w:ascii="Arial" w:hAnsi="Arial" w:cs="Arial"/>
                <w:color w:val="000000"/>
              </w:rPr>
              <w:t>34</w:t>
            </w:r>
          </w:p>
          <w:p w14:paraId="0832E3D1" w14:textId="77777777" w:rsidR="00A75D1A" w:rsidRDefault="00A75D1A">
            <w:pPr>
              <w:rPr>
                <w:rFonts w:ascii="Arial" w:hAnsi="Arial" w:cs="Arial"/>
                <w:color w:val="000000"/>
              </w:rPr>
            </w:pPr>
          </w:p>
          <w:p w14:paraId="235A8B77" w14:textId="77777777" w:rsidR="00A75D1A" w:rsidRDefault="00A75D1A">
            <w:pPr>
              <w:rPr>
                <w:rFonts w:ascii="Arial" w:hAnsi="Arial" w:cs="Arial"/>
                <w:color w:val="000000"/>
              </w:rPr>
            </w:pPr>
          </w:p>
          <w:p w14:paraId="63A51318" w14:textId="77777777" w:rsidR="00A75D1A" w:rsidRDefault="00A75D1A">
            <w:pPr>
              <w:rPr>
                <w:rFonts w:ascii="Arial" w:hAnsi="Arial" w:cs="Arial"/>
                <w:color w:val="000000"/>
              </w:rPr>
            </w:pPr>
          </w:p>
          <w:p w14:paraId="4EDA68C5" w14:textId="77777777" w:rsidR="00A75D1A" w:rsidRDefault="00A75D1A">
            <w:pPr>
              <w:rPr>
                <w:rFonts w:ascii="Arial" w:hAnsi="Arial" w:cs="Arial"/>
                <w:color w:val="000000"/>
              </w:rPr>
            </w:pPr>
          </w:p>
        </w:tc>
        <w:tc>
          <w:tcPr>
            <w:tcW w:w="810" w:type="dxa"/>
            <w:vMerge w:val="restart"/>
          </w:tcPr>
          <w:p w14:paraId="2BF21A5F" w14:textId="77777777" w:rsidR="00A75D1A" w:rsidRDefault="00A75D1A">
            <w:pPr>
              <w:rPr>
                <w:rFonts w:ascii="Arial" w:hAnsi="Arial" w:cs="Arial"/>
                <w:color w:val="000000"/>
              </w:rPr>
            </w:pPr>
          </w:p>
          <w:p w14:paraId="01EA68F6" w14:textId="77777777" w:rsidR="00A75D1A" w:rsidRDefault="00A75D1A">
            <w:pPr>
              <w:rPr>
                <w:rFonts w:ascii="Arial" w:hAnsi="Arial" w:cs="Arial"/>
                <w:color w:val="000000"/>
              </w:rPr>
            </w:pPr>
          </w:p>
          <w:p w14:paraId="18C94C8F" w14:textId="77777777" w:rsidR="00A75D1A" w:rsidRDefault="00A75D1A">
            <w:pPr>
              <w:rPr>
                <w:rFonts w:ascii="Arial" w:hAnsi="Arial" w:cs="Arial"/>
                <w:color w:val="000000"/>
              </w:rPr>
            </w:pPr>
          </w:p>
          <w:p w14:paraId="7D8ABD59" w14:textId="77777777" w:rsidR="00A75D1A" w:rsidRDefault="00000000">
            <w:pPr>
              <w:rPr>
                <w:rFonts w:ascii="Arial" w:hAnsi="Arial" w:cs="Arial"/>
                <w:color w:val="000000"/>
              </w:rPr>
            </w:pPr>
            <w:r>
              <w:rPr>
                <w:rFonts w:ascii="Arial" w:hAnsi="Arial" w:cs="Arial"/>
                <w:color w:val="000000"/>
              </w:rPr>
              <w:t>.0000001</w:t>
            </w:r>
          </w:p>
        </w:tc>
        <w:tc>
          <w:tcPr>
            <w:tcW w:w="2361" w:type="dxa"/>
            <w:vMerge w:val="restart"/>
          </w:tcPr>
          <w:p w14:paraId="4E8F0767" w14:textId="77777777" w:rsidR="00A75D1A" w:rsidRDefault="00A75D1A">
            <w:pPr>
              <w:jc w:val="center"/>
              <w:rPr>
                <w:rFonts w:ascii="Arial" w:hAnsi="Arial" w:cs="Arial"/>
                <w:color w:val="000000"/>
              </w:rPr>
            </w:pPr>
          </w:p>
          <w:p w14:paraId="601BCEDC" w14:textId="77777777" w:rsidR="00A75D1A" w:rsidRDefault="00A75D1A">
            <w:pPr>
              <w:jc w:val="center"/>
              <w:rPr>
                <w:rFonts w:ascii="Arial" w:hAnsi="Arial" w:cs="Arial"/>
                <w:color w:val="000000"/>
              </w:rPr>
            </w:pPr>
          </w:p>
          <w:p w14:paraId="25DBC2F6" w14:textId="77777777" w:rsidR="00A75D1A" w:rsidRDefault="00A75D1A">
            <w:pPr>
              <w:jc w:val="center"/>
              <w:rPr>
                <w:rFonts w:ascii="Arial" w:hAnsi="Arial" w:cs="Arial"/>
                <w:color w:val="000000"/>
              </w:rPr>
            </w:pPr>
          </w:p>
          <w:p w14:paraId="7AD32690" w14:textId="77777777" w:rsidR="00A75D1A" w:rsidRDefault="00000000">
            <w:pPr>
              <w:jc w:val="center"/>
              <w:rPr>
                <w:rFonts w:ascii="Arial" w:hAnsi="Arial" w:cs="Arial"/>
                <w:color w:val="000000"/>
              </w:rPr>
            </w:pPr>
            <w:proofErr w:type="gramStart"/>
            <w:r>
              <w:rPr>
                <w:rFonts w:ascii="Arial" w:hAnsi="Arial" w:cs="Arial"/>
                <w:color w:val="000000"/>
              </w:rPr>
              <w:t>Reject  Ho</w:t>
            </w:r>
            <w:proofErr w:type="gramEnd"/>
          </w:p>
          <w:p w14:paraId="117B624B" w14:textId="77777777" w:rsidR="00A75D1A" w:rsidRDefault="00A75D1A">
            <w:pPr>
              <w:jc w:val="center"/>
              <w:rPr>
                <w:rFonts w:ascii="Arial" w:hAnsi="Arial" w:cs="Arial"/>
                <w:color w:val="000000"/>
              </w:rPr>
            </w:pPr>
          </w:p>
          <w:p w14:paraId="45769403" w14:textId="77777777" w:rsidR="00A75D1A" w:rsidRDefault="00A75D1A">
            <w:pPr>
              <w:jc w:val="center"/>
              <w:rPr>
                <w:rFonts w:ascii="Arial" w:hAnsi="Arial" w:cs="Arial"/>
                <w:color w:val="000000"/>
              </w:rPr>
            </w:pPr>
          </w:p>
        </w:tc>
      </w:tr>
      <w:tr w:rsidR="00A75D1A" w14:paraId="4AAC70DD" w14:textId="77777777">
        <w:trPr>
          <w:trHeight w:val="178"/>
          <w:jc w:val="center"/>
        </w:trPr>
        <w:tc>
          <w:tcPr>
            <w:tcW w:w="2160" w:type="dxa"/>
            <w:noWrap/>
            <w:vAlign w:val="bottom"/>
          </w:tcPr>
          <w:p w14:paraId="6B745791" w14:textId="77777777" w:rsidR="00A75D1A" w:rsidRDefault="00000000">
            <w:pPr>
              <w:rPr>
                <w:rFonts w:ascii="Arial" w:hAnsi="Arial" w:cs="Arial"/>
                <w:color w:val="000000"/>
              </w:rPr>
            </w:pPr>
            <w:r>
              <w:rPr>
                <w:rFonts w:ascii="Arial" w:hAnsi="Arial" w:cs="Arial"/>
                <w:color w:val="000000"/>
              </w:rPr>
              <w:t>Reading Performance After the TUTOK BASA Program</w:t>
            </w:r>
          </w:p>
        </w:tc>
        <w:tc>
          <w:tcPr>
            <w:tcW w:w="593" w:type="dxa"/>
          </w:tcPr>
          <w:p w14:paraId="6950526E" w14:textId="77777777" w:rsidR="00A75D1A" w:rsidRDefault="00A75D1A">
            <w:pPr>
              <w:rPr>
                <w:rFonts w:ascii="Arial" w:hAnsi="Arial" w:cs="Arial"/>
                <w:color w:val="000000"/>
              </w:rPr>
            </w:pPr>
          </w:p>
          <w:p w14:paraId="4977306F" w14:textId="77777777" w:rsidR="00A75D1A" w:rsidRDefault="00A75D1A">
            <w:pPr>
              <w:rPr>
                <w:rFonts w:ascii="Arial" w:hAnsi="Arial" w:cs="Arial"/>
                <w:color w:val="000000"/>
              </w:rPr>
            </w:pPr>
          </w:p>
          <w:p w14:paraId="7C89F06E" w14:textId="77777777" w:rsidR="00A75D1A" w:rsidRDefault="00000000">
            <w:pPr>
              <w:rPr>
                <w:rFonts w:ascii="Arial" w:hAnsi="Arial" w:cs="Arial"/>
                <w:color w:val="000000"/>
              </w:rPr>
            </w:pPr>
            <w:r>
              <w:rPr>
                <w:rFonts w:ascii="Arial" w:hAnsi="Arial" w:cs="Arial"/>
                <w:color w:val="000000"/>
              </w:rPr>
              <w:t>35</w:t>
            </w:r>
          </w:p>
        </w:tc>
        <w:tc>
          <w:tcPr>
            <w:tcW w:w="763" w:type="dxa"/>
          </w:tcPr>
          <w:p w14:paraId="52D9B18F" w14:textId="77777777" w:rsidR="00A75D1A" w:rsidRDefault="00A75D1A">
            <w:pPr>
              <w:rPr>
                <w:rFonts w:ascii="Arial" w:hAnsi="Arial" w:cs="Arial"/>
                <w:color w:val="000000"/>
              </w:rPr>
            </w:pPr>
          </w:p>
          <w:p w14:paraId="047D8FB2" w14:textId="77777777" w:rsidR="00A75D1A" w:rsidRDefault="00A75D1A">
            <w:pPr>
              <w:rPr>
                <w:rFonts w:ascii="Arial" w:hAnsi="Arial" w:cs="Arial"/>
                <w:color w:val="000000"/>
              </w:rPr>
            </w:pPr>
          </w:p>
          <w:p w14:paraId="5FFE63D9" w14:textId="77777777" w:rsidR="00A75D1A" w:rsidRDefault="00000000">
            <w:pPr>
              <w:rPr>
                <w:rFonts w:ascii="Arial" w:hAnsi="Arial" w:cs="Arial"/>
                <w:color w:val="000000"/>
              </w:rPr>
            </w:pPr>
            <w:r>
              <w:rPr>
                <w:rFonts w:ascii="Arial" w:hAnsi="Arial" w:cs="Arial"/>
                <w:color w:val="000000"/>
              </w:rPr>
              <w:t>78.94</w:t>
            </w:r>
          </w:p>
        </w:tc>
        <w:tc>
          <w:tcPr>
            <w:tcW w:w="894" w:type="dxa"/>
            <w:noWrap/>
            <w:vAlign w:val="bottom"/>
          </w:tcPr>
          <w:p w14:paraId="3D4960E9" w14:textId="77777777" w:rsidR="00A75D1A" w:rsidRDefault="00000000">
            <w:pPr>
              <w:rPr>
                <w:rFonts w:ascii="Arial" w:hAnsi="Arial" w:cs="Arial"/>
                <w:color w:val="000000"/>
              </w:rPr>
            </w:pPr>
            <w:r>
              <w:rPr>
                <w:rFonts w:ascii="Arial" w:hAnsi="Arial" w:cs="Arial"/>
                <w:color w:val="000000"/>
              </w:rPr>
              <w:t>19. 45</w:t>
            </w:r>
          </w:p>
          <w:p w14:paraId="4317A5C2" w14:textId="77777777" w:rsidR="00A75D1A" w:rsidRDefault="00A75D1A">
            <w:pPr>
              <w:rPr>
                <w:rFonts w:ascii="Arial" w:hAnsi="Arial" w:cs="Arial"/>
                <w:color w:val="000000"/>
              </w:rPr>
            </w:pPr>
          </w:p>
        </w:tc>
        <w:tc>
          <w:tcPr>
            <w:tcW w:w="0" w:type="auto"/>
            <w:vMerge/>
            <w:vAlign w:val="center"/>
          </w:tcPr>
          <w:p w14:paraId="7D3ED884" w14:textId="77777777" w:rsidR="00A75D1A" w:rsidRDefault="00A75D1A">
            <w:pPr>
              <w:rPr>
                <w:rFonts w:ascii="Arial" w:hAnsi="Arial" w:cs="Arial"/>
                <w:color w:val="000000"/>
              </w:rPr>
            </w:pPr>
          </w:p>
        </w:tc>
        <w:tc>
          <w:tcPr>
            <w:tcW w:w="0" w:type="auto"/>
            <w:vMerge/>
            <w:vAlign w:val="center"/>
          </w:tcPr>
          <w:p w14:paraId="6F05465F" w14:textId="77777777" w:rsidR="00A75D1A" w:rsidRDefault="00A75D1A">
            <w:pPr>
              <w:rPr>
                <w:rFonts w:ascii="Arial" w:hAnsi="Arial" w:cs="Arial"/>
                <w:color w:val="000000"/>
              </w:rPr>
            </w:pPr>
          </w:p>
        </w:tc>
        <w:tc>
          <w:tcPr>
            <w:tcW w:w="0" w:type="auto"/>
            <w:vMerge/>
            <w:vAlign w:val="center"/>
          </w:tcPr>
          <w:p w14:paraId="3869A59F" w14:textId="77777777" w:rsidR="00A75D1A" w:rsidRDefault="00A75D1A">
            <w:pPr>
              <w:rPr>
                <w:rFonts w:ascii="Arial" w:hAnsi="Arial" w:cs="Arial"/>
                <w:color w:val="000000"/>
              </w:rPr>
            </w:pPr>
          </w:p>
        </w:tc>
        <w:tc>
          <w:tcPr>
            <w:tcW w:w="0" w:type="auto"/>
            <w:vMerge/>
            <w:vAlign w:val="center"/>
          </w:tcPr>
          <w:p w14:paraId="48038905" w14:textId="77777777" w:rsidR="00A75D1A" w:rsidRDefault="00A75D1A">
            <w:pPr>
              <w:rPr>
                <w:rFonts w:ascii="Arial" w:hAnsi="Arial" w:cs="Arial"/>
                <w:color w:val="000000"/>
              </w:rPr>
            </w:pPr>
          </w:p>
        </w:tc>
      </w:tr>
    </w:tbl>
    <w:p w14:paraId="5472A547" w14:textId="77777777" w:rsidR="00A75D1A" w:rsidRDefault="00000000">
      <w:pPr>
        <w:jc w:val="both"/>
        <w:rPr>
          <w:rFonts w:ascii="Arial" w:hAnsi="Arial" w:cs="Arial"/>
        </w:rPr>
      </w:pPr>
      <w:r>
        <w:rPr>
          <w:rFonts w:ascii="Arial" w:hAnsi="Arial" w:cs="Arial"/>
        </w:rPr>
        <w:tab/>
      </w:r>
    </w:p>
    <w:p w14:paraId="4D3B6A36" w14:textId="77777777" w:rsidR="00A75D1A" w:rsidRDefault="00000000">
      <w:pPr>
        <w:ind w:firstLine="720"/>
        <w:jc w:val="both"/>
        <w:rPr>
          <w:rFonts w:ascii="Arial" w:hAnsi="Arial" w:cs="Arial"/>
        </w:rPr>
      </w:pPr>
      <w:r>
        <w:rPr>
          <w:rFonts w:ascii="Arial" w:hAnsi="Arial" w:cs="Arial"/>
        </w:rPr>
        <w:t>Table 5 presents the results of a test examining the significant difference in the level of reading comprehension of Grade 7 students before and after the implementation of the TUTOK-BASA program. The computed p-value is extremely small (p &lt; 0.05), indicating a rejection of the null hypothesis. This means there is indeed a significant difference in the reading comprehension of Grade 7 students before and after the implementation of the TUTOK-BASA program. Specifically, there has been a notable improvement in reading comprehension, with the mean reading performance increasing from 60.31 before the program to 78.94 after its implementation.</w:t>
      </w:r>
    </w:p>
    <w:p w14:paraId="7B667626" w14:textId="77777777" w:rsidR="00A75D1A" w:rsidRDefault="00000000">
      <w:pPr>
        <w:jc w:val="both"/>
        <w:rPr>
          <w:rFonts w:ascii="Arial" w:hAnsi="Arial" w:cs="Arial"/>
        </w:rPr>
      </w:pPr>
      <w:r>
        <w:rPr>
          <w:rFonts w:ascii="Arial" w:hAnsi="Arial" w:cs="Arial"/>
        </w:rPr>
        <w:tab/>
        <w:t>The TUTOK-BASA program has demonstrated significant success in enhancing reading comprehension among Grade 7 students, as indicated by a notable increase in mean reading performance from 60.31 to 78.94. Its comprehensive approach addresses various factors influencing students' reading abilities, resulting in tailored interventions that effectively tackle comprehension challenges.</w:t>
      </w:r>
    </w:p>
    <w:p w14:paraId="24CF9C86" w14:textId="77777777" w:rsidR="00A75D1A" w:rsidRDefault="00000000">
      <w:pPr>
        <w:ind w:firstLine="720"/>
        <w:jc w:val="both"/>
        <w:rPr>
          <w:rFonts w:ascii="Arial" w:hAnsi="Arial" w:cs="Arial"/>
        </w:rPr>
      </w:pPr>
      <w:r>
        <w:rPr>
          <w:rFonts w:ascii="Arial" w:hAnsi="Arial" w:cs="Arial"/>
        </w:rPr>
        <w:t>Furthermore, the program's evidence-based nature is confirmed by empirical results, underscoring its credibility and potential for improvement. This success highlights the program's efficacy as an intervention strategy, with implications for broader implementation in educational settings.</w:t>
      </w:r>
    </w:p>
    <w:p w14:paraId="4BB478F3" w14:textId="77777777" w:rsidR="00A75D1A" w:rsidRDefault="00000000">
      <w:pPr>
        <w:ind w:firstLine="720"/>
        <w:jc w:val="both"/>
        <w:rPr>
          <w:rFonts w:ascii="Arial" w:hAnsi="Arial" w:cs="Arial"/>
        </w:rPr>
      </w:pPr>
      <w:r>
        <w:rPr>
          <w:rFonts w:ascii="Arial" w:hAnsi="Arial" w:cs="Arial"/>
        </w:rPr>
        <w:t xml:space="preserve">The research findings are further supported by recent research on reading interventions that demonstrates diverse approaches effective in enhancing reading comprehension across educational contexts. Peer tutoring strategies like </w:t>
      </w:r>
      <w:proofErr w:type="spellStart"/>
      <w:r>
        <w:rPr>
          <w:rFonts w:ascii="Arial" w:hAnsi="Arial" w:cs="Arial"/>
        </w:rPr>
        <w:t>Classwide</w:t>
      </w:r>
      <w:proofErr w:type="spellEnd"/>
      <w:r>
        <w:rPr>
          <w:rFonts w:ascii="Arial" w:hAnsi="Arial" w:cs="Arial"/>
        </w:rPr>
        <w:t xml:space="preserve"> Peer Tutoring Technique and Student Team Achievement Technique yielded significant improvements in reading comprehension. Similarly, targeted reciprocal reading interventions in small groups were effective, particularly for students with specific comprehension difficulties and those disadvantaged. Conversely, a Tier 1 intervention incorporating various strategies showed no significant effects on reading comprehension but enhanced reading motivation and strategy use, especially among struggling readers (</w:t>
      </w:r>
      <w:proofErr w:type="spellStart"/>
      <w:r>
        <w:rPr>
          <w:rFonts w:eastAsia="Calibri"/>
        </w:rPr>
        <w:t>Dakhiel</w:t>
      </w:r>
      <w:proofErr w:type="spellEnd"/>
      <w:r>
        <w:rPr>
          <w:rFonts w:eastAsia="Calibri"/>
        </w:rPr>
        <w:t xml:space="preserve"> &amp; Ahmed, 2019)</w:t>
      </w:r>
    </w:p>
    <w:p w14:paraId="6590EBED" w14:textId="77777777" w:rsidR="00A75D1A" w:rsidRDefault="00000000">
      <w:pPr>
        <w:ind w:firstLine="720"/>
        <w:jc w:val="both"/>
        <w:rPr>
          <w:rFonts w:ascii="Arial" w:hAnsi="Arial" w:cs="Arial"/>
        </w:rPr>
      </w:pPr>
      <w:r>
        <w:rPr>
          <w:rFonts w:ascii="Arial" w:hAnsi="Arial" w:cs="Arial"/>
        </w:rPr>
        <w:t>In contrast, technology-aided instruction using an AI-based multi-sensory platform led to notable gains in reading and comprehension outcomes, with reported teacher skill improvements. Additionally, a cognitive stimulation program in primary education significantly increased reading comprehension scores and positively impacted academic performance in Spanish Language and Literature. An intensive reading approach and a differentiated reading intervention based on the Simple View of Reading also yielded significant gains in reading comprehension (</w:t>
      </w:r>
      <w:r>
        <w:t xml:space="preserve">Makena &amp; </w:t>
      </w:r>
      <w:proofErr w:type="spellStart"/>
      <w:r>
        <w:t>Omodan</w:t>
      </w:r>
      <w:proofErr w:type="spellEnd"/>
      <w:r>
        <w:t>, 2022)</w:t>
      </w:r>
      <w:r>
        <w:rPr>
          <w:rFonts w:ascii="Arial" w:hAnsi="Arial" w:cs="Arial"/>
        </w:rPr>
        <w:t>. These findings highlight the effectiveness of tailored interventions in addressing reading challenges across age groups and educational settings.</w:t>
      </w:r>
    </w:p>
    <w:p w14:paraId="5D762DC8" w14:textId="77777777" w:rsidR="00A75D1A" w:rsidRDefault="00A75D1A">
      <w:pPr>
        <w:pStyle w:val="Body"/>
        <w:spacing w:after="0"/>
        <w:rPr>
          <w:rFonts w:ascii="Arial" w:hAnsi="Arial" w:cs="Arial"/>
        </w:rPr>
      </w:pPr>
    </w:p>
    <w:p w14:paraId="5AE11FB3" w14:textId="77777777" w:rsidR="00A75D1A" w:rsidRDefault="00A75D1A">
      <w:pPr>
        <w:pStyle w:val="Body"/>
        <w:spacing w:after="0"/>
        <w:rPr>
          <w:rFonts w:ascii="Arial" w:hAnsi="Arial" w:cs="Arial"/>
        </w:rPr>
      </w:pPr>
    </w:p>
    <w:p w14:paraId="388F5B3C" w14:textId="77777777" w:rsidR="00A75D1A" w:rsidRDefault="00000000">
      <w:pPr>
        <w:pStyle w:val="ConcHead"/>
        <w:spacing w:after="0"/>
        <w:jc w:val="both"/>
        <w:rPr>
          <w:rFonts w:ascii="Arial" w:hAnsi="Arial" w:cs="Arial"/>
        </w:rPr>
      </w:pPr>
      <w:r>
        <w:rPr>
          <w:rFonts w:ascii="Arial" w:hAnsi="Arial" w:cs="Arial"/>
        </w:rPr>
        <w:t>4. Conclusion</w:t>
      </w:r>
    </w:p>
    <w:p w14:paraId="6EABEBCE" w14:textId="77777777" w:rsidR="00A75D1A" w:rsidRDefault="00A75D1A">
      <w:pPr>
        <w:pStyle w:val="ConcHead"/>
        <w:spacing w:after="0"/>
        <w:jc w:val="both"/>
        <w:rPr>
          <w:rFonts w:ascii="Arial" w:hAnsi="Arial" w:cs="Arial"/>
        </w:rPr>
      </w:pPr>
    </w:p>
    <w:p w14:paraId="1FAA8463" w14:textId="77777777" w:rsidR="00A75D1A" w:rsidRDefault="00000000">
      <w:pPr>
        <w:pStyle w:val="Body"/>
        <w:spacing w:after="0"/>
        <w:ind w:firstLine="720"/>
        <w:rPr>
          <w:rFonts w:ascii="Arial" w:hAnsi="Arial" w:cs="Arial"/>
        </w:rPr>
      </w:pPr>
      <w:commentRangeStart w:id="10"/>
      <w:r>
        <w:rPr>
          <w:rFonts w:ascii="Arial" w:hAnsi="Arial" w:cs="Arial"/>
        </w:rPr>
        <w:t xml:space="preserve">The study concluded that the TUTOK-BASA program significantly improved the reading comprehension levels of Grade 7 students at </w:t>
      </w:r>
      <w:proofErr w:type="spellStart"/>
      <w:r>
        <w:rPr>
          <w:rFonts w:ascii="Arial" w:hAnsi="Arial" w:cs="Arial"/>
        </w:rPr>
        <w:t>Calanasan</w:t>
      </w:r>
      <w:proofErr w:type="spellEnd"/>
      <w:r>
        <w:rPr>
          <w:rFonts w:ascii="Arial" w:hAnsi="Arial" w:cs="Arial"/>
        </w:rPr>
        <w:t xml:space="preserve"> NHS, with post-program results showing 48.57% at the independent level, 40.00% at the instructional level, and only 11.43% at the frustration level, alongside a notable increase in mean performance from 60.31 to 78.94. Statistical analysis revealed no significant differences in comprehension when students were grouped by age, gender, or parental education, but a significant improvement was observed overall after program implementation, confirming its effectiveness in enhancing students' reading skills.</w:t>
      </w:r>
      <w:commentRangeEnd w:id="10"/>
      <w:r w:rsidR="000C2A9B">
        <w:rPr>
          <w:rStyle w:val="CommentReference"/>
          <w:rFonts w:ascii="Times New Roman" w:hAnsi="Times New Roman"/>
          <w:lang w:val="nb-NO" w:eastAsia="nb-NO"/>
        </w:rPr>
        <w:commentReference w:id="10"/>
      </w:r>
    </w:p>
    <w:p w14:paraId="3A2DF611" w14:textId="77777777" w:rsidR="00A75D1A" w:rsidRDefault="00A75D1A">
      <w:pPr>
        <w:pStyle w:val="Body"/>
        <w:spacing w:after="0"/>
        <w:rPr>
          <w:rFonts w:ascii="Arial" w:hAnsi="Arial" w:cs="Arial"/>
        </w:rPr>
      </w:pPr>
    </w:p>
    <w:p w14:paraId="12D3A1E2" w14:textId="77777777" w:rsidR="00A75D1A" w:rsidRDefault="00A75D1A">
      <w:pPr>
        <w:pStyle w:val="Body"/>
        <w:spacing w:after="0"/>
        <w:rPr>
          <w:rFonts w:ascii="Arial" w:hAnsi="Arial" w:cs="Arial"/>
        </w:rPr>
      </w:pPr>
    </w:p>
    <w:p w14:paraId="14E5FAE8" w14:textId="77777777" w:rsidR="00A75D1A" w:rsidRDefault="00A75D1A">
      <w:pPr>
        <w:pStyle w:val="Body"/>
        <w:spacing w:after="0"/>
        <w:rPr>
          <w:rFonts w:ascii="Arial" w:hAnsi="Arial" w:cs="Arial"/>
        </w:rPr>
      </w:pPr>
    </w:p>
    <w:p w14:paraId="11843BD9" w14:textId="77777777" w:rsidR="00A75D1A" w:rsidRDefault="00A75D1A">
      <w:pPr>
        <w:pStyle w:val="Body"/>
        <w:spacing w:after="0"/>
        <w:rPr>
          <w:rFonts w:ascii="Arial" w:hAnsi="Arial" w:cs="Arial"/>
        </w:rPr>
      </w:pPr>
    </w:p>
    <w:p w14:paraId="3969455F" w14:textId="77777777" w:rsidR="00A75D1A" w:rsidRDefault="00000000">
      <w:pPr>
        <w:rPr>
          <w:b/>
          <w:bCs/>
          <w:sz w:val="22"/>
          <w:szCs w:val="22"/>
        </w:rPr>
      </w:pPr>
      <w:r>
        <w:rPr>
          <w:b/>
          <w:bCs/>
          <w:sz w:val="22"/>
          <w:szCs w:val="22"/>
        </w:rPr>
        <w:t xml:space="preserve">DISCLAIMER (ARTIFICIAL INTELLIGENCE) </w:t>
      </w:r>
    </w:p>
    <w:p w14:paraId="169728ED" w14:textId="77777777" w:rsidR="00A75D1A" w:rsidRDefault="00A75D1A"/>
    <w:p w14:paraId="4009D6A7" w14:textId="77777777" w:rsidR="00A75D1A" w:rsidRDefault="00000000">
      <w:r>
        <w:t>I acknowledge that I have not used ChatGPT or Copilot for refining some of the sections in the document.</w:t>
      </w:r>
    </w:p>
    <w:p w14:paraId="547C943E" w14:textId="77777777" w:rsidR="00A75D1A" w:rsidRDefault="00A75D1A">
      <w:pPr>
        <w:pStyle w:val="ReferHead"/>
        <w:spacing w:after="0"/>
        <w:jc w:val="both"/>
        <w:rPr>
          <w:rFonts w:ascii="Arial" w:hAnsi="Arial" w:cs="Arial"/>
          <w:b w:val="0"/>
          <w:caps w:val="0"/>
          <w:sz w:val="20"/>
        </w:rPr>
      </w:pPr>
    </w:p>
    <w:p w14:paraId="4A4FE49E" w14:textId="77777777" w:rsidR="00A75D1A" w:rsidRDefault="00000000">
      <w:pPr>
        <w:pStyle w:val="ReferHead"/>
        <w:spacing w:after="0"/>
        <w:jc w:val="both"/>
        <w:rPr>
          <w:rFonts w:ascii="Arial" w:hAnsi="Arial" w:cs="Arial"/>
          <w:bCs/>
        </w:rPr>
      </w:pPr>
      <w:r>
        <w:rPr>
          <w:rFonts w:ascii="Arial" w:hAnsi="Arial" w:cs="Arial"/>
          <w:bCs/>
        </w:rPr>
        <w:t>Consent (WHEREVER applicable)</w:t>
      </w:r>
    </w:p>
    <w:p w14:paraId="76024FEC" w14:textId="77777777" w:rsidR="00A75D1A" w:rsidRDefault="00A75D1A">
      <w:pPr>
        <w:pStyle w:val="ReferHead"/>
        <w:spacing w:after="0"/>
        <w:jc w:val="both"/>
        <w:rPr>
          <w:rFonts w:ascii="Arial" w:hAnsi="Arial" w:cs="Arial"/>
          <w:bCs/>
        </w:rPr>
      </w:pPr>
    </w:p>
    <w:p w14:paraId="51C0F85C" w14:textId="77777777" w:rsidR="00A75D1A" w:rsidRDefault="00000000">
      <w:pPr>
        <w:pStyle w:val="ReferHead"/>
        <w:spacing w:after="0"/>
        <w:jc w:val="both"/>
        <w:rPr>
          <w:rFonts w:ascii="Arial" w:hAnsi="Arial" w:cs="Arial"/>
          <w:b w:val="0"/>
          <w:caps w:val="0"/>
          <w:sz w:val="20"/>
          <w:u w:val="single"/>
        </w:rPr>
      </w:pPr>
      <w:r>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p>
    <w:p w14:paraId="7304C35A" w14:textId="77777777" w:rsidR="00A75D1A" w:rsidRDefault="00A75D1A">
      <w:pPr>
        <w:pStyle w:val="ReferHead"/>
        <w:spacing w:after="0"/>
        <w:jc w:val="both"/>
        <w:rPr>
          <w:rFonts w:ascii="Arial" w:hAnsi="Arial" w:cs="Arial"/>
          <w:b w:val="0"/>
          <w:caps w:val="0"/>
          <w:sz w:val="20"/>
        </w:rPr>
      </w:pPr>
    </w:p>
    <w:p w14:paraId="18C73D0C" w14:textId="77777777" w:rsidR="00A75D1A" w:rsidRDefault="00A75D1A">
      <w:pPr>
        <w:pStyle w:val="ReferHead"/>
        <w:spacing w:after="0"/>
        <w:jc w:val="both"/>
        <w:rPr>
          <w:rFonts w:ascii="Arial" w:hAnsi="Arial" w:cs="Arial"/>
          <w:b w:val="0"/>
          <w:caps w:val="0"/>
          <w:sz w:val="20"/>
        </w:rPr>
      </w:pPr>
    </w:p>
    <w:p w14:paraId="2E7DB7D2" w14:textId="77777777" w:rsidR="00A75D1A" w:rsidRDefault="00000000">
      <w:pPr>
        <w:pStyle w:val="ReferHead"/>
        <w:spacing w:after="0"/>
        <w:jc w:val="both"/>
        <w:rPr>
          <w:rFonts w:ascii="Arial" w:hAnsi="Arial" w:cs="Arial"/>
          <w:bCs/>
        </w:rPr>
      </w:pPr>
      <w:r>
        <w:rPr>
          <w:rFonts w:ascii="Arial" w:hAnsi="Arial" w:cs="Arial"/>
          <w:bCs/>
        </w:rPr>
        <w:t>Ethical approval (WHEREVER applicable)</w:t>
      </w:r>
    </w:p>
    <w:p w14:paraId="2801D18D" w14:textId="77777777" w:rsidR="00A75D1A" w:rsidRDefault="00A75D1A">
      <w:pPr>
        <w:pStyle w:val="ReferHead"/>
        <w:spacing w:after="0"/>
        <w:jc w:val="both"/>
        <w:rPr>
          <w:rFonts w:ascii="Arial" w:hAnsi="Arial" w:cs="Arial"/>
          <w:bCs/>
        </w:rPr>
      </w:pPr>
    </w:p>
    <w:p w14:paraId="68D0D507" w14:textId="77777777" w:rsidR="00A75D1A" w:rsidRDefault="00000000">
      <w:pPr>
        <w:pStyle w:val="ReferHead"/>
        <w:spacing w:after="0"/>
        <w:jc w:val="both"/>
        <w:rPr>
          <w:rFonts w:ascii="Arial" w:hAnsi="Arial" w:cs="Arial"/>
          <w:b w:val="0"/>
          <w:bCs/>
          <w:caps w:val="0"/>
          <w:sz w:val="20"/>
        </w:rPr>
      </w:pPr>
      <w:r>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2E896056" w14:textId="77777777" w:rsidR="00A75D1A" w:rsidRDefault="00A75D1A">
      <w:pPr>
        <w:pStyle w:val="ReferHead"/>
        <w:spacing w:after="0"/>
        <w:jc w:val="both"/>
        <w:rPr>
          <w:rFonts w:ascii="Arial" w:hAnsi="Arial" w:cs="Arial"/>
          <w:b w:val="0"/>
          <w:bCs/>
          <w:caps w:val="0"/>
          <w:sz w:val="20"/>
        </w:rPr>
      </w:pPr>
    </w:p>
    <w:p w14:paraId="6766DBB6" w14:textId="77777777" w:rsidR="00A75D1A" w:rsidRDefault="00A75D1A">
      <w:pPr>
        <w:pStyle w:val="ReferHead"/>
        <w:spacing w:after="0"/>
        <w:jc w:val="both"/>
        <w:rPr>
          <w:rFonts w:ascii="Arial" w:hAnsi="Arial" w:cs="Arial"/>
        </w:rPr>
      </w:pPr>
    </w:p>
    <w:p w14:paraId="7007CEA6" w14:textId="77777777" w:rsidR="00A75D1A" w:rsidRDefault="00000000">
      <w:pPr>
        <w:pStyle w:val="ReferHead"/>
        <w:spacing w:after="0"/>
        <w:jc w:val="both"/>
        <w:rPr>
          <w:rFonts w:ascii="Arial" w:hAnsi="Arial" w:cs="Arial"/>
        </w:rPr>
      </w:pPr>
      <w:commentRangeStart w:id="11"/>
      <w:r>
        <w:rPr>
          <w:rFonts w:ascii="Arial" w:hAnsi="Arial" w:cs="Arial"/>
        </w:rPr>
        <w:t>References</w:t>
      </w:r>
      <w:commentRangeEnd w:id="11"/>
      <w:r w:rsidR="002455DA">
        <w:rPr>
          <w:rStyle w:val="CommentReference"/>
          <w:rFonts w:ascii="Times New Roman" w:hAnsi="Times New Roman"/>
          <w:b w:val="0"/>
          <w:caps w:val="0"/>
          <w:lang w:val="nb-NO" w:eastAsia="nb-NO"/>
        </w:rPr>
        <w:commentReference w:id="11"/>
      </w:r>
    </w:p>
    <w:p w14:paraId="768FA7F8" w14:textId="77777777" w:rsidR="00A75D1A" w:rsidRDefault="00A75D1A">
      <w:pPr>
        <w:pStyle w:val="ReferHead"/>
        <w:spacing w:after="0"/>
        <w:jc w:val="both"/>
        <w:rPr>
          <w:rFonts w:ascii="Arial" w:hAnsi="Arial" w:cs="Arial"/>
        </w:rPr>
      </w:pPr>
    </w:p>
    <w:p w14:paraId="37BE21B2" w14:textId="77777777" w:rsidR="00A75D1A" w:rsidRDefault="00000000">
      <w:pPr>
        <w:pStyle w:val="ListParagraph"/>
        <w:numPr>
          <w:ilvl w:val="0"/>
          <w:numId w:val="3"/>
        </w:numPr>
        <w:spacing w:before="240" w:after="160" w:line="259" w:lineRule="auto"/>
        <w:jc w:val="both"/>
        <w:rPr>
          <w:rFonts w:ascii="Arial" w:hAnsi="Arial" w:cs="Arial"/>
          <w:sz w:val="20"/>
          <w:szCs w:val="20"/>
        </w:rPr>
      </w:pPr>
      <w:proofErr w:type="spellStart"/>
      <w:r>
        <w:rPr>
          <w:rFonts w:ascii="Arial" w:hAnsi="Arial" w:cs="Arial"/>
          <w:sz w:val="20"/>
          <w:szCs w:val="20"/>
          <w:lang w:val="en-PH"/>
        </w:rPr>
        <w:t>Anossova</w:t>
      </w:r>
      <w:proofErr w:type="spellEnd"/>
      <w:r>
        <w:rPr>
          <w:rFonts w:ascii="Arial" w:hAnsi="Arial" w:cs="Arial"/>
          <w:sz w:val="20"/>
          <w:szCs w:val="20"/>
          <w:lang w:val="en-PH"/>
        </w:rPr>
        <w:t>, O. (2020, May). Key factors in teaching English for academic/scientific purposes to non-linguists. In </w:t>
      </w:r>
      <w:r>
        <w:rPr>
          <w:rFonts w:ascii="Arial" w:hAnsi="Arial" w:cs="Arial"/>
          <w:i/>
          <w:iCs/>
          <w:sz w:val="20"/>
          <w:szCs w:val="20"/>
          <w:lang w:val="en-PH"/>
        </w:rPr>
        <w:t>Proceedings of the Conference “Integrating Engineering Education and Humanities for Global Intercultural Perspectives”</w:t>
      </w:r>
      <w:r>
        <w:rPr>
          <w:rFonts w:ascii="Arial" w:hAnsi="Arial" w:cs="Arial"/>
          <w:sz w:val="20"/>
          <w:szCs w:val="20"/>
          <w:lang w:val="en-PH"/>
        </w:rPr>
        <w:t> (pp. 367-375). Cham: Springer International Publishing.</w:t>
      </w:r>
    </w:p>
    <w:p w14:paraId="141F7EB6" w14:textId="77777777" w:rsidR="00A75D1A" w:rsidRDefault="00000000">
      <w:pPr>
        <w:pStyle w:val="ListParagraph"/>
        <w:numPr>
          <w:ilvl w:val="0"/>
          <w:numId w:val="3"/>
        </w:numPr>
        <w:spacing w:before="240" w:after="160" w:line="259" w:lineRule="auto"/>
        <w:jc w:val="both"/>
        <w:rPr>
          <w:rFonts w:ascii="Arial" w:hAnsi="Arial" w:cs="Arial"/>
          <w:sz w:val="20"/>
          <w:szCs w:val="20"/>
        </w:rPr>
      </w:pPr>
      <w:r>
        <w:rPr>
          <w:rFonts w:ascii="Arial" w:hAnsi="Arial" w:cs="Arial"/>
          <w:sz w:val="20"/>
          <w:szCs w:val="20"/>
        </w:rPr>
        <w:t>Asio, H., &amp; Quijano, M. (2023). English proficiency and academic performance of college students. </w:t>
      </w:r>
      <w:r>
        <w:rPr>
          <w:rFonts w:ascii="Arial" w:hAnsi="Arial" w:cs="Arial"/>
          <w:i/>
          <w:iCs/>
          <w:sz w:val="20"/>
          <w:szCs w:val="20"/>
        </w:rPr>
        <w:t>International Journal of Multidisciplinary Research and Analysis</w:t>
      </w:r>
      <w:r>
        <w:rPr>
          <w:rFonts w:ascii="Arial" w:hAnsi="Arial" w:cs="Arial"/>
          <w:sz w:val="20"/>
          <w:szCs w:val="20"/>
        </w:rPr>
        <w:t>, </w:t>
      </w:r>
      <w:r>
        <w:rPr>
          <w:rFonts w:ascii="Arial" w:hAnsi="Arial" w:cs="Arial"/>
          <w:i/>
          <w:iCs/>
          <w:sz w:val="20"/>
          <w:szCs w:val="20"/>
        </w:rPr>
        <w:t>6</w:t>
      </w:r>
      <w:r>
        <w:rPr>
          <w:rFonts w:ascii="Arial" w:hAnsi="Arial" w:cs="Arial"/>
          <w:sz w:val="20"/>
          <w:szCs w:val="20"/>
        </w:rPr>
        <w:t>(3), 1301-1317.</w:t>
      </w:r>
    </w:p>
    <w:p w14:paraId="174CC5D1" w14:textId="77777777" w:rsidR="00A75D1A" w:rsidRDefault="00000000">
      <w:pPr>
        <w:pStyle w:val="ListParagraph"/>
        <w:numPr>
          <w:ilvl w:val="0"/>
          <w:numId w:val="3"/>
        </w:numPr>
        <w:spacing w:before="240" w:after="160" w:line="259" w:lineRule="auto"/>
        <w:jc w:val="both"/>
        <w:rPr>
          <w:rFonts w:ascii="Arial" w:hAnsi="Arial" w:cs="Arial"/>
          <w:sz w:val="20"/>
          <w:szCs w:val="20"/>
        </w:rPr>
      </w:pPr>
      <w:commentRangeStart w:id="12"/>
      <w:r>
        <w:rPr>
          <w:rFonts w:ascii="Arial" w:hAnsi="Arial" w:cs="Arial"/>
          <w:sz w:val="20"/>
          <w:szCs w:val="20"/>
          <w:lang w:val="en-PH"/>
        </w:rPr>
        <w:t>Barrot, J. S. (2019). English curriculum reform in the Philippines: Issues and challenges from a 21st century learning perspective. </w:t>
      </w:r>
      <w:r>
        <w:rPr>
          <w:rFonts w:ascii="Arial" w:hAnsi="Arial" w:cs="Arial"/>
          <w:i/>
          <w:iCs/>
          <w:sz w:val="20"/>
          <w:szCs w:val="20"/>
          <w:lang w:val="en-PH"/>
        </w:rPr>
        <w:t>Journal of Language, Identity &amp; Education</w:t>
      </w:r>
      <w:r>
        <w:rPr>
          <w:rFonts w:ascii="Arial" w:hAnsi="Arial" w:cs="Arial"/>
          <w:sz w:val="20"/>
          <w:szCs w:val="20"/>
          <w:lang w:val="en-PH"/>
        </w:rPr>
        <w:t>, </w:t>
      </w:r>
      <w:r>
        <w:rPr>
          <w:rFonts w:ascii="Arial" w:hAnsi="Arial" w:cs="Arial"/>
          <w:i/>
          <w:iCs/>
          <w:sz w:val="20"/>
          <w:szCs w:val="20"/>
          <w:lang w:val="en-PH"/>
        </w:rPr>
        <w:t>18</w:t>
      </w:r>
      <w:r>
        <w:rPr>
          <w:rFonts w:ascii="Arial" w:hAnsi="Arial" w:cs="Arial"/>
          <w:sz w:val="20"/>
          <w:szCs w:val="20"/>
          <w:lang w:val="en-PH"/>
        </w:rPr>
        <w:t>(3), 145-160.</w:t>
      </w:r>
    </w:p>
    <w:p w14:paraId="774D9127" w14:textId="77777777" w:rsidR="00A75D1A" w:rsidRDefault="00000000">
      <w:pPr>
        <w:pStyle w:val="ListParagraph"/>
        <w:numPr>
          <w:ilvl w:val="0"/>
          <w:numId w:val="3"/>
        </w:numPr>
        <w:spacing w:before="240" w:after="160" w:line="259" w:lineRule="auto"/>
        <w:jc w:val="both"/>
        <w:rPr>
          <w:rFonts w:ascii="Arial" w:eastAsiaTheme="minorHAnsi" w:hAnsi="Arial" w:cs="Arial"/>
          <w:sz w:val="20"/>
          <w:szCs w:val="20"/>
        </w:rPr>
      </w:pPr>
      <w:r w:rsidRPr="00297BF8">
        <w:rPr>
          <w:rFonts w:ascii="Arial" w:eastAsia="Calibri" w:hAnsi="Arial" w:cs="Arial"/>
          <w:sz w:val="20"/>
          <w:szCs w:val="20"/>
          <w:lang w:val="de-DE"/>
        </w:rPr>
        <w:t xml:space="preserve">Dakhiel, M. A., &amp; Ahmed, S. A. (2019). </w:t>
      </w:r>
      <w:r>
        <w:rPr>
          <w:rFonts w:ascii="Arial" w:eastAsia="Calibri" w:hAnsi="Arial" w:cs="Arial"/>
          <w:sz w:val="20"/>
          <w:szCs w:val="20"/>
        </w:rPr>
        <w:t>Effectiveness of a Training Program in Improving Study Skills and English Language Achievement among High School Students. </w:t>
      </w:r>
      <w:r>
        <w:rPr>
          <w:rFonts w:ascii="Arial" w:eastAsia="Calibri" w:hAnsi="Arial" w:cs="Arial"/>
          <w:i/>
          <w:iCs/>
          <w:sz w:val="20"/>
          <w:szCs w:val="20"/>
        </w:rPr>
        <w:t>Journal of Educational Issues</w:t>
      </w:r>
      <w:r>
        <w:rPr>
          <w:rFonts w:ascii="Arial" w:eastAsia="Calibri" w:hAnsi="Arial" w:cs="Arial"/>
          <w:sz w:val="20"/>
          <w:szCs w:val="20"/>
        </w:rPr>
        <w:t>, </w:t>
      </w:r>
      <w:r>
        <w:rPr>
          <w:rFonts w:ascii="Arial" w:eastAsia="Calibri" w:hAnsi="Arial" w:cs="Arial"/>
          <w:i/>
          <w:iCs/>
          <w:sz w:val="20"/>
          <w:szCs w:val="20"/>
        </w:rPr>
        <w:t>5</w:t>
      </w:r>
      <w:r>
        <w:rPr>
          <w:rFonts w:ascii="Arial" w:eastAsia="Calibri" w:hAnsi="Arial" w:cs="Arial"/>
          <w:sz w:val="20"/>
          <w:szCs w:val="20"/>
        </w:rPr>
        <w:t>(1), 132-149.</w:t>
      </w:r>
    </w:p>
    <w:p w14:paraId="75C68824" w14:textId="77777777" w:rsidR="00A75D1A" w:rsidRDefault="00000000">
      <w:pPr>
        <w:pStyle w:val="ListParagraph"/>
        <w:numPr>
          <w:ilvl w:val="0"/>
          <w:numId w:val="3"/>
        </w:numPr>
        <w:spacing w:before="240" w:after="160" w:line="259" w:lineRule="auto"/>
        <w:jc w:val="both"/>
        <w:rPr>
          <w:rFonts w:ascii="Arial" w:hAnsi="Arial" w:cs="Arial"/>
          <w:sz w:val="20"/>
          <w:szCs w:val="20"/>
        </w:rPr>
      </w:pPr>
      <w:r>
        <w:rPr>
          <w:rFonts w:ascii="Arial" w:eastAsia="Calibri" w:hAnsi="Arial" w:cs="Arial"/>
          <w:sz w:val="20"/>
          <w:szCs w:val="20"/>
        </w:rPr>
        <w:t xml:space="preserve">Department of Education. (2023). DepEd Order Number 21, Series of 2023: 2023 Brigada </w:t>
      </w:r>
      <w:proofErr w:type="spellStart"/>
      <w:r>
        <w:rPr>
          <w:rFonts w:ascii="Arial" w:eastAsia="Calibri" w:hAnsi="Arial" w:cs="Arial"/>
          <w:sz w:val="20"/>
          <w:szCs w:val="20"/>
        </w:rPr>
        <w:t>Eskwela</w:t>
      </w:r>
      <w:proofErr w:type="spellEnd"/>
      <w:r>
        <w:rPr>
          <w:rFonts w:ascii="Arial" w:eastAsia="Calibri" w:hAnsi="Arial" w:cs="Arial"/>
          <w:sz w:val="20"/>
          <w:szCs w:val="20"/>
        </w:rPr>
        <w:t xml:space="preserve"> Implementing Guidelines. </w:t>
      </w:r>
      <w:hyperlink r:id="rId12" w:history="1">
        <w:r w:rsidR="00A75D1A">
          <w:rPr>
            <w:rStyle w:val="Hyperlink"/>
            <w:rFonts w:ascii="Arial" w:eastAsia="Calibri" w:hAnsi="Arial" w:cs="Arial"/>
            <w:sz w:val="20"/>
            <w:szCs w:val="20"/>
          </w:rPr>
          <w:t>https://www.deped.gov.ph/wp-content/uploads/DO_s2023_021.pdf</w:t>
        </w:r>
      </w:hyperlink>
    </w:p>
    <w:p w14:paraId="5C61BA66" w14:textId="77777777" w:rsidR="00A75D1A" w:rsidRDefault="00000000">
      <w:pPr>
        <w:pStyle w:val="ListParagraph"/>
        <w:numPr>
          <w:ilvl w:val="0"/>
          <w:numId w:val="3"/>
        </w:numPr>
        <w:spacing w:before="240" w:after="160" w:line="259" w:lineRule="auto"/>
        <w:jc w:val="both"/>
        <w:rPr>
          <w:rFonts w:ascii="Arial" w:hAnsi="Arial" w:cs="Arial"/>
          <w:sz w:val="20"/>
          <w:szCs w:val="20"/>
        </w:rPr>
      </w:pPr>
      <w:r w:rsidRPr="00297BF8">
        <w:rPr>
          <w:rFonts w:ascii="Arial" w:hAnsi="Arial" w:cs="Arial"/>
          <w:sz w:val="20"/>
          <w:szCs w:val="20"/>
          <w:lang w:val="sv-SE"/>
        </w:rPr>
        <w:t xml:space="preserve">Din, K. U., &amp; Saeed, M. (2018). </w:t>
      </w:r>
      <w:r>
        <w:rPr>
          <w:rFonts w:ascii="Arial" w:hAnsi="Arial" w:cs="Arial"/>
          <w:sz w:val="20"/>
          <w:szCs w:val="20"/>
        </w:rPr>
        <w:t>Relationship between University Students’ English Proficiency, academic achievement and their satisfaction on teacher feedback. </w:t>
      </w:r>
      <w:r>
        <w:rPr>
          <w:rFonts w:ascii="Arial" w:hAnsi="Arial" w:cs="Arial"/>
          <w:i/>
          <w:iCs/>
          <w:sz w:val="20"/>
          <w:szCs w:val="20"/>
        </w:rPr>
        <w:t>Bulletin of Education and Research</w:t>
      </w:r>
      <w:r>
        <w:rPr>
          <w:rFonts w:ascii="Arial" w:hAnsi="Arial" w:cs="Arial"/>
          <w:sz w:val="20"/>
          <w:szCs w:val="20"/>
        </w:rPr>
        <w:t>, </w:t>
      </w:r>
      <w:r>
        <w:rPr>
          <w:rFonts w:ascii="Arial" w:hAnsi="Arial" w:cs="Arial"/>
          <w:i/>
          <w:iCs/>
          <w:sz w:val="20"/>
          <w:szCs w:val="20"/>
        </w:rPr>
        <w:t>40</w:t>
      </w:r>
      <w:r>
        <w:rPr>
          <w:rFonts w:ascii="Arial" w:hAnsi="Arial" w:cs="Arial"/>
          <w:sz w:val="20"/>
          <w:szCs w:val="20"/>
        </w:rPr>
        <w:t>(3), 129-143.</w:t>
      </w:r>
    </w:p>
    <w:p w14:paraId="2C38B57F" w14:textId="77777777" w:rsidR="00A75D1A" w:rsidRDefault="00000000">
      <w:pPr>
        <w:pStyle w:val="ListParagraph"/>
        <w:numPr>
          <w:ilvl w:val="0"/>
          <w:numId w:val="3"/>
        </w:numPr>
        <w:spacing w:before="240" w:after="160" w:line="259" w:lineRule="auto"/>
        <w:jc w:val="both"/>
        <w:rPr>
          <w:rFonts w:ascii="Arial" w:hAnsi="Arial" w:cs="Arial"/>
          <w:sz w:val="20"/>
          <w:szCs w:val="20"/>
        </w:rPr>
      </w:pPr>
      <w:r w:rsidRPr="00297BF8">
        <w:rPr>
          <w:rFonts w:ascii="Arial" w:hAnsi="Arial" w:cs="Arial"/>
          <w:sz w:val="20"/>
          <w:szCs w:val="20"/>
          <w:lang w:val="sv-SE"/>
        </w:rPr>
        <w:t xml:space="preserve">Eslit, E. R., &amp; Valderama, A. (2023). </w:t>
      </w:r>
      <w:r>
        <w:rPr>
          <w:rFonts w:ascii="Arial" w:hAnsi="Arial" w:cs="Arial"/>
          <w:sz w:val="20"/>
          <w:szCs w:val="20"/>
        </w:rPr>
        <w:t xml:space="preserve">English Language Proficiency Skills among High School Students: Basis </w:t>
      </w:r>
      <w:proofErr w:type="gramStart"/>
      <w:r>
        <w:rPr>
          <w:rFonts w:ascii="Arial" w:hAnsi="Arial" w:cs="Arial"/>
          <w:sz w:val="20"/>
          <w:szCs w:val="20"/>
        </w:rPr>
        <w:t>For</w:t>
      </w:r>
      <w:proofErr w:type="gramEnd"/>
      <w:r>
        <w:rPr>
          <w:rFonts w:ascii="Arial" w:hAnsi="Arial" w:cs="Arial"/>
          <w:sz w:val="20"/>
          <w:szCs w:val="20"/>
        </w:rPr>
        <w:t xml:space="preserve"> an Intervention Program. </w:t>
      </w:r>
      <w:r>
        <w:rPr>
          <w:rFonts w:ascii="Arial" w:hAnsi="Arial" w:cs="Arial"/>
          <w:i/>
          <w:iCs/>
          <w:sz w:val="20"/>
          <w:szCs w:val="20"/>
        </w:rPr>
        <w:t>Online Submission</w:t>
      </w:r>
      <w:r>
        <w:rPr>
          <w:rFonts w:ascii="Arial" w:hAnsi="Arial" w:cs="Arial"/>
          <w:sz w:val="20"/>
          <w:szCs w:val="20"/>
        </w:rPr>
        <w:t>, </w:t>
      </w:r>
      <w:r>
        <w:rPr>
          <w:rFonts w:ascii="Arial" w:hAnsi="Arial" w:cs="Arial"/>
          <w:i/>
          <w:iCs/>
          <w:sz w:val="20"/>
          <w:szCs w:val="20"/>
        </w:rPr>
        <w:t>4</w:t>
      </w:r>
      <w:r>
        <w:rPr>
          <w:rFonts w:ascii="Arial" w:hAnsi="Arial" w:cs="Arial"/>
          <w:sz w:val="20"/>
          <w:szCs w:val="20"/>
        </w:rPr>
        <w:t>(1), 46-57.</w:t>
      </w:r>
    </w:p>
    <w:p w14:paraId="169785D5" w14:textId="77777777" w:rsidR="00A75D1A" w:rsidRDefault="00000000">
      <w:pPr>
        <w:pStyle w:val="ListParagraph"/>
        <w:numPr>
          <w:ilvl w:val="0"/>
          <w:numId w:val="3"/>
        </w:numPr>
        <w:spacing w:before="240" w:after="160" w:line="259" w:lineRule="auto"/>
        <w:jc w:val="both"/>
        <w:rPr>
          <w:rFonts w:ascii="Arial" w:hAnsi="Arial" w:cs="Arial"/>
          <w:sz w:val="20"/>
          <w:szCs w:val="20"/>
        </w:rPr>
      </w:pPr>
      <w:r w:rsidRPr="00297BF8">
        <w:rPr>
          <w:rFonts w:ascii="Arial" w:hAnsi="Arial" w:cs="Arial"/>
          <w:sz w:val="20"/>
          <w:szCs w:val="20"/>
          <w:lang w:val="it-IT"/>
        </w:rPr>
        <w:t xml:space="preserve">Glomo-Narzoles, D., &amp; Glomo-Palermo, D. (2020). </w:t>
      </w:r>
      <w:r>
        <w:rPr>
          <w:rFonts w:ascii="Arial" w:hAnsi="Arial" w:cs="Arial"/>
          <w:sz w:val="20"/>
          <w:szCs w:val="20"/>
        </w:rPr>
        <w:t>Effectiveness of Tutorials in Improving the Academic Performance of English Language Learners. </w:t>
      </w:r>
      <w:r>
        <w:rPr>
          <w:rFonts w:ascii="Arial" w:hAnsi="Arial" w:cs="Arial"/>
          <w:i/>
          <w:iCs/>
          <w:sz w:val="20"/>
          <w:szCs w:val="20"/>
        </w:rPr>
        <w:t>International Journal of Language and Literary Studies</w:t>
      </w:r>
      <w:r>
        <w:rPr>
          <w:rFonts w:ascii="Arial" w:hAnsi="Arial" w:cs="Arial"/>
          <w:sz w:val="20"/>
          <w:szCs w:val="20"/>
        </w:rPr>
        <w:t>, </w:t>
      </w:r>
      <w:r>
        <w:rPr>
          <w:rFonts w:ascii="Arial" w:hAnsi="Arial" w:cs="Arial"/>
          <w:i/>
          <w:iCs/>
          <w:sz w:val="20"/>
          <w:szCs w:val="20"/>
        </w:rPr>
        <w:t>2</w:t>
      </w:r>
      <w:r>
        <w:rPr>
          <w:rFonts w:ascii="Arial" w:hAnsi="Arial" w:cs="Arial"/>
          <w:sz w:val="20"/>
          <w:szCs w:val="20"/>
        </w:rPr>
        <w:t>(3), 141-152.</w:t>
      </w:r>
    </w:p>
    <w:p w14:paraId="4DF5F4CD" w14:textId="77777777" w:rsidR="00A75D1A" w:rsidRDefault="00000000">
      <w:pPr>
        <w:pStyle w:val="ListParagraph"/>
        <w:numPr>
          <w:ilvl w:val="0"/>
          <w:numId w:val="3"/>
        </w:numPr>
        <w:spacing w:before="240" w:after="160" w:line="259" w:lineRule="auto"/>
        <w:jc w:val="both"/>
        <w:rPr>
          <w:rFonts w:ascii="Arial" w:hAnsi="Arial" w:cs="Arial"/>
          <w:sz w:val="20"/>
          <w:szCs w:val="20"/>
        </w:rPr>
      </w:pPr>
      <w:r>
        <w:rPr>
          <w:rFonts w:ascii="Arial" w:hAnsi="Arial" w:cs="Arial"/>
          <w:sz w:val="20"/>
          <w:szCs w:val="20"/>
        </w:rPr>
        <w:t>Harper, D., Bowles, A. R., Amer, L., Pandža, N. B., &amp; Linck, J. A. (2021). Improving outcomes for English learners through technology: A randomized controlled trial. </w:t>
      </w:r>
      <w:r>
        <w:rPr>
          <w:rFonts w:ascii="Arial" w:hAnsi="Arial" w:cs="Arial"/>
          <w:i/>
          <w:iCs/>
          <w:sz w:val="20"/>
          <w:szCs w:val="20"/>
        </w:rPr>
        <w:t>Aera Open</w:t>
      </w:r>
      <w:r>
        <w:rPr>
          <w:rFonts w:ascii="Arial" w:hAnsi="Arial" w:cs="Arial"/>
          <w:sz w:val="20"/>
          <w:szCs w:val="20"/>
        </w:rPr>
        <w:t>, </w:t>
      </w:r>
      <w:r>
        <w:rPr>
          <w:rFonts w:ascii="Arial" w:hAnsi="Arial" w:cs="Arial"/>
          <w:i/>
          <w:iCs/>
          <w:sz w:val="20"/>
          <w:szCs w:val="20"/>
        </w:rPr>
        <w:t>7</w:t>
      </w:r>
      <w:r>
        <w:rPr>
          <w:rFonts w:ascii="Arial" w:hAnsi="Arial" w:cs="Arial"/>
          <w:sz w:val="20"/>
          <w:szCs w:val="20"/>
        </w:rPr>
        <w:t xml:space="preserve">, 23328584211025528. </w:t>
      </w:r>
    </w:p>
    <w:p w14:paraId="6FBD2DB1" w14:textId="77777777" w:rsidR="00A75D1A" w:rsidRDefault="00000000">
      <w:pPr>
        <w:pStyle w:val="ListParagraph"/>
        <w:numPr>
          <w:ilvl w:val="0"/>
          <w:numId w:val="3"/>
        </w:numPr>
        <w:spacing w:before="240" w:after="160" w:line="259" w:lineRule="auto"/>
        <w:jc w:val="both"/>
        <w:rPr>
          <w:rFonts w:ascii="Arial" w:hAnsi="Arial" w:cs="Arial"/>
          <w:sz w:val="20"/>
          <w:szCs w:val="20"/>
        </w:rPr>
      </w:pPr>
      <w:r w:rsidRPr="00297BF8">
        <w:rPr>
          <w:rFonts w:ascii="Arial" w:hAnsi="Arial" w:cs="Arial"/>
          <w:sz w:val="20"/>
          <w:szCs w:val="20"/>
          <w:lang w:val="de-DE"/>
        </w:rPr>
        <w:t xml:space="preserve">Hessel, A. K., &amp; Strand, S. (2023). </w:t>
      </w:r>
      <w:r>
        <w:rPr>
          <w:rFonts w:ascii="Arial" w:hAnsi="Arial" w:cs="Arial"/>
          <w:sz w:val="20"/>
          <w:szCs w:val="20"/>
        </w:rPr>
        <w:t>Proficiency in English is a better predictor of educational achievement than English as an Additional Language (EAL). </w:t>
      </w:r>
      <w:r>
        <w:rPr>
          <w:rFonts w:ascii="Arial" w:hAnsi="Arial" w:cs="Arial"/>
          <w:i/>
          <w:iCs/>
          <w:sz w:val="20"/>
          <w:szCs w:val="20"/>
        </w:rPr>
        <w:t>Educational Review</w:t>
      </w:r>
      <w:r>
        <w:rPr>
          <w:rFonts w:ascii="Arial" w:hAnsi="Arial" w:cs="Arial"/>
          <w:sz w:val="20"/>
          <w:szCs w:val="20"/>
        </w:rPr>
        <w:t>, </w:t>
      </w:r>
      <w:r>
        <w:rPr>
          <w:rFonts w:ascii="Arial" w:hAnsi="Arial" w:cs="Arial"/>
          <w:i/>
          <w:iCs/>
          <w:sz w:val="20"/>
          <w:szCs w:val="20"/>
        </w:rPr>
        <w:t>75</w:t>
      </w:r>
      <w:r>
        <w:rPr>
          <w:rFonts w:ascii="Arial" w:hAnsi="Arial" w:cs="Arial"/>
          <w:sz w:val="20"/>
          <w:szCs w:val="20"/>
        </w:rPr>
        <w:t>(4), 763-786.</w:t>
      </w:r>
    </w:p>
    <w:p w14:paraId="478EDB9B" w14:textId="77777777" w:rsidR="00A75D1A" w:rsidRDefault="00000000">
      <w:pPr>
        <w:pStyle w:val="ListParagraph"/>
        <w:numPr>
          <w:ilvl w:val="0"/>
          <w:numId w:val="3"/>
        </w:numPr>
        <w:spacing w:before="240" w:after="160" w:line="259" w:lineRule="auto"/>
        <w:jc w:val="both"/>
        <w:rPr>
          <w:rFonts w:ascii="Arial" w:hAnsi="Arial" w:cs="Arial"/>
          <w:sz w:val="20"/>
          <w:szCs w:val="20"/>
        </w:rPr>
      </w:pPr>
      <w:r>
        <w:rPr>
          <w:rFonts w:ascii="Arial" w:hAnsi="Arial" w:cs="Arial"/>
          <w:sz w:val="20"/>
          <w:szCs w:val="20"/>
        </w:rPr>
        <w:t>Humaira, T. (2023). Assessing the impact of convergent thinking ability on English speaking proficiency. </w:t>
      </w:r>
      <w:r>
        <w:rPr>
          <w:rFonts w:ascii="Arial" w:hAnsi="Arial" w:cs="Arial"/>
          <w:i/>
          <w:iCs/>
          <w:sz w:val="20"/>
          <w:szCs w:val="20"/>
        </w:rPr>
        <w:t>LLT Journal: A Journal on Language and Language Teaching</w:t>
      </w:r>
      <w:r>
        <w:rPr>
          <w:rFonts w:ascii="Arial" w:hAnsi="Arial" w:cs="Arial"/>
          <w:sz w:val="20"/>
          <w:szCs w:val="20"/>
        </w:rPr>
        <w:t>, </w:t>
      </w:r>
      <w:r>
        <w:rPr>
          <w:rFonts w:ascii="Arial" w:hAnsi="Arial" w:cs="Arial"/>
          <w:i/>
          <w:iCs/>
          <w:sz w:val="20"/>
          <w:szCs w:val="20"/>
        </w:rPr>
        <w:t>26</w:t>
      </w:r>
      <w:r>
        <w:rPr>
          <w:rFonts w:ascii="Arial" w:hAnsi="Arial" w:cs="Arial"/>
          <w:sz w:val="20"/>
          <w:szCs w:val="20"/>
        </w:rPr>
        <w:t xml:space="preserve">(1), 41-53. </w:t>
      </w:r>
    </w:p>
    <w:p w14:paraId="4E8BB056" w14:textId="77777777" w:rsidR="00A75D1A" w:rsidRDefault="00000000">
      <w:pPr>
        <w:pStyle w:val="ListParagraph"/>
        <w:numPr>
          <w:ilvl w:val="0"/>
          <w:numId w:val="3"/>
        </w:numPr>
        <w:spacing w:before="240" w:after="160" w:line="259" w:lineRule="auto"/>
        <w:jc w:val="both"/>
        <w:rPr>
          <w:rFonts w:ascii="Arial" w:hAnsi="Arial" w:cs="Arial"/>
          <w:sz w:val="20"/>
          <w:szCs w:val="20"/>
        </w:rPr>
      </w:pPr>
      <w:r>
        <w:rPr>
          <w:rFonts w:ascii="Arial" w:hAnsi="Arial" w:cs="Arial"/>
          <w:sz w:val="20"/>
          <w:szCs w:val="20"/>
        </w:rPr>
        <w:t>Izatullah, S., Nasir, R., &amp; Gul, F. (2022). A study to examine the relationship between English language proficiency and academic achievement of students in higher education institutions. </w:t>
      </w:r>
      <w:r>
        <w:rPr>
          <w:rFonts w:ascii="Arial" w:hAnsi="Arial" w:cs="Arial"/>
          <w:i/>
          <w:iCs/>
          <w:sz w:val="20"/>
          <w:szCs w:val="20"/>
        </w:rPr>
        <w:t>Global Educational Studies Review</w:t>
      </w:r>
      <w:r>
        <w:rPr>
          <w:rFonts w:ascii="Arial" w:hAnsi="Arial" w:cs="Arial"/>
          <w:sz w:val="20"/>
          <w:szCs w:val="20"/>
        </w:rPr>
        <w:t>, </w:t>
      </w:r>
      <w:r>
        <w:rPr>
          <w:rFonts w:ascii="Arial" w:hAnsi="Arial" w:cs="Arial"/>
          <w:i/>
          <w:iCs/>
          <w:sz w:val="20"/>
          <w:szCs w:val="20"/>
        </w:rPr>
        <w:t>7</w:t>
      </w:r>
      <w:r>
        <w:rPr>
          <w:rFonts w:ascii="Arial" w:hAnsi="Arial" w:cs="Arial"/>
          <w:sz w:val="20"/>
          <w:szCs w:val="20"/>
        </w:rPr>
        <w:t>(1), 164-171.</w:t>
      </w:r>
    </w:p>
    <w:p w14:paraId="5FF8A3B7" w14:textId="77777777" w:rsidR="00A75D1A" w:rsidRDefault="00000000">
      <w:pPr>
        <w:pStyle w:val="ListParagraph"/>
        <w:numPr>
          <w:ilvl w:val="0"/>
          <w:numId w:val="3"/>
        </w:numPr>
        <w:spacing w:before="240" w:after="160" w:line="259" w:lineRule="auto"/>
        <w:jc w:val="both"/>
        <w:rPr>
          <w:rFonts w:ascii="Arial" w:hAnsi="Arial" w:cs="Arial"/>
          <w:sz w:val="20"/>
          <w:szCs w:val="20"/>
        </w:rPr>
      </w:pPr>
      <w:proofErr w:type="spellStart"/>
      <w:r>
        <w:rPr>
          <w:rFonts w:ascii="Arial" w:hAnsi="Arial" w:cs="Arial"/>
          <w:sz w:val="20"/>
          <w:szCs w:val="20"/>
          <w:lang w:val="en-PH"/>
        </w:rPr>
        <w:t>Labiste</w:t>
      </w:r>
      <w:proofErr w:type="spellEnd"/>
      <w:r>
        <w:rPr>
          <w:rFonts w:ascii="Arial" w:hAnsi="Arial" w:cs="Arial"/>
          <w:sz w:val="20"/>
          <w:szCs w:val="20"/>
          <w:lang w:val="en-PH"/>
        </w:rPr>
        <w:t>, J. (2019). Contextualization in English language education: Navigating the place of maritime culture in Philippine English language teaching. </w:t>
      </w:r>
      <w:r>
        <w:rPr>
          <w:rFonts w:ascii="Arial" w:hAnsi="Arial" w:cs="Arial"/>
          <w:i/>
          <w:iCs/>
          <w:sz w:val="20"/>
          <w:szCs w:val="20"/>
          <w:lang w:val="en-PH"/>
        </w:rPr>
        <w:t>Asian EFL Journal</w:t>
      </w:r>
      <w:r>
        <w:rPr>
          <w:rFonts w:ascii="Arial" w:hAnsi="Arial" w:cs="Arial"/>
          <w:sz w:val="20"/>
          <w:szCs w:val="20"/>
          <w:lang w:val="en-PH"/>
        </w:rPr>
        <w:t>, </w:t>
      </w:r>
      <w:r>
        <w:rPr>
          <w:rFonts w:ascii="Arial" w:hAnsi="Arial" w:cs="Arial"/>
          <w:i/>
          <w:iCs/>
          <w:sz w:val="20"/>
          <w:szCs w:val="20"/>
          <w:lang w:val="en-PH"/>
        </w:rPr>
        <w:t>23</w:t>
      </w:r>
      <w:r>
        <w:rPr>
          <w:rFonts w:ascii="Arial" w:hAnsi="Arial" w:cs="Arial"/>
          <w:sz w:val="20"/>
          <w:szCs w:val="20"/>
          <w:lang w:val="en-PH"/>
        </w:rPr>
        <w:t>(6.2), 83-108.</w:t>
      </w:r>
    </w:p>
    <w:p w14:paraId="60AD8077" w14:textId="77777777" w:rsidR="00A75D1A" w:rsidRDefault="00000000">
      <w:pPr>
        <w:pStyle w:val="ListParagraph"/>
        <w:numPr>
          <w:ilvl w:val="0"/>
          <w:numId w:val="3"/>
        </w:numPr>
        <w:spacing w:before="240" w:after="160" w:line="259" w:lineRule="auto"/>
        <w:jc w:val="both"/>
        <w:rPr>
          <w:rFonts w:ascii="Arial" w:hAnsi="Arial" w:cs="Arial"/>
          <w:sz w:val="20"/>
          <w:szCs w:val="20"/>
        </w:rPr>
      </w:pPr>
      <w:r>
        <w:rPr>
          <w:rFonts w:ascii="Arial" w:hAnsi="Arial" w:cs="Arial"/>
          <w:sz w:val="20"/>
          <w:szCs w:val="20"/>
          <w:lang w:val="en-PH"/>
        </w:rPr>
        <w:t>Leeming, P., &amp; Harris, J. (2022). Measuring speaking proficiency growth in the language classroom: An investigation of practical approaches for teachers. </w:t>
      </w:r>
      <w:r>
        <w:rPr>
          <w:rFonts w:ascii="Arial" w:hAnsi="Arial" w:cs="Arial"/>
          <w:i/>
          <w:iCs/>
          <w:sz w:val="20"/>
          <w:szCs w:val="20"/>
          <w:lang w:val="en-PH"/>
        </w:rPr>
        <w:t>Language Teaching Research</w:t>
      </w:r>
      <w:r>
        <w:rPr>
          <w:rFonts w:ascii="Arial" w:hAnsi="Arial" w:cs="Arial"/>
          <w:sz w:val="20"/>
          <w:szCs w:val="20"/>
          <w:lang w:val="en-PH"/>
        </w:rPr>
        <w:t>, 13621688221130856.</w:t>
      </w:r>
    </w:p>
    <w:p w14:paraId="7B263F07" w14:textId="77777777" w:rsidR="00A75D1A" w:rsidRDefault="00000000">
      <w:pPr>
        <w:pStyle w:val="ListParagraph"/>
        <w:numPr>
          <w:ilvl w:val="0"/>
          <w:numId w:val="3"/>
        </w:numPr>
        <w:spacing w:before="240" w:after="160" w:line="259" w:lineRule="auto"/>
        <w:jc w:val="both"/>
        <w:rPr>
          <w:rFonts w:ascii="Arial" w:hAnsi="Arial" w:cs="Arial"/>
          <w:sz w:val="20"/>
          <w:szCs w:val="20"/>
        </w:rPr>
      </w:pPr>
      <w:r>
        <w:rPr>
          <w:rFonts w:ascii="Arial" w:hAnsi="Arial" w:cs="Arial"/>
          <w:sz w:val="20"/>
          <w:szCs w:val="20"/>
          <w:lang w:val="en-PH"/>
        </w:rPr>
        <w:t>Ginting, D. (2021). Student engagement and factors affecting active learning in English language teaching. </w:t>
      </w:r>
      <w:r>
        <w:rPr>
          <w:rFonts w:ascii="Arial" w:hAnsi="Arial" w:cs="Arial"/>
          <w:i/>
          <w:iCs/>
          <w:sz w:val="20"/>
          <w:szCs w:val="20"/>
          <w:lang w:val="en-PH"/>
        </w:rPr>
        <w:t>Voices of English Language Education Society</w:t>
      </w:r>
      <w:r>
        <w:rPr>
          <w:rFonts w:ascii="Arial" w:hAnsi="Arial" w:cs="Arial"/>
          <w:sz w:val="20"/>
          <w:szCs w:val="20"/>
          <w:lang w:val="en-PH"/>
        </w:rPr>
        <w:t>, </w:t>
      </w:r>
      <w:r>
        <w:rPr>
          <w:rFonts w:ascii="Arial" w:hAnsi="Arial" w:cs="Arial"/>
          <w:i/>
          <w:iCs/>
          <w:sz w:val="20"/>
          <w:szCs w:val="20"/>
          <w:lang w:val="en-PH"/>
        </w:rPr>
        <w:t>5</w:t>
      </w:r>
      <w:r>
        <w:rPr>
          <w:rFonts w:ascii="Arial" w:hAnsi="Arial" w:cs="Arial"/>
          <w:sz w:val="20"/>
          <w:szCs w:val="20"/>
          <w:lang w:val="en-PH"/>
        </w:rPr>
        <w:t>(2), 215-228.</w:t>
      </w:r>
    </w:p>
    <w:p w14:paraId="054CDBAB" w14:textId="77777777" w:rsidR="00A75D1A" w:rsidRDefault="00000000">
      <w:pPr>
        <w:pStyle w:val="ListParagraph"/>
        <w:numPr>
          <w:ilvl w:val="0"/>
          <w:numId w:val="3"/>
        </w:numPr>
        <w:spacing w:before="240" w:after="160" w:line="259" w:lineRule="auto"/>
        <w:jc w:val="both"/>
        <w:rPr>
          <w:rFonts w:ascii="Arial" w:hAnsi="Arial" w:cs="Arial"/>
          <w:sz w:val="20"/>
          <w:szCs w:val="20"/>
        </w:rPr>
      </w:pPr>
      <w:proofErr w:type="spellStart"/>
      <w:r>
        <w:rPr>
          <w:rFonts w:ascii="Arial" w:hAnsi="Arial" w:cs="Arial"/>
          <w:sz w:val="20"/>
          <w:szCs w:val="20"/>
        </w:rPr>
        <w:t>Mahriza</w:t>
      </w:r>
      <w:proofErr w:type="spellEnd"/>
      <w:r>
        <w:rPr>
          <w:rFonts w:ascii="Arial" w:hAnsi="Arial" w:cs="Arial"/>
          <w:sz w:val="20"/>
          <w:szCs w:val="20"/>
        </w:rPr>
        <w:t xml:space="preserve">, R., &amp; </w:t>
      </w:r>
      <w:proofErr w:type="spellStart"/>
      <w:r>
        <w:rPr>
          <w:rFonts w:ascii="Arial" w:hAnsi="Arial" w:cs="Arial"/>
          <w:sz w:val="20"/>
          <w:szCs w:val="20"/>
        </w:rPr>
        <w:t>Meutiar</w:t>
      </w:r>
      <w:proofErr w:type="spellEnd"/>
      <w:r>
        <w:rPr>
          <w:rFonts w:ascii="Arial" w:hAnsi="Arial" w:cs="Arial"/>
          <w:sz w:val="20"/>
          <w:szCs w:val="20"/>
        </w:rPr>
        <w:t>, C. I. (2023). The English Teacher Language Competency Enhancement: A Discussion of Models and Strategies. </w:t>
      </w:r>
      <w:proofErr w:type="spellStart"/>
      <w:r>
        <w:rPr>
          <w:rFonts w:ascii="Arial" w:hAnsi="Arial" w:cs="Arial"/>
          <w:i/>
          <w:iCs/>
          <w:sz w:val="20"/>
          <w:szCs w:val="20"/>
        </w:rPr>
        <w:t>LingPoet</w:t>
      </w:r>
      <w:proofErr w:type="spellEnd"/>
      <w:r>
        <w:rPr>
          <w:rFonts w:ascii="Arial" w:hAnsi="Arial" w:cs="Arial"/>
          <w:i/>
          <w:iCs/>
          <w:sz w:val="20"/>
          <w:szCs w:val="20"/>
        </w:rPr>
        <w:t>: Journal of Linguistics and Literary Research</w:t>
      </w:r>
      <w:r>
        <w:rPr>
          <w:rFonts w:ascii="Arial" w:hAnsi="Arial" w:cs="Arial"/>
          <w:sz w:val="20"/>
          <w:szCs w:val="20"/>
        </w:rPr>
        <w:t>, </w:t>
      </w:r>
      <w:r>
        <w:rPr>
          <w:rFonts w:ascii="Arial" w:hAnsi="Arial" w:cs="Arial"/>
          <w:i/>
          <w:iCs/>
          <w:sz w:val="20"/>
          <w:szCs w:val="20"/>
        </w:rPr>
        <w:t>4</w:t>
      </w:r>
      <w:r>
        <w:rPr>
          <w:rFonts w:ascii="Arial" w:hAnsi="Arial" w:cs="Arial"/>
          <w:sz w:val="20"/>
          <w:szCs w:val="20"/>
        </w:rPr>
        <w:t>(1), 22-29.</w:t>
      </w:r>
    </w:p>
    <w:p w14:paraId="7093E6CA" w14:textId="77777777" w:rsidR="00A75D1A" w:rsidRDefault="00000000">
      <w:pPr>
        <w:pStyle w:val="ListParagraph"/>
        <w:numPr>
          <w:ilvl w:val="0"/>
          <w:numId w:val="3"/>
        </w:numPr>
        <w:spacing w:before="240" w:after="160" w:line="259" w:lineRule="auto"/>
        <w:jc w:val="both"/>
        <w:rPr>
          <w:rFonts w:ascii="Arial" w:hAnsi="Arial" w:cs="Arial"/>
          <w:sz w:val="20"/>
          <w:szCs w:val="20"/>
        </w:rPr>
      </w:pPr>
      <w:r w:rsidRPr="00297BF8">
        <w:rPr>
          <w:rFonts w:ascii="Arial" w:hAnsi="Arial" w:cs="Arial"/>
          <w:sz w:val="20"/>
          <w:szCs w:val="20"/>
          <w:lang w:val="sv-SE"/>
        </w:rPr>
        <w:t xml:space="preserve">Makena, B., &amp; Omodan, B. I. (2022). </w:t>
      </w:r>
      <w:r>
        <w:rPr>
          <w:rFonts w:ascii="Arial" w:hAnsi="Arial" w:cs="Arial"/>
          <w:sz w:val="20"/>
          <w:szCs w:val="20"/>
        </w:rPr>
        <w:t>Subscribing to diverse subjects in different classes: language development dichotomy. </w:t>
      </w:r>
      <w:r>
        <w:rPr>
          <w:rFonts w:ascii="Arial" w:hAnsi="Arial" w:cs="Arial"/>
          <w:i/>
          <w:iCs/>
          <w:sz w:val="20"/>
          <w:szCs w:val="20"/>
        </w:rPr>
        <w:t>Journal of Research on English and Language Learning (J-REaLL)</w:t>
      </w:r>
      <w:r>
        <w:rPr>
          <w:rFonts w:ascii="Arial" w:hAnsi="Arial" w:cs="Arial"/>
          <w:sz w:val="20"/>
          <w:szCs w:val="20"/>
        </w:rPr>
        <w:t>, </w:t>
      </w:r>
      <w:r>
        <w:rPr>
          <w:rFonts w:ascii="Arial" w:hAnsi="Arial" w:cs="Arial"/>
          <w:i/>
          <w:iCs/>
          <w:sz w:val="20"/>
          <w:szCs w:val="20"/>
        </w:rPr>
        <w:t>3</w:t>
      </w:r>
      <w:r>
        <w:rPr>
          <w:rFonts w:ascii="Arial" w:hAnsi="Arial" w:cs="Arial"/>
          <w:sz w:val="20"/>
          <w:szCs w:val="20"/>
        </w:rPr>
        <w:t>(2), 79-88.</w:t>
      </w:r>
    </w:p>
    <w:p w14:paraId="7509D202" w14:textId="77777777" w:rsidR="00A75D1A" w:rsidRDefault="00000000">
      <w:pPr>
        <w:pStyle w:val="ListParagraph"/>
        <w:numPr>
          <w:ilvl w:val="0"/>
          <w:numId w:val="3"/>
        </w:numPr>
        <w:spacing w:before="240" w:after="160" w:line="259" w:lineRule="auto"/>
        <w:jc w:val="both"/>
        <w:rPr>
          <w:rFonts w:ascii="Arial" w:hAnsi="Arial" w:cs="Arial"/>
          <w:sz w:val="20"/>
          <w:szCs w:val="20"/>
        </w:rPr>
      </w:pPr>
      <w:r>
        <w:rPr>
          <w:rFonts w:ascii="Arial" w:hAnsi="Arial" w:cs="Arial"/>
          <w:sz w:val="20"/>
          <w:szCs w:val="20"/>
          <w:lang w:val="en-PH"/>
        </w:rPr>
        <w:t>Pascua, W. (2025). Motivational Factors Influencing Research Productivity among Higher Education Faculty. </w:t>
      </w:r>
      <w:r>
        <w:rPr>
          <w:rFonts w:ascii="Arial" w:hAnsi="Arial" w:cs="Arial"/>
          <w:i/>
          <w:iCs/>
          <w:sz w:val="20"/>
          <w:szCs w:val="20"/>
          <w:lang w:val="en-PH"/>
        </w:rPr>
        <w:t>Asian Research Journal of Arts &amp; Social Sciences</w:t>
      </w:r>
      <w:r>
        <w:rPr>
          <w:rFonts w:ascii="Arial" w:hAnsi="Arial" w:cs="Arial"/>
          <w:sz w:val="20"/>
          <w:szCs w:val="20"/>
          <w:lang w:val="en-PH"/>
        </w:rPr>
        <w:t>, </w:t>
      </w:r>
      <w:r>
        <w:rPr>
          <w:rFonts w:ascii="Arial" w:hAnsi="Arial" w:cs="Arial"/>
          <w:i/>
          <w:iCs/>
          <w:sz w:val="20"/>
          <w:szCs w:val="20"/>
          <w:lang w:val="en-PH"/>
        </w:rPr>
        <w:t>23</w:t>
      </w:r>
      <w:r>
        <w:rPr>
          <w:rFonts w:ascii="Arial" w:hAnsi="Arial" w:cs="Arial"/>
          <w:sz w:val="20"/>
          <w:szCs w:val="20"/>
          <w:lang w:val="en-PH"/>
        </w:rPr>
        <w:t>(5), 14-25.</w:t>
      </w:r>
      <w:r>
        <w:rPr>
          <w:rFonts w:ascii="Arial" w:hAnsi="Arial" w:cs="Arial"/>
          <w:sz w:val="20"/>
          <w:szCs w:val="20"/>
        </w:rPr>
        <w:t xml:space="preserve"> </w:t>
      </w:r>
      <w:hyperlink r:id="rId13" w:history="1">
        <w:r w:rsidR="00A75D1A">
          <w:rPr>
            <w:rStyle w:val="Hyperlink"/>
            <w:rFonts w:ascii="Arial" w:hAnsi="Arial" w:cs="Arial"/>
            <w:sz w:val="20"/>
            <w:szCs w:val="20"/>
          </w:rPr>
          <w:t>https://hal.science/hal-05039108/</w:t>
        </w:r>
      </w:hyperlink>
    </w:p>
    <w:p w14:paraId="14CA9608" w14:textId="77777777" w:rsidR="00A75D1A" w:rsidRDefault="00000000">
      <w:pPr>
        <w:pStyle w:val="ListParagraph"/>
        <w:numPr>
          <w:ilvl w:val="0"/>
          <w:numId w:val="3"/>
        </w:numPr>
        <w:spacing w:before="240" w:after="160" w:line="259" w:lineRule="auto"/>
        <w:jc w:val="both"/>
        <w:rPr>
          <w:rFonts w:ascii="Arial" w:hAnsi="Arial" w:cs="Arial"/>
          <w:sz w:val="20"/>
          <w:szCs w:val="20"/>
        </w:rPr>
      </w:pPr>
      <w:commentRangeStart w:id="13"/>
      <w:r>
        <w:rPr>
          <w:rFonts w:ascii="Arial" w:hAnsi="Arial" w:cs="Arial"/>
          <w:sz w:val="20"/>
          <w:szCs w:val="20"/>
        </w:rPr>
        <w:t xml:space="preserve">Rizwan, M. S. M., &amp; Rumana, A. S. F. Effectiveness of English Language Teaching </w:t>
      </w:r>
      <w:proofErr w:type="spellStart"/>
      <w:r>
        <w:rPr>
          <w:rFonts w:ascii="Arial" w:hAnsi="Arial" w:cs="Arial"/>
          <w:sz w:val="20"/>
          <w:szCs w:val="20"/>
        </w:rPr>
        <w:t>Programmes</w:t>
      </w:r>
      <w:proofErr w:type="spellEnd"/>
      <w:r>
        <w:rPr>
          <w:rFonts w:ascii="Arial" w:hAnsi="Arial" w:cs="Arial"/>
          <w:sz w:val="20"/>
          <w:szCs w:val="20"/>
        </w:rPr>
        <w:t>: Special Reference for Private Sectors. </w:t>
      </w:r>
      <w:r>
        <w:rPr>
          <w:rFonts w:ascii="Arial" w:hAnsi="Arial" w:cs="Arial"/>
          <w:i/>
          <w:iCs/>
          <w:sz w:val="20"/>
          <w:szCs w:val="20"/>
        </w:rPr>
        <w:t xml:space="preserve">Journal homepage: www. </w:t>
      </w:r>
      <w:proofErr w:type="spellStart"/>
      <w:r>
        <w:rPr>
          <w:rFonts w:ascii="Arial" w:hAnsi="Arial" w:cs="Arial"/>
          <w:i/>
          <w:iCs/>
          <w:sz w:val="20"/>
          <w:szCs w:val="20"/>
        </w:rPr>
        <w:t>ijrpr</w:t>
      </w:r>
      <w:proofErr w:type="spellEnd"/>
      <w:r>
        <w:rPr>
          <w:rFonts w:ascii="Arial" w:hAnsi="Arial" w:cs="Arial"/>
          <w:i/>
          <w:iCs/>
          <w:sz w:val="20"/>
          <w:szCs w:val="20"/>
        </w:rPr>
        <w:t>. com ISSN</w:t>
      </w:r>
      <w:r>
        <w:rPr>
          <w:rFonts w:ascii="Arial" w:hAnsi="Arial" w:cs="Arial"/>
          <w:sz w:val="20"/>
          <w:szCs w:val="20"/>
        </w:rPr>
        <w:t>, </w:t>
      </w:r>
      <w:r>
        <w:rPr>
          <w:rFonts w:ascii="Arial" w:hAnsi="Arial" w:cs="Arial"/>
          <w:i/>
          <w:iCs/>
          <w:sz w:val="20"/>
          <w:szCs w:val="20"/>
        </w:rPr>
        <w:t>2582</w:t>
      </w:r>
      <w:r>
        <w:rPr>
          <w:rFonts w:ascii="Arial" w:hAnsi="Arial" w:cs="Arial"/>
          <w:sz w:val="20"/>
          <w:szCs w:val="20"/>
        </w:rPr>
        <w:t>, 7421.</w:t>
      </w:r>
      <w:commentRangeEnd w:id="13"/>
      <w:r w:rsidR="002455DA">
        <w:rPr>
          <w:rStyle w:val="CommentReference"/>
          <w:lang w:val="nb-NO" w:eastAsia="nb-NO"/>
        </w:rPr>
        <w:commentReference w:id="13"/>
      </w:r>
    </w:p>
    <w:p w14:paraId="3AEA7BC3" w14:textId="77777777" w:rsidR="00A75D1A" w:rsidRDefault="00000000">
      <w:pPr>
        <w:pStyle w:val="ListParagraph"/>
        <w:numPr>
          <w:ilvl w:val="0"/>
          <w:numId w:val="3"/>
        </w:numPr>
        <w:spacing w:before="240" w:after="160" w:line="259" w:lineRule="auto"/>
        <w:jc w:val="both"/>
        <w:rPr>
          <w:rFonts w:ascii="Arial" w:hAnsi="Arial" w:cs="Arial"/>
          <w:sz w:val="20"/>
          <w:szCs w:val="20"/>
        </w:rPr>
      </w:pPr>
      <w:r>
        <w:rPr>
          <w:rFonts w:ascii="Arial" w:hAnsi="Arial" w:cs="Arial"/>
          <w:sz w:val="20"/>
          <w:szCs w:val="20"/>
        </w:rPr>
        <w:t xml:space="preserve">Rudd, M., &amp; </w:t>
      </w:r>
      <w:proofErr w:type="spellStart"/>
      <w:r>
        <w:rPr>
          <w:rFonts w:ascii="Arial" w:hAnsi="Arial" w:cs="Arial"/>
          <w:sz w:val="20"/>
          <w:szCs w:val="20"/>
        </w:rPr>
        <w:t>Honkiss</w:t>
      </w:r>
      <w:proofErr w:type="spellEnd"/>
      <w:r>
        <w:rPr>
          <w:rFonts w:ascii="Arial" w:hAnsi="Arial" w:cs="Arial"/>
          <w:sz w:val="20"/>
          <w:szCs w:val="20"/>
        </w:rPr>
        <w:t xml:space="preserve">, L. (2020). </w:t>
      </w:r>
      <w:proofErr w:type="spellStart"/>
      <w:r>
        <w:rPr>
          <w:rFonts w:ascii="Arial" w:hAnsi="Arial" w:cs="Arial"/>
          <w:sz w:val="20"/>
          <w:szCs w:val="20"/>
        </w:rPr>
        <w:t>Analysing</w:t>
      </w:r>
      <w:proofErr w:type="spellEnd"/>
      <w:r>
        <w:rPr>
          <w:rFonts w:ascii="Arial" w:hAnsi="Arial" w:cs="Arial"/>
          <w:sz w:val="20"/>
          <w:szCs w:val="20"/>
        </w:rPr>
        <w:t xml:space="preserve"> the Correlation between English Proficiency and Academic Performance among Thai University Students. </w:t>
      </w:r>
      <w:r>
        <w:rPr>
          <w:rFonts w:ascii="Arial" w:hAnsi="Arial" w:cs="Arial"/>
          <w:i/>
          <w:iCs/>
          <w:sz w:val="20"/>
          <w:szCs w:val="20"/>
        </w:rPr>
        <w:t>Athens Journal of Education</w:t>
      </w:r>
      <w:r>
        <w:rPr>
          <w:rFonts w:ascii="Arial" w:hAnsi="Arial" w:cs="Arial"/>
          <w:sz w:val="20"/>
          <w:szCs w:val="20"/>
        </w:rPr>
        <w:t>, </w:t>
      </w:r>
      <w:r>
        <w:rPr>
          <w:rFonts w:ascii="Arial" w:hAnsi="Arial" w:cs="Arial"/>
          <w:i/>
          <w:iCs/>
          <w:sz w:val="20"/>
          <w:szCs w:val="20"/>
        </w:rPr>
        <w:t>7</w:t>
      </w:r>
      <w:r>
        <w:rPr>
          <w:rFonts w:ascii="Arial" w:hAnsi="Arial" w:cs="Arial"/>
          <w:sz w:val="20"/>
          <w:szCs w:val="20"/>
        </w:rPr>
        <w:t>(1), 123-137.</w:t>
      </w:r>
    </w:p>
    <w:p w14:paraId="509AACEC" w14:textId="77777777" w:rsidR="00A75D1A" w:rsidRDefault="00000000">
      <w:pPr>
        <w:pStyle w:val="ListParagraph"/>
        <w:numPr>
          <w:ilvl w:val="0"/>
          <w:numId w:val="3"/>
        </w:numPr>
        <w:spacing w:before="240" w:after="160" w:line="259" w:lineRule="auto"/>
        <w:jc w:val="both"/>
        <w:rPr>
          <w:rFonts w:ascii="Arial" w:hAnsi="Arial" w:cs="Arial"/>
          <w:sz w:val="20"/>
          <w:szCs w:val="20"/>
        </w:rPr>
      </w:pPr>
      <w:proofErr w:type="spellStart"/>
      <w:r>
        <w:rPr>
          <w:rFonts w:ascii="Arial" w:hAnsi="Arial" w:cs="Arial"/>
          <w:sz w:val="20"/>
          <w:szCs w:val="20"/>
          <w:lang w:val="en-PH"/>
        </w:rPr>
        <w:t>Sanunrum</w:t>
      </w:r>
      <w:proofErr w:type="spellEnd"/>
      <w:r>
        <w:rPr>
          <w:rFonts w:ascii="Arial" w:hAnsi="Arial" w:cs="Arial"/>
          <w:sz w:val="20"/>
          <w:szCs w:val="20"/>
          <w:lang w:val="en-PH"/>
        </w:rPr>
        <w:t xml:space="preserve">, N., &amp; </w:t>
      </w:r>
      <w:proofErr w:type="spellStart"/>
      <w:r>
        <w:rPr>
          <w:rFonts w:ascii="Arial" w:hAnsi="Arial" w:cs="Arial"/>
          <w:sz w:val="20"/>
          <w:szCs w:val="20"/>
          <w:lang w:val="en-PH"/>
        </w:rPr>
        <w:t>Wongleedee</w:t>
      </w:r>
      <w:proofErr w:type="spellEnd"/>
      <w:r>
        <w:rPr>
          <w:rFonts w:ascii="Arial" w:hAnsi="Arial" w:cs="Arial"/>
          <w:sz w:val="20"/>
          <w:szCs w:val="20"/>
          <w:lang w:val="en-PH"/>
        </w:rPr>
        <w:t>, K. (2019, October). QUALITY ENHANCEMENT FOR ENGLISH POTENTIAL DEVELOPMENT TRAINING FOR STUDENTS. In </w:t>
      </w:r>
      <w:r>
        <w:rPr>
          <w:rFonts w:ascii="Arial" w:hAnsi="Arial" w:cs="Arial"/>
          <w:i/>
          <w:iCs/>
          <w:sz w:val="20"/>
          <w:szCs w:val="20"/>
          <w:lang w:val="en-PH"/>
        </w:rPr>
        <w:t>INTERNATIONAL ACADEMIC MULTIDISCIPLINARY RESEARCH CONFERENCE IN BERLIN 2019</w:t>
      </w:r>
      <w:r>
        <w:rPr>
          <w:rFonts w:ascii="Arial" w:hAnsi="Arial" w:cs="Arial"/>
          <w:sz w:val="20"/>
          <w:szCs w:val="20"/>
          <w:lang w:val="en-PH"/>
        </w:rPr>
        <w:t> (pp. 46-50).</w:t>
      </w:r>
    </w:p>
    <w:p w14:paraId="58E8C5B4" w14:textId="77777777" w:rsidR="00A75D1A" w:rsidRDefault="00000000">
      <w:pPr>
        <w:pStyle w:val="ListParagraph"/>
        <w:numPr>
          <w:ilvl w:val="0"/>
          <w:numId w:val="3"/>
        </w:numPr>
        <w:spacing w:before="240" w:after="160" w:line="259" w:lineRule="auto"/>
        <w:jc w:val="both"/>
        <w:rPr>
          <w:rFonts w:ascii="Arial" w:hAnsi="Arial" w:cs="Arial"/>
          <w:sz w:val="20"/>
          <w:szCs w:val="20"/>
        </w:rPr>
      </w:pPr>
      <w:r>
        <w:rPr>
          <w:rFonts w:ascii="Arial" w:hAnsi="Arial" w:cs="Arial"/>
          <w:sz w:val="20"/>
          <w:szCs w:val="20"/>
        </w:rPr>
        <w:t>Toyon, M. A. S. (2021). Explanatory sequential design of mixed methods research: Phases and challenges. </w:t>
      </w:r>
      <w:r>
        <w:rPr>
          <w:rFonts w:ascii="Arial" w:hAnsi="Arial" w:cs="Arial"/>
          <w:i/>
          <w:iCs/>
          <w:sz w:val="20"/>
          <w:szCs w:val="20"/>
        </w:rPr>
        <w:t>International Journal of Research in Business and Social Science</w:t>
      </w:r>
      <w:r>
        <w:rPr>
          <w:rFonts w:ascii="Arial" w:hAnsi="Arial" w:cs="Arial"/>
          <w:sz w:val="20"/>
          <w:szCs w:val="20"/>
        </w:rPr>
        <w:t>, </w:t>
      </w:r>
      <w:r>
        <w:rPr>
          <w:rFonts w:ascii="Arial" w:hAnsi="Arial" w:cs="Arial"/>
          <w:i/>
          <w:iCs/>
          <w:sz w:val="20"/>
          <w:szCs w:val="20"/>
        </w:rPr>
        <w:t>10</w:t>
      </w:r>
      <w:r>
        <w:rPr>
          <w:rFonts w:ascii="Arial" w:hAnsi="Arial" w:cs="Arial"/>
          <w:sz w:val="20"/>
          <w:szCs w:val="20"/>
        </w:rPr>
        <w:t>(5), 253-260.</w:t>
      </w:r>
    </w:p>
    <w:p w14:paraId="74F580C6" w14:textId="77777777" w:rsidR="00A75D1A" w:rsidRDefault="00000000">
      <w:pPr>
        <w:pStyle w:val="ListParagraph"/>
        <w:numPr>
          <w:ilvl w:val="0"/>
          <w:numId w:val="3"/>
        </w:numPr>
        <w:spacing w:before="240" w:after="160" w:line="259" w:lineRule="auto"/>
        <w:jc w:val="both"/>
        <w:rPr>
          <w:rFonts w:ascii="Arial" w:hAnsi="Arial" w:cs="Arial"/>
          <w:sz w:val="20"/>
          <w:szCs w:val="20"/>
        </w:rPr>
      </w:pPr>
      <w:proofErr w:type="spellStart"/>
      <w:r>
        <w:rPr>
          <w:rFonts w:ascii="Arial" w:hAnsi="Arial" w:cs="Arial"/>
          <w:sz w:val="20"/>
          <w:szCs w:val="20"/>
          <w:lang w:val="en-PH"/>
        </w:rPr>
        <w:t>Tursunovich</w:t>
      </w:r>
      <w:proofErr w:type="spellEnd"/>
      <w:r>
        <w:rPr>
          <w:rFonts w:ascii="Arial" w:hAnsi="Arial" w:cs="Arial"/>
          <w:sz w:val="20"/>
          <w:szCs w:val="20"/>
          <w:lang w:val="en-PH"/>
        </w:rPr>
        <w:t>, S. E. (2021). The Role of Pragmatics in Overcoming Challenges of Academic Writing. </w:t>
      </w:r>
      <w:r>
        <w:rPr>
          <w:rFonts w:ascii="Arial" w:hAnsi="Arial" w:cs="Arial"/>
          <w:i/>
          <w:iCs/>
          <w:sz w:val="20"/>
          <w:szCs w:val="20"/>
          <w:lang w:val="en-PH"/>
        </w:rPr>
        <w:t>Galaxy International Interdisciplinary Research Journal</w:t>
      </w:r>
      <w:r>
        <w:rPr>
          <w:rFonts w:ascii="Arial" w:hAnsi="Arial" w:cs="Arial"/>
          <w:sz w:val="20"/>
          <w:szCs w:val="20"/>
          <w:lang w:val="en-PH"/>
        </w:rPr>
        <w:t>, </w:t>
      </w:r>
      <w:r>
        <w:rPr>
          <w:rFonts w:ascii="Arial" w:hAnsi="Arial" w:cs="Arial"/>
          <w:i/>
          <w:iCs/>
          <w:sz w:val="20"/>
          <w:szCs w:val="20"/>
          <w:lang w:val="en-PH"/>
        </w:rPr>
        <w:t>9</w:t>
      </w:r>
      <w:r>
        <w:rPr>
          <w:rFonts w:ascii="Arial" w:hAnsi="Arial" w:cs="Arial"/>
          <w:sz w:val="20"/>
          <w:szCs w:val="20"/>
          <w:lang w:val="en-PH"/>
        </w:rPr>
        <w:t>(11), 247-249.</w:t>
      </w:r>
    </w:p>
    <w:p w14:paraId="4200EBC5" w14:textId="77777777" w:rsidR="00A75D1A" w:rsidRDefault="00A75D1A">
      <w:pPr>
        <w:pStyle w:val="ReferHead"/>
        <w:spacing w:after="0"/>
        <w:jc w:val="both"/>
        <w:rPr>
          <w:rFonts w:ascii="Arial" w:hAnsi="Arial" w:cs="Arial"/>
        </w:rPr>
      </w:pPr>
    </w:p>
    <w:commentRangeEnd w:id="12"/>
    <w:p w14:paraId="1F7F0EAF" w14:textId="77777777" w:rsidR="00A75D1A" w:rsidRDefault="002455DA">
      <w:pPr>
        <w:pStyle w:val="Body"/>
        <w:spacing w:after="0"/>
        <w:rPr>
          <w:rFonts w:ascii="Arial" w:hAnsi="Arial" w:cs="Arial"/>
        </w:rPr>
      </w:pPr>
      <w:r>
        <w:rPr>
          <w:rStyle w:val="CommentReference"/>
          <w:rFonts w:ascii="Times New Roman" w:hAnsi="Times New Roman"/>
          <w:lang w:val="nb-NO" w:eastAsia="nb-NO"/>
        </w:rPr>
        <w:commentReference w:id="12"/>
      </w:r>
    </w:p>
    <w:p w14:paraId="68630A17" w14:textId="77777777" w:rsidR="00A75D1A" w:rsidRDefault="00A75D1A">
      <w:pPr>
        <w:pStyle w:val="Appendix"/>
        <w:spacing w:after="0"/>
        <w:jc w:val="both"/>
        <w:rPr>
          <w:rFonts w:ascii="Arial" w:hAnsi="Arial" w:cs="Arial"/>
          <w:b w:val="0"/>
        </w:rPr>
        <w:sectPr w:rsidR="00A75D1A">
          <w:headerReference w:type="even" r:id="rId14"/>
          <w:headerReference w:type="default" r:id="rId15"/>
          <w:headerReference w:type="first" r:id="rId16"/>
          <w:type w:val="continuous"/>
          <w:pgSz w:w="12240" w:h="15840"/>
          <w:pgMar w:top="1440" w:right="2016" w:bottom="2016" w:left="2016" w:header="720" w:footer="1123" w:gutter="0"/>
          <w:cols w:space="720"/>
          <w:docGrid w:linePitch="272"/>
        </w:sectPr>
      </w:pPr>
    </w:p>
    <w:p w14:paraId="3A870F3D" w14:textId="77777777" w:rsidR="00A75D1A" w:rsidRDefault="00A75D1A">
      <w:pPr>
        <w:pStyle w:val="Appendix"/>
        <w:spacing w:after="0"/>
        <w:jc w:val="both"/>
        <w:rPr>
          <w:rFonts w:ascii="Arial" w:hAnsi="Arial" w:cs="Arial"/>
          <w:b w:val="0"/>
        </w:rPr>
      </w:pPr>
    </w:p>
    <w:sectPr w:rsidR="00A75D1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B19EFD0" w14:textId="77777777" w:rsidR="00297BF8" w:rsidRDefault="00297BF8" w:rsidP="00297BF8">
      <w:pPr>
        <w:pStyle w:val="CommentText"/>
      </w:pPr>
      <w:r>
        <w:rPr>
          <w:rStyle w:val="CommentReference"/>
        </w:rPr>
        <w:annotationRef/>
      </w:r>
      <w:r>
        <w:t xml:space="preserve">This abstract is well-structured, informative, and demonstrates a meaningful impact of the TUTOK-BASA program. </w:t>
      </w:r>
    </w:p>
  </w:comment>
  <w:comment w:id="1" w:author="Author" w:initials="A">
    <w:p w14:paraId="60A3D1FA" w14:textId="77777777" w:rsidR="00233070" w:rsidRDefault="00233070" w:rsidP="00233070">
      <w:pPr>
        <w:pStyle w:val="CommentText"/>
      </w:pPr>
      <w:r>
        <w:rPr>
          <w:rStyle w:val="CommentReference"/>
        </w:rPr>
        <w:annotationRef/>
      </w:r>
      <w:r>
        <w:t xml:space="preserve">The shift from national programs to the specific school context is abrupt. A smoother transition sentence could help bridge this gap. </w:t>
      </w:r>
    </w:p>
  </w:comment>
  <w:comment w:id="2" w:author="Author" w:initials="A">
    <w:p w14:paraId="0DF51063" w14:textId="17B6AB34" w:rsidR="00297BF8" w:rsidRDefault="00297BF8" w:rsidP="00297BF8">
      <w:pPr>
        <w:pStyle w:val="CommentText"/>
      </w:pPr>
      <w:r>
        <w:rPr>
          <w:rStyle w:val="CommentReference"/>
        </w:rPr>
        <w:annotationRef/>
      </w:r>
      <w:r>
        <w:t xml:space="preserve">Consider replacing “aimed to assess” with “aims to assess” to maintain present tense consistency in research writing. </w:t>
      </w:r>
    </w:p>
  </w:comment>
  <w:comment w:id="4" w:author="Author" w:initials="A">
    <w:p w14:paraId="44F502EC" w14:textId="77777777" w:rsidR="00233070" w:rsidRDefault="00233070" w:rsidP="00233070">
      <w:pPr>
        <w:pStyle w:val="CommentText"/>
      </w:pPr>
      <w:r>
        <w:rPr>
          <w:rStyle w:val="CommentReference"/>
        </w:rPr>
        <w:annotationRef/>
      </w:r>
      <w:r>
        <w:t xml:space="preserve">Completing briefly describing the school’s demographic or geographic characteristics to help readers understand the setting’s relevance. </w:t>
      </w:r>
    </w:p>
  </w:comment>
  <w:comment w:id="6" w:author="Author" w:initials="A">
    <w:p w14:paraId="347CBCC9" w14:textId="77777777" w:rsidR="000C2A9B" w:rsidRDefault="000C2A9B" w:rsidP="000C2A9B">
      <w:pPr>
        <w:pStyle w:val="CommentText"/>
      </w:pPr>
      <w:r>
        <w:rPr>
          <w:rStyle w:val="CommentReference"/>
        </w:rPr>
        <w:annotationRef/>
      </w:r>
      <w:r>
        <w:t xml:space="preserve">You mention demographic profiles but don’t specify how they were used in analysis/ this could be briefly tied to the statistical methods in 2.5 </w:t>
      </w:r>
    </w:p>
  </w:comment>
  <w:comment w:id="8" w:author="Author" w:initials="A">
    <w:p w14:paraId="2E267AA5" w14:textId="77777777" w:rsidR="000C2A9B" w:rsidRDefault="000C2A9B" w:rsidP="000C2A9B">
      <w:pPr>
        <w:pStyle w:val="CommentText"/>
      </w:pPr>
      <w:r>
        <w:rPr>
          <w:rStyle w:val="CommentReference"/>
        </w:rPr>
        <w:annotationRef/>
      </w:r>
      <w:r>
        <w:t xml:space="preserve">Results and Discussion have written very clear to answer the research objectives </w:t>
      </w:r>
    </w:p>
  </w:comment>
  <w:comment w:id="10" w:author="Author" w:initials="A">
    <w:p w14:paraId="510C9342" w14:textId="77777777" w:rsidR="000C2A9B" w:rsidRDefault="000C2A9B" w:rsidP="000C2A9B">
      <w:pPr>
        <w:pStyle w:val="CommentText"/>
      </w:pPr>
      <w:r>
        <w:rPr>
          <w:rStyle w:val="CommentReference"/>
        </w:rPr>
        <w:annotationRef/>
      </w:r>
      <w:r>
        <w:t xml:space="preserve">While the conclusion summarizes the findings well, it could benefit from a brief statement about implications or future directions (e.g., recommendations for scaling the program or conducting further research). </w:t>
      </w:r>
    </w:p>
  </w:comment>
  <w:comment w:id="11" w:author="Author" w:initials="A">
    <w:p w14:paraId="47D182DA" w14:textId="77777777" w:rsidR="002455DA" w:rsidRDefault="002455DA" w:rsidP="002455DA">
      <w:pPr>
        <w:pStyle w:val="CommentText"/>
      </w:pPr>
      <w:r>
        <w:rPr>
          <w:rStyle w:val="CommentReference"/>
        </w:rPr>
        <w:annotationRef/>
      </w:r>
      <w:r>
        <w:t xml:space="preserve">Most references directly relate to the main topic of the study,  improving English proficiency, reading instruction, and evaluating educational programs. </w:t>
      </w:r>
    </w:p>
  </w:comment>
  <w:comment w:id="13" w:author="Author" w:initials="A">
    <w:p w14:paraId="601DA813" w14:textId="3A5CFDF1" w:rsidR="002455DA" w:rsidRDefault="002455DA" w:rsidP="002455DA">
      <w:pPr>
        <w:pStyle w:val="CommentText"/>
      </w:pPr>
      <w:r>
        <w:rPr>
          <w:rStyle w:val="CommentReference"/>
        </w:rPr>
        <w:annotationRef/>
      </w:r>
      <w:r>
        <w:t xml:space="preserve">missing volume, issue, and page numbers. </w:t>
      </w:r>
    </w:p>
  </w:comment>
  <w:comment w:id="12" w:author="Author" w:initials="A">
    <w:p w14:paraId="1C86D05C" w14:textId="77777777" w:rsidR="002455DA" w:rsidRDefault="002455DA" w:rsidP="002455DA">
      <w:pPr>
        <w:pStyle w:val="CommentText"/>
      </w:pPr>
      <w:r>
        <w:rPr>
          <w:rStyle w:val="CommentReference"/>
        </w:rPr>
        <w:annotationRef/>
      </w:r>
      <w:r>
        <w:t xml:space="preserve">Use a consistent citation style, such as APA 7th Edition or Chicago Style, depending on your journal or institution’s guidelines.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19EFD0" w15:done="0"/>
  <w15:commentEx w15:paraId="60A3D1FA" w15:done="0"/>
  <w15:commentEx w15:paraId="0DF51063" w15:done="0"/>
  <w15:commentEx w15:paraId="44F502EC" w15:done="0"/>
  <w15:commentEx w15:paraId="347CBCC9" w15:done="0"/>
  <w15:commentEx w15:paraId="2E267AA5" w15:done="0"/>
  <w15:commentEx w15:paraId="510C9342" w15:done="0"/>
  <w15:commentEx w15:paraId="47D182DA" w15:done="0"/>
  <w15:commentEx w15:paraId="601DA813" w15:done="0"/>
  <w15:commentEx w15:paraId="1C86D0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19EFD0" w16cid:durableId="43D1B026"/>
  <w16cid:commentId w16cid:paraId="60A3D1FA" w16cid:durableId="3242ECFC"/>
  <w16cid:commentId w16cid:paraId="0DF51063" w16cid:durableId="320CC4D0"/>
  <w16cid:commentId w16cid:paraId="44F502EC" w16cid:durableId="3BCB3BC0"/>
  <w16cid:commentId w16cid:paraId="347CBCC9" w16cid:durableId="5CA18122"/>
  <w16cid:commentId w16cid:paraId="2E267AA5" w16cid:durableId="60E56300"/>
  <w16cid:commentId w16cid:paraId="510C9342" w16cid:durableId="5A71C990"/>
  <w16cid:commentId w16cid:paraId="47D182DA" w16cid:durableId="0E8F008E"/>
  <w16cid:commentId w16cid:paraId="601DA813" w16cid:durableId="7BC4C203"/>
  <w16cid:commentId w16cid:paraId="1C86D05C" w16cid:durableId="6CE3E2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A08F" w14:textId="77777777" w:rsidR="00AC4F2F" w:rsidRDefault="00AC4F2F">
      <w:r>
        <w:separator/>
      </w:r>
    </w:p>
  </w:endnote>
  <w:endnote w:type="continuationSeparator" w:id="0">
    <w:p w14:paraId="1C8B8D7F" w14:textId="77777777" w:rsidR="00AC4F2F" w:rsidRDefault="00AC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4EF4" w14:textId="77777777" w:rsidR="00AC4F2F" w:rsidRDefault="00AC4F2F">
      <w:r>
        <w:separator/>
      </w:r>
    </w:p>
  </w:footnote>
  <w:footnote w:type="continuationSeparator" w:id="0">
    <w:p w14:paraId="7FC442DE" w14:textId="77777777" w:rsidR="00AC4F2F" w:rsidRDefault="00AC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CB47" w14:textId="77777777" w:rsidR="00A75D1A" w:rsidRDefault="00000000">
    <w:pPr>
      <w:pStyle w:val="Header"/>
    </w:pPr>
    <w:r>
      <w:pict w14:anchorId="1E075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60141" o:spid="_x0000_s1026" type="#_x0000_t136" style="position:absolute;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EEFB" w14:textId="77777777" w:rsidR="00A75D1A" w:rsidRDefault="00000000">
    <w:pPr>
      <w:pStyle w:val="Header"/>
    </w:pPr>
    <w:r>
      <w:pict w14:anchorId="55953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60142" o:spid="_x0000_s1027"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AC23" w14:textId="77777777" w:rsidR="00A75D1A" w:rsidRDefault="00000000">
    <w:pPr>
      <w:pStyle w:val="Header"/>
    </w:pPr>
    <w:r>
      <w:pict w14:anchorId="6D41B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60140" o:spid="_x0000_s1025" type="#_x0000_t136" style="position:absolute;margin-left:0;margin-top:0;width:520.65pt;height:57.8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6AA"/>
    <w:multiLevelType w:val="multilevel"/>
    <w:tmpl w:val="02A056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A67F89"/>
    <w:multiLevelType w:val="multilevel"/>
    <w:tmpl w:val="2DA67F89"/>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1636"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616331607">
    <w:abstractNumId w:val="2"/>
  </w:num>
  <w:num w:numId="2" w16cid:durableId="1702853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463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85783"/>
    <w:rsid w:val="000A47FA"/>
    <w:rsid w:val="000A65D3"/>
    <w:rsid w:val="000B1E33"/>
    <w:rsid w:val="000C2A9B"/>
    <w:rsid w:val="000D689F"/>
    <w:rsid w:val="000E7B7B"/>
    <w:rsid w:val="000E7D62"/>
    <w:rsid w:val="00103357"/>
    <w:rsid w:val="00121498"/>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05E0"/>
    <w:rsid w:val="00231920"/>
    <w:rsid w:val="0023195C"/>
    <w:rsid w:val="00233070"/>
    <w:rsid w:val="0024282C"/>
    <w:rsid w:val="002455DA"/>
    <w:rsid w:val="002460DC"/>
    <w:rsid w:val="00250985"/>
    <w:rsid w:val="002556F6"/>
    <w:rsid w:val="00283105"/>
    <w:rsid w:val="00284C4C"/>
    <w:rsid w:val="00287E68"/>
    <w:rsid w:val="00296529"/>
    <w:rsid w:val="00297BF8"/>
    <w:rsid w:val="002B27FB"/>
    <w:rsid w:val="002B685A"/>
    <w:rsid w:val="002C22D1"/>
    <w:rsid w:val="002C57D2"/>
    <w:rsid w:val="002E0D56"/>
    <w:rsid w:val="002F3187"/>
    <w:rsid w:val="00315186"/>
    <w:rsid w:val="00315702"/>
    <w:rsid w:val="0033343E"/>
    <w:rsid w:val="00346103"/>
    <w:rsid w:val="003512C2"/>
    <w:rsid w:val="00371FB6"/>
    <w:rsid w:val="003763C1"/>
    <w:rsid w:val="00376BBE"/>
    <w:rsid w:val="0039224F"/>
    <w:rsid w:val="003A43A4"/>
    <w:rsid w:val="003A4939"/>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0C99"/>
    <w:rsid w:val="004D305E"/>
    <w:rsid w:val="004D4277"/>
    <w:rsid w:val="00502516"/>
    <w:rsid w:val="00505F06"/>
    <w:rsid w:val="00506828"/>
    <w:rsid w:val="005140FA"/>
    <w:rsid w:val="00527667"/>
    <w:rsid w:val="0053056E"/>
    <w:rsid w:val="00535DDE"/>
    <w:rsid w:val="00554FDA"/>
    <w:rsid w:val="00556AB7"/>
    <w:rsid w:val="005A4547"/>
    <w:rsid w:val="005B110B"/>
    <w:rsid w:val="005C784C"/>
    <w:rsid w:val="005D17F6"/>
    <w:rsid w:val="005D5FE0"/>
    <w:rsid w:val="005E5539"/>
    <w:rsid w:val="00602BF5"/>
    <w:rsid w:val="00617FDD"/>
    <w:rsid w:val="00633614"/>
    <w:rsid w:val="00633F68"/>
    <w:rsid w:val="00636EB2"/>
    <w:rsid w:val="006375B8"/>
    <w:rsid w:val="0065454D"/>
    <w:rsid w:val="0066510A"/>
    <w:rsid w:val="00673F9F"/>
    <w:rsid w:val="00686953"/>
    <w:rsid w:val="00687DEA"/>
    <w:rsid w:val="00687E67"/>
    <w:rsid w:val="00693FE5"/>
    <w:rsid w:val="006967F7"/>
    <w:rsid w:val="006A250C"/>
    <w:rsid w:val="006A2DE5"/>
    <w:rsid w:val="006B21D3"/>
    <w:rsid w:val="006B57D0"/>
    <w:rsid w:val="006D30FF"/>
    <w:rsid w:val="006D6940"/>
    <w:rsid w:val="006F11EC"/>
    <w:rsid w:val="0070082C"/>
    <w:rsid w:val="00720CA6"/>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56DB"/>
    <w:rsid w:val="008B459E"/>
    <w:rsid w:val="008B5DE9"/>
    <w:rsid w:val="008E13AE"/>
    <w:rsid w:val="008E1506"/>
    <w:rsid w:val="008E710C"/>
    <w:rsid w:val="008F69D6"/>
    <w:rsid w:val="00902823"/>
    <w:rsid w:val="00915CA6"/>
    <w:rsid w:val="009219B3"/>
    <w:rsid w:val="00927834"/>
    <w:rsid w:val="009500A6"/>
    <w:rsid w:val="00956495"/>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5D1A"/>
    <w:rsid w:val="00A94063"/>
    <w:rsid w:val="00AA6219"/>
    <w:rsid w:val="00AA74E0"/>
    <w:rsid w:val="00AB703F"/>
    <w:rsid w:val="00AC2D00"/>
    <w:rsid w:val="00AC4F2F"/>
    <w:rsid w:val="00AC6BB8"/>
    <w:rsid w:val="00AE008F"/>
    <w:rsid w:val="00B01FCD"/>
    <w:rsid w:val="00B1776C"/>
    <w:rsid w:val="00B52583"/>
    <w:rsid w:val="00B52896"/>
    <w:rsid w:val="00B666E8"/>
    <w:rsid w:val="00B95236"/>
    <w:rsid w:val="00B96BD9"/>
    <w:rsid w:val="00BA1B01"/>
    <w:rsid w:val="00BA2641"/>
    <w:rsid w:val="00BB37AA"/>
    <w:rsid w:val="00BC53A0"/>
    <w:rsid w:val="00BE62AD"/>
    <w:rsid w:val="00BF121F"/>
    <w:rsid w:val="00BF1F80"/>
    <w:rsid w:val="00C166EF"/>
    <w:rsid w:val="00C17EB0"/>
    <w:rsid w:val="00C27F5F"/>
    <w:rsid w:val="00C30A0F"/>
    <w:rsid w:val="00C30B0C"/>
    <w:rsid w:val="00C37E61"/>
    <w:rsid w:val="00C70F1B"/>
    <w:rsid w:val="00C71A47"/>
    <w:rsid w:val="00C7464C"/>
    <w:rsid w:val="00C77BE5"/>
    <w:rsid w:val="00C85588"/>
    <w:rsid w:val="00CD6755"/>
    <w:rsid w:val="00CD6856"/>
    <w:rsid w:val="00CE0089"/>
    <w:rsid w:val="00CE793C"/>
    <w:rsid w:val="00CF193C"/>
    <w:rsid w:val="00D173F1"/>
    <w:rsid w:val="00D74CB0"/>
    <w:rsid w:val="00D8295D"/>
    <w:rsid w:val="00D930C0"/>
    <w:rsid w:val="00D955A0"/>
    <w:rsid w:val="00DC2A65"/>
    <w:rsid w:val="00DE15F0"/>
    <w:rsid w:val="00DE5663"/>
    <w:rsid w:val="00DE78AA"/>
    <w:rsid w:val="00E053D0"/>
    <w:rsid w:val="00E14AB0"/>
    <w:rsid w:val="00E15994"/>
    <w:rsid w:val="00E3114E"/>
    <w:rsid w:val="00E31A70"/>
    <w:rsid w:val="00E35B02"/>
    <w:rsid w:val="00E570BF"/>
    <w:rsid w:val="00E62AF9"/>
    <w:rsid w:val="00E66496"/>
    <w:rsid w:val="00E66B35"/>
    <w:rsid w:val="00E66E10"/>
    <w:rsid w:val="00E769F6"/>
    <w:rsid w:val="00E8407C"/>
    <w:rsid w:val="00E84F3C"/>
    <w:rsid w:val="00EA012C"/>
    <w:rsid w:val="00EC6A55"/>
    <w:rsid w:val="00ED0288"/>
    <w:rsid w:val="00EE52CB"/>
    <w:rsid w:val="00EF26B5"/>
    <w:rsid w:val="00EF581D"/>
    <w:rsid w:val="00EF7FD8"/>
    <w:rsid w:val="00F06F59"/>
    <w:rsid w:val="00F1678B"/>
    <w:rsid w:val="00F17988"/>
    <w:rsid w:val="00F42B31"/>
    <w:rsid w:val="00F469F0"/>
    <w:rsid w:val="00F53273"/>
    <w:rsid w:val="00F755E4"/>
    <w:rsid w:val="00F77D02"/>
    <w:rsid w:val="00F822D4"/>
    <w:rsid w:val="00FB3A86"/>
    <w:rsid w:val="00FD36C8"/>
    <w:rsid w:val="35835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9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297BF8"/>
    <w:rPr>
      <w:rFonts w:ascii="Helvetica" w:hAnsi="Helvetica"/>
      <w:b/>
      <w:bCs/>
      <w:lang w:val="en-US" w:eastAsia="en-US"/>
    </w:rPr>
  </w:style>
  <w:style w:type="character" w:customStyle="1" w:styleId="CommentSubjectChar">
    <w:name w:val="Comment Subject Char"/>
    <w:basedOn w:val="CommentTextChar"/>
    <w:link w:val="CommentSubject"/>
    <w:semiHidden/>
    <w:rsid w:val="00297BF8"/>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al.science/hal-0503910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eped.gov.ph/wp-content/uploads/DO_s2023_02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BB8C1-EBEA-4462-A81D-8DF2303F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3837</Words>
  <Characters>21871</Characters>
  <Application>Microsoft Office Word</Application>
  <DocSecurity>0</DocSecurity>
  <Lines>182</Lines>
  <Paragraphs>51</Paragraphs>
  <ScaleCrop>false</ScaleCrop>
  <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2025-10-10T00:38:00Z</dcterms:created>
  <dcterms:modified xsi:type="dcterms:W3CDTF">2025-10-10T00:38:00Z</dcterms:modified>
</cp:coreProperties>
</file>