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9D186" w14:textId="77777777" w:rsidR="00A258C3" w:rsidRPr="00790ADA" w:rsidRDefault="00672251" w:rsidP="00441B6F">
      <w:pPr>
        <w:pStyle w:val="Author"/>
        <w:spacing w:line="240" w:lineRule="auto"/>
        <w:jc w:val="both"/>
        <w:rPr>
          <w:rFonts w:ascii="Arial" w:hAnsi="Arial" w:cs="Arial"/>
          <w:sz w:val="36"/>
        </w:rPr>
      </w:pPr>
      <w:r w:rsidRPr="00672251">
        <w:rPr>
          <w:rFonts w:ascii="Arial" w:hAnsi="Arial" w:cs="Arial"/>
          <w:bCs/>
          <w:iCs/>
          <w:kern w:val="28"/>
          <w:sz w:val="36"/>
        </w:rPr>
        <w:t xml:space="preserve">Nutrient uptake and efficiency in </w:t>
      </w:r>
      <w:commentRangeStart w:id="0"/>
      <w:r w:rsidRPr="00672251">
        <w:rPr>
          <w:rFonts w:ascii="Arial" w:hAnsi="Arial" w:cs="Arial"/>
          <w:bCs/>
          <w:iCs/>
          <w:kern w:val="28"/>
          <w:sz w:val="36"/>
        </w:rPr>
        <w:t>maize</w:t>
      </w:r>
      <w:commentRangeEnd w:id="0"/>
      <w:r w:rsidR="0098081B">
        <w:rPr>
          <w:rStyle w:val="CommentReference"/>
          <w:rFonts w:ascii="Times New Roman" w:hAnsi="Times New Roman"/>
          <w:b w:val="0"/>
          <w:lang w:val="nb-NO" w:eastAsia="nb-NO"/>
        </w:rPr>
        <w:commentReference w:id="0"/>
      </w:r>
      <w:r w:rsidRPr="00672251">
        <w:rPr>
          <w:rFonts w:ascii="Arial" w:hAnsi="Arial" w:cs="Arial"/>
          <w:bCs/>
          <w:iCs/>
          <w:kern w:val="28"/>
          <w:sz w:val="36"/>
        </w:rPr>
        <w:t>: Response to organic-inorganic phosphorus substitutions in western Kenya</w:t>
      </w:r>
    </w:p>
    <w:p w14:paraId="5D954B84" w14:textId="120B1D08" w:rsidR="002C57D2" w:rsidRDefault="002C57D2" w:rsidP="00441B6F">
      <w:pPr>
        <w:pStyle w:val="Affiliation"/>
        <w:spacing w:after="0" w:line="240" w:lineRule="auto"/>
        <w:jc w:val="both"/>
        <w:rPr>
          <w:rFonts w:ascii="Arial" w:hAnsi="Arial" w:cs="Arial"/>
        </w:rPr>
      </w:pPr>
    </w:p>
    <w:p w14:paraId="4F6573E1" w14:textId="77777777" w:rsidR="003D38A1" w:rsidRPr="00FB3A86" w:rsidRDefault="003D38A1" w:rsidP="00441B6F">
      <w:pPr>
        <w:pStyle w:val="Affiliation"/>
        <w:spacing w:after="0" w:line="240" w:lineRule="auto"/>
        <w:jc w:val="both"/>
        <w:rPr>
          <w:rFonts w:ascii="Arial" w:hAnsi="Arial" w:cs="Arial"/>
        </w:rPr>
      </w:pPr>
    </w:p>
    <w:p w14:paraId="437EEA29" w14:textId="77777777" w:rsidR="00B01FCD" w:rsidRPr="00FB3A86" w:rsidRDefault="00143793" w:rsidP="00441B6F">
      <w:pPr>
        <w:pStyle w:val="Copyright"/>
        <w:spacing w:after="0" w:line="240" w:lineRule="auto"/>
        <w:jc w:val="both"/>
        <w:rPr>
          <w:rFonts w:ascii="Arial" w:hAnsi="Arial" w:cs="Arial"/>
        </w:rPr>
        <w:sectPr w:rsidR="00B01FCD" w:rsidRPr="00FB3A86" w:rsidSect="007A595A">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D11E6D" wp14:editId="0788F16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7038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6E9ED4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73F9F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58371F1" w14:textId="77777777" w:rsidTr="001E44FE">
        <w:tc>
          <w:tcPr>
            <w:tcW w:w="9576" w:type="dxa"/>
            <w:shd w:val="clear" w:color="auto" w:fill="F2F2F2"/>
          </w:tcPr>
          <w:p w14:paraId="2EDA6110" w14:textId="77777777" w:rsidR="00E3114E" w:rsidRPr="00E3404B" w:rsidRDefault="00E3114E" w:rsidP="00441B6F">
            <w:pPr>
              <w:pStyle w:val="Body"/>
              <w:spacing w:after="0"/>
              <w:rPr>
                <w:rFonts w:ascii="Arial" w:eastAsia="Calibri" w:hAnsi="Arial" w:cs="Arial"/>
                <w:szCs w:val="22"/>
                <w:highlight w:val="yellow"/>
              </w:rPr>
            </w:pPr>
          </w:p>
          <w:p w14:paraId="0ACA6A4C" w14:textId="77777777" w:rsidR="00BA1B01" w:rsidRPr="00BA1B01" w:rsidRDefault="001E4138" w:rsidP="00441B6F">
            <w:pPr>
              <w:pStyle w:val="Body"/>
              <w:spacing w:after="0"/>
              <w:rPr>
                <w:rFonts w:ascii="Arial" w:eastAsia="Calibri" w:hAnsi="Arial" w:cs="Arial"/>
                <w:szCs w:val="22"/>
              </w:rPr>
            </w:pPr>
            <w:r w:rsidRPr="001E4138">
              <w:rPr>
                <w:rFonts w:ascii="Arial" w:eastAsia="Calibri" w:hAnsi="Arial" w:cs="Arial"/>
                <w:b/>
                <w:szCs w:val="22"/>
              </w:rPr>
              <w:t>Aims:</w:t>
            </w:r>
            <w:r w:rsidRPr="001E4138">
              <w:rPr>
                <w:rFonts w:ascii="Arial" w:eastAsia="Calibri" w:hAnsi="Arial" w:cs="Arial"/>
                <w:szCs w:val="22"/>
              </w:rPr>
              <w:t xml:space="preserve"> </w:t>
            </w:r>
            <w:r w:rsidR="00126728" w:rsidRPr="00126728">
              <w:rPr>
                <w:rFonts w:ascii="Arial" w:eastAsia="Calibri" w:hAnsi="Arial" w:cs="Arial"/>
                <w:szCs w:val="22"/>
              </w:rPr>
              <w:t xml:space="preserve">The degrading soil fertility and inefficient application of fertilizers limit the production of sustainable maize in sub-Saharan Africa. The objective of the study was to determine the effects of substituting organic and inorganic phosphorus sources (P) on nutrient uptake and the effectiveness of their use in maize production in western Kenya under varying </w:t>
            </w:r>
            <w:proofErr w:type="spellStart"/>
            <w:r w:rsidR="00126728" w:rsidRPr="00126728">
              <w:rPr>
                <w:rFonts w:ascii="Arial" w:eastAsia="Calibri" w:hAnsi="Arial" w:cs="Arial"/>
                <w:szCs w:val="22"/>
              </w:rPr>
              <w:t>Agro</w:t>
            </w:r>
            <w:proofErr w:type="spellEnd"/>
            <w:r w:rsidR="00126728" w:rsidRPr="00126728">
              <w:rPr>
                <w:rFonts w:ascii="Arial" w:eastAsia="Calibri" w:hAnsi="Arial" w:cs="Arial"/>
                <w:szCs w:val="22"/>
              </w:rPr>
              <w:t>-ecological conditions.</w:t>
            </w:r>
          </w:p>
          <w:p w14:paraId="125CA407" w14:textId="77777777" w:rsidR="00BA1B01" w:rsidRPr="00BA1B01" w:rsidRDefault="001E4138" w:rsidP="00441B6F">
            <w:pPr>
              <w:pStyle w:val="Body"/>
              <w:spacing w:after="0"/>
              <w:rPr>
                <w:rFonts w:ascii="Arial" w:eastAsia="Calibri" w:hAnsi="Arial" w:cs="Arial"/>
                <w:szCs w:val="22"/>
              </w:rPr>
            </w:pPr>
            <w:r w:rsidRPr="00BA1B01">
              <w:rPr>
                <w:rFonts w:ascii="Arial" w:eastAsia="Calibri" w:hAnsi="Arial" w:cs="Arial"/>
                <w:b/>
                <w:szCs w:val="22"/>
              </w:rPr>
              <w:t xml:space="preserve">Study </w:t>
            </w:r>
            <w:r w:rsidR="00E36BFB" w:rsidRPr="00BA1B01">
              <w:rPr>
                <w:rFonts w:ascii="Arial" w:eastAsia="Calibri" w:hAnsi="Arial" w:cs="Arial"/>
                <w:b/>
                <w:szCs w:val="22"/>
              </w:rPr>
              <w:t>design:</w:t>
            </w:r>
            <w:r w:rsidR="00D669E4" w:rsidRPr="00D669E4">
              <w:rPr>
                <w:rFonts w:ascii="Arial" w:eastAsia="Calibri" w:hAnsi="Arial" w:cs="Arial"/>
                <w:szCs w:val="22"/>
              </w:rPr>
              <w:t xml:space="preserve"> </w:t>
            </w:r>
            <w:r>
              <w:rPr>
                <w:rFonts w:ascii="Arial" w:eastAsia="Calibri" w:hAnsi="Arial" w:cs="Arial"/>
                <w:szCs w:val="22"/>
              </w:rPr>
              <w:t>The experiment</w:t>
            </w:r>
            <w:r w:rsidR="006563DC">
              <w:rPr>
                <w:rFonts w:ascii="Arial" w:eastAsia="Calibri" w:hAnsi="Arial" w:cs="Arial"/>
                <w:szCs w:val="22"/>
              </w:rPr>
              <w:t>al layout was</w:t>
            </w:r>
            <w:r w:rsidR="00D669E4" w:rsidRPr="00D669E4">
              <w:rPr>
                <w:rFonts w:ascii="Arial" w:eastAsia="Calibri" w:hAnsi="Arial" w:cs="Arial"/>
                <w:szCs w:val="22"/>
              </w:rPr>
              <w:t xml:space="preserve"> a randomized complete block design with 14 treatments: triple superphosphate (TSP), </w:t>
            </w:r>
            <w:proofErr w:type="spellStart"/>
            <w:r w:rsidR="00D669E4" w:rsidRPr="00D669E4">
              <w:rPr>
                <w:rFonts w:ascii="Arial" w:eastAsia="Calibri" w:hAnsi="Arial" w:cs="Arial"/>
                <w:szCs w:val="22"/>
              </w:rPr>
              <w:t>pressmud</w:t>
            </w:r>
            <w:proofErr w:type="spellEnd"/>
            <w:r w:rsidR="00D669E4" w:rsidRPr="00D669E4">
              <w:rPr>
                <w:rFonts w:ascii="Arial" w:eastAsia="Calibri" w:hAnsi="Arial" w:cs="Arial"/>
                <w:szCs w:val="22"/>
              </w:rPr>
              <w:t>, and cattle manure, all at equal P rates.</w:t>
            </w:r>
            <w:r w:rsidR="00AD57D1">
              <w:rPr>
                <w:rFonts w:ascii="Arial" w:eastAsia="Calibri" w:hAnsi="Arial" w:cs="Arial"/>
                <w:szCs w:val="22"/>
              </w:rPr>
              <w:t xml:space="preserve"> The treatments were replicated three times.</w:t>
            </w:r>
          </w:p>
          <w:p w14:paraId="070D5FC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1E4138">
              <w:rPr>
                <w:rFonts w:ascii="Arial" w:eastAsia="Calibri" w:hAnsi="Arial" w:cs="Arial"/>
                <w:b/>
                <w:szCs w:val="22"/>
              </w:rPr>
              <w:t xml:space="preserve"> </w:t>
            </w:r>
            <w:r w:rsidR="001E4138" w:rsidRPr="001E4138">
              <w:rPr>
                <w:rFonts w:ascii="Arial" w:eastAsia="Calibri" w:hAnsi="Arial" w:cs="Arial"/>
                <w:szCs w:val="22"/>
              </w:rPr>
              <w:t xml:space="preserve">Field experiments were conducted at </w:t>
            </w:r>
            <w:proofErr w:type="spellStart"/>
            <w:r w:rsidR="001E4138" w:rsidRPr="001E4138">
              <w:rPr>
                <w:rFonts w:ascii="Arial" w:eastAsia="Calibri" w:hAnsi="Arial" w:cs="Arial"/>
                <w:szCs w:val="22"/>
              </w:rPr>
              <w:t>Kibos</w:t>
            </w:r>
            <w:proofErr w:type="spellEnd"/>
            <w:r w:rsidR="001E4138" w:rsidRPr="001E4138">
              <w:rPr>
                <w:rFonts w:ascii="Arial" w:eastAsia="Calibri" w:hAnsi="Arial" w:cs="Arial"/>
                <w:szCs w:val="22"/>
              </w:rPr>
              <w:t xml:space="preserve"> and </w:t>
            </w:r>
            <w:proofErr w:type="spellStart"/>
            <w:r w:rsidR="001E4138" w:rsidRPr="001E4138">
              <w:rPr>
                <w:rFonts w:ascii="Arial" w:eastAsia="Calibri" w:hAnsi="Arial" w:cs="Arial"/>
                <w:szCs w:val="22"/>
              </w:rPr>
              <w:t>Bumula</w:t>
            </w:r>
            <w:proofErr w:type="spellEnd"/>
            <w:r w:rsidR="006563DC">
              <w:rPr>
                <w:rFonts w:ascii="Arial" w:eastAsia="Calibri" w:hAnsi="Arial" w:cs="Arial"/>
                <w:szCs w:val="22"/>
              </w:rPr>
              <w:t xml:space="preserve"> </w:t>
            </w:r>
            <w:r w:rsidR="00AD57D1">
              <w:rPr>
                <w:rFonts w:ascii="Arial" w:eastAsia="Calibri" w:hAnsi="Arial" w:cs="Arial"/>
                <w:szCs w:val="22"/>
              </w:rPr>
              <w:t xml:space="preserve">in </w:t>
            </w:r>
            <w:r w:rsidR="006563DC">
              <w:rPr>
                <w:rFonts w:ascii="Arial" w:eastAsia="Calibri" w:hAnsi="Arial" w:cs="Arial"/>
                <w:szCs w:val="22"/>
              </w:rPr>
              <w:t>western Kenya, during long rain season of 2021</w:t>
            </w:r>
          </w:p>
          <w:p w14:paraId="2720613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74E74" w:rsidRPr="00074E74">
              <w:rPr>
                <w:rFonts w:ascii="Arial" w:eastAsia="Calibri" w:hAnsi="Arial" w:cs="Arial"/>
                <w:szCs w:val="22"/>
              </w:rPr>
              <w:t xml:space="preserve">Soils were sampled to </w:t>
            </w:r>
            <w:r w:rsidR="00B31B3D">
              <w:rPr>
                <w:rFonts w:ascii="Arial" w:eastAsia="Calibri" w:hAnsi="Arial" w:cs="Arial"/>
                <w:szCs w:val="22"/>
              </w:rPr>
              <w:t xml:space="preserve">determine </w:t>
            </w:r>
            <w:r w:rsidR="00AD57D1">
              <w:rPr>
                <w:rFonts w:ascii="Arial" w:eastAsia="Calibri" w:hAnsi="Arial" w:cs="Arial"/>
                <w:szCs w:val="22"/>
              </w:rPr>
              <w:t>p</w:t>
            </w:r>
            <w:r w:rsidR="00074E74" w:rsidRPr="00074E74">
              <w:rPr>
                <w:rFonts w:ascii="Arial" w:eastAsia="Calibri" w:hAnsi="Arial" w:cs="Arial"/>
                <w:szCs w:val="22"/>
              </w:rPr>
              <w:t>H, C, N, P, and K</w:t>
            </w:r>
            <w:r w:rsidR="00B31B3D">
              <w:rPr>
                <w:rFonts w:ascii="Arial" w:eastAsia="Calibri" w:hAnsi="Arial" w:cs="Arial"/>
                <w:szCs w:val="22"/>
              </w:rPr>
              <w:t xml:space="preserve"> contents</w:t>
            </w:r>
            <w:r w:rsidR="00AD57D1">
              <w:rPr>
                <w:rFonts w:ascii="Arial" w:eastAsia="Calibri" w:hAnsi="Arial" w:cs="Arial"/>
                <w:szCs w:val="22"/>
              </w:rPr>
              <w:t>. C</w:t>
            </w:r>
            <w:r w:rsidR="00074E74" w:rsidRPr="00074E74">
              <w:rPr>
                <w:rFonts w:ascii="Arial" w:eastAsia="Calibri" w:hAnsi="Arial" w:cs="Arial"/>
                <w:szCs w:val="22"/>
              </w:rPr>
              <w:t xml:space="preserve">omposted </w:t>
            </w:r>
            <w:proofErr w:type="spellStart"/>
            <w:r w:rsidR="00074E74" w:rsidRPr="00074E74">
              <w:rPr>
                <w:rFonts w:ascii="Arial" w:eastAsia="Calibri" w:hAnsi="Arial" w:cs="Arial"/>
                <w:szCs w:val="22"/>
              </w:rPr>
              <w:t>pressmud</w:t>
            </w:r>
            <w:proofErr w:type="spellEnd"/>
            <w:r w:rsidR="00074E74" w:rsidRPr="00074E74">
              <w:rPr>
                <w:rFonts w:ascii="Arial" w:eastAsia="Calibri" w:hAnsi="Arial" w:cs="Arial"/>
                <w:szCs w:val="22"/>
              </w:rPr>
              <w:t xml:space="preserve"> and cattle manure </w:t>
            </w:r>
            <w:r w:rsidR="00AD57D1">
              <w:rPr>
                <w:rFonts w:ascii="Arial" w:eastAsia="Calibri" w:hAnsi="Arial" w:cs="Arial"/>
                <w:szCs w:val="22"/>
              </w:rPr>
              <w:t xml:space="preserve">was </w:t>
            </w:r>
            <w:r w:rsidR="00B31B3D">
              <w:rPr>
                <w:rFonts w:ascii="Arial" w:eastAsia="Calibri" w:hAnsi="Arial" w:cs="Arial"/>
                <w:szCs w:val="22"/>
              </w:rPr>
              <w:t xml:space="preserve">also </w:t>
            </w:r>
            <w:proofErr w:type="spellStart"/>
            <w:r w:rsidR="00B31B3D">
              <w:rPr>
                <w:rFonts w:ascii="Arial" w:eastAsia="Calibri" w:hAnsi="Arial" w:cs="Arial"/>
                <w:szCs w:val="22"/>
              </w:rPr>
              <w:t>analysed</w:t>
            </w:r>
            <w:proofErr w:type="spellEnd"/>
            <w:r w:rsidR="00B31B3D">
              <w:rPr>
                <w:rFonts w:ascii="Arial" w:eastAsia="Calibri" w:hAnsi="Arial" w:cs="Arial"/>
                <w:szCs w:val="22"/>
              </w:rPr>
              <w:t xml:space="preserve"> </w:t>
            </w:r>
            <w:r w:rsidR="00AD57D1">
              <w:rPr>
                <w:rFonts w:ascii="Arial" w:eastAsia="Calibri" w:hAnsi="Arial" w:cs="Arial"/>
                <w:szCs w:val="22"/>
              </w:rPr>
              <w:t>to establish nutrient</w:t>
            </w:r>
            <w:r w:rsidR="00074E74" w:rsidRPr="00074E74">
              <w:rPr>
                <w:rFonts w:ascii="Arial" w:eastAsia="Calibri" w:hAnsi="Arial" w:cs="Arial"/>
                <w:szCs w:val="22"/>
              </w:rPr>
              <w:t xml:space="preserve">. Agronomic data, including plant growth, grain and stover yield, were recorded and </w:t>
            </w:r>
            <w:r w:rsidR="00B31B3D">
              <w:rPr>
                <w:rFonts w:ascii="Arial" w:eastAsia="Calibri" w:hAnsi="Arial" w:cs="Arial"/>
                <w:szCs w:val="22"/>
              </w:rPr>
              <w:t xml:space="preserve">data </w:t>
            </w:r>
            <w:r w:rsidR="00074E74" w:rsidRPr="00074E74">
              <w:rPr>
                <w:rFonts w:ascii="Arial" w:eastAsia="Calibri" w:hAnsi="Arial" w:cs="Arial"/>
                <w:szCs w:val="22"/>
              </w:rPr>
              <w:t>analyzed using ANOVA.</w:t>
            </w:r>
          </w:p>
          <w:p w14:paraId="203D26A3" w14:textId="77777777" w:rsidR="00EE1A76"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E1A76" w:rsidRPr="00EE1A76">
              <w:rPr>
                <w:rFonts w:ascii="Arial" w:eastAsia="Calibri" w:hAnsi="Arial" w:cs="Arial"/>
                <w:szCs w:val="22"/>
              </w:rPr>
              <w:t xml:space="preserve">Findings showed that the 50% substitution of TSP by both PM and CM, i.e., TSP15 + PM15 and TSP15 + CM15, was superior in terms of nitrogen and phosphorus uptake, agronomic efficiency indices (AEN, REN, AEP, REP), and grain yield compared to either organic or inorganic application alone. </w:t>
            </w:r>
          </w:p>
          <w:p w14:paraId="64FFF788" w14:textId="77777777" w:rsidR="00947A58" w:rsidRPr="00BA1B01" w:rsidRDefault="00BA1B01" w:rsidP="00947A5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E1A76" w:rsidRPr="00EE1A76">
              <w:rPr>
                <w:rFonts w:ascii="Arial" w:eastAsia="Calibri" w:hAnsi="Arial" w:cs="Arial"/>
                <w:szCs w:val="22"/>
              </w:rPr>
              <w:t>The gains in efficiency were site-specific, which depended on soil fertility and climatic variation. Results highlight the potential benefits of using Integrated Soil Fertility Management (ISFM) to improve nutrient use efficiency, minimize input inefficiencies, and enhance climate-resilient maize systems.</w:t>
            </w:r>
            <w:r w:rsidR="00947A58">
              <w:rPr>
                <w:rFonts w:ascii="Arial" w:eastAsia="Calibri" w:hAnsi="Arial" w:cs="Arial"/>
                <w:szCs w:val="22"/>
              </w:rPr>
              <w:t xml:space="preserve"> </w:t>
            </w:r>
            <w:r w:rsidR="00947A58" w:rsidRPr="00947A58">
              <w:rPr>
                <w:rFonts w:ascii="Arial" w:eastAsia="Calibri" w:hAnsi="Arial" w:cs="Arial"/>
                <w:szCs w:val="22"/>
              </w:rPr>
              <w:t>The research paper gives new evidence on the P source integration approaches to sustainable intensification</w:t>
            </w:r>
            <w:r w:rsidR="00B31B3D">
              <w:rPr>
                <w:rFonts w:ascii="Arial" w:eastAsia="Calibri" w:hAnsi="Arial" w:cs="Arial"/>
                <w:szCs w:val="22"/>
              </w:rPr>
              <w:t>.</w:t>
            </w:r>
          </w:p>
          <w:p w14:paraId="4AC7FEB6" w14:textId="77777777" w:rsidR="00505F06" w:rsidRPr="00BA1B01" w:rsidRDefault="00505F06" w:rsidP="00441B6F">
            <w:pPr>
              <w:pStyle w:val="Body"/>
              <w:spacing w:after="0"/>
              <w:rPr>
                <w:rFonts w:ascii="Arial" w:eastAsia="Calibri" w:hAnsi="Arial" w:cs="Arial"/>
                <w:szCs w:val="22"/>
              </w:rPr>
            </w:pPr>
          </w:p>
        </w:tc>
      </w:tr>
    </w:tbl>
    <w:p w14:paraId="4EB724FC" w14:textId="77777777" w:rsidR="00636EB2" w:rsidRDefault="00636EB2" w:rsidP="00441B6F">
      <w:pPr>
        <w:pStyle w:val="Body"/>
        <w:spacing w:after="0"/>
        <w:rPr>
          <w:rFonts w:ascii="Arial" w:hAnsi="Arial" w:cs="Arial"/>
          <w:i/>
        </w:rPr>
      </w:pPr>
    </w:p>
    <w:p w14:paraId="6312A9E4" w14:textId="77777777" w:rsidR="00A24E7E" w:rsidRDefault="00A24E7E" w:rsidP="00441B6F">
      <w:pPr>
        <w:pStyle w:val="Body"/>
        <w:spacing w:after="0"/>
        <w:rPr>
          <w:rFonts w:ascii="Arial" w:hAnsi="Arial" w:cs="Arial"/>
          <w:i/>
        </w:rPr>
      </w:pPr>
      <w:r>
        <w:rPr>
          <w:rFonts w:ascii="Arial" w:hAnsi="Arial" w:cs="Arial"/>
          <w:i/>
        </w:rPr>
        <w:t>Keywords:</w:t>
      </w:r>
      <w:r w:rsidR="00F66546">
        <w:rPr>
          <w:rFonts w:ascii="Arial" w:hAnsi="Arial" w:cs="Arial"/>
          <w:i/>
        </w:rPr>
        <w:t xml:space="preserve"> </w:t>
      </w:r>
      <w:r w:rsidR="00947A58" w:rsidRPr="00947A58">
        <w:rPr>
          <w:rFonts w:ascii="Arial" w:hAnsi="Arial" w:cs="Arial"/>
          <w:i/>
        </w:rPr>
        <w:t>N</w:t>
      </w:r>
      <w:r w:rsidR="00E04D9E">
        <w:rPr>
          <w:rFonts w:ascii="Arial" w:hAnsi="Arial" w:cs="Arial"/>
          <w:i/>
        </w:rPr>
        <w:t>utrient use efficiency</w:t>
      </w:r>
      <w:r w:rsidR="00947A58" w:rsidRPr="00947A58">
        <w:rPr>
          <w:rFonts w:ascii="Arial" w:hAnsi="Arial" w:cs="Arial"/>
          <w:i/>
        </w:rPr>
        <w:t>,</w:t>
      </w:r>
      <w:r w:rsidR="00F66546">
        <w:rPr>
          <w:rFonts w:ascii="Arial" w:hAnsi="Arial" w:cs="Arial"/>
          <w:i/>
        </w:rPr>
        <w:t xml:space="preserve"> </w:t>
      </w:r>
      <w:r w:rsidR="00E04D9E">
        <w:rPr>
          <w:rFonts w:ascii="Arial" w:hAnsi="Arial" w:cs="Arial"/>
          <w:i/>
        </w:rPr>
        <w:t>Agronomic efficiency</w:t>
      </w:r>
      <w:r w:rsidR="00947A58" w:rsidRPr="00947A58">
        <w:rPr>
          <w:rFonts w:ascii="Arial" w:hAnsi="Arial" w:cs="Arial"/>
          <w:i/>
        </w:rPr>
        <w:t xml:space="preserve">, </w:t>
      </w:r>
      <w:proofErr w:type="spellStart"/>
      <w:r w:rsidR="00F66546">
        <w:rPr>
          <w:rFonts w:ascii="Arial" w:hAnsi="Arial" w:cs="Arial"/>
          <w:i/>
        </w:rPr>
        <w:t>P</w:t>
      </w:r>
      <w:r w:rsidR="00947A58" w:rsidRPr="00947A58">
        <w:rPr>
          <w:rFonts w:ascii="Arial" w:hAnsi="Arial" w:cs="Arial"/>
          <w:i/>
        </w:rPr>
        <w:t>ressmud</w:t>
      </w:r>
      <w:proofErr w:type="spellEnd"/>
      <w:r w:rsidR="00E04D9E">
        <w:rPr>
          <w:rFonts w:ascii="Arial" w:hAnsi="Arial" w:cs="Arial"/>
          <w:i/>
        </w:rPr>
        <w:t xml:space="preserve">, </w:t>
      </w:r>
      <w:r w:rsidR="00F66546">
        <w:rPr>
          <w:rFonts w:ascii="Arial" w:hAnsi="Arial" w:cs="Arial"/>
          <w:i/>
        </w:rPr>
        <w:t>I</w:t>
      </w:r>
      <w:r w:rsidR="00E04D9E">
        <w:rPr>
          <w:rFonts w:ascii="Arial" w:hAnsi="Arial" w:cs="Arial"/>
          <w:i/>
        </w:rPr>
        <w:t xml:space="preserve">ntegrated </w:t>
      </w:r>
      <w:r w:rsidR="00F66546">
        <w:rPr>
          <w:rFonts w:ascii="Arial" w:hAnsi="Arial" w:cs="Arial"/>
          <w:i/>
        </w:rPr>
        <w:t>S</w:t>
      </w:r>
      <w:r w:rsidR="00E04D9E">
        <w:rPr>
          <w:rFonts w:ascii="Arial" w:hAnsi="Arial" w:cs="Arial"/>
          <w:i/>
        </w:rPr>
        <w:t xml:space="preserve">oil </w:t>
      </w:r>
      <w:r w:rsidR="00F66546">
        <w:rPr>
          <w:rFonts w:ascii="Arial" w:hAnsi="Arial" w:cs="Arial"/>
          <w:i/>
        </w:rPr>
        <w:t>M</w:t>
      </w:r>
      <w:r w:rsidR="00E04D9E">
        <w:rPr>
          <w:rFonts w:ascii="Arial" w:hAnsi="Arial" w:cs="Arial"/>
          <w:i/>
        </w:rPr>
        <w:t>anagement,</w:t>
      </w:r>
      <w:r w:rsidR="00E04D9E" w:rsidRPr="00E04D9E">
        <w:t xml:space="preserve"> </w:t>
      </w:r>
      <w:r w:rsidR="00E04D9E" w:rsidRPr="00E04D9E">
        <w:rPr>
          <w:rFonts w:ascii="Arial" w:hAnsi="Arial" w:cs="Arial"/>
          <w:i/>
        </w:rPr>
        <w:t>S</w:t>
      </w:r>
      <w:r w:rsidR="00F66546">
        <w:rPr>
          <w:rFonts w:ascii="Arial" w:hAnsi="Arial" w:cs="Arial"/>
          <w:i/>
        </w:rPr>
        <w:t xml:space="preserve">ab </w:t>
      </w:r>
      <w:r w:rsidR="00E04D9E" w:rsidRPr="00E04D9E">
        <w:rPr>
          <w:rFonts w:ascii="Arial" w:hAnsi="Arial" w:cs="Arial"/>
          <w:i/>
        </w:rPr>
        <w:t>S</w:t>
      </w:r>
      <w:r w:rsidR="00F66546">
        <w:rPr>
          <w:rFonts w:ascii="Arial" w:hAnsi="Arial" w:cs="Arial"/>
          <w:i/>
        </w:rPr>
        <w:t xml:space="preserve">ahara </w:t>
      </w:r>
      <w:r w:rsidR="00E04D9E" w:rsidRPr="00E04D9E">
        <w:rPr>
          <w:rFonts w:ascii="Arial" w:hAnsi="Arial" w:cs="Arial"/>
          <w:i/>
        </w:rPr>
        <w:t>A</w:t>
      </w:r>
      <w:r w:rsidR="00F66546">
        <w:rPr>
          <w:rFonts w:ascii="Arial" w:hAnsi="Arial" w:cs="Arial"/>
          <w:i/>
        </w:rPr>
        <w:t>frica</w:t>
      </w:r>
    </w:p>
    <w:p w14:paraId="5E0C8191" w14:textId="77777777" w:rsidR="00B52896" w:rsidRDefault="00B52896" w:rsidP="00441B6F">
      <w:pPr>
        <w:pStyle w:val="Body"/>
        <w:spacing w:after="0"/>
        <w:rPr>
          <w:rFonts w:ascii="Arial" w:hAnsi="Arial" w:cs="Arial"/>
          <w:i/>
          <w:sz w:val="18"/>
        </w:rPr>
      </w:pPr>
    </w:p>
    <w:p w14:paraId="20D38D8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E9B641" w14:textId="77777777" w:rsidR="00790ADA" w:rsidRPr="00FB3A86" w:rsidRDefault="00790ADA" w:rsidP="00441B6F">
      <w:pPr>
        <w:pStyle w:val="AbstHead"/>
        <w:spacing w:after="0"/>
        <w:jc w:val="both"/>
        <w:rPr>
          <w:rFonts w:ascii="Arial" w:hAnsi="Arial" w:cs="Arial"/>
        </w:rPr>
      </w:pPr>
    </w:p>
    <w:p w14:paraId="1701D4A0" w14:textId="77777777" w:rsidR="002235E9" w:rsidRPr="002235E9" w:rsidRDefault="002235E9" w:rsidP="002235E9">
      <w:pPr>
        <w:pStyle w:val="Body"/>
        <w:rPr>
          <w:rFonts w:ascii="Arial" w:hAnsi="Arial" w:cs="Arial"/>
        </w:rPr>
      </w:pPr>
      <w:r w:rsidRPr="002235E9">
        <w:rPr>
          <w:rFonts w:ascii="Arial" w:hAnsi="Arial" w:cs="Arial"/>
        </w:rPr>
        <w:t xml:space="preserve">Global </w:t>
      </w:r>
      <w:commentRangeStart w:id="1"/>
      <w:r w:rsidRPr="002235E9">
        <w:rPr>
          <w:rFonts w:ascii="Arial" w:hAnsi="Arial" w:cs="Arial"/>
        </w:rPr>
        <w:t>maize</w:t>
      </w:r>
      <w:commentRangeEnd w:id="1"/>
      <w:r w:rsidR="0098081B">
        <w:rPr>
          <w:rStyle w:val="CommentReference"/>
          <w:rFonts w:ascii="Times New Roman" w:hAnsi="Times New Roman"/>
          <w:lang w:val="nb-NO" w:eastAsia="nb-NO"/>
        </w:rPr>
        <w:commentReference w:id="1"/>
      </w:r>
      <w:r w:rsidRPr="002235E9">
        <w:rPr>
          <w:rFonts w:ascii="Arial" w:hAnsi="Arial" w:cs="Arial"/>
        </w:rPr>
        <w:t xml:space="preserve"> production has increased significantly over the past few decades, driven by rising demand and enhanced soil fertility (</w:t>
      </w:r>
      <w:proofErr w:type="spellStart"/>
      <w:r w:rsidRPr="002235E9">
        <w:rPr>
          <w:rFonts w:ascii="Arial" w:hAnsi="Arial" w:cs="Arial"/>
        </w:rPr>
        <w:t>Erenstein</w:t>
      </w:r>
      <w:proofErr w:type="spellEnd"/>
      <w:r w:rsidRPr="002235E9">
        <w:rPr>
          <w:rFonts w:ascii="Arial" w:hAnsi="Arial" w:cs="Arial"/>
        </w:rPr>
        <w:t xml:space="preserve"> et al., 2022). It is a versatile, multi-purpose crop, primarily used as a feed globally, but also essential as a food crop, especially in sub-Saharan Africa (SSA), as well as for non-food uses (Tenge et al., 2024). Traditionally, maize production in SSA depends primarily on soil nutrient mining (Ten Berge et al., 2019), </w:t>
      </w:r>
      <w:r w:rsidR="005B4BAA">
        <w:rPr>
          <w:rFonts w:ascii="Arial" w:hAnsi="Arial" w:cs="Arial"/>
        </w:rPr>
        <w:t>since</w:t>
      </w:r>
      <w:r w:rsidRPr="002235E9">
        <w:rPr>
          <w:rFonts w:ascii="Arial" w:hAnsi="Arial" w:cs="Arial"/>
        </w:rPr>
        <w:t xml:space="preserve"> fertilizer use in the region is considerably low. Given the accumulating evidence of climate change in SSA coupled with declining soil fertility, there is an urgent need to develop more climate-resilient maize production systems for sustainability (Alamu, 2025; </w:t>
      </w:r>
      <w:proofErr w:type="spellStart"/>
      <w:r w:rsidRPr="002235E9">
        <w:rPr>
          <w:rFonts w:ascii="Arial" w:hAnsi="Arial" w:cs="Arial"/>
        </w:rPr>
        <w:t>Mmbando</w:t>
      </w:r>
      <w:proofErr w:type="spellEnd"/>
      <w:r w:rsidRPr="002235E9">
        <w:rPr>
          <w:rFonts w:ascii="Arial" w:hAnsi="Arial" w:cs="Arial"/>
        </w:rPr>
        <w:t xml:space="preserve">, 2025). Maize crop production must increase threefold in SSA to meet the demand of the growing population. </w:t>
      </w:r>
      <w:r w:rsidR="005B4BAA">
        <w:rPr>
          <w:rFonts w:ascii="Arial" w:hAnsi="Arial" w:cs="Arial"/>
        </w:rPr>
        <w:t>I</w:t>
      </w:r>
      <w:r w:rsidRPr="002235E9">
        <w:rPr>
          <w:rFonts w:ascii="Arial" w:hAnsi="Arial" w:cs="Arial"/>
        </w:rPr>
        <w:t xml:space="preserve">mproving the nutritional density of maize fields would curb the uncertainties associated with maize production (Cairns et al., 2021). Nitrogen (N) and phosphorus (P) are </w:t>
      </w:r>
      <w:r w:rsidRPr="002235E9">
        <w:rPr>
          <w:rFonts w:ascii="Arial" w:hAnsi="Arial" w:cs="Arial"/>
        </w:rPr>
        <w:lastRenderedPageBreak/>
        <w:t xml:space="preserve">two of the most essential macronutrients for maize growth, playing crucial roles in processes such as protein synthesis, photosynthesis, and energy transfer (Coetzee et al., 2017). </w:t>
      </w:r>
    </w:p>
    <w:p w14:paraId="3C46BF17" w14:textId="77777777" w:rsidR="002235E9" w:rsidRPr="002235E9" w:rsidRDefault="002235E9" w:rsidP="002235E9">
      <w:pPr>
        <w:pStyle w:val="Body"/>
        <w:rPr>
          <w:rFonts w:ascii="Arial" w:hAnsi="Arial" w:cs="Arial"/>
        </w:rPr>
      </w:pPr>
      <w:r w:rsidRPr="002235E9">
        <w:rPr>
          <w:rFonts w:ascii="Arial" w:hAnsi="Arial" w:cs="Arial"/>
        </w:rPr>
        <w:t xml:space="preserve">In most instances, farmers believe that increased inorganic fertilizer use should boost maize yields, but growing evidence shows variable returns on investment due to limited nutrient uptake and inefficiencies in fertilizer use. However, improving the efficient use of key nutrients, such as nitrogen and phosphorus fertilizers, involves various strategies, including optimizing fertilizer application rates, sources, and the use of soil amendments, as well as applying fertilizers at the correct times (Beegle et al., 2000).  Ultimately, increasing </w:t>
      </w:r>
      <w:commentRangeStart w:id="2"/>
      <w:proofErr w:type="spellStart"/>
      <w:r w:rsidRPr="002235E9">
        <w:rPr>
          <w:rFonts w:ascii="Arial" w:hAnsi="Arial" w:cs="Arial"/>
        </w:rPr>
        <w:t>fertiliser</w:t>
      </w:r>
      <w:commentRangeEnd w:id="2"/>
      <w:proofErr w:type="spellEnd"/>
      <w:r w:rsidR="0098081B">
        <w:rPr>
          <w:rStyle w:val="CommentReference"/>
          <w:rFonts w:ascii="Times New Roman" w:hAnsi="Times New Roman"/>
          <w:lang w:val="nb-NO" w:eastAsia="nb-NO"/>
        </w:rPr>
        <w:commentReference w:id="2"/>
      </w:r>
      <w:r w:rsidRPr="002235E9">
        <w:rPr>
          <w:rFonts w:ascii="Arial" w:hAnsi="Arial" w:cs="Arial"/>
        </w:rPr>
        <w:t xml:space="preserve"> use efficiency (FUE) for nitrogen and phosphorus not only promotes agricultural sustainability but also helps reduce negative environmental impacts (Anas et al., 2020; Jarvie et al., 2015). Therefore, the integrated soil fertility management (ISFM) </w:t>
      </w:r>
      <w:r w:rsidR="005B4BAA">
        <w:rPr>
          <w:rFonts w:ascii="Arial" w:hAnsi="Arial" w:cs="Arial"/>
        </w:rPr>
        <w:t xml:space="preserve">approach </w:t>
      </w:r>
      <w:r w:rsidRPr="002235E9">
        <w:rPr>
          <w:rFonts w:ascii="Arial" w:hAnsi="Arial" w:cs="Arial"/>
        </w:rPr>
        <w:t>provides the opportunity to intensify maize production by maximizing the agronomic efficiency (AE) of the applied nutrients (Adem et al., 2023).</w:t>
      </w:r>
    </w:p>
    <w:p w14:paraId="011D9B58" w14:textId="77777777" w:rsidR="002235E9" w:rsidRPr="002235E9" w:rsidRDefault="002235E9" w:rsidP="002235E9">
      <w:pPr>
        <w:pStyle w:val="Body"/>
        <w:rPr>
          <w:rFonts w:ascii="Arial" w:hAnsi="Arial" w:cs="Arial"/>
        </w:rPr>
      </w:pPr>
      <w:r w:rsidRPr="002235E9">
        <w:rPr>
          <w:rFonts w:ascii="Arial" w:hAnsi="Arial" w:cs="Arial"/>
        </w:rPr>
        <w:t>Improved soil fertility management practices, which combine organic and mineral fertilizer inputs, can enable the efficient use of applied inputs and increase the overall system's productivity. Technologies that combine mineral fertilizers with organic nutrient sources can be considered better options for improving fertilizer use efficiency, as they provide a more balanced supply of nutrients and offer multiple agronomic and ecological benefits (Srinivasarao et al., 2013). Fertilizer use can increase crop yields and additionally produce enough residues for soil fertility management, while organic sources can rehabilitate less responsive soils and make them responsive to fertilizers (Shah &amp; Wu, 2019).</w:t>
      </w:r>
    </w:p>
    <w:p w14:paraId="67DD251B" w14:textId="77777777" w:rsidR="002235E9" w:rsidRPr="002235E9" w:rsidRDefault="002235E9" w:rsidP="002235E9">
      <w:pPr>
        <w:pStyle w:val="Body"/>
        <w:rPr>
          <w:rFonts w:ascii="Arial" w:hAnsi="Arial" w:cs="Arial"/>
        </w:rPr>
      </w:pPr>
      <w:r w:rsidRPr="002235E9">
        <w:rPr>
          <w:rFonts w:ascii="Arial" w:hAnsi="Arial" w:cs="Arial"/>
        </w:rPr>
        <w:t xml:space="preserve">Maize nutrients, particularly phosphorus uptake, use efficiency, and yields in western Kenya, have been declining (Kihara &amp; Njoroge, 2013). This may be associated with the inefficiency of the fertilizers and manure currently applied/or nutrient depletion. Appropriate fertilizer use leads to increased crop yields and high nutrient recovery rates (Roberts &amp; Johnston, 2015). The effectiveness of phosphorus fertilizers, therefore, depends on their chemical and physical properties, the rate and method of application, soil and climatic conditions, and the crop species grown (Blackwell et al., 2019). </w:t>
      </w:r>
    </w:p>
    <w:p w14:paraId="29E5681C" w14:textId="77777777" w:rsidR="00B95236" w:rsidRDefault="002235E9" w:rsidP="002235E9">
      <w:pPr>
        <w:pStyle w:val="Body"/>
        <w:spacing w:after="0"/>
        <w:rPr>
          <w:rFonts w:ascii="Arial" w:hAnsi="Arial" w:cs="Arial"/>
        </w:rPr>
      </w:pPr>
      <w:r w:rsidRPr="002235E9">
        <w:rPr>
          <w:rFonts w:ascii="Arial" w:hAnsi="Arial" w:cs="Arial"/>
        </w:rPr>
        <w:t xml:space="preserve">The substitution of inorganic P source (TSP) by different sources of organic manure (OM) would lead to a refined focus on nutrient use efficiency in maize production in western Kenya soils. Similarly, due to the high cost of these imported </w:t>
      </w:r>
      <w:r w:rsidR="005B4BAA">
        <w:rPr>
          <w:rFonts w:ascii="Arial" w:hAnsi="Arial" w:cs="Arial"/>
        </w:rPr>
        <w:t>in</w:t>
      </w:r>
      <w:r w:rsidRPr="002235E9">
        <w:rPr>
          <w:rFonts w:ascii="Arial" w:hAnsi="Arial" w:cs="Arial"/>
        </w:rPr>
        <w:t xml:space="preserve">organic fertilizers, focus is now shifting to solutions that utilize the local resources for sustainability in maize production. Therefore, this study aims to determine the effects of substituting organic and inorganic phosphorus sources (P) on nutrient uptake and the effectiveness of their use in maize production in western Kenya under varying </w:t>
      </w:r>
      <w:proofErr w:type="spellStart"/>
      <w:r w:rsidRPr="002235E9">
        <w:rPr>
          <w:rFonts w:ascii="Arial" w:hAnsi="Arial" w:cs="Arial"/>
        </w:rPr>
        <w:t>agro</w:t>
      </w:r>
      <w:proofErr w:type="spellEnd"/>
      <w:r w:rsidRPr="002235E9">
        <w:rPr>
          <w:rFonts w:ascii="Arial" w:hAnsi="Arial" w:cs="Arial"/>
        </w:rPr>
        <w:t>-ecological conditions.</w:t>
      </w:r>
      <w:r w:rsidR="00B95236" w:rsidRPr="00B95236">
        <w:rPr>
          <w:rFonts w:ascii="Arial" w:hAnsi="Arial" w:cs="Arial"/>
        </w:rPr>
        <w:t xml:space="preserve"> </w:t>
      </w:r>
    </w:p>
    <w:p w14:paraId="60D7BD4E" w14:textId="77777777" w:rsidR="00505F06" w:rsidRDefault="00505F06" w:rsidP="00441B6F">
      <w:pPr>
        <w:pStyle w:val="Body"/>
        <w:spacing w:after="0"/>
        <w:rPr>
          <w:rFonts w:ascii="Arial" w:hAnsi="Arial" w:cs="Arial"/>
        </w:rPr>
      </w:pPr>
    </w:p>
    <w:p w14:paraId="4F864FF2" w14:textId="77777777" w:rsidR="007F7B32" w:rsidRDefault="00902823" w:rsidP="00441B6F">
      <w:pPr>
        <w:pStyle w:val="AbstHead"/>
        <w:spacing w:after="0"/>
        <w:jc w:val="both"/>
        <w:rPr>
          <w:rFonts w:ascii="Arial" w:hAnsi="Arial" w:cs="Arial"/>
        </w:rPr>
      </w:pPr>
      <w:r>
        <w:rPr>
          <w:rFonts w:ascii="Arial" w:hAnsi="Arial" w:cs="Arial"/>
        </w:rPr>
        <w:t>2. material</w:t>
      </w:r>
      <w:r w:rsidR="005B4BAA">
        <w:rPr>
          <w:rFonts w:ascii="Arial" w:hAnsi="Arial" w:cs="Arial"/>
        </w:rPr>
        <w:t>S</w:t>
      </w:r>
      <w:r>
        <w:rPr>
          <w:rFonts w:ascii="Arial" w:hAnsi="Arial" w:cs="Arial"/>
        </w:rPr>
        <w:t xml:space="preserve"> and method</w:t>
      </w:r>
      <w:r w:rsidR="00000F8F">
        <w:rPr>
          <w:rFonts w:ascii="Arial" w:hAnsi="Arial" w:cs="Arial"/>
        </w:rPr>
        <w:t>s</w:t>
      </w:r>
    </w:p>
    <w:p w14:paraId="6EB5E55B" w14:textId="77777777" w:rsidR="00790ADA" w:rsidRPr="00FB3A86" w:rsidRDefault="00790ADA" w:rsidP="00441B6F">
      <w:pPr>
        <w:pStyle w:val="AbstHead"/>
        <w:spacing w:after="0"/>
        <w:jc w:val="both"/>
        <w:rPr>
          <w:rFonts w:ascii="Arial" w:hAnsi="Arial" w:cs="Arial"/>
        </w:rPr>
      </w:pPr>
    </w:p>
    <w:p w14:paraId="532CCA38" w14:textId="77777777" w:rsidR="004149D7" w:rsidRPr="004149D7" w:rsidRDefault="004149D7" w:rsidP="004951A4">
      <w:pPr>
        <w:pStyle w:val="Body"/>
        <w:spacing w:after="0"/>
        <w:rPr>
          <w:rFonts w:ascii="Arial" w:hAnsi="Arial" w:cs="Arial"/>
          <w:b/>
          <w:caps/>
          <w:sz w:val="22"/>
        </w:rPr>
      </w:pPr>
      <w:r w:rsidRPr="004149D7">
        <w:rPr>
          <w:rFonts w:ascii="Arial" w:hAnsi="Arial" w:cs="Arial"/>
          <w:b/>
          <w:caps/>
          <w:sz w:val="22"/>
        </w:rPr>
        <w:t>2.1</w:t>
      </w:r>
      <w:r>
        <w:rPr>
          <w:rFonts w:ascii="Arial" w:hAnsi="Arial" w:cs="Arial"/>
          <w:b/>
          <w:caps/>
          <w:sz w:val="22"/>
        </w:rPr>
        <w:t xml:space="preserve"> </w:t>
      </w:r>
      <w:r w:rsidR="00DF07D0" w:rsidRPr="00DF07D0">
        <w:rPr>
          <w:rFonts w:ascii="Arial" w:hAnsi="Arial" w:cs="Arial"/>
          <w:b/>
          <w:bCs/>
          <w:sz w:val="22"/>
        </w:rPr>
        <w:t>Experimental Sites</w:t>
      </w:r>
    </w:p>
    <w:p w14:paraId="7856B16A" w14:textId="77777777" w:rsidR="00502516" w:rsidRDefault="004951A4" w:rsidP="004951A4">
      <w:pPr>
        <w:pStyle w:val="Body"/>
        <w:spacing w:after="0"/>
        <w:rPr>
          <w:rFonts w:ascii="Arial" w:hAnsi="Arial" w:cs="Arial"/>
        </w:rPr>
      </w:pPr>
      <w:r w:rsidRPr="004951A4">
        <w:rPr>
          <w:rFonts w:ascii="Arial" w:hAnsi="Arial" w:cs="Arial"/>
        </w:rPr>
        <w:t xml:space="preserve">The experiments were conducted at two sites with contrasting soil properties in western Kenya: </w:t>
      </w:r>
      <w:proofErr w:type="spellStart"/>
      <w:r w:rsidRPr="004951A4">
        <w:rPr>
          <w:rFonts w:ascii="Arial" w:hAnsi="Arial" w:cs="Arial"/>
        </w:rPr>
        <w:t>Kibos</w:t>
      </w:r>
      <w:proofErr w:type="spellEnd"/>
      <w:r w:rsidRPr="004951A4">
        <w:rPr>
          <w:rFonts w:ascii="Arial" w:hAnsi="Arial" w:cs="Arial"/>
        </w:rPr>
        <w:t xml:space="preserve"> and </w:t>
      </w:r>
      <w:proofErr w:type="spellStart"/>
      <w:r w:rsidRPr="004951A4">
        <w:rPr>
          <w:rFonts w:ascii="Arial" w:hAnsi="Arial" w:cs="Arial"/>
        </w:rPr>
        <w:t>Bumula</w:t>
      </w:r>
      <w:proofErr w:type="spellEnd"/>
      <w:r w:rsidRPr="004951A4">
        <w:rPr>
          <w:rFonts w:ascii="Arial" w:hAnsi="Arial" w:cs="Arial"/>
        </w:rPr>
        <w:t xml:space="preserve"> (Table 1). The </w:t>
      </w:r>
      <w:proofErr w:type="spellStart"/>
      <w:r w:rsidRPr="004951A4">
        <w:rPr>
          <w:rFonts w:ascii="Arial" w:hAnsi="Arial" w:cs="Arial"/>
        </w:rPr>
        <w:t>Kibos</w:t>
      </w:r>
      <w:proofErr w:type="spellEnd"/>
      <w:r w:rsidRPr="004951A4">
        <w:rPr>
          <w:rFonts w:ascii="Arial" w:hAnsi="Arial" w:cs="Arial"/>
        </w:rPr>
        <w:t xml:space="preserve"> site was located in the Kenya Agricultural and Livestock Research Centre (KALRO), Kisumu County at (0.0393°N, 34.8162°E) at an altitude of 1224 m above sea level. The site lies in the lower midland semi-humid zones (LM3) with orthic </w:t>
      </w:r>
      <w:proofErr w:type="spellStart"/>
      <w:r w:rsidRPr="004951A4">
        <w:rPr>
          <w:rFonts w:ascii="Arial" w:hAnsi="Arial" w:cs="Arial"/>
        </w:rPr>
        <w:t>Acrisol</w:t>
      </w:r>
      <w:proofErr w:type="spellEnd"/>
      <w:r w:rsidRPr="004951A4">
        <w:rPr>
          <w:rFonts w:ascii="Arial" w:hAnsi="Arial" w:cs="Arial"/>
        </w:rPr>
        <w:t xml:space="preserve"> soils. The area receives an average annual rainfall of between 450 and 600 mm, while the average temperature ranges from 21 to 22.7°C (</w:t>
      </w:r>
      <w:proofErr w:type="spellStart"/>
      <w:r w:rsidRPr="004951A4">
        <w:rPr>
          <w:rFonts w:ascii="Arial" w:hAnsi="Arial" w:cs="Arial"/>
        </w:rPr>
        <w:t>Jaetzold</w:t>
      </w:r>
      <w:proofErr w:type="spellEnd"/>
      <w:r w:rsidRPr="004951A4">
        <w:rPr>
          <w:rFonts w:ascii="Arial" w:hAnsi="Arial" w:cs="Arial"/>
        </w:rPr>
        <w:t xml:space="preserve">, Schmidt, Hornetz, &amp; </w:t>
      </w:r>
      <w:proofErr w:type="spellStart"/>
      <w:r w:rsidRPr="004951A4">
        <w:rPr>
          <w:rFonts w:ascii="Arial" w:hAnsi="Arial" w:cs="Arial"/>
        </w:rPr>
        <w:t>Shisanya</w:t>
      </w:r>
      <w:proofErr w:type="spellEnd"/>
      <w:r w:rsidRPr="004951A4">
        <w:rPr>
          <w:rFonts w:ascii="Arial" w:hAnsi="Arial" w:cs="Arial"/>
        </w:rPr>
        <w:t xml:space="preserve">, 2010). The </w:t>
      </w:r>
      <w:proofErr w:type="spellStart"/>
      <w:r w:rsidRPr="004951A4">
        <w:rPr>
          <w:rFonts w:ascii="Arial" w:hAnsi="Arial" w:cs="Arial"/>
        </w:rPr>
        <w:t>Bumula</w:t>
      </w:r>
      <w:proofErr w:type="spellEnd"/>
      <w:r w:rsidRPr="004951A4">
        <w:rPr>
          <w:rFonts w:ascii="Arial" w:hAnsi="Arial" w:cs="Arial"/>
        </w:rPr>
        <w:t xml:space="preserve"> is located in the mid-altitude areas of western Kenya (0.5742°N, 34.4420°E and 1493 m above sea level). It lies within the LM2 </w:t>
      </w:r>
      <w:proofErr w:type="spellStart"/>
      <w:r w:rsidR="004149D7">
        <w:rPr>
          <w:rFonts w:ascii="Arial" w:hAnsi="Arial" w:cs="Arial"/>
        </w:rPr>
        <w:t>agroecologicl</w:t>
      </w:r>
      <w:proofErr w:type="spellEnd"/>
      <w:r w:rsidR="004149D7">
        <w:rPr>
          <w:rFonts w:ascii="Arial" w:hAnsi="Arial" w:cs="Arial"/>
        </w:rPr>
        <w:t xml:space="preserve"> zone (</w:t>
      </w:r>
      <w:r w:rsidRPr="004951A4">
        <w:rPr>
          <w:rFonts w:ascii="Arial" w:hAnsi="Arial" w:cs="Arial"/>
        </w:rPr>
        <w:t>AEZ</w:t>
      </w:r>
      <w:r w:rsidR="004149D7">
        <w:rPr>
          <w:rFonts w:ascii="Arial" w:hAnsi="Arial" w:cs="Arial"/>
        </w:rPr>
        <w:t>)</w:t>
      </w:r>
      <w:r w:rsidRPr="004951A4">
        <w:rPr>
          <w:rFonts w:ascii="Arial" w:hAnsi="Arial" w:cs="Arial"/>
        </w:rPr>
        <w:t xml:space="preserve"> and receives an annual rainfall and average temperature of 1500 mm and 21-25 °C, respectively. The soil </w:t>
      </w:r>
      <w:r w:rsidR="004149D7">
        <w:rPr>
          <w:rFonts w:ascii="Arial" w:hAnsi="Arial" w:cs="Arial"/>
        </w:rPr>
        <w:t xml:space="preserve">is </w:t>
      </w:r>
      <w:r w:rsidRPr="004951A4">
        <w:rPr>
          <w:rFonts w:ascii="Arial" w:hAnsi="Arial" w:cs="Arial"/>
        </w:rPr>
        <w:t xml:space="preserve">classified as </w:t>
      </w:r>
      <w:proofErr w:type="spellStart"/>
      <w:r w:rsidRPr="004951A4">
        <w:rPr>
          <w:rFonts w:ascii="Arial" w:hAnsi="Arial" w:cs="Arial"/>
        </w:rPr>
        <w:t>Acrisols</w:t>
      </w:r>
      <w:proofErr w:type="spellEnd"/>
      <w:r w:rsidRPr="004951A4">
        <w:rPr>
          <w:rFonts w:ascii="Arial" w:hAnsi="Arial" w:cs="Arial"/>
        </w:rPr>
        <w:t xml:space="preserve"> (</w:t>
      </w:r>
      <w:proofErr w:type="spellStart"/>
      <w:r w:rsidRPr="004951A4">
        <w:rPr>
          <w:rFonts w:ascii="Arial" w:hAnsi="Arial" w:cs="Arial"/>
        </w:rPr>
        <w:t>Jaetzold</w:t>
      </w:r>
      <w:proofErr w:type="spellEnd"/>
      <w:r w:rsidRPr="004951A4">
        <w:rPr>
          <w:rFonts w:ascii="Arial" w:hAnsi="Arial" w:cs="Arial"/>
        </w:rPr>
        <w:t xml:space="preserve"> et al., 2010).</w:t>
      </w:r>
    </w:p>
    <w:p w14:paraId="30E11F01" w14:textId="77777777" w:rsidR="002E0D56" w:rsidRDefault="002E0D56" w:rsidP="00441B6F">
      <w:pPr>
        <w:pStyle w:val="Body"/>
        <w:spacing w:after="0"/>
        <w:rPr>
          <w:rFonts w:ascii="Arial" w:hAnsi="Arial" w:cs="Arial"/>
        </w:rPr>
      </w:pPr>
    </w:p>
    <w:p w14:paraId="476F27A1" w14:textId="77777777" w:rsidR="004951A4" w:rsidRPr="004160BB" w:rsidRDefault="004951A4" w:rsidP="004149D7">
      <w:pPr>
        <w:pStyle w:val="Body"/>
        <w:spacing w:after="120"/>
        <w:rPr>
          <w:rFonts w:ascii="Arial" w:hAnsi="Arial" w:cs="Arial"/>
          <w:b/>
        </w:rPr>
      </w:pPr>
      <w:r w:rsidRPr="004160BB">
        <w:rPr>
          <w:rFonts w:ascii="Arial" w:hAnsi="Arial" w:cs="Arial"/>
          <w:b/>
        </w:rPr>
        <w:t xml:space="preserve">Table 1: Initial soil </w:t>
      </w:r>
      <w:proofErr w:type="spellStart"/>
      <w:r w:rsidRPr="004160BB">
        <w:rPr>
          <w:rFonts w:ascii="Arial" w:hAnsi="Arial" w:cs="Arial"/>
          <w:b/>
        </w:rPr>
        <w:t>characterisation</w:t>
      </w:r>
      <w:proofErr w:type="spellEnd"/>
      <w:r w:rsidRPr="004160BB">
        <w:rPr>
          <w:rFonts w:ascii="Arial" w:hAnsi="Arial" w:cs="Arial"/>
          <w:b/>
        </w:rPr>
        <w:t xml:space="preserve"> at </w:t>
      </w:r>
      <w:proofErr w:type="spellStart"/>
      <w:r w:rsidRPr="004160BB">
        <w:rPr>
          <w:rFonts w:ascii="Arial" w:hAnsi="Arial" w:cs="Arial"/>
          <w:b/>
        </w:rPr>
        <w:t>Kibos</w:t>
      </w:r>
      <w:proofErr w:type="spellEnd"/>
      <w:r w:rsidRPr="004160BB">
        <w:rPr>
          <w:rFonts w:ascii="Arial" w:hAnsi="Arial" w:cs="Arial"/>
          <w:b/>
        </w:rPr>
        <w:t xml:space="preserve"> and </w:t>
      </w:r>
      <w:proofErr w:type="spellStart"/>
      <w:r w:rsidRPr="004160BB">
        <w:rPr>
          <w:rFonts w:ascii="Arial" w:hAnsi="Arial" w:cs="Arial"/>
          <w:b/>
        </w:rPr>
        <w:t>Bumula</w:t>
      </w:r>
      <w:proofErr w:type="spellEnd"/>
      <w:r w:rsidRPr="004160BB">
        <w:rPr>
          <w:rFonts w:ascii="Arial" w:hAnsi="Arial" w:cs="Arial"/>
          <w:b/>
        </w:rPr>
        <w:t xml:space="preserve"> sites (0 - 20 cm)</w:t>
      </w:r>
    </w:p>
    <w:tbl>
      <w:tblPr>
        <w:tblStyle w:val="ListTable6Colorful1"/>
        <w:tblW w:w="4803" w:type="pct"/>
        <w:tblLook w:val="06A0" w:firstRow="1" w:lastRow="0" w:firstColumn="1" w:lastColumn="0" w:noHBand="1" w:noVBand="1"/>
      </w:tblPr>
      <w:tblGrid>
        <w:gridCol w:w="2661"/>
        <w:gridCol w:w="1979"/>
        <w:gridCol w:w="1624"/>
        <w:gridCol w:w="1621"/>
      </w:tblGrid>
      <w:tr w:rsidR="004951A4" w:rsidRPr="004160BB" w14:paraId="0F7E805D" w14:textId="77777777" w:rsidTr="0078031B">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687" w:type="pct"/>
            <w:tcBorders>
              <w:top w:val="single" w:sz="4" w:space="0" w:color="auto"/>
              <w:bottom w:val="nil"/>
            </w:tcBorders>
            <w:noWrap/>
            <w:hideMark/>
          </w:tcPr>
          <w:p w14:paraId="0E502328" w14:textId="77777777" w:rsidR="004951A4" w:rsidRPr="004160BB" w:rsidRDefault="004951A4" w:rsidP="00D93793">
            <w:pPr>
              <w:jc w:val="both"/>
              <w:rPr>
                <w:rFonts w:ascii="Arial" w:hAnsi="Arial" w:cs="Arial"/>
                <w:b w:val="0"/>
                <w:bCs w:val="0"/>
                <w:kern w:val="0"/>
                <w:sz w:val="20"/>
                <w:szCs w:val="20"/>
              </w:rPr>
            </w:pPr>
            <w:r w:rsidRPr="004160BB">
              <w:rPr>
                <w:rFonts w:ascii="Arial" w:hAnsi="Arial" w:cs="Arial"/>
                <w:sz w:val="20"/>
                <w:szCs w:val="20"/>
              </w:rPr>
              <w:t>Chemical parameter</w:t>
            </w:r>
          </w:p>
        </w:tc>
        <w:tc>
          <w:tcPr>
            <w:tcW w:w="2285" w:type="pct"/>
            <w:gridSpan w:val="2"/>
            <w:tcBorders>
              <w:bottom w:val="single" w:sz="4" w:space="0" w:color="auto"/>
            </w:tcBorders>
          </w:tcPr>
          <w:p w14:paraId="33617CF0" w14:textId="77777777" w:rsidR="004951A4" w:rsidRPr="004160BB" w:rsidRDefault="004951A4" w:rsidP="00D9379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Field site</w:t>
            </w:r>
          </w:p>
        </w:tc>
        <w:tc>
          <w:tcPr>
            <w:tcW w:w="1028" w:type="pct"/>
            <w:tcBorders>
              <w:bottom w:val="single" w:sz="4" w:space="0" w:color="auto"/>
            </w:tcBorders>
          </w:tcPr>
          <w:p w14:paraId="3E02E100" w14:textId="77777777" w:rsidR="004951A4" w:rsidRPr="004160BB" w:rsidRDefault="004951A4" w:rsidP="00D9379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critical level</w:t>
            </w:r>
          </w:p>
        </w:tc>
      </w:tr>
      <w:tr w:rsidR="004951A4" w:rsidRPr="004160BB" w14:paraId="75146E48" w14:textId="77777777" w:rsidTr="0078031B">
        <w:trPr>
          <w:trHeight w:val="305"/>
        </w:trPr>
        <w:tc>
          <w:tcPr>
            <w:cnfStyle w:val="001000000000" w:firstRow="0" w:lastRow="0" w:firstColumn="1" w:lastColumn="0" w:oddVBand="0" w:evenVBand="0" w:oddHBand="0" w:evenHBand="0" w:firstRowFirstColumn="0" w:firstRowLastColumn="0" w:lastRowFirstColumn="0" w:lastRowLastColumn="0"/>
            <w:tcW w:w="1687" w:type="pct"/>
            <w:tcBorders>
              <w:top w:val="nil"/>
              <w:bottom w:val="single" w:sz="4" w:space="0" w:color="auto"/>
            </w:tcBorders>
            <w:noWrap/>
            <w:hideMark/>
          </w:tcPr>
          <w:p w14:paraId="030F2E94" w14:textId="77777777" w:rsidR="004951A4" w:rsidRPr="004160BB" w:rsidRDefault="004951A4" w:rsidP="00D93793">
            <w:pPr>
              <w:jc w:val="both"/>
              <w:rPr>
                <w:rFonts w:ascii="Arial" w:hAnsi="Arial" w:cs="Arial"/>
                <w:b w:val="0"/>
                <w:bCs w:val="0"/>
                <w:sz w:val="20"/>
                <w:szCs w:val="20"/>
              </w:rPr>
            </w:pPr>
          </w:p>
        </w:tc>
        <w:tc>
          <w:tcPr>
            <w:tcW w:w="1255" w:type="pct"/>
            <w:tcBorders>
              <w:top w:val="single" w:sz="4" w:space="0" w:color="auto"/>
              <w:bottom w:val="single" w:sz="4" w:space="0" w:color="auto"/>
            </w:tcBorders>
            <w:noWrap/>
            <w:hideMark/>
          </w:tcPr>
          <w:p w14:paraId="787A9F7B" w14:textId="77777777" w:rsidR="004951A4" w:rsidRPr="004160BB" w:rsidRDefault="004951A4" w:rsidP="00D93793">
            <w:pPr>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roofErr w:type="spellStart"/>
            <w:r w:rsidRPr="004160BB">
              <w:rPr>
                <w:rFonts w:ascii="Arial" w:hAnsi="Arial" w:cs="Arial"/>
                <w:bCs/>
                <w:sz w:val="20"/>
                <w:szCs w:val="20"/>
              </w:rPr>
              <w:t>Bumula</w:t>
            </w:r>
            <w:proofErr w:type="spellEnd"/>
          </w:p>
        </w:tc>
        <w:tc>
          <w:tcPr>
            <w:tcW w:w="1030" w:type="pct"/>
            <w:tcBorders>
              <w:top w:val="single" w:sz="4" w:space="0" w:color="auto"/>
              <w:bottom w:val="single" w:sz="4" w:space="0" w:color="auto"/>
            </w:tcBorders>
            <w:noWrap/>
            <w:hideMark/>
          </w:tcPr>
          <w:p w14:paraId="134528FA" w14:textId="77777777" w:rsidR="004951A4" w:rsidRPr="004160BB" w:rsidRDefault="004951A4" w:rsidP="00D93793">
            <w:pPr>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roofErr w:type="spellStart"/>
            <w:r w:rsidRPr="004160BB">
              <w:rPr>
                <w:rFonts w:ascii="Arial" w:hAnsi="Arial" w:cs="Arial"/>
                <w:bCs/>
                <w:sz w:val="20"/>
                <w:szCs w:val="20"/>
              </w:rPr>
              <w:t>Kibos</w:t>
            </w:r>
            <w:proofErr w:type="spellEnd"/>
          </w:p>
        </w:tc>
        <w:tc>
          <w:tcPr>
            <w:tcW w:w="1028" w:type="pct"/>
            <w:tcBorders>
              <w:top w:val="single" w:sz="4" w:space="0" w:color="auto"/>
              <w:bottom w:val="single" w:sz="4" w:space="0" w:color="auto"/>
            </w:tcBorders>
          </w:tcPr>
          <w:p w14:paraId="5F41A99A"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4951A4" w:rsidRPr="004160BB" w14:paraId="497C6FF4"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tcBorders>
              <w:top w:val="single" w:sz="4" w:space="0" w:color="auto"/>
            </w:tcBorders>
            <w:noWrap/>
            <w:hideMark/>
          </w:tcPr>
          <w:p w14:paraId="2BD7AB3B"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pH (H</w:t>
            </w:r>
            <w:r w:rsidRPr="004160BB">
              <w:rPr>
                <w:rFonts w:ascii="Arial" w:hAnsi="Arial" w:cs="Arial"/>
                <w:sz w:val="20"/>
                <w:szCs w:val="20"/>
                <w:vertAlign w:val="subscript"/>
              </w:rPr>
              <w:t>2</w:t>
            </w:r>
            <w:r w:rsidRPr="004160BB">
              <w:rPr>
                <w:rFonts w:ascii="Arial" w:hAnsi="Arial" w:cs="Arial"/>
                <w:sz w:val="20"/>
                <w:szCs w:val="20"/>
              </w:rPr>
              <w:t>O)</w:t>
            </w:r>
          </w:p>
        </w:tc>
        <w:tc>
          <w:tcPr>
            <w:tcW w:w="1255" w:type="pct"/>
            <w:tcBorders>
              <w:top w:val="single" w:sz="4" w:space="0" w:color="auto"/>
            </w:tcBorders>
            <w:noWrap/>
            <w:hideMark/>
          </w:tcPr>
          <w:p w14:paraId="0BD0BFA4"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6.06</w:t>
            </w:r>
          </w:p>
        </w:tc>
        <w:tc>
          <w:tcPr>
            <w:tcW w:w="1030" w:type="pct"/>
            <w:tcBorders>
              <w:top w:val="single" w:sz="4" w:space="0" w:color="auto"/>
            </w:tcBorders>
            <w:noWrap/>
            <w:hideMark/>
          </w:tcPr>
          <w:p w14:paraId="6254BBCF"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5.59</w:t>
            </w:r>
          </w:p>
        </w:tc>
        <w:tc>
          <w:tcPr>
            <w:tcW w:w="1028" w:type="pct"/>
            <w:tcBorders>
              <w:top w:val="single" w:sz="4" w:space="0" w:color="auto"/>
            </w:tcBorders>
          </w:tcPr>
          <w:p w14:paraId="67B5EE1B"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5.5</w:t>
            </w:r>
          </w:p>
        </w:tc>
      </w:tr>
      <w:tr w:rsidR="004951A4" w:rsidRPr="004160BB" w14:paraId="4DDF8954"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noWrap/>
            <w:hideMark/>
          </w:tcPr>
          <w:p w14:paraId="45DFBDEE"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 xml:space="preserve">%C </w:t>
            </w:r>
          </w:p>
        </w:tc>
        <w:tc>
          <w:tcPr>
            <w:tcW w:w="1255" w:type="pct"/>
            <w:noWrap/>
            <w:hideMark/>
          </w:tcPr>
          <w:p w14:paraId="33862895"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1.18</w:t>
            </w:r>
          </w:p>
        </w:tc>
        <w:tc>
          <w:tcPr>
            <w:tcW w:w="1030" w:type="pct"/>
            <w:noWrap/>
            <w:hideMark/>
          </w:tcPr>
          <w:p w14:paraId="3CCF9CCB"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1.02</w:t>
            </w:r>
          </w:p>
        </w:tc>
        <w:tc>
          <w:tcPr>
            <w:tcW w:w="1028" w:type="pct"/>
          </w:tcPr>
          <w:p w14:paraId="03BEE839"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2.7</w:t>
            </w:r>
          </w:p>
        </w:tc>
      </w:tr>
      <w:tr w:rsidR="004951A4" w:rsidRPr="004160BB" w14:paraId="1F8EAC97"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noWrap/>
            <w:hideMark/>
          </w:tcPr>
          <w:p w14:paraId="13A44551"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%N</w:t>
            </w:r>
          </w:p>
        </w:tc>
        <w:tc>
          <w:tcPr>
            <w:tcW w:w="1255" w:type="pct"/>
            <w:noWrap/>
            <w:hideMark/>
          </w:tcPr>
          <w:p w14:paraId="2003FA30"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0.06</w:t>
            </w:r>
          </w:p>
        </w:tc>
        <w:tc>
          <w:tcPr>
            <w:tcW w:w="1030" w:type="pct"/>
            <w:noWrap/>
            <w:hideMark/>
          </w:tcPr>
          <w:p w14:paraId="53A1BB09"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0.08</w:t>
            </w:r>
          </w:p>
        </w:tc>
        <w:tc>
          <w:tcPr>
            <w:tcW w:w="1028" w:type="pct"/>
          </w:tcPr>
          <w:p w14:paraId="7E911990"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0.2</w:t>
            </w:r>
          </w:p>
        </w:tc>
      </w:tr>
      <w:tr w:rsidR="004951A4" w:rsidRPr="004160BB" w14:paraId="2D048B60"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noWrap/>
            <w:hideMark/>
          </w:tcPr>
          <w:p w14:paraId="3F7FD953"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P mgkg</w:t>
            </w:r>
            <w:r w:rsidRPr="004160BB">
              <w:rPr>
                <w:rFonts w:ascii="Arial" w:hAnsi="Arial" w:cs="Arial"/>
                <w:sz w:val="20"/>
                <w:szCs w:val="20"/>
                <w:vertAlign w:val="superscript"/>
              </w:rPr>
              <w:t>-1</w:t>
            </w:r>
            <w:r w:rsidRPr="004160BB">
              <w:rPr>
                <w:rFonts w:ascii="Arial" w:hAnsi="Arial" w:cs="Arial"/>
                <w:sz w:val="20"/>
                <w:szCs w:val="20"/>
              </w:rPr>
              <w:t xml:space="preserve"> </w:t>
            </w:r>
          </w:p>
        </w:tc>
        <w:tc>
          <w:tcPr>
            <w:tcW w:w="1255" w:type="pct"/>
            <w:noWrap/>
            <w:hideMark/>
          </w:tcPr>
          <w:p w14:paraId="26C10F09"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2.71</w:t>
            </w:r>
          </w:p>
        </w:tc>
        <w:tc>
          <w:tcPr>
            <w:tcW w:w="1030" w:type="pct"/>
            <w:noWrap/>
            <w:hideMark/>
          </w:tcPr>
          <w:p w14:paraId="576A837E"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12.52</w:t>
            </w:r>
          </w:p>
        </w:tc>
        <w:tc>
          <w:tcPr>
            <w:tcW w:w="1028" w:type="pct"/>
          </w:tcPr>
          <w:p w14:paraId="2C434D98"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 xml:space="preserve"> 30</w:t>
            </w:r>
          </w:p>
        </w:tc>
      </w:tr>
      <w:tr w:rsidR="004951A4" w:rsidRPr="004160BB" w14:paraId="02A85F4F" w14:textId="77777777" w:rsidTr="0078031B">
        <w:trPr>
          <w:trHeight w:val="207"/>
        </w:trPr>
        <w:tc>
          <w:tcPr>
            <w:cnfStyle w:val="001000000000" w:firstRow="0" w:lastRow="0" w:firstColumn="1" w:lastColumn="0" w:oddVBand="0" w:evenVBand="0" w:oddHBand="0" w:evenHBand="0" w:firstRowFirstColumn="0" w:firstRowLastColumn="0" w:lastRowFirstColumn="0" w:lastRowLastColumn="0"/>
            <w:tcW w:w="1687" w:type="pct"/>
            <w:noWrap/>
            <w:hideMark/>
          </w:tcPr>
          <w:p w14:paraId="22639C79" w14:textId="77777777" w:rsidR="004951A4" w:rsidRPr="004160BB" w:rsidRDefault="004951A4" w:rsidP="00D93793">
            <w:pPr>
              <w:spacing w:after="160"/>
              <w:jc w:val="both"/>
              <w:rPr>
                <w:rFonts w:ascii="Arial" w:hAnsi="Arial" w:cs="Arial"/>
                <w:b w:val="0"/>
                <w:bCs w:val="0"/>
                <w:sz w:val="20"/>
                <w:szCs w:val="20"/>
              </w:rPr>
            </w:pPr>
            <w:commentRangeStart w:id="3"/>
            <w:r w:rsidRPr="004160BB">
              <w:rPr>
                <w:rFonts w:ascii="Arial" w:hAnsi="Arial" w:cs="Arial"/>
                <w:sz w:val="20"/>
                <w:szCs w:val="20"/>
              </w:rPr>
              <w:t>K mgkg</w:t>
            </w:r>
            <w:r w:rsidRPr="004160BB">
              <w:rPr>
                <w:rFonts w:ascii="Arial" w:hAnsi="Arial" w:cs="Arial"/>
                <w:sz w:val="20"/>
                <w:szCs w:val="20"/>
                <w:vertAlign w:val="superscript"/>
              </w:rPr>
              <w:t>-1</w:t>
            </w:r>
            <w:commentRangeEnd w:id="3"/>
            <w:r w:rsidR="0098081B">
              <w:rPr>
                <w:rStyle w:val="CommentReference"/>
                <w:rFonts w:ascii="Times New Roman" w:eastAsia="Times New Roman" w:hAnsi="Times New Roman" w:cs="Times New Roman"/>
                <w:b w:val="0"/>
                <w:bCs w:val="0"/>
                <w:color w:val="auto"/>
                <w:kern w:val="0"/>
                <w:lang w:val="nb-NO" w:eastAsia="nb-NO"/>
              </w:rPr>
              <w:commentReference w:id="3"/>
            </w:r>
          </w:p>
        </w:tc>
        <w:tc>
          <w:tcPr>
            <w:tcW w:w="1255" w:type="pct"/>
            <w:noWrap/>
            <w:hideMark/>
          </w:tcPr>
          <w:p w14:paraId="62768314"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238</w:t>
            </w:r>
          </w:p>
        </w:tc>
        <w:tc>
          <w:tcPr>
            <w:tcW w:w="1030" w:type="pct"/>
            <w:noWrap/>
            <w:hideMark/>
          </w:tcPr>
          <w:p w14:paraId="778F8E26"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634</w:t>
            </w:r>
          </w:p>
        </w:tc>
        <w:tc>
          <w:tcPr>
            <w:tcW w:w="1028" w:type="pct"/>
          </w:tcPr>
          <w:p w14:paraId="594D399F"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350</w:t>
            </w:r>
          </w:p>
        </w:tc>
      </w:tr>
    </w:tbl>
    <w:p w14:paraId="105D0550" w14:textId="77777777" w:rsidR="004951A4" w:rsidRDefault="004951A4" w:rsidP="00441B6F">
      <w:pPr>
        <w:pStyle w:val="Body"/>
        <w:spacing w:after="0"/>
        <w:rPr>
          <w:rFonts w:ascii="Arial" w:hAnsi="Arial" w:cs="Arial"/>
        </w:rPr>
      </w:pPr>
      <w:r w:rsidRPr="004951A4">
        <w:rPr>
          <w:rFonts w:ascii="Arial" w:hAnsi="Arial" w:cs="Arial"/>
        </w:rPr>
        <w:t>*Water extraction- pH, *Walkley Black- organic carbon, *</w:t>
      </w:r>
      <w:proofErr w:type="spellStart"/>
      <w:r w:rsidRPr="004951A4">
        <w:rPr>
          <w:rFonts w:ascii="Arial" w:hAnsi="Arial" w:cs="Arial"/>
        </w:rPr>
        <w:t>kje</w:t>
      </w:r>
      <w:r w:rsidR="004149D7">
        <w:rPr>
          <w:rFonts w:ascii="Arial" w:hAnsi="Arial" w:cs="Arial"/>
        </w:rPr>
        <w:t>l</w:t>
      </w:r>
      <w:r w:rsidRPr="004951A4">
        <w:rPr>
          <w:rFonts w:ascii="Arial" w:hAnsi="Arial" w:cs="Arial"/>
        </w:rPr>
        <w:t>da</w:t>
      </w:r>
      <w:r w:rsidR="004149D7">
        <w:rPr>
          <w:rFonts w:ascii="Arial" w:hAnsi="Arial" w:cs="Arial"/>
        </w:rPr>
        <w:t>h</w:t>
      </w:r>
      <w:r w:rsidRPr="004951A4">
        <w:rPr>
          <w:rFonts w:ascii="Arial" w:hAnsi="Arial" w:cs="Arial"/>
        </w:rPr>
        <w:t>l</w:t>
      </w:r>
      <w:proofErr w:type="spellEnd"/>
      <w:r w:rsidRPr="004951A4">
        <w:rPr>
          <w:rFonts w:ascii="Arial" w:hAnsi="Arial" w:cs="Arial"/>
        </w:rPr>
        <w:t>- Total nitrogen, *Olsen- Available phosphorus and *ammonium acetate extraction- Exchangeable K (</w:t>
      </w:r>
      <w:proofErr w:type="spellStart"/>
      <w:r w:rsidRPr="004951A4">
        <w:rPr>
          <w:rFonts w:ascii="Arial" w:hAnsi="Arial" w:cs="Arial"/>
        </w:rPr>
        <w:t>Okaleb</w:t>
      </w:r>
      <w:r w:rsidR="004149D7">
        <w:rPr>
          <w:rFonts w:ascii="Arial" w:hAnsi="Arial" w:cs="Arial"/>
        </w:rPr>
        <w:t>o</w:t>
      </w:r>
      <w:proofErr w:type="spellEnd"/>
      <w:r w:rsidRPr="004951A4">
        <w:rPr>
          <w:rFonts w:ascii="Arial" w:hAnsi="Arial" w:cs="Arial"/>
        </w:rPr>
        <w:t xml:space="preserve"> et al. 2002, </w:t>
      </w:r>
      <w:proofErr w:type="spellStart"/>
      <w:r w:rsidRPr="004951A4">
        <w:rPr>
          <w:rFonts w:ascii="Arial" w:hAnsi="Arial" w:cs="Arial"/>
        </w:rPr>
        <w:t>Wogi</w:t>
      </w:r>
      <w:proofErr w:type="spellEnd"/>
      <w:r w:rsidRPr="004951A4">
        <w:rPr>
          <w:rFonts w:ascii="Arial" w:hAnsi="Arial" w:cs="Arial"/>
        </w:rPr>
        <w:t xml:space="preserve"> et al 2021). Critical levels</w:t>
      </w:r>
    </w:p>
    <w:p w14:paraId="5BA1769A" w14:textId="77777777" w:rsidR="004951A4" w:rsidRDefault="004951A4" w:rsidP="00441B6F">
      <w:pPr>
        <w:pStyle w:val="Body"/>
        <w:spacing w:after="0"/>
        <w:rPr>
          <w:rFonts w:ascii="Arial" w:hAnsi="Arial" w:cs="Arial"/>
        </w:rPr>
      </w:pPr>
    </w:p>
    <w:p w14:paraId="5C4FC6B0" w14:textId="77777777" w:rsidR="004951A4" w:rsidRPr="004951A4" w:rsidRDefault="00DF07D0" w:rsidP="00DF07D0">
      <w:pPr>
        <w:pStyle w:val="Body"/>
        <w:spacing w:after="0"/>
        <w:rPr>
          <w:rFonts w:ascii="Arial" w:hAnsi="Arial" w:cs="Arial"/>
        </w:rPr>
      </w:pPr>
      <w:r w:rsidRPr="00DF07D0">
        <w:rPr>
          <w:rFonts w:ascii="Arial" w:hAnsi="Arial" w:cs="Arial"/>
          <w:b/>
          <w:sz w:val="22"/>
        </w:rPr>
        <w:t xml:space="preserve">2.2 Composting </w:t>
      </w:r>
      <w:r>
        <w:rPr>
          <w:rFonts w:ascii="Arial" w:hAnsi="Arial" w:cs="Arial"/>
          <w:b/>
          <w:sz w:val="22"/>
        </w:rPr>
        <w:t>o</w:t>
      </w:r>
      <w:r w:rsidRPr="00DF07D0">
        <w:rPr>
          <w:rFonts w:ascii="Arial" w:hAnsi="Arial" w:cs="Arial"/>
          <w:b/>
          <w:sz w:val="22"/>
        </w:rPr>
        <w:t xml:space="preserve">f </w:t>
      </w:r>
      <w:proofErr w:type="spellStart"/>
      <w:r w:rsidRPr="00DF07D0">
        <w:rPr>
          <w:rFonts w:ascii="Arial" w:hAnsi="Arial" w:cs="Arial"/>
          <w:b/>
          <w:sz w:val="22"/>
        </w:rPr>
        <w:t>Pressmud</w:t>
      </w:r>
      <w:proofErr w:type="spellEnd"/>
      <w:r w:rsidRPr="00DF07D0">
        <w:rPr>
          <w:rFonts w:ascii="Arial" w:hAnsi="Arial" w:cs="Arial"/>
          <w:b/>
          <w:sz w:val="22"/>
        </w:rPr>
        <w:t xml:space="preserve"> </w:t>
      </w:r>
      <w:r>
        <w:rPr>
          <w:rFonts w:ascii="Arial" w:hAnsi="Arial" w:cs="Arial"/>
          <w:b/>
          <w:sz w:val="22"/>
        </w:rPr>
        <w:t>a</w:t>
      </w:r>
      <w:r w:rsidRPr="00DF07D0">
        <w:rPr>
          <w:rFonts w:ascii="Arial" w:hAnsi="Arial" w:cs="Arial"/>
          <w:b/>
          <w:sz w:val="22"/>
        </w:rPr>
        <w:t xml:space="preserve">nd Cattle Manure </w:t>
      </w:r>
      <w:r w:rsidR="004951A4" w:rsidRPr="004951A4">
        <w:rPr>
          <w:rFonts w:ascii="Arial" w:hAnsi="Arial" w:cs="Arial"/>
        </w:rPr>
        <w:t xml:space="preserve"> </w:t>
      </w:r>
    </w:p>
    <w:p w14:paraId="7B86387B" w14:textId="77777777" w:rsidR="004951A4" w:rsidRDefault="004951A4" w:rsidP="004951A4">
      <w:pPr>
        <w:pStyle w:val="Body"/>
        <w:rPr>
          <w:rFonts w:ascii="Arial" w:hAnsi="Arial" w:cs="Arial"/>
        </w:rPr>
      </w:pPr>
      <w:proofErr w:type="spellStart"/>
      <w:r w:rsidRPr="004951A4">
        <w:rPr>
          <w:rFonts w:ascii="Arial" w:hAnsi="Arial" w:cs="Arial"/>
        </w:rPr>
        <w:t>Pressmud</w:t>
      </w:r>
      <w:proofErr w:type="spellEnd"/>
      <w:r w:rsidRPr="004951A4">
        <w:rPr>
          <w:rFonts w:ascii="Arial" w:hAnsi="Arial" w:cs="Arial"/>
        </w:rPr>
        <w:t xml:space="preserve"> (PM) </w:t>
      </w:r>
      <w:r w:rsidR="00DF07D0">
        <w:rPr>
          <w:rFonts w:ascii="Arial" w:hAnsi="Arial" w:cs="Arial"/>
        </w:rPr>
        <w:t>was</w:t>
      </w:r>
      <w:r w:rsidRPr="004951A4">
        <w:rPr>
          <w:rFonts w:ascii="Arial" w:hAnsi="Arial" w:cs="Arial"/>
        </w:rPr>
        <w:t xml:space="preserve"> obtained from a local sugarcane processing factory, while cattle manure (CM) was from a large-scale dairy farm. Before composting, both PM and CM were segregated into two portions: sun-dried and fresh portions, to adjust the carbon-to-nitrogen (C:N) ratio to about 25-30:1 for optimal bacterial activity. The Berkeley hot composting method (Atchley, K. 2013) was used to prepare organic fertilizers from PM and CM. A compost heap measuring 2 m wide was raised to a height of 1.3 m and after four days of initial heating, the heap was turned at intervals of two days for aeration. Turning helps to maintain oxygen levels, promote aerobic decomposition, and prevent foul </w:t>
      </w:r>
      <w:proofErr w:type="spellStart"/>
      <w:r w:rsidRPr="004951A4">
        <w:rPr>
          <w:rFonts w:ascii="Arial" w:hAnsi="Arial" w:cs="Arial"/>
        </w:rPr>
        <w:t>odours</w:t>
      </w:r>
      <w:proofErr w:type="spellEnd"/>
      <w:r w:rsidRPr="004951A4">
        <w:rPr>
          <w:rFonts w:ascii="Arial" w:hAnsi="Arial" w:cs="Arial"/>
        </w:rPr>
        <w:t>. Temperature was monitored and kept between 40°C and 65°C throughout the process to ensure efficient composting, with excess heat managed by turning and spreading the piles. Moisture levels were maintained between 45% and 60%, while monitoring pH levels and when the pH dropped below 7.5, the composting was terminated to avoid nutrient loss. Detailed PM and CM properties are presented in (Table 2).</w:t>
      </w:r>
    </w:p>
    <w:p w14:paraId="6731D220" w14:textId="77777777" w:rsidR="004951A4" w:rsidRPr="004160BB" w:rsidRDefault="004951A4" w:rsidP="00DF07D0">
      <w:pPr>
        <w:pStyle w:val="Body"/>
        <w:spacing w:after="120"/>
        <w:rPr>
          <w:rFonts w:ascii="Arial" w:hAnsi="Arial" w:cs="Arial"/>
          <w:b/>
        </w:rPr>
      </w:pPr>
      <w:r w:rsidRPr="004160BB">
        <w:rPr>
          <w:rFonts w:ascii="Arial" w:hAnsi="Arial" w:cs="Arial"/>
          <w:b/>
        </w:rPr>
        <w:t xml:space="preserve">Table 2: Selected chemical attributes of composted </w:t>
      </w:r>
      <w:proofErr w:type="spellStart"/>
      <w:r w:rsidRPr="004160BB">
        <w:rPr>
          <w:rFonts w:ascii="Arial" w:hAnsi="Arial" w:cs="Arial"/>
          <w:b/>
        </w:rPr>
        <w:t>pressmud</w:t>
      </w:r>
      <w:proofErr w:type="spellEnd"/>
      <w:r w:rsidRPr="004160BB">
        <w:rPr>
          <w:rFonts w:ascii="Arial" w:hAnsi="Arial" w:cs="Arial"/>
          <w:b/>
        </w:rPr>
        <w:t xml:space="preserve"> (PM) and cattle manure (CM)</w:t>
      </w:r>
    </w:p>
    <w:tbl>
      <w:tblPr>
        <w:tblStyle w:val="TableGrid"/>
        <w:tblW w:w="486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2311"/>
        <w:gridCol w:w="2631"/>
      </w:tblGrid>
      <w:tr w:rsidR="004951A4" w:rsidRPr="004160BB" w14:paraId="2B9DDE57" w14:textId="77777777" w:rsidTr="0078031B">
        <w:trPr>
          <w:trHeight w:val="288"/>
        </w:trPr>
        <w:tc>
          <w:tcPr>
            <w:tcW w:w="1908" w:type="pct"/>
            <w:tcBorders>
              <w:top w:val="single" w:sz="4" w:space="0" w:color="auto"/>
            </w:tcBorders>
            <w:noWrap/>
          </w:tcPr>
          <w:p w14:paraId="7D56F0CF" w14:textId="77777777" w:rsidR="004951A4" w:rsidRPr="004160BB" w:rsidRDefault="004951A4" w:rsidP="00D93793">
            <w:pPr>
              <w:jc w:val="both"/>
              <w:rPr>
                <w:rFonts w:ascii="Arial" w:hAnsi="Arial" w:cs="Arial"/>
                <w:sz w:val="20"/>
                <w:szCs w:val="20"/>
              </w:rPr>
            </w:pPr>
            <w:r w:rsidRPr="004160BB">
              <w:rPr>
                <w:rFonts w:ascii="Arial" w:hAnsi="Arial" w:cs="Arial"/>
                <w:b/>
                <w:bCs/>
                <w:sz w:val="20"/>
                <w:szCs w:val="20"/>
              </w:rPr>
              <w:t>Chemical parameter</w:t>
            </w:r>
          </w:p>
        </w:tc>
        <w:tc>
          <w:tcPr>
            <w:tcW w:w="3092" w:type="pct"/>
            <w:gridSpan w:val="2"/>
            <w:tcBorders>
              <w:top w:val="single" w:sz="4" w:space="0" w:color="auto"/>
              <w:bottom w:val="single" w:sz="4" w:space="0" w:color="auto"/>
            </w:tcBorders>
            <w:noWrap/>
          </w:tcPr>
          <w:p w14:paraId="0B613794" w14:textId="77777777" w:rsidR="004951A4" w:rsidRPr="004160BB" w:rsidRDefault="004951A4" w:rsidP="00D93793">
            <w:pPr>
              <w:jc w:val="both"/>
              <w:rPr>
                <w:rFonts w:ascii="Arial" w:hAnsi="Arial" w:cs="Arial"/>
                <w:b/>
                <w:bCs/>
                <w:sz w:val="20"/>
                <w:szCs w:val="20"/>
              </w:rPr>
            </w:pPr>
            <w:r w:rsidRPr="004160BB">
              <w:rPr>
                <w:rFonts w:ascii="Arial" w:hAnsi="Arial" w:cs="Arial"/>
                <w:b/>
                <w:bCs/>
                <w:sz w:val="20"/>
                <w:szCs w:val="20"/>
              </w:rPr>
              <w:t>Organic Amendment</w:t>
            </w:r>
          </w:p>
        </w:tc>
      </w:tr>
      <w:tr w:rsidR="004951A4" w:rsidRPr="004160BB" w14:paraId="70299DA5" w14:textId="77777777" w:rsidTr="0078031B">
        <w:trPr>
          <w:trHeight w:val="288"/>
        </w:trPr>
        <w:tc>
          <w:tcPr>
            <w:tcW w:w="1908" w:type="pct"/>
            <w:tcBorders>
              <w:bottom w:val="single" w:sz="4" w:space="0" w:color="auto"/>
            </w:tcBorders>
            <w:noWrap/>
            <w:hideMark/>
          </w:tcPr>
          <w:p w14:paraId="62678493" w14:textId="77777777" w:rsidR="004951A4" w:rsidRPr="004160BB" w:rsidRDefault="004951A4" w:rsidP="00D93793">
            <w:pPr>
              <w:jc w:val="both"/>
              <w:rPr>
                <w:rFonts w:ascii="Arial" w:hAnsi="Arial" w:cs="Arial"/>
                <w:sz w:val="20"/>
                <w:szCs w:val="20"/>
              </w:rPr>
            </w:pPr>
          </w:p>
        </w:tc>
        <w:tc>
          <w:tcPr>
            <w:tcW w:w="1446" w:type="pct"/>
            <w:tcBorders>
              <w:top w:val="single" w:sz="4" w:space="0" w:color="auto"/>
              <w:bottom w:val="single" w:sz="4" w:space="0" w:color="auto"/>
            </w:tcBorders>
            <w:noWrap/>
            <w:hideMark/>
          </w:tcPr>
          <w:p w14:paraId="3855D47E" w14:textId="77777777" w:rsidR="004951A4" w:rsidRPr="004160BB" w:rsidRDefault="004951A4" w:rsidP="00D93793">
            <w:pPr>
              <w:spacing w:after="160"/>
              <w:jc w:val="both"/>
              <w:rPr>
                <w:rFonts w:ascii="Arial" w:hAnsi="Arial" w:cs="Arial"/>
                <w:bCs/>
                <w:sz w:val="20"/>
                <w:szCs w:val="20"/>
              </w:rPr>
            </w:pPr>
            <w:proofErr w:type="spellStart"/>
            <w:r w:rsidRPr="004160BB">
              <w:rPr>
                <w:rFonts w:ascii="Arial" w:hAnsi="Arial" w:cs="Arial"/>
                <w:bCs/>
                <w:sz w:val="20"/>
                <w:szCs w:val="20"/>
              </w:rPr>
              <w:t>Pressmud</w:t>
            </w:r>
            <w:proofErr w:type="spellEnd"/>
            <w:r w:rsidRPr="004160BB">
              <w:rPr>
                <w:rFonts w:ascii="Arial" w:hAnsi="Arial" w:cs="Arial"/>
                <w:bCs/>
                <w:sz w:val="20"/>
                <w:szCs w:val="20"/>
              </w:rPr>
              <w:t xml:space="preserve"> (PM)</w:t>
            </w:r>
          </w:p>
        </w:tc>
        <w:tc>
          <w:tcPr>
            <w:tcW w:w="1646" w:type="pct"/>
            <w:tcBorders>
              <w:top w:val="single" w:sz="4" w:space="0" w:color="auto"/>
              <w:bottom w:val="single" w:sz="4" w:space="0" w:color="auto"/>
            </w:tcBorders>
            <w:noWrap/>
            <w:hideMark/>
          </w:tcPr>
          <w:p w14:paraId="4FC5BE7D" w14:textId="77777777" w:rsidR="004951A4" w:rsidRPr="004160BB" w:rsidRDefault="004951A4" w:rsidP="00D93793">
            <w:pPr>
              <w:spacing w:after="160"/>
              <w:jc w:val="both"/>
              <w:rPr>
                <w:rFonts w:ascii="Arial" w:hAnsi="Arial" w:cs="Arial"/>
                <w:bCs/>
                <w:sz w:val="20"/>
                <w:szCs w:val="20"/>
              </w:rPr>
            </w:pPr>
            <w:r w:rsidRPr="004160BB">
              <w:rPr>
                <w:rFonts w:ascii="Arial" w:hAnsi="Arial" w:cs="Arial"/>
                <w:bCs/>
                <w:sz w:val="20"/>
                <w:szCs w:val="20"/>
              </w:rPr>
              <w:t>Cattle manure (CM)</w:t>
            </w:r>
          </w:p>
        </w:tc>
      </w:tr>
      <w:tr w:rsidR="004951A4" w:rsidRPr="004160BB" w14:paraId="286A8DB0" w14:textId="77777777" w:rsidTr="0078031B">
        <w:trPr>
          <w:trHeight w:val="288"/>
        </w:trPr>
        <w:tc>
          <w:tcPr>
            <w:tcW w:w="1908" w:type="pct"/>
            <w:tcBorders>
              <w:top w:val="single" w:sz="4" w:space="0" w:color="auto"/>
            </w:tcBorders>
            <w:noWrap/>
            <w:hideMark/>
          </w:tcPr>
          <w:p w14:paraId="0791B3CA"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xml:space="preserve">% Organic Carbon </w:t>
            </w:r>
          </w:p>
        </w:tc>
        <w:tc>
          <w:tcPr>
            <w:tcW w:w="1446" w:type="pct"/>
            <w:tcBorders>
              <w:top w:val="single" w:sz="4" w:space="0" w:color="auto"/>
            </w:tcBorders>
            <w:noWrap/>
            <w:hideMark/>
          </w:tcPr>
          <w:p w14:paraId="7BAAEEC6"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24.4</w:t>
            </w:r>
          </w:p>
        </w:tc>
        <w:tc>
          <w:tcPr>
            <w:tcW w:w="1646" w:type="pct"/>
            <w:tcBorders>
              <w:top w:val="single" w:sz="4" w:space="0" w:color="auto"/>
            </w:tcBorders>
            <w:hideMark/>
          </w:tcPr>
          <w:p w14:paraId="67970A14"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25</w:t>
            </w:r>
          </w:p>
        </w:tc>
      </w:tr>
      <w:tr w:rsidR="004951A4" w:rsidRPr="004160BB" w14:paraId="5B7B5040" w14:textId="77777777" w:rsidTr="0078031B">
        <w:trPr>
          <w:trHeight w:val="288"/>
        </w:trPr>
        <w:tc>
          <w:tcPr>
            <w:tcW w:w="1908" w:type="pct"/>
            <w:noWrap/>
            <w:hideMark/>
          </w:tcPr>
          <w:p w14:paraId="1ACA6C69"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xml:space="preserve">% Total Nitrogen </w:t>
            </w:r>
          </w:p>
        </w:tc>
        <w:tc>
          <w:tcPr>
            <w:tcW w:w="1446" w:type="pct"/>
            <w:noWrap/>
            <w:hideMark/>
          </w:tcPr>
          <w:p w14:paraId="62ADB8F5"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0.6</w:t>
            </w:r>
          </w:p>
        </w:tc>
        <w:tc>
          <w:tcPr>
            <w:tcW w:w="1646" w:type="pct"/>
            <w:hideMark/>
          </w:tcPr>
          <w:p w14:paraId="3D9D6D6A"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1.5</w:t>
            </w:r>
          </w:p>
        </w:tc>
      </w:tr>
      <w:tr w:rsidR="004951A4" w:rsidRPr="004160BB" w14:paraId="5C429644" w14:textId="77777777" w:rsidTr="0078031B">
        <w:trPr>
          <w:trHeight w:val="288"/>
        </w:trPr>
        <w:tc>
          <w:tcPr>
            <w:tcW w:w="1908" w:type="pct"/>
            <w:noWrap/>
            <w:hideMark/>
          </w:tcPr>
          <w:p w14:paraId="24C291CD"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Total Phosphorus</w:t>
            </w:r>
          </w:p>
        </w:tc>
        <w:tc>
          <w:tcPr>
            <w:tcW w:w="1446" w:type="pct"/>
            <w:noWrap/>
            <w:hideMark/>
          </w:tcPr>
          <w:p w14:paraId="57602430"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0.7</w:t>
            </w:r>
          </w:p>
        </w:tc>
        <w:tc>
          <w:tcPr>
            <w:tcW w:w="1646" w:type="pct"/>
            <w:hideMark/>
          </w:tcPr>
          <w:p w14:paraId="1E59208D"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0.5</w:t>
            </w:r>
          </w:p>
        </w:tc>
      </w:tr>
      <w:tr w:rsidR="004951A4" w:rsidRPr="004160BB" w14:paraId="00E28A9D" w14:textId="77777777" w:rsidTr="0078031B">
        <w:trPr>
          <w:trHeight w:val="288"/>
        </w:trPr>
        <w:tc>
          <w:tcPr>
            <w:tcW w:w="1908" w:type="pct"/>
            <w:tcBorders>
              <w:bottom w:val="single" w:sz="4" w:space="0" w:color="auto"/>
            </w:tcBorders>
            <w:noWrap/>
            <w:hideMark/>
          </w:tcPr>
          <w:p w14:paraId="018B8EC4"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xml:space="preserve">% Total </w:t>
            </w:r>
            <w:commentRangeStart w:id="4"/>
            <w:r w:rsidRPr="004160BB">
              <w:rPr>
                <w:rFonts w:ascii="Arial" w:hAnsi="Arial" w:cs="Arial"/>
                <w:bCs/>
                <w:sz w:val="20"/>
                <w:szCs w:val="20"/>
              </w:rPr>
              <w:t>Potassium</w:t>
            </w:r>
            <w:commentRangeEnd w:id="4"/>
            <w:r w:rsidR="0098081B">
              <w:rPr>
                <w:rStyle w:val="CommentReference"/>
                <w:rFonts w:ascii="Times New Roman" w:eastAsia="Times New Roman" w:hAnsi="Times New Roman"/>
                <w:lang w:val="nb-NO" w:eastAsia="nb-NO"/>
              </w:rPr>
              <w:commentReference w:id="4"/>
            </w:r>
          </w:p>
        </w:tc>
        <w:tc>
          <w:tcPr>
            <w:tcW w:w="1446" w:type="pct"/>
            <w:tcBorders>
              <w:bottom w:val="single" w:sz="4" w:space="0" w:color="auto"/>
            </w:tcBorders>
            <w:noWrap/>
            <w:hideMark/>
          </w:tcPr>
          <w:p w14:paraId="61F0A36F"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0.4</w:t>
            </w:r>
          </w:p>
        </w:tc>
        <w:tc>
          <w:tcPr>
            <w:tcW w:w="1646" w:type="pct"/>
            <w:tcBorders>
              <w:bottom w:val="single" w:sz="4" w:space="0" w:color="auto"/>
            </w:tcBorders>
            <w:hideMark/>
          </w:tcPr>
          <w:p w14:paraId="67BAB5EF"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0.8</w:t>
            </w:r>
          </w:p>
        </w:tc>
      </w:tr>
    </w:tbl>
    <w:p w14:paraId="0DEC5505" w14:textId="77777777" w:rsidR="004951A4" w:rsidRPr="00FC0EBD" w:rsidRDefault="004951A4" w:rsidP="00FC0EBD">
      <w:pPr>
        <w:pStyle w:val="Body"/>
        <w:spacing w:before="120" w:after="0"/>
        <w:rPr>
          <w:rFonts w:ascii="Arial" w:hAnsi="Arial" w:cs="Arial"/>
          <w:i/>
          <w:sz w:val="18"/>
          <w:szCs w:val="18"/>
        </w:rPr>
      </w:pPr>
      <w:r w:rsidRPr="00FC0EBD">
        <w:rPr>
          <w:rFonts w:ascii="Arial" w:hAnsi="Arial" w:cs="Arial"/>
          <w:i/>
          <w:sz w:val="18"/>
          <w:szCs w:val="18"/>
        </w:rPr>
        <w:t xml:space="preserve">*All parameters were analyzed according to </w:t>
      </w:r>
      <w:proofErr w:type="spellStart"/>
      <w:r w:rsidRPr="00FC0EBD">
        <w:rPr>
          <w:rFonts w:ascii="Arial" w:hAnsi="Arial" w:cs="Arial"/>
          <w:i/>
          <w:sz w:val="18"/>
          <w:szCs w:val="18"/>
        </w:rPr>
        <w:t>Okalebo</w:t>
      </w:r>
      <w:proofErr w:type="spellEnd"/>
      <w:r w:rsidRPr="00FC0EBD">
        <w:rPr>
          <w:rFonts w:ascii="Arial" w:hAnsi="Arial" w:cs="Arial"/>
          <w:i/>
          <w:sz w:val="18"/>
          <w:szCs w:val="18"/>
        </w:rPr>
        <w:t xml:space="preserve"> et al. 2002</w:t>
      </w:r>
    </w:p>
    <w:p w14:paraId="3E866C32" w14:textId="77777777" w:rsidR="004951A4" w:rsidRDefault="004951A4" w:rsidP="004951A4">
      <w:pPr>
        <w:pStyle w:val="Body"/>
        <w:spacing w:after="0"/>
        <w:rPr>
          <w:rFonts w:ascii="Arial" w:hAnsi="Arial" w:cs="Arial"/>
        </w:rPr>
      </w:pPr>
    </w:p>
    <w:p w14:paraId="45F1952A" w14:textId="77777777" w:rsidR="004951A4" w:rsidRPr="00DF07D0" w:rsidRDefault="004951A4" w:rsidP="004951A4">
      <w:pPr>
        <w:pStyle w:val="Body"/>
        <w:rPr>
          <w:rFonts w:ascii="Arial" w:hAnsi="Arial" w:cs="Arial"/>
          <w:b/>
          <w:sz w:val="22"/>
        </w:rPr>
      </w:pPr>
      <w:r w:rsidRPr="00DF07D0">
        <w:rPr>
          <w:rFonts w:ascii="Arial" w:hAnsi="Arial" w:cs="Arial"/>
          <w:b/>
          <w:sz w:val="22"/>
        </w:rPr>
        <w:t>2.</w:t>
      </w:r>
      <w:r w:rsidR="00DF07D0" w:rsidRPr="00DF07D0">
        <w:rPr>
          <w:rFonts w:ascii="Arial" w:hAnsi="Arial" w:cs="Arial"/>
          <w:b/>
          <w:sz w:val="22"/>
        </w:rPr>
        <w:t>3</w:t>
      </w:r>
      <w:r w:rsidRPr="00DF07D0">
        <w:rPr>
          <w:rFonts w:ascii="Arial" w:hAnsi="Arial" w:cs="Arial"/>
          <w:b/>
          <w:sz w:val="22"/>
        </w:rPr>
        <w:t xml:space="preserve"> Treatments, experimental design and crop husbandry</w:t>
      </w:r>
    </w:p>
    <w:p w14:paraId="5FF44A11" w14:textId="77777777" w:rsidR="004951A4" w:rsidRPr="004951A4" w:rsidRDefault="004951A4" w:rsidP="004951A4">
      <w:pPr>
        <w:pStyle w:val="Body"/>
        <w:rPr>
          <w:rFonts w:ascii="Arial" w:hAnsi="Arial" w:cs="Arial"/>
        </w:rPr>
      </w:pPr>
      <w:r w:rsidRPr="004951A4">
        <w:rPr>
          <w:rFonts w:ascii="Arial" w:hAnsi="Arial" w:cs="Arial"/>
        </w:rPr>
        <w:t xml:space="preserve">The plots were established in a </w:t>
      </w:r>
      <w:proofErr w:type="spellStart"/>
      <w:r w:rsidRPr="004951A4">
        <w:rPr>
          <w:rFonts w:ascii="Arial" w:hAnsi="Arial" w:cs="Arial"/>
        </w:rPr>
        <w:t>randomised</w:t>
      </w:r>
      <w:proofErr w:type="spellEnd"/>
      <w:r w:rsidRPr="004951A4">
        <w:rPr>
          <w:rFonts w:ascii="Arial" w:hAnsi="Arial" w:cs="Arial"/>
        </w:rPr>
        <w:t xml:space="preserve"> complete block design with 14 P fertilizer treatments of sole and/or combinations of PM, CM and Triple Super Phosphate (TSP), replicated thrice (see Modeste et al., in preparation). Each treatment received 30 kg P ha-1 at different ratios of organic and inorganic as shown in Table 3. A blanket application of Nitrogen (100 kg ha-1 as Urea) and potassium (60 kg ha-1 as muriate of potash) was applied to all </w:t>
      </w:r>
      <w:r w:rsidRPr="004951A4">
        <w:rPr>
          <w:rFonts w:ascii="Arial" w:hAnsi="Arial" w:cs="Arial"/>
        </w:rPr>
        <w:lastRenderedPageBreak/>
        <w:t xml:space="preserve">experimental units except the control. The experiments were laid out in a randomized complete block design and replicated three times. Before planting, the land was prepared to a fine tilth and planting was done at the beginning of the long rains season in 2021, as per the farmers’ practice. Hybrid maize variety H520 from Kenya Seed Company Limited was planted at 25 cm within row spacing and 75 cm between row spacing in plots measuring 5 m x 4.5m at both </w:t>
      </w:r>
      <w:proofErr w:type="spellStart"/>
      <w:r w:rsidRPr="004951A4">
        <w:rPr>
          <w:rFonts w:ascii="Arial" w:hAnsi="Arial" w:cs="Arial"/>
        </w:rPr>
        <w:t>Kibos</w:t>
      </w:r>
      <w:proofErr w:type="spellEnd"/>
      <w:r w:rsidRPr="004951A4">
        <w:rPr>
          <w:rFonts w:ascii="Arial" w:hAnsi="Arial" w:cs="Arial"/>
        </w:rPr>
        <w:t xml:space="preserve"> and </w:t>
      </w:r>
      <w:proofErr w:type="spellStart"/>
      <w:r w:rsidRPr="004951A4">
        <w:rPr>
          <w:rFonts w:ascii="Arial" w:hAnsi="Arial" w:cs="Arial"/>
        </w:rPr>
        <w:t>Bumula</w:t>
      </w:r>
      <w:proofErr w:type="spellEnd"/>
      <w:r w:rsidRPr="004951A4">
        <w:rPr>
          <w:rFonts w:ascii="Arial" w:hAnsi="Arial" w:cs="Arial"/>
        </w:rPr>
        <w:t xml:space="preserve"> sites. Two maize seeds were sown per hill, and later thinned to one a week after emergence. N was applied in two equal splits of 50 kg ha-1 at planting and after 8 weeks, whereas K and P were applied in bunds at planting. Standard agronomic procedures for maize cultivation, including weeding and pest control, were appropriately followed after crop emergence.</w:t>
      </w:r>
    </w:p>
    <w:p w14:paraId="39CA57E6" w14:textId="77777777" w:rsidR="00C24521" w:rsidRDefault="004951A4" w:rsidP="00DF07D0">
      <w:pPr>
        <w:pStyle w:val="Body"/>
        <w:spacing w:after="120"/>
        <w:rPr>
          <w:rFonts w:ascii="Arial" w:hAnsi="Arial" w:cs="Arial"/>
        </w:rPr>
      </w:pPr>
      <w:r w:rsidRPr="004951A4">
        <w:rPr>
          <w:rFonts w:ascii="Arial" w:hAnsi="Arial" w:cs="Arial"/>
        </w:rPr>
        <w:t xml:space="preserve">Table 3: Substitution of triple super phosphate (TSP) fertilizer by </w:t>
      </w:r>
      <w:proofErr w:type="spellStart"/>
      <w:r w:rsidRPr="004951A4">
        <w:rPr>
          <w:rFonts w:ascii="Arial" w:hAnsi="Arial" w:cs="Arial"/>
        </w:rPr>
        <w:t>pressmud</w:t>
      </w:r>
      <w:proofErr w:type="spellEnd"/>
      <w:r w:rsidRPr="004951A4">
        <w:rPr>
          <w:rFonts w:ascii="Arial" w:hAnsi="Arial" w:cs="Arial"/>
        </w:rPr>
        <w:t xml:space="preserve"> (PM) and cattle manure (CM) at 0%, 25%, 50%, and 100% of the 30 kg P ha-1 rate</w:t>
      </w:r>
    </w:p>
    <w:tbl>
      <w:tblPr>
        <w:tblW w:w="5000" w:type="pct"/>
        <w:tblBorders>
          <w:top w:val="single" w:sz="4" w:space="0" w:color="000000"/>
          <w:bottom w:val="single" w:sz="4" w:space="0" w:color="000000"/>
        </w:tblBorders>
        <w:tblLook w:val="06A0" w:firstRow="1" w:lastRow="0" w:firstColumn="1" w:lastColumn="0" w:noHBand="1" w:noVBand="1"/>
      </w:tblPr>
      <w:tblGrid>
        <w:gridCol w:w="2427"/>
        <w:gridCol w:w="16"/>
        <w:gridCol w:w="4015"/>
        <w:gridCol w:w="255"/>
        <w:gridCol w:w="1495"/>
      </w:tblGrid>
      <w:tr w:rsidR="00C24521" w:rsidRPr="003B107F" w14:paraId="11251032" w14:textId="77777777" w:rsidTr="00DF07D0">
        <w:trPr>
          <w:trHeight w:val="347"/>
        </w:trPr>
        <w:tc>
          <w:tcPr>
            <w:tcW w:w="1542" w:type="pct"/>
            <w:gridSpan w:val="2"/>
            <w:tcBorders>
              <w:top w:val="single" w:sz="4" w:space="0" w:color="000000"/>
              <w:bottom w:val="single" w:sz="4" w:space="0" w:color="auto"/>
            </w:tcBorders>
          </w:tcPr>
          <w:p w14:paraId="229AF7B6" w14:textId="77777777" w:rsidR="00C24521" w:rsidRPr="003B107F" w:rsidRDefault="00C24521" w:rsidP="00D93793">
            <w:pPr>
              <w:jc w:val="both"/>
              <w:rPr>
                <w:rFonts w:ascii="Arial" w:hAnsi="Arial" w:cs="Arial"/>
                <w:b/>
                <w:bCs/>
                <w:sz w:val="24"/>
                <w:szCs w:val="24"/>
              </w:rPr>
            </w:pPr>
            <w:r w:rsidRPr="003B107F">
              <w:rPr>
                <w:rFonts w:ascii="Arial" w:hAnsi="Arial" w:cs="Arial"/>
                <w:b/>
                <w:bCs/>
                <w:sz w:val="24"/>
                <w:szCs w:val="24"/>
              </w:rPr>
              <w:t>Soil amendments</w:t>
            </w:r>
          </w:p>
        </w:tc>
        <w:tc>
          <w:tcPr>
            <w:tcW w:w="2538" w:type="pct"/>
            <w:tcBorders>
              <w:top w:val="single" w:sz="4" w:space="0" w:color="000000"/>
              <w:bottom w:val="single" w:sz="4" w:space="0" w:color="auto"/>
            </w:tcBorders>
          </w:tcPr>
          <w:p w14:paraId="2E1DBCD6" w14:textId="77777777" w:rsidR="00C24521" w:rsidRPr="003B107F" w:rsidRDefault="00C24521" w:rsidP="00D93793">
            <w:pPr>
              <w:jc w:val="both"/>
              <w:rPr>
                <w:rFonts w:ascii="Arial" w:hAnsi="Arial" w:cs="Arial"/>
                <w:b/>
                <w:bCs/>
                <w:sz w:val="24"/>
                <w:szCs w:val="24"/>
              </w:rPr>
            </w:pPr>
            <w:r w:rsidRPr="003B107F">
              <w:rPr>
                <w:rFonts w:ascii="Arial" w:hAnsi="Arial" w:cs="Arial"/>
                <w:b/>
                <w:bCs/>
                <w:sz w:val="24"/>
                <w:szCs w:val="24"/>
              </w:rPr>
              <w:t>Description</w:t>
            </w:r>
          </w:p>
        </w:tc>
        <w:tc>
          <w:tcPr>
            <w:tcW w:w="920" w:type="pct"/>
            <w:gridSpan w:val="2"/>
            <w:tcBorders>
              <w:top w:val="single" w:sz="4" w:space="0" w:color="000000"/>
              <w:bottom w:val="single" w:sz="4" w:space="0" w:color="auto"/>
            </w:tcBorders>
          </w:tcPr>
          <w:p w14:paraId="45E22EAA" w14:textId="77777777" w:rsidR="00C24521" w:rsidRPr="003B107F" w:rsidRDefault="00C24521" w:rsidP="00D93793">
            <w:pPr>
              <w:rPr>
                <w:rFonts w:ascii="Arial" w:hAnsi="Arial" w:cs="Arial"/>
                <w:b/>
                <w:bCs/>
                <w:sz w:val="24"/>
                <w:szCs w:val="24"/>
              </w:rPr>
            </w:pPr>
            <w:r w:rsidRPr="003B107F">
              <w:rPr>
                <w:rFonts w:ascii="Arial" w:hAnsi="Arial" w:cs="Arial"/>
                <w:b/>
                <w:bCs/>
                <w:sz w:val="24"/>
                <w:szCs w:val="24"/>
              </w:rPr>
              <w:t>Ratios of P amendments</w:t>
            </w:r>
          </w:p>
        </w:tc>
      </w:tr>
      <w:tr w:rsidR="00C24521" w:rsidRPr="003B107F" w14:paraId="2557BC15" w14:textId="77777777" w:rsidTr="00DF07D0">
        <w:trPr>
          <w:trHeight w:val="363"/>
        </w:trPr>
        <w:tc>
          <w:tcPr>
            <w:tcW w:w="1527" w:type="pct"/>
            <w:tcBorders>
              <w:top w:val="single" w:sz="4" w:space="0" w:color="auto"/>
            </w:tcBorders>
          </w:tcPr>
          <w:p w14:paraId="55EAF8DF" w14:textId="77777777" w:rsidR="00C24521" w:rsidRPr="003B107F" w:rsidRDefault="00C24521" w:rsidP="00D93793">
            <w:pPr>
              <w:jc w:val="both"/>
              <w:rPr>
                <w:rFonts w:ascii="Arial" w:hAnsi="Arial" w:cs="Arial"/>
              </w:rPr>
            </w:pPr>
            <w:r w:rsidRPr="003B107F">
              <w:rPr>
                <w:rFonts w:ascii="Arial" w:hAnsi="Arial" w:cs="Arial"/>
              </w:rPr>
              <w:t>Control</w:t>
            </w:r>
          </w:p>
        </w:tc>
        <w:tc>
          <w:tcPr>
            <w:tcW w:w="2691" w:type="pct"/>
            <w:gridSpan w:val="3"/>
            <w:tcBorders>
              <w:top w:val="single" w:sz="4" w:space="0" w:color="auto"/>
            </w:tcBorders>
          </w:tcPr>
          <w:p w14:paraId="325A7162" w14:textId="77777777" w:rsidR="00C24521" w:rsidRPr="003B107F" w:rsidRDefault="00C24521" w:rsidP="00D93793">
            <w:pPr>
              <w:jc w:val="both"/>
              <w:rPr>
                <w:rFonts w:ascii="Arial" w:hAnsi="Arial" w:cs="Arial"/>
              </w:rPr>
            </w:pPr>
            <w:r w:rsidRPr="003B107F">
              <w:rPr>
                <w:rFonts w:ascii="Arial" w:hAnsi="Arial" w:cs="Arial"/>
              </w:rPr>
              <w:t>No nutrients applied</w:t>
            </w:r>
          </w:p>
        </w:tc>
        <w:tc>
          <w:tcPr>
            <w:tcW w:w="782" w:type="pct"/>
            <w:tcBorders>
              <w:top w:val="single" w:sz="4" w:space="0" w:color="auto"/>
            </w:tcBorders>
          </w:tcPr>
          <w:p w14:paraId="52BC856E" w14:textId="77777777" w:rsidR="00C24521" w:rsidRPr="003B107F" w:rsidRDefault="00C24521" w:rsidP="00D93793">
            <w:pPr>
              <w:jc w:val="both"/>
              <w:rPr>
                <w:rFonts w:ascii="Arial" w:hAnsi="Arial" w:cs="Arial"/>
              </w:rPr>
            </w:pPr>
          </w:p>
        </w:tc>
      </w:tr>
      <w:tr w:rsidR="00C24521" w:rsidRPr="003B107F" w14:paraId="338EE3DB" w14:textId="77777777" w:rsidTr="00DF07D0">
        <w:trPr>
          <w:trHeight w:val="363"/>
        </w:trPr>
        <w:tc>
          <w:tcPr>
            <w:tcW w:w="1527" w:type="pct"/>
          </w:tcPr>
          <w:p w14:paraId="31D7336B" w14:textId="77777777" w:rsidR="00C24521" w:rsidRPr="003B107F" w:rsidRDefault="00C24521" w:rsidP="00D93793">
            <w:pPr>
              <w:jc w:val="both"/>
              <w:rPr>
                <w:rFonts w:ascii="Arial" w:hAnsi="Arial" w:cs="Arial"/>
              </w:rPr>
            </w:pPr>
            <w:r w:rsidRPr="003B107F">
              <w:rPr>
                <w:rFonts w:ascii="Arial" w:hAnsi="Arial" w:cs="Arial"/>
              </w:rPr>
              <w:t>TSP</w:t>
            </w:r>
          </w:p>
        </w:tc>
        <w:tc>
          <w:tcPr>
            <w:tcW w:w="2691" w:type="pct"/>
            <w:gridSpan w:val="3"/>
          </w:tcPr>
          <w:p w14:paraId="27DC55C8" w14:textId="77777777" w:rsidR="00C24521" w:rsidRPr="003B107F" w:rsidRDefault="00C24521" w:rsidP="00D93793">
            <w:pPr>
              <w:jc w:val="both"/>
              <w:rPr>
                <w:rFonts w:ascii="Arial" w:hAnsi="Arial" w:cs="Arial"/>
              </w:rPr>
            </w:pPr>
            <w:r w:rsidRPr="003B107F">
              <w:rPr>
                <w:rFonts w:ascii="Arial" w:hAnsi="Arial" w:cs="Arial"/>
              </w:rPr>
              <w:t>30 kg P/ha</w:t>
            </w:r>
            <w:r w:rsidRPr="003B107F">
              <w:rPr>
                <w:rFonts w:ascii="Arial" w:hAnsi="Arial" w:cs="Arial"/>
                <w:vertAlign w:val="superscript"/>
              </w:rPr>
              <w:t>-1</w:t>
            </w:r>
            <w:r w:rsidRPr="003B107F">
              <w:rPr>
                <w:rFonts w:ascii="Arial" w:hAnsi="Arial" w:cs="Arial"/>
              </w:rPr>
              <w:t>, Sole inorganic P</w:t>
            </w:r>
          </w:p>
        </w:tc>
        <w:tc>
          <w:tcPr>
            <w:tcW w:w="782" w:type="pct"/>
          </w:tcPr>
          <w:p w14:paraId="4AD39F30" w14:textId="77777777" w:rsidR="00C24521" w:rsidRPr="003B107F" w:rsidRDefault="00C24521" w:rsidP="00D93793">
            <w:pPr>
              <w:jc w:val="both"/>
              <w:rPr>
                <w:rFonts w:ascii="Arial" w:hAnsi="Arial" w:cs="Arial"/>
              </w:rPr>
            </w:pPr>
            <w:r w:rsidRPr="003B107F">
              <w:rPr>
                <w:rFonts w:ascii="Arial" w:hAnsi="Arial" w:cs="Arial"/>
              </w:rPr>
              <w:t>1:0</w:t>
            </w:r>
          </w:p>
        </w:tc>
      </w:tr>
      <w:tr w:rsidR="00C24521" w:rsidRPr="003B107F" w14:paraId="363B91EF" w14:textId="77777777" w:rsidTr="00DF07D0">
        <w:trPr>
          <w:trHeight w:val="363"/>
        </w:trPr>
        <w:tc>
          <w:tcPr>
            <w:tcW w:w="1527" w:type="pct"/>
          </w:tcPr>
          <w:p w14:paraId="0BC82639" w14:textId="77777777" w:rsidR="00C24521" w:rsidRPr="003B107F" w:rsidRDefault="00C24521" w:rsidP="00D93793">
            <w:pPr>
              <w:jc w:val="both"/>
              <w:rPr>
                <w:rFonts w:ascii="Arial" w:hAnsi="Arial" w:cs="Arial"/>
              </w:rPr>
            </w:pPr>
            <w:r w:rsidRPr="003B107F">
              <w:rPr>
                <w:rFonts w:ascii="Arial" w:hAnsi="Arial" w:cs="Arial"/>
              </w:rPr>
              <w:t>Press Mud (PM)</w:t>
            </w:r>
          </w:p>
        </w:tc>
        <w:tc>
          <w:tcPr>
            <w:tcW w:w="2691" w:type="pct"/>
            <w:gridSpan w:val="3"/>
          </w:tcPr>
          <w:p w14:paraId="186F0E22" w14:textId="77777777" w:rsidR="00C24521" w:rsidRPr="003B107F" w:rsidRDefault="00C24521" w:rsidP="00D93793">
            <w:pPr>
              <w:jc w:val="both"/>
              <w:rPr>
                <w:rFonts w:ascii="Arial" w:hAnsi="Arial" w:cs="Arial"/>
              </w:rPr>
            </w:pPr>
            <w:r w:rsidRPr="003B107F">
              <w:rPr>
                <w:rFonts w:ascii="Arial" w:hAnsi="Arial" w:cs="Arial"/>
              </w:rPr>
              <w:t>30 kg P/ha</w:t>
            </w:r>
            <w:r w:rsidRPr="003B107F">
              <w:rPr>
                <w:rFonts w:ascii="Arial" w:hAnsi="Arial" w:cs="Arial"/>
                <w:vertAlign w:val="superscript"/>
              </w:rPr>
              <w:t>-1</w:t>
            </w:r>
            <w:r w:rsidRPr="003B107F">
              <w:rPr>
                <w:rFonts w:ascii="Arial" w:hAnsi="Arial" w:cs="Arial"/>
              </w:rPr>
              <w:t>, sole organic P</w:t>
            </w:r>
          </w:p>
        </w:tc>
        <w:tc>
          <w:tcPr>
            <w:tcW w:w="782" w:type="pct"/>
          </w:tcPr>
          <w:p w14:paraId="777DF561" w14:textId="77777777" w:rsidR="00C24521" w:rsidRPr="003B107F" w:rsidRDefault="00C24521" w:rsidP="00D93793">
            <w:pPr>
              <w:jc w:val="both"/>
              <w:rPr>
                <w:rFonts w:ascii="Arial" w:hAnsi="Arial" w:cs="Arial"/>
              </w:rPr>
            </w:pPr>
            <w:r w:rsidRPr="003B107F">
              <w:rPr>
                <w:rFonts w:ascii="Arial" w:hAnsi="Arial" w:cs="Arial"/>
              </w:rPr>
              <w:t>0:1</w:t>
            </w:r>
          </w:p>
        </w:tc>
      </w:tr>
      <w:tr w:rsidR="00C24521" w:rsidRPr="003B107F" w14:paraId="14643D22" w14:textId="77777777" w:rsidTr="00DF07D0">
        <w:trPr>
          <w:trHeight w:val="363"/>
        </w:trPr>
        <w:tc>
          <w:tcPr>
            <w:tcW w:w="1527" w:type="pct"/>
          </w:tcPr>
          <w:p w14:paraId="265A55DE" w14:textId="77777777" w:rsidR="00C24521" w:rsidRPr="003B107F" w:rsidRDefault="00C24521" w:rsidP="00D93793">
            <w:pPr>
              <w:jc w:val="both"/>
              <w:rPr>
                <w:rFonts w:ascii="Arial" w:hAnsi="Arial" w:cs="Arial"/>
              </w:rPr>
            </w:pPr>
            <w:r w:rsidRPr="003B107F">
              <w:rPr>
                <w:rFonts w:ascii="Arial" w:hAnsi="Arial" w:cs="Arial"/>
              </w:rPr>
              <w:t>Cattle Manure (CM)</w:t>
            </w:r>
          </w:p>
        </w:tc>
        <w:tc>
          <w:tcPr>
            <w:tcW w:w="2691" w:type="pct"/>
            <w:gridSpan w:val="3"/>
          </w:tcPr>
          <w:p w14:paraId="729CE988" w14:textId="77777777" w:rsidR="00C24521" w:rsidRPr="003B107F" w:rsidRDefault="00C24521" w:rsidP="00D93793">
            <w:pPr>
              <w:jc w:val="both"/>
              <w:rPr>
                <w:rFonts w:ascii="Arial" w:hAnsi="Arial" w:cs="Arial"/>
              </w:rPr>
            </w:pPr>
            <w:r w:rsidRPr="003B107F">
              <w:rPr>
                <w:rFonts w:ascii="Arial" w:hAnsi="Arial" w:cs="Arial"/>
              </w:rPr>
              <w:t>30 kg P/ha, Sole organic P</w:t>
            </w:r>
          </w:p>
        </w:tc>
        <w:tc>
          <w:tcPr>
            <w:tcW w:w="782" w:type="pct"/>
          </w:tcPr>
          <w:p w14:paraId="08B7F5FA" w14:textId="77777777" w:rsidR="00C24521" w:rsidRPr="003B107F" w:rsidRDefault="00C24521" w:rsidP="00D93793">
            <w:pPr>
              <w:jc w:val="both"/>
              <w:rPr>
                <w:rFonts w:ascii="Arial" w:hAnsi="Arial" w:cs="Arial"/>
              </w:rPr>
            </w:pPr>
            <w:r w:rsidRPr="003B107F">
              <w:rPr>
                <w:rFonts w:ascii="Arial" w:hAnsi="Arial" w:cs="Arial"/>
              </w:rPr>
              <w:t>0:1</w:t>
            </w:r>
          </w:p>
        </w:tc>
      </w:tr>
      <w:tr w:rsidR="00C24521" w:rsidRPr="003B107F" w14:paraId="6C8F7590" w14:textId="77777777" w:rsidTr="00DF07D0">
        <w:trPr>
          <w:trHeight w:val="363"/>
        </w:trPr>
        <w:tc>
          <w:tcPr>
            <w:tcW w:w="1527" w:type="pct"/>
          </w:tcPr>
          <w:p w14:paraId="6489F580" w14:textId="77777777" w:rsidR="00C24521" w:rsidRPr="003B107F" w:rsidRDefault="00C24521" w:rsidP="00D93793">
            <w:pPr>
              <w:jc w:val="both"/>
              <w:rPr>
                <w:rFonts w:ascii="Arial" w:hAnsi="Arial" w:cs="Arial"/>
              </w:rPr>
            </w:pPr>
            <w:r w:rsidRPr="003B107F">
              <w:rPr>
                <w:rFonts w:ascii="Arial" w:hAnsi="Arial" w:cs="Arial"/>
              </w:rPr>
              <w:t>TSP 15 + PM 15</w:t>
            </w:r>
          </w:p>
        </w:tc>
        <w:tc>
          <w:tcPr>
            <w:tcW w:w="2691" w:type="pct"/>
            <w:gridSpan w:val="3"/>
          </w:tcPr>
          <w:p w14:paraId="1B9C1987" w14:textId="77777777" w:rsidR="00C24521" w:rsidRPr="003B107F" w:rsidRDefault="00C24521" w:rsidP="00D93793">
            <w:pPr>
              <w:jc w:val="both"/>
              <w:rPr>
                <w:rFonts w:ascii="Arial" w:hAnsi="Arial" w:cs="Arial"/>
              </w:rPr>
            </w:pPr>
            <w:r w:rsidRPr="003B107F">
              <w:rPr>
                <w:rFonts w:ascii="Arial" w:hAnsi="Arial" w:cs="Arial"/>
              </w:rPr>
              <w:t>15 kg P/ha</w:t>
            </w:r>
            <w:r w:rsidRPr="003B107F">
              <w:rPr>
                <w:rFonts w:ascii="Arial" w:hAnsi="Arial" w:cs="Arial"/>
                <w:vertAlign w:val="superscript"/>
              </w:rPr>
              <w:t>-1</w:t>
            </w:r>
            <w:r w:rsidRPr="003B107F">
              <w:rPr>
                <w:rFonts w:ascii="Arial" w:hAnsi="Arial" w:cs="Arial"/>
              </w:rPr>
              <w:t xml:space="preserve"> TSP + 15 kg P/ha PM </w:t>
            </w:r>
          </w:p>
        </w:tc>
        <w:tc>
          <w:tcPr>
            <w:tcW w:w="782" w:type="pct"/>
          </w:tcPr>
          <w:p w14:paraId="4E8C0458" w14:textId="77777777" w:rsidR="00C24521" w:rsidRPr="003B107F" w:rsidRDefault="00C24521" w:rsidP="00D93793">
            <w:pPr>
              <w:jc w:val="both"/>
              <w:rPr>
                <w:rFonts w:ascii="Arial" w:hAnsi="Arial" w:cs="Arial"/>
              </w:rPr>
            </w:pPr>
            <w:r w:rsidRPr="003B107F">
              <w:rPr>
                <w:rFonts w:ascii="Arial" w:hAnsi="Arial" w:cs="Arial"/>
              </w:rPr>
              <w:t>0.5:.0.5</w:t>
            </w:r>
          </w:p>
        </w:tc>
      </w:tr>
      <w:tr w:rsidR="00C24521" w:rsidRPr="003B107F" w14:paraId="2D5BC31B" w14:textId="77777777" w:rsidTr="00DF07D0">
        <w:trPr>
          <w:trHeight w:val="363"/>
        </w:trPr>
        <w:tc>
          <w:tcPr>
            <w:tcW w:w="1527" w:type="pct"/>
          </w:tcPr>
          <w:p w14:paraId="569E0E19" w14:textId="77777777" w:rsidR="00C24521" w:rsidRPr="003B107F" w:rsidRDefault="00C24521" w:rsidP="00D93793">
            <w:pPr>
              <w:jc w:val="both"/>
              <w:rPr>
                <w:rFonts w:ascii="Arial" w:hAnsi="Arial" w:cs="Arial"/>
              </w:rPr>
            </w:pPr>
            <w:r w:rsidRPr="003B107F">
              <w:rPr>
                <w:rFonts w:ascii="Arial" w:hAnsi="Arial" w:cs="Arial"/>
              </w:rPr>
              <w:t>TSP 22.5 + PM 7.5</w:t>
            </w:r>
          </w:p>
        </w:tc>
        <w:tc>
          <w:tcPr>
            <w:tcW w:w="2691" w:type="pct"/>
            <w:gridSpan w:val="3"/>
          </w:tcPr>
          <w:p w14:paraId="088FA76F" w14:textId="77777777" w:rsidR="00C24521" w:rsidRPr="003B107F" w:rsidRDefault="00C24521" w:rsidP="00D93793">
            <w:pPr>
              <w:jc w:val="both"/>
              <w:rPr>
                <w:rFonts w:ascii="Arial" w:hAnsi="Arial" w:cs="Arial"/>
              </w:rPr>
            </w:pPr>
            <w:r w:rsidRPr="003B107F">
              <w:rPr>
                <w:rFonts w:ascii="Arial" w:hAnsi="Arial" w:cs="Arial"/>
              </w:rPr>
              <w:t>22.5 kg P/ha</w:t>
            </w:r>
            <w:r w:rsidRPr="003B107F">
              <w:rPr>
                <w:rFonts w:ascii="Arial" w:hAnsi="Arial" w:cs="Arial"/>
                <w:vertAlign w:val="superscript"/>
              </w:rPr>
              <w:t>-1</w:t>
            </w:r>
            <w:r w:rsidRPr="003B107F">
              <w:rPr>
                <w:rFonts w:ascii="Arial" w:hAnsi="Arial" w:cs="Arial"/>
              </w:rPr>
              <w:t xml:space="preserve"> TSP + 7.5 kg P/ha PM </w:t>
            </w:r>
          </w:p>
        </w:tc>
        <w:tc>
          <w:tcPr>
            <w:tcW w:w="782" w:type="pct"/>
          </w:tcPr>
          <w:p w14:paraId="0A16F258" w14:textId="77777777" w:rsidR="00C24521" w:rsidRPr="003B107F" w:rsidRDefault="00C24521" w:rsidP="00D93793">
            <w:pPr>
              <w:jc w:val="both"/>
              <w:rPr>
                <w:rFonts w:ascii="Arial" w:hAnsi="Arial" w:cs="Arial"/>
              </w:rPr>
            </w:pPr>
            <w:r w:rsidRPr="003B107F">
              <w:rPr>
                <w:rFonts w:ascii="Arial" w:hAnsi="Arial" w:cs="Arial"/>
              </w:rPr>
              <w:t>0.25:0.75</w:t>
            </w:r>
          </w:p>
        </w:tc>
      </w:tr>
      <w:tr w:rsidR="00C24521" w:rsidRPr="003B107F" w14:paraId="1C7BCDD9" w14:textId="77777777" w:rsidTr="00DF07D0">
        <w:trPr>
          <w:trHeight w:val="363"/>
        </w:trPr>
        <w:tc>
          <w:tcPr>
            <w:tcW w:w="1527" w:type="pct"/>
          </w:tcPr>
          <w:p w14:paraId="3458B1EF" w14:textId="77777777" w:rsidR="00C24521" w:rsidRPr="003B107F" w:rsidRDefault="00C24521" w:rsidP="00D93793">
            <w:pPr>
              <w:jc w:val="both"/>
              <w:rPr>
                <w:rFonts w:ascii="Arial" w:hAnsi="Arial" w:cs="Arial"/>
              </w:rPr>
            </w:pPr>
            <w:r w:rsidRPr="003B107F">
              <w:rPr>
                <w:rFonts w:ascii="Arial" w:hAnsi="Arial" w:cs="Arial"/>
              </w:rPr>
              <w:t>TSP 7.5 + PM 22.5</w:t>
            </w:r>
          </w:p>
        </w:tc>
        <w:tc>
          <w:tcPr>
            <w:tcW w:w="2691" w:type="pct"/>
            <w:gridSpan w:val="3"/>
          </w:tcPr>
          <w:p w14:paraId="49AEF078" w14:textId="77777777" w:rsidR="00C24521" w:rsidRPr="003B107F" w:rsidRDefault="00C24521" w:rsidP="00D93793">
            <w:pPr>
              <w:jc w:val="both"/>
              <w:rPr>
                <w:rFonts w:ascii="Arial" w:hAnsi="Arial" w:cs="Arial"/>
              </w:rPr>
            </w:pPr>
            <w:r w:rsidRPr="003B107F">
              <w:rPr>
                <w:rFonts w:ascii="Arial" w:hAnsi="Arial" w:cs="Arial"/>
              </w:rPr>
              <w:t>7.5 kg P/ha</w:t>
            </w:r>
            <w:r w:rsidRPr="003B107F">
              <w:rPr>
                <w:rFonts w:ascii="Arial" w:hAnsi="Arial" w:cs="Arial"/>
                <w:vertAlign w:val="superscript"/>
              </w:rPr>
              <w:t>-1</w:t>
            </w:r>
            <w:r w:rsidRPr="003B107F">
              <w:rPr>
                <w:rFonts w:ascii="Arial" w:hAnsi="Arial" w:cs="Arial"/>
              </w:rPr>
              <w:t xml:space="preserve"> TSP + 22.5 kg P/ha PM </w:t>
            </w:r>
          </w:p>
        </w:tc>
        <w:tc>
          <w:tcPr>
            <w:tcW w:w="782" w:type="pct"/>
          </w:tcPr>
          <w:p w14:paraId="574C12D8" w14:textId="77777777" w:rsidR="00C24521" w:rsidRPr="003B107F" w:rsidRDefault="00C24521" w:rsidP="00D93793">
            <w:pPr>
              <w:jc w:val="both"/>
              <w:rPr>
                <w:rFonts w:ascii="Arial" w:hAnsi="Arial" w:cs="Arial"/>
              </w:rPr>
            </w:pPr>
            <w:r w:rsidRPr="003B107F">
              <w:rPr>
                <w:rFonts w:ascii="Arial" w:hAnsi="Arial" w:cs="Arial"/>
              </w:rPr>
              <w:t>0.75:0.25</w:t>
            </w:r>
          </w:p>
        </w:tc>
      </w:tr>
      <w:tr w:rsidR="00C24521" w:rsidRPr="003B107F" w14:paraId="02AD492C" w14:textId="77777777" w:rsidTr="00DF07D0">
        <w:trPr>
          <w:trHeight w:val="363"/>
        </w:trPr>
        <w:tc>
          <w:tcPr>
            <w:tcW w:w="1527" w:type="pct"/>
          </w:tcPr>
          <w:p w14:paraId="5494CE74" w14:textId="77777777" w:rsidR="00C24521" w:rsidRPr="003B107F" w:rsidRDefault="00C24521" w:rsidP="00D93793">
            <w:pPr>
              <w:jc w:val="both"/>
              <w:rPr>
                <w:rFonts w:ascii="Arial" w:hAnsi="Arial" w:cs="Arial"/>
              </w:rPr>
            </w:pPr>
            <w:r w:rsidRPr="003B107F">
              <w:rPr>
                <w:rFonts w:ascii="Arial" w:hAnsi="Arial" w:cs="Arial"/>
              </w:rPr>
              <w:t>TSP 15 + CM 15</w:t>
            </w:r>
          </w:p>
        </w:tc>
        <w:tc>
          <w:tcPr>
            <w:tcW w:w="2691" w:type="pct"/>
            <w:gridSpan w:val="3"/>
          </w:tcPr>
          <w:p w14:paraId="6BC12310" w14:textId="77777777" w:rsidR="00C24521" w:rsidRPr="003B107F" w:rsidRDefault="00C24521" w:rsidP="00D93793">
            <w:pPr>
              <w:jc w:val="both"/>
              <w:rPr>
                <w:rFonts w:ascii="Arial" w:hAnsi="Arial" w:cs="Arial"/>
              </w:rPr>
            </w:pPr>
            <w:r w:rsidRPr="003B107F">
              <w:rPr>
                <w:rFonts w:ascii="Arial" w:hAnsi="Arial" w:cs="Arial"/>
              </w:rPr>
              <w:t>15 kg P/ha</w:t>
            </w:r>
            <w:r w:rsidRPr="003B107F">
              <w:rPr>
                <w:rFonts w:ascii="Arial" w:hAnsi="Arial" w:cs="Arial"/>
                <w:vertAlign w:val="superscript"/>
              </w:rPr>
              <w:t>-1</w:t>
            </w:r>
            <w:r w:rsidRPr="003B107F">
              <w:rPr>
                <w:rFonts w:ascii="Arial" w:hAnsi="Arial" w:cs="Arial"/>
              </w:rPr>
              <w:t xml:space="preserve"> TSP + 15 kg P/ha CM </w:t>
            </w:r>
          </w:p>
        </w:tc>
        <w:tc>
          <w:tcPr>
            <w:tcW w:w="782" w:type="pct"/>
          </w:tcPr>
          <w:p w14:paraId="6B6AFE5E" w14:textId="77777777" w:rsidR="00C24521" w:rsidRPr="003B107F" w:rsidRDefault="00C24521" w:rsidP="00D93793">
            <w:pPr>
              <w:jc w:val="both"/>
              <w:rPr>
                <w:rFonts w:ascii="Arial" w:hAnsi="Arial" w:cs="Arial"/>
              </w:rPr>
            </w:pPr>
            <w:r w:rsidRPr="003B107F">
              <w:rPr>
                <w:rFonts w:ascii="Arial" w:hAnsi="Arial" w:cs="Arial"/>
              </w:rPr>
              <w:t>0.5:.0.5</w:t>
            </w:r>
          </w:p>
        </w:tc>
      </w:tr>
      <w:tr w:rsidR="00C24521" w:rsidRPr="003B107F" w14:paraId="1E2C5437" w14:textId="77777777" w:rsidTr="00DF07D0">
        <w:trPr>
          <w:trHeight w:val="363"/>
        </w:trPr>
        <w:tc>
          <w:tcPr>
            <w:tcW w:w="1527" w:type="pct"/>
          </w:tcPr>
          <w:p w14:paraId="4CDCDB8D" w14:textId="77777777" w:rsidR="00C24521" w:rsidRPr="003B107F" w:rsidRDefault="00C24521" w:rsidP="00D93793">
            <w:pPr>
              <w:jc w:val="both"/>
              <w:rPr>
                <w:rFonts w:ascii="Arial" w:hAnsi="Arial" w:cs="Arial"/>
              </w:rPr>
            </w:pPr>
            <w:r w:rsidRPr="003B107F">
              <w:rPr>
                <w:rFonts w:ascii="Arial" w:hAnsi="Arial" w:cs="Arial"/>
              </w:rPr>
              <w:t>TSP 22.5 + CM 7.5</w:t>
            </w:r>
          </w:p>
        </w:tc>
        <w:tc>
          <w:tcPr>
            <w:tcW w:w="2691" w:type="pct"/>
            <w:gridSpan w:val="3"/>
          </w:tcPr>
          <w:p w14:paraId="4FDF7D67" w14:textId="77777777" w:rsidR="00C24521" w:rsidRPr="003B107F" w:rsidRDefault="00C24521" w:rsidP="00D93793">
            <w:pPr>
              <w:jc w:val="both"/>
              <w:rPr>
                <w:rFonts w:ascii="Arial" w:hAnsi="Arial" w:cs="Arial"/>
              </w:rPr>
            </w:pPr>
            <w:r w:rsidRPr="003B107F">
              <w:rPr>
                <w:rFonts w:ascii="Arial" w:hAnsi="Arial" w:cs="Arial"/>
              </w:rPr>
              <w:t>22.5 kg P/ha</w:t>
            </w:r>
            <w:r w:rsidRPr="003B107F">
              <w:rPr>
                <w:rFonts w:ascii="Arial" w:hAnsi="Arial" w:cs="Arial"/>
                <w:vertAlign w:val="superscript"/>
              </w:rPr>
              <w:t>-1</w:t>
            </w:r>
            <w:r w:rsidRPr="003B107F">
              <w:rPr>
                <w:rFonts w:ascii="Arial" w:hAnsi="Arial" w:cs="Arial"/>
              </w:rPr>
              <w:t xml:space="preserve"> TSP + 7.5 kg P/ha </w:t>
            </w:r>
          </w:p>
        </w:tc>
        <w:tc>
          <w:tcPr>
            <w:tcW w:w="782" w:type="pct"/>
          </w:tcPr>
          <w:p w14:paraId="4BDAA658" w14:textId="77777777" w:rsidR="00C24521" w:rsidRPr="003B107F" w:rsidRDefault="00C24521" w:rsidP="00D93793">
            <w:pPr>
              <w:jc w:val="both"/>
              <w:rPr>
                <w:rFonts w:ascii="Arial" w:hAnsi="Arial" w:cs="Arial"/>
              </w:rPr>
            </w:pPr>
            <w:r w:rsidRPr="003B107F">
              <w:rPr>
                <w:rFonts w:ascii="Arial" w:hAnsi="Arial" w:cs="Arial"/>
              </w:rPr>
              <w:t>0.75:0.25</w:t>
            </w:r>
          </w:p>
        </w:tc>
      </w:tr>
      <w:tr w:rsidR="00C24521" w:rsidRPr="003B107F" w14:paraId="2513E5FC" w14:textId="77777777" w:rsidTr="00DF07D0">
        <w:trPr>
          <w:trHeight w:val="363"/>
        </w:trPr>
        <w:tc>
          <w:tcPr>
            <w:tcW w:w="1527" w:type="pct"/>
          </w:tcPr>
          <w:p w14:paraId="25A77815" w14:textId="77777777" w:rsidR="00C24521" w:rsidRPr="003B107F" w:rsidRDefault="00C24521" w:rsidP="00D93793">
            <w:pPr>
              <w:jc w:val="both"/>
              <w:rPr>
                <w:rFonts w:ascii="Arial" w:hAnsi="Arial" w:cs="Arial"/>
              </w:rPr>
            </w:pPr>
            <w:r w:rsidRPr="003B107F">
              <w:rPr>
                <w:rFonts w:ascii="Arial" w:hAnsi="Arial" w:cs="Arial"/>
              </w:rPr>
              <w:t>TSP 7.5 + CM 22.5</w:t>
            </w:r>
          </w:p>
        </w:tc>
        <w:tc>
          <w:tcPr>
            <w:tcW w:w="2691" w:type="pct"/>
            <w:gridSpan w:val="3"/>
          </w:tcPr>
          <w:p w14:paraId="24B676A7" w14:textId="77777777" w:rsidR="00C24521" w:rsidRPr="003B107F" w:rsidRDefault="00C24521" w:rsidP="00D93793">
            <w:pPr>
              <w:jc w:val="both"/>
              <w:rPr>
                <w:rFonts w:ascii="Arial" w:hAnsi="Arial" w:cs="Arial"/>
              </w:rPr>
            </w:pPr>
            <w:r w:rsidRPr="003B107F">
              <w:rPr>
                <w:rFonts w:ascii="Arial" w:hAnsi="Arial" w:cs="Arial"/>
              </w:rPr>
              <w:t>7.5 kg P/ha</w:t>
            </w:r>
            <w:r w:rsidRPr="003B107F">
              <w:rPr>
                <w:rFonts w:ascii="Arial" w:hAnsi="Arial" w:cs="Arial"/>
                <w:vertAlign w:val="superscript"/>
              </w:rPr>
              <w:t>-1</w:t>
            </w:r>
            <w:r w:rsidRPr="003B107F">
              <w:rPr>
                <w:rFonts w:ascii="Arial" w:hAnsi="Arial" w:cs="Arial"/>
              </w:rPr>
              <w:t xml:space="preserve"> TSP + 22.5 kg P/ha CM </w:t>
            </w:r>
          </w:p>
        </w:tc>
        <w:tc>
          <w:tcPr>
            <w:tcW w:w="782" w:type="pct"/>
          </w:tcPr>
          <w:p w14:paraId="06F2A0EA" w14:textId="77777777" w:rsidR="00C24521" w:rsidRPr="003B107F" w:rsidRDefault="00C24521" w:rsidP="00D93793">
            <w:pPr>
              <w:jc w:val="both"/>
              <w:rPr>
                <w:rFonts w:ascii="Arial" w:hAnsi="Arial" w:cs="Arial"/>
              </w:rPr>
            </w:pPr>
            <w:r w:rsidRPr="003B107F">
              <w:rPr>
                <w:rFonts w:ascii="Arial" w:hAnsi="Arial" w:cs="Arial"/>
              </w:rPr>
              <w:t>0.25:0.75</w:t>
            </w:r>
          </w:p>
        </w:tc>
      </w:tr>
      <w:tr w:rsidR="00C24521" w:rsidRPr="003B107F" w14:paraId="58908F50" w14:textId="77777777" w:rsidTr="00DF07D0">
        <w:trPr>
          <w:trHeight w:val="363"/>
        </w:trPr>
        <w:tc>
          <w:tcPr>
            <w:tcW w:w="1527" w:type="pct"/>
          </w:tcPr>
          <w:p w14:paraId="076AB823" w14:textId="77777777" w:rsidR="00C24521" w:rsidRPr="003B107F" w:rsidRDefault="00C24521" w:rsidP="00D93793">
            <w:pPr>
              <w:jc w:val="both"/>
              <w:rPr>
                <w:rFonts w:ascii="Arial" w:hAnsi="Arial" w:cs="Arial"/>
              </w:rPr>
            </w:pPr>
            <w:r w:rsidRPr="003B107F">
              <w:rPr>
                <w:rFonts w:ascii="Arial" w:hAnsi="Arial" w:cs="Arial"/>
              </w:rPr>
              <w:t>PM 15 + CM 15</w:t>
            </w:r>
          </w:p>
        </w:tc>
        <w:tc>
          <w:tcPr>
            <w:tcW w:w="2691" w:type="pct"/>
            <w:gridSpan w:val="3"/>
          </w:tcPr>
          <w:p w14:paraId="2426C40C" w14:textId="77777777" w:rsidR="00C24521" w:rsidRPr="003B107F" w:rsidRDefault="00C24521" w:rsidP="00D93793">
            <w:pPr>
              <w:jc w:val="both"/>
              <w:rPr>
                <w:rFonts w:ascii="Arial" w:hAnsi="Arial" w:cs="Arial"/>
              </w:rPr>
            </w:pPr>
            <w:r w:rsidRPr="003B107F">
              <w:rPr>
                <w:rFonts w:ascii="Arial" w:hAnsi="Arial" w:cs="Arial"/>
              </w:rPr>
              <w:t>15 kg P/ha</w:t>
            </w:r>
            <w:r w:rsidRPr="003B107F">
              <w:rPr>
                <w:rFonts w:ascii="Arial" w:hAnsi="Arial" w:cs="Arial"/>
                <w:vertAlign w:val="superscript"/>
              </w:rPr>
              <w:t>-1</w:t>
            </w:r>
            <w:r w:rsidRPr="003B107F">
              <w:rPr>
                <w:rFonts w:ascii="Arial" w:hAnsi="Arial" w:cs="Arial"/>
              </w:rPr>
              <w:t xml:space="preserve"> PM + 15 kg P/ha CM </w:t>
            </w:r>
          </w:p>
        </w:tc>
        <w:tc>
          <w:tcPr>
            <w:tcW w:w="782" w:type="pct"/>
          </w:tcPr>
          <w:p w14:paraId="7E3BD613" w14:textId="77777777" w:rsidR="00C24521" w:rsidRPr="003B107F" w:rsidRDefault="00C24521" w:rsidP="00D93793">
            <w:pPr>
              <w:jc w:val="both"/>
              <w:rPr>
                <w:rFonts w:ascii="Arial" w:hAnsi="Arial" w:cs="Arial"/>
              </w:rPr>
            </w:pPr>
            <w:r w:rsidRPr="003B107F">
              <w:rPr>
                <w:rFonts w:ascii="Arial" w:hAnsi="Arial" w:cs="Arial"/>
              </w:rPr>
              <w:t>0.5:.0.5</w:t>
            </w:r>
          </w:p>
        </w:tc>
      </w:tr>
      <w:tr w:rsidR="00C24521" w:rsidRPr="003B107F" w14:paraId="66005A91" w14:textId="77777777" w:rsidTr="00DF07D0">
        <w:trPr>
          <w:trHeight w:val="363"/>
        </w:trPr>
        <w:tc>
          <w:tcPr>
            <w:tcW w:w="1527" w:type="pct"/>
          </w:tcPr>
          <w:p w14:paraId="3CD6C601" w14:textId="77777777" w:rsidR="00C24521" w:rsidRPr="003B107F" w:rsidRDefault="00C24521" w:rsidP="00D93793">
            <w:pPr>
              <w:jc w:val="both"/>
              <w:rPr>
                <w:rFonts w:ascii="Arial" w:hAnsi="Arial" w:cs="Arial"/>
              </w:rPr>
            </w:pPr>
            <w:r w:rsidRPr="003B107F">
              <w:rPr>
                <w:rFonts w:ascii="Arial" w:hAnsi="Arial" w:cs="Arial"/>
              </w:rPr>
              <w:t>PM 22.5 + CM 7.5</w:t>
            </w:r>
          </w:p>
        </w:tc>
        <w:tc>
          <w:tcPr>
            <w:tcW w:w="2691" w:type="pct"/>
            <w:gridSpan w:val="3"/>
          </w:tcPr>
          <w:p w14:paraId="1676FB51" w14:textId="77777777" w:rsidR="00C24521" w:rsidRPr="003B107F" w:rsidRDefault="00C24521" w:rsidP="00D93793">
            <w:pPr>
              <w:jc w:val="both"/>
              <w:rPr>
                <w:rFonts w:ascii="Arial" w:hAnsi="Arial" w:cs="Arial"/>
              </w:rPr>
            </w:pPr>
            <w:r w:rsidRPr="003B107F">
              <w:rPr>
                <w:rFonts w:ascii="Arial" w:hAnsi="Arial" w:cs="Arial"/>
              </w:rPr>
              <w:t>22.5 kg P/ha</w:t>
            </w:r>
            <w:r w:rsidRPr="003B107F">
              <w:rPr>
                <w:rFonts w:ascii="Arial" w:hAnsi="Arial" w:cs="Arial"/>
                <w:vertAlign w:val="superscript"/>
              </w:rPr>
              <w:t>-1</w:t>
            </w:r>
            <w:r w:rsidRPr="003B107F">
              <w:rPr>
                <w:rFonts w:ascii="Arial" w:hAnsi="Arial" w:cs="Arial"/>
              </w:rPr>
              <w:t xml:space="preserve"> PM + 7.5 kg P/ha CM </w:t>
            </w:r>
          </w:p>
        </w:tc>
        <w:tc>
          <w:tcPr>
            <w:tcW w:w="782" w:type="pct"/>
          </w:tcPr>
          <w:p w14:paraId="6D941BEE" w14:textId="77777777" w:rsidR="00C24521" w:rsidRPr="003B107F" w:rsidRDefault="00C24521" w:rsidP="00D93793">
            <w:pPr>
              <w:jc w:val="both"/>
              <w:rPr>
                <w:rFonts w:ascii="Arial" w:hAnsi="Arial" w:cs="Arial"/>
              </w:rPr>
            </w:pPr>
            <w:r w:rsidRPr="003B107F">
              <w:rPr>
                <w:rFonts w:ascii="Arial" w:hAnsi="Arial" w:cs="Arial"/>
              </w:rPr>
              <w:t>0.75:0.25</w:t>
            </w:r>
          </w:p>
        </w:tc>
      </w:tr>
      <w:tr w:rsidR="00C24521" w:rsidRPr="003B107F" w14:paraId="532DE65A" w14:textId="77777777" w:rsidTr="00DF07D0">
        <w:trPr>
          <w:trHeight w:val="363"/>
        </w:trPr>
        <w:tc>
          <w:tcPr>
            <w:tcW w:w="1527" w:type="pct"/>
          </w:tcPr>
          <w:p w14:paraId="369F561A" w14:textId="77777777" w:rsidR="00C24521" w:rsidRPr="003B107F" w:rsidRDefault="00C24521" w:rsidP="00D93793">
            <w:pPr>
              <w:jc w:val="both"/>
              <w:rPr>
                <w:rFonts w:ascii="Arial" w:hAnsi="Arial" w:cs="Arial"/>
              </w:rPr>
            </w:pPr>
            <w:r w:rsidRPr="003B107F">
              <w:rPr>
                <w:rFonts w:ascii="Arial" w:hAnsi="Arial" w:cs="Arial"/>
              </w:rPr>
              <w:t>PM 7.5 + CM 22.5</w:t>
            </w:r>
          </w:p>
        </w:tc>
        <w:tc>
          <w:tcPr>
            <w:tcW w:w="2691" w:type="pct"/>
            <w:gridSpan w:val="3"/>
          </w:tcPr>
          <w:p w14:paraId="19B6ECBA" w14:textId="77777777" w:rsidR="00C24521" w:rsidRPr="003B107F" w:rsidRDefault="00C24521" w:rsidP="00D93793">
            <w:pPr>
              <w:jc w:val="both"/>
              <w:rPr>
                <w:rFonts w:ascii="Arial" w:hAnsi="Arial" w:cs="Arial"/>
              </w:rPr>
            </w:pPr>
            <w:r w:rsidRPr="003B107F">
              <w:rPr>
                <w:rFonts w:ascii="Arial" w:hAnsi="Arial" w:cs="Arial"/>
              </w:rPr>
              <w:t>7.5 kg P/ha</w:t>
            </w:r>
            <w:r w:rsidRPr="003B107F">
              <w:rPr>
                <w:rFonts w:ascii="Arial" w:hAnsi="Arial" w:cs="Arial"/>
                <w:vertAlign w:val="superscript"/>
              </w:rPr>
              <w:t>-1</w:t>
            </w:r>
            <w:r w:rsidRPr="003B107F">
              <w:rPr>
                <w:rFonts w:ascii="Arial" w:hAnsi="Arial" w:cs="Arial"/>
              </w:rPr>
              <w:t xml:space="preserve"> PM + 22.5 kg P/ha CM </w:t>
            </w:r>
          </w:p>
        </w:tc>
        <w:tc>
          <w:tcPr>
            <w:tcW w:w="782" w:type="pct"/>
          </w:tcPr>
          <w:p w14:paraId="19A467C6" w14:textId="77777777" w:rsidR="00C24521" w:rsidRPr="003B107F" w:rsidRDefault="00C24521" w:rsidP="00D93793">
            <w:pPr>
              <w:jc w:val="both"/>
              <w:rPr>
                <w:rFonts w:ascii="Arial" w:hAnsi="Arial" w:cs="Arial"/>
              </w:rPr>
            </w:pPr>
            <w:r w:rsidRPr="003B107F">
              <w:rPr>
                <w:rFonts w:ascii="Arial" w:hAnsi="Arial" w:cs="Arial"/>
              </w:rPr>
              <w:t>0.25:0.75</w:t>
            </w:r>
          </w:p>
        </w:tc>
      </w:tr>
      <w:tr w:rsidR="00C24521" w:rsidRPr="003B107F" w14:paraId="5E80323D" w14:textId="77777777" w:rsidTr="00DF07D0">
        <w:trPr>
          <w:trHeight w:val="363"/>
        </w:trPr>
        <w:tc>
          <w:tcPr>
            <w:tcW w:w="1527" w:type="pct"/>
          </w:tcPr>
          <w:p w14:paraId="22EAF937" w14:textId="77777777" w:rsidR="00C24521" w:rsidRPr="003B107F" w:rsidRDefault="00C24521" w:rsidP="00D93793">
            <w:pPr>
              <w:jc w:val="both"/>
              <w:rPr>
                <w:rFonts w:ascii="Arial" w:hAnsi="Arial" w:cs="Arial"/>
              </w:rPr>
            </w:pPr>
            <w:r w:rsidRPr="003B107F">
              <w:rPr>
                <w:rFonts w:ascii="Arial" w:hAnsi="Arial" w:cs="Arial"/>
              </w:rPr>
              <w:t>TSP 10 + PM 10 + CM 10</w:t>
            </w:r>
          </w:p>
        </w:tc>
        <w:tc>
          <w:tcPr>
            <w:tcW w:w="2691" w:type="pct"/>
            <w:gridSpan w:val="3"/>
          </w:tcPr>
          <w:p w14:paraId="2B6789C0" w14:textId="77777777" w:rsidR="00C24521" w:rsidRPr="003B107F" w:rsidRDefault="00C24521" w:rsidP="00D93793">
            <w:pPr>
              <w:jc w:val="both"/>
              <w:rPr>
                <w:rFonts w:ascii="Arial" w:hAnsi="Arial" w:cs="Arial"/>
              </w:rPr>
            </w:pPr>
            <w:r w:rsidRPr="003B107F">
              <w:rPr>
                <w:rFonts w:ascii="Arial" w:hAnsi="Arial" w:cs="Arial"/>
              </w:rPr>
              <w:t>10 kg P/ha</w:t>
            </w:r>
            <w:r w:rsidRPr="003B107F">
              <w:rPr>
                <w:rFonts w:ascii="Arial" w:hAnsi="Arial" w:cs="Arial"/>
                <w:vertAlign w:val="superscript"/>
              </w:rPr>
              <w:t>-1</w:t>
            </w:r>
            <w:r w:rsidRPr="003B107F">
              <w:rPr>
                <w:rFonts w:ascii="Arial" w:hAnsi="Arial" w:cs="Arial"/>
              </w:rPr>
              <w:t xml:space="preserve"> TSP + 10 kg P/ha PM + 10 kg P/ha CM </w:t>
            </w:r>
          </w:p>
        </w:tc>
        <w:tc>
          <w:tcPr>
            <w:tcW w:w="782" w:type="pct"/>
          </w:tcPr>
          <w:p w14:paraId="3E1C4B44" w14:textId="77777777" w:rsidR="00C24521" w:rsidRPr="003B107F" w:rsidRDefault="00C24521" w:rsidP="00D93793">
            <w:pPr>
              <w:jc w:val="both"/>
              <w:rPr>
                <w:rFonts w:ascii="Arial" w:hAnsi="Arial" w:cs="Arial"/>
              </w:rPr>
            </w:pPr>
            <w:r w:rsidRPr="003B107F">
              <w:rPr>
                <w:rFonts w:ascii="Arial" w:hAnsi="Arial" w:cs="Arial"/>
              </w:rPr>
              <w:t>0.33:0.33:0.33</w:t>
            </w:r>
          </w:p>
        </w:tc>
      </w:tr>
    </w:tbl>
    <w:p w14:paraId="77143363" w14:textId="77777777" w:rsidR="004951A4" w:rsidRDefault="004951A4" w:rsidP="004951A4">
      <w:pPr>
        <w:pStyle w:val="Body"/>
        <w:spacing w:after="0"/>
        <w:rPr>
          <w:rFonts w:ascii="Arial" w:hAnsi="Arial" w:cs="Arial"/>
        </w:rPr>
      </w:pPr>
    </w:p>
    <w:p w14:paraId="5D044603" w14:textId="77777777" w:rsidR="00C24521" w:rsidRPr="00E20ABF" w:rsidRDefault="0078031B" w:rsidP="00C24521">
      <w:pPr>
        <w:pStyle w:val="Body"/>
        <w:rPr>
          <w:rFonts w:ascii="Arial" w:hAnsi="Arial" w:cs="Arial"/>
          <w:b/>
          <w:sz w:val="22"/>
        </w:rPr>
      </w:pPr>
      <w:r>
        <w:rPr>
          <w:rFonts w:ascii="Arial" w:hAnsi="Arial" w:cs="Arial"/>
          <w:b/>
          <w:sz w:val="22"/>
        </w:rPr>
        <w:t xml:space="preserve">2.4 </w:t>
      </w:r>
      <w:r w:rsidR="00C24521" w:rsidRPr="0078031B">
        <w:rPr>
          <w:rFonts w:ascii="Arial" w:hAnsi="Arial" w:cs="Arial"/>
          <w:b/>
          <w:sz w:val="22"/>
        </w:rPr>
        <w:t>Data collection</w:t>
      </w:r>
      <w:r>
        <w:rPr>
          <w:rFonts w:ascii="Arial" w:hAnsi="Arial" w:cs="Arial"/>
          <w:b/>
          <w:sz w:val="22"/>
        </w:rPr>
        <w:t xml:space="preserve"> and </w:t>
      </w:r>
      <w:r w:rsidRPr="00E20ABF">
        <w:rPr>
          <w:rFonts w:ascii="Arial" w:hAnsi="Arial" w:cs="Arial"/>
          <w:b/>
          <w:sz w:val="22"/>
        </w:rPr>
        <w:t>Analysis</w:t>
      </w:r>
    </w:p>
    <w:p w14:paraId="07FED469" w14:textId="77777777" w:rsidR="00C24521" w:rsidRPr="00E20ABF" w:rsidRDefault="0078031B" w:rsidP="00C24521">
      <w:pPr>
        <w:pStyle w:val="Body"/>
        <w:rPr>
          <w:rFonts w:ascii="Arial" w:hAnsi="Arial" w:cs="Arial"/>
          <w:b/>
          <w:u w:val="single"/>
        </w:rPr>
      </w:pPr>
      <w:r w:rsidRPr="00E20ABF">
        <w:rPr>
          <w:rFonts w:ascii="Arial" w:hAnsi="Arial" w:cs="Arial"/>
          <w:b/>
          <w:u w:val="single"/>
        </w:rPr>
        <w:t xml:space="preserve">2.4.1 </w:t>
      </w:r>
      <w:r w:rsidR="00C24521" w:rsidRPr="00E20ABF">
        <w:rPr>
          <w:rFonts w:ascii="Arial" w:hAnsi="Arial" w:cs="Arial"/>
          <w:b/>
          <w:u w:val="single"/>
        </w:rPr>
        <w:t xml:space="preserve">Forage yield </w:t>
      </w:r>
    </w:p>
    <w:p w14:paraId="56276229" w14:textId="77777777" w:rsidR="00C24521" w:rsidRPr="00C24521" w:rsidRDefault="00C24521" w:rsidP="00C24521">
      <w:pPr>
        <w:pStyle w:val="Body"/>
        <w:rPr>
          <w:rFonts w:ascii="Arial" w:hAnsi="Arial" w:cs="Arial"/>
        </w:rPr>
      </w:pPr>
      <w:r w:rsidRPr="00C24521">
        <w:rPr>
          <w:rFonts w:ascii="Arial" w:hAnsi="Arial" w:cs="Arial"/>
        </w:rPr>
        <w:t xml:space="preserve">Sampling and determination of forage yield followed the protocols described by Katoch (2023). Nine randomly selected plants from the four </w:t>
      </w:r>
      <w:proofErr w:type="spellStart"/>
      <w:r w:rsidRPr="00C24521">
        <w:rPr>
          <w:rFonts w:ascii="Arial" w:hAnsi="Arial" w:cs="Arial"/>
        </w:rPr>
        <w:t>centre</w:t>
      </w:r>
      <w:proofErr w:type="spellEnd"/>
      <w:r w:rsidRPr="00C24521">
        <w:rPr>
          <w:rFonts w:ascii="Arial" w:hAnsi="Arial" w:cs="Arial"/>
        </w:rPr>
        <w:t xml:space="preserve"> rows of each plot were harvested at the milk stage (R3-kernels with milky fluid). The weight of fresh forage biomass was obtained, then chopped into small pieces and oven-dried at 65°C to a constant weight for the dry weight. </w:t>
      </w:r>
    </w:p>
    <w:p w14:paraId="3FEDAA91" w14:textId="77777777" w:rsidR="00C24521" w:rsidRPr="0078031B" w:rsidRDefault="0078031B" w:rsidP="00C24521">
      <w:pPr>
        <w:pStyle w:val="Body"/>
        <w:rPr>
          <w:rFonts w:ascii="Arial" w:hAnsi="Arial" w:cs="Arial"/>
          <w:b/>
          <w:u w:val="single"/>
        </w:rPr>
      </w:pPr>
      <w:r w:rsidRPr="0078031B">
        <w:rPr>
          <w:rFonts w:ascii="Arial" w:hAnsi="Arial" w:cs="Arial"/>
          <w:b/>
          <w:u w:val="single"/>
        </w:rPr>
        <w:t xml:space="preserve">2.4.2 </w:t>
      </w:r>
      <w:r w:rsidR="00C24521" w:rsidRPr="0078031B">
        <w:rPr>
          <w:rFonts w:ascii="Arial" w:hAnsi="Arial" w:cs="Arial"/>
          <w:b/>
          <w:u w:val="single"/>
        </w:rPr>
        <w:t xml:space="preserve">Grain yield </w:t>
      </w:r>
    </w:p>
    <w:p w14:paraId="1BB55731" w14:textId="77777777" w:rsidR="004A24DD" w:rsidRDefault="00C24521" w:rsidP="004A24DD">
      <w:pPr>
        <w:pStyle w:val="Body"/>
      </w:pPr>
      <w:r w:rsidRPr="00C24521">
        <w:rPr>
          <w:rFonts w:ascii="Arial" w:hAnsi="Arial" w:cs="Arial"/>
        </w:rPr>
        <w:lastRenderedPageBreak/>
        <w:t>Cobs were harvested at physiological maturity from four inner rows at an effective plot area of 18 m². The total fresh weight of the cobs was recorded, and a sub-sample of nine cobs was then randomly taken from each plot, dried, weighed, and shelled to estimate grain yield</w:t>
      </w:r>
      <w:r w:rsidR="004A24DD" w:rsidRPr="004A24DD">
        <w:t xml:space="preserve"> </w:t>
      </w:r>
    </w:p>
    <w:p w14:paraId="16DEB677" w14:textId="77777777" w:rsidR="004A24DD" w:rsidRPr="00E11C16" w:rsidRDefault="00E11C16" w:rsidP="004A24DD">
      <w:pPr>
        <w:pStyle w:val="Body"/>
        <w:rPr>
          <w:rFonts w:ascii="Arial" w:hAnsi="Arial" w:cs="Arial"/>
          <w:b/>
          <w:u w:val="single"/>
        </w:rPr>
      </w:pPr>
      <w:r>
        <w:rPr>
          <w:rFonts w:ascii="Arial" w:hAnsi="Arial" w:cs="Arial"/>
          <w:b/>
          <w:u w:val="single"/>
        </w:rPr>
        <w:t xml:space="preserve">2.4.3 </w:t>
      </w:r>
      <w:r w:rsidR="004A24DD" w:rsidRPr="00E11C16">
        <w:rPr>
          <w:rFonts w:ascii="Arial" w:hAnsi="Arial" w:cs="Arial"/>
          <w:b/>
          <w:u w:val="single"/>
        </w:rPr>
        <w:t>Plant tissue analysis</w:t>
      </w:r>
    </w:p>
    <w:p w14:paraId="790AA787" w14:textId="77777777" w:rsidR="004A24DD" w:rsidRPr="004A24DD" w:rsidRDefault="004A24DD" w:rsidP="004A24DD">
      <w:pPr>
        <w:pStyle w:val="Body"/>
        <w:rPr>
          <w:rFonts w:ascii="Arial" w:hAnsi="Arial" w:cs="Arial"/>
        </w:rPr>
      </w:pPr>
      <w:r w:rsidRPr="004A24DD">
        <w:rPr>
          <w:rFonts w:ascii="Arial" w:hAnsi="Arial" w:cs="Arial"/>
        </w:rPr>
        <w:t xml:space="preserve">To determine both forage and grain quality, dried samples of forage and grain were ground separately to pass through a 0.25 mm sieve, followed by N and P content analysis using the principles of oxidation and digestion as described by </w:t>
      </w:r>
      <w:proofErr w:type="spellStart"/>
      <w:r w:rsidRPr="004A24DD">
        <w:rPr>
          <w:rFonts w:ascii="Arial" w:hAnsi="Arial" w:cs="Arial"/>
        </w:rPr>
        <w:t>Okalebo</w:t>
      </w:r>
      <w:proofErr w:type="spellEnd"/>
      <w:r w:rsidRPr="004A24DD">
        <w:rPr>
          <w:rFonts w:ascii="Arial" w:hAnsi="Arial" w:cs="Arial"/>
        </w:rPr>
        <w:t xml:space="preserve"> et al. (2002). The tissue samples were digested at 360 °C for 2 hours using a block digester </w:t>
      </w:r>
      <w:r w:rsidR="00F241C2">
        <w:rPr>
          <w:rFonts w:ascii="Arial" w:hAnsi="Arial" w:cs="Arial"/>
        </w:rPr>
        <w:t>in</w:t>
      </w:r>
      <w:r w:rsidRPr="004A24DD">
        <w:rPr>
          <w:rFonts w:ascii="Arial" w:hAnsi="Arial" w:cs="Arial"/>
        </w:rPr>
        <w:t xml:space="preserve"> concentrated </w:t>
      </w:r>
      <w:proofErr w:type="spellStart"/>
      <w:r w:rsidRPr="004A24DD">
        <w:rPr>
          <w:rFonts w:ascii="Arial" w:hAnsi="Arial" w:cs="Arial"/>
        </w:rPr>
        <w:t>sulphuric</w:t>
      </w:r>
      <w:proofErr w:type="spellEnd"/>
      <w:r w:rsidRPr="004A24DD">
        <w:rPr>
          <w:rFonts w:ascii="Arial" w:hAnsi="Arial" w:cs="Arial"/>
        </w:rPr>
        <w:t xml:space="preserve"> acid in the presence of lithium sulfate, selenium powder and hydrogen peroxide. This was followed by a colorimetric determination using a UV spectrophotometer at wavelengths of 650 nm and 880 nm for total N and P contents, respectively.</w:t>
      </w:r>
    </w:p>
    <w:p w14:paraId="28C9DE01" w14:textId="77777777" w:rsidR="00C24521" w:rsidRDefault="004A24DD" w:rsidP="004A24DD">
      <w:pPr>
        <w:pStyle w:val="Body"/>
        <w:rPr>
          <w:rFonts w:ascii="Arial" w:hAnsi="Arial" w:cs="Arial"/>
        </w:rPr>
      </w:pPr>
      <w:r w:rsidRPr="004A24DD">
        <w:rPr>
          <w:rFonts w:ascii="Arial" w:hAnsi="Arial" w:cs="Arial"/>
        </w:rPr>
        <w:t>The tissue P and N contents were then used to calculate grain and forage uptake, as illustrated in equations 1 to 5</w:t>
      </w:r>
      <w:r w:rsidR="00C24521" w:rsidRPr="00C24521">
        <w:rPr>
          <w:rFonts w:ascii="Arial" w:hAnsi="Arial" w:cs="Arial"/>
        </w:rPr>
        <w:t xml:space="preserve">. </w:t>
      </w:r>
    </w:p>
    <w:p w14:paraId="63569EDC" w14:textId="77777777" w:rsidR="00997DAF" w:rsidRPr="00F45F9D" w:rsidRDefault="00997DAF" w:rsidP="00997DAF">
      <w:pPr>
        <w:spacing w:line="360" w:lineRule="auto"/>
        <w:jc w:val="center"/>
        <w:rPr>
          <w:rFonts w:ascii="Arial" w:hAnsi="Arial" w:cs="Arial"/>
          <w:color w:val="000000" w:themeColor="text1"/>
        </w:rPr>
      </w:pPr>
      <m:oMath>
        <m:r>
          <m:rPr>
            <m:sty m:val="bi"/>
          </m:rPr>
          <w:rPr>
            <w:rFonts w:ascii="Cambria Math" w:hAnsi="Cambria Math" w:cs="Arial"/>
          </w:rPr>
          <m:t>GNU=Y ×N (%)</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(1)</w:t>
      </w:r>
    </w:p>
    <w:p w14:paraId="0D19373D" w14:textId="77777777" w:rsidR="00997DAF" w:rsidRPr="00F45F9D" w:rsidRDefault="00997DAF" w:rsidP="00997DAF">
      <w:pPr>
        <w:spacing w:line="360" w:lineRule="auto"/>
        <w:jc w:val="center"/>
        <w:rPr>
          <w:rFonts w:ascii="Arial" w:eastAsiaTheme="minorEastAsia" w:hAnsi="Arial" w:cs="Arial"/>
          <w:b/>
        </w:rPr>
      </w:pPr>
      <m:oMath>
        <m:r>
          <m:rPr>
            <m:sty m:val="bi"/>
          </m:rPr>
          <w:rPr>
            <w:rFonts w:ascii="Cambria Math" w:hAnsi="Cambria Math" w:cs="Arial"/>
          </w:rPr>
          <m:t>FNU=DM (kg) ×N(%)</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(2)</w:t>
      </w:r>
    </w:p>
    <w:p w14:paraId="1B68E66B" w14:textId="77777777" w:rsidR="00997DAF" w:rsidRPr="00F45F9D" w:rsidRDefault="00997DAF" w:rsidP="00997DAF">
      <w:pPr>
        <w:spacing w:line="360" w:lineRule="auto"/>
        <w:jc w:val="center"/>
        <w:rPr>
          <w:rFonts w:ascii="Arial" w:eastAsiaTheme="minorEastAsia" w:hAnsi="Arial" w:cs="Arial"/>
          <w:b/>
        </w:rPr>
      </w:pPr>
      <m:oMath>
        <m:r>
          <m:rPr>
            <m:sty m:val="bi"/>
          </m:rPr>
          <w:rPr>
            <w:rFonts w:ascii="Cambria Math" w:hAnsi="Cambria Math" w:cs="Arial"/>
          </w:rPr>
          <m:t>GPU=Y ×P (%)</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(3)</w:t>
      </w:r>
    </w:p>
    <w:p w14:paraId="225C66BF" w14:textId="77777777" w:rsidR="00997DAF" w:rsidRPr="00F45F9D" w:rsidRDefault="00997DAF" w:rsidP="00997DAF">
      <w:pPr>
        <w:spacing w:line="360" w:lineRule="auto"/>
        <w:jc w:val="center"/>
        <w:rPr>
          <w:rFonts w:ascii="Arial" w:eastAsiaTheme="minorEastAsia" w:hAnsi="Arial" w:cs="Arial"/>
          <w:b/>
        </w:rPr>
      </w:pPr>
      <m:oMath>
        <m:r>
          <m:rPr>
            <m:sty m:val="bi"/>
          </m:rPr>
          <w:rPr>
            <w:rFonts w:ascii="Cambria Math" w:hAnsi="Cambria Math" w:cs="Arial"/>
          </w:rPr>
          <m:t>FPU=DM (kg) ×P(%)</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(4)</w:t>
      </w:r>
    </w:p>
    <w:p w14:paraId="4DDE78FD" w14:textId="77777777" w:rsidR="00997DAF" w:rsidRPr="00F45F9D" w:rsidRDefault="00997DAF" w:rsidP="00F45F9D">
      <w:pPr>
        <w:spacing w:after="120" w:line="360" w:lineRule="auto"/>
        <w:jc w:val="center"/>
        <w:rPr>
          <w:rFonts w:ascii="Arial" w:eastAsiaTheme="minorEastAsia" w:hAnsi="Arial" w:cs="Arial"/>
          <w:b/>
        </w:rPr>
      </w:pPr>
      <m:oMath>
        <m:r>
          <m:rPr>
            <m:sty m:val="bi"/>
          </m:rPr>
          <w:rPr>
            <w:rFonts w:ascii="Cambria Math" w:hAnsi="Cambria Math" w:cs="Arial"/>
          </w:rPr>
          <m:t>TU=GU+FU</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00F45F9D">
        <w:rPr>
          <w:rFonts w:ascii="Arial" w:eastAsiaTheme="minorEastAsia" w:hAnsi="Arial" w:cs="Arial"/>
          <w:b/>
        </w:rPr>
        <w:tab/>
      </w:r>
      <w:r w:rsidRPr="00F45F9D">
        <w:rPr>
          <w:rFonts w:ascii="Arial" w:eastAsiaTheme="minorEastAsia" w:hAnsi="Arial" w:cs="Arial"/>
          <w:b/>
        </w:rPr>
        <w:t>(5)</w:t>
      </w:r>
    </w:p>
    <w:p w14:paraId="6AD46650" w14:textId="77777777" w:rsidR="00997DAF" w:rsidRPr="00F45F9D" w:rsidRDefault="00997DAF" w:rsidP="00F45F9D">
      <w:pPr>
        <w:pStyle w:val="Body"/>
        <w:rPr>
          <w:rFonts w:ascii="Arial" w:hAnsi="Arial" w:cs="Arial"/>
        </w:rPr>
      </w:pPr>
      <w:r w:rsidRPr="00F45F9D">
        <w:rPr>
          <w:rFonts w:ascii="Arial" w:hAnsi="Arial" w:cs="Arial"/>
        </w:rPr>
        <w:t>Where, GNU = Grain N uptake (kg ha-1), Y = Grain yield (kg ha-1), N = Nitrogen content (%), FNU = Forage plant N uptake (kg ha-1), GPU = Grain P uptake, P = Phosphorus content (%), FPU = Forage P uptake (kg ha-1), TU = Total nutrient uptake, N or P.</w:t>
      </w:r>
    </w:p>
    <w:p w14:paraId="7165F42F" w14:textId="77777777" w:rsidR="007F75D9" w:rsidRDefault="008E25E1" w:rsidP="008E25E1">
      <w:pPr>
        <w:pStyle w:val="Body"/>
        <w:rPr>
          <w:rFonts w:ascii="Arial" w:hAnsi="Arial" w:cs="Arial"/>
        </w:rPr>
      </w:pPr>
      <w:r w:rsidRPr="008E25E1">
        <w:rPr>
          <w:rFonts w:ascii="Arial" w:hAnsi="Arial" w:cs="Arial"/>
        </w:rPr>
        <w:t>The nutrient use efficiency indices were calculated according to equations 6 and 7</w:t>
      </w:r>
      <w:r w:rsidR="00221425">
        <w:rPr>
          <w:rFonts w:ascii="Arial" w:hAnsi="Arial" w:cs="Arial"/>
        </w:rPr>
        <w:t xml:space="preserve">. </w:t>
      </w:r>
      <w:r w:rsidRPr="008E25E1">
        <w:rPr>
          <w:rFonts w:ascii="Arial" w:hAnsi="Arial" w:cs="Arial"/>
        </w:rPr>
        <w:t>Th</w:t>
      </w:r>
      <w:r w:rsidR="00895811">
        <w:rPr>
          <w:rFonts w:ascii="Arial" w:hAnsi="Arial" w:cs="Arial"/>
        </w:rPr>
        <w:t>e agronomic efficiency (AE)</w:t>
      </w:r>
      <w:r w:rsidRPr="008E25E1">
        <w:rPr>
          <w:rFonts w:ascii="Arial" w:hAnsi="Arial" w:cs="Arial"/>
        </w:rPr>
        <w:t xml:space="preserve"> is the relative yield (grain) increase per unit of N applied</w:t>
      </w:r>
    </w:p>
    <w:p w14:paraId="6F55A948" w14:textId="77777777" w:rsidR="008E25E1" w:rsidRPr="00646C18" w:rsidRDefault="008E25E1" w:rsidP="00E20ABF">
      <w:pPr>
        <w:spacing w:line="360" w:lineRule="auto"/>
        <w:jc w:val="center"/>
        <w:rPr>
          <w:rFonts w:ascii="Times New Roman" w:eastAsiaTheme="minorEastAsia" w:hAnsi="Times New Roman"/>
          <w:b/>
          <w:sz w:val="24"/>
        </w:rPr>
      </w:pPr>
      <m:oMath>
        <m:r>
          <m:rPr>
            <m:sty m:val="bi"/>
          </m:rPr>
          <w:rPr>
            <w:rFonts w:ascii="Cambria Math" w:hAnsi="Cambria Math"/>
            <w:sz w:val="24"/>
          </w:rPr>
          <m:t xml:space="preserve">AE= </m:t>
        </m:r>
        <m:f>
          <m:fPr>
            <m:ctrlPr>
              <w:rPr>
                <w:rFonts w:ascii="Cambria Math" w:hAnsi="Cambria Math"/>
                <w:b/>
                <w:i/>
                <w:sz w:val="24"/>
              </w:rPr>
            </m:ctrlPr>
          </m:fPr>
          <m:num>
            <m:sSub>
              <m:sSubPr>
                <m:ctrlPr>
                  <w:rPr>
                    <w:rFonts w:ascii="Cambria Math" w:hAnsi="Cambria Math"/>
                    <w:b/>
                    <w:i/>
                    <w:sz w:val="24"/>
                  </w:rPr>
                </m:ctrlPr>
              </m:sSubPr>
              <m:e>
                <m:r>
                  <m:rPr>
                    <m:sty m:val="bi"/>
                  </m:rPr>
                  <w:rPr>
                    <w:rFonts w:ascii="Cambria Math" w:hAnsi="Cambria Math"/>
                    <w:sz w:val="24"/>
                  </w:rPr>
                  <m:t>Y</m:t>
                </m:r>
              </m:e>
              <m:sub>
                <m:r>
                  <m:rPr>
                    <m:sty m:val="bi"/>
                  </m:rPr>
                  <w:rPr>
                    <w:rFonts w:ascii="Cambria Math" w:hAnsi="Cambria Math"/>
                    <w:sz w:val="24"/>
                  </w:rPr>
                  <m:t>N</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Y</m:t>
                </m:r>
              </m:e>
              <m:sub>
                <m:r>
                  <m:rPr>
                    <m:sty m:val="bi"/>
                  </m:rPr>
                  <w:rPr>
                    <w:rFonts w:ascii="Cambria Math" w:hAnsi="Cambria Math"/>
                    <w:sz w:val="24"/>
                  </w:rPr>
                  <m:t>O</m:t>
                </m:r>
              </m:sub>
            </m:sSub>
            <m:r>
              <m:rPr>
                <m:sty m:val="bi"/>
              </m:rPr>
              <w:rPr>
                <w:rFonts w:ascii="Cambria Math" w:hAnsi="Cambria Math"/>
                <w:sz w:val="24"/>
              </w:rPr>
              <m:t xml:space="preserve"> </m:t>
            </m:r>
          </m:num>
          <m:den>
            <m:r>
              <m:rPr>
                <m:sty m:val="bi"/>
              </m:rPr>
              <w:rPr>
                <w:rFonts w:ascii="Cambria Math" w:hAnsi="Cambria Math"/>
                <w:sz w:val="24"/>
              </w:rPr>
              <m:t xml:space="preserve"> </m:t>
            </m:r>
            <m:sSub>
              <m:sSubPr>
                <m:ctrlPr>
                  <w:rPr>
                    <w:rFonts w:ascii="Cambria Math" w:hAnsi="Cambria Math"/>
                    <w:b/>
                    <w:i/>
                    <w:sz w:val="24"/>
                  </w:rPr>
                </m:ctrlPr>
              </m:sSubPr>
              <m:e>
                <m:r>
                  <m:rPr>
                    <m:sty m:val="bi"/>
                  </m:rPr>
                  <w:rPr>
                    <w:rFonts w:ascii="Cambria Math" w:hAnsi="Cambria Math"/>
                    <w:sz w:val="24"/>
                  </w:rPr>
                  <m:t xml:space="preserve">N </m:t>
                </m:r>
              </m:e>
              <m:sub>
                <m:r>
                  <m:rPr>
                    <m:sty m:val="bi"/>
                  </m:rPr>
                  <w:rPr>
                    <w:rFonts w:ascii="Cambria Math" w:hAnsi="Cambria Math"/>
                    <w:sz w:val="24"/>
                  </w:rPr>
                  <m:t>app</m:t>
                </m:r>
              </m:sub>
            </m:sSub>
          </m:den>
        </m:f>
      </m:oMath>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t>(</w:t>
      </w:r>
      <w:r w:rsidR="006C7142">
        <w:rPr>
          <w:rFonts w:ascii="Times New Roman" w:eastAsiaTheme="minorEastAsia" w:hAnsi="Times New Roman"/>
          <w:b/>
          <w:sz w:val="24"/>
        </w:rPr>
        <w:t>6</w:t>
      </w:r>
      <w:r>
        <w:rPr>
          <w:rFonts w:ascii="Times New Roman" w:eastAsiaTheme="minorEastAsia" w:hAnsi="Times New Roman"/>
          <w:b/>
          <w:sz w:val="24"/>
        </w:rPr>
        <w:t>)</w:t>
      </w:r>
    </w:p>
    <w:p w14:paraId="444C12E3" w14:textId="77777777" w:rsidR="008E25E1" w:rsidRDefault="008E25E1" w:rsidP="008E25E1">
      <w:pPr>
        <w:pStyle w:val="Body"/>
        <w:rPr>
          <w:rFonts w:ascii="Arial" w:hAnsi="Arial" w:cs="Arial"/>
        </w:rPr>
      </w:pPr>
      <w:r w:rsidRPr="008E25E1">
        <w:rPr>
          <w:rFonts w:ascii="Arial" w:hAnsi="Arial" w:cs="Arial"/>
        </w:rPr>
        <w:t>Th</w:t>
      </w:r>
      <w:r w:rsidR="00895811">
        <w:rPr>
          <w:rFonts w:ascii="Arial" w:hAnsi="Arial" w:cs="Arial"/>
        </w:rPr>
        <w:t>e recovery efficiency (RE)</w:t>
      </w:r>
      <w:r w:rsidRPr="008E25E1">
        <w:rPr>
          <w:rFonts w:ascii="Arial" w:hAnsi="Arial" w:cs="Arial"/>
        </w:rPr>
        <w:t xml:space="preserve"> is the relative increase in N uptake by the plant (grain + forage) per unit of N applied.</w:t>
      </w:r>
    </w:p>
    <w:p w14:paraId="357D5F50" w14:textId="77777777" w:rsidR="008E25E1" w:rsidRDefault="008E25E1" w:rsidP="00E20ABF">
      <w:pPr>
        <w:spacing w:line="360" w:lineRule="auto"/>
        <w:jc w:val="center"/>
        <w:rPr>
          <w:rFonts w:ascii="Times New Roman" w:eastAsiaTheme="minorEastAsia" w:hAnsi="Times New Roman"/>
          <w:b/>
          <w:sz w:val="24"/>
        </w:rPr>
      </w:pPr>
      <m:oMath>
        <m:r>
          <m:rPr>
            <m:sty m:val="b"/>
          </m:rPr>
          <w:rPr>
            <w:rFonts w:ascii="Cambria Math" w:hAnsi="Cambria Math"/>
            <w:sz w:val="24"/>
          </w:rPr>
          <m:t>RE=</m:t>
        </m:r>
        <m:f>
          <m:fPr>
            <m:ctrlPr>
              <w:rPr>
                <w:rFonts w:ascii="Cambria Math" w:hAnsi="Cambria Math"/>
                <w:b/>
                <w:iCs/>
                <w:sz w:val="24"/>
              </w:rPr>
            </m:ctrlPr>
          </m:fPr>
          <m:num>
            <m:sSub>
              <m:sSubPr>
                <m:ctrlPr>
                  <w:rPr>
                    <w:rFonts w:ascii="Cambria Math" w:hAnsi="Cambria Math"/>
                    <w:b/>
                    <w:sz w:val="24"/>
                  </w:rPr>
                </m:ctrlPr>
              </m:sSubPr>
              <m:e>
                <m:r>
                  <m:rPr>
                    <m:sty m:val="b"/>
                  </m:rPr>
                  <w:rPr>
                    <w:rFonts w:ascii="Cambria Math" w:hAnsi="Cambria Math"/>
                    <w:sz w:val="24"/>
                  </w:rPr>
                  <m:t>TU</m:t>
                </m:r>
              </m:e>
              <m:sub>
                <m:r>
                  <m:rPr>
                    <m:sty m:val="b"/>
                  </m:rPr>
                  <w:rPr>
                    <w:rFonts w:ascii="Cambria Math" w:hAnsi="Cambria Math"/>
                    <w:sz w:val="24"/>
                  </w:rPr>
                  <m:t>N</m:t>
                </m:r>
              </m:sub>
            </m:sSub>
            <m:r>
              <m:rPr>
                <m:sty m:val="b"/>
              </m:rPr>
              <w:rPr>
                <w:rFonts w:ascii="Cambria Math" w:hAnsi="Cambria Math"/>
                <w:sz w:val="24"/>
              </w:rPr>
              <m:t>-</m:t>
            </m:r>
            <m:sSub>
              <m:sSubPr>
                <m:ctrlPr>
                  <w:rPr>
                    <w:rFonts w:ascii="Cambria Math" w:hAnsi="Cambria Math"/>
                    <w:b/>
                    <w:sz w:val="24"/>
                  </w:rPr>
                </m:ctrlPr>
              </m:sSubPr>
              <m:e>
                <m:r>
                  <m:rPr>
                    <m:sty m:val="b"/>
                  </m:rPr>
                  <w:rPr>
                    <w:rFonts w:ascii="Cambria Math" w:hAnsi="Cambria Math"/>
                    <w:sz w:val="24"/>
                  </w:rPr>
                  <m:t>TU</m:t>
                </m:r>
              </m:e>
              <m:sub>
                <m:r>
                  <m:rPr>
                    <m:sty m:val="b"/>
                  </m:rPr>
                  <w:rPr>
                    <w:rFonts w:ascii="Cambria Math" w:hAnsi="Cambria Math"/>
                    <w:sz w:val="24"/>
                  </w:rPr>
                  <m:t>o</m:t>
                </m:r>
              </m:sub>
            </m:sSub>
          </m:num>
          <m:den>
            <m:sSub>
              <m:sSubPr>
                <m:ctrlPr>
                  <w:rPr>
                    <w:rFonts w:ascii="Cambria Math" w:hAnsi="Cambria Math"/>
                    <w:b/>
                    <w:sz w:val="24"/>
                  </w:rPr>
                </m:ctrlPr>
              </m:sSubPr>
              <m:e>
                <m:r>
                  <m:rPr>
                    <m:sty m:val="b"/>
                  </m:rPr>
                  <w:rPr>
                    <w:rFonts w:ascii="Cambria Math" w:hAnsi="Cambria Math"/>
                    <w:sz w:val="24"/>
                  </w:rPr>
                  <m:t>N</m:t>
                </m:r>
              </m:e>
              <m:sub>
                <m:r>
                  <m:rPr>
                    <m:sty m:val="b"/>
                  </m:rPr>
                  <w:rPr>
                    <w:rFonts w:ascii="Cambria Math" w:hAnsi="Cambria Math"/>
                    <w:sz w:val="24"/>
                  </w:rPr>
                  <m:t>app</m:t>
                </m:r>
              </m:sub>
            </m:sSub>
          </m:den>
        </m:f>
      </m:oMath>
      <w:r w:rsidRPr="00726CB0">
        <w:rPr>
          <w:rFonts w:ascii="Times New Roman" w:eastAsiaTheme="minorEastAsia" w:hAnsi="Times New Roman"/>
          <w:sz w:val="24"/>
        </w:rPr>
        <w:t xml:space="preserve">        </w:t>
      </w:r>
      <w:r>
        <w:rPr>
          <w:rFonts w:ascii="Times New Roman" w:eastAsiaTheme="minorEastAsia" w:hAnsi="Times New Roman"/>
          <w:sz w:val="24"/>
        </w:rPr>
        <w:tab/>
      </w:r>
      <w:r>
        <w:rPr>
          <w:rFonts w:ascii="Times New Roman" w:eastAsiaTheme="minorEastAsia" w:hAnsi="Times New Roman"/>
          <w:sz w:val="24"/>
        </w:rPr>
        <w:tab/>
      </w:r>
      <w:r>
        <w:rPr>
          <w:rFonts w:ascii="Times New Roman" w:eastAsiaTheme="minorEastAsia" w:hAnsi="Times New Roman"/>
          <w:sz w:val="24"/>
        </w:rPr>
        <w:tab/>
      </w:r>
      <w:r>
        <w:rPr>
          <w:rFonts w:ascii="Times New Roman" w:eastAsiaTheme="minorEastAsia" w:hAnsi="Times New Roman"/>
          <w:sz w:val="24"/>
        </w:rPr>
        <w:tab/>
      </w:r>
      <w:r>
        <w:rPr>
          <w:rFonts w:ascii="Times New Roman" w:eastAsiaTheme="minorEastAsia" w:hAnsi="Times New Roman"/>
          <w:sz w:val="24"/>
        </w:rPr>
        <w:tab/>
      </w:r>
      <w:r w:rsidRPr="00BB143F">
        <w:rPr>
          <w:rFonts w:ascii="Times New Roman" w:eastAsiaTheme="minorEastAsia" w:hAnsi="Times New Roman"/>
          <w:b/>
          <w:sz w:val="24"/>
        </w:rPr>
        <w:t>(</w:t>
      </w:r>
      <w:r w:rsidR="006C7142">
        <w:rPr>
          <w:rFonts w:ascii="Times New Roman" w:eastAsiaTheme="minorEastAsia" w:hAnsi="Times New Roman"/>
          <w:b/>
          <w:sz w:val="24"/>
        </w:rPr>
        <w:t>7</w:t>
      </w:r>
      <w:r w:rsidRPr="00BB143F">
        <w:rPr>
          <w:rFonts w:ascii="Times New Roman" w:eastAsiaTheme="minorEastAsia" w:hAnsi="Times New Roman"/>
          <w:b/>
          <w:sz w:val="24"/>
        </w:rPr>
        <w:t>)</w:t>
      </w:r>
    </w:p>
    <w:p w14:paraId="25BE5987" w14:textId="77777777" w:rsidR="008E25E1" w:rsidRDefault="006C7142" w:rsidP="00F45F9D">
      <w:pPr>
        <w:pStyle w:val="Body"/>
        <w:spacing w:after="0"/>
        <w:rPr>
          <w:rFonts w:ascii="Arial" w:hAnsi="Arial" w:cs="Arial"/>
        </w:rPr>
      </w:pPr>
      <w:r w:rsidRPr="00F45F9D">
        <w:rPr>
          <w:rFonts w:ascii="Arial" w:hAnsi="Arial" w:cs="Arial"/>
        </w:rPr>
        <w:t xml:space="preserve">Where, YN = yield in the </w:t>
      </w:r>
      <w:proofErr w:type="spellStart"/>
      <w:r w:rsidRPr="00F45F9D">
        <w:rPr>
          <w:rFonts w:ascii="Arial" w:hAnsi="Arial" w:cs="Arial"/>
        </w:rPr>
        <w:t>fertilised</w:t>
      </w:r>
      <w:proofErr w:type="spellEnd"/>
      <w:r w:rsidRPr="00F45F9D">
        <w:rPr>
          <w:rFonts w:ascii="Arial" w:hAnsi="Arial" w:cs="Arial"/>
        </w:rPr>
        <w:t xml:space="preserve"> plots (kg ha-1), YO = Yield in the non-</w:t>
      </w:r>
      <w:proofErr w:type="spellStart"/>
      <w:r w:rsidRPr="00F45F9D">
        <w:rPr>
          <w:rFonts w:ascii="Arial" w:hAnsi="Arial" w:cs="Arial"/>
        </w:rPr>
        <w:t>fertilised</w:t>
      </w:r>
      <w:proofErr w:type="spellEnd"/>
      <w:r w:rsidRPr="00F45F9D">
        <w:rPr>
          <w:rFonts w:ascii="Arial" w:hAnsi="Arial" w:cs="Arial"/>
        </w:rPr>
        <w:t xml:space="preserve"> plot, Napp = Amount of nutrient (N/P) applied</w:t>
      </w:r>
    </w:p>
    <w:p w14:paraId="127D653D" w14:textId="77777777" w:rsidR="00F45F9D" w:rsidRPr="00C24521" w:rsidRDefault="00F45F9D" w:rsidP="00F45F9D">
      <w:pPr>
        <w:pStyle w:val="Body"/>
        <w:spacing w:after="0"/>
        <w:rPr>
          <w:rFonts w:ascii="Arial" w:hAnsi="Arial" w:cs="Arial"/>
        </w:rPr>
      </w:pPr>
    </w:p>
    <w:p w14:paraId="6FA19CCA" w14:textId="77777777" w:rsidR="00C24521" w:rsidRPr="0078031B" w:rsidRDefault="0078031B" w:rsidP="00C24521">
      <w:pPr>
        <w:pStyle w:val="Body"/>
        <w:rPr>
          <w:rFonts w:ascii="Arial" w:hAnsi="Arial" w:cs="Arial"/>
          <w:b/>
          <w:u w:val="single"/>
        </w:rPr>
      </w:pPr>
      <w:r>
        <w:rPr>
          <w:rFonts w:ascii="Arial" w:hAnsi="Arial" w:cs="Arial"/>
          <w:b/>
          <w:u w:val="single"/>
        </w:rPr>
        <w:t>2.4.</w:t>
      </w:r>
      <w:r w:rsidR="000323EA">
        <w:rPr>
          <w:rFonts w:ascii="Arial" w:hAnsi="Arial" w:cs="Arial"/>
          <w:b/>
          <w:u w:val="single"/>
        </w:rPr>
        <w:t>4</w:t>
      </w:r>
      <w:r>
        <w:rPr>
          <w:rFonts w:ascii="Arial" w:hAnsi="Arial" w:cs="Arial"/>
          <w:b/>
          <w:u w:val="single"/>
        </w:rPr>
        <w:t xml:space="preserve"> </w:t>
      </w:r>
      <w:r w:rsidR="00C24521" w:rsidRPr="0078031B">
        <w:rPr>
          <w:rFonts w:ascii="Arial" w:hAnsi="Arial" w:cs="Arial"/>
          <w:b/>
          <w:u w:val="single"/>
        </w:rPr>
        <w:t>Statistical analysis</w:t>
      </w:r>
    </w:p>
    <w:p w14:paraId="2608E41A" w14:textId="77777777" w:rsidR="004951A4" w:rsidRDefault="00C24521" w:rsidP="00C24521">
      <w:pPr>
        <w:pStyle w:val="Body"/>
        <w:spacing w:after="0"/>
        <w:rPr>
          <w:rFonts w:ascii="Arial" w:hAnsi="Arial" w:cs="Arial"/>
        </w:rPr>
      </w:pPr>
      <w:r w:rsidRPr="00C24521">
        <w:rPr>
          <w:rFonts w:ascii="Arial" w:hAnsi="Arial" w:cs="Arial"/>
        </w:rPr>
        <w:t xml:space="preserve">All statistical analyses were performed using R statistical software version 4.5.1 (R Core Team, 2025). To understand how the different P source substitutions influenced AEN, REN, AEP, REP, N and P uptake across the two sites, a two-way analysis of variance (ANOVA) was adopted using an </w:t>
      </w:r>
      <w:proofErr w:type="spellStart"/>
      <w:r w:rsidRPr="00C24521">
        <w:rPr>
          <w:rFonts w:ascii="Arial" w:hAnsi="Arial" w:cs="Arial"/>
        </w:rPr>
        <w:t>lme</w:t>
      </w:r>
      <w:proofErr w:type="spellEnd"/>
      <w:r w:rsidRPr="00C24521">
        <w:rPr>
          <w:rFonts w:ascii="Arial" w:hAnsi="Arial" w:cs="Arial"/>
        </w:rPr>
        <w:t xml:space="preserve"> model from the </w:t>
      </w:r>
      <w:proofErr w:type="spellStart"/>
      <w:r w:rsidRPr="00C24521">
        <w:rPr>
          <w:rFonts w:ascii="Arial" w:hAnsi="Arial" w:cs="Arial"/>
        </w:rPr>
        <w:t>nlme</w:t>
      </w:r>
      <w:proofErr w:type="spellEnd"/>
      <w:r w:rsidRPr="00C24521">
        <w:rPr>
          <w:rFonts w:ascii="Arial" w:hAnsi="Arial" w:cs="Arial"/>
        </w:rPr>
        <w:t xml:space="preserve"> package. In the analysis, treatment effects were evaluated using either organic P and inorganic sources or their combinations, along with site, as fixed factors, while replicates were used as random factors. Furthermore, a one-way ANOVA was also used to determine the effect of organic P, inorganic P source, and their </w:t>
      </w:r>
      <w:r w:rsidRPr="00C24521">
        <w:rPr>
          <w:rFonts w:ascii="Arial" w:hAnsi="Arial" w:cs="Arial"/>
        </w:rPr>
        <w:lastRenderedPageBreak/>
        <w:t>combination at each site. The means were separated at a 5% level of significance using the Tukey HSD test.</w:t>
      </w:r>
    </w:p>
    <w:p w14:paraId="3E237085" w14:textId="77777777" w:rsidR="000F0FCB" w:rsidRDefault="000F0FCB" w:rsidP="00441B6F">
      <w:pPr>
        <w:pStyle w:val="Body"/>
        <w:spacing w:after="0"/>
        <w:rPr>
          <w:rFonts w:ascii="Arial" w:hAnsi="Arial" w:cs="Arial"/>
        </w:rPr>
      </w:pPr>
    </w:p>
    <w:p w14:paraId="70A06532" w14:textId="2EDFEC6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45728EC" w14:textId="77777777" w:rsidR="00790ADA" w:rsidRPr="00FB3A86" w:rsidRDefault="00790ADA" w:rsidP="00441B6F">
      <w:pPr>
        <w:pStyle w:val="Head1"/>
        <w:spacing w:after="0"/>
        <w:jc w:val="both"/>
        <w:rPr>
          <w:rFonts w:ascii="Arial" w:hAnsi="Arial" w:cs="Arial"/>
        </w:rPr>
      </w:pPr>
    </w:p>
    <w:p w14:paraId="2EC9C605" w14:textId="77777777" w:rsidR="00C24521" w:rsidRPr="000F0FCB" w:rsidRDefault="000F0FCB" w:rsidP="00C24521">
      <w:pPr>
        <w:pStyle w:val="Body"/>
        <w:rPr>
          <w:rFonts w:ascii="Arial" w:hAnsi="Arial" w:cs="Arial"/>
          <w:b/>
          <w:sz w:val="22"/>
        </w:rPr>
      </w:pPr>
      <w:r w:rsidRPr="000F0FCB">
        <w:rPr>
          <w:rFonts w:ascii="Arial" w:hAnsi="Arial" w:cs="Arial"/>
          <w:b/>
          <w:sz w:val="22"/>
        </w:rPr>
        <w:t xml:space="preserve">3.1 </w:t>
      </w:r>
      <w:r w:rsidR="00C24521" w:rsidRPr="000F0FCB">
        <w:rPr>
          <w:rFonts w:ascii="Arial" w:hAnsi="Arial" w:cs="Arial"/>
          <w:b/>
          <w:sz w:val="22"/>
        </w:rPr>
        <w:t xml:space="preserve">Nutrient use efficiency indices as affected by different P source substitutions </w:t>
      </w:r>
    </w:p>
    <w:p w14:paraId="0DBE70F5" w14:textId="77777777" w:rsidR="00C24521" w:rsidRPr="00C24521" w:rsidRDefault="00C24521" w:rsidP="00C24521">
      <w:pPr>
        <w:pStyle w:val="Body"/>
        <w:rPr>
          <w:rFonts w:ascii="Arial" w:hAnsi="Arial" w:cs="Arial"/>
        </w:rPr>
      </w:pPr>
      <w:r w:rsidRPr="00C24521">
        <w:rPr>
          <w:rFonts w:ascii="Arial" w:hAnsi="Arial" w:cs="Arial"/>
        </w:rPr>
        <w:t xml:space="preserve">The agronomic N efficiency (AEN) was significantly (p &lt; 0.05) influenced by the different P sources and their combinations (Table 4). Overall, the AEN ranged from 17.27 to 44.96 kg kg-1 and from 26.40 to 46.96 kg kg-1 in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xml:space="preserve"> sites, respectively. The sole application of TSP (TSP30) resulted in peak AEN, which was consistent at both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xml:space="preserve"> sites, 44.56 and 46.96 kg kg-1, respectively. Whereas, the applying CM at 30 kg P ha-1 (CM30) resulted in markedly lower (p &lt; 0.05) AEN, 17.27 and 26.40 kg kg-1 in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respectively.</w:t>
      </w:r>
    </w:p>
    <w:p w14:paraId="5E0010E3" w14:textId="77777777" w:rsidR="00C24521" w:rsidRPr="00C24521" w:rsidRDefault="00C24521" w:rsidP="00C24521">
      <w:pPr>
        <w:pStyle w:val="Body"/>
        <w:rPr>
          <w:rFonts w:ascii="Arial" w:hAnsi="Arial" w:cs="Arial"/>
        </w:rPr>
      </w:pPr>
      <w:r w:rsidRPr="00C24521">
        <w:rPr>
          <w:rFonts w:ascii="Arial" w:hAnsi="Arial" w:cs="Arial"/>
        </w:rPr>
        <w:t xml:space="preserve">In </w:t>
      </w:r>
      <w:proofErr w:type="spellStart"/>
      <w:r w:rsidRPr="00C24521">
        <w:rPr>
          <w:rFonts w:ascii="Arial" w:hAnsi="Arial" w:cs="Arial"/>
        </w:rPr>
        <w:t>Kibos</w:t>
      </w:r>
      <w:proofErr w:type="spellEnd"/>
      <w:r w:rsidRPr="00C24521">
        <w:rPr>
          <w:rFonts w:ascii="Arial" w:hAnsi="Arial" w:cs="Arial"/>
        </w:rPr>
        <w:t xml:space="preserve">, the highest N recovery efficiency (REN) was observed from 50% substitution of TSP by CM, i.e., TSP15 + CM15 (0.42 kg kg-1; Table 4). Whereas, in </w:t>
      </w:r>
      <w:proofErr w:type="spellStart"/>
      <w:r w:rsidRPr="00C24521">
        <w:rPr>
          <w:rFonts w:ascii="Arial" w:hAnsi="Arial" w:cs="Arial"/>
        </w:rPr>
        <w:t>Bumula</w:t>
      </w:r>
      <w:proofErr w:type="spellEnd"/>
      <w:r w:rsidRPr="00C24521">
        <w:rPr>
          <w:rFonts w:ascii="Arial" w:hAnsi="Arial" w:cs="Arial"/>
        </w:rPr>
        <w:t xml:space="preserve">, the sole application of TSP (TSP30), exhibited a peak N recovery of 0.49 kg kg-1. At both sites, REN from the sole application of P from CM30 was consistently lower (0.13 and 0.12 kg kg-1 in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xml:space="preserve">, respectively) and differed significantly (p &lt; 0.05) from the other treatments (Table 4). </w:t>
      </w:r>
    </w:p>
    <w:p w14:paraId="4394C2E9" w14:textId="77777777" w:rsidR="00C24521" w:rsidRPr="00C24521" w:rsidRDefault="00C24521" w:rsidP="00C24521">
      <w:pPr>
        <w:pStyle w:val="Body"/>
        <w:rPr>
          <w:rFonts w:ascii="Arial" w:hAnsi="Arial" w:cs="Arial"/>
        </w:rPr>
      </w:pPr>
      <w:r w:rsidRPr="00C24521">
        <w:rPr>
          <w:rFonts w:ascii="Arial" w:hAnsi="Arial" w:cs="Arial"/>
        </w:rPr>
        <w:t xml:space="preserve">At both sites, the different P sources and combinations affected agronomic P efficiency (AEP) (p &lt; 0.05), with values ranging from 57.58 to 148.54 kg kg-1 in </w:t>
      </w:r>
      <w:proofErr w:type="spellStart"/>
      <w:r w:rsidRPr="00C24521">
        <w:rPr>
          <w:rFonts w:ascii="Arial" w:hAnsi="Arial" w:cs="Arial"/>
        </w:rPr>
        <w:t>Kibos</w:t>
      </w:r>
      <w:proofErr w:type="spellEnd"/>
      <w:r w:rsidRPr="00C24521">
        <w:rPr>
          <w:rFonts w:ascii="Arial" w:hAnsi="Arial" w:cs="Arial"/>
        </w:rPr>
        <w:t xml:space="preserve"> and from 88.00 to 159.31 kg kg-1 in </w:t>
      </w:r>
      <w:proofErr w:type="spellStart"/>
      <w:r w:rsidRPr="00C24521">
        <w:rPr>
          <w:rFonts w:ascii="Arial" w:hAnsi="Arial" w:cs="Arial"/>
        </w:rPr>
        <w:t>Bumula</w:t>
      </w:r>
      <w:proofErr w:type="spellEnd"/>
      <w:r w:rsidRPr="00C24521">
        <w:rPr>
          <w:rFonts w:ascii="Arial" w:hAnsi="Arial" w:cs="Arial"/>
        </w:rPr>
        <w:t xml:space="preserve"> (Table 4). Treatment CM30 showed the least AEP in </w:t>
      </w:r>
      <w:proofErr w:type="spellStart"/>
      <w:r w:rsidRPr="00C24521">
        <w:rPr>
          <w:rFonts w:ascii="Arial" w:hAnsi="Arial" w:cs="Arial"/>
        </w:rPr>
        <w:t>Kibos</w:t>
      </w:r>
      <w:proofErr w:type="spellEnd"/>
      <w:r w:rsidRPr="00C24521">
        <w:rPr>
          <w:rFonts w:ascii="Arial" w:hAnsi="Arial" w:cs="Arial"/>
        </w:rPr>
        <w:t xml:space="preserve"> (57.58 kg kg-1), and this was also consistent in </w:t>
      </w:r>
      <w:proofErr w:type="spellStart"/>
      <w:r w:rsidRPr="00C24521">
        <w:rPr>
          <w:rFonts w:ascii="Arial" w:hAnsi="Arial" w:cs="Arial"/>
        </w:rPr>
        <w:t>Bumula</w:t>
      </w:r>
      <w:proofErr w:type="spellEnd"/>
      <w:r w:rsidRPr="00C24521">
        <w:rPr>
          <w:rFonts w:ascii="Arial" w:hAnsi="Arial" w:cs="Arial"/>
        </w:rPr>
        <w:t xml:space="preserve"> (88.00 kg kg-1). The highest AEP was observed in TSP30 in </w:t>
      </w:r>
      <w:proofErr w:type="spellStart"/>
      <w:r w:rsidRPr="00C24521">
        <w:rPr>
          <w:rFonts w:ascii="Arial" w:hAnsi="Arial" w:cs="Arial"/>
        </w:rPr>
        <w:t>Kibos</w:t>
      </w:r>
      <w:proofErr w:type="spellEnd"/>
      <w:r w:rsidRPr="00C24521">
        <w:rPr>
          <w:rFonts w:ascii="Arial" w:hAnsi="Arial" w:cs="Arial"/>
        </w:rPr>
        <w:t xml:space="preserve"> and 50% substitution of TSP by CM in </w:t>
      </w:r>
      <w:proofErr w:type="spellStart"/>
      <w:r w:rsidRPr="00C24521">
        <w:rPr>
          <w:rFonts w:ascii="Arial" w:hAnsi="Arial" w:cs="Arial"/>
        </w:rPr>
        <w:t>Bumula</w:t>
      </w:r>
      <w:proofErr w:type="spellEnd"/>
      <w:r w:rsidRPr="00C24521">
        <w:rPr>
          <w:rFonts w:ascii="Arial" w:hAnsi="Arial" w:cs="Arial"/>
        </w:rPr>
        <w:t xml:space="preserve"> (Table 4).</w:t>
      </w:r>
    </w:p>
    <w:p w14:paraId="3D063472" w14:textId="77777777" w:rsidR="00C24521" w:rsidRDefault="00C24521" w:rsidP="00C24521">
      <w:pPr>
        <w:pStyle w:val="Body"/>
        <w:spacing w:after="0"/>
        <w:rPr>
          <w:rFonts w:ascii="Arial" w:hAnsi="Arial" w:cs="Arial"/>
        </w:rPr>
      </w:pPr>
      <w:r w:rsidRPr="00C24521">
        <w:rPr>
          <w:rFonts w:ascii="Arial" w:hAnsi="Arial" w:cs="Arial"/>
        </w:rPr>
        <w:t xml:space="preserve">Across the two sites, there were contrasting effects of the different P sources and combinations on P recovery efficiency (REP) (see Table 4). In </w:t>
      </w:r>
      <w:proofErr w:type="spellStart"/>
      <w:r w:rsidRPr="00C24521">
        <w:rPr>
          <w:rFonts w:ascii="Arial" w:hAnsi="Arial" w:cs="Arial"/>
        </w:rPr>
        <w:t>Kibos</w:t>
      </w:r>
      <w:proofErr w:type="spellEnd"/>
      <w:r w:rsidRPr="00C24521">
        <w:rPr>
          <w:rFonts w:ascii="Arial" w:hAnsi="Arial" w:cs="Arial"/>
        </w:rPr>
        <w:t xml:space="preserve">, no significant effect was observed (p &gt; 0.09), with values ranging between 0.07 and 0.12 kg kg-1. Meanwhile, in </w:t>
      </w:r>
      <w:proofErr w:type="spellStart"/>
      <w:r w:rsidRPr="00C24521">
        <w:rPr>
          <w:rFonts w:ascii="Arial" w:hAnsi="Arial" w:cs="Arial"/>
        </w:rPr>
        <w:t>Bumula</w:t>
      </w:r>
      <w:proofErr w:type="spellEnd"/>
      <w:r w:rsidRPr="00C24521">
        <w:rPr>
          <w:rFonts w:ascii="Arial" w:hAnsi="Arial" w:cs="Arial"/>
        </w:rPr>
        <w:t xml:space="preserve">, the treatments had a significant effect on the REP (p &lt; 0.05), with values ranging from 0.09 to 0.25 kg kg-1.    </w:t>
      </w:r>
      <w:r w:rsidR="00E66E10">
        <w:rPr>
          <w:rFonts w:ascii="Arial" w:hAnsi="Arial" w:cs="Arial"/>
        </w:rPr>
        <w:t xml:space="preserve"> </w:t>
      </w:r>
    </w:p>
    <w:p w14:paraId="3216BE0D" w14:textId="77777777" w:rsidR="00C24521" w:rsidRDefault="00C24521" w:rsidP="00C24521">
      <w:pPr>
        <w:pStyle w:val="Body"/>
        <w:spacing w:after="0"/>
        <w:rPr>
          <w:rFonts w:ascii="Arial" w:eastAsia="Calibri" w:hAnsi="Arial" w:cs="Arial"/>
          <w:color w:val="FF0000"/>
          <w:szCs w:val="22"/>
        </w:rPr>
      </w:pPr>
    </w:p>
    <w:p w14:paraId="2D85BAE3" w14:textId="77777777" w:rsidR="00790ADA" w:rsidRPr="00502516" w:rsidRDefault="00790ADA" w:rsidP="00441B6F">
      <w:pPr>
        <w:pStyle w:val="Body"/>
        <w:spacing w:after="0"/>
        <w:rPr>
          <w:rFonts w:ascii="Arial" w:hAnsi="Arial" w:cs="Arial"/>
        </w:rPr>
      </w:pPr>
    </w:p>
    <w:p w14:paraId="7E5F58D9" w14:textId="77777777" w:rsidR="00F820C8" w:rsidRDefault="00F820C8" w:rsidP="00441B6F">
      <w:pPr>
        <w:pStyle w:val="Body"/>
        <w:spacing w:after="0"/>
        <w:rPr>
          <w:rFonts w:ascii="Arial" w:hAnsi="Arial" w:cs="Arial"/>
        </w:rPr>
        <w:sectPr w:rsidR="00F820C8" w:rsidSect="007A595A">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2AE07A7D" w14:textId="77777777" w:rsidR="00F820C8" w:rsidRPr="00FC0EBD" w:rsidRDefault="00F820C8" w:rsidP="00F820C8">
      <w:pPr>
        <w:pStyle w:val="Caption"/>
        <w:keepNext/>
        <w:jc w:val="both"/>
        <w:rPr>
          <w:rFonts w:ascii="Arial" w:hAnsi="Arial" w:cs="Arial"/>
          <w:b/>
          <w:i w:val="0"/>
          <w:color w:val="auto"/>
          <w:sz w:val="20"/>
          <w:szCs w:val="20"/>
        </w:rPr>
      </w:pPr>
      <w:bookmarkStart w:id="5" w:name="_Ref210922630"/>
      <w:r w:rsidRPr="00FC0EBD">
        <w:rPr>
          <w:rFonts w:ascii="Arial" w:hAnsi="Arial" w:cs="Arial"/>
          <w:b/>
          <w:i w:val="0"/>
          <w:color w:val="auto"/>
          <w:sz w:val="20"/>
          <w:szCs w:val="20"/>
        </w:rPr>
        <w:lastRenderedPageBreak/>
        <w:t xml:space="preserve">Table </w:t>
      </w:r>
      <w:r w:rsidRPr="00FC0EBD">
        <w:rPr>
          <w:rFonts w:ascii="Arial" w:hAnsi="Arial" w:cs="Arial"/>
          <w:b/>
          <w:i w:val="0"/>
          <w:color w:val="auto"/>
          <w:sz w:val="20"/>
          <w:szCs w:val="20"/>
        </w:rPr>
        <w:fldChar w:fldCharType="begin"/>
      </w:r>
      <w:r w:rsidRPr="00FC0EBD">
        <w:rPr>
          <w:rFonts w:ascii="Arial" w:hAnsi="Arial" w:cs="Arial"/>
          <w:b/>
          <w:i w:val="0"/>
          <w:color w:val="auto"/>
          <w:sz w:val="20"/>
          <w:szCs w:val="20"/>
        </w:rPr>
        <w:instrText xml:space="preserve"> SEQ Table \* ARABIC </w:instrText>
      </w:r>
      <w:r w:rsidRPr="00FC0EBD">
        <w:rPr>
          <w:rFonts w:ascii="Arial" w:hAnsi="Arial" w:cs="Arial"/>
          <w:b/>
          <w:i w:val="0"/>
          <w:color w:val="auto"/>
          <w:sz w:val="20"/>
          <w:szCs w:val="20"/>
        </w:rPr>
        <w:fldChar w:fldCharType="separate"/>
      </w:r>
      <w:r w:rsidRPr="00FC0EBD">
        <w:rPr>
          <w:rFonts w:ascii="Arial" w:hAnsi="Arial" w:cs="Arial"/>
          <w:b/>
          <w:i w:val="0"/>
          <w:noProof/>
          <w:color w:val="auto"/>
          <w:sz w:val="20"/>
          <w:szCs w:val="20"/>
        </w:rPr>
        <w:t>4</w:t>
      </w:r>
      <w:r w:rsidRPr="00FC0EBD">
        <w:rPr>
          <w:rFonts w:ascii="Arial" w:hAnsi="Arial" w:cs="Arial"/>
          <w:b/>
          <w:i w:val="0"/>
          <w:color w:val="auto"/>
          <w:sz w:val="20"/>
          <w:szCs w:val="20"/>
        </w:rPr>
        <w:fldChar w:fldCharType="end"/>
      </w:r>
      <w:bookmarkEnd w:id="5"/>
      <w:r w:rsidRPr="00FC0EBD">
        <w:rPr>
          <w:rFonts w:ascii="Arial" w:hAnsi="Arial" w:cs="Arial"/>
          <w:b/>
          <w:i w:val="0"/>
          <w:color w:val="auto"/>
          <w:sz w:val="20"/>
          <w:szCs w:val="20"/>
        </w:rPr>
        <w:t xml:space="preserve">: Nutrient use efficiency indices of N and P as influenced substitution of TSP by PM and CM at </w:t>
      </w:r>
      <w:proofErr w:type="spellStart"/>
      <w:r w:rsidRPr="00FC0EBD">
        <w:rPr>
          <w:rFonts w:ascii="Arial" w:hAnsi="Arial" w:cs="Arial"/>
          <w:b/>
          <w:i w:val="0"/>
          <w:color w:val="auto"/>
          <w:sz w:val="20"/>
          <w:szCs w:val="20"/>
        </w:rPr>
        <w:t>Kibos</w:t>
      </w:r>
      <w:proofErr w:type="spellEnd"/>
      <w:r w:rsidRPr="00FC0EBD">
        <w:rPr>
          <w:rFonts w:ascii="Arial" w:hAnsi="Arial" w:cs="Arial"/>
          <w:b/>
          <w:i w:val="0"/>
          <w:color w:val="auto"/>
          <w:sz w:val="20"/>
          <w:szCs w:val="20"/>
        </w:rPr>
        <w:t xml:space="preserve"> and </w:t>
      </w:r>
      <w:proofErr w:type="spellStart"/>
      <w:r w:rsidRPr="00FC0EBD">
        <w:rPr>
          <w:rFonts w:ascii="Arial" w:hAnsi="Arial" w:cs="Arial"/>
          <w:b/>
          <w:i w:val="0"/>
          <w:color w:val="auto"/>
          <w:sz w:val="20"/>
          <w:szCs w:val="20"/>
        </w:rPr>
        <w:t>Bumula</w:t>
      </w:r>
      <w:proofErr w:type="spellEnd"/>
      <w:r w:rsidRPr="00FC0EBD">
        <w:rPr>
          <w:rFonts w:ascii="Arial" w:hAnsi="Arial" w:cs="Arial"/>
          <w:b/>
          <w:i w:val="0"/>
          <w:color w:val="auto"/>
          <w:sz w:val="20"/>
          <w:szCs w:val="20"/>
        </w:rPr>
        <w:t xml:space="preserve"> sites. Similar lowercase letters indicate no significant difference at 5% level of significance</w:t>
      </w:r>
    </w:p>
    <w:tbl>
      <w:tblPr>
        <w:tblW w:w="12749" w:type="dxa"/>
        <w:tblLook w:val="04A0" w:firstRow="1" w:lastRow="0" w:firstColumn="1" w:lastColumn="0" w:noHBand="0" w:noVBand="1"/>
      </w:tblPr>
      <w:tblGrid>
        <w:gridCol w:w="2164"/>
        <w:gridCol w:w="869"/>
        <w:gridCol w:w="999"/>
        <w:gridCol w:w="754"/>
        <w:gridCol w:w="888"/>
        <w:gridCol w:w="962"/>
        <w:gridCol w:w="754"/>
        <w:gridCol w:w="1110"/>
        <w:gridCol w:w="1038"/>
        <w:gridCol w:w="828"/>
        <w:gridCol w:w="772"/>
        <w:gridCol w:w="962"/>
        <w:gridCol w:w="754"/>
      </w:tblGrid>
      <w:tr w:rsidR="00D93793" w:rsidRPr="004160BB" w14:paraId="71E0C9FE" w14:textId="77777777" w:rsidTr="004407A1">
        <w:trPr>
          <w:trHeight w:val="288"/>
        </w:trPr>
        <w:tc>
          <w:tcPr>
            <w:tcW w:w="2164" w:type="dxa"/>
            <w:tcBorders>
              <w:top w:val="single" w:sz="4" w:space="0" w:color="auto"/>
              <w:left w:val="nil"/>
              <w:bottom w:val="nil"/>
              <w:right w:val="nil"/>
            </w:tcBorders>
            <w:shd w:val="clear" w:color="000000" w:fill="FFFFFF"/>
            <w:noWrap/>
            <w:vAlign w:val="bottom"/>
            <w:hideMark/>
          </w:tcPr>
          <w:p w14:paraId="00C7D86B" w14:textId="77777777" w:rsidR="00D93793" w:rsidRPr="004160BB" w:rsidRDefault="00D93793" w:rsidP="00D93793">
            <w:pPr>
              <w:rPr>
                <w:rFonts w:ascii="Arial" w:hAnsi="Arial" w:cs="Arial"/>
                <w:color w:val="000000"/>
                <w:lang w:eastAsia="en-GB"/>
              </w:rPr>
            </w:pPr>
            <w:bookmarkStart w:id="6" w:name="_Hlk211190445"/>
            <w:r w:rsidRPr="004160BB">
              <w:rPr>
                <w:rFonts w:ascii="Arial" w:hAnsi="Arial" w:cs="Arial"/>
                <w:color w:val="000000"/>
                <w:lang w:eastAsia="en-GB"/>
              </w:rPr>
              <w:t> </w:t>
            </w:r>
          </w:p>
        </w:tc>
        <w:tc>
          <w:tcPr>
            <w:tcW w:w="2589" w:type="dxa"/>
            <w:gridSpan w:val="3"/>
            <w:tcBorders>
              <w:top w:val="single" w:sz="4" w:space="0" w:color="auto"/>
              <w:left w:val="nil"/>
              <w:bottom w:val="nil"/>
              <w:right w:val="nil"/>
            </w:tcBorders>
            <w:noWrap/>
            <w:vAlign w:val="bottom"/>
            <w:hideMark/>
          </w:tcPr>
          <w:p w14:paraId="0DC62D88" w14:textId="77777777" w:rsidR="00D93793" w:rsidRPr="004160BB" w:rsidRDefault="00D93793" w:rsidP="00D93793">
            <w:pPr>
              <w:jc w:val="center"/>
              <w:rPr>
                <w:rFonts w:ascii="Arial" w:hAnsi="Arial" w:cs="Arial"/>
                <w:b/>
                <w:color w:val="000000"/>
                <w:lang w:eastAsia="en-GB"/>
              </w:rPr>
            </w:pPr>
            <w:r w:rsidRPr="004160BB">
              <w:rPr>
                <w:rFonts w:ascii="Arial" w:hAnsi="Arial" w:cs="Arial"/>
                <w:b/>
                <w:color w:val="000000"/>
                <w:lang w:eastAsia="en-GB"/>
              </w:rPr>
              <w:t>AE</w:t>
            </w:r>
            <w:r w:rsidRPr="004160BB">
              <w:rPr>
                <w:rFonts w:ascii="Arial" w:hAnsi="Arial" w:cs="Arial"/>
                <w:b/>
                <w:color w:val="000000"/>
                <w:vertAlign w:val="subscript"/>
                <w:lang w:eastAsia="en-GB"/>
              </w:rPr>
              <w:t>N</w:t>
            </w:r>
          </w:p>
        </w:tc>
        <w:tc>
          <w:tcPr>
            <w:tcW w:w="2582" w:type="dxa"/>
            <w:gridSpan w:val="3"/>
            <w:tcBorders>
              <w:top w:val="single" w:sz="4" w:space="0" w:color="auto"/>
              <w:left w:val="nil"/>
              <w:bottom w:val="nil"/>
              <w:right w:val="nil"/>
            </w:tcBorders>
            <w:shd w:val="clear" w:color="000000" w:fill="FFFFFF"/>
            <w:noWrap/>
            <w:vAlign w:val="bottom"/>
            <w:hideMark/>
          </w:tcPr>
          <w:p w14:paraId="06CD77C7"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RE</w:t>
            </w:r>
            <w:r w:rsidRPr="004160BB">
              <w:rPr>
                <w:rFonts w:ascii="Arial" w:hAnsi="Arial" w:cs="Arial"/>
                <w:b/>
                <w:bCs/>
                <w:color w:val="000000"/>
                <w:vertAlign w:val="subscript"/>
                <w:lang w:eastAsia="en-GB"/>
              </w:rPr>
              <w:t>N</w:t>
            </w:r>
          </w:p>
        </w:tc>
        <w:tc>
          <w:tcPr>
            <w:tcW w:w="2931" w:type="dxa"/>
            <w:gridSpan w:val="3"/>
            <w:tcBorders>
              <w:top w:val="single" w:sz="4" w:space="0" w:color="auto"/>
              <w:left w:val="nil"/>
              <w:bottom w:val="nil"/>
              <w:right w:val="nil"/>
            </w:tcBorders>
            <w:shd w:val="clear" w:color="000000" w:fill="FFFFFF"/>
            <w:noWrap/>
            <w:vAlign w:val="bottom"/>
            <w:hideMark/>
          </w:tcPr>
          <w:p w14:paraId="1378C335"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AE</w:t>
            </w:r>
            <w:r w:rsidRPr="004160BB">
              <w:rPr>
                <w:rFonts w:ascii="Arial" w:hAnsi="Arial" w:cs="Arial"/>
                <w:b/>
                <w:bCs/>
                <w:color w:val="000000"/>
                <w:vertAlign w:val="subscript"/>
                <w:lang w:eastAsia="en-GB"/>
              </w:rPr>
              <w:t>P</w:t>
            </w:r>
          </w:p>
        </w:tc>
        <w:tc>
          <w:tcPr>
            <w:tcW w:w="2483" w:type="dxa"/>
            <w:gridSpan w:val="3"/>
            <w:tcBorders>
              <w:top w:val="single" w:sz="4" w:space="0" w:color="auto"/>
              <w:left w:val="nil"/>
              <w:bottom w:val="nil"/>
              <w:right w:val="nil"/>
            </w:tcBorders>
            <w:shd w:val="clear" w:color="000000" w:fill="FFFFFF"/>
            <w:noWrap/>
            <w:vAlign w:val="bottom"/>
            <w:hideMark/>
          </w:tcPr>
          <w:p w14:paraId="1AE5830A"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RE</w:t>
            </w:r>
            <w:r w:rsidRPr="004160BB">
              <w:rPr>
                <w:rFonts w:ascii="Arial" w:hAnsi="Arial" w:cs="Arial"/>
                <w:b/>
                <w:bCs/>
                <w:color w:val="000000"/>
                <w:vertAlign w:val="subscript"/>
                <w:lang w:eastAsia="en-GB"/>
              </w:rPr>
              <w:t>P</w:t>
            </w:r>
          </w:p>
        </w:tc>
      </w:tr>
      <w:tr w:rsidR="00D93793" w:rsidRPr="004160BB" w14:paraId="10DBA7CE" w14:textId="77777777" w:rsidTr="004407A1">
        <w:trPr>
          <w:trHeight w:val="288"/>
        </w:trPr>
        <w:tc>
          <w:tcPr>
            <w:tcW w:w="2164" w:type="dxa"/>
            <w:tcBorders>
              <w:top w:val="nil"/>
              <w:left w:val="nil"/>
              <w:bottom w:val="nil"/>
              <w:right w:val="nil"/>
            </w:tcBorders>
            <w:noWrap/>
            <w:vAlign w:val="bottom"/>
            <w:hideMark/>
          </w:tcPr>
          <w:p w14:paraId="57B21609" w14:textId="77777777" w:rsidR="00D93793" w:rsidRPr="004160BB" w:rsidRDefault="00D93793" w:rsidP="00D93793">
            <w:pPr>
              <w:jc w:val="center"/>
              <w:rPr>
                <w:rFonts w:ascii="Arial" w:hAnsi="Arial" w:cs="Arial"/>
                <w:b/>
                <w:bCs/>
                <w:color w:val="000000"/>
                <w:lang w:eastAsia="en-GB"/>
              </w:rPr>
            </w:pPr>
          </w:p>
        </w:tc>
        <w:tc>
          <w:tcPr>
            <w:tcW w:w="2589" w:type="dxa"/>
            <w:gridSpan w:val="3"/>
            <w:tcBorders>
              <w:top w:val="nil"/>
              <w:left w:val="nil"/>
              <w:bottom w:val="single" w:sz="8" w:space="0" w:color="auto"/>
              <w:right w:val="nil"/>
            </w:tcBorders>
            <w:shd w:val="clear" w:color="000000" w:fill="FFFFFF"/>
            <w:noWrap/>
            <w:vAlign w:val="bottom"/>
            <w:hideMark/>
          </w:tcPr>
          <w:p w14:paraId="66044A22"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vertAlign w:val="subscript"/>
                <w:lang w:eastAsia="en-GB"/>
              </w:rPr>
              <w:t xml:space="preserve"> </w:t>
            </w:r>
            <w:r w:rsidRPr="004160BB">
              <w:rPr>
                <w:rFonts w:ascii="Arial" w:hAnsi="Arial" w:cs="Arial"/>
                <w:b/>
                <w:bCs/>
                <w:color w:val="000000"/>
                <w:lang w:eastAsia="en-GB"/>
              </w:rPr>
              <w:t>(kg grain kg N</w:t>
            </w:r>
            <w:r w:rsidRPr="004160BB">
              <w:rPr>
                <w:rFonts w:ascii="Arial" w:hAnsi="Arial" w:cs="Arial"/>
                <w:b/>
                <w:bCs/>
                <w:color w:val="000000"/>
                <w:vertAlign w:val="superscript"/>
                <w:lang w:eastAsia="en-GB"/>
              </w:rPr>
              <w:t>-1</w:t>
            </w:r>
            <w:r w:rsidRPr="004160BB">
              <w:rPr>
                <w:rFonts w:ascii="Arial" w:hAnsi="Arial" w:cs="Arial"/>
                <w:b/>
                <w:bCs/>
                <w:color w:val="000000"/>
                <w:lang w:eastAsia="en-GB"/>
              </w:rPr>
              <w:t>)</w:t>
            </w:r>
          </w:p>
        </w:tc>
        <w:tc>
          <w:tcPr>
            <w:tcW w:w="2582" w:type="dxa"/>
            <w:gridSpan w:val="3"/>
            <w:tcBorders>
              <w:top w:val="nil"/>
              <w:left w:val="nil"/>
              <w:bottom w:val="single" w:sz="8" w:space="0" w:color="auto"/>
              <w:right w:val="nil"/>
            </w:tcBorders>
            <w:shd w:val="clear" w:color="000000" w:fill="FFFFFF"/>
            <w:noWrap/>
            <w:vAlign w:val="bottom"/>
            <w:hideMark/>
          </w:tcPr>
          <w:p w14:paraId="4D9CE5A6" w14:textId="77777777" w:rsidR="00D93793" w:rsidRPr="0098081B" w:rsidRDefault="00D93793" w:rsidP="00D93793">
            <w:pPr>
              <w:jc w:val="center"/>
              <w:rPr>
                <w:rFonts w:ascii="Arial" w:hAnsi="Arial" w:cs="Arial"/>
                <w:b/>
                <w:bCs/>
                <w:color w:val="000000"/>
                <w:lang w:val="pt-PT" w:eastAsia="en-GB"/>
              </w:rPr>
            </w:pPr>
            <w:r w:rsidRPr="0098081B">
              <w:rPr>
                <w:rFonts w:ascii="Arial" w:hAnsi="Arial" w:cs="Arial"/>
                <w:b/>
                <w:bCs/>
                <w:color w:val="000000"/>
                <w:lang w:val="pt-PT" w:eastAsia="en-GB"/>
              </w:rPr>
              <w:t xml:space="preserve"> (kg N uptake kg N</w:t>
            </w:r>
            <w:r w:rsidRPr="0098081B">
              <w:rPr>
                <w:rFonts w:ascii="Arial" w:hAnsi="Arial" w:cs="Arial"/>
                <w:b/>
                <w:bCs/>
                <w:color w:val="000000"/>
                <w:vertAlign w:val="superscript"/>
                <w:lang w:val="pt-PT" w:eastAsia="en-GB"/>
              </w:rPr>
              <w:t>-1</w:t>
            </w:r>
            <w:r w:rsidRPr="0098081B">
              <w:rPr>
                <w:rFonts w:ascii="Arial" w:hAnsi="Arial" w:cs="Arial"/>
                <w:b/>
                <w:bCs/>
                <w:color w:val="000000"/>
                <w:lang w:val="pt-PT" w:eastAsia="en-GB"/>
              </w:rPr>
              <w:t>)</w:t>
            </w:r>
          </w:p>
        </w:tc>
        <w:tc>
          <w:tcPr>
            <w:tcW w:w="2931" w:type="dxa"/>
            <w:gridSpan w:val="3"/>
            <w:tcBorders>
              <w:top w:val="nil"/>
              <w:left w:val="nil"/>
              <w:bottom w:val="single" w:sz="8" w:space="0" w:color="auto"/>
              <w:right w:val="nil"/>
            </w:tcBorders>
            <w:shd w:val="clear" w:color="000000" w:fill="FFFFFF"/>
            <w:noWrap/>
            <w:vAlign w:val="bottom"/>
            <w:hideMark/>
          </w:tcPr>
          <w:p w14:paraId="1722EF58"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(kg grain kg P</w:t>
            </w:r>
            <w:r w:rsidRPr="004160BB">
              <w:rPr>
                <w:rFonts w:ascii="Arial" w:hAnsi="Arial" w:cs="Arial"/>
                <w:b/>
                <w:bCs/>
                <w:color w:val="000000"/>
                <w:vertAlign w:val="superscript"/>
                <w:lang w:eastAsia="en-GB"/>
              </w:rPr>
              <w:t>-1</w:t>
            </w:r>
            <w:r w:rsidRPr="004160BB">
              <w:rPr>
                <w:rFonts w:ascii="Arial" w:hAnsi="Arial" w:cs="Arial"/>
                <w:b/>
                <w:bCs/>
                <w:color w:val="000000"/>
                <w:lang w:eastAsia="en-GB"/>
              </w:rPr>
              <w:t>)</w:t>
            </w:r>
          </w:p>
        </w:tc>
        <w:tc>
          <w:tcPr>
            <w:tcW w:w="2483" w:type="dxa"/>
            <w:gridSpan w:val="3"/>
            <w:tcBorders>
              <w:top w:val="nil"/>
              <w:left w:val="nil"/>
              <w:bottom w:val="single" w:sz="8" w:space="0" w:color="auto"/>
              <w:right w:val="nil"/>
            </w:tcBorders>
            <w:shd w:val="clear" w:color="000000" w:fill="FFFFFF"/>
            <w:noWrap/>
            <w:vAlign w:val="bottom"/>
            <w:hideMark/>
          </w:tcPr>
          <w:p w14:paraId="3244B4DF"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(kg P uptake kg P</w:t>
            </w:r>
            <w:r w:rsidRPr="004160BB">
              <w:rPr>
                <w:rFonts w:ascii="Arial" w:hAnsi="Arial" w:cs="Arial"/>
                <w:b/>
                <w:bCs/>
                <w:color w:val="000000"/>
                <w:vertAlign w:val="superscript"/>
                <w:lang w:eastAsia="en-GB"/>
              </w:rPr>
              <w:t>-1</w:t>
            </w:r>
            <w:r w:rsidRPr="004160BB">
              <w:rPr>
                <w:rFonts w:ascii="Arial" w:hAnsi="Arial" w:cs="Arial"/>
                <w:b/>
                <w:bCs/>
                <w:color w:val="000000"/>
                <w:lang w:eastAsia="en-GB"/>
              </w:rPr>
              <w:t>)</w:t>
            </w:r>
          </w:p>
        </w:tc>
      </w:tr>
      <w:tr w:rsidR="00D93793" w:rsidRPr="004160BB" w14:paraId="264C59B6" w14:textId="77777777" w:rsidTr="004407A1">
        <w:trPr>
          <w:trHeight w:val="288"/>
        </w:trPr>
        <w:tc>
          <w:tcPr>
            <w:tcW w:w="2164" w:type="dxa"/>
            <w:tcBorders>
              <w:top w:val="nil"/>
              <w:left w:val="nil"/>
              <w:bottom w:val="nil"/>
              <w:right w:val="nil"/>
            </w:tcBorders>
            <w:shd w:val="clear" w:color="000000" w:fill="FFFFFF"/>
            <w:noWrap/>
            <w:vAlign w:val="bottom"/>
            <w:hideMark/>
          </w:tcPr>
          <w:p w14:paraId="55C146AD"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Treatment</w:t>
            </w:r>
          </w:p>
        </w:tc>
        <w:tc>
          <w:tcPr>
            <w:tcW w:w="859" w:type="dxa"/>
            <w:tcBorders>
              <w:top w:val="nil"/>
              <w:left w:val="nil"/>
              <w:bottom w:val="single" w:sz="8" w:space="0" w:color="auto"/>
              <w:right w:val="nil"/>
            </w:tcBorders>
            <w:shd w:val="clear" w:color="000000" w:fill="FFFFFF"/>
            <w:noWrap/>
            <w:vAlign w:val="bottom"/>
            <w:hideMark/>
          </w:tcPr>
          <w:p w14:paraId="72C14791"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976" w:type="dxa"/>
            <w:tcBorders>
              <w:top w:val="nil"/>
              <w:left w:val="nil"/>
              <w:bottom w:val="single" w:sz="8" w:space="0" w:color="auto"/>
              <w:right w:val="nil"/>
            </w:tcBorders>
            <w:shd w:val="clear" w:color="000000" w:fill="FFFFFF"/>
            <w:noWrap/>
            <w:vAlign w:val="bottom"/>
            <w:hideMark/>
          </w:tcPr>
          <w:p w14:paraId="7BE37504"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754" w:type="dxa"/>
            <w:tcBorders>
              <w:top w:val="nil"/>
              <w:left w:val="nil"/>
              <w:bottom w:val="single" w:sz="8" w:space="0" w:color="auto"/>
              <w:right w:val="nil"/>
            </w:tcBorders>
            <w:shd w:val="clear" w:color="000000" w:fill="FFFFFF"/>
            <w:noWrap/>
            <w:vAlign w:val="bottom"/>
            <w:hideMark/>
          </w:tcPr>
          <w:p w14:paraId="600D17A8"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c>
          <w:tcPr>
            <w:tcW w:w="866" w:type="dxa"/>
            <w:tcBorders>
              <w:top w:val="nil"/>
              <w:left w:val="nil"/>
              <w:bottom w:val="single" w:sz="8" w:space="0" w:color="auto"/>
              <w:right w:val="nil"/>
            </w:tcBorders>
            <w:shd w:val="clear" w:color="000000" w:fill="FFFFFF"/>
            <w:noWrap/>
            <w:vAlign w:val="bottom"/>
            <w:hideMark/>
          </w:tcPr>
          <w:p w14:paraId="715175F3"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962" w:type="dxa"/>
            <w:tcBorders>
              <w:top w:val="nil"/>
              <w:left w:val="nil"/>
              <w:bottom w:val="single" w:sz="8" w:space="0" w:color="auto"/>
              <w:right w:val="nil"/>
            </w:tcBorders>
            <w:shd w:val="clear" w:color="000000" w:fill="FFFFFF"/>
            <w:noWrap/>
            <w:vAlign w:val="bottom"/>
            <w:hideMark/>
          </w:tcPr>
          <w:p w14:paraId="5D26D706"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754" w:type="dxa"/>
            <w:tcBorders>
              <w:top w:val="nil"/>
              <w:left w:val="nil"/>
              <w:bottom w:val="single" w:sz="8" w:space="0" w:color="auto"/>
              <w:right w:val="nil"/>
            </w:tcBorders>
            <w:shd w:val="clear" w:color="000000" w:fill="FFFFFF"/>
            <w:noWrap/>
            <w:vAlign w:val="bottom"/>
            <w:hideMark/>
          </w:tcPr>
          <w:p w14:paraId="3613E2D0"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c>
          <w:tcPr>
            <w:tcW w:w="1086" w:type="dxa"/>
            <w:tcBorders>
              <w:top w:val="nil"/>
              <w:left w:val="nil"/>
              <w:bottom w:val="single" w:sz="8" w:space="0" w:color="auto"/>
              <w:right w:val="nil"/>
            </w:tcBorders>
            <w:shd w:val="clear" w:color="000000" w:fill="FFFFFF"/>
            <w:noWrap/>
            <w:vAlign w:val="bottom"/>
            <w:hideMark/>
          </w:tcPr>
          <w:p w14:paraId="33F1130A"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1024" w:type="dxa"/>
            <w:tcBorders>
              <w:top w:val="nil"/>
              <w:left w:val="nil"/>
              <w:bottom w:val="single" w:sz="8" w:space="0" w:color="auto"/>
              <w:right w:val="nil"/>
            </w:tcBorders>
            <w:shd w:val="clear" w:color="000000" w:fill="FFFFFF"/>
            <w:noWrap/>
            <w:vAlign w:val="bottom"/>
            <w:hideMark/>
          </w:tcPr>
          <w:p w14:paraId="4274396E"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821" w:type="dxa"/>
            <w:tcBorders>
              <w:top w:val="nil"/>
              <w:left w:val="nil"/>
              <w:bottom w:val="single" w:sz="8" w:space="0" w:color="auto"/>
              <w:right w:val="nil"/>
            </w:tcBorders>
            <w:shd w:val="clear" w:color="000000" w:fill="FFFFFF"/>
            <w:noWrap/>
            <w:vAlign w:val="bottom"/>
            <w:hideMark/>
          </w:tcPr>
          <w:p w14:paraId="7FCBFFC8"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c>
          <w:tcPr>
            <w:tcW w:w="767" w:type="dxa"/>
            <w:tcBorders>
              <w:top w:val="nil"/>
              <w:left w:val="nil"/>
              <w:bottom w:val="single" w:sz="8" w:space="0" w:color="auto"/>
              <w:right w:val="nil"/>
            </w:tcBorders>
            <w:shd w:val="clear" w:color="000000" w:fill="FFFFFF"/>
            <w:noWrap/>
            <w:vAlign w:val="bottom"/>
            <w:hideMark/>
          </w:tcPr>
          <w:p w14:paraId="50209F28"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962" w:type="dxa"/>
            <w:tcBorders>
              <w:top w:val="nil"/>
              <w:left w:val="nil"/>
              <w:bottom w:val="single" w:sz="8" w:space="0" w:color="auto"/>
              <w:right w:val="nil"/>
            </w:tcBorders>
            <w:shd w:val="clear" w:color="000000" w:fill="FFFFFF"/>
            <w:noWrap/>
            <w:vAlign w:val="bottom"/>
            <w:hideMark/>
          </w:tcPr>
          <w:p w14:paraId="0E8692FB"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754" w:type="dxa"/>
            <w:tcBorders>
              <w:top w:val="nil"/>
              <w:left w:val="nil"/>
              <w:bottom w:val="single" w:sz="8" w:space="0" w:color="auto"/>
              <w:right w:val="nil"/>
            </w:tcBorders>
            <w:shd w:val="clear" w:color="000000" w:fill="FFFFFF"/>
            <w:noWrap/>
            <w:vAlign w:val="bottom"/>
            <w:hideMark/>
          </w:tcPr>
          <w:p w14:paraId="5BC16BAB"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r>
      <w:tr w:rsidR="00D93793" w:rsidRPr="004160BB" w14:paraId="48AD8368" w14:textId="77777777" w:rsidTr="004407A1">
        <w:trPr>
          <w:trHeight w:val="288"/>
        </w:trPr>
        <w:tc>
          <w:tcPr>
            <w:tcW w:w="2164" w:type="dxa"/>
            <w:tcBorders>
              <w:top w:val="single" w:sz="8" w:space="0" w:color="auto"/>
              <w:left w:val="nil"/>
              <w:bottom w:val="nil"/>
              <w:right w:val="single" w:sz="8" w:space="0" w:color="auto"/>
            </w:tcBorders>
            <w:shd w:val="clear" w:color="000000" w:fill="FFFFFF"/>
            <w:noWrap/>
            <w:vAlign w:val="bottom"/>
            <w:hideMark/>
          </w:tcPr>
          <w:p w14:paraId="5A1A65B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Control</w:t>
            </w:r>
          </w:p>
        </w:tc>
        <w:tc>
          <w:tcPr>
            <w:tcW w:w="859" w:type="dxa"/>
            <w:tcBorders>
              <w:top w:val="nil"/>
              <w:left w:val="nil"/>
              <w:bottom w:val="nil"/>
              <w:right w:val="nil"/>
            </w:tcBorders>
            <w:shd w:val="clear" w:color="000000" w:fill="FFFFFF"/>
            <w:noWrap/>
            <w:vAlign w:val="bottom"/>
            <w:hideMark/>
          </w:tcPr>
          <w:p w14:paraId="41BE26E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976" w:type="dxa"/>
            <w:tcBorders>
              <w:top w:val="nil"/>
              <w:left w:val="nil"/>
              <w:bottom w:val="nil"/>
              <w:right w:val="nil"/>
            </w:tcBorders>
            <w:shd w:val="clear" w:color="000000" w:fill="FFFFFF"/>
            <w:noWrap/>
            <w:vAlign w:val="bottom"/>
            <w:hideMark/>
          </w:tcPr>
          <w:p w14:paraId="36E84A6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754" w:type="dxa"/>
            <w:tcBorders>
              <w:top w:val="nil"/>
              <w:left w:val="nil"/>
              <w:bottom w:val="nil"/>
              <w:right w:val="nil"/>
            </w:tcBorders>
            <w:shd w:val="clear" w:color="000000" w:fill="FFFFFF"/>
            <w:noWrap/>
            <w:vAlign w:val="bottom"/>
            <w:hideMark/>
          </w:tcPr>
          <w:p w14:paraId="087C533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nil"/>
              <w:right w:val="nil"/>
            </w:tcBorders>
            <w:shd w:val="clear" w:color="000000" w:fill="FFFFFF"/>
            <w:noWrap/>
            <w:vAlign w:val="bottom"/>
            <w:hideMark/>
          </w:tcPr>
          <w:p w14:paraId="249195D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962" w:type="dxa"/>
            <w:tcBorders>
              <w:top w:val="nil"/>
              <w:left w:val="nil"/>
              <w:bottom w:val="nil"/>
              <w:right w:val="nil"/>
            </w:tcBorders>
            <w:shd w:val="clear" w:color="000000" w:fill="FFFFFF"/>
            <w:noWrap/>
            <w:vAlign w:val="bottom"/>
            <w:hideMark/>
          </w:tcPr>
          <w:p w14:paraId="002D19D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754" w:type="dxa"/>
            <w:tcBorders>
              <w:top w:val="nil"/>
              <w:left w:val="nil"/>
              <w:bottom w:val="nil"/>
              <w:right w:val="nil"/>
            </w:tcBorders>
            <w:shd w:val="clear" w:color="000000" w:fill="FFFFFF"/>
            <w:noWrap/>
            <w:vAlign w:val="bottom"/>
            <w:hideMark/>
          </w:tcPr>
          <w:p w14:paraId="5D4424D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nil"/>
              <w:right w:val="nil"/>
            </w:tcBorders>
            <w:shd w:val="clear" w:color="000000" w:fill="FFFFFF"/>
            <w:noWrap/>
            <w:vAlign w:val="bottom"/>
            <w:hideMark/>
          </w:tcPr>
          <w:p w14:paraId="1A45411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1024" w:type="dxa"/>
            <w:tcBorders>
              <w:top w:val="nil"/>
              <w:left w:val="nil"/>
              <w:bottom w:val="nil"/>
              <w:right w:val="nil"/>
            </w:tcBorders>
            <w:shd w:val="clear" w:color="000000" w:fill="FFFFFF"/>
            <w:noWrap/>
            <w:vAlign w:val="bottom"/>
            <w:hideMark/>
          </w:tcPr>
          <w:p w14:paraId="6DDFDFE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821" w:type="dxa"/>
            <w:tcBorders>
              <w:top w:val="nil"/>
              <w:left w:val="nil"/>
              <w:bottom w:val="nil"/>
              <w:right w:val="nil"/>
            </w:tcBorders>
            <w:shd w:val="clear" w:color="000000" w:fill="FFFFFF"/>
            <w:noWrap/>
            <w:vAlign w:val="bottom"/>
            <w:hideMark/>
          </w:tcPr>
          <w:p w14:paraId="409EAAF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nil"/>
              <w:right w:val="nil"/>
            </w:tcBorders>
            <w:shd w:val="clear" w:color="000000" w:fill="FFFFFF"/>
            <w:noWrap/>
            <w:vAlign w:val="bottom"/>
            <w:hideMark/>
          </w:tcPr>
          <w:p w14:paraId="2211A92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962" w:type="dxa"/>
            <w:tcBorders>
              <w:top w:val="nil"/>
              <w:left w:val="nil"/>
              <w:bottom w:val="nil"/>
              <w:right w:val="nil"/>
            </w:tcBorders>
            <w:shd w:val="clear" w:color="000000" w:fill="FFFFFF"/>
            <w:noWrap/>
            <w:vAlign w:val="bottom"/>
            <w:hideMark/>
          </w:tcPr>
          <w:p w14:paraId="1A93652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754" w:type="dxa"/>
            <w:tcBorders>
              <w:top w:val="nil"/>
              <w:left w:val="nil"/>
              <w:bottom w:val="nil"/>
              <w:right w:val="nil"/>
            </w:tcBorders>
            <w:shd w:val="clear" w:color="000000" w:fill="FFFFFF"/>
            <w:noWrap/>
            <w:vAlign w:val="bottom"/>
            <w:hideMark/>
          </w:tcPr>
          <w:p w14:paraId="239C928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680E1B7C"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397022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CM30</w:t>
            </w:r>
          </w:p>
        </w:tc>
        <w:tc>
          <w:tcPr>
            <w:tcW w:w="859" w:type="dxa"/>
            <w:tcBorders>
              <w:top w:val="nil"/>
              <w:left w:val="nil"/>
              <w:bottom w:val="nil"/>
              <w:right w:val="nil"/>
            </w:tcBorders>
            <w:shd w:val="clear" w:color="000000" w:fill="FFFFFF"/>
            <w:noWrap/>
            <w:vAlign w:val="bottom"/>
            <w:hideMark/>
          </w:tcPr>
          <w:p w14:paraId="13395B3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17.27</w:t>
            </w:r>
            <w:r w:rsidRPr="004160BB">
              <w:rPr>
                <w:rFonts w:ascii="Arial" w:hAnsi="Arial" w:cs="Arial"/>
                <w:color w:val="000000"/>
                <w:vertAlign w:val="superscript"/>
                <w:lang w:eastAsia="en-GB"/>
              </w:rPr>
              <w:t>c</w:t>
            </w:r>
          </w:p>
        </w:tc>
        <w:tc>
          <w:tcPr>
            <w:tcW w:w="976" w:type="dxa"/>
            <w:tcBorders>
              <w:top w:val="nil"/>
              <w:left w:val="nil"/>
              <w:bottom w:val="nil"/>
              <w:right w:val="nil"/>
            </w:tcBorders>
            <w:shd w:val="clear" w:color="000000" w:fill="FFFFFF"/>
            <w:noWrap/>
            <w:vAlign w:val="bottom"/>
            <w:hideMark/>
          </w:tcPr>
          <w:p w14:paraId="1A6C514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26.40</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4876C88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21.84</w:t>
            </w:r>
          </w:p>
        </w:tc>
        <w:tc>
          <w:tcPr>
            <w:tcW w:w="866" w:type="dxa"/>
            <w:tcBorders>
              <w:top w:val="nil"/>
              <w:left w:val="nil"/>
              <w:bottom w:val="nil"/>
              <w:right w:val="nil"/>
            </w:tcBorders>
            <w:shd w:val="clear" w:color="000000" w:fill="FFFFFF"/>
            <w:noWrap/>
            <w:vAlign w:val="bottom"/>
            <w:hideMark/>
          </w:tcPr>
          <w:p w14:paraId="0FF8355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0.13</w:t>
            </w:r>
            <w:r w:rsidRPr="004160BB">
              <w:rPr>
                <w:rFonts w:ascii="Arial" w:hAnsi="Arial" w:cs="Arial"/>
                <w:color w:val="000000"/>
                <w:vertAlign w:val="superscript"/>
                <w:lang w:eastAsia="en-GB"/>
              </w:rPr>
              <w:t>f</w:t>
            </w:r>
          </w:p>
        </w:tc>
        <w:tc>
          <w:tcPr>
            <w:tcW w:w="962" w:type="dxa"/>
            <w:tcBorders>
              <w:top w:val="nil"/>
              <w:left w:val="nil"/>
              <w:bottom w:val="nil"/>
              <w:right w:val="nil"/>
            </w:tcBorders>
            <w:shd w:val="clear" w:color="000000" w:fill="FFFFFF"/>
            <w:noWrap/>
            <w:vAlign w:val="bottom"/>
            <w:hideMark/>
          </w:tcPr>
          <w:p w14:paraId="40242BD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0.12</w:t>
            </w:r>
            <w:r w:rsidRPr="004160BB">
              <w:rPr>
                <w:rFonts w:ascii="Arial" w:hAnsi="Arial" w:cs="Arial"/>
                <w:color w:val="000000"/>
                <w:vertAlign w:val="superscript"/>
                <w:lang w:eastAsia="en-GB"/>
              </w:rPr>
              <w:t>f</w:t>
            </w:r>
          </w:p>
        </w:tc>
        <w:tc>
          <w:tcPr>
            <w:tcW w:w="754" w:type="dxa"/>
            <w:tcBorders>
              <w:top w:val="nil"/>
              <w:left w:val="nil"/>
              <w:bottom w:val="nil"/>
              <w:right w:val="nil"/>
            </w:tcBorders>
            <w:shd w:val="clear" w:color="000000" w:fill="FFFFFF"/>
            <w:noWrap/>
            <w:vAlign w:val="bottom"/>
            <w:hideMark/>
          </w:tcPr>
          <w:p w14:paraId="46B1D48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0.13</w:t>
            </w:r>
          </w:p>
        </w:tc>
        <w:tc>
          <w:tcPr>
            <w:tcW w:w="1086" w:type="dxa"/>
            <w:tcBorders>
              <w:top w:val="nil"/>
              <w:left w:val="nil"/>
              <w:bottom w:val="nil"/>
              <w:right w:val="nil"/>
            </w:tcBorders>
            <w:shd w:val="clear" w:color="000000" w:fill="FFFFFF"/>
            <w:noWrap/>
            <w:vAlign w:val="bottom"/>
            <w:hideMark/>
          </w:tcPr>
          <w:p w14:paraId="2F32421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57.58</w:t>
            </w:r>
            <w:r w:rsidRPr="004160BB">
              <w:rPr>
                <w:rFonts w:ascii="Arial" w:hAnsi="Arial" w:cs="Arial"/>
                <w:color w:val="000000"/>
                <w:vertAlign w:val="superscript"/>
                <w:lang w:eastAsia="en-GB"/>
              </w:rPr>
              <w:t>f</w:t>
            </w:r>
          </w:p>
        </w:tc>
        <w:tc>
          <w:tcPr>
            <w:tcW w:w="1024" w:type="dxa"/>
            <w:tcBorders>
              <w:top w:val="nil"/>
              <w:left w:val="nil"/>
              <w:bottom w:val="nil"/>
              <w:right w:val="nil"/>
            </w:tcBorders>
            <w:shd w:val="clear" w:color="000000" w:fill="FFFFFF"/>
            <w:noWrap/>
            <w:vAlign w:val="bottom"/>
            <w:hideMark/>
          </w:tcPr>
          <w:p w14:paraId="361D3A8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88.00</w:t>
            </w:r>
            <w:r w:rsidRPr="004160BB">
              <w:rPr>
                <w:rFonts w:ascii="Arial" w:hAnsi="Arial" w:cs="Arial"/>
                <w:color w:val="000000"/>
                <w:vertAlign w:val="superscript"/>
                <w:lang w:eastAsia="en-GB"/>
              </w:rPr>
              <w:t>g</w:t>
            </w:r>
          </w:p>
        </w:tc>
        <w:tc>
          <w:tcPr>
            <w:tcW w:w="821" w:type="dxa"/>
            <w:tcBorders>
              <w:top w:val="nil"/>
              <w:left w:val="nil"/>
              <w:bottom w:val="nil"/>
              <w:right w:val="nil"/>
            </w:tcBorders>
            <w:shd w:val="clear" w:color="000000" w:fill="FFFFFF"/>
            <w:noWrap/>
            <w:vAlign w:val="bottom"/>
            <w:hideMark/>
          </w:tcPr>
          <w:p w14:paraId="1A5C0BC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72.79</w:t>
            </w:r>
          </w:p>
        </w:tc>
        <w:tc>
          <w:tcPr>
            <w:tcW w:w="767" w:type="dxa"/>
            <w:tcBorders>
              <w:top w:val="nil"/>
              <w:left w:val="nil"/>
              <w:bottom w:val="nil"/>
              <w:right w:val="nil"/>
            </w:tcBorders>
            <w:shd w:val="clear" w:color="000000" w:fill="FFFFFF"/>
            <w:noWrap/>
            <w:vAlign w:val="bottom"/>
            <w:hideMark/>
          </w:tcPr>
          <w:p w14:paraId="583D12A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3A02964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d</w:t>
            </w:r>
          </w:p>
        </w:tc>
        <w:tc>
          <w:tcPr>
            <w:tcW w:w="754" w:type="dxa"/>
            <w:tcBorders>
              <w:top w:val="nil"/>
              <w:left w:val="nil"/>
              <w:bottom w:val="nil"/>
              <w:right w:val="nil"/>
            </w:tcBorders>
            <w:shd w:val="clear" w:color="000000" w:fill="FFFFFF"/>
            <w:noWrap/>
            <w:vAlign w:val="bottom"/>
            <w:hideMark/>
          </w:tcPr>
          <w:p w14:paraId="104CA97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p>
        </w:tc>
      </w:tr>
      <w:tr w:rsidR="00D93793" w:rsidRPr="004160BB" w14:paraId="64D491DA"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00415B6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PM10+CM10+TSP10</w:t>
            </w:r>
          </w:p>
        </w:tc>
        <w:tc>
          <w:tcPr>
            <w:tcW w:w="859" w:type="dxa"/>
            <w:tcBorders>
              <w:top w:val="nil"/>
              <w:left w:val="nil"/>
              <w:bottom w:val="nil"/>
              <w:right w:val="nil"/>
            </w:tcBorders>
            <w:shd w:val="clear" w:color="000000" w:fill="FFFFFF"/>
            <w:noWrap/>
            <w:vAlign w:val="bottom"/>
            <w:hideMark/>
          </w:tcPr>
          <w:p w14:paraId="665C8C2E"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41.46</w:t>
            </w:r>
            <w:r w:rsidRPr="004160BB">
              <w:rPr>
                <w:rFonts w:ascii="Arial" w:hAnsi="Arial" w:cs="Arial"/>
                <w:b/>
                <w:bCs/>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077AB40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43.26</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0959475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42.36</w:t>
            </w:r>
          </w:p>
        </w:tc>
        <w:tc>
          <w:tcPr>
            <w:tcW w:w="866" w:type="dxa"/>
            <w:tcBorders>
              <w:top w:val="nil"/>
              <w:left w:val="nil"/>
              <w:bottom w:val="nil"/>
              <w:right w:val="nil"/>
            </w:tcBorders>
            <w:shd w:val="clear" w:color="000000" w:fill="FFFFFF"/>
            <w:noWrap/>
            <w:vAlign w:val="bottom"/>
            <w:hideMark/>
          </w:tcPr>
          <w:p w14:paraId="4111889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0.32</w:t>
            </w:r>
            <w:r w:rsidRPr="004160BB">
              <w:rPr>
                <w:rFonts w:ascii="Arial" w:hAnsi="Arial" w:cs="Arial"/>
                <w:color w:val="000000"/>
                <w:vertAlign w:val="superscript"/>
                <w:lang w:eastAsia="en-GB"/>
              </w:rPr>
              <w:t>bcde</w:t>
            </w:r>
          </w:p>
        </w:tc>
        <w:tc>
          <w:tcPr>
            <w:tcW w:w="962" w:type="dxa"/>
            <w:tcBorders>
              <w:top w:val="nil"/>
              <w:left w:val="nil"/>
              <w:bottom w:val="nil"/>
              <w:right w:val="nil"/>
            </w:tcBorders>
            <w:shd w:val="clear" w:color="000000" w:fill="FFFFFF"/>
            <w:noWrap/>
            <w:vAlign w:val="bottom"/>
            <w:hideMark/>
          </w:tcPr>
          <w:p w14:paraId="58B1584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0.35</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2695673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0.34</w:t>
            </w:r>
          </w:p>
        </w:tc>
        <w:tc>
          <w:tcPr>
            <w:tcW w:w="1086" w:type="dxa"/>
            <w:tcBorders>
              <w:top w:val="nil"/>
              <w:left w:val="nil"/>
              <w:bottom w:val="nil"/>
              <w:right w:val="nil"/>
            </w:tcBorders>
            <w:shd w:val="clear" w:color="000000" w:fill="FFFFFF"/>
            <w:noWrap/>
            <w:vAlign w:val="bottom"/>
            <w:hideMark/>
          </w:tcPr>
          <w:p w14:paraId="4CA4F89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138.16</w:t>
            </w:r>
            <w:r w:rsidRPr="004160BB">
              <w:rPr>
                <w:rFonts w:ascii="Arial" w:hAnsi="Arial" w:cs="Arial"/>
                <w:color w:val="000000"/>
                <w:vertAlign w:val="superscript"/>
                <w:lang w:eastAsia="en-GB"/>
              </w:rPr>
              <w:t>abc</w:t>
            </w:r>
          </w:p>
        </w:tc>
        <w:tc>
          <w:tcPr>
            <w:tcW w:w="1024" w:type="dxa"/>
            <w:tcBorders>
              <w:top w:val="nil"/>
              <w:left w:val="nil"/>
              <w:bottom w:val="nil"/>
              <w:right w:val="nil"/>
            </w:tcBorders>
            <w:shd w:val="clear" w:color="000000" w:fill="FFFFFF"/>
            <w:noWrap/>
            <w:vAlign w:val="bottom"/>
            <w:hideMark/>
          </w:tcPr>
          <w:p w14:paraId="6FE1129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149.73</w:t>
            </w:r>
            <w:r w:rsidRPr="004160BB">
              <w:rPr>
                <w:rFonts w:ascii="Arial" w:hAnsi="Arial" w:cs="Arial"/>
                <w:color w:val="000000"/>
                <w:vertAlign w:val="superscript"/>
                <w:lang w:eastAsia="en-GB"/>
              </w:rPr>
              <w:t>ab</w:t>
            </w:r>
          </w:p>
        </w:tc>
        <w:tc>
          <w:tcPr>
            <w:tcW w:w="821" w:type="dxa"/>
            <w:tcBorders>
              <w:top w:val="nil"/>
              <w:left w:val="nil"/>
              <w:bottom w:val="nil"/>
              <w:right w:val="nil"/>
            </w:tcBorders>
            <w:shd w:val="clear" w:color="000000" w:fill="FFFFFF"/>
            <w:noWrap/>
            <w:vAlign w:val="bottom"/>
            <w:hideMark/>
          </w:tcPr>
          <w:p w14:paraId="2892257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143.95</w:t>
            </w:r>
          </w:p>
        </w:tc>
        <w:tc>
          <w:tcPr>
            <w:tcW w:w="767" w:type="dxa"/>
            <w:tcBorders>
              <w:top w:val="nil"/>
              <w:left w:val="nil"/>
              <w:bottom w:val="nil"/>
              <w:right w:val="nil"/>
            </w:tcBorders>
            <w:shd w:val="clear" w:color="000000" w:fill="FFFFFF"/>
            <w:noWrap/>
            <w:vAlign w:val="bottom"/>
            <w:hideMark/>
          </w:tcPr>
          <w:p w14:paraId="09B4D39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0.07</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9266E5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0.23</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5264170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0.15</w:t>
            </w:r>
          </w:p>
        </w:tc>
      </w:tr>
      <w:tr w:rsidR="00D93793" w:rsidRPr="004160BB" w14:paraId="7F614D2E"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9EC536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PM15+CM15</w:t>
            </w:r>
          </w:p>
        </w:tc>
        <w:tc>
          <w:tcPr>
            <w:tcW w:w="859" w:type="dxa"/>
            <w:tcBorders>
              <w:top w:val="nil"/>
              <w:left w:val="nil"/>
              <w:bottom w:val="nil"/>
              <w:right w:val="nil"/>
            </w:tcBorders>
            <w:shd w:val="clear" w:color="000000" w:fill="FFFFFF"/>
            <w:noWrap/>
            <w:vAlign w:val="bottom"/>
            <w:hideMark/>
          </w:tcPr>
          <w:p w14:paraId="0A477B6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34.61</w:t>
            </w:r>
            <w:r w:rsidRPr="004160BB">
              <w:rPr>
                <w:rFonts w:ascii="Arial" w:hAnsi="Arial" w:cs="Arial"/>
                <w:color w:val="000000"/>
                <w:vertAlign w:val="superscript"/>
                <w:lang w:eastAsia="en-GB"/>
              </w:rPr>
              <w:t>b</w:t>
            </w:r>
          </w:p>
        </w:tc>
        <w:tc>
          <w:tcPr>
            <w:tcW w:w="976" w:type="dxa"/>
            <w:tcBorders>
              <w:top w:val="nil"/>
              <w:left w:val="nil"/>
              <w:bottom w:val="nil"/>
              <w:right w:val="nil"/>
            </w:tcBorders>
            <w:shd w:val="clear" w:color="000000" w:fill="FFFFFF"/>
            <w:noWrap/>
            <w:vAlign w:val="bottom"/>
            <w:hideMark/>
          </w:tcPr>
          <w:p w14:paraId="73558C4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30.62</w:t>
            </w:r>
            <w:r w:rsidRPr="004160BB">
              <w:rPr>
                <w:rFonts w:ascii="Arial" w:hAnsi="Arial" w:cs="Arial"/>
                <w:color w:val="000000"/>
                <w:vertAlign w:val="superscript"/>
                <w:lang w:eastAsia="en-GB"/>
              </w:rPr>
              <w:t>de</w:t>
            </w:r>
          </w:p>
        </w:tc>
        <w:tc>
          <w:tcPr>
            <w:tcW w:w="754" w:type="dxa"/>
            <w:tcBorders>
              <w:top w:val="nil"/>
              <w:left w:val="nil"/>
              <w:bottom w:val="nil"/>
              <w:right w:val="nil"/>
            </w:tcBorders>
            <w:shd w:val="clear" w:color="000000" w:fill="FFFFFF"/>
            <w:noWrap/>
            <w:vAlign w:val="bottom"/>
            <w:hideMark/>
          </w:tcPr>
          <w:p w14:paraId="33F3A80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32.62</w:t>
            </w:r>
          </w:p>
        </w:tc>
        <w:tc>
          <w:tcPr>
            <w:tcW w:w="866" w:type="dxa"/>
            <w:tcBorders>
              <w:top w:val="nil"/>
              <w:left w:val="nil"/>
              <w:bottom w:val="nil"/>
              <w:right w:val="nil"/>
            </w:tcBorders>
            <w:shd w:val="clear" w:color="000000" w:fill="FFFFFF"/>
            <w:noWrap/>
            <w:vAlign w:val="bottom"/>
            <w:hideMark/>
          </w:tcPr>
          <w:p w14:paraId="2581265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0.30</w:t>
            </w:r>
            <w:r w:rsidRPr="004160BB">
              <w:rPr>
                <w:rFonts w:ascii="Arial" w:hAnsi="Arial" w:cs="Arial"/>
                <w:color w:val="000000"/>
                <w:vertAlign w:val="superscript"/>
                <w:lang w:eastAsia="en-GB"/>
              </w:rPr>
              <w:t>cde</w:t>
            </w:r>
          </w:p>
        </w:tc>
        <w:tc>
          <w:tcPr>
            <w:tcW w:w="962" w:type="dxa"/>
            <w:tcBorders>
              <w:top w:val="nil"/>
              <w:left w:val="nil"/>
              <w:bottom w:val="nil"/>
              <w:right w:val="nil"/>
            </w:tcBorders>
            <w:shd w:val="clear" w:color="000000" w:fill="FFFFFF"/>
            <w:noWrap/>
            <w:vAlign w:val="bottom"/>
            <w:hideMark/>
          </w:tcPr>
          <w:p w14:paraId="66A8109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0.23</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5890A9B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0.27</w:t>
            </w:r>
          </w:p>
        </w:tc>
        <w:tc>
          <w:tcPr>
            <w:tcW w:w="1086" w:type="dxa"/>
            <w:tcBorders>
              <w:top w:val="nil"/>
              <w:left w:val="nil"/>
              <w:bottom w:val="nil"/>
              <w:right w:val="nil"/>
            </w:tcBorders>
            <w:shd w:val="clear" w:color="000000" w:fill="FFFFFF"/>
            <w:noWrap/>
            <w:vAlign w:val="bottom"/>
            <w:hideMark/>
          </w:tcPr>
          <w:p w14:paraId="40CCF62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98.17</w:t>
            </w:r>
            <w:r w:rsidRPr="004160BB">
              <w:rPr>
                <w:rFonts w:ascii="Arial" w:hAnsi="Arial" w:cs="Arial"/>
                <w:color w:val="000000"/>
                <w:vertAlign w:val="superscript"/>
                <w:lang w:eastAsia="en-GB"/>
              </w:rPr>
              <w:t>e</w:t>
            </w:r>
          </w:p>
        </w:tc>
        <w:tc>
          <w:tcPr>
            <w:tcW w:w="1024" w:type="dxa"/>
            <w:tcBorders>
              <w:top w:val="nil"/>
              <w:left w:val="nil"/>
              <w:bottom w:val="nil"/>
              <w:right w:val="nil"/>
            </w:tcBorders>
            <w:shd w:val="clear" w:color="000000" w:fill="FFFFFF"/>
            <w:noWrap/>
            <w:vAlign w:val="bottom"/>
            <w:hideMark/>
          </w:tcPr>
          <w:p w14:paraId="120B1F7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106.86</w:t>
            </w:r>
            <w:r w:rsidRPr="004160BB">
              <w:rPr>
                <w:rFonts w:ascii="Arial" w:hAnsi="Arial" w:cs="Arial"/>
                <w:color w:val="000000"/>
                <w:vertAlign w:val="superscript"/>
                <w:lang w:eastAsia="en-GB"/>
              </w:rPr>
              <w:t>ef</w:t>
            </w:r>
          </w:p>
        </w:tc>
        <w:tc>
          <w:tcPr>
            <w:tcW w:w="821" w:type="dxa"/>
            <w:tcBorders>
              <w:top w:val="nil"/>
              <w:left w:val="nil"/>
              <w:bottom w:val="nil"/>
              <w:right w:val="nil"/>
            </w:tcBorders>
            <w:shd w:val="clear" w:color="000000" w:fill="FFFFFF"/>
            <w:noWrap/>
            <w:vAlign w:val="bottom"/>
            <w:hideMark/>
          </w:tcPr>
          <w:p w14:paraId="4FC3CD8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102.52</w:t>
            </w:r>
          </w:p>
        </w:tc>
        <w:tc>
          <w:tcPr>
            <w:tcW w:w="767" w:type="dxa"/>
            <w:tcBorders>
              <w:top w:val="nil"/>
              <w:left w:val="nil"/>
              <w:bottom w:val="nil"/>
              <w:right w:val="nil"/>
            </w:tcBorders>
            <w:shd w:val="clear" w:color="000000" w:fill="FFFFFF"/>
            <w:noWrap/>
            <w:vAlign w:val="bottom"/>
            <w:hideMark/>
          </w:tcPr>
          <w:p w14:paraId="25B0D36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0BAB70C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0.22</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4B11A7D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7EC763E6"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52DAC8A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PM22.5+CM7.5</w:t>
            </w:r>
          </w:p>
        </w:tc>
        <w:tc>
          <w:tcPr>
            <w:tcW w:w="859" w:type="dxa"/>
            <w:tcBorders>
              <w:top w:val="nil"/>
              <w:left w:val="nil"/>
              <w:bottom w:val="nil"/>
              <w:right w:val="nil"/>
            </w:tcBorders>
            <w:shd w:val="clear" w:color="000000" w:fill="FFFFFF"/>
            <w:noWrap/>
            <w:vAlign w:val="bottom"/>
            <w:hideMark/>
          </w:tcPr>
          <w:p w14:paraId="2E4FD07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39.97</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46FDF28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41.48</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174DD17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40.73</w:t>
            </w:r>
          </w:p>
        </w:tc>
        <w:tc>
          <w:tcPr>
            <w:tcW w:w="866" w:type="dxa"/>
            <w:tcBorders>
              <w:top w:val="nil"/>
              <w:left w:val="nil"/>
              <w:bottom w:val="nil"/>
              <w:right w:val="nil"/>
            </w:tcBorders>
            <w:shd w:val="clear" w:color="000000" w:fill="FFFFFF"/>
            <w:noWrap/>
            <w:vAlign w:val="bottom"/>
            <w:hideMark/>
          </w:tcPr>
          <w:p w14:paraId="1F6A042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0.35</w:t>
            </w:r>
            <w:r w:rsidRPr="004160BB">
              <w:rPr>
                <w:rFonts w:ascii="Arial" w:hAnsi="Arial" w:cs="Arial"/>
                <w:color w:val="000000"/>
                <w:vertAlign w:val="superscript"/>
                <w:lang w:eastAsia="en-GB"/>
              </w:rPr>
              <w:t>bcd</w:t>
            </w:r>
          </w:p>
        </w:tc>
        <w:tc>
          <w:tcPr>
            <w:tcW w:w="962" w:type="dxa"/>
            <w:tcBorders>
              <w:top w:val="nil"/>
              <w:left w:val="nil"/>
              <w:bottom w:val="nil"/>
              <w:right w:val="nil"/>
            </w:tcBorders>
            <w:shd w:val="clear" w:color="000000" w:fill="FFFFFF"/>
            <w:noWrap/>
            <w:vAlign w:val="bottom"/>
            <w:hideMark/>
          </w:tcPr>
          <w:p w14:paraId="412DDC9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0.36</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1773EB2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0.36</w:t>
            </w:r>
          </w:p>
        </w:tc>
        <w:tc>
          <w:tcPr>
            <w:tcW w:w="1086" w:type="dxa"/>
            <w:tcBorders>
              <w:top w:val="nil"/>
              <w:left w:val="nil"/>
              <w:bottom w:val="nil"/>
              <w:right w:val="nil"/>
            </w:tcBorders>
            <w:shd w:val="clear" w:color="000000" w:fill="FFFFFF"/>
            <w:noWrap/>
            <w:vAlign w:val="bottom"/>
            <w:hideMark/>
          </w:tcPr>
          <w:p w14:paraId="5510819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133.23</w:t>
            </w:r>
            <w:r w:rsidRPr="004160BB">
              <w:rPr>
                <w:rFonts w:ascii="Arial" w:hAnsi="Arial" w:cs="Arial"/>
                <w:color w:val="000000"/>
                <w:vertAlign w:val="superscript"/>
                <w:lang w:eastAsia="en-GB"/>
              </w:rPr>
              <w:t>abcd</w:t>
            </w:r>
          </w:p>
        </w:tc>
        <w:tc>
          <w:tcPr>
            <w:tcW w:w="1024" w:type="dxa"/>
            <w:tcBorders>
              <w:top w:val="nil"/>
              <w:left w:val="nil"/>
              <w:bottom w:val="nil"/>
              <w:right w:val="nil"/>
            </w:tcBorders>
            <w:shd w:val="clear" w:color="000000" w:fill="FFFFFF"/>
            <w:noWrap/>
            <w:vAlign w:val="bottom"/>
            <w:hideMark/>
          </w:tcPr>
          <w:p w14:paraId="754882E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131.95</w:t>
            </w:r>
            <w:r w:rsidRPr="004160BB">
              <w:rPr>
                <w:rFonts w:ascii="Arial" w:hAnsi="Arial" w:cs="Arial"/>
                <w:color w:val="000000"/>
                <w:vertAlign w:val="superscript"/>
                <w:lang w:eastAsia="en-GB"/>
              </w:rPr>
              <w:t>cd</w:t>
            </w:r>
          </w:p>
        </w:tc>
        <w:tc>
          <w:tcPr>
            <w:tcW w:w="821" w:type="dxa"/>
            <w:tcBorders>
              <w:top w:val="nil"/>
              <w:left w:val="nil"/>
              <w:bottom w:val="nil"/>
              <w:right w:val="nil"/>
            </w:tcBorders>
            <w:shd w:val="clear" w:color="000000" w:fill="FFFFFF"/>
            <w:noWrap/>
            <w:vAlign w:val="bottom"/>
            <w:hideMark/>
          </w:tcPr>
          <w:p w14:paraId="79D3AEB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132.59</w:t>
            </w:r>
          </w:p>
        </w:tc>
        <w:tc>
          <w:tcPr>
            <w:tcW w:w="767" w:type="dxa"/>
            <w:tcBorders>
              <w:top w:val="nil"/>
              <w:left w:val="nil"/>
              <w:bottom w:val="nil"/>
              <w:right w:val="nil"/>
            </w:tcBorders>
            <w:shd w:val="clear" w:color="000000" w:fill="FFFFFF"/>
            <w:noWrap/>
            <w:vAlign w:val="bottom"/>
            <w:hideMark/>
          </w:tcPr>
          <w:p w14:paraId="48E27C9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0.10</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33D3A70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0.21</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59BB3AB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41AB183B"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250795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PM30</w:t>
            </w:r>
          </w:p>
        </w:tc>
        <w:tc>
          <w:tcPr>
            <w:tcW w:w="859" w:type="dxa"/>
            <w:tcBorders>
              <w:top w:val="nil"/>
              <w:left w:val="nil"/>
              <w:bottom w:val="nil"/>
              <w:right w:val="nil"/>
            </w:tcBorders>
            <w:shd w:val="clear" w:color="000000" w:fill="FFFFFF"/>
            <w:noWrap/>
            <w:vAlign w:val="bottom"/>
            <w:hideMark/>
          </w:tcPr>
          <w:p w14:paraId="244B27E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23.7</w:t>
            </w:r>
            <w:r w:rsidRPr="004160BB">
              <w:rPr>
                <w:rFonts w:ascii="Arial" w:hAnsi="Arial" w:cs="Arial"/>
                <w:color w:val="000000"/>
                <w:vertAlign w:val="superscript"/>
                <w:lang w:eastAsia="en-GB"/>
              </w:rPr>
              <w:t>c</w:t>
            </w:r>
          </w:p>
        </w:tc>
        <w:tc>
          <w:tcPr>
            <w:tcW w:w="976" w:type="dxa"/>
            <w:tcBorders>
              <w:top w:val="nil"/>
              <w:left w:val="nil"/>
              <w:bottom w:val="nil"/>
              <w:right w:val="nil"/>
            </w:tcBorders>
            <w:shd w:val="clear" w:color="000000" w:fill="FFFFFF"/>
            <w:noWrap/>
            <w:vAlign w:val="bottom"/>
            <w:hideMark/>
          </w:tcPr>
          <w:p w14:paraId="72470FC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29.11</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2B3521F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26.41</w:t>
            </w:r>
          </w:p>
        </w:tc>
        <w:tc>
          <w:tcPr>
            <w:tcW w:w="866" w:type="dxa"/>
            <w:tcBorders>
              <w:top w:val="nil"/>
              <w:left w:val="nil"/>
              <w:bottom w:val="nil"/>
              <w:right w:val="nil"/>
            </w:tcBorders>
            <w:shd w:val="clear" w:color="000000" w:fill="FFFFFF"/>
            <w:noWrap/>
            <w:vAlign w:val="bottom"/>
            <w:hideMark/>
          </w:tcPr>
          <w:p w14:paraId="3065682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0.29</w:t>
            </w:r>
            <w:r w:rsidRPr="004160BB">
              <w:rPr>
                <w:rFonts w:ascii="Arial" w:hAnsi="Arial" w:cs="Arial"/>
                <w:color w:val="000000"/>
                <w:vertAlign w:val="superscript"/>
                <w:lang w:eastAsia="en-GB"/>
              </w:rPr>
              <w:t>de</w:t>
            </w:r>
          </w:p>
        </w:tc>
        <w:tc>
          <w:tcPr>
            <w:tcW w:w="962" w:type="dxa"/>
            <w:tcBorders>
              <w:top w:val="nil"/>
              <w:left w:val="nil"/>
              <w:bottom w:val="nil"/>
              <w:right w:val="nil"/>
            </w:tcBorders>
            <w:shd w:val="clear" w:color="000000" w:fill="FFFFFF"/>
            <w:noWrap/>
            <w:vAlign w:val="bottom"/>
            <w:hideMark/>
          </w:tcPr>
          <w:p w14:paraId="3D5AB04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0.25</w:t>
            </w:r>
            <w:r w:rsidRPr="004160BB">
              <w:rPr>
                <w:rFonts w:ascii="Arial" w:hAnsi="Arial" w:cs="Arial"/>
                <w:color w:val="000000"/>
                <w:vertAlign w:val="superscript"/>
                <w:lang w:eastAsia="en-GB"/>
              </w:rPr>
              <w:t>de</w:t>
            </w:r>
          </w:p>
        </w:tc>
        <w:tc>
          <w:tcPr>
            <w:tcW w:w="754" w:type="dxa"/>
            <w:tcBorders>
              <w:top w:val="nil"/>
              <w:left w:val="nil"/>
              <w:bottom w:val="nil"/>
              <w:right w:val="nil"/>
            </w:tcBorders>
            <w:shd w:val="clear" w:color="000000" w:fill="FFFFFF"/>
            <w:noWrap/>
            <w:vAlign w:val="bottom"/>
            <w:hideMark/>
          </w:tcPr>
          <w:p w14:paraId="5B29B8D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0.27</w:t>
            </w:r>
          </w:p>
        </w:tc>
        <w:tc>
          <w:tcPr>
            <w:tcW w:w="1086" w:type="dxa"/>
            <w:tcBorders>
              <w:top w:val="nil"/>
              <w:left w:val="nil"/>
              <w:bottom w:val="nil"/>
              <w:right w:val="nil"/>
            </w:tcBorders>
            <w:shd w:val="clear" w:color="000000" w:fill="FFFFFF"/>
            <w:noWrap/>
            <w:vAlign w:val="bottom"/>
            <w:hideMark/>
          </w:tcPr>
          <w:p w14:paraId="6AA5AFA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73.48</w:t>
            </w:r>
            <w:r w:rsidRPr="004160BB">
              <w:rPr>
                <w:rFonts w:ascii="Arial" w:hAnsi="Arial" w:cs="Arial"/>
                <w:color w:val="000000"/>
                <w:vertAlign w:val="superscript"/>
                <w:lang w:eastAsia="en-GB"/>
              </w:rPr>
              <w:t>f</w:t>
            </w:r>
          </w:p>
        </w:tc>
        <w:tc>
          <w:tcPr>
            <w:tcW w:w="1024" w:type="dxa"/>
            <w:tcBorders>
              <w:top w:val="nil"/>
              <w:left w:val="nil"/>
              <w:bottom w:val="nil"/>
              <w:right w:val="nil"/>
            </w:tcBorders>
            <w:shd w:val="clear" w:color="000000" w:fill="FFFFFF"/>
            <w:noWrap/>
            <w:vAlign w:val="bottom"/>
            <w:hideMark/>
          </w:tcPr>
          <w:p w14:paraId="7151854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92.44</w:t>
            </w:r>
            <w:r w:rsidRPr="004160BB">
              <w:rPr>
                <w:rFonts w:ascii="Arial" w:hAnsi="Arial" w:cs="Arial"/>
                <w:color w:val="000000"/>
                <w:vertAlign w:val="superscript"/>
                <w:lang w:eastAsia="en-GB"/>
              </w:rPr>
              <w:t>fg</w:t>
            </w:r>
          </w:p>
        </w:tc>
        <w:tc>
          <w:tcPr>
            <w:tcW w:w="821" w:type="dxa"/>
            <w:tcBorders>
              <w:top w:val="nil"/>
              <w:left w:val="nil"/>
              <w:bottom w:val="nil"/>
              <w:right w:val="nil"/>
            </w:tcBorders>
            <w:shd w:val="clear" w:color="000000" w:fill="FFFFFF"/>
            <w:noWrap/>
            <w:vAlign w:val="bottom"/>
            <w:hideMark/>
          </w:tcPr>
          <w:p w14:paraId="5F737B5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82.96</w:t>
            </w:r>
          </w:p>
        </w:tc>
        <w:tc>
          <w:tcPr>
            <w:tcW w:w="767" w:type="dxa"/>
            <w:tcBorders>
              <w:top w:val="nil"/>
              <w:left w:val="nil"/>
              <w:bottom w:val="nil"/>
              <w:right w:val="nil"/>
            </w:tcBorders>
            <w:shd w:val="clear" w:color="000000" w:fill="FFFFFF"/>
            <w:noWrap/>
            <w:vAlign w:val="bottom"/>
            <w:hideMark/>
          </w:tcPr>
          <w:p w14:paraId="6C4FA46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0.10</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4663D20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0.14</w:t>
            </w:r>
            <w:r w:rsidRPr="004160BB">
              <w:rPr>
                <w:rFonts w:ascii="Arial" w:hAnsi="Arial" w:cs="Arial"/>
                <w:color w:val="000000"/>
                <w:vertAlign w:val="superscript"/>
                <w:lang w:eastAsia="en-GB"/>
              </w:rPr>
              <w:t>cd</w:t>
            </w:r>
          </w:p>
        </w:tc>
        <w:tc>
          <w:tcPr>
            <w:tcW w:w="754" w:type="dxa"/>
            <w:tcBorders>
              <w:top w:val="nil"/>
              <w:left w:val="nil"/>
              <w:bottom w:val="nil"/>
              <w:right w:val="nil"/>
            </w:tcBorders>
            <w:shd w:val="clear" w:color="000000" w:fill="FFFFFF"/>
            <w:noWrap/>
            <w:vAlign w:val="bottom"/>
            <w:hideMark/>
          </w:tcPr>
          <w:p w14:paraId="7E7DF84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0.12</w:t>
            </w:r>
          </w:p>
        </w:tc>
      </w:tr>
      <w:tr w:rsidR="00D93793" w:rsidRPr="004160BB" w14:paraId="5F794DA4"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5BCD784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PM7.5+CM22.5</w:t>
            </w:r>
          </w:p>
        </w:tc>
        <w:tc>
          <w:tcPr>
            <w:tcW w:w="859" w:type="dxa"/>
            <w:tcBorders>
              <w:top w:val="nil"/>
              <w:left w:val="nil"/>
              <w:bottom w:val="nil"/>
              <w:right w:val="nil"/>
            </w:tcBorders>
            <w:shd w:val="clear" w:color="000000" w:fill="FFFFFF"/>
            <w:noWrap/>
            <w:vAlign w:val="bottom"/>
            <w:hideMark/>
          </w:tcPr>
          <w:p w14:paraId="748B5A3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39.09</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21119CF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35.69</w:t>
            </w:r>
            <w:r w:rsidRPr="004160BB">
              <w:rPr>
                <w:rFonts w:ascii="Arial" w:hAnsi="Arial" w:cs="Arial"/>
                <w:color w:val="000000"/>
                <w:vertAlign w:val="superscript"/>
                <w:lang w:eastAsia="en-GB"/>
              </w:rPr>
              <w:t>bcde</w:t>
            </w:r>
          </w:p>
        </w:tc>
        <w:tc>
          <w:tcPr>
            <w:tcW w:w="754" w:type="dxa"/>
            <w:tcBorders>
              <w:top w:val="nil"/>
              <w:left w:val="nil"/>
              <w:bottom w:val="nil"/>
              <w:right w:val="nil"/>
            </w:tcBorders>
            <w:shd w:val="clear" w:color="000000" w:fill="FFFFFF"/>
            <w:noWrap/>
            <w:vAlign w:val="bottom"/>
            <w:hideMark/>
          </w:tcPr>
          <w:p w14:paraId="3BBFA29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37.39</w:t>
            </w:r>
          </w:p>
        </w:tc>
        <w:tc>
          <w:tcPr>
            <w:tcW w:w="866" w:type="dxa"/>
            <w:tcBorders>
              <w:top w:val="nil"/>
              <w:left w:val="nil"/>
              <w:bottom w:val="nil"/>
              <w:right w:val="nil"/>
            </w:tcBorders>
            <w:shd w:val="clear" w:color="000000" w:fill="FFFFFF"/>
            <w:noWrap/>
            <w:vAlign w:val="bottom"/>
            <w:hideMark/>
          </w:tcPr>
          <w:p w14:paraId="41CD8C8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0.36</w:t>
            </w:r>
            <w:r w:rsidRPr="004160BB">
              <w:rPr>
                <w:rFonts w:ascii="Arial" w:hAnsi="Arial" w:cs="Arial"/>
                <w:color w:val="000000"/>
                <w:vertAlign w:val="superscript"/>
                <w:lang w:eastAsia="en-GB"/>
              </w:rPr>
              <w:t>abc</w:t>
            </w:r>
          </w:p>
        </w:tc>
        <w:tc>
          <w:tcPr>
            <w:tcW w:w="962" w:type="dxa"/>
            <w:tcBorders>
              <w:top w:val="nil"/>
              <w:left w:val="nil"/>
              <w:bottom w:val="nil"/>
              <w:right w:val="nil"/>
            </w:tcBorders>
            <w:shd w:val="clear" w:color="000000" w:fill="FFFFFF"/>
            <w:noWrap/>
            <w:vAlign w:val="bottom"/>
            <w:hideMark/>
          </w:tcPr>
          <w:p w14:paraId="059481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0.24e</w:t>
            </w:r>
          </w:p>
        </w:tc>
        <w:tc>
          <w:tcPr>
            <w:tcW w:w="754" w:type="dxa"/>
            <w:tcBorders>
              <w:top w:val="nil"/>
              <w:left w:val="nil"/>
              <w:bottom w:val="nil"/>
              <w:right w:val="nil"/>
            </w:tcBorders>
            <w:shd w:val="clear" w:color="000000" w:fill="FFFFFF"/>
            <w:noWrap/>
            <w:vAlign w:val="bottom"/>
            <w:hideMark/>
          </w:tcPr>
          <w:p w14:paraId="2D4B9F2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0.30</w:t>
            </w:r>
          </w:p>
        </w:tc>
        <w:tc>
          <w:tcPr>
            <w:tcW w:w="1086" w:type="dxa"/>
            <w:tcBorders>
              <w:top w:val="nil"/>
              <w:left w:val="nil"/>
              <w:bottom w:val="nil"/>
              <w:right w:val="nil"/>
            </w:tcBorders>
            <w:shd w:val="clear" w:color="000000" w:fill="FFFFFF"/>
            <w:noWrap/>
            <w:vAlign w:val="bottom"/>
            <w:hideMark/>
          </w:tcPr>
          <w:p w14:paraId="49265A2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133.83</w:t>
            </w:r>
            <w:r w:rsidRPr="004160BB">
              <w:rPr>
                <w:rFonts w:ascii="Arial" w:hAnsi="Arial" w:cs="Arial"/>
                <w:color w:val="000000"/>
                <w:vertAlign w:val="superscript"/>
                <w:lang w:eastAsia="en-GB"/>
              </w:rPr>
              <w:t>abcd</w:t>
            </w:r>
          </w:p>
        </w:tc>
        <w:tc>
          <w:tcPr>
            <w:tcW w:w="1024" w:type="dxa"/>
            <w:tcBorders>
              <w:top w:val="nil"/>
              <w:left w:val="nil"/>
              <w:bottom w:val="nil"/>
              <w:right w:val="nil"/>
            </w:tcBorders>
            <w:shd w:val="clear" w:color="000000" w:fill="FFFFFF"/>
            <w:noWrap/>
            <w:vAlign w:val="bottom"/>
            <w:hideMark/>
          </w:tcPr>
          <w:p w14:paraId="5F5CD3E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110.72</w:t>
            </w:r>
            <w:r w:rsidRPr="004160BB">
              <w:rPr>
                <w:rFonts w:ascii="Arial" w:hAnsi="Arial" w:cs="Arial"/>
                <w:color w:val="000000"/>
                <w:vertAlign w:val="superscript"/>
                <w:lang w:eastAsia="en-GB"/>
              </w:rPr>
              <w:t>e</w:t>
            </w:r>
          </w:p>
        </w:tc>
        <w:tc>
          <w:tcPr>
            <w:tcW w:w="821" w:type="dxa"/>
            <w:tcBorders>
              <w:top w:val="nil"/>
              <w:left w:val="nil"/>
              <w:bottom w:val="nil"/>
              <w:right w:val="nil"/>
            </w:tcBorders>
            <w:shd w:val="clear" w:color="000000" w:fill="FFFFFF"/>
            <w:noWrap/>
            <w:vAlign w:val="bottom"/>
            <w:hideMark/>
          </w:tcPr>
          <w:p w14:paraId="073ACB1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122.28</w:t>
            </w:r>
          </w:p>
        </w:tc>
        <w:tc>
          <w:tcPr>
            <w:tcW w:w="767" w:type="dxa"/>
            <w:tcBorders>
              <w:top w:val="nil"/>
              <w:left w:val="nil"/>
              <w:bottom w:val="nil"/>
              <w:right w:val="nil"/>
            </w:tcBorders>
            <w:shd w:val="clear" w:color="000000" w:fill="FFFFFF"/>
            <w:noWrap/>
            <w:vAlign w:val="bottom"/>
            <w:hideMark/>
          </w:tcPr>
          <w:p w14:paraId="758E20B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0.10</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688949B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0.18</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75DDF7D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0.14</w:t>
            </w:r>
          </w:p>
        </w:tc>
      </w:tr>
      <w:tr w:rsidR="00D93793" w:rsidRPr="004160BB" w14:paraId="2BF6D065"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BA46D4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TSP15+CM15</w:t>
            </w:r>
          </w:p>
        </w:tc>
        <w:tc>
          <w:tcPr>
            <w:tcW w:w="859" w:type="dxa"/>
            <w:tcBorders>
              <w:top w:val="nil"/>
              <w:left w:val="nil"/>
              <w:bottom w:val="nil"/>
              <w:right w:val="nil"/>
            </w:tcBorders>
            <w:shd w:val="clear" w:color="000000" w:fill="FFFFFF"/>
            <w:noWrap/>
            <w:vAlign w:val="bottom"/>
            <w:hideMark/>
          </w:tcPr>
          <w:p w14:paraId="7E025CA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40.97</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3BA903D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40.53</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5E04A66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40.75</w:t>
            </w:r>
          </w:p>
        </w:tc>
        <w:tc>
          <w:tcPr>
            <w:tcW w:w="866" w:type="dxa"/>
            <w:tcBorders>
              <w:top w:val="nil"/>
              <w:left w:val="nil"/>
              <w:bottom w:val="nil"/>
              <w:right w:val="nil"/>
            </w:tcBorders>
            <w:shd w:val="clear" w:color="000000" w:fill="FFFFFF"/>
            <w:noWrap/>
            <w:vAlign w:val="bottom"/>
            <w:hideMark/>
          </w:tcPr>
          <w:p w14:paraId="73713ED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0.35</w:t>
            </w:r>
            <w:r w:rsidRPr="004160BB">
              <w:rPr>
                <w:rFonts w:ascii="Arial" w:hAnsi="Arial" w:cs="Arial"/>
                <w:color w:val="000000"/>
                <w:vertAlign w:val="superscript"/>
                <w:lang w:eastAsia="en-GB"/>
              </w:rPr>
              <w:t>bcd</w:t>
            </w:r>
          </w:p>
        </w:tc>
        <w:tc>
          <w:tcPr>
            <w:tcW w:w="962" w:type="dxa"/>
            <w:tcBorders>
              <w:top w:val="nil"/>
              <w:left w:val="nil"/>
              <w:bottom w:val="nil"/>
              <w:right w:val="nil"/>
            </w:tcBorders>
            <w:shd w:val="clear" w:color="000000" w:fill="FFFFFF"/>
            <w:noWrap/>
            <w:vAlign w:val="bottom"/>
            <w:hideMark/>
          </w:tcPr>
          <w:p w14:paraId="5A85CF5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0.32</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5A70572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0.34</w:t>
            </w:r>
          </w:p>
        </w:tc>
        <w:tc>
          <w:tcPr>
            <w:tcW w:w="1086" w:type="dxa"/>
            <w:tcBorders>
              <w:top w:val="nil"/>
              <w:left w:val="nil"/>
              <w:bottom w:val="nil"/>
              <w:right w:val="nil"/>
            </w:tcBorders>
            <w:shd w:val="clear" w:color="000000" w:fill="FFFFFF"/>
            <w:noWrap/>
            <w:vAlign w:val="bottom"/>
            <w:hideMark/>
          </w:tcPr>
          <w:p w14:paraId="22CD755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144.29</w:t>
            </w:r>
            <w:r w:rsidRPr="004160BB">
              <w:rPr>
                <w:rFonts w:ascii="Arial" w:hAnsi="Arial" w:cs="Arial"/>
                <w:color w:val="000000"/>
                <w:vertAlign w:val="superscript"/>
                <w:lang w:eastAsia="en-GB"/>
              </w:rPr>
              <w:t>ab</w:t>
            </w:r>
          </w:p>
        </w:tc>
        <w:tc>
          <w:tcPr>
            <w:tcW w:w="1024" w:type="dxa"/>
            <w:tcBorders>
              <w:top w:val="nil"/>
              <w:left w:val="nil"/>
              <w:bottom w:val="nil"/>
              <w:right w:val="nil"/>
            </w:tcBorders>
            <w:shd w:val="clear" w:color="000000" w:fill="FFFFFF"/>
            <w:noWrap/>
            <w:vAlign w:val="bottom"/>
            <w:hideMark/>
          </w:tcPr>
          <w:p w14:paraId="3F1BB7E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142.72</w:t>
            </w:r>
            <w:r w:rsidRPr="004160BB">
              <w:rPr>
                <w:rFonts w:ascii="Arial" w:hAnsi="Arial" w:cs="Arial"/>
                <w:color w:val="000000"/>
                <w:vertAlign w:val="superscript"/>
                <w:lang w:eastAsia="en-GB"/>
              </w:rPr>
              <w:t>bc</w:t>
            </w:r>
          </w:p>
        </w:tc>
        <w:tc>
          <w:tcPr>
            <w:tcW w:w="821" w:type="dxa"/>
            <w:tcBorders>
              <w:top w:val="nil"/>
              <w:left w:val="nil"/>
              <w:bottom w:val="nil"/>
              <w:right w:val="nil"/>
            </w:tcBorders>
            <w:shd w:val="clear" w:color="000000" w:fill="FFFFFF"/>
            <w:noWrap/>
            <w:vAlign w:val="bottom"/>
            <w:hideMark/>
          </w:tcPr>
          <w:p w14:paraId="256B6B0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143.51</w:t>
            </w:r>
          </w:p>
        </w:tc>
        <w:tc>
          <w:tcPr>
            <w:tcW w:w="767" w:type="dxa"/>
            <w:tcBorders>
              <w:top w:val="nil"/>
              <w:left w:val="nil"/>
              <w:bottom w:val="nil"/>
              <w:right w:val="nil"/>
            </w:tcBorders>
            <w:shd w:val="clear" w:color="000000" w:fill="FFFFFF"/>
            <w:noWrap/>
            <w:vAlign w:val="bottom"/>
            <w:hideMark/>
          </w:tcPr>
          <w:p w14:paraId="24F55E9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43A43B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0.22</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7A445ED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77018865"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36A5836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TSP15+PM15</w:t>
            </w:r>
          </w:p>
        </w:tc>
        <w:tc>
          <w:tcPr>
            <w:tcW w:w="859" w:type="dxa"/>
            <w:tcBorders>
              <w:top w:val="nil"/>
              <w:left w:val="nil"/>
              <w:bottom w:val="nil"/>
              <w:right w:val="nil"/>
            </w:tcBorders>
            <w:shd w:val="clear" w:color="000000" w:fill="FFFFFF"/>
            <w:noWrap/>
            <w:vAlign w:val="bottom"/>
            <w:hideMark/>
          </w:tcPr>
          <w:p w14:paraId="06AE5ED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43.58</w:t>
            </w:r>
            <w:r w:rsidRPr="004160BB">
              <w:rPr>
                <w:rFonts w:ascii="Arial" w:hAnsi="Arial" w:cs="Arial"/>
                <w:color w:val="000000"/>
                <w:vertAlign w:val="superscript"/>
                <w:lang w:eastAsia="en-GB"/>
              </w:rPr>
              <w:t>a</w:t>
            </w:r>
          </w:p>
        </w:tc>
        <w:tc>
          <w:tcPr>
            <w:tcW w:w="976" w:type="dxa"/>
            <w:tcBorders>
              <w:top w:val="nil"/>
              <w:left w:val="nil"/>
              <w:bottom w:val="nil"/>
              <w:right w:val="nil"/>
            </w:tcBorders>
            <w:shd w:val="clear" w:color="000000" w:fill="FFFFFF"/>
            <w:noWrap/>
            <w:vAlign w:val="bottom"/>
            <w:hideMark/>
          </w:tcPr>
          <w:p w14:paraId="6A79D4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46.03</w:t>
            </w:r>
            <w:r w:rsidRPr="004160BB">
              <w:rPr>
                <w:rFonts w:ascii="Arial" w:hAnsi="Arial" w:cs="Arial"/>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5EED018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44.81</w:t>
            </w:r>
          </w:p>
        </w:tc>
        <w:tc>
          <w:tcPr>
            <w:tcW w:w="866" w:type="dxa"/>
            <w:tcBorders>
              <w:top w:val="nil"/>
              <w:left w:val="nil"/>
              <w:bottom w:val="nil"/>
              <w:right w:val="nil"/>
            </w:tcBorders>
            <w:shd w:val="clear" w:color="000000" w:fill="FFFFFF"/>
            <w:noWrap/>
            <w:vAlign w:val="bottom"/>
            <w:hideMark/>
          </w:tcPr>
          <w:p w14:paraId="45601EB6"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0.42</w:t>
            </w:r>
            <w:r w:rsidRPr="004160BB">
              <w:rPr>
                <w:rFonts w:ascii="Arial" w:hAnsi="Arial" w:cs="Arial"/>
                <w:b/>
                <w:bCs/>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13870C5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0.33</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3EF0AEA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0.38</w:t>
            </w:r>
          </w:p>
        </w:tc>
        <w:tc>
          <w:tcPr>
            <w:tcW w:w="1086" w:type="dxa"/>
            <w:tcBorders>
              <w:top w:val="nil"/>
              <w:left w:val="nil"/>
              <w:bottom w:val="nil"/>
              <w:right w:val="nil"/>
            </w:tcBorders>
            <w:shd w:val="clear" w:color="000000" w:fill="FFFFFF"/>
            <w:noWrap/>
            <w:vAlign w:val="bottom"/>
            <w:hideMark/>
          </w:tcPr>
          <w:p w14:paraId="326A43F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139.16</w:t>
            </w:r>
            <w:r w:rsidRPr="004160BB">
              <w:rPr>
                <w:rFonts w:ascii="Arial" w:hAnsi="Arial" w:cs="Arial"/>
                <w:color w:val="000000"/>
                <w:vertAlign w:val="superscript"/>
                <w:lang w:eastAsia="en-GB"/>
              </w:rPr>
              <w:t>abc</w:t>
            </w:r>
          </w:p>
        </w:tc>
        <w:tc>
          <w:tcPr>
            <w:tcW w:w="1024" w:type="dxa"/>
            <w:tcBorders>
              <w:top w:val="nil"/>
              <w:left w:val="nil"/>
              <w:bottom w:val="nil"/>
              <w:right w:val="nil"/>
            </w:tcBorders>
            <w:shd w:val="clear" w:color="000000" w:fill="FFFFFF"/>
            <w:noWrap/>
            <w:vAlign w:val="bottom"/>
            <w:hideMark/>
          </w:tcPr>
          <w:p w14:paraId="31BD629F"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159.31</w:t>
            </w:r>
            <w:r w:rsidRPr="004160BB">
              <w:rPr>
                <w:rFonts w:ascii="Arial" w:hAnsi="Arial" w:cs="Arial"/>
                <w:b/>
                <w:bCs/>
                <w:color w:val="000000"/>
                <w:vertAlign w:val="superscript"/>
                <w:lang w:eastAsia="en-GB"/>
              </w:rPr>
              <w:t>a</w:t>
            </w:r>
          </w:p>
        </w:tc>
        <w:tc>
          <w:tcPr>
            <w:tcW w:w="821" w:type="dxa"/>
            <w:tcBorders>
              <w:top w:val="nil"/>
              <w:left w:val="nil"/>
              <w:bottom w:val="nil"/>
              <w:right w:val="nil"/>
            </w:tcBorders>
            <w:shd w:val="clear" w:color="000000" w:fill="FFFFFF"/>
            <w:noWrap/>
            <w:vAlign w:val="bottom"/>
            <w:hideMark/>
          </w:tcPr>
          <w:p w14:paraId="497D411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146.24</w:t>
            </w:r>
          </w:p>
        </w:tc>
        <w:tc>
          <w:tcPr>
            <w:tcW w:w="767" w:type="dxa"/>
            <w:tcBorders>
              <w:top w:val="nil"/>
              <w:left w:val="nil"/>
              <w:bottom w:val="nil"/>
              <w:right w:val="nil"/>
            </w:tcBorders>
            <w:shd w:val="clear" w:color="000000" w:fill="FFFFFF"/>
            <w:noWrap/>
            <w:vAlign w:val="bottom"/>
            <w:hideMark/>
          </w:tcPr>
          <w:p w14:paraId="65369BD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B067A4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0.23</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428EAFF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055922BE"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10DA799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xml:space="preserve">TSP22.5+CM7.5 </w:t>
            </w:r>
          </w:p>
        </w:tc>
        <w:tc>
          <w:tcPr>
            <w:tcW w:w="859" w:type="dxa"/>
            <w:tcBorders>
              <w:top w:val="nil"/>
              <w:left w:val="nil"/>
              <w:bottom w:val="nil"/>
              <w:right w:val="nil"/>
            </w:tcBorders>
            <w:shd w:val="clear" w:color="000000" w:fill="FFFFFF"/>
            <w:noWrap/>
            <w:vAlign w:val="bottom"/>
            <w:hideMark/>
          </w:tcPr>
          <w:p w14:paraId="287742B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37.53</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02481EE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39.96</w:t>
            </w:r>
            <w:r w:rsidRPr="004160BB">
              <w:rPr>
                <w:rFonts w:ascii="Arial" w:hAnsi="Arial" w:cs="Arial"/>
                <w:color w:val="000000"/>
                <w:vertAlign w:val="superscript"/>
                <w:lang w:eastAsia="en-GB"/>
              </w:rPr>
              <w:t>abcd</w:t>
            </w:r>
          </w:p>
        </w:tc>
        <w:tc>
          <w:tcPr>
            <w:tcW w:w="754" w:type="dxa"/>
            <w:tcBorders>
              <w:top w:val="nil"/>
              <w:left w:val="nil"/>
              <w:bottom w:val="nil"/>
              <w:right w:val="nil"/>
            </w:tcBorders>
            <w:shd w:val="clear" w:color="000000" w:fill="FFFFFF"/>
            <w:noWrap/>
            <w:vAlign w:val="bottom"/>
            <w:hideMark/>
          </w:tcPr>
          <w:p w14:paraId="23D77B3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38.75</w:t>
            </w:r>
          </w:p>
        </w:tc>
        <w:tc>
          <w:tcPr>
            <w:tcW w:w="866" w:type="dxa"/>
            <w:tcBorders>
              <w:top w:val="nil"/>
              <w:left w:val="nil"/>
              <w:bottom w:val="nil"/>
              <w:right w:val="nil"/>
            </w:tcBorders>
            <w:shd w:val="clear" w:color="000000" w:fill="FFFFFF"/>
            <w:noWrap/>
            <w:vAlign w:val="bottom"/>
            <w:hideMark/>
          </w:tcPr>
          <w:p w14:paraId="1C9F806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0.34</w:t>
            </w:r>
            <w:r w:rsidRPr="004160BB">
              <w:rPr>
                <w:rFonts w:ascii="Arial" w:hAnsi="Arial" w:cs="Arial"/>
                <w:color w:val="000000"/>
                <w:vertAlign w:val="superscript"/>
                <w:lang w:eastAsia="en-GB"/>
              </w:rPr>
              <w:t>bcd</w:t>
            </w:r>
          </w:p>
        </w:tc>
        <w:tc>
          <w:tcPr>
            <w:tcW w:w="962" w:type="dxa"/>
            <w:tcBorders>
              <w:top w:val="nil"/>
              <w:left w:val="nil"/>
              <w:bottom w:val="nil"/>
              <w:right w:val="nil"/>
            </w:tcBorders>
            <w:shd w:val="clear" w:color="000000" w:fill="FFFFFF"/>
            <w:noWrap/>
            <w:vAlign w:val="bottom"/>
            <w:hideMark/>
          </w:tcPr>
          <w:p w14:paraId="2E0E6EA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0.30</w:t>
            </w:r>
            <w:r w:rsidRPr="004160BB">
              <w:rPr>
                <w:rFonts w:ascii="Arial" w:hAnsi="Arial" w:cs="Arial"/>
                <w:color w:val="000000"/>
                <w:vertAlign w:val="superscript"/>
                <w:lang w:eastAsia="en-GB"/>
              </w:rPr>
              <w:t>cde</w:t>
            </w:r>
          </w:p>
        </w:tc>
        <w:tc>
          <w:tcPr>
            <w:tcW w:w="754" w:type="dxa"/>
            <w:tcBorders>
              <w:top w:val="nil"/>
              <w:left w:val="nil"/>
              <w:bottom w:val="nil"/>
              <w:right w:val="nil"/>
            </w:tcBorders>
            <w:shd w:val="clear" w:color="000000" w:fill="FFFFFF"/>
            <w:noWrap/>
            <w:vAlign w:val="bottom"/>
            <w:hideMark/>
          </w:tcPr>
          <w:p w14:paraId="7AB6BD3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0.32</w:t>
            </w:r>
          </w:p>
        </w:tc>
        <w:tc>
          <w:tcPr>
            <w:tcW w:w="1086" w:type="dxa"/>
            <w:tcBorders>
              <w:top w:val="nil"/>
              <w:left w:val="nil"/>
              <w:bottom w:val="nil"/>
              <w:right w:val="nil"/>
            </w:tcBorders>
            <w:shd w:val="clear" w:color="000000" w:fill="FFFFFF"/>
            <w:noWrap/>
            <w:vAlign w:val="bottom"/>
            <w:hideMark/>
          </w:tcPr>
          <w:p w14:paraId="4F86306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120.3</w:t>
            </w:r>
            <w:r w:rsidRPr="004160BB">
              <w:rPr>
                <w:rFonts w:ascii="Arial" w:hAnsi="Arial" w:cs="Arial"/>
                <w:color w:val="000000"/>
                <w:vertAlign w:val="superscript"/>
                <w:lang w:eastAsia="en-GB"/>
              </w:rPr>
              <w:t>d</w:t>
            </w:r>
          </w:p>
        </w:tc>
        <w:tc>
          <w:tcPr>
            <w:tcW w:w="1024" w:type="dxa"/>
            <w:tcBorders>
              <w:top w:val="nil"/>
              <w:left w:val="nil"/>
              <w:bottom w:val="nil"/>
              <w:right w:val="nil"/>
            </w:tcBorders>
            <w:shd w:val="clear" w:color="000000" w:fill="FFFFFF"/>
            <w:noWrap/>
            <w:vAlign w:val="bottom"/>
            <w:hideMark/>
          </w:tcPr>
          <w:p w14:paraId="69FB296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138.17</w:t>
            </w:r>
            <w:r w:rsidRPr="004160BB">
              <w:rPr>
                <w:rFonts w:ascii="Arial" w:hAnsi="Arial" w:cs="Arial"/>
                <w:color w:val="000000"/>
                <w:vertAlign w:val="superscript"/>
                <w:lang w:eastAsia="en-GB"/>
              </w:rPr>
              <w:t>bcd</w:t>
            </w:r>
          </w:p>
        </w:tc>
        <w:tc>
          <w:tcPr>
            <w:tcW w:w="821" w:type="dxa"/>
            <w:tcBorders>
              <w:top w:val="nil"/>
              <w:left w:val="nil"/>
              <w:bottom w:val="nil"/>
              <w:right w:val="nil"/>
            </w:tcBorders>
            <w:shd w:val="clear" w:color="000000" w:fill="FFFFFF"/>
            <w:noWrap/>
            <w:vAlign w:val="bottom"/>
            <w:hideMark/>
          </w:tcPr>
          <w:p w14:paraId="636FE2F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129.24</w:t>
            </w:r>
          </w:p>
        </w:tc>
        <w:tc>
          <w:tcPr>
            <w:tcW w:w="767" w:type="dxa"/>
            <w:tcBorders>
              <w:top w:val="nil"/>
              <w:left w:val="nil"/>
              <w:bottom w:val="nil"/>
              <w:right w:val="nil"/>
            </w:tcBorders>
            <w:shd w:val="clear" w:color="000000" w:fill="FFFFFF"/>
            <w:noWrap/>
            <w:vAlign w:val="bottom"/>
            <w:hideMark/>
          </w:tcPr>
          <w:p w14:paraId="56628D9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1DDFE49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0.20</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3150D71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0.15</w:t>
            </w:r>
          </w:p>
        </w:tc>
      </w:tr>
      <w:tr w:rsidR="00D93793" w:rsidRPr="004160BB" w14:paraId="45BADA49"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796972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TSP22.5+PM7.5</w:t>
            </w:r>
          </w:p>
        </w:tc>
        <w:tc>
          <w:tcPr>
            <w:tcW w:w="859" w:type="dxa"/>
            <w:tcBorders>
              <w:top w:val="nil"/>
              <w:left w:val="nil"/>
              <w:bottom w:val="nil"/>
              <w:right w:val="nil"/>
            </w:tcBorders>
            <w:shd w:val="clear" w:color="000000" w:fill="FFFFFF"/>
            <w:noWrap/>
            <w:vAlign w:val="bottom"/>
            <w:hideMark/>
          </w:tcPr>
          <w:p w14:paraId="7730D17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41.22</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26E07B1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43.10</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0CDF693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42.16</w:t>
            </w:r>
          </w:p>
        </w:tc>
        <w:tc>
          <w:tcPr>
            <w:tcW w:w="866" w:type="dxa"/>
            <w:tcBorders>
              <w:top w:val="nil"/>
              <w:left w:val="nil"/>
              <w:bottom w:val="nil"/>
              <w:right w:val="nil"/>
            </w:tcBorders>
            <w:shd w:val="clear" w:color="000000" w:fill="FFFFFF"/>
            <w:noWrap/>
            <w:vAlign w:val="bottom"/>
            <w:hideMark/>
          </w:tcPr>
          <w:p w14:paraId="71D340F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0.37</w:t>
            </w:r>
            <w:r w:rsidRPr="004160BB">
              <w:rPr>
                <w:rFonts w:ascii="Arial" w:hAnsi="Arial" w:cs="Arial"/>
                <w:color w:val="000000"/>
                <w:vertAlign w:val="superscript"/>
                <w:lang w:eastAsia="en-GB"/>
              </w:rPr>
              <w:t>ab</w:t>
            </w:r>
          </w:p>
        </w:tc>
        <w:tc>
          <w:tcPr>
            <w:tcW w:w="962" w:type="dxa"/>
            <w:tcBorders>
              <w:top w:val="nil"/>
              <w:left w:val="nil"/>
              <w:bottom w:val="nil"/>
              <w:right w:val="nil"/>
            </w:tcBorders>
            <w:shd w:val="clear" w:color="000000" w:fill="FFFFFF"/>
            <w:noWrap/>
            <w:vAlign w:val="bottom"/>
            <w:hideMark/>
          </w:tcPr>
          <w:p w14:paraId="5070E8A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0.37</w:t>
            </w:r>
            <w:r w:rsidRPr="004160BB">
              <w:rPr>
                <w:rFonts w:ascii="Arial" w:hAnsi="Arial" w:cs="Arial"/>
                <w:color w:val="000000"/>
                <w:vertAlign w:val="superscript"/>
                <w:lang w:eastAsia="en-GB"/>
              </w:rPr>
              <w:t>b</w:t>
            </w:r>
          </w:p>
        </w:tc>
        <w:tc>
          <w:tcPr>
            <w:tcW w:w="754" w:type="dxa"/>
            <w:tcBorders>
              <w:top w:val="nil"/>
              <w:left w:val="nil"/>
              <w:bottom w:val="nil"/>
              <w:right w:val="nil"/>
            </w:tcBorders>
            <w:shd w:val="clear" w:color="000000" w:fill="FFFFFF"/>
            <w:noWrap/>
            <w:vAlign w:val="bottom"/>
            <w:hideMark/>
          </w:tcPr>
          <w:p w14:paraId="16991D5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0.37</w:t>
            </w:r>
          </w:p>
        </w:tc>
        <w:tc>
          <w:tcPr>
            <w:tcW w:w="1086" w:type="dxa"/>
            <w:tcBorders>
              <w:top w:val="nil"/>
              <w:left w:val="nil"/>
              <w:bottom w:val="nil"/>
              <w:right w:val="nil"/>
            </w:tcBorders>
            <w:shd w:val="clear" w:color="000000" w:fill="FFFFFF"/>
            <w:noWrap/>
            <w:vAlign w:val="bottom"/>
            <w:hideMark/>
          </w:tcPr>
          <w:p w14:paraId="0B06621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131.95</w:t>
            </w:r>
            <w:r w:rsidRPr="004160BB">
              <w:rPr>
                <w:rFonts w:ascii="Arial" w:hAnsi="Arial" w:cs="Arial"/>
                <w:color w:val="000000"/>
                <w:vertAlign w:val="superscript"/>
                <w:lang w:eastAsia="en-GB"/>
              </w:rPr>
              <w:t>bcd</w:t>
            </w:r>
          </w:p>
        </w:tc>
        <w:tc>
          <w:tcPr>
            <w:tcW w:w="1024" w:type="dxa"/>
            <w:tcBorders>
              <w:top w:val="nil"/>
              <w:left w:val="nil"/>
              <w:bottom w:val="nil"/>
              <w:right w:val="nil"/>
            </w:tcBorders>
            <w:shd w:val="clear" w:color="000000" w:fill="FFFFFF"/>
            <w:noWrap/>
            <w:vAlign w:val="bottom"/>
            <w:hideMark/>
          </w:tcPr>
          <w:p w14:paraId="0EED4ED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149.43</w:t>
            </w:r>
            <w:r w:rsidRPr="004160BB">
              <w:rPr>
                <w:rFonts w:ascii="Arial" w:hAnsi="Arial" w:cs="Arial"/>
                <w:color w:val="000000"/>
                <w:vertAlign w:val="superscript"/>
                <w:lang w:eastAsia="en-GB"/>
              </w:rPr>
              <w:t>ab</w:t>
            </w:r>
          </w:p>
        </w:tc>
        <w:tc>
          <w:tcPr>
            <w:tcW w:w="821" w:type="dxa"/>
            <w:tcBorders>
              <w:top w:val="nil"/>
              <w:left w:val="nil"/>
              <w:bottom w:val="nil"/>
              <w:right w:val="nil"/>
            </w:tcBorders>
            <w:shd w:val="clear" w:color="000000" w:fill="FFFFFF"/>
            <w:noWrap/>
            <w:vAlign w:val="bottom"/>
            <w:hideMark/>
          </w:tcPr>
          <w:p w14:paraId="40F6631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140.69</w:t>
            </w:r>
          </w:p>
        </w:tc>
        <w:tc>
          <w:tcPr>
            <w:tcW w:w="767" w:type="dxa"/>
            <w:tcBorders>
              <w:top w:val="nil"/>
              <w:left w:val="nil"/>
              <w:bottom w:val="nil"/>
              <w:right w:val="nil"/>
            </w:tcBorders>
            <w:shd w:val="clear" w:color="000000" w:fill="FFFFFF"/>
            <w:noWrap/>
            <w:vAlign w:val="bottom"/>
            <w:hideMark/>
          </w:tcPr>
          <w:p w14:paraId="4743A8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09B6F0FE"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0.25</w:t>
            </w:r>
            <w:r w:rsidRPr="004160BB">
              <w:rPr>
                <w:rFonts w:ascii="Arial" w:hAnsi="Arial" w:cs="Arial"/>
                <w:b/>
                <w:bCs/>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4A47F62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0.17</w:t>
            </w:r>
          </w:p>
        </w:tc>
      </w:tr>
      <w:tr w:rsidR="00D93793" w:rsidRPr="004160BB" w14:paraId="4AD75DA2"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2C54EB2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TSP30</w:t>
            </w:r>
          </w:p>
        </w:tc>
        <w:tc>
          <w:tcPr>
            <w:tcW w:w="859" w:type="dxa"/>
            <w:tcBorders>
              <w:top w:val="nil"/>
              <w:left w:val="nil"/>
              <w:bottom w:val="nil"/>
              <w:right w:val="nil"/>
            </w:tcBorders>
            <w:shd w:val="clear" w:color="000000" w:fill="FFFFFF"/>
            <w:noWrap/>
            <w:vAlign w:val="bottom"/>
            <w:hideMark/>
          </w:tcPr>
          <w:p w14:paraId="50CD04D7"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44.56</w:t>
            </w:r>
            <w:r w:rsidRPr="004160BB">
              <w:rPr>
                <w:rFonts w:ascii="Arial" w:hAnsi="Arial" w:cs="Arial"/>
                <w:b/>
                <w:bCs/>
                <w:color w:val="000000"/>
                <w:vertAlign w:val="superscript"/>
                <w:lang w:eastAsia="en-GB"/>
              </w:rPr>
              <w:t>a</w:t>
            </w:r>
          </w:p>
        </w:tc>
        <w:tc>
          <w:tcPr>
            <w:tcW w:w="976" w:type="dxa"/>
            <w:tcBorders>
              <w:top w:val="nil"/>
              <w:left w:val="nil"/>
              <w:bottom w:val="nil"/>
              <w:right w:val="nil"/>
            </w:tcBorders>
            <w:shd w:val="clear" w:color="000000" w:fill="FFFFFF"/>
            <w:noWrap/>
            <w:vAlign w:val="bottom"/>
            <w:hideMark/>
          </w:tcPr>
          <w:p w14:paraId="643F7A41"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46.96</w:t>
            </w:r>
            <w:r w:rsidRPr="004160BB">
              <w:rPr>
                <w:rFonts w:ascii="Arial" w:hAnsi="Arial" w:cs="Arial"/>
                <w:b/>
                <w:bCs/>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7241FAC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45.76</w:t>
            </w:r>
          </w:p>
        </w:tc>
        <w:tc>
          <w:tcPr>
            <w:tcW w:w="866" w:type="dxa"/>
            <w:tcBorders>
              <w:top w:val="nil"/>
              <w:left w:val="nil"/>
              <w:bottom w:val="nil"/>
              <w:right w:val="nil"/>
            </w:tcBorders>
            <w:shd w:val="clear" w:color="000000" w:fill="FFFFFF"/>
            <w:noWrap/>
            <w:vAlign w:val="bottom"/>
            <w:hideMark/>
          </w:tcPr>
          <w:p w14:paraId="683DDAF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0.39</w:t>
            </w:r>
            <w:r w:rsidRPr="004160BB">
              <w:rPr>
                <w:rFonts w:ascii="Arial" w:hAnsi="Arial" w:cs="Arial"/>
                <w:color w:val="000000"/>
                <w:vertAlign w:val="superscript"/>
                <w:lang w:eastAsia="en-GB"/>
              </w:rPr>
              <w:t>ab</w:t>
            </w:r>
          </w:p>
        </w:tc>
        <w:tc>
          <w:tcPr>
            <w:tcW w:w="962" w:type="dxa"/>
            <w:tcBorders>
              <w:top w:val="nil"/>
              <w:left w:val="nil"/>
              <w:bottom w:val="nil"/>
              <w:right w:val="nil"/>
            </w:tcBorders>
            <w:shd w:val="clear" w:color="000000" w:fill="FFFFFF"/>
            <w:noWrap/>
            <w:vAlign w:val="bottom"/>
            <w:hideMark/>
          </w:tcPr>
          <w:p w14:paraId="280509C6"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0.49</w:t>
            </w:r>
            <w:r w:rsidRPr="004160BB">
              <w:rPr>
                <w:rFonts w:ascii="Arial" w:hAnsi="Arial" w:cs="Arial"/>
                <w:b/>
                <w:bCs/>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6454A99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0.44</w:t>
            </w:r>
          </w:p>
        </w:tc>
        <w:tc>
          <w:tcPr>
            <w:tcW w:w="1086" w:type="dxa"/>
            <w:tcBorders>
              <w:top w:val="nil"/>
              <w:left w:val="nil"/>
              <w:bottom w:val="nil"/>
              <w:right w:val="nil"/>
            </w:tcBorders>
            <w:shd w:val="clear" w:color="000000" w:fill="FFFFFF"/>
            <w:noWrap/>
            <w:vAlign w:val="bottom"/>
            <w:hideMark/>
          </w:tcPr>
          <w:p w14:paraId="1EFA5288"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148.54</w:t>
            </w:r>
            <w:r w:rsidRPr="004160BB">
              <w:rPr>
                <w:rFonts w:ascii="Arial" w:hAnsi="Arial" w:cs="Arial"/>
                <w:b/>
                <w:bCs/>
                <w:color w:val="000000"/>
                <w:vertAlign w:val="superscript"/>
                <w:lang w:eastAsia="en-GB"/>
              </w:rPr>
              <w:t>a</w:t>
            </w:r>
          </w:p>
        </w:tc>
        <w:tc>
          <w:tcPr>
            <w:tcW w:w="1024" w:type="dxa"/>
            <w:tcBorders>
              <w:top w:val="nil"/>
              <w:left w:val="nil"/>
              <w:bottom w:val="nil"/>
              <w:right w:val="nil"/>
            </w:tcBorders>
            <w:shd w:val="clear" w:color="000000" w:fill="FFFFFF"/>
            <w:noWrap/>
            <w:vAlign w:val="bottom"/>
            <w:hideMark/>
          </w:tcPr>
          <w:p w14:paraId="043CF4F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140.84</w:t>
            </w:r>
            <w:r w:rsidRPr="004160BB">
              <w:rPr>
                <w:rFonts w:ascii="Arial" w:hAnsi="Arial" w:cs="Arial"/>
                <w:color w:val="000000"/>
                <w:vertAlign w:val="superscript"/>
                <w:lang w:eastAsia="en-GB"/>
              </w:rPr>
              <w:t>bcd</w:t>
            </w:r>
          </w:p>
        </w:tc>
        <w:tc>
          <w:tcPr>
            <w:tcW w:w="821" w:type="dxa"/>
            <w:tcBorders>
              <w:top w:val="nil"/>
              <w:left w:val="nil"/>
              <w:bottom w:val="nil"/>
              <w:right w:val="nil"/>
            </w:tcBorders>
            <w:shd w:val="clear" w:color="000000" w:fill="FFFFFF"/>
            <w:noWrap/>
            <w:vAlign w:val="bottom"/>
            <w:hideMark/>
          </w:tcPr>
          <w:p w14:paraId="318F4FA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144.69</w:t>
            </w:r>
          </w:p>
        </w:tc>
        <w:tc>
          <w:tcPr>
            <w:tcW w:w="767" w:type="dxa"/>
            <w:tcBorders>
              <w:top w:val="nil"/>
              <w:left w:val="nil"/>
              <w:bottom w:val="nil"/>
              <w:right w:val="nil"/>
            </w:tcBorders>
            <w:shd w:val="clear" w:color="000000" w:fill="FFFFFF"/>
            <w:noWrap/>
            <w:vAlign w:val="bottom"/>
            <w:hideMark/>
          </w:tcPr>
          <w:p w14:paraId="61EE6C10"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0.12</w:t>
            </w:r>
            <w:r w:rsidRPr="004160BB">
              <w:rPr>
                <w:rFonts w:ascii="Arial" w:hAnsi="Arial" w:cs="Arial"/>
                <w:b/>
                <w:bCs/>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12B491D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0.24</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344B610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0.18</w:t>
            </w:r>
          </w:p>
        </w:tc>
      </w:tr>
      <w:tr w:rsidR="00D93793" w:rsidRPr="004160BB" w14:paraId="737C5B48"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32FD9E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TSP7.5+CM22.5</w:t>
            </w:r>
          </w:p>
        </w:tc>
        <w:tc>
          <w:tcPr>
            <w:tcW w:w="859" w:type="dxa"/>
            <w:tcBorders>
              <w:top w:val="nil"/>
              <w:left w:val="nil"/>
              <w:bottom w:val="nil"/>
              <w:right w:val="nil"/>
            </w:tcBorders>
            <w:shd w:val="clear" w:color="000000" w:fill="FFFFFF"/>
            <w:noWrap/>
            <w:vAlign w:val="bottom"/>
            <w:hideMark/>
          </w:tcPr>
          <w:p w14:paraId="1DC6784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33.4</w:t>
            </w:r>
            <w:r w:rsidRPr="004160BB">
              <w:rPr>
                <w:rFonts w:ascii="Arial" w:hAnsi="Arial" w:cs="Arial"/>
                <w:color w:val="000000"/>
                <w:vertAlign w:val="superscript"/>
                <w:lang w:eastAsia="en-GB"/>
              </w:rPr>
              <w:t>b</w:t>
            </w:r>
          </w:p>
        </w:tc>
        <w:tc>
          <w:tcPr>
            <w:tcW w:w="976" w:type="dxa"/>
            <w:tcBorders>
              <w:top w:val="nil"/>
              <w:left w:val="nil"/>
              <w:bottom w:val="nil"/>
              <w:right w:val="nil"/>
            </w:tcBorders>
            <w:shd w:val="clear" w:color="000000" w:fill="FFFFFF"/>
            <w:noWrap/>
            <w:vAlign w:val="bottom"/>
            <w:hideMark/>
          </w:tcPr>
          <w:p w14:paraId="62006EE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33.01</w:t>
            </w:r>
            <w:r w:rsidRPr="004160BB">
              <w:rPr>
                <w:rFonts w:ascii="Arial" w:hAnsi="Arial" w:cs="Arial"/>
                <w:color w:val="000000"/>
                <w:vertAlign w:val="superscript"/>
                <w:lang w:eastAsia="en-GB"/>
              </w:rPr>
              <w:t>cde</w:t>
            </w:r>
          </w:p>
        </w:tc>
        <w:tc>
          <w:tcPr>
            <w:tcW w:w="754" w:type="dxa"/>
            <w:tcBorders>
              <w:top w:val="nil"/>
              <w:left w:val="nil"/>
              <w:bottom w:val="nil"/>
              <w:right w:val="nil"/>
            </w:tcBorders>
            <w:shd w:val="clear" w:color="000000" w:fill="FFFFFF"/>
            <w:noWrap/>
            <w:vAlign w:val="bottom"/>
            <w:hideMark/>
          </w:tcPr>
          <w:p w14:paraId="45ABF94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33.21</w:t>
            </w:r>
          </w:p>
        </w:tc>
        <w:tc>
          <w:tcPr>
            <w:tcW w:w="866" w:type="dxa"/>
            <w:tcBorders>
              <w:top w:val="nil"/>
              <w:left w:val="nil"/>
              <w:bottom w:val="nil"/>
              <w:right w:val="nil"/>
            </w:tcBorders>
            <w:shd w:val="clear" w:color="000000" w:fill="FFFFFF"/>
            <w:noWrap/>
            <w:vAlign w:val="bottom"/>
            <w:hideMark/>
          </w:tcPr>
          <w:p w14:paraId="7186CC5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0.26</w:t>
            </w:r>
            <w:r w:rsidRPr="004160BB">
              <w:rPr>
                <w:rFonts w:ascii="Arial" w:hAnsi="Arial" w:cs="Arial"/>
                <w:color w:val="000000"/>
                <w:vertAlign w:val="superscript"/>
                <w:lang w:eastAsia="en-GB"/>
              </w:rPr>
              <w:t>e</w:t>
            </w:r>
          </w:p>
        </w:tc>
        <w:tc>
          <w:tcPr>
            <w:tcW w:w="962" w:type="dxa"/>
            <w:tcBorders>
              <w:top w:val="nil"/>
              <w:left w:val="nil"/>
              <w:bottom w:val="nil"/>
              <w:right w:val="nil"/>
            </w:tcBorders>
            <w:shd w:val="clear" w:color="000000" w:fill="FFFFFF"/>
            <w:noWrap/>
            <w:vAlign w:val="bottom"/>
            <w:hideMark/>
          </w:tcPr>
          <w:p w14:paraId="5B5A249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0.24</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2C3B4A0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0.25</w:t>
            </w:r>
          </w:p>
        </w:tc>
        <w:tc>
          <w:tcPr>
            <w:tcW w:w="1086" w:type="dxa"/>
            <w:tcBorders>
              <w:top w:val="nil"/>
              <w:left w:val="nil"/>
              <w:bottom w:val="nil"/>
              <w:right w:val="nil"/>
            </w:tcBorders>
            <w:shd w:val="clear" w:color="000000" w:fill="FFFFFF"/>
            <w:noWrap/>
            <w:vAlign w:val="bottom"/>
            <w:hideMark/>
          </w:tcPr>
          <w:p w14:paraId="7993510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118.02</w:t>
            </w:r>
            <w:r w:rsidRPr="004160BB">
              <w:rPr>
                <w:rFonts w:ascii="Arial" w:hAnsi="Arial" w:cs="Arial"/>
                <w:color w:val="000000"/>
                <w:vertAlign w:val="superscript"/>
                <w:lang w:eastAsia="en-GB"/>
              </w:rPr>
              <w:t>d</w:t>
            </w:r>
          </w:p>
        </w:tc>
        <w:tc>
          <w:tcPr>
            <w:tcW w:w="1024" w:type="dxa"/>
            <w:tcBorders>
              <w:top w:val="nil"/>
              <w:left w:val="nil"/>
              <w:bottom w:val="nil"/>
              <w:right w:val="nil"/>
            </w:tcBorders>
            <w:shd w:val="clear" w:color="000000" w:fill="FFFFFF"/>
            <w:noWrap/>
            <w:vAlign w:val="bottom"/>
            <w:hideMark/>
          </w:tcPr>
          <w:p w14:paraId="2398174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105.38</w:t>
            </w:r>
            <w:r w:rsidRPr="004160BB">
              <w:rPr>
                <w:rFonts w:ascii="Arial" w:hAnsi="Arial" w:cs="Arial"/>
                <w:color w:val="000000"/>
                <w:vertAlign w:val="superscript"/>
                <w:lang w:eastAsia="en-GB"/>
              </w:rPr>
              <w:t>ef</w:t>
            </w:r>
          </w:p>
        </w:tc>
        <w:tc>
          <w:tcPr>
            <w:tcW w:w="821" w:type="dxa"/>
            <w:tcBorders>
              <w:top w:val="nil"/>
              <w:left w:val="nil"/>
              <w:bottom w:val="nil"/>
              <w:right w:val="nil"/>
            </w:tcBorders>
            <w:shd w:val="clear" w:color="000000" w:fill="FFFFFF"/>
            <w:noWrap/>
            <w:vAlign w:val="bottom"/>
            <w:hideMark/>
          </w:tcPr>
          <w:p w14:paraId="1CC2501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111.70</w:t>
            </w:r>
          </w:p>
        </w:tc>
        <w:tc>
          <w:tcPr>
            <w:tcW w:w="767" w:type="dxa"/>
            <w:tcBorders>
              <w:top w:val="nil"/>
              <w:left w:val="nil"/>
              <w:bottom w:val="nil"/>
              <w:right w:val="nil"/>
            </w:tcBorders>
            <w:shd w:val="clear" w:color="000000" w:fill="FFFFFF"/>
            <w:noWrap/>
            <w:vAlign w:val="bottom"/>
            <w:hideMark/>
          </w:tcPr>
          <w:p w14:paraId="6586826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44493C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0.20</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05E669F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0.14</w:t>
            </w:r>
          </w:p>
        </w:tc>
      </w:tr>
      <w:tr w:rsidR="00D93793" w:rsidRPr="004160BB" w14:paraId="64F6020D" w14:textId="77777777" w:rsidTr="004407A1">
        <w:trPr>
          <w:trHeight w:val="288"/>
        </w:trPr>
        <w:tc>
          <w:tcPr>
            <w:tcW w:w="2164" w:type="dxa"/>
            <w:tcBorders>
              <w:top w:val="nil"/>
              <w:left w:val="nil"/>
              <w:bottom w:val="single" w:sz="8" w:space="0" w:color="auto"/>
              <w:right w:val="single" w:sz="8" w:space="0" w:color="auto"/>
            </w:tcBorders>
            <w:shd w:val="clear" w:color="000000" w:fill="FFFFFF"/>
            <w:noWrap/>
            <w:vAlign w:val="bottom"/>
            <w:hideMark/>
          </w:tcPr>
          <w:p w14:paraId="04C6D39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TSP7.5+PM22.5</w:t>
            </w:r>
          </w:p>
        </w:tc>
        <w:tc>
          <w:tcPr>
            <w:tcW w:w="859" w:type="dxa"/>
            <w:tcBorders>
              <w:top w:val="nil"/>
              <w:left w:val="nil"/>
              <w:bottom w:val="single" w:sz="8" w:space="0" w:color="auto"/>
              <w:right w:val="nil"/>
            </w:tcBorders>
            <w:shd w:val="clear" w:color="000000" w:fill="FFFFFF"/>
            <w:noWrap/>
            <w:vAlign w:val="bottom"/>
            <w:hideMark/>
          </w:tcPr>
          <w:p w14:paraId="5AB01A3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37.51</w:t>
            </w:r>
            <w:r w:rsidRPr="004160BB">
              <w:rPr>
                <w:rFonts w:ascii="Arial" w:hAnsi="Arial" w:cs="Arial"/>
                <w:color w:val="000000"/>
                <w:vertAlign w:val="superscript"/>
                <w:lang w:eastAsia="en-GB"/>
              </w:rPr>
              <w:t>ab</w:t>
            </w:r>
          </w:p>
        </w:tc>
        <w:tc>
          <w:tcPr>
            <w:tcW w:w="976" w:type="dxa"/>
            <w:tcBorders>
              <w:top w:val="nil"/>
              <w:left w:val="nil"/>
              <w:bottom w:val="single" w:sz="8" w:space="0" w:color="auto"/>
              <w:right w:val="nil"/>
            </w:tcBorders>
            <w:shd w:val="clear" w:color="000000" w:fill="FFFFFF"/>
            <w:noWrap/>
            <w:vAlign w:val="bottom"/>
            <w:hideMark/>
          </w:tcPr>
          <w:p w14:paraId="30EA084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39.17</w:t>
            </w:r>
            <w:r w:rsidRPr="004160BB">
              <w:rPr>
                <w:rFonts w:ascii="Arial" w:hAnsi="Arial" w:cs="Arial"/>
                <w:color w:val="000000"/>
                <w:vertAlign w:val="superscript"/>
                <w:lang w:eastAsia="en-GB"/>
              </w:rPr>
              <w:t>abcd</w:t>
            </w:r>
          </w:p>
        </w:tc>
        <w:tc>
          <w:tcPr>
            <w:tcW w:w="754" w:type="dxa"/>
            <w:tcBorders>
              <w:top w:val="nil"/>
              <w:left w:val="nil"/>
              <w:bottom w:val="nil"/>
              <w:right w:val="nil"/>
            </w:tcBorders>
            <w:shd w:val="clear" w:color="000000" w:fill="FFFFFF"/>
            <w:noWrap/>
            <w:vAlign w:val="bottom"/>
            <w:hideMark/>
          </w:tcPr>
          <w:p w14:paraId="1D4C0E9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38.34</w:t>
            </w:r>
          </w:p>
        </w:tc>
        <w:tc>
          <w:tcPr>
            <w:tcW w:w="866" w:type="dxa"/>
            <w:tcBorders>
              <w:top w:val="nil"/>
              <w:left w:val="nil"/>
              <w:bottom w:val="single" w:sz="8" w:space="0" w:color="auto"/>
              <w:right w:val="nil"/>
            </w:tcBorders>
            <w:shd w:val="clear" w:color="000000" w:fill="FFFFFF"/>
            <w:noWrap/>
            <w:vAlign w:val="bottom"/>
            <w:hideMark/>
          </w:tcPr>
          <w:p w14:paraId="09D79FC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0.26</w:t>
            </w:r>
            <w:r w:rsidRPr="004160BB">
              <w:rPr>
                <w:rFonts w:ascii="Arial" w:hAnsi="Arial" w:cs="Arial"/>
                <w:color w:val="000000"/>
                <w:vertAlign w:val="superscript"/>
                <w:lang w:eastAsia="en-GB"/>
              </w:rPr>
              <w:t>e</w:t>
            </w:r>
          </w:p>
        </w:tc>
        <w:tc>
          <w:tcPr>
            <w:tcW w:w="962" w:type="dxa"/>
            <w:tcBorders>
              <w:top w:val="nil"/>
              <w:left w:val="nil"/>
              <w:bottom w:val="single" w:sz="8" w:space="0" w:color="auto"/>
              <w:right w:val="nil"/>
            </w:tcBorders>
            <w:shd w:val="clear" w:color="000000" w:fill="FFFFFF"/>
            <w:noWrap/>
            <w:vAlign w:val="bottom"/>
            <w:hideMark/>
          </w:tcPr>
          <w:p w14:paraId="301A4E1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0.31</w:t>
            </w:r>
            <w:r w:rsidRPr="004160BB">
              <w:rPr>
                <w:rFonts w:ascii="Arial" w:hAnsi="Arial" w:cs="Arial"/>
                <w:color w:val="000000"/>
                <w:vertAlign w:val="superscript"/>
                <w:lang w:eastAsia="en-GB"/>
              </w:rPr>
              <w:t>bcd</w:t>
            </w:r>
          </w:p>
        </w:tc>
        <w:tc>
          <w:tcPr>
            <w:tcW w:w="754" w:type="dxa"/>
            <w:tcBorders>
              <w:top w:val="nil"/>
              <w:left w:val="nil"/>
              <w:bottom w:val="nil"/>
              <w:right w:val="nil"/>
            </w:tcBorders>
            <w:shd w:val="clear" w:color="000000" w:fill="FFFFFF"/>
            <w:noWrap/>
            <w:vAlign w:val="bottom"/>
            <w:hideMark/>
          </w:tcPr>
          <w:p w14:paraId="7C33BC2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0.29</w:t>
            </w:r>
          </w:p>
        </w:tc>
        <w:tc>
          <w:tcPr>
            <w:tcW w:w="1086" w:type="dxa"/>
            <w:tcBorders>
              <w:top w:val="nil"/>
              <w:left w:val="nil"/>
              <w:bottom w:val="single" w:sz="8" w:space="0" w:color="auto"/>
              <w:right w:val="nil"/>
            </w:tcBorders>
            <w:shd w:val="clear" w:color="000000" w:fill="FFFFFF"/>
            <w:noWrap/>
            <w:vAlign w:val="bottom"/>
            <w:hideMark/>
          </w:tcPr>
          <w:p w14:paraId="67C5E32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125.04</w:t>
            </w:r>
            <w:r w:rsidRPr="004160BB">
              <w:rPr>
                <w:rFonts w:ascii="Arial" w:hAnsi="Arial" w:cs="Arial"/>
                <w:color w:val="000000"/>
                <w:vertAlign w:val="superscript"/>
                <w:lang w:eastAsia="en-GB"/>
              </w:rPr>
              <w:t>cd</w:t>
            </w:r>
          </w:p>
        </w:tc>
        <w:tc>
          <w:tcPr>
            <w:tcW w:w="1024" w:type="dxa"/>
            <w:tcBorders>
              <w:top w:val="nil"/>
              <w:left w:val="nil"/>
              <w:bottom w:val="single" w:sz="8" w:space="0" w:color="auto"/>
              <w:right w:val="nil"/>
            </w:tcBorders>
            <w:shd w:val="clear" w:color="000000" w:fill="FFFFFF"/>
            <w:noWrap/>
            <w:vAlign w:val="bottom"/>
            <w:hideMark/>
          </w:tcPr>
          <w:p w14:paraId="2DA952C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126.42</w:t>
            </w:r>
            <w:r w:rsidRPr="004160BB">
              <w:rPr>
                <w:rFonts w:ascii="Arial" w:hAnsi="Arial" w:cs="Arial"/>
                <w:color w:val="000000"/>
                <w:vertAlign w:val="superscript"/>
                <w:lang w:eastAsia="en-GB"/>
              </w:rPr>
              <w:t>d</w:t>
            </w:r>
          </w:p>
        </w:tc>
        <w:tc>
          <w:tcPr>
            <w:tcW w:w="821" w:type="dxa"/>
            <w:tcBorders>
              <w:top w:val="nil"/>
              <w:left w:val="nil"/>
              <w:bottom w:val="nil"/>
              <w:right w:val="nil"/>
            </w:tcBorders>
            <w:shd w:val="clear" w:color="000000" w:fill="FFFFFF"/>
            <w:noWrap/>
            <w:vAlign w:val="bottom"/>
            <w:hideMark/>
          </w:tcPr>
          <w:p w14:paraId="53D9417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125.73</w:t>
            </w:r>
          </w:p>
        </w:tc>
        <w:tc>
          <w:tcPr>
            <w:tcW w:w="767" w:type="dxa"/>
            <w:tcBorders>
              <w:top w:val="nil"/>
              <w:left w:val="nil"/>
              <w:bottom w:val="single" w:sz="8" w:space="0" w:color="auto"/>
              <w:right w:val="nil"/>
            </w:tcBorders>
            <w:shd w:val="clear" w:color="000000" w:fill="FFFFFF"/>
            <w:noWrap/>
            <w:vAlign w:val="bottom"/>
            <w:hideMark/>
          </w:tcPr>
          <w:p w14:paraId="50B102F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single" w:sz="8" w:space="0" w:color="auto"/>
              <w:right w:val="nil"/>
            </w:tcBorders>
            <w:shd w:val="clear" w:color="000000" w:fill="FFFFFF"/>
            <w:noWrap/>
            <w:vAlign w:val="bottom"/>
            <w:hideMark/>
          </w:tcPr>
          <w:p w14:paraId="31CA9E6F"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0.25</w:t>
            </w:r>
            <w:r w:rsidRPr="004160BB">
              <w:rPr>
                <w:rFonts w:ascii="Arial" w:hAnsi="Arial" w:cs="Arial"/>
                <w:b/>
                <w:bCs/>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452CDBB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0.17</w:t>
            </w:r>
          </w:p>
        </w:tc>
      </w:tr>
      <w:tr w:rsidR="00D93793" w:rsidRPr="004160BB" w14:paraId="23445731"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CB98F41"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MSD</w:t>
            </w:r>
          </w:p>
        </w:tc>
        <w:tc>
          <w:tcPr>
            <w:tcW w:w="859" w:type="dxa"/>
            <w:tcBorders>
              <w:top w:val="nil"/>
              <w:left w:val="nil"/>
              <w:bottom w:val="nil"/>
              <w:right w:val="nil"/>
            </w:tcBorders>
            <w:shd w:val="clear" w:color="000000" w:fill="FFFFFF"/>
            <w:noWrap/>
            <w:vAlign w:val="bottom"/>
            <w:hideMark/>
          </w:tcPr>
          <w:p w14:paraId="05B984F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8.44</w:t>
            </w:r>
          </w:p>
        </w:tc>
        <w:tc>
          <w:tcPr>
            <w:tcW w:w="976" w:type="dxa"/>
            <w:tcBorders>
              <w:top w:val="nil"/>
              <w:left w:val="nil"/>
              <w:bottom w:val="nil"/>
              <w:right w:val="nil"/>
            </w:tcBorders>
            <w:shd w:val="clear" w:color="000000" w:fill="FFFFFF"/>
            <w:noWrap/>
            <w:vAlign w:val="bottom"/>
            <w:hideMark/>
          </w:tcPr>
          <w:p w14:paraId="392F7F4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9.58</w:t>
            </w:r>
          </w:p>
        </w:tc>
        <w:tc>
          <w:tcPr>
            <w:tcW w:w="754" w:type="dxa"/>
            <w:tcBorders>
              <w:top w:val="single" w:sz="8" w:space="0" w:color="auto"/>
              <w:left w:val="nil"/>
              <w:bottom w:val="nil"/>
              <w:right w:val="nil"/>
            </w:tcBorders>
            <w:shd w:val="clear" w:color="000000" w:fill="FFFFFF"/>
            <w:noWrap/>
            <w:vAlign w:val="bottom"/>
            <w:hideMark/>
          </w:tcPr>
          <w:p w14:paraId="6E31B3E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nil"/>
              <w:right w:val="nil"/>
            </w:tcBorders>
            <w:shd w:val="clear" w:color="000000" w:fill="FFFFFF"/>
            <w:noWrap/>
            <w:vAlign w:val="bottom"/>
            <w:hideMark/>
          </w:tcPr>
          <w:p w14:paraId="03D0B11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0.07</w:t>
            </w:r>
          </w:p>
        </w:tc>
        <w:tc>
          <w:tcPr>
            <w:tcW w:w="962" w:type="dxa"/>
            <w:tcBorders>
              <w:top w:val="nil"/>
              <w:left w:val="nil"/>
              <w:bottom w:val="nil"/>
              <w:right w:val="nil"/>
            </w:tcBorders>
            <w:shd w:val="clear" w:color="000000" w:fill="FFFFFF"/>
            <w:noWrap/>
            <w:vAlign w:val="bottom"/>
            <w:hideMark/>
          </w:tcPr>
          <w:p w14:paraId="7825998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0.068</w:t>
            </w:r>
          </w:p>
        </w:tc>
        <w:tc>
          <w:tcPr>
            <w:tcW w:w="754" w:type="dxa"/>
            <w:tcBorders>
              <w:top w:val="single" w:sz="8" w:space="0" w:color="auto"/>
              <w:left w:val="nil"/>
              <w:bottom w:val="nil"/>
              <w:right w:val="nil"/>
            </w:tcBorders>
            <w:shd w:val="clear" w:color="000000" w:fill="FFFFFF"/>
            <w:noWrap/>
            <w:vAlign w:val="bottom"/>
            <w:hideMark/>
          </w:tcPr>
          <w:p w14:paraId="55801E1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nil"/>
              <w:right w:val="nil"/>
            </w:tcBorders>
            <w:shd w:val="clear" w:color="000000" w:fill="FFFFFF"/>
            <w:noWrap/>
            <w:vAlign w:val="bottom"/>
            <w:hideMark/>
          </w:tcPr>
          <w:p w14:paraId="2F0F6C5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16.45</w:t>
            </w:r>
          </w:p>
        </w:tc>
        <w:tc>
          <w:tcPr>
            <w:tcW w:w="1024" w:type="dxa"/>
            <w:tcBorders>
              <w:top w:val="nil"/>
              <w:left w:val="nil"/>
              <w:bottom w:val="nil"/>
              <w:right w:val="nil"/>
            </w:tcBorders>
            <w:shd w:val="clear" w:color="000000" w:fill="FFFFFF"/>
            <w:noWrap/>
            <w:vAlign w:val="bottom"/>
            <w:hideMark/>
          </w:tcPr>
          <w:p w14:paraId="7DBC157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14.99</w:t>
            </w:r>
          </w:p>
        </w:tc>
        <w:tc>
          <w:tcPr>
            <w:tcW w:w="821" w:type="dxa"/>
            <w:tcBorders>
              <w:top w:val="single" w:sz="8" w:space="0" w:color="auto"/>
              <w:left w:val="nil"/>
              <w:bottom w:val="nil"/>
              <w:right w:val="nil"/>
            </w:tcBorders>
            <w:shd w:val="clear" w:color="000000" w:fill="FFFFFF"/>
            <w:noWrap/>
            <w:vAlign w:val="bottom"/>
            <w:hideMark/>
          </w:tcPr>
          <w:p w14:paraId="3390DB4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nil"/>
              <w:right w:val="nil"/>
            </w:tcBorders>
            <w:shd w:val="clear" w:color="000000" w:fill="FFFFFF"/>
            <w:noWrap/>
            <w:vAlign w:val="bottom"/>
            <w:hideMark/>
          </w:tcPr>
          <w:p w14:paraId="573963F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0.05</w:t>
            </w:r>
          </w:p>
        </w:tc>
        <w:tc>
          <w:tcPr>
            <w:tcW w:w="962" w:type="dxa"/>
            <w:tcBorders>
              <w:top w:val="nil"/>
              <w:left w:val="nil"/>
              <w:bottom w:val="nil"/>
              <w:right w:val="nil"/>
            </w:tcBorders>
            <w:shd w:val="clear" w:color="000000" w:fill="FFFFFF"/>
            <w:noWrap/>
            <w:vAlign w:val="bottom"/>
            <w:hideMark/>
          </w:tcPr>
          <w:p w14:paraId="4FBE1DB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0.075</w:t>
            </w:r>
          </w:p>
        </w:tc>
        <w:tc>
          <w:tcPr>
            <w:tcW w:w="754" w:type="dxa"/>
            <w:tcBorders>
              <w:top w:val="single" w:sz="8" w:space="0" w:color="auto"/>
              <w:left w:val="nil"/>
              <w:bottom w:val="nil"/>
              <w:right w:val="nil"/>
            </w:tcBorders>
            <w:shd w:val="clear" w:color="000000" w:fill="FFFFFF"/>
            <w:noWrap/>
            <w:vAlign w:val="bottom"/>
            <w:hideMark/>
          </w:tcPr>
          <w:p w14:paraId="4B875E9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1F30F3FB"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0FD1BD35"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S.E.D (±)</w:t>
            </w:r>
          </w:p>
        </w:tc>
        <w:tc>
          <w:tcPr>
            <w:tcW w:w="859" w:type="dxa"/>
            <w:tcBorders>
              <w:top w:val="nil"/>
              <w:left w:val="nil"/>
              <w:bottom w:val="nil"/>
              <w:right w:val="nil"/>
            </w:tcBorders>
            <w:shd w:val="clear" w:color="000000" w:fill="FFFFFF"/>
            <w:noWrap/>
            <w:vAlign w:val="bottom"/>
            <w:hideMark/>
          </w:tcPr>
          <w:p w14:paraId="7C545BE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0.45</w:t>
            </w:r>
          </w:p>
        </w:tc>
        <w:tc>
          <w:tcPr>
            <w:tcW w:w="976" w:type="dxa"/>
            <w:tcBorders>
              <w:top w:val="nil"/>
              <w:left w:val="nil"/>
              <w:bottom w:val="nil"/>
              <w:right w:val="nil"/>
            </w:tcBorders>
            <w:shd w:val="clear" w:color="000000" w:fill="FFFFFF"/>
            <w:noWrap/>
            <w:vAlign w:val="bottom"/>
            <w:hideMark/>
          </w:tcPr>
          <w:p w14:paraId="4B56182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0.51</w:t>
            </w:r>
          </w:p>
        </w:tc>
        <w:tc>
          <w:tcPr>
            <w:tcW w:w="754" w:type="dxa"/>
            <w:tcBorders>
              <w:top w:val="nil"/>
              <w:left w:val="nil"/>
              <w:bottom w:val="nil"/>
              <w:right w:val="nil"/>
            </w:tcBorders>
            <w:shd w:val="clear" w:color="000000" w:fill="FFFFFF"/>
            <w:noWrap/>
            <w:vAlign w:val="bottom"/>
            <w:hideMark/>
          </w:tcPr>
          <w:p w14:paraId="40E9D11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nil"/>
              <w:right w:val="nil"/>
            </w:tcBorders>
            <w:shd w:val="clear" w:color="000000" w:fill="FFFFFF"/>
            <w:noWrap/>
            <w:vAlign w:val="bottom"/>
            <w:hideMark/>
          </w:tcPr>
          <w:p w14:paraId="6507EE7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0.004</w:t>
            </w:r>
          </w:p>
        </w:tc>
        <w:tc>
          <w:tcPr>
            <w:tcW w:w="962" w:type="dxa"/>
            <w:tcBorders>
              <w:top w:val="nil"/>
              <w:left w:val="nil"/>
              <w:bottom w:val="nil"/>
              <w:right w:val="nil"/>
            </w:tcBorders>
            <w:shd w:val="clear" w:color="000000" w:fill="FFFFFF"/>
            <w:noWrap/>
            <w:vAlign w:val="bottom"/>
            <w:hideMark/>
          </w:tcPr>
          <w:p w14:paraId="7C536B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0.0036</w:t>
            </w:r>
          </w:p>
        </w:tc>
        <w:tc>
          <w:tcPr>
            <w:tcW w:w="754" w:type="dxa"/>
            <w:tcBorders>
              <w:top w:val="nil"/>
              <w:left w:val="nil"/>
              <w:bottom w:val="nil"/>
              <w:right w:val="nil"/>
            </w:tcBorders>
            <w:shd w:val="clear" w:color="000000" w:fill="FFFFFF"/>
            <w:noWrap/>
            <w:vAlign w:val="bottom"/>
            <w:hideMark/>
          </w:tcPr>
          <w:p w14:paraId="2762F4A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nil"/>
              <w:right w:val="nil"/>
            </w:tcBorders>
            <w:shd w:val="clear" w:color="000000" w:fill="FFFFFF"/>
            <w:noWrap/>
            <w:vAlign w:val="bottom"/>
            <w:hideMark/>
          </w:tcPr>
          <w:p w14:paraId="1A50441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0.88</w:t>
            </w:r>
          </w:p>
        </w:tc>
        <w:tc>
          <w:tcPr>
            <w:tcW w:w="1024" w:type="dxa"/>
            <w:tcBorders>
              <w:top w:val="nil"/>
              <w:left w:val="nil"/>
              <w:bottom w:val="nil"/>
              <w:right w:val="nil"/>
            </w:tcBorders>
            <w:shd w:val="clear" w:color="000000" w:fill="FFFFFF"/>
            <w:noWrap/>
            <w:vAlign w:val="bottom"/>
            <w:hideMark/>
          </w:tcPr>
          <w:p w14:paraId="1450301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0.80</w:t>
            </w:r>
          </w:p>
        </w:tc>
        <w:tc>
          <w:tcPr>
            <w:tcW w:w="821" w:type="dxa"/>
            <w:tcBorders>
              <w:top w:val="nil"/>
              <w:left w:val="nil"/>
              <w:bottom w:val="nil"/>
              <w:right w:val="nil"/>
            </w:tcBorders>
            <w:shd w:val="clear" w:color="000000" w:fill="FFFFFF"/>
            <w:noWrap/>
            <w:vAlign w:val="bottom"/>
            <w:hideMark/>
          </w:tcPr>
          <w:p w14:paraId="6352D6F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nil"/>
              <w:right w:val="nil"/>
            </w:tcBorders>
            <w:shd w:val="clear" w:color="000000" w:fill="FFFFFF"/>
            <w:noWrap/>
            <w:vAlign w:val="bottom"/>
            <w:hideMark/>
          </w:tcPr>
          <w:p w14:paraId="7C0DF3C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w:t>
            </w:r>
          </w:p>
        </w:tc>
        <w:tc>
          <w:tcPr>
            <w:tcW w:w="962" w:type="dxa"/>
            <w:tcBorders>
              <w:top w:val="nil"/>
              <w:left w:val="nil"/>
              <w:bottom w:val="nil"/>
              <w:right w:val="nil"/>
            </w:tcBorders>
            <w:shd w:val="clear" w:color="000000" w:fill="FFFFFF"/>
            <w:noWrap/>
            <w:vAlign w:val="bottom"/>
            <w:hideMark/>
          </w:tcPr>
          <w:p w14:paraId="3E4D497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0.004</w:t>
            </w:r>
          </w:p>
        </w:tc>
        <w:tc>
          <w:tcPr>
            <w:tcW w:w="754" w:type="dxa"/>
            <w:tcBorders>
              <w:top w:val="nil"/>
              <w:left w:val="nil"/>
              <w:bottom w:val="nil"/>
              <w:right w:val="nil"/>
            </w:tcBorders>
            <w:shd w:val="clear" w:color="000000" w:fill="FFFFFF"/>
            <w:noWrap/>
            <w:vAlign w:val="bottom"/>
            <w:hideMark/>
          </w:tcPr>
          <w:p w14:paraId="360955E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18B8AF4C" w14:textId="77777777" w:rsidTr="004407A1">
        <w:trPr>
          <w:trHeight w:val="288"/>
        </w:trPr>
        <w:tc>
          <w:tcPr>
            <w:tcW w:w="2164" w:type="dxa"/>
            <w:tcBorders>
              <w:top w:val="nil"/>
              <w:left w:val="nil"/>
              <w:bottom w:val="double" w:sz="6" w:space="0" w:color="auto"/>
              <w:right w:val="single" w:sz="8" w:space="0" w:color="auto"/>
            </w:tcBorders>
            <w:shd w:val="clear" w:color="000000" w:fill="FFFFFF"/>
            <w:noWrap/>
            <w:vAlign w:val="bottom"/>
            <w:hideMark/>
          </w:tcPr>
          <w:p w14:paraId="340CAA18" w14:textId="77777777" w:rsidR="00D93793" w:rsidRPr="004160BB" w:rsidRDefault="00D93793" w:rsidP="00D93793">
            <w:pPr>
              <w:jc w:val="center"/>
              <w:rPr>
                <w:rFonts w:ascii="Arial" w:hAnsi="Arial" w:cs="Arial"/>
                <w:b/>
                <w:bCs/>
                <w:color w:val="000000"/>
                <w:lang w:eastAsia="en-GB"/>
              </w:rPr>
            </w:pPr>
            <w:proofErr w:type="spellStart"/>
            <w:r w:rsidRPr="004160BB">
              <w:rPr>
                <w:rFonts w:ascii="Arial" w:hAnsi="Arial" w:cs="Arial"/>
                <w:b/>
                <w:bCs/>
                <w:color w:val="000000"/>
                <w:lang w:eastAsia="en-GB"/>
              </w:rPr>
              <w:t>P'value</w:t>
            </w:r>
            <w:proofErr w:type="spellEnd"/>
          </w:p>
        </w:tc>
        <w:tc>
          <w:tcPr>
            <w:tcW w:w="859" w:type="dxa"/>
            <w:tcBorders>
              <w:top w:val="nil"/>
              <w:left w:val="nil"/>
              <w:bottom w:val="double" w:sz="6" w:space="0" w:color="auto"/>
              <w:right w:val="nil"/>
            </w:tcBorders>
            <w:shd w:val="clear" w:color="000000" w:fill="FFFFFF"/>
            <w:noWrap/>
            <w:vAlign w:val="bottom"/>
            <w:hideMark/>
          </w:tcPr>
          <w:p w14:paraId="64E6204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976" w:type="dxa"/>
            <w:tcBorders>
              <w:top w:val="nil"/>
              <w:left w:val="nil"/>
              <w:bottom w:val="double" w:sz="6" w:space="0" w:color="auto"/>
              <w:right w:val="nil"/>
            </w:tcBorders>
            <w:shd w:val="clear" w:color="000000" w:fill="FFFFFF"/>
            <w:noWrap/>
            <w:vAlign w:val="bottom"/>
            <w:hideMark/>
          </w:tcPr>
          <w:p w14:paraId="6B7026A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754" w:type="dxa"/>
            <w:tcBorders>
              <w:top w:val="nil"/>
              <w:left w:val="nil"/>
              <w:bottom w:val="double" w:sz="6" w:space="0" w:color="auto"/>
              <w:right w:val="nil"/>
            </w:tcBorders>
            <w:shd w:val="clear" w:color="000000" w:fill="FFFFFF"/>
            <w:noWrap/>
            <w:vAlign w:val="bottom"/>
            <w:hideMark/>
          </w:tcPr>
          <w:p w14:paraId="48884BC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double" w:sz="6" w:space="0" w:color="auto"/>
              <w:right w:val="nil"/>
            </w:tcBorders>
            <w:shd w:val="clear" w:color="000000" w:fill="FFFFFF"/>
            <w:noWrap/>
            <w:vAlign w:val="bottom"/>
            <w:hideMark/>
          </w:tcPr>
          <w:p w14:paraId="2FD0139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962" w:type="dxa"/>
            <w:tcBorders>
              <w:top w:val="nil"/>
              <w:left w:val="nil"/>
              <w:bottom w:val="double" w:sz="6" w:space="0" w:color="auto"/>
              <w:right w:val="nil"/>
            </w:tcBorders>
            <w:shd w:val="clear" w:color="000000" w:fill="FFFFFF"/>
            <w:noWrap/>
            <w:vAlign w:val="bottom"/>
            <w:hideMark/>
          </w:tcPr>
          <w:p w14:paraId="5C8C833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754" w:type="dxa"/>
            <w:tcBorders>
              <w:top w:val="nil"/>
              <w:left w:val="nil"/>
              <w:bottom w:val="double" w:sz="6" w:space="0" w:color="auto"/>
              <w:right w:val="nil"/>
            </w:tcBorders>
            <w:shd w:val="clear" w:color="000000" w:fill="FFFFFF"/>
            <w:noWrap/>
            <w:vAlign w:val="bottom"/>
            <w:hideMark/>
          </w:tcPr>
          <w:p w14:paraId="1591A18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double" w:sz="6" w:space="0" w:color="auto"/>
              <w:right w:val="nil"/>
            </w:tcBorders>
            <w:shd w:val="clear" w:color="000000" w:fill="FFFFFF"/>
            <w:noWrap/>
            <w:vAlign w:val="bottom"/>
            <w:hideMark/>
          </w:tcPr>
          <w:p w14:paraId="0EEE90C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1024" w:type="dxa"/>
            <w:tcBorders>
              <w:top w:val="nil"/>
              <w:left w:val="nil"/>
              <w:bottom w:val="double" w:sz="6" w:space="0" w:color="auto"/>
              <w:right w:val="nil"/>
            </w:tcBorders>
            <w:shd w:val="clear" w:color="000000" w:fill="FFFFFF"/>
            <w:noWrap/>
            <w:vAlign w:val="bottom"/>
            <w:hideMark/>
          </w:tcPr>
          <w:p w14:paraId="71343EB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&lt;0.005</w:t>
            </w:r>
          </w:p>
        </w:tc>
        <w:tc>
          <w:tcPr>
            <w:tcW w:w="821" w:type="dxa"/>
            <w:tcBorders>
              <w:top w:val="nil"/>
              <w:left w:val="nil"/>
              <w:bottom w:val="double" w:sz="6" w:space="0" w:color="auto"/>
              <w:right w:val="nil"/>
            </w:tcBorders>
            <w:shd w:val="clear" w:color="000000" w:fill="FFFFFF"/>
            <w:noWrap/>
            <w:vAlign w:val="bottom"/>
            <w:hideMark/>
          </w:tcPr>
          <w:p w14:paraId="7C56BCF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double" w:sz="6" w:space="0" w:color="auto"/>
              <w:right w:val="nil"/>
            </w:tcBorders>
            <w:shd w:val="clear" w:color="000000" w:fill="FFFFFF"/>
            <w:noWrap/>
            <w:vAlign w:val="bottom"/>
            <w:hideMark/>
          </w:tcPr>
          <w:p w14:paraId="269BF22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p>
        </w:tc>
        <w:tc>
          <w:tcPr>
            <w:tcW w:w="962" w:type="dxa"/>
            <w:tcBorders>
              <w:top w:val="nil"/>
              <w:left w:val="nil"/>
              <w:bottom w:val="double" w:sz="6" w:space="0" w:color="auto"/>
              <w:right w:val="nil"/>
            </w:tcBorders>
            <w:shd w:val="clear" w:color="000000" w:fill="FFFFFF"/>
            <w:noWrap/>
            <w:vAlign w:val="bottom"/>
            <w:hideMark/>
          </w:tcPr>
          <w:p w14:paraId="47A4777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754" w:type="dxa"/>
            <w:tcBorders>
              <w:top w:val="nil"/>
              <w:left w:val="nil"/>
              <w:bottom w:val="double" w:sz="6" w:space="0" w:color="auto"/>
              <w:right w:val="nil"/>
            </w:tcBorders>
            <w:shd w:val="clear" w:color="000000" w:fill="FFFFFF"/>
            <w:noWrap/>
            <w:vAlign w:val="bottom"/>
            <w:hideMark/>
          </w:tcPr>
          <w:p w14:paraId="0B88C34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2CC196ED" w14:textId="77777777" w:rsidTr="004407A1">
        <w:trPr>
          <w:trHeight w:val="288"/>
        </w:trPr>
        <w:tc>
          <w:tcPr>
            <w:tcW w:w="2164" w:type="dxa"/>
            <w:tcBorders>
              <w:top w:val="nil"/>
              <w:left w:val="nil"/>
              <w:bottom w:val="single" w:sz="8" w:space="0" w:color="auto"/>
              <w:right w:val="single" w:sz="8" w:space="0" w:color="auto"/>
            </w:tcBorders>
            <w:shd w:val="clear" w:color="000000" w:fill="FFFFFF"/>
            <w:noWrap/>
            <w:vAlign w:val="bottom"/>
            <w:hideMark/>
          </w:tcPr>
          <w:p w14:paraId="0029C00B"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Grand mean</w:t>
            </w:r>
          </w:p>
        </w:tc>
        <w:tc>
          <w:tcPr>
            <w:tcW w:w="859" w:type="dxa"/>
            <w:tcBorders>
              <w:top w:val="nil"/>
              <w:left w:val="nil"/>
              <w:bottom w:val="single" w:sz="8" w:space="0" w:color="auto"/>
              <w:right w:val="nil"/>
            </w:tcBorders>
            <w:shd w:val="clear" w:color="000000" w:fill="FFFFFF"/>
            <w:noWrap/>
            <w:vAlign w:val="bottom"/>
            <w:hideMark/>
          </w:tcPr>
          <w:p w14:paraId="5CB919C5"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36.53</w:t>
            </w:r>
          </w:p>
        </w:tc>
        <w:tc>
          <w:tcPr>
            <w:tcW w:w="976" w:type="dxa"/>
            <w:tcBorders>
              <w:top w:val="nil"/>
              <w:left w:val="nil"/>
              <w:bottom w:val="single" w:sz="8" w:space="0" w:color="auto"/>
              <w:right w:val="nil"/>
            </w:tcBorders>
            <w:shd w:val="clear" w:color="000000" w:fill="FFFFFF"/>
            <w:noWrap/>
            <w:vAlign w:val="bottom"/>
            <w:hideMark/>
          </w:tcPr>
          <w:p w14:paraId="441E881D"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38.10</w:t>
            </w:r>
          </w:p>
        </w:tc>
        <w:tc>
          <w:tcPr>
            <w:tcW w:w="754" w:type="dxa"/>
            <w:tcBorders>
              <w:top w:val="nil"/>
              <w:left w:val="nil"/>
              <w:bottom w:val="single" w:sz="8" w:space="0" w:color="auto"/>
              <w:right w:val="nil"/>
            </w:tcBorders>
            <w:shd w:val="clear" w:color="000000" w:fill="FFFFFF"/>
            <w:noWrap/>
            <w:vAlign w:val="bottom"/>
            <w:hideMark/>
          </w:tcPr>
          <w:p w14:paraId="625897D3"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c>
          <w:tcPr>
            <w:tcW w:w="866" w:type="dxa"/>
            <w:tcBorders>
              <w:top w:val="nil"/>
              <w:left w:val="nil"/>
              <w:bottom w:val="single" w:sz="8" w:space="0" w:color="auto"/>
              <w:right w:val="nil"/>
            </w:tcBorders>
            <w:shd w:val="clear" w:color="000000" w:fill="FFFFFF"/>
            <w:noWrap/>
            <w:vAlign w:val="bottom"/>
            <w:hideMark/>
          </w:tcPr>
          <w:p w14:paraId="7BC56AF1"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0.32</w:t>
            </w:r>
          </w:p>
        </w:tc>
        <w:tc>
          <w:tcPr>
            <w:tcW w:w="962" w:type="dxa"/>
            <w:tcBorders>
              <w:top w:val="nil"/>
              <w:left w:val="nil"/>
              <w:bottom w:val="single" w:sz="8" w:space="0" w:color="auto"/>
              <w:right w:val="nil"/>
            </w:tcBorders>
            <w:shd w:val="clear" w:color="000000" w:fill="FFFFFF"/>
            <w:noWrap/>
            <w:vAlign w:val="bottom"/>
            <w:hideMark/>
          </w:tcPr>
          <w:p w14:paraId="5FA491F7"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0.30</w:t>
            </w:r>
          </w:p>
        </w:tc>
        <w:tc>
          <w:tcPr>
            <w:tcW w:w="754" w:type="dxa"/>
            <w:tcBorders>
              <w:top w:val="nil"/>
              <w:left w:val="nil"/>
              <w:bottom w:val="single" w:sz="8" w:space="0" w:color="auto"/>
              <w:right w:val="nil"/>
            </w:tcBorders>
            <w:shd w:val="clear" w:color="000000" w:fill="FFFFFF"/>
            <w:noWrap/>
            <w:vAlign w:val="bottom"/>
            <w:hideMark/>
          </w:tcPr>
          <w:p w14:paraId="478098A8"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c>
          <w:tcPr>
            <w:tcW w:w="1086" w:type="dxa"/>
            <w:tcBorders>
              <w:top w:val="nil"/>
              <w:left w:val="nil"/>
              <w:bottom w:val="single" w:sz="8" w:space="0" w:color="auto"/>
              <w:right w:val="nil"/>
            </w:tcBorders>
            <w:shd w:val="clear" w:color="000000" w:fill="FFFFFF"/>
            <w:noWrap/>
            <w:vAlign w:val="bottom"/>
            <w:hideMark/>
          </w:tcPr>
          <w:p w14:paraId="2B6D3C66"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120.14</w:t>
            </w:r>
          </w:p>
        </w:tc>
        <w:tc>
          <w:tcPr>
            <w:tcW w:w="1024" w:type="dxa"/>
            <w:tcBorders>
              <w:top w:val="nil"/>
              <w:left w:val="nil"/>
              <w:bottom w:val="single" w:sz="8" w:space="0" w:color="auto"/>
              <w:right w:val="nil"/>
            </w:tcBorders>
            <w:shd w:val="clear" w:color="000000" w:fill="FFFFFF"/>
            <w:noWrap/>
            <w:vAlign w:val="bottom"/>
            <w:hideMark/>
          </w:tcPr>
          <w:p w14:paraId="18B2E6F4"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126.31</w:t>
            </w:r>
          </w:p>
        </w:tc>
        <w:tc>
          <w:tcPr>
            <w:tcW w:w="821" w:type="dxa"/>
            <w:tcBorders>
              <w:top w:val="nil"/>
              <w:left w:val="nil"/>
              <w:bottom w:val="single" w:sz="8" w:space="0" w:color="auto"/>
              <w:right w:val="nil"/>
            </w:tcBorders>
            <w:shd w:val="clear" w:color="000000" w:fill="FFFFFF"/>
            <w:noWrap/>
            <w:vAlign w:val="bottom"/>
            <w:hideMark/>
          </w:tcPr>
          <w:p w14:paraId="2252E693"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c>
          <w:tcPr>
            <w:tcW w:w="767" w:type="dxa"/>
            <w:tcBorders>
              <w:top w:val="nil"/>
              <w:left w:val="nil"/>
              <w:bottom w:val="single" w:sz="8" w:space="0" w:color="auto"/>
              <w:right w:val="nil"/>
            </w:tcBorders>
            <w:shd w:val="clear" w:color="000000" w:fill="FFFFFF"/>
            <w:noWrap/>
            <w:vAlign w:val="bottom"/>
            <w:hideMark/>
          </w:tcPr>
          <w:p w14:paraId="61645743"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0.09</w:t>
            </w:r>
          </w:p>
        </w:tc>
        <w:tc>
          <w:tcPr>
            <w:tcW w:w="962" w:type="dxa"/>
            <w:tcBorders>
              <w:top w:val="nil"/>
              <w:left w:val="nil"/>
              <w:bottom w:val="single" w:sz="8" w:space="0" w:color="auto"/>
              <w:right w:val="nil"/>
            </w:tcBorders>
            <w:shd w:val="clear" w:color="000000" w:fill="FFFFFF"/>
            <w:noWrap/>
            <w:vAlign w:val="bottom"/>
            <w:hideMark/>
          </w:tcPr>
          <w:p w14:paraId="61749894"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0.20</w:t>
            </w:r>
          </w:p>
        </w:tc>
        <w:tc>
          <w:tcPr>
            <w:tcW w:w="754" w:type="dxa"/>
            <w:tcBorders>
              <w:top w:val="nil"/>
              <w:left w:val="nil"/>
              <w:bottom w:val="single" w:sz="8" w:space="0" w:color="auto"/>
              <w:right w:val="nil"/>
            </w:tcBorders>
            <w:shd w:val="clear" w:color="000000" w:fill="FFFFFF"/>
            <w:noWrap/>
            <w:vAlign w:val="bottom"/>
            <w:hideMark/>
          </w:tcPr>
          <w:p w14:paraId="510E4D8A"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r>
    </w:tbl>
    <w:p w14:paraId="19C7DC3D" w14:textId="77777777" w:rsidR="000F0FCB" w:rsidRPr="00FC0EBD" w:rsidRDefault="00D93793" w:rsidP="004407A1">
      <w:pPr>
        <w:pStyle w:val="Body"/>
        <w:spacing w:before="120" w:after="0"/>
        <w:rPr>
          <w:rFonts w:ascii="Arial" w:eastAsia="Calibri" w:hAnsi="Arial" w:cs="Arial"/>
          <w:i/>
          <w:sz w:val="18"/>
          <w:szCs w:val="18"/>
        </w:rPr>
      </w:pPr>
      <w:bookmarkStart w:id="7" w:name="_Hlk211190846"/>
      <w:bookmarkEnd w:id="6"/>
      <w:r w:rsidRPr="00FC0EBD">
        <w:rPr>
          <w:rFonts w:ascii="Arial" w:eastAsia="Calibri" w:hAnsi="Arial" w:cs="Arial"/>
          <w:i/>
          <w:iCs/>
          <w:sz w:val="18"/>
          <w:szCs w:val="18"/>
        </w:rPr>
        <w:t>AE</w:t>
      </w:r>
      <w:r w:rsidRPr="00FC0EBD">
        <w:rPr>
          <w:rFonts w:ascii="Arial" w:eastAsia="Calibri" w:hAnsi="Arial" w:cs="Arial"/>
          <w:i/>
          <w:iCs/>
          <w:sz w:val="18"/>
          <w:szCs w:val="18"/>
          <w:vertAlign w:val="subscript"/>
        </w:rPr>
        <w:t>N</w:t>
      </w:r>
      <w:r w:rsidRPr="00FC0EBD">
        <w:rPr>
          <w:rFonts w:ascii="Arial" w:eastAsia="Calibri" w:hAnsi="Arial" w:cs="Arial"/>
          <w:i/>
          <w:iCs/>
          <w:sz w:val="18"/>
          <w:szCs w:val="18"/>
        </w:rPr>
        <w:t xml:space="preserve"> = grain increase per N input; AE</w:t>
      </w:r>
      <w:r w:rsidRPr="00FC0EBD">
        <w:rPr>
          <w:rFonts w:ascii="Arial" w:eastAsia="Calibri" w:hAnsi="Arial" w:cs="Arial"/>
          <w:i/>
          <w:iCs/>
          <w:sz w:val="18"/>
          <w:szCs w:val="18"/>
          <w:vertAlign w:val="subscript"/>
        </w:rPr>
        <w:t>P</w:t>
      </w:r>
      <w:r w:rsidRPr="00FC0EBD">
        <w:rPr>
          <w:rFonts w:ascii="Arial" w:eastAsia="Calibri" w:hAnsi="Arial" w:cs="Arial"/>
          <w:i/>
          <w:iCs/>
          <w:sz w:val="18"/>
          <w:szCs w:val="18"/>
        </w:rPr>
        <w:t xml:space="preserve"> = grain increase per P input; RE</w:t>
      </w:r>
      <w:r w:rsidRPr="00FC0EBD">
        <w:rPr>
          <w:rFonts w:ascii="Arial" w:eastAsia="Calibri" w:hAnsi="Arial" w:cs="Arial"/>
          <w:i/>
          <w:iCs/>
          <w:sz w:val="18"/>
          <w:szCs w:val="18"/>
          <w:vertAlign w:val="subscript"/>
        </w:rPr>
        <w:t>N</w:t>
      </w:r>
      <w:r w:rsidRPr="00FC0EBD">
        <w:rPr>
          <w:rFonts w:ascii="Arial" w:eastAsia="Calibri" w:hAnsi="Arial" w:cs="Arial"/>
          <w:i/>
          <w:iCs/>
          <w:sz w:val="18"/>
          <w:szCs w:val="18"/>
        </w:rPr>
        <w:t xml:space="preserve"> = N uptake gain per N input; RE</w:t>
      </w:r>
      <w:r w:rsidRPr="00FC0EBD">
        <w:rPr>
          <w:rFonts w:ascii="Arial" w:eastAsia="Calibri" w:hAnsi="Arial" w:cs="Arial"/>
          <w:i/>
          <w:iCs/>
          <w:sz w:val="18"/>
          <w:szCs w:val="18"/>
          <w:vertAlign w:val="subscript"/>
        </w:rPr>
        <w:t>P</w:t>
      </w:r>
      <w:r w:rsidRPr="00FC0EBD">
        <w:rPr>
          <w:rFonts w:ascii="Arial" w:eastAsia="Calibri" w:hAnsi="Arial" w:cs="Arial"/>
          <w:i/>
          <w:iCs/>
          <w:sz w:val="18"/>
          <w:szCs w:val="18"/>
        </w:rPr>
        <w:t xml:space="preserve"> = P uptake gain per P input</w:t>
      </w:r>
      <w:r w:rsidR="000F0FCB" w:rsidRPr="00FC0EBD">
        <w:rPr>
          <w:rFonts w:ascii="Arial" w:eastAsia="Calibri" w:hAnsi="Arial" w:cs="Arial"/>
          <w:i/>
          <w:iCs/>
          <w:sz w:val="18"/>
          <w:szCs w:val="18"/>
        </w:rPr>
        <w:t xml:space="preserve"> </w:t>
      </w:r>
      <w:r w:rsidR="000F0FCB" w:rsidRPr="00FC0EBD">
        <w:rPr>
          <w:rFonts w:ascii="Arial" w:eastAsia="Calibri" w:hAnsi="Arial" w:cs="Arial"/>
          <w:i/>
          <w:sz w:val="18"/>
          <w:szCs w:val="18"/>
        </w:rPr>
        <w:t>Table 4: N Similar lowercase letters indicate no significant difference at 5% level of significance</w:t>
      </w:r>
      <w:r w:rsidR="00F142F5">
        <w:rPr>
          <w:rFonts w:ascii="Arial" w:eastAsia="Calibri" w:hAnsi="Arial" w:cs="Arial"/>
          <w:i/>
          <w:sz w:val="18"/>
          <w:szCs w:val="18"/>
        </w:rPr>
        <w:t xml:space="preserve">. </w:t>
      </w:r>
    </w:p>
    <w:p w14:paraId="2358D758" w14:textId="77777777" w:rsidR="00D93793" w:rsidRDefault="00D93793" w:rsidP="00D93793">
      <w:pPr>
        <w:spacing w:after="200"/>
        <w:rPr>
          <w:rFonts w:ascii="Arial" w:eastAsia="Calibri" w:hAnsi="Arial" w:cs="Arial"/>
          <w:iCs/>
          <w:szCs w:val="18"/>
        </w:rPr>
        <w:sectPr w:rsidR="00D93793" w:rsidSect="007A595A">
          <w:pgSz w:w="15840" w:h="12240" w:orient="landscape"/>
          <w:pgMar w:top="2016" w:right="2016" w:bottom="2016" w:left="1440" w:header="720" w:footer="1123" w:gutter="0"/>
          <w:cols w:space="720"/>
          <w:docGrid w:linePitch="272"/>
        </w:sectPr>
      </w:pPr>
    </w:p>
    <w:p w14:paraId="224A13E0" w14:textId="77777777" w:rsidR="007732E2" w:rsidRPr="004407A1" w:rsidRDefault="004407A1" w:rsidP="007732E2">
      <w:pPr>
        <w:spacing w:after="200"/>
        <w:rPr>
          <w:rFonts w:ascii="Arial" w:hAnsi="Arial" w:cs="Arial"/>
          <w:b/>
          <w:sz w:val="22"/>
        </w:rPr>
      </w:pPr>
      <w:r>
        <w:rPr>
          <w:rFonts w:ascii="Arial" w:hAnsi="Arial" w:cs="Arial"/>
          <w:b/>
          <w:sz w:val="22"/>
        </w:rPr>
        <w:lastRenderedPageBreak/>
        <w:t xml:space="preserve">3.2 </w:t>
      </w:r>
      <w:r w:rsidR="007732E2" w:rsidRPr="004407A1">
        <w:rPr>
          <w:rFonts w:ascii="Arial" w:hAnsi="Arial" w:cs="Arial"/>
          <w:b/>
          <w:sz w:val="22"/>
        </w:rPr>
        <w:t>Effect of P sources and combinations on N uptake</w:t>
      </w:r>
    </w:p>
    <w:p w14:paraId="0EE9481A" w14:textId="77777777" w:rsidR="00D93793" w:rsidRPr="00D93793" w:rsidRDefault="007732E2" w:rsidP="004407A1">
      <w:pPr>
        <w:pStyle w:val="Body"/>
        <w:spacing w:after="0"/>
        <w:rPr>
          <w:rFonts w:ascii="Arial" w:eastAsia="Calibri" w:hAnsi="Arial" w:cs="Arial"/>
          <w:iCs/>
          <w:szCs w:val="18"/>
        </w:rPr>
      </w:pPr>
      <w:r w:rsidRPr="007732E2">
        <w:rPr>
          <w:rFonts w:ascii="Arial" w:eastAsia="Calibri" w:hAnsi="Arial" w:cs="Arial"/>
          <w:iCs/>
          <w:szCs w:val="18"/>
        </w:rPr>
        <w:t xml:space="preserve">The effect of different P sources and their combinations is shown in Figure 1. An apparent site effect (p &lt; 0.05) on N uptake by plants was observed, irrespective of the P source and combinations. The overall mean in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was 31.70 kg ha-1, compared to 29.91 kg ha-1 in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xml:space="preserve">, which was approximately 6% less. However, across the two sites, the peak total N uptake was observed at the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xml:space="preserve"> site (49.03 kg ha-1, TSP30), which was 6.82 kg ha-1 higher than the highest N uptake at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(42.21 kg ha-1, TSP15 + PM15). At both sites, the control plots consistently exhibited the least N uptake, 10.38 and 12.05 kg ha-1 in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xml:space="preserve"> and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respectively. With regards to P source and combinations, N uptake in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increased in the order of Control &gt; CM30 &gt; TSP7.7 + PM22.5 &gt; PM15 + CM15 &gt; TSP7.5 + CM22.5 &gt; PM30 &gt; PM22.5 + CM7.5 &gt; P10 + CM10 + TSP10 &gt; PM7.5 + CM22.5 &gt; TSP15 + CM15 &gt; TSP22.5 + PM7.5 &gt; TSP22.5 + CM7.5 &gt; TSP30 &gt;TSP15 + PM15 (Ref. Figure). Meanwhile, in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the treatments were in the order of Control &gt; CM30 &gt; PM15 + CM15 &gt; PM7.5 + CM22.5 &gt; TSP7.5 + CM22.5 &gt; PM30 &gt; TSP15 + CM15 &gt; TSP7.5 + PM22.5 &gt; TSP15 + PM15 + TSP22.5 + CM7.5 &gt; P10 + CM10 + TSP10 &gt; PM22.5 + CM7.5 &gt; TSP22.5 + PM7.5 &gt; TSP30 (Figure 1</w:t>
      </w:r>
    </w:p>
    <w:bookmarkEnd w:id="7"/>
    <w:p w14:paraId="267FCB1D" w14:textId="77777777" w:rsidR="00F820C8" w:rsidRDefault="007732E2" w:rsidP="00441B6F">
      <w:pPr>
        <w:pStyle w:val="Body"/>
        <w:spacing w:after="0"/>
        <w:rPr>
          <w:rFonts w:ascii="Arial" w:hAnsi="Arial" w:cs="Arial"/>
        </w:rPr>
      </w:pPr>
      <w:r w:rsidRPr="003B107F">
        <w:rPr>
          <w:rFonts w:ascii="Arial" w:hAnsi="Arial" w:cs="Arial"/>
          <w:noProof/>
          <w:lang w:eastAsia="en-GB"/>
        </w:rPr>
        <w:drawing>
          <wp:inline distT="0" distB="0" distL="0" distR="0" wp14:anchorId="2BA19991" wp14:editId="718D1C66">
            <wp:extent cx="5029200" cy="472120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4721204"/>
                    </a:xfrm>
                    <a:prstGeom prst="rect">
                      <a:avLst/>
                    </a:prstGeom>
                    <a:noFill/>
                  </pic:spPr>
                </pic:pic>
              </a:graphicData>
            </a:graphic>
          </wp:inline>
        </w:drawing>
      </w:r>
    </w:p>
    <w:p w14:paraId="0F9FDDD2" w14:textId="77777777" w:rsidR="00F820C8" w:rsidRDefault="00F820C8" w:rsidP="00441B6F">
      <w:pPr>
        <w:pStyle w:val="Body"/>
        <w:spacing w:after="0"/>
        <w:rPr>
          <w:rFonts w:ascii="Arial" w:hAnsi="Arial" w:cs="Arial"/>
        </w:rPr>
      </w:pPr>
    </w:p>
    <w:p w14:paraId="030D834E" w14:textId="77777777" w:rsidR="007732E2" w:rsidRPr="007732E2" w:rsidRDefault="007732E2" w:rsidP="007732E2">
      <w:pPr>
        <w:pStyle w:val="Body"/>
        <w:rPr>
          <w:rFonts w:ascii="Arial" w:hAnsi="Arial" w:cs="Arial"/>
        </w:rPr>
      </w:pPr>
      <w:r w:rsidRPr="007732E2">
        <w:rPr>
          <w:rFonts w:ascii="Arial" w:hAnsi="Arial" w:cs="Arial"/>
        </w:rPr>
        <w:t>Figure 1: Plant N uptake (Grain + Stover) as influenced by different P sources and their combinations</w:t>
      </w:r>
    </w:p>
    <w:p w14:paraId="3872FBC9" w14:textId="77777777" w:rsidR="00F820C8" w:rsidRDefault="007732E2" w:rsidP="007732E2">
      <w:pPr>
        <w:pStyle w:val="Body"/>
        <w:spacing w:after="0"/>
        <w:rPr>
          <w:rFonts w:ascii="Arial" w:hAnsi="Arial" w:cs="Arial"/>
        </w:rPr>
      </w:pPr>
      <w:r w:rsidRPr="007732E2">
        <w:rPr>
          <w:rFonts w:ascii="Arial" w:hAnsi="Arial" w:cs="Arial"/>
        </w:rPr>
        <w:lastRenderedPageBreak/>
        <w:t xml:space="preserve">The response of grain yield to the total N uptake was similar across both sites (Figure 2). A linear pattern was observed in </w:t>
      </w:r>
      <w:proofErr w:type="spellStart"/>
      <w:r w:rsidRPr="007732E2">
        <w:rPr>
          <w:rFonts w:ascii="Arial" w:hAnsi="Arial" w:cs="Arial"/>
        </w:rPr>
        <w:t>Kibos</w:t>
      </w:r>
      <w:proofErr w:type="spellEnd"/>
      <w:r w:rsidRPr="007732E2">
        <w:rPr>
          <w:rFonts w:ascii="Arial" w:hAnsi="Arial" w:cs="Arial"/>
        </w:rPr>
        <w:t xml:space="preserve"> and </w:t>
      </w:r>
      <w:proofErr w:type="spellStart"/>
      <w:r w:rsidRPr="007732E2">
        <w:rPr>
          <w:rFonts w:ascii="Arial" w:hAnsi="Arial" w:cs="Arial"/>
        </w:rPr>
        <w:t>Bumula</w:t>
      </w:r>
      <w:proofErr w:type="spellEnd"/>
      <w:r w:rsidRPr="007732E2">
        <w:rPr>
          <w:rFonts w:ascii="Arial" w:hAnsi="Arial" w:cs="Arial"/>
        </w:rPr>
        <w:t>, with R² values of 0.84 and 0.8, respectively, indicating that grain yield increased with increasing plant N uptake.</w:t>
      </w:r>
    </w:p>
    <w:p w14:paraId="2E322D8F" w14:textId="77777777" w:rsidR="00F820C8" w:rsidRDefault="00F820C8" w:rsidP="00441B6F">
      <w:pPr>
        <w:pStyle w:val="Body"/>
        <w:spacing w:after="0"/>
        <w:rPr>
          <w:rFonts w:ascii="Arial" w:hAnsi="Arial" w:cs="Arial"/>
        </w:rPr>
      </w:pPr>
    </w:p>
    <w:p w14:paraId="560A81C4" w14:textId="77777777" w:rsidR="00F820C8" w:rsidRDefault="007732E2" w:rsidP="00441B6F">
      <w:pPr>
        <w:pStyle w:val="Body"/>
        <w:spacing w:after="0"/>
        <w:rPr>
          <w:rFonts w:ascii="Arial" w:hAnsi="Arial" w:cs="Arial"/>
        </w:rPr>
      </w:pPr>
      <w:r w:rsidRPr="003B107F">
        <w:rPr>
          <w:rFonts w:ascii="Arial" w:hAnsi="Arial" w:cs="Arial"/>
          <w:noProof/>
          <w:lang w:eastAsia="en-GB"/>
        </w:rPr>
        <w:drawing>
          <wp:inline distT="0" distB="0" distL="0" distR="0" wp14:anchorId="4D877542" wp14:editId="60AA36B9">
            <wp:extent cx="4114800" cy="66315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4800" cy="6631563"/>
                    </a:xfrm>
                    <a:prstGeom prst="rect">
                      <a:avLst/>
                    </a:prstGeom>
                    <a:noFill/>
                  </pic:spPr>
                </pic:pic>
              </a:graphicData>
            </a:graphic>
          </wp:inline>
        </w:drawing>
      </w:r>
    </w:p>
    <w:p w14:paraId="6C212C98" w14:textId="77777777" w:rsidR="004160BB" w:rsidRDefault="004160BB" w:rsidP="00FF149C">
      <w:pPr>
        <w:pStyle w:val="Body"/>
        <w:rPr>
          <w:rFonts w:ascii="Arial" w:hAnsi="Arial" w:cs="Arial"/>
        </w:rPr>
      </w:pPr>
    </w:p>
    <w:p w14:paraId="4FB8AEBD" w14:textId="77777777" w:rsidR="00FF149C" w:rsidRPr="00FF149C" w:rsidRDefault="00FF149C" w:rsidP="00FF149C">
      <w:pPr>
        <w:pStyle w:val="Body"/>
        <w:rPr>
          <w:rFonts w:ascii="Arial" w:hAnsi="Arial" w:cs="Arial"/>
        </w:rPr>
      </w:pPr>
      <w:r w:rsidRPr="00FF149C">
        <w:rPr>
          <w:rFonts w:ascii="Arial" w:hAnsi="Arial" w:cs="Arial"/>
        </w:rPr>
        <w:t xml:space="preserve">Figure 2: </w:t>
      </w:r>
      <w:commentRangeStart w:id="8"/>
      <w:r w:rsidRPr="00FF149C">
        <w:rPr>
          <w:rFonts w:ascii="Arial" w:hAnsi="Arial" w:cs="Arial"/>
        </w:rPr>
        <w:t xml:space="preserve">Relationship between total N uptake and maize grain yield as influenced by the substitution of TSP by PM and CM at (a) </w:t>
      </w:r>
      <w:proofErr w:type="spellStart"/>
      <w:r w:rsidRPr="00FF149C">
        <w:rPr>
          <w:rFonts w:ascii="Arial" w:hAnsi="Arial" w:cs="Arial"/>
        </w:rPr>
        <w:t>Kibos</w:t>
      </w:r>
      <w:proofErr w:type="spellEnd"/>
      <w:r w:rsidRPr="00FF149C">
        <w:rPr>
          <w:rFonts w:ascii="Arial" w:hAnsi="Arial" w:cs="Arial"/>
        </w:rPr>
        <w:t xml:space="preserve"> and (b) </w:t>
      </w:r>
      <w:proofErr w:type="spellStart"/>
      <w:r w:rsidRPr="00FF149C">
        <w:rPr>
          <w:rFonts w:ascii="Arial" w:hAnsi="Arial" w:cs="Arial"/>
        </w:rPr>
        <w:t>Bumula</w:t>
      </w:r>
      <w:proofErr w:type="spellEnd"/>
      <w:r w:rsidRPr="00FF149C">
        <w:rPr>
          <w:rFonts w:ascii="Arial" w:hAnsi="Arial" w:cs="Arial"/>
        </w:rPr>
        <w:t xml:space="preserve"> sites</w:t>
      </w:r>
      <w:commentRangeEnd w:id="8"/>
      <w:r w:rsidR="0098081B">
        <w:rPr>
          <w:rStyle w:val="CommentReference"/>
          <w:rFonts w:ascii="Times New Roman" w:hAnsi="Times New Roman"/>
          <w:lang w:val="nb-NO" w:eastAsia="nb-NO"/>
        </w:rPr>
        <w:commentReference w:id="8"/>
      </w:r>
    </w:p>
    <w:p w14:paraId="7B147BAC" w14:textId="77777777" w:rsidR="00F820C8" w:rsidRPr="004407A1" w:rsidRDefault="004407A1" w:rsidP="004407A1">
      <w:pPr>
        <w:spacing w:after="200"/>
        <w:rPr>
          <w:rFonts w:ascii="Arial" w:hAnsi="Arial" w:cs="Arial"/>
          <w:b/>
          <w:sz w:val="22"/>
        </w:rPr>
      </w:pPr>
      <w:r>
        <w:rPr>
          <w:rFonts w:ascii="Arial" w:hAnsi="Arial" w:cs="Arial"/>
          <w:b/>
          <w:sz w:val="22"/>
        </w:rPr>
        <w:lastRenderedPageBreak/>
        <w:t xml:space="preserve">3.3 </w:t>
      </w:r>
      <w:r w:rsidR="00FF149C" w:rsidRPr="004407A1">
        <w:rPr>
          <w:rFonts w:ascii="Arial" w:hAnsi="Arial" w:cs="Arial"/>
          <w:b/>
          <w:sz w:val="22"/>
        </w:rPr>
        <w:t>Effect of P sources and combinations on P uptake</w:t>
      </w:r>
    </w:p>
    <w:p w14:paraId="5BD96EB8" w14:textId="77777777" w:rsidR="00FF149C" w:rsidRDefault="00FF149C" w:rsidP="00FF149C">
      <w:pPr>
        <w:pStyle w:val="Body"/>
        <w:spacing w:after="0"/>
        <w:rPr>
          <w:rFonts w:ascii="Arial" w:hAnsi="Arial" w:cs="Arial"/>
        </w:rPr>
      </w:pPr>
      <w:r w:rsidRPr="00FF149C">
        <w:rPr>
          <w:rFonts w:ascii="Arial" w:hAnsi="Arial" w:cs="Arial"/>
        </w:rPr>
        <w:t xml:space="preserve">There was a considerable individual effect (p &lt; 0.05) of site and the substitution of the different P sources, as well as the site x treatment on phosphorus (P) uptake (Figure 3). Varying observations were recorded at each site, where P uptake ranged from 4.88 to 11.56 kg ha ¹ and from 2.77 to 7.58 kg ha ¹ in </w:t>
      </w:r>
      <w:proofErr w:type="spellStart"/>
      <w:r w:rsidRPr="00FF149C">
        <w:rPr>
          <w:rFonts w:ascii="Arial" w:hAnsi="Arial" w:cs="Arial"/>
        </w:rPr>
        <w:t>Kibos</w:t>
      </w:r>
      <w:proofErr w:type="spellEnd"/>
      <w:r w:rsidRPr="00FF149C">
        <w:rPr>
          <w:rFonts w:ascii="Arial" w:hAnsi="Arial" w:cs="Arial"/>
        </w:rPr>
        <w:t xml:space="preserve"> and </w:t>
      </w:r>
      <w:proofErr w:type="spellStart"/>
      <w:r w:rsidRPr="00FF149C">
        <w:rPr>
          <w:rFonts w:ascii="Arial" w:hAnsi="Arial" w:cs="Arial"/>
        </w:rPr>
        <w:t>Bumula</w:t>
      </w:r>
      <w:proofErr w:type="spellEnd"/>
      <w:r w:rsidRPr="00FF149C">
        <w:rPr>
          <w:rFonts w:ascii="Arial" w:hAnsi="Arial" w:cs="Arial"/>
        </w:rPr>
        <w:t xml:space="preserve">, respectively. On average, the different P substitutions performed considerably better (p &lt; 0.05) irrespective of the P sources and their combinations in </w:t>
      </w:r>
      <w:proofErr w:type="spellStart"/>
      <w:r w:rsidRPr="00FF149C">
        <w:rPr>
          <w:rFonts w:ascii="Arial" w:hAnsi="Arial" w:cs="Arial"/>
        </w:rPr>
        <w:t>Kibos</w:t>
      </w:r>
      <w:proofErr w:type="spellEnd"/>
      <w:r w:rsidRPr="00FF149C">
        <w:rPr>
          <w:rFonts w:ascii="Arial" w:hAnsi="Arial" w:cs="Arial"/>
        </w:rPr>
        <w:t xml:space="preserve"> (8.72 kg P ha-1), in contrast to </w:t>
      </w:r>
      <w:proofErr w:type="spellStart"/>
      <w:r w:rsidRPr="00FF149C">
        <w:rPr>
          <w:rFonts w:ascii="Arial" w:hAnsi="Arial" w:cs="Arial"/>
        </w:rPr>
        <w:t>Bumula</w:t>
      </w:r>
      <w:proofErr w:type="spellEnd"/>
      <w:r w:rsidRPr="00FF149C">
        <w:rPr>
          <w:rFonts w:ascii="Arial" w:hAnsi="Arial" w:cs="Arial"/>
        </w:rPr>
        <w:t xml:space="preserve"> (5.95 kg P ha-1).  </w:t>
      </w:r>
    </w:p>
    <w:p w14:paraId="3F795EC9" w14:textId="77777777" w:rsidR="00F820C8" w:rsidRDefault="00F820C8" w:rsidP="00441B6F">
      <w:pPr>
        <w:pStyle w:val="Body"/>
        <w:spacing w:after="0"/>
        <w:rPr>
          <w:rFonts w:ascii="Arial" w:hAnsi="Arial" w:cs="Arial"/>
        </w:rPr>
      </w:pPr>
    </w:p>
    <w:p w14:paraId="2E362BF9" w14:textId="77777777" w:rsidR="00F820C8" w:rsidRDefault="00FF149C" w:rsidP="00441B6F">
      <w:pPr>
        <w:pStyle w:val="Body"/>
        <w:spacing w:after="0"/>
        <w:rPr>
          <w:rFonts w:ascii="Arial" w:hAnsi="Arial" w:cs="Arial"/>
        </w:rPr>
      </w:pPr>
      <w:r w:rsidRPr="003B107F">
        <w:rPr>
          <w:rFonts w:ascii="Arial" w:hAnsi="Arial" w:cs="Arial"/>
          <w:noProof/>
          <w:lang w:eastAsia="en-GB"/>
        </w:rPr>
        <w:drawing>
          <wp:inline distT="0" distB="0" distL="0" distR="0" wp14:anchorId="7D023790" wp14:editId="591A7FC7">
            <wp:extent cx="5212080" cy="518851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2080" cy="5188511"/>
                    </a:xfrm>
                    <a:prstGeom prst="rect">
                      <a:avLst/>
                    </a:prstGeom>
                    <a:noFill/>
                  </pic:spPr>
                </pic:pic>
              </a:graphicData>
            </a:graphic>
          </wp:inline>
        </w:drawing>
      </w:r>
    </w:p>
    <w:p w14:paraId="6F41B8F6" w14:textId="77777777" w:rsidR="00F820C8" w:rsidRDefault="00FF149C" w:rsidP="00441B6F">
      <w:pPr>
        <w:pStyle w:val="Body"/>
        <w:spacing w:after="0"/>
        <w:rPr>
          <w:rFonts w:ascii="Arial" w:hAnsi="Arial" w:cs="Arial"/>
        </w:rPr>
      </w:pPr>
      <w:r w:rsidRPr="00FF149C">
        <w:rPr>
          <w:rFonts w:ascii="Arial" w:hAnsi="Arial" w:cs="Arial"/>
        </w:rPr>
        <w:t xml:space="preserve">Figure 3: Plant P uptake (Grain + Stover) as influenced by substituting TSP by PM and CM at (a) </w:t>
      </w:r>
      <w:proofErr w:type="spellStart"/>
      <w:r w:rsidRPr="00FF149C">
        <w:rPr>
          <w:rFonts w:ascii="Arial" w:hAnsi="Arial" w:cs="Arial"/>
        </w:rPr>
        <w:t>Kibos</w:t>
      </w:r>
      <w:proofErr w:type="spellEnd"/>
      <w:r w:rsidRPr="00FF149C">
        <w:rPr>
          <w:rFonts w:ascii="Arial" w:hAnsi="Arial" w:cs="Arial"/>
        </w:rPr>
        <w:t xml:space="preserve"> and (b) </w:t>
      </w:r>
      <w:proofErr w:type="spellStart"/>
      <w:r w:rsidRPr="00FF149C">
        <w:rPr>
          <w:rFonts w:ascii="Arial" w:hAnsi="Arial" w:cs="Arial"/>
        </w:rPr>
        <w:t>Bumula</w:t>
      </w:r>
      <w:proofErr w:type="spellEnd"/>
      <w:r w:rsidRPr="00FF149C">
        <w:rPr>
          <w:rFonts w:ascii="Arial" w:hAnsi="Arial" w:cs="Arial"/>
        </w:rPr>
        <w:t xml:space="preserve"> sites. Similar lowercase letters indicate no significant differences at 5% level of significance</w:t>
      </w:r>
    </w:p>
    <w:p w14:paraId="47619679" w14:textId="77777777" w:rsidR="00F820C8" w:rsidRDefault="00F820C8" w:rsidP="00441B6F">
      <w:pPr>
        <w:pStyle w:val="Body"/>
        <w:spacing w:after="0"/>
        <w:rPr>
          <w:rFonts w:ascii="Arial" w:hAnsi="Arial" w:cs="Arial"/>
        </w:rPr>
      </w:pPr>
    </w:p>
    <w:p w14:paraId="05D68963" w14:textId="77777777" w:rsidR="00FF149C" w:rsidRDefault="004160BB" w:rsidP="004160BB">
      <w:pPr>
        <w:pStyle w:val="Head1"/>
        <w:spacing w:after="0"/>
        <w:jc w:val="both"/>
        <w:rPr>
          <w:rFonts w:ascii="Arial" w:hAnsi="Arial" w:cs="Arial"/>
        </w:rPr>
      </w:pPr>
      <w:r>
        <w:rPr>
          <w:rFonts w:ascii="Arial" w:hAnsi="Arial" w:cs="Arial"/>
        </w:rPr>
        <w:t xml:space="preserve">4.0 </w:t>
      </w:r>
      <w:r w:rsidR="00FF149C" w:rsidRPr="00FF149C">
        <w:rPr>
          <w:rFonts w:ascii="Arial" w:hAnsi="Arial" w:cs="Arial"/>
        </w:rPr>
        <w:t>Discussion</w:t>
      </w:r>
    </w:p>
    <w:p w14:paraId="12613DE2" w14:textId="77777777" w:rsidR="00FC0EBD" w:rsidRPr="00FF149C" w:rsidRDefault="00FC0EBD" w:rsidP="004160BB">
      <w:pPr>
        <w:pStyle w:val="Head1"/>
        <w:spacing w:after="0"/>
        <w:jc w:val="both"/>
        <w:rPr>
          <w:rFonts w:ascii="Arial" w:hAnsi="Arial" w:cs="Arial"/>
        </w:rPr>
      </w:pPr>
    </w:p>
    <w:p w14:paraId="378FD34E" w14:textId="77777777" w:rsidR="00FF149C" w:rsidRPr="00FF149C" w:rsidRDefault="00FF149C" w:rsidP="00FF149C">
      <w:pPr>
        <w:pStyle w:val="Body"/>
        <w:rPr>
          <w:rFonts w:ascii="Arial" w:hAnsi="Arial" w:cs="Arial"/>
        </w:rPr>
      </w:pPr>
      <w:r w:rsidRPr="00FF149C">
        <w:rPr>
          <w:rFonts w:ascii="Arial" w:hAnsi="Arial" w:cs="Arial"/>
        </w:rPr>
        <w:t xml:space="preserve">The integrated phosphorus (P) management, which involves substituting inorganic with organic sources, has a significant positive effect on nutrient uptake and use efficiency indices in maize compared to individual applications of these sources, as demonstrated by this study. </w:t>
      </w:r>
      <w:r w:rsidRPr="00FF149C">
        <w:rPr>
          <w:rFonts w:ascii="Arial" w:hAnsi="Arial" w:cs="Arial"/>
        </w:rPr>
        <w:lastRenderedPageBreak/>
        <w:t>This is in accordance with the integrated soil fertility management (ISFM) paradigm, which additionally argues that the interaction between organic and inorganic nutrient sources is synergistic, which increases the availability of nutrients, synchronizes the nutrient release and crop demand, and improves soil biological functioning (Adem et al., 2023; Srinivasarao et al., 2013). The hypothesis that nutrient sources have complementary effects that maximize crop response based on enhanced nutrient uptake and retention in the rhizosphere is verified by superior agronomic nitrogen efficiency (AEN) and agronomic phosphorus efficiency (AEP) with combined treatments of TSP15 + PM15 and TSP15 + CM15 (Beegle et al., 2000; Blackwell et al., 2019).</w:t>
      </w:r>
    </w:p>
    <w:p w14:paraId="23AA26C3" w14:textId="77777777" w:rsidR="00FF149C" w:rsidRPr="00FF149C" w:rsidRDefault="004160BB" w:rsidP="00FF149C">
      <w:pPr>
        <w:pStyle w:val="Body"/>
        <w:rPr>
          <w:rFonts w:ascii="Arial" w:hAnsi="Arial" w:cs="Arial"/>
        </w:rPr>
      </w:pPr>
      <w:r w:rsidRPr="004160BB">
        <w:rPr>
          <w:rFonts w:ascii="Arial" w:hAnsi="Arial" w:cs="Arial"/>
          <w:b/>
          <w:sz w:val="22"/>
        </w:rPr>
        <w:t xml:space="preserve">4.1 </w:t>
      </w:r>
      <w:r w:rsidR="00FF149C" w:rsidRPr="004160BB">
        <w:rPr>
          <w:rFonts w:ascii="Arial" w:hAnsi="Arial" w:cs="Arial"/>
          <w:b/>
          <w:sz w:val="22"/>
        </w:rPr>
        <w:t>Supporting ISFM Theory and Nutrient Dynamics</w:t>
      </w:r>
    </w:p>
    <w:p w14:paraId="519DCEFF" w14:textId="77777777" w:rsidR="00FF149C" w:rsidRPr="00FF149C" w:rsidRDefault="00FF149C" w:rsidP="00FF149C">
      <w:pPr>
        <w:pStyle w:val="Body"/>
        <w:rPr>
          <w:rFonts w:ascii="Arial" w:hAnsi="Arial" w:cs="Arial"/>
        </w:rPr>
      </w:pPr>
      <w:r w:rsidRPr="00FF149C">
        <w:rPr>
          <w:rFonts w:ascii="Arial" w:hAnsi="Arial" w:cs="Arial"/>
        </w:rPr>
        <w:t xml:space="preserve">The elevated grain increases to P observed in the integrated regimes relative to the sole organic sources suggest the biochemical synergy of the ISFM systems. Although inorganic fertilizers, such as TSP, provide P in a readily available form for plant uptake, organic amendments enhance the exchange capacity of cations, microbial activity, and soil structure, which contribute to the improvement of nutrient diffusion and uptake (Srinivasarao et al., 2013; Shah and Wu, 2019). On the other hand, the low efficacy of only the sole cattle manure (CM30) and </w:t>
      </w:r>
      <w:proofErr w:type="spellStart"/>
      <w:r w:rsidRPr="00FF149C">
        <w:rPr>
          <w:rFonts w:ascii="Arial" w:hAnsi="Arial" w:cs="Arial"/>
        </w:rPr>
        <w:t>pressmud</w:t>
      </w:r>
      <w:proofErr w:type="spellEnd"/>
      <w:r w:rsidRPr="00FF149C">
        <w:rPr>
          <w:rFonts w:ascii="Arial" w:hAnsi="Arial" w:cs="Arial"/>
        </w:rPr>
        <w:t xml:space="preserve"> (PM30) treatments implies that organic sources only have a slow release of nutrients that are not sufficient to address the rapid demand of maize at the onset of the season, which causes a temporary nutrient deficiency (Kihara and Njoroge, 2013). These findings are consistent with those in Ethiopia and India, where integrated P management has been shown to increase nutrient use efficiency compared to either exclusive organic or exclusive inorganic fertilization (Adem et al., 2023; Srinivasarao et al., 2013).</w:t>
      </w:r>
    </w:p>
    <w:p w14:paraId="2E1AE368" w14:textId="77777777" w:rsidR="00FF149C" w:rsidRPr="00FF149C" w:rsidRDefault="00FF149C" w:rsidP="00FF149C">
      <w:pPr>
        <w:pStyle w:val="Body"/>
        <w:rPr>
          <w:rFonts w:ascii="Arial" w:hAnsi="Arial" w:cs="Arial"/>
        </w:rPr>
      </w:pPr>
      <w:r w:rsidRPr="00FF149C">
        <w:rPr>
          <w:rFonts w:ascii="Arial" w:hAnsi="Arial" w:cs="Arial"/>
        </w:rPr>
        <w:t>Furthermore, the higher efficiency of nitrogen recovery (REN) in the cases of TSP15 + CM15 and TSP30 supports the fact that a sufficient supply of P promotes root growth and N assimilation, a well-reported physiological reaction in maize (Coetzee et al., 2017). The linear relation (R2 &gt; 0.8) between grain yield and N uptake also validates the fact that nutrient uptake efficiency is the key factor behind the productivity to be achieved under these fertility regimes, as was observed by Roberts and Johnston (2015), who noted that crop yield is highly related to nutrient recovery when the fertilizer application is even and timely.</w:t>
      </w:r>
    </w:p>
    <w:p w14:paraId="5892CD4B" w14:textId="77777777" w:rsidR="00FF149C" w:rsidRPr="00FF149C" w:rsidRDefault="004160BB" w:rsidP="00FF149C">
      <w:pPr>
        <w:pStyle w:val="Body"/>
        <w:rPr>
          <w:rFonts w:ascii="Arial" w:hAnsi="Arial" w:cs="Arial"/>
        </w:rPr>
      </w:pPr>
      <w:r w:rsidRPr="004160BB">
        <w:rPr>
          <w:rFonts w:ascii="Arial" w:hAnsi="Arial" w:cs="Arial"/>
          <w:b/>
          <w:sz w:val="22"/>
        </w:rPr>
        <w:t xml:space="preserve">4.2 </w:t>
      </w:r>
      <w:r w:rsidR="00FF149C" w:rsidRPr="004160BB">
        <w:rPr>
          <w:rFonts w:ascii="Arial" w:hAnsi="Arial" w:cs="Arial"/>
          <w:b/>
          <w:sz w:val="22"/>
        </w:rPr>
        <w:t>Describing Local Processes</w:t>
      </w:r>
    </w:p>
    <w:p w14:paraId="12DA9F26" w14:textId="77777777" w:rsidR="00FF149C" w:rsidRPr="00FF149C" w:rsidRDefault="00FF149C" w:rsidP="00FF149C">
      <w:pPr>
        <w:pStyle w:val="Body"/>
        <w:rPr>
          <w:rFonts w:ascii="Arial" w:hAnsi="Arial" w:cs="Arial"/>
        </w:rPr>
      </w:pPr>
      <w:r w:rsidRPr="00FF149C">
        <w:rPr>
          <w:rFonts w:ascii="Arial" w:hAnsi="Arial" w:cs="Arial"/>
        </w:rPr>
        <w:t xml:space="preserve">The responses of the REN and REP indices, which are site-specific, reflect the effects of edaphic and climatic conditions on nutrient changes. </w:t>
      </w:r>
      <w:proofErr w:type="spellStart"/>
      <w:r w:rsidRPr="00FF149C">
        <w:rPr>
          <w:rFonts w:ascii="Arial" w:hAnsi="Arial" w:cs="Arial"/>
        </w:rPr>
        <w:t>Bumula</w:t>
      </w:r>
      <w:proofErr w:type="spellEnd"/>
      <w:r w:rsidRPr="00FF149C">
        <w:rPr>
          <w:rFonts w:ascii="Arial" w:hAnsi="Arial" w:cs="Arial"/>
        </w:rPr>
        <w:t xml:space="preserve">, with increased rainfall and a slightly higher pH, had a higher nutrient recovery (REN = 0.49; REP = 0.25) compared to </w:t>
      </w:r>
      <w:proofErr w:type="spellStart"/>
      <w:r w:rsidRPr="00FF149C">
        <w:rPr>
          <w:rFonts w:ascii="Arial" w:hAnsi="Arial" w:cs="Arial"/>
        </w:rPr>
        <w:t>Kibos</w:t>
      </w:r>
      <w:proofErr w:type="spellEnd"/>
      <w:r w:rsidRPr="00FF149C">
        <w:rPr>
          <w:rFonts w:ascii="Arial" w:hAnsi="Arial" w:cs="Arial"/>
        </w:rPr>
        <w:t>, potentially due to increased microbial mineralization and decreased phosphorus (P) fixation under sub-humid conditions (</w:t>
      </w:r>
      <w:proofErr w:type="spellStart"/>
      <w:r w:rsidRPr="00FF149C">
        <w:rPr>
          <w:rFonts w:ascii="Arial" w:hAnsi="Arial" w:cs="Arial"/>
        </w:rPr>
        <w:t>Jaetzold</w:t>
      </w:r>
      <w:proofErr w:type="spellEnd"/>
      <w:r w:rsidRPr="00FF149C">
        <w:rPr>
          <w:rFonts w:ascii="Arial" w:hAnsi="Arial" w:cs="Arial"/>
        </w:rPr>
        <w:t xml:space="preserve"> et al., 2010). Conversely, reduced organic carbon (1.02 percent) and P (12.52 mg kg-1) in </w:t>
      </w:r>
      <w:proofErr w:type="spellStart"/>
      <w:r w:rsidRPr="00FF149C">
        <w:rPr>
          <w:rFonts w:ascii="Arial" w:hAnsi="Arial" w:cs="Arial"/>
        </w:rPr>
        <w:t>Kibos</w:t>
      </w:r>
      <w:proofErr w:type="spellEnd"/>
      <w:r w:rsidRPr="00FF149C">
        <w:rPr>
          <w:rFonts w:ascii="Arial" w:hAnsi="Arial" w:cs="Arial"/>
        </w:rPr>
        <w:t xml:space="preserve"> likely inhibited the activity of microbes, which restrained the decomposition and liberation of organic nutrient sources. This spatial heterogeneity confirms the study by Ten Berge et al. (2019) and Kihara and Njoroge (2013), who reported the existence of heterogeneous fertilizer responses in Western Kenya due to natural soil fertility increases and </w:t>
      </w:r>
      <w:proofErr w:type="spellStart"/>
      <w:r w:rsidRPr="00FF149C">
        <w:rPr>
          <w:rFonts w:ascii="Arial" w:hAnsi="Arial" w:cs="Arial"/>
        </w:rPr>
        <w:t>agro</w:t>
      </w:r>
      <w:proofErr w:type="spellEnd"/>
      <w:r w:rsidRPr="00FF149C">
        <w:rPr>
          <w:rFonts w:ascii="Arial" w:hAnsi="Arial" w:cs="Arial"/>
        </w:rPr>
        <w:t>-ecological variability.</w:t>
      </w:r>
    </w:p>
    <w:p w14:paraId="681833AB" w14:textId="77777777" w:rsidR="00FF149C" w:rsidRPr="00FF149C" w:rsidRDefault="00FF149C" w:rsidP="00FF149C">
      <w:pPr>
        <w:pStyle w:val="Body"/>
        <w:rPr>
          <w:rFonts w:ascii="Arial" w:hAnsi="Arial" w:cs="Arial"/>
        </w:rPr>
      </w:pPr>
      <w:r w:rsidRPr="00FF149C">
        <w:rPr>
          <w:rFonts w:ascii="Arial" w:hAnsi="Arial" w:cs="Arial"/>
        </w:rPr>
        <w:t xml:space="preserve">It is interesting to note that P recovery efficiency (REP) did not differ significantly at </w:t>
      </w:r>
      <w:proofErr w:type="spellStart"/>
      <w:r w:rsidRPr="00FF149C">
        <w:rPr>
          <w:rFonts w:ascii="Arial" w:hAnsi="Arial" w:cs="Arial"/>
        </w:rPr>
        <w:t>Kibos</w:t>
      </w:r>
      <w:proofErr w:type="spellEnd"/>
      <w:r w:rsidRPr="00FF149C">
        <w:rPr>
          <w:rFonts w:ascii="Arial" w:hAnsi="Arial" w:cs="Arial"/>
        </w:rPr>
        <w:t xml:space="preserve">; however, treatments at </w:t>
      </w:r>
      <w:proofErr w:type="spellStart"/>
      <w:r w:rsidRPr="00FF149C">
        <w:rPr>
          <w:rFonts w:ascii="Arial" w:hAnsi="Arial" w:cs="Arial"/>
        </w:rPr>
        <w:t>Bumula</w:t>
      </w:r>
      <w:proofErr w:type="spellEnd"/>
      <w:r w:rsidRPr="00FF149C">
        <w:rPr>
          <w:rFonts w:ascii="Arial" w:hAnsi="Arial" w:cs="Arial"/>
        </w:rPr>
        <w:t xml:space="preserve"> reacted differently, indicating that P uptake is more site-specific and moisture-sensitive than N uptake. This deviation is consistent with Blackwell et al. (2019), who stated that P-use efficiency is highly mediated by soil pH, P sorption capacity, and precipitation patterns, which vary significantly across </w:t>
      </w:r>
      <w:proofErr w:type="spellStart"/>
      <w:r w:rsidRPr="00FF149C">
        <w:rPr>
          <w:rFonts w:ascii="Arial" w:hAnsi="Arial" w:cs="Arial"/>
        </w:rPr>
        <w:t>agro</w:t>
      </w:r>
      <w:proofErr w:type="spellEnd"/>
      <w:r w:rsidRPr="00FF149C">
        <w:rPr>
          <w:rFonts w:ascii="Arial" w:hAnsi="Arial" w:cs="Arial"/>
        </w:rPr>
        <w:t>-ecological zones.</w:t>
      </w:r>
    </w:p>
    <w:p w14:paraId="0383102D" w14:textId="77777777" w:rsidR="00FF149C" w:rsidRPr="00FF149C" w:rsidRDefault="004160BB" w:rsidP="00FF149C">
      <w:pPr>
        <w:pStyle w:val="Body"/>
        <w:rPr>
          <w:rFonts w:ascii="Arial" w:hAnsi="Arial" w:cs="Arial"/>
        </w:rPr>
      </w:pPr>
      <w:r w:rsidRPr="004160BB">
        <w:rPr>
          <w:rFonts w:ascii="Arial" w:hAnsi="Arial" w:cs="Arial"/>
          <w:b/>
          <w:sz w:val="22"/>
        </w:rPr>
        <w:t xml:space="preserve">4.3 </w:t>
      </w:r>
      <w:r w:rsidR="00FF149C" w:rsidRPr="004160BB">
        <w:rPr>
          <w:rFonts w:ascii="Arial" w:hAnsi="Arial" w:cs="Arial"/>
          <w:b/>
          <w:sz w:val="22"/>
        </w:rPr>
        <w:t>Substitution vs. Single Inorganic Sources</w:t>
      </w:r>
    </w:p>
    <w:p w14:paraId="561034C9" w14:textId="77777777" w:rsidR="00FF149C" w:rsidRPr="00FF149C" w:rsidRDefault="00FF149C" w:rsidP="00FF149C">
      <w:pPr>
        <w:pStyle w:val="Body"/>
        <w:rPr>
          <w:rFonts w:ascii="Arial" w:hAnsi="Arial" w:cs="Arial"/>
        </w:rPr>
      </w:pPr>
      <w:r w:rsidRPr="00FF149C">
        <w:rPr>
          <w:rFonts w:ascii="Arial" w:hAnsi="Arial" w:cs="Arial"/>
        </w:rPr>
        <w:lastRenderedPageBreak/>
        <w:t xml:space="preserve">Immediate mineral P availability, characterized by the high AEN and AEP of sole TSP (TSP30) treatments, promotes the direct impact of this mineral on root activity and photosynthetic capacity (Coetzee et al., 2017). The slightly increased or similar efficiencies </w:t>
      </w:r>
      <w:proofErr w:type="spellStart"/>
      <w:r w:rsidRPr="00FF149C">
        <w:rPr>
          <w:rFonts w:ascii="Arial" w:hAnsi="Arial" w:cs="Arial"/>
        </w:rPr>
        <w:t>realised</w:t>
      </w:r>
      <w:proofErr w:type="spellEnd"/>
      <w:r w:rsidRPr="00FF149C">
        <w:rPr>
          <w:rFonts w:ascii="Arial" w:hAnsi="Arial" w:cs="Arial"/>
        </w:rPr>
        <w:t xml:space="preserve"> under integrated treatments (TSP15 + PM15; TSP15 + CM15), however, suggest that partial replacement by organic matter can maintain yield and enhance soil nutrient retention and long-term fertility. This confirms the findings of Adem et al. (2023) and Srinivasarao et al. (2013), who suggest that under resource-limited smallholder systems, nutrient-use efficiency and system resilience are most effective when a blend of organic and inorganic sources is used.</w:t>
      </w:r>
    </w:p>
    <w:p w14:paraId="46C5E3D4" w14:textId="77777777" w:rsidR="00FF149C" w:rsidRPr="004160BB" w:rsidRDefault="004160BB" w:rsidP="00FF149C">
      <w:pPr>
        <w:pStyle w:val="Body"/>
        <w:rPr>
          <w:rFonts w:ascii="Arial" w:hAnsi="Arial" w:cs="Arial"/>
          <w:b/>
          <w:sz w:val="22"/>
        </w:rPr>
      </w:pPr>
      <w:r w:rsidRPr="004160BB">
        <w:rPr>
          <w:rFonts w:ascii="Arial" w:hAnsi="Arial" w:cs="Arial"/>
          <w:b/>
          <w:sz w:val="22"/>
        </w:rPr>
        <w:t xml:space="preserve">4.4 </w:t>
      </w:r>
      <w:r w:rsidR="00FF149C" w:rsidRPr="004160BB">
        <w:rPr>
          <w:rFonts w:ascii="Arial" w:hAnsi="Arial" w:cs="Arial"/>
          <w:b/>
          <w:sz w:val="22"/>
        </w:rPr>
        <w:t>Low Efficiency under Sole Organics</w:t>
      </w:r>
    </w:p>
    <w:p w14:paraId="30C20991" w14:textId="77777777" w:rsidR="00FF149C" w:rsidRPr="00FF149C" w:rsidRDefault="00FF149C" w:rsidP="00FF149C">
      <w:pPr>
        <w:pStyle w:val="Body"/>
        <w:rPr>
          <w:rFonts w:ascii="Arial" w:hAnsi="Arial" w:cs="Arial"/>
        </w:rPr>
      </w:pPr>
      <w:r w:rsidRPr="00FF149C">
        <w:rPr>
          <w:rFonts w:ascii="Arial" w:hAnsi="Arial" w:cs="Arial"/>
        </w:rPr>
        <w:t xml:space="preserve">The poor AEN, REN, and AEP of CM30 and PM30 treatments can be attributed to the low speed of mineralization, low nutrient density, and the potential fixation of N and P by microbes during the decomposition process (Shah &amp; Wu, 2019). The relatively low ratio of N and K in </w:t>
      </w:r>
      <w:proofErr w:type="spellStart"/>
      <w:r w:rsidRPr="00FF149C">
        <w:rPr>
          <w:rFonts w:ascii="Arial" w:hAnsi="Arial" w:cs="Arial"/>
        </w:rPr>
        <w:t>Pressmud</w:t>
      </w:r>
      <w:proofErr w:type="spellEnd"/>
      <w:r w:rsidRPr="00FF149C">
        <w:rPr>
          <w:rFonts w:ascii="Arial" w:hAnsi="Arial" w:cs="Arial"/>
        </w:rPr>
        <w:t xml:space="preserve"> (Table 2) and the high C: N ratio could also have reduced the release of nutrients, thereby postponing nutrient availability beyond critical growth periods (</w:t>
      </w:r>
      <w:proofErr w:type="spellStart"/>
      <w:r w:rsidRPr="00FF149C">
        <w:rPr>
          <w:rFonts w:ascii="Arial" w:hAnsi="Arial" w:cs="Arial"/>
        </w:rPr>
        <w:t>Okalebo</w:t>
      </w:r>
      <w:proofErr w:type="spellEnd"/>
      <w:r w:rsidRPr="00FF149C">
        <w:rPr>
          <w:rFonts w:ascii="Arial" w:hAnsi="Arial" w:cs="Arial"/>
        </w:rPr>
        <w:t xml:space="preserve"> et al., 2002). The low REP values in these treatments indicate low P solubility and competition at adsorption sites, as observed by Blackwell et al. (2019) and Roberts and Johnston (2015), who note that the chemical form and application rate of P are the strongest determinants of uptake efficiency.</w:t>
      </w:r>
    </w:p>
    <w:p w14:paraId="1EF5D971" w14:textId="77777777" w:rsidR="004160BB" w:rsidRDefault="004160BB" w:rsidP="00FF149C">
      <w:pPr>
        <w:pStyle w:val="Body"/>
        <w:rPr>
          <w:rFonts w:ascii="Arial" w:hAnsi="Arial" w:cs="Arial"/>
          <w:b/>
          <w:sz w:val="22"/>
        </w:rPr>
      </w:pPr>
      <w:r w:rsidRPr="004160BB">
        <w:rPr>
          <w:rFonts w:ascii="Arial" w:hAnsi="Arial" w:cs="Arial"/>
          <w:b/>
          <w:sz w:val="22"/>
        </w:rPr>
        <w:t xml:space="preserve">4.5 </w:t>
      </w:r>
      <w:r w:rsidR="00FF149C" w:rsidRPr="004160BB">
        <w:rPr>
          <w:rFonts w:ascii="Arial" w:hAnsi="Arial" w:cs="Arial"/>
          <w:b/>
          <w:sz w:val="22"/>
        </w:rPr>
        <w:t>Maize Production Consistency with Climate-Resilien</w:t>
      </w:r>
      <w:r>
        <w:rPr>
          <w:rFonts w:ascii="Arial" w:hAnsi="Arial" w:cs="Arial"/>
          <w:b/>
          <w:sz w:val="22"/>
        </w:rPr>
        <w:t>ce</w:t>
      </w:r>
    </w:p>
    <w:p w14:paraId="58A38EC1" w14:textId="77777777" w:rsidR="00FF149C" w:rsidRPr="00FF149C" w:rsidRDefault="00FF149C" w:rsidP="00FF149C">
      <w:pPr>
        <w:pStyle w:val="Body"/>
        <w:rPr>
          <w:rFonts w:ascii="Arial" w:hAnsi="Arial" w:cs="Arial"/>
        </w:rPr>
      </w:pPr>
      <w:r w:rsidRPr="00FF149C">
        <w:rPr>
          <w:rFonts w:ascii="Arial" w:hAnsi="Arial" w:cs="Arial"/>
        </w:rPr>
        <w:t xml:space="preserve">The resulting increase in nutrient uptake and efficiency across ISFM regimes supports the argument for the climate resilience of integrated approaches to fertility. These practices ensure alignment with the long-term sustainability recommendations of Alamu (2025) and </w:t>
      </w:r>
      <w:proofErr w:type="spellStart"/>
      <w:r w:rsidRPr="00FF149C">
        <w:rPr>
          <w:rFonts w:ascii="Arial" w:hAnsi="Arial" w:cs="Arial"/>
        </w:rPr>
        <w:t>Mmbando</w:t>
      </w:r>
      <w:proofErr w:type="spellEnd"/>
      <w:r w:rsidRPr="00FF149C">
        <w:rPr>
          <w:rFonts w:ascii="Arial" w:hAnsi="Arial" w:cs="Arial"/>
        </w:rPr>
        <w:t xml:space="preserve"> (2025), who advocate for resilient maize systems in the face of shifting climatic conditions by combining fast-acting mineral fertilizers with organic matter that enhances soil health. Improved efficiencies of N and P uptake not only increase yield but also reduce environmental hazards related to nutrient leaching and evaporation (Anas et al., 2020; Jarvie et al., 2015).</w:t>
      </w:r>
    </w:p>
    <w:p w14:paraId="15A85FA0" w14:textId="77777777" w:rsidR="00F820C8" w:rsidRDefault="00FF149C" w:rsidP="00FF149C">
      <w:pPr>
        <w:pStyle w:val="Body"/>
        <w:spacing w:after="0"/>
        <w:rPr>
          <w:rFonts w:ascii="Arial" w:hAnsi="Arial" w:cs="Arial"/>
        </w:rPr>
      </w:pPr>
      <w:r w:rsidRPr="00FF149C">
        <w:rPr>
          <w:rFonts w:ascii="Arial" w:hAnsi="Arial" w:cs="Arial"/>
        </w:rPr>
        <w:t>Overall, the study's findings are essentially in line with the global and regional literature that promotes the use of integrated nutrient management as a practical approach to enhance fertilizer efficiency, crop productivity, and sustainability. Minor site-specific differences emphasize the context-specificity of nutrient interactions and highlight the need to provide localized advice. TSP combined with organics (PM, CM) maximizes AEN, AEP, and nutrient uptake, supporting the view that integration, rather than substitution, is the key to efficient and climate-resilient maize production systems in Sub-Saharan Africa.</w:t>
      </w:r>
    </w:p>
    <w:p w14:paraId="77694AF9" w14:textId="77777777" w:rsidR="00F820C8" w:rsidRDefault="00F820C8" w:rsidP="00441B6F">
      <w:pPr>
        <w:pStyle w:val="Body"/>
        <w:spacing w:after="0"/>
        <w:rPr>
          <w:rFonts w:ascii="Arial" w:hAnsi="Arial" w:cs="Arial"/>
        </w:rPr>
      </w:pPr>
    </w:p>
    <w:p w14:paraId="1D6E2819" w14:textId="77777777" w:rsidR="00F820C8" w:rsidRDefault="00F820C8" w:rsidP="00441B6F">
      <w:pPr>
        <w:pStyle w:val="Body"/>
        <w:spacing w:after="0"/>
        <w:rPr>
          <w:rFonts w:ascii="Arial" w:hAnsi="Arial" w:cs="Arial"/>
        </w:rPr>
      </w:pPr>
    </w:p>
    <w:p w14:paraId="26050174" w14:textId="77777777" w:rsidR="00B01FCD" w:rsidRDefault="00FC0EB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91585BA" w14:textId="77777777" w:rsidR="00790ADA" w:rsidRPr="00FB3A86" w:rsidRDefault="00790ADA" w:rsidP="00441B6F">
      <w:pPr>
        <w:pStyle w:val="ConcHead"/>
        <w:spacing w:after="0"/>
        <w:jc w:val="both"/>
        <w:rPr>
          <w:rFonts w:ascii="Arial" w:hAnsi="Arial" w:cs="Arial"/>
        </w:rPr>
      </w:pPr>
    </w:p>
    <w:p w14:paraId="39B7E818" w14:textId="77777777" w:rsidR="00F277D1" w:rsidRPr="00F277D1" w:rsidRDefault="00F277D1" w:rsidP="00F277D1">
      <w:pPr>
        <w:pStyle w:val="Body"/>
        <w:rPr>
          <w:rFonts w:ascii="Arial" w:hAnsi="Arial" w:cs="Arial"/>
        </w:rPr>
      </w:pPr>
      <w:r w:rsidRPr="00F277D1">
        <w:rPr>
          <w:rFonts w:ascii="Arial" w:hAnsi="Arial" w:cs="Arial"/>
        </w:rPr>
        <w:t>This research revealed that combining organic and inorganic sources of phosphorus, especially application of TSP15 + PM15 and TSP15 + CM15, showed significant improvement of nutrient uptake, agronomic efficiency indices, and yield of maize as compared to a single application. The findings confirm the Integrated Soil Fertility Management (ISFM) strategy as a potential channel for enhancing nutrient use efficiency, restoring soil fertility, and improving climate-resilient maize production systems in Western Kenya. The results also show that the site-specific efficacy of integrated nutrient regimes depends on the chemical properties of soil, rainfall, and the content of organic matter. It has therefore been proposed that instead of relying on either organic or inorganic fertilizers, balanced nutrient substitution principles should be used to achieve sustainability in productivity and environmental stewardship.</w:t>
      </w:r>
    </w:p>
    <w:p w14:paraId="5F4FAB0C" w14:textId="77777777" w:rsidR="00F277D1" w:rsidRPr="00FC0EBD" w:rsidRDefault="00F277D1" w:rsidP="00F277D1">
      <w:pPr>
        <w:pStyle w:val="Body"/>
        <w:rPr>
          <w:rFonts w:ascii="Arial" w:hAnsi="Arial" w:cs="Arial"/>
          <w:b/>
        </w:rPr>
      </w:pPr>
      <w:r w:rsidRPr="00FC0EBD">
        <w:rPr>
          <w:rFonts w:ascii="Arial" w:hAnsi="Arial" w:cs="Arial"/>
          <w:b/>
        </w:rPr>
        <w:t>Limitations, Policy Implications and Future Research Directions</w:t>
      </w:r>
    </w:p>
    <w:p w14:paraId="0E61CC65" w14:textId="77777777" w:rsidR="00F277D1" w:rsidRPr="00F277D1" w:rsidRDefault="00F277D1" w:rsidP="00F277D1">
      <w:pPr>
        <w:pStyle w:val="Body"/>
        <w:rPr>
          <w:rFonts w:ascii="Arial" w:hAnsi="Arial" w:cs="Arial"/>
        </w:rPr>
      </w:pPr>
      <w:r w:rsidRPr="00F277D1">
        <w:rPr>
          <w:rFonts w:ascii="Arial" w:hAnsi="Arial" w:cs="Arial"/>
        </w:rPr>
        <w:lastRenderedPageBreak/>
        <w:t xml:space="preserve">Although the current research provides strong empirical evidence on the success of combining organic and inorganic sources of phosphorus to enhance nutrient utilization efficiency in maize, certain limitations must be acknowledged. The study was conducted in two locations within a single growing cycle, which may limit the extrapolation of the results to larger </w:t>
      </w:r>
      <w:proofErr w:type="spellStart"/>
      <w:r w:rsidRPr="00F277D1">
        <w:rPr>
          <w:rFonts w:ascii="Arial" w:hAnsi="Arial" w:cs="Arial"/>
        </w:rPr>
        <w:t>agro</w:t>
      </w:r>
      <w:proofErr w:type="spellEnd"/>
      <w:r w:rsidRPr="00F277D1">
        <w:rPr>
          <w:rFonts w:ascii="Arial" w:hAnsi="Arial" w:cs="Arial"/>
        </w:rPr>
        <w:t xml:space="preserve">-ecological zones and time frames. The research also </w:t>
      </w:r>
      <w:proofErr w:type="spellStart"/>
      <w:r w:rsidRPr="00F277D1">
        <w:rPr>
          <w:rFonts w:ascii="Arial" w:hAnsi="Arial" w:cs="Arial"/>
        </w:rPr>
        <w:t>utilised</w:t>
      </w:r>
      <w:proofErr w:type="spellEnd"/>
      <w:r w:rsidRPr="00F277D1">
        <w:rPr>
          <w:rFonts w:ascii="Arial" w:hAnsi="Arial" w:cs="Arial"/>
        </w:rPr>
        <w:t xml:space="preserve"> a uniform maize cultivar and nutrition application program, thus failing to reflect the genotypic variability or multi-nutrient interactions with anything other than phosphorus-based management. Lack of economic and environmental evaluations also constrains communication of agronomic benefits into farmer-level decision-making and policy development.</w:t>
      </w:r>
    </w:p>
    <w:p w14:paraId="58EAFAC8" w14:textId="77777777" w:rsidR="00F277D1" w:rsidRPr="00F277D1" w:rsidRDefault="00F277D1" w:rsidP="00F277D1">
      <w:pPr>
        <w:pStyle w:val="Body"/>
        <w:rPr>
          <w:rFonts w:ascii="Arial" w:hAnsi="Arial" w:cs="Arial"/>
        </w:rPr>
      </w:pPr>
      <w:r w:rsidRPr="00F277D1">
        <w:rPr>
          <w:rFonts w:ascii="Arial" w:hAnsi="Arial" w:cs="Arial"/>
        </w:rPr>
        <w:t>Policy-wise, the findings confirm the strategic importance of integrated soil fertility management (ISFM) in enhancing nutrient efficiency, productivity, and sustainability. The policymakers and extension agencies ought to thus encourage the use of blended nutrient regimes (mixing of mineral fertilizer with locally sourced organic resources). By integrating ISFM into national fertilizer subsidy policies, soil health, resource-use efficiency, and the resiliency of smallholders can be improved, as well as progress towards the Sustainable Development Goals (SDGs) on food security, sustainable land management, and climate action.</w:t>
      </w:r>
    </w:p>
    <w:p w14:paraId="49A3BE6C" w14:textId="77777777" w:rsidR="00B01FCD" w:rsidRDefault="00F277D1" w:rsidP="00F277D1">
      <w:pPr>
        <w:pStyle w:val="Body"/>
        <w:spacing w:after="0"/>
        <w:rPr>
          <w:rFonts w:ascii="Arial" w:hAnsi="Arial" w:cs="Arial"/>
        </w:rPr>
      </w:pPr>
      <w:r w:rsidRPr="00F277D1">
        <w:rPr>
          <w:rFonts w:ascii="Arial" w:hAnsi="Arial" w:cs="Arial"/>
        </w:rPr>
        <w:t>Multi-season, multi-site experiments should be the future research methodology to record the long-term nutrient dynamics and residual effects of multi-component P management. Further study of economic returns, soil biological responses, and adoption behavior among farmers is necessary to ensure it is scalable and effective. The combination of biogeochemical modeling and climatic-resilience evaluations will also deliver more information regarding the role of ISFM practices in maintaining maize production under the altered environmental conditions.</w:t>
      </w:r>
    </w:p>
    <w:p w14:paraId="29CD0110" w14:textId="77777777" w:rsidR="00790ADA" w:rsidRPr="00FB3A86" w:rsidRDefault="00790ADA" w:rsidP="00441B6F">
      <w:pPr>
        <w:pStyle w:val="Body"/>
        <w:spacing w:after="0"/>
        <w:rPr>
          <w:rFonts w:ascii="Arial" w:hAnsi="Arial" w:cs="Arial"/>
        </w:rPr>
      </w:pPr>
    </w:p>
    <w:p w14:paraId="1E30F036" w14:textId="77777777" w:rsidR="00B04FA3" w:rsidRDefault="00B04FA3" w:rsidP="00B04FA3">
      <w:pPr>
        <w:pStyle w:val="Body"/>
        <w:spacing w:after="0"/>
        <w:rPr>
          <w:rFonts w:ascii="Arial" w:hAnsi="Arial" w:cs="Arial"/>
          <w:bCs/>
        </w:rPr>
      </w:pPr>
    </w:p>
    <w:p w14:paraId="2BF463F9" w14:textId="77777777" w:rsidR="005C784C" w:rsidRDefault="005C784C" w:rsidP="00441B6F">
      <w:pPr>
        <w:pStyle w:val="ReferHead"/>
        <w:spacing w:after="0"/>
        <w:jc w:val="both"/>
        <w:rPr>
          <w:rFonts w:ascii="Arial" w:hAnsi="Arial" w:cs="Arial"/>
          <w:bCs/>
        </w:rPr>
      </w:pPr>
      <w:r>
        <w:rPr>
          <w:rFonts w:ascii="Arial" w:hAnsi="Arial" w:cs="Arial"/>
          <w:bCs/>
        </w:rPr>
        <w:lastRenderedPageBreak/>
        <w:t>Ethical approval (where</w:t>
      </w:r>
      <w:r w:rsidR="007369E6">
        <w:rPr>
          <w:rFonts w:ascii="Arial" w:hAnsi="Arial" w:cs="Arial"/>
          <w:bCs/>
        </w:rPr>
        <w:t xml:space="preserve"> </w:t>
      </w:r>
      <w:r>
        <w:rPr>
          <w:rFonts w:ascii="Arial" w:hAnsi="Arial" w:cs="Arial"/>
          <w:bCs/>
        </w:rPr>
        <w:t>ever applicable)</w:t>
      </w:r>
    </w:p>
    <w:p w14:paraId="59AC0AD1" w14:textId="77777777" w:rsidR="0041027F"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 “All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r w:rsidRPr="00F469F0">
        <w:rPr>
          <w:rFonts w:ascii="Arial" w:hAnsi="Arial" w:cs="Arial"/>
          <w:b w:val="0"/>
          <w:caps w:val="0"/>
          <w:sz w:val="20"/>
          <w:u w:val="single"/>
        </w:rPr>
        <w:t>”</w:t>
      </w:r>
    </w:p>
    <w:p w14:paraId="3827D914" w14:textId="77777777" w:rsidR="00860000" w:rsidRDefault="00860000" w:rsidP="00441B6F">
      <w:pPr>
        <w:pStyle w:val="ReferHead"/>
        <w:spacing w:after="0"/>
        <w:jc w:val="both"/>
        <w:rPr>
          <w:rFonts w:ascii="Arial" w:hAnsi="Arial" w:cs="Arial"/>
        </w:rPr>
      </w:pPr>
    </w:p>
    <w:p w14:paraId="6BBFB658" w14:textId="77777777" w:rsidR="00B04FA3" w:rsidRDefault="00B04FA3" w:rsidP="00441B6F">
      <w:pPr>
        <w:pStyle w:val="ReferHead"/>
        <w:spacing w:after="0"/>
        <w:jc w:val="both"/>
        <w:rPr>
          <w:rFonts w:ascii="Arial" w:hAnsi="Arial" w:cs="Arial"/>
        </w:rPr>
      </w:pPr>
    </w:p>
    <w:p w14:paraId="34C34541" w14:textId="77777777" w:rsidR="00B04FA3" w:rsidRDefault="00B04FA3" w:rsidP="00441B6F">
      <w:pPr>
        <w:pStyle w:val="ReferHead"/>
        <w:spacing w:after="0"/>
        <w:jc w:val="both"/>
        <w:rPr>
          <w:rFonts w:ascii="Arial" w:hAnsi="Arial" w:cs="Arial"/>
        </w:rPr>
      </w:pPr>
    </w:p>
    <w:p w14:paraId="4244AF0C" w14:textId="77777777" w:rsidR="00B04FA3" w:rsidRDefault="00B04FA3" w:rsidP="00441B6F">
      <w:pPr>
        <w:pStyle w:val="ReferHead"/>
        <w:spacing w:after="0"/>
        <w:jc w:val="both"/>
        <w:rPr>
          <w:rFonts w:ascii="Arial" w:hAnsi="Arial" w:cs="Arial"/>
        </w:rPr>
      </w:pPr>
    </w:p>
    <w:p w14:paraId="5FFC306E" w14:textId="77777777" w:rsidR="00B04FA3" w:rsidRDefault="00B04FA3" w:rsidP="00441B6F">
      <w:pPr>
        <w:pStyle w:val="ReferHead"/>
        <w:spacing w:after="0"/>
        <w:jc w:val="both"/>
        <w:rPr>
          <w:rFonts w:ascii="Arial" w:hAnsi="Arial" w:cs="Arial"/>
        </w:rPr>
      </w:pPr>
    </w:p>
    <w:p w14:paraId="68DADA54" w14:textId="77777777" w:rsidR="00B04FA3" w:rsidRDefault="00B04FA3" w:rsidP="00441B6F">
      <w:pPr>
        <w:pStyle w:val="ReferHead"/>
        <w:spacing w:after="0"/>
        <w:jc w:val="both"/>
        <w:rPr>
          <w:rFonts w:ascii="Arial" w:hAnsi="Arial" w:cs="Arial"/>
        </w:rPr>
      </w:pPr>
    </w:p>
    <w:p w14:paraId="2EF6B7B6" w14:textId="77777777" w:rsidR="00B04FA3" w:rsidRDefault="00B04FA3" w:rsidP="00441B6F">
      <w:pPr>
        <w:pStyle w:val="ReferHead"/>
        <w:spacing w:after="0"/>
        <w:jc w:val="both"/>
        <w:rPr>
          <w:rFonts w:ascii="Arial" w:hAnsi="Arial" w:cs="Arial"/>
        </w:rPr>
      </w:pPr>
    </w:p>
    <w:p w14:paraId="49F289DF" w14:textId="77777777" w:rsidR="00B04FA3" w:rsidRDefault="00B04FA3" w:rsidP="00441B6F">
      <w:pPr>
        <w:pStyle w:val="ReferHead"/>
        <w:spacing w:after="0"/>
        <w:jc w:val="both"/>
        <w:rPr>
          <w:rFonts w:ascii="Arial" w:hAnsi="Arial" w:cs="Arial"/>
        </w:rPr>
      </w:pPr>
    </w:p>
    <w:p w14:paraId="78A01829" w14:textId="77777777" w:rsidR="00B04FA3" w:rsidRDefault="00B04FA3" w:rsidP="00441B6F">
      <w:pPr>
        <w:pStyle w:val="ReferHead"/>
        <w:spacing w:after="0"/>
        <w:jc w:val="both"/>
        <w:rPr>
          <w:rFonts w:ascii="Arial" w:hAnsi="Arial" w:cs="Arial"/>
        </w:rPr>
      </w:pPr>
    </w:p>
    <w:p w14:paraId="30CBC92B" w14:textId="77777777" w:rsidR="00B04FA3" w:rsidRDefault="00B04FA3" w:rsidP="00441B6F">
      <w:pPr>
        <w:pStyle w:val="ReferHead"/>
        <w:spacing w:after="0"/>
        <w:jc w:val="both"/>
        <w:rPr>
          <w:rFonts w:ascii="Arial" w:hAnsi="Arial" w:cs="Arial"/>
        </w:rPr>
      </w:pPr>
    </w:p>
    <w:p w14:paraId="14F13C3C" w14:textId="77777777" w:rsidR="00B04FA3" w:rsidRDefault="00B04FA3" w:rsidP="00441B6F">
      <w:pPr>
        <w:pStyle w:val="ReferHead"/>
        <w:spacing w:after="0"/>
        <w:jc w:val="both"/>
        <w:rPr>
          <w:rFonts w:ascii="Arial" w:hAnsi="Arial" w:cs="Arial"/>
        </w:rPr>
      </w:pPr>
    </w:p>
    <w:p w14:paraId="05A07376" w14:textId="77777777" w:rsidR="00B04FA3" w:rsidRDefault="00B04FA3" w:rsidP="00441B6F">
      <w:pPr>
        <w:pStyle w:val="ReferHead"/>
        <w:spacing w:after="0"/>
        <w:jc w:val="both"/>
        <w:rPr>
          <w:rFonts w:ascii="Arial" w:hAnsi="Arial" w:cs="Arial"/>
        </w:rPr>
      </w:pPr>
    </w:p>
    <w:p w14:paraId="777A290A" w14:textId="77777777" w:rsidR="00B04FA3" w:rsidRDefault="00B04FA3" w:rsidP="00441B6F">
      <w:pPr>
        <w:pStyle w:val="ReferHead"/>
        <w:spacing w:after="0"/>
        <w:jc w:val="both"/>
        <w:rPr>
          <w:rFonts w:ascii="Arial" w:hAnsi="Arial" w:cs="Arial"/>
        </w:rPr>
      </w:pPr>
    </w:p>
    <w:p w14:paraId="24856729" w14:textId="77777777" w:rsidR="00B04FA3" w:rsidRDefault="00B04FA3" w:rsidP="00441B6F">
      <w:pPr>
        <w:pStyle w:val="ReferHead"/>
        <w:spacing w:after="0"/>
        <w:jc w:val="both"/>
        <w:rPr>
          <w:rFonts w:ascii="Arial" w:hAnsi="Arial" w:cs="Arial"/>
        </w:rPr>
      </w:pPr>
    </w:p>
    <w:p w14:paraId="2CD3538E" w14:textId="77777777" w:rsidR="00B04FA3" w:rsidRDefault="00B04FA3" w:rsidP="00441B6F">
      <w:pPr>
        <w:pStyle w:val="ReferHead"/>
        <w:spacing w:after="0"/>
        <w:jc w:val="both"/>
        <w:rPr>
          <w:rFonts w:ascii="Arial" w:hAnsi="Arial" w:cs="Arial"/>
        </w:rPr>
      </w:pPr>
    </w:p>
    <w:p w14:paraId="42394940" w14:textId="77777777" w:rsidR="00B04FA3" w:rsidRDefault="00B04FA3" w:rsidP="00441B6F">
      <w:pPr>
        <w:pStyle w:val="ReferHead"/>
        <w:spacing w:after="0"/>
        <w:jc w:val="both"/>
        <w:rPr>
          <w:rFonts w:ascii="Arial" w:hAnsi="Arial" w:cs="Arial"/>
        </w:rPr>
      </w:pPr>
    </w:p>
    <w:p w14:paraId="2ABBEDD9" w14:textId="77777777" w:rsidR="00B04FA3" w:rsidRDefault="00B04FA3" w:rsidP="00441B6F">
      <w:pPr>
        <w:pStyle w:val="ReferHead"/>
        <w:spacing w:after="0"/>
        <w:jc w:val="both"/>
        <w:rPr>
          <w:rFonts w:ascii="Arial" w:hAnsi="Arial" w:cs="Arial"/>
        </w:rPr>
      </w:pPr>
    </w:p>
    <w:p w14:paraId="06A07042" w14:textId="77777777" w:rsidR="00B04FA3" w:rsidRDefault="00B04FA3" w:rsidP="00441B6F">
      <w:pPr>
        <w:pStyle w:val="ReferHead"/>
        <w:spacing w:after="0"/>
        <w:jc w:val="both"/>
        <w:rPr>
          <w:rFonts w:ascii="Arial" w:hAnsi="Arial" w:cs="Arial"/>
        </w:rPr>
      </w:pPr>
    </w:p>
    <w:p w14:paraId="53FF3FF5" w14:textId="77777777" w:rsidR="00B04FA3" w:rsidRDefault="00B04FA3" w:rsidP="00441B6F">
      <w:pPr>
        <w:pStyle w:val="ReferHead"/>
        <w:spacing w:after="0"/>
        <w:jc w:val="both"/>
        <w:rPr>
          <w:rFonts w:ascii="Arial" w:hAnsi="Arial" w:cs="Arial"/>
        </w:rPr>
      </w:pPr>
    </w:p>
    <w:p w14:paraId="02458BC0" w14:textId="77777777" w:rsidR="00B04FA3" w:rsidRDefault="00B04FA3" w:rsidP="00441B6F">
      <w:pPr>
        <w:pStyle w:val="ReferHead"/>
        <w:spacing w:after="0"/>
        <w:jc w:val="both"/>
        <w:rPr>
          <w:rFonts w:ascii="Arial" w:hAnsi="Arial" w:cs="Arial"/>
        </w:rPr>
      </w:pPr>
    </w:p>
    <w:p w14:paraId="410EEDE3" w14:textId="77777777" w:rsidR="00B04FA3" w:rsidRDefault="00B04FA3" w:rsidP="00441B6F">
      <w:pPr>
        <w:pStyle w:val="ReferHead"/>
        <w:spacing w:after="0"/>
        <w:jc w:val="both"/>
        <w:rPr>
          <w:rFonts w:ascii="Arial" w:hAnsi="Arial" w:cs="Arial"/>
        </w:rPr>
      </w:pPr>
    </w:p>
    <w:p w14:paraId="74C8EC97" w14:textId="77777777" w:rsidR="00B04FA3" w:rsidRDefault="00B04FA3" w:rsidP="00441B6F">
      <w:pPr>
        <w:pStyle w:val="ReferHead"/>
        <w:spacing w:after="0"/>
        <w:jc w:val="both"/>
        <w:rPr>
          <w:rFonts w:ascii="Arial" w:hAnsi="Arial" w:cs="Arial"/>
        </w:rPr>
      </w:pPr>
    </w:p>
    <w:p w14:paraId="5B294681" w14:textId="77777777" w:rsidR="00B04FA3" w:rsidRDefault="00B04FA3" w:rsidP="00441B6F">
      <w:pPr>
        <w:pStyle w:val="ReferHead"/>
        <w:spacing w:after="0"/>
        <w:jc w:val="both"/>
        <w:rPr>
          <w:rFonts w:ascii="Arial" w:hAnsi="Arial" w:cs="Arial"/>
        </w:rPr>
      </w:pPr>
    </w:p>
    <w:p w14:paraId="5982A132" w14:textId="77777777" w:rsidR="00B04FA3" w:rsidRDefault="00B04FA3" w:rsidP="00441B6F">
      <w:pPr>
        <w:pStyle w:val="ReferHead"/>
        <w:spacing w:after="0"/>
        <w:jc w:val="both"/>
        <w:rPr>
          <w:rFonts w:ascii="Arial" w:hAnsi="Arial" w:cs="Arial"/>
        </w:rPr>
      </w:pPr>
    </w:p>
    <w:p w14:paraId="036EEF4F" w14:textId="77777777" w:rsidR="00B04FA3" w:rsidRDefault="00B04FA3" w:rsidP="00441B6F">
      <w:pPr>
        <w:pStyle w:val="ReferHead"/>
        <w:spacing w:after="0"/>
        <w:jc w:val="both"/>
        <w:rPr>
          <w:rFonts w:ascii="Arial" w:hAnsi="Arial" w:cs="Arial"/>
        </w:rPr>
      </w:pPr>
    </w:p>
    <w:p w14:paraId="51DF4BA4" w14:textId="77777777" w:rsidR="00B04FA3" w:rsidRDefault="00B04FA3" w:rsidP="00441B6F">
      <w:pPr>
        <w:pStyle w:val="ReferHead"/>
        <w:spacing w:after="0"/>
        <w:jc w:val="both"/>
        <w:rPr>
          <w:rFonts w:ascii="Arial" w:hAnsi="Arial" w:cs="Arial"/>
        </w:rPr>
      </w:pPr>
    </w:p>
    <w:p w14:paraId="7E65B747" w14:textId="77777777" w:rsidR="000523D2" w:rsidRDefault="000523D2" w:rsidP="00441B6F">
      <w:pPr>
        <w:pStyle w:val="ReferHead"/>
        <w:spacing w:after="0"/>
        <w:jc w:val="both"/>
        <w:rPr>
          <w:rFonts w:ascii="Arial" w:hAnsi="Arial" w:cs="Arial"/>
        </w:rPr>
      </w:pPr>
    </w:p>
    <w:p w14:paraId="1F3523CB" w14:textId="77777777" w:rsidR="000523D2" w:rsidRDefault="000523D2" w:rsidP="00441B6F">
      <w:pPr>
        <w:pStyle w:val="ReferHead"/>
        <w:spacing w:after="0"/>
        <w:jc w:val="both"/>
        <w:rPr>
          <w:rFonts w:ascii="Arial" w:hAnsi="Arial" w:cs="Arial"/>
        </w:rPr>
      </w:pPr>
    </w:p>
    <w:p w14:paraId="54AAE61B" w14:textId="77777777" w:rsidR="000523D2" w:rsidRDefault="000523D2" w:rsidP="00441B6F">
      <w:pPr>
        <w:pStyle w:val="ReferHead"/>
        <w:spacing w:after="0"/>
        <w:jc w:val="both"/>
        <w:rPr>
          <w:rFonts w:ascii="Arial" w:hAnsi="Arial" w:cs="Arial"/>
        </w:rPr>
      </w:pPr>
    </w:p>
    <w:p w14:paraId="3B4A7EF6" w14:textId="77777777" w:rsidR="000523D2" w:rsidRDefault="000523D2" w:rsidP="00441B6F">
      <w:pPr>
        <w:pStyle w:val="ReferHead"/>
        <w:spacing w:after="0"/>
        <w:jc w:val="both"/>
        <w:rPr>
          <w:rFonts w:ascii="Arial" w:hAnsi="Arial" w:cs="Arial"/>
        </w:rPr>
      </w:pPr>
    </w:p>
    <w:p w14:paraId="33F58573" w14:textId="77777777" w:rsidR="000523D2" w:rsidRDefault="000523D2" w:rsidP="00441B6F">
      <w:pPr>
        <w:pStyle w:val="ReferHead"/>
        <w:spacing w:after="0"/>
        <w:jc w:val="both"/>
        <w:rPr>
          <w:rFonts w:ascii="Arial" w:hAnsi="Arial" w:cs="Arial"/>
        </w:rPr>
      </w:pPr>
    </w:p>
    <w:p w14:paraId="6D0D5DB3" w14:textId="77777777" w:rsidR="000523D2" w:rsidRDefault="000523D2" w:rsidP="00441B6F">
      <w:pPr>
        <w:pStyle w:val="ReferHead"/>
        <w:spacing w:after="0"/>
        <w:jc w:val="both"/>
        <w:rPr>
          <w:rFonts w:ascii="Arial" w:hAnsi="Arial" w:cs="Arial"/>
        </w:rPr>
      </w:pPr>
    </w:p>
    <w:p w14:paraId="34D07C76" w14:textId="77777777" w:rsidR="000523D2" w:rsidRDefault="000523D2" w:rsidP="00441B6F">
      <w:pPr>
        <w:pStyle w:val="ReferHead"/>
        <w:spacing w:after="0"/>
        <w:jc w:val="both"/>
        <w:rPr>
          <w:rFonts w:ascii="Arial" w:hAnsi="Arial" w:cs="Arial"/>
        </w:rPr>
      </w:pPr>
    </w:p>
    <w:p w14:paraId="3D438C04" w14:textId="77777777" w:rsidR="000523D2" w:rsidRDefault="000523D2" w:rsidP="00441B6F">
      <w:pPr>
        <w:pStyle w:val="ReferHead"/>
        <w:spacing w:after="0"/>
        <w:jc w:val="both"/>
        <w:rPr>
          <w:rFonts w:ascii="Arial" w:hAnsi="Arial" w:cs="Arial"/>
        </w:rPr>
      </w:pPr>
    </w:p>
    <w:p w14:paraId="635F446D" w14:textId="77777777" w:rsidR="000523D2" w:rsidRDefault="000523D2" w:rsidP="00441B6F">
      <w:pPr>
        <w:pStyle w:val="ReferHead"/>
        <w:spacing w:after="0"/>
        <w:jc w:val="both"/>
        <w:rPr>
          <w:rFonts w:ascii="Arial" w:hAnsi="Arial" w:cs="Arial"/>
        </w:rPr>
      </w:pPr>
    </w:p>
    <w:p w14:paraId="58D0F4AB" w14:textId="77777777" w:rsidR="000523D2" w:rsidRDefault="000523D2" w:rsidP="00441B6F">
      <w:pPr>
        <w:pStyle w:val="ReferHead"/>
        <w:spacing w:after="0"/>
        <w:jc w:val="both"/>
        <w:rPr>
          <w:rFonts w:ascii="Arial" w:hAnsi="Arial" w:cs="Arial"/>
        </w:rPr>
      </w:pPr>
    </w:p>
    <w:p w14:paraId="6347339D" w14:textId="77777777" w:rsidR="000523D2" w:rsidRDefault="000523D2" w:rsidP="00441B6F">
      <w:pPr>
        <w:pStyle w:val="ReferHead"/>
        <w:spacing w:after="0"/>
        <w:jc w:val="both"/>
        <w:rPr>
          <w:rFonts w:ascii="Arial" w:hAnsi="Arial" w:cs="Arial"/>
        </w:rPr>
      </w:pPr>
    </w:p>
    <w:p w14:paraId="3D93F2AA" w14:textId="77777777" w:rsidR="000523D2" w:rsidRDefault="000523D2" w:rsidP="00441B6F">
      <w:pPr>
        <w:pStyle w:val="ReferHead"/>
        <w:spacing w:after="0"/>
        <w:jc w:val="both"/>
        <w:rPr>
          <w:rFonts w:ascii="Arial" w:hAnsi="Arial" w:cs="Arial"/>
        </w:rPr>
      </w:pPr>
    </w:p>
    <w:p w14:paraId="6FD13B6C" w14:textId="77777777" w:rsidR="000523D2" w:rsidRDefault="000523D2" w:rsidP="00441B6F">
      <w:pPr>
        <w:pStyle w:val="ReferHead"/>
        <w:spacing w:after="0"/>
        <w:jc w:val="both"/>
        <w:rPr>
          <w:rFonts w:ascii="Arial" w:hAnsi="Arial" w:cs="Arial"/>
        </w:rPr>
      </w:pPr>
    </w:p>
    <w:p w14:paraId="48E18C01" w14:textId="77777777" w:rsidR="00062EE2" w:rsidRDefault="00062EE2" w:rsidP="000523D2">
      <w:pPr>
        <w:pStyle w:val="ReferHead"/>
        <w:spacing w:after="0"/>
        <w:jc w:val="center"/>
        <w:rPr>
          <w:rFonts w:ascii="Arial" w:hAnsi="Arial" w:cs="Arial"/>
        </w:rPr>
      </w:pPr>
    </w:p>
    <w:p w14:paraId="0FC4E040" w14:textId="77777777" w:rsidR="00B01FCD" w:rsidRDefault="00B01FCD" w:rsidP="000523D2">
      <w:pPr>
        <w:pStyle w:val="ReferHead"/>
        <w:spacing w:after="0"/>
        <w:jc w:val="center"/>
        <w:rPr>
          <w:rFonts w:ascii="Arial" w:hAnsi="Arial" w:cs="Arial"/>
        </w:rPr>
      </w:pPr>
      <w:r w:rsidRPr="00FB3A86">
        <w:rPr>
          <w:rFonts w:ascii="Arial" w:hAnsi="Arial" w:cs="Arial"/>
        </w:rPr>
        <w:t>References</w:t>
      </w:r>
    </w:p>
    <w:p w14:paraId="0EDBC195" w14:textId="77777777" w:rsidR="00790ADA" w:rsidRPr="00FB3A86" w:rsidRDefault="00790ADA" w:rsidP="00441B6F">
      <w:pPr>
        <w:pStyle w:val="ReferHead"/>
        <w:spacing w:after="0"/>
        <w:jc w:val="both"/>
        <w:rPr>
          <w:rFonts w:ascii="Arial" w:hAnsi="Arial" w:cs="Arial"/>
        </w:rPr>
      </w:pPr>
    </w:p>
    <w:p w14:paraId="1F9E2BCD" w14:textId="77777777" w:rsidR="00062EE2" w:rsidRDefault="00062EE2" w:rsidP="000523D2">
      <w:pPr>
        <w:pStyle w:val="Body"/>
        <w:ind w:left="720" w:hanging="720"/>
      </w:pPr>
    </w:p>
    <w:p w14:paraId="12031391" w14:textId="77777777" w:rsidR="00062EE2" w:rsidRPr="00894D33" w:rsidRDefault="00062EE2" w:rsidP="000523D2">
      <w:pPr>
        <w:pStyle w:val="Body"/>
        <w:ind w:left="720" w:hanging="720"/>
        <w:rPr>
          <w:rFonts w:ascii="Arial" w:hAnsi="Arial" w:cs="Arial"/>
        </w:rPr>
      </w:pPr>
      <w:r w:rsidRPr="00894D33">
        <w:rPr>
          <w:rFonts w:ascii="Arial" w:hAnsi="Arial" w:cs="Arial"/>
        </w:rPr>
        <w:lastRenderedPageBreak/>
        <w:t xml:space="preserve">Adem, M., Azadi, H., </w:t>
      </w:r>
      <w:proofErr w:type="spellStart"/>
      <w:r w:rsidRPr="00894D33">
        <w:rPr>
          <w:rFonts w:ascii="Arial" w:hAnsi="Arial" w:cs="Arial"/>
        </w:rPr>
        <w:t>Spalevic</w:t>
      </w:r>
      <w:proofErr w:type="spellEnd"/>
      <w:r w:rsidRPr="00894D33">
        <w:rPr>
          <w:rFonts w:ascii="Arial" w:hAnsi="Arial" w:cs="Arial"/>
        </w:rPr>
        <w:t xml:space="preserve">, V., Pietrzykowski, M., &amp; </w:t>
      </w:r>
      <w:proofErr w:type="spellStart"/>
      <w:r w:rsidRPr="00894D33">
        <w:rPr>
          <w:rFonts w:ascii="Arial" w:hAnsi="Arial" w:cs="Arial"/>
        </w:rPr>
        <w:t>Scheffran</w:t>
      </w:r>
      <w:proofErr w:type="spellEnd"/>
      <w:r w:rsidRPr="00894D33">
        <w:rPr>
          <w:rFonts w:ascii="Arial" w:hAnsi="Arial" w:cs="Arial"/>
        </w:rPr>
        <w:t>, J. (2023). Impact of integrated soil fertility management practices on maize yield in Ethiopia. Soil and Tillage Research, 227, 105595. https://doi.org/10.1016/j.still.2022.105595</w:t>
      </w:r>
    </w:p>
    <w:p w14:paraId="1B126F14" w14:textId="77777777" w:rsidR="00062EE2" w:rsidRPr="00894D33" w:rsidRDefault="00062EE2" w:rsidP="000523D2">
      <w:pPr>
        <w:pStyle w:val="Body"/>
        <w:ind w:left="720" w:hanging="720"/>
        <w:rPr>
          <w:rFonts w:ascii="Arial" w:hAnsi="Arial" w:cs="Arial"/>
        </w:rPr>
      </w:pPr>
      <w:r w:rsidRPr="00894D33">
        <w:rPr>
          <w:rFonts w:ascii="Arial" w:hAnsi="Arial" w:cs="Arial"/>
        </w:rPr>
        <w:t>Alamu, S. A. (2025). Climate change-resilience farming model for enhanced food security and sustainable development in Sub-Saharan Africa. Science World Journal, 19(4), 1068–1076. https://doi.org/10.4314/swj.v19i4.23</w:t>
      </w:r>
    </w:p>
    <w:p w14:paraId="2D3C1E18" w14:textId="77777777" w:rsidR="00062EE2" w:rsidRPr="00894D33" w:rsidRDefault="00062EE2" w:rsidP="000523D2">
      <w:pPr>
        <w:pStyle w:val="Body"/>
        <w:ind w:left="720" w:hanging="720"/>
        <w:rPr>
          <w:rFonts w:ascii="Arial" w:hAnsi="Arial" w:cs="Arial"/>
        </w:rPr>
      </w:pPr>
      <w:r w:rsidRPr="00894D33">
        <w:rPr>
          <w:rFonts w:ascii="Arial" w:hAnsi="Arial" w:cs="Arial"/>
        </w:rPr>
        <w:t>Anas, M., Liao, F., Verma, K. K., Sarwar, M. A., Mahmood, A., Chen, Z.-L., Li, Q., Zeng, X.-P., Liu, Y., &amp; Li, Y.-R. (2020). Fate of nitrogen in agriculture and environment: Agronomic, eco-physiological and molecular approaches to improve nitrogen use efficiency. Biological Research, 53(1), 47. https://doi.org/10.1186/s40659-020-00312-4</w:t>
      </w:r>
    </w:p>
    <w:p w14:paraId="765B51A9" w14:textId="77777777" w:rsidR="00062EE2" w:rsidRPr="00894D33" w:rsidRDefault="00062EE2" w:rsidP="000523D2">
      <w:pPr>
        <w:pStyle w:val="Body"/>
        <w:ind w:left="720" w:hanging="720"/>
        <w:rPr>
          <w:rFonts w:ascii="Arial" w:hAnsi="Arial" w:cs="Arial"/>
        </w:rPr>
      </w:pPr>
      <w:r w:rsidRPr="00894D33">
        <w:rPr>
          <w:rFonts w:ascii="Arial" w:hAnsi="Arial" w:cs="Arial"/>
        </w:rPr>
        <w:t>Beegle, D. B., Carton, O. T., &amp; Bailey, J. S. (2000). Nutrient Management Planning: Justification, Theory, Practice. Journal of Environmental Quality, 29(1), 72–79. https://doi.org/10.2134/jeq2000.00472425002900010009x</w:t>
      </w:r>
    </w:p>
    <w:p w14:paraId="2858C385" w14:textId="77777777" w:rsidR="00062EE2" w:rsidRPr="00894D33" w:rsidRDefault="00062EE2" w:rsidP="000523D2">
      <w:pPr>
        <w:pStyle w:val="Body"/>
        <w:ind w:left="720" w:hanging="720"/>
        <w:rPr>
          <w:rFonts w:ascii="Arial" w:hAnsi="Arial" w:cs="Arial"/>
        </w:rPr>
      </w:pPr>
      <w:r w:rsidRPr="00894D33">
        <w:rPr>
          <w:rFonts w:ascii="Arial" w:hAnsi="Arial" w:cs="Arial"/>
        </w:rPr>
        <w:t>Blackwell, M., Darch, T., &amp; Haslam, R. (2019). Phosphorus use efficiency and fertilizers: Future opportunities for improvements. Frontiers of Agricultural Science and Engineering, 6(4), 332. https://doi.org/10.15302/J-FASE-2019274</w:t>
      </w:r>
    </w:p>
    <w:p w14:paraId="70519A5B" w14:textId="77777777" w:rsidR="00062EE2" w:rsidRPr="00894D33" w:rsidRDefault="00062EE2" w:rsidP="000523D2">
      <w:pPr>
        <w:pStyle w:val="Body"/>
        <w:ind w:left="720" w:hanging="720"/>
        <w:rPr>
          <w:rFonts w:ascii="Arial" w:hAnsi="Arial" w:cs="Arial"/>
        </w:rPr>
      </w:pPr>
      <w:r w:rsidRPr="00894D33">
        <w:rPr>
          <w:rFonts w:ascii="Arial" w:hAnsi="Arial" w:cs="Arial"/>
        </w:rPr>
        <w:t xml:space="preserve">Cairns, J. E., Chamberlin, J., </w:t>
      </w:r>
      <w:proofErr w:type="spellStart"/>
      <w:r w:rsidRPr="00894D33">
        <w:rPr>
          <w:rFonts w:ascii="Arial" w:hAnsi="Arial" w:cs="Arial"/>
        </w:rPr>
        <w:t>Rutsaert</w:t>
      </w:r>
      <w:proofErr w:type="spellEnd"/>
      <w:r w:rsidRPr="00894D33">
        <w:rPr>
          <w:rFonts w:ascii="Arial" w:hAnsi="Arial" w:cs="Arial"/>
        </w:rPr>
        <w:t xml:space="preserve">, P., Voss, R. C., </w:t>
      </w:r>
      <w:proofErr w:type="spellStart"/>
      <w:r w:rsidRPr="00894D33">
        <w:rPr>
          <w:rFonts w:ascii="Arial" w:hAnsi="Arial" w:cs="Arial"/>
        </w:rPr>
        <w:t>Ndhlela</w:t>
      </w:r>
      <w:proofErr w:type="spellEnd"/>
      <w:r w:rsidRPr="00894D33">
        <w:rPr>
          <w:rFonts w:ascii="Arial" w:hAnsi="Arial" w:cs="Arial"/>
        </w:rPr>
        <w:t xml:space="preserve">, T., &amp; </w:t>
      </w:r>
      <w:proofErr w:type="spellStart"/>
      <w:r w:rsidRPr="00894D33">
        <w:rPr>
          <w:rFonts w:ascii="Arial" w:hAnsi="Arial" w:cs="Arial"/>
        </w:rPr>
        <w:t>Magorokosho</w:t>
      </w:r>
      <w:proofErr w:type="spellEnd"/>
      <w:r w:rsidRPr="00894D33">
        <w:rPr>
          <w:rFonts w:ascii="Arial" w:hAnsi="Arial" w:cs="Arial"/>
        </w:rPr>
        <w:t>, C. (2021). Challenges for sustainable maize production of smallholder farmers in sub-Saharan Africa. Journal of Cereal Science, 101, 103274. https://doi.org/10.1016/j.jcs.2021.103274</w:t>
      </w:r>
    </w:p>
    <w:p w14:paraId="059B9B7C" w14:textId="77777777" w:rsidR="00062EE2" w:rsidRPr="00894D33" w:rsidRDefault="00062EE2" w:rsidP="000523D2">
      <w:pPr>
        <w:pStyle w:val="Body"/>
        <w:ind w:left="720" w:hanging="720"/>
        <w:rPr>
          <w:rFonts w:ascii="Arial" w:hAnsi="Arial" w:cs="Arial"/>
        </w:rPr>
      </w:pPr>
      <w:r w:rsidRPr="0098081B">
        <w:rPr>
          <w:rFonts w:ascii="Arial" w:hAnsi="Arial" w:cs="Arial"/>
          <w:lang w:val="pt-PT"/>
        </w:rPr>
        <w:t xml:space="preserve">Coetzee, P.-E., Ceronio, G. M., &amp; Du Preez, C. C. (2017). </w:t>
      </w:r>
      <w:r w:rsidRPr="00894D33">
        <w:rPr>
          <w:rFonts w:ascii="Arial" w:hAnsi="Arial" w:cs="Arial"/>
        </w:rPr>
        <w:t>Effect of phosphorus and nitrogen sources on essential nutrient concentration and uptake by maize ( Zea mays L.) during early growth and development. South African Journal of Plant and Soil, 34(1), 55–64. https://doi.org/10.1080/02571862.2016.1180714</w:t>
      </w:r>
    </w:p>
    <w:p w14:paraId="3DA8926E" w14:textId="77777777" w:rsidR="00062EE2" w:rsidRPr="00894D33" w:rsidRDefault="00062EE2" w:rsidP="000523D2">
      <w:pPr>
        <w:pStyle w:val="Body"/>
        <w:ind w:left="720" w:hanging="720"/>
        <w:rPr>
          <w:rFonts w:ascii="Arial" w:hAnsi="Arial" w:cs="Arial"/>
        </w:rPr>
      </w:pPr>
      <w:proofErr w:type="spellStart"/>
      <w:r w:rsidRPr="00894D33">
        <w:rPr>
          <w:rFonts w:ascii="Arial" w:hAnsi="Arial" w:cs="Arial"/>
        </w:rPr>
        <w:t>Erenstein</w:t>
      </w:r>
      <w:proofErr w:type="spellEnd"/>
      <w:r w:rsidRPr="00894D33">
        <w:rPr>
          <w:rFonts w:ascii="Arial" w:hAnsi="Arial" w:cs="Arial"/>
        </w:rPr>
        <w:t xml:space="preserve">, O., </w:t>
      </w:r>
      <w:proofErr w:type="spellStart"/>
      <w:r w:rsidRPr="00894D33">
        <w:rPr>
          <w:rFonts w:ascii="Arial" w:hAnsi="Arial" w:cs="Arial"/>
        </w:rPr>
        <w:t>Jaleta</w:t>
      </w:r>
      <w:proofErr w:type="spellEnd"/>
      <w:r w:rsidRPr="00894D33">
        <w:rPr>
          <w:rFonts w:ascii="Arial" w:hAnsi="Arial" w:cs="Arial"/>
        </w:rPr>
        <w:t xml:space="preserve">, M., Sonder, K., </w:t>
      </w:r>
      <w:proofErr w:type="spellStart"/>
      <w:r w:rsidRPr="00894D33">
        <w:rPr>
          <w:rFonts w:ascii="Arial" w:hAnsi="Arial" w:cs="Arial"/>
        </w:rPr>
        <w:t>Mottaleb</w:t>
      </w:r>
      <w:proofErr w:type="spellEnd"/>
      <w:r w:rsidRPr="00894D33">
        <w:rPr>
          <w:rFonts w:ascii="Arial" w:hAnsi="Arial" w:cs="Arial"/>
        </w:rPr>
        <w:t>, K., &amp; Prasanna, B. M. (2022). Global maize production, consumption and trade: Trends and R&amp;D implications. Food Security, 14(5), 1295–1319. https://doi.org/10.1007/s12571-022-01288-7</w:t>
      </w:r>
    </w:p>
    <w:p w14:paraId="07064A26" w14:textId="77777777" w:rsidR="00062EE2" w:rsidRPr="00894D33" w:rsidRDefault="00062EE2" w:rsidP="000523D2">
      <w:pPr>
        <w:pStyle w:val="Body"/>
        <w:ind w:left="720" w:hanging="720"/>
        <w:rPr>
          <w:rFonts w:ascii="Arial" w:hAnsi="Arial" w:cs="Arial"/>
        </w:rPr>
      </w:pPr>
      <w:r w:rsidRPr="00894D33">
        <w:rPr>
          <w:rFonts w:ascii="Arial" w:hAnsi="Arial" w:cs="Arial"/>
        </w:rPr>
        <w:t xml:space="preserve">Jaetzold, R. (2010). Farm Management Handbook of Kenya: Volume II: Natural Conditions and Farm Management Information; Annex: Atlas of </w:t>
      </w:r>
      <w:proofErr w:type="spellStart"/>
      <w:r w:rsidRPr="00894D33">
        <w:rPr>
          <w:rFonts w:ascii="Arial" w:hAnsi="Arial" w:cs="Arial"/>
        </w:rPr>
        <w:t>Agro</w:t>
      </w:r>
      <w:proofErr w:type="spellEnd"/>
      <w:r w:rsidRPr="00894D33">
        <w:rPr>
          <w:rFonts w:ascii="Arial" w:hAnsi="Arial" w:cs="Arial"/>
        </w:rPr>
        <w:t xml:space="preserve">-Ecological Zones, Soils and </w:t>
      </w:r>
      <w:proofErr w:type="spellStart"/>
      <w:r w:rsidRPr="00894D33">
        <w:rPr>
          <w:rFonts w:ascii="Arial" w:hAnsi="Arial" w:cs="Arial"/>
        </w:rPr>
        <w:t>Fertilising</w:t>
      </w:r>
      <w:proofErr w:type="spellEnd"/>
      <w:r w:rsidRPr="00894D33">
        <w:rPr>
          <w:rFonts w:ascii="Arial" w:hAnsi="Arial" w:cs="Arial"/>
        </w:rPr>
        <w:t xml:space="preserve"> by Group of Districts; Subpart A2: Nyanza Province Homa Bay and Migori County.</w:t>
      </w:r>
    </w:p>
    <w:p w14:paraId="17575286" w14:textId="77777777" w:rsidR="00062EE2" w:rsidRPr="00894D33" w:rsidRDefault="00062EE2" w:rsidP="000523D2">
      <w:pPr>
        <w:pStyle w:val="Body"/>
        <w:ind w:left="720" w:hanging="720"/>
        <w:rPr>
          <w:rFonts w:ascii="Arial" w:hAnsi="Arial" w:cs="Arial"/>
        </w:rPr>
      </w:pPr>
      <w:r w:rsidRPr="00894D33">
        <w:rPr>
          <w:rFonts w:ascii="Arial" w:hAnsi="Arial" w:cs="Arial"/>
        </w:rPr>
        <w:t>Jarvie, H. P., Sharpley, A. N., Flaten, D., Kleinman, P. J. A., Jenkins, A., &amp; Simmons, T. (2015). The Pivotal Role of Phosphorus in a Resilient Water-Energy-Food Security Nexus. Journal of Environmental Quality, 44(4), 1049–1062. https://doi.org/10.2134/jeq2015.01.0030</w:t>
      </w:r>
    </w:p>
    <w:p w14:paraId="0C05936F" w14:textId="77777777" w:rsidR="00062EE2" w:rsidRPr="00894D33" w:rsidRDefault="00062EE2" w:rsidP="000523D2">
      <w:pPr>
        <w:pStyle w:val="Body"/>
        <w:spacing w:after="0"/>
        <w:ind w:left="720" w:hanging="720"/>
        <w:rPr>
          <w:rFonts w:ascii="Arial" w:hAnsi="Arial" w:cs="Arial"/>
        </w:rPr>
      </w:pPr>
      <w:r w:rsidRPr="00894D33">
        <w:rPr>
          <w:rFonts w:ascii="Arial" w:hAnsi="Arial" w:cs="Arial"/>
        </w:rPr>
        <w:t>Katoch, R. (2023). Techniques in forage quality analysis. Springer.</w:t>
      </w:r>
    </w:p>
    <w:p w14:paraId="4CF5B801" w14:textId="77777777" w:rsidR="00062EE2" w:rsidRPr="00894D33" w:rsidRDefault="00062EE2" w:rsidP="000523D2">
      <w:pPr>
        <w:pStyle w:val="Body"/>
        <w:ind w:left="720" w:hanging="720"/>
        <w:rPr>
          <w:rFonts w:ascii="Arial" w:hAnsi="Arial" w:cs="Arial"/>
        </w:rPr>
      </w:pPr>
      <w:r w:rsidRPr="00894D33">
        <w:rPr>
          <w:rFonts w:ascii="Arial" w:hAnsi="Arial" w:cs="Arial"/>
        </w:rPr>
        <w:t>Kihara, J., &amp; Njoroge, S. (2013). Phosphorus agronomic efficiency in maize-based cropping systems: A focus on western Kenya. Field Crops Research, 150, 1–8. https://doi.org/10.1016/j.fcr.2013.05.025</w:t>
      </w:r>
    </w:p>
    <w:p w14:paraId="09A0DE6D" w14:textId="77777777" w:rsidR="00062EE2" w:rsidRPr="00894D33" w:rsidRDefault="00062EE2" w:rsidP="000523D2">
      <w:pPr>
        <w:pStyle w:val="Body"/>
        <w:ind w:left="720" w:hanging="720"/>
        <w:rPr>
          <w:rFonts w:ascii="Arial" w:hAnsi="Arial" w:cs="Arial"/>
        </w:rPr>
      </w:pPr>
      <w:proofErr w:type="spellStart"/>
      <w:r w:rsidRPr="00894D33">
        <w:rPr>
          <w:rFonts w:ascii="Arial" w:hAnsi="Arial" w:cs="Arial"/>
        </w:rPr>
        <w:lastRenderedPageBreak/>
        <w:t>Mmbando</w:t>
      </w:r>
      <w:proofErr w:type="spellEnd"/>
      <w:r w:rsidRPr="00894D33">
        <w:rPr>
          <w:rFonts w:ascii="Arial" w:hAnsi="Arial" w:cs="Arial"/>
        </w:rPr>
        <w:t>, G. S. (2025). Recent possible agriculture techniques for supporting climate resilient crops in Africa. Cogent Food &amp; Agriculture, 11(1), 2557341. https://doi.org/10.1080/23311932.2025.2557341</w:t>
      </w:r>
    </w:p>
    <w:p w14:paraId="7B81A9D3" w14:textId="77777777" w:rsidR="00062EE2" w:rsidRPr="00894D33" w:rsidRDefault="00062EE2" w:rsidP="000523D2">
      <w:pPr>
        <w:pStyle w:val="Body"/>
        <w:ind w:left="720" w:hanging="720"/>
        <w:rPr>
          <w:rFonts w:ascii="Arial" w:hAnsi="Arial" w:cs="Arial"/>
        </w:rPr>
      </w:pPr>
      <w:proofErr w:type="spellStart"/>
      <w:r w:rsidRPr="00894D33">
        <w:rPr>
          <w:rFonts w:ascii="Arial" w:hAnsi="Arial" w:cs="Arial"/>
        </w:rPr>
        <w:t>Okalebo</w:t>
      </w:r>
      <w:proofErr w:type="spellEnd"/>
      <w:r w:rsidRPr="00894D33">
        <w:rPr>
          <w:rFonts w:ascii="Arial" w:hAnsi="Arial" w:cs="Arial"/>
        </w:rPr>
        <w:t xml:space="preserve">, J. R., </w:t>
      </w:r>
      <w:proofErr w:type="spellStart"/>
      <w:r w:rsidRPr="00894D33">
        <w:rPr>
          <w:rFonts w:ascii="Arial" w:hAnsi="Arial" w:cs="Arial"/>
        </w:rPr>
        <w:t>Gathua</w:t>
      </w:r>
      <w:proofErr w:type="spellEnd"/>
      <w:r w:rsidRPr="00894D33">
        <w:rPr>
          <w:rFonts w:ascii="Arial" w:hAnsi="Arial" w:cs="Arial"/>
        </w:rPr>
        <w:t>, K. W., &amp; Woomer, P. L. (2002). Laboratory methods of soil and plant analysis: a working manual second edition. Sacred Africa, Nairobi, 21, 25-26.</w:t>
      </w:r>
    </w:p>
    <w:p w14:paraId="385D06A1" w14:textId="77777777" w:rsidR="00062EE2" w:rsidRPr="00894D33" w:rsidRDefault="00062EE2" w:rsidP="000523D2">
      <w:pPr>
        <w:pStyle w:val="Body"/>
        <w:ind w:left="720" w:hanging="720"/>
        <w:rPr>
          <w:rFonts w:ascii="Arial" w:hAnsi="Arial" w:cs="Arial"/>
        </w:rPr>
      </w:pPr>
      <w:r w:rsidRPr="00894D33">
        <w:rPr>
          <w:rFonts w:ascii="Arial" w:hAnsi="Arial" w:cs="Arial"/>
        </w:rPr>
        <w:t>R Core Team. (2025). R: A Language and Environment for Statistical Computing [Computer software]. R Foundation for Statistical Computing. https://www.R-project.org/</w:t>
      </w:r>
    </w:p>
    <w:p w14:paraId="63D41572" w14:textId="77777777" w:rsidR="00062EE2" w:rsidRPr="00894D33" w:rsidRDefault="00062EE2" w:rsidP="000523D2">
      <w:pPr>
        <w:pStyle w:val="Body"/>
        <w:ind w:left="720" w:hanging="720"/>
        <w:rPr>
          <w:rFonts w:ascii="Arial" w:hAnsi="Arial" w:cs="Arial"/>
        </w:rPr>
      </w:pPr>
      <w:r w:rsidRPr="00894D33">
        <w:rPr>
          <w:rFonts w:ascii="Arial" w:hAnsi="Arial" w:cs="Arial"/>
        </w:rPr>
        <w:t>Roberts, T. L., &amp; Johnston, A. E. (2015). Phosphorus use efficiency and management in agriculture. Resources, Conservation and Recycling, 105, 275–281. https://doi.org/10.1016/j.resconrec.2015.09.013</w:t>
      </w:r>
    </w:p>
    <w:p w14:paraId="5A4790C7" w14:textId="77777777" w:rsidR="00062EE2" w:rsidRPr="00894D33" w:rsidRDefault="00062EE2" w:rsidP="000523D2">
      <w:pPr>
        <w:pStyle w:val="Body"/>
        <w:ind w:left="720" w:hanging="720"/>
        <w:rPr>
          <w:rFonts w:ascii="Arial" w:hAnsi="Arial" w:cs="Arial"/>
        </w:rPr>
      </w:pPr>
      <w:r w:rsidRPr="00894D33">
        <w:rPr>
          <w:rFonts w:ascii="Arial" w:hAnsi="Arial" w:cs="Arial"/>
        </w:rPr>
        <w:t>Shah, F., &amp; Wu, W. (2019). Soil and Crop Management Strategies to Ensure Higher Crop Productivity within Sustainable Environments. Sustainability, 11(5), 1485. https://doi.org/10.3390/su11051485</w:t>
      </w:r>
    </w:p>
    <w:p w14:paraId="0689FE62" w14:textId="77777777" w:rsidR="00062EE2" w:rsidRPr="00894D33" w:rsidRDefault="00062EE2" w:rsidP="000523D2">
      <w:pPr>
        <w:pStyle w:val="Body"/>
        <w:ind w:left="720" w:hanging="720"/>
        <w:rPr>
          <w:rFonts w:ascii="Arial" w:hAnsi="Arial" w:cs="Arial"/>
        </w:rPr>
      </w:pPr>
      <w:r w:rsidRPr="00894D33">
        <w:rPr>
          <w:rFonts w:ascii="Arial" w:hAnsi="Arial" w:cs="Arial"/>
        </w:rPr>
        <w:t xml:space="preserve">Srinivasarao, C., </w:t>
      </w:r>
      <w:proofErr w:type="spellStart"/>
      <w:r w:rsidRPr="00894D33">
        <w:rPr>
          <w:rFonts w:ascii="Arial" w:hAnsi="Arial" w:cs="Arial"/>
        </w:rPr>
        <w:t>Venkateswarlu</w:t>
      </w:r>
      <w:proofErr w:type="spellEnd"/>
      <w:r w:rsidRPr="00894D33">
        <w:rPr>
          <w:rFonts w:ascii="Arial" w:hAnsi="Arial" w:cs="Arial"/>
        </w:rPr>
        <w:t>, B., Hegde, D. M., Venkateswara Rao, K., &amp; Kundu, S. (2013). Use of Organic Fertilizers Alone or in Combination with Inorganic Ones: Effects on Water</w:t>
      </w:r>
      <w:r w:rsidRPr="00894D33">
        <w:rPr>
          <w:rFonts w:ascii="Cambria Math" w:hAnsi="Cambria Math" w:cs="Cambria Math"/>
        </w:rPr>
        <w:t>‐</w:t>
      </w:r>
      <w:r w:rsidRPr="00894D33">
        <w:rPr>
          <w:rFonts w:ascii="Arial" w:hAnsi="Arial" w:cs="Arial"/>
        </w:rPr>
        <w:t xml:space="preserve"> and Nutrient</w:t>
      </w:r>
      <w:r w:rsidRPr="00894D33">
        <w:rPr>
          <w:rFonts w:ascii="Cambria Math" w:hAnsi="Cambria Math" w:cs="Cambria Math"/>
        </w:rPr>
        <w:t>‐</w:t>
      </w:r>
      <w:r w:rsidRPr="00894D33">
        <w:rPr>
          <w:rFonts w:ascii="Arial" w:hAnsi="Arial" w:cs="Arial"/>
        </w:rPr>
        <w:t>Use Efficiency in Indian Farming Systems. In Z. Rengel (Ed.), Improving Water and Nutrient</w:t>
      </w:r>
      <w:r w:rsidRPr="00894D33">
        <w:rPr>
          <w:rFonts w:ascii="Cambria Math" w:hAnsi="Cambria Math" w:cs="Cambria Math"/>
        </w:rPr>
        <w:t>‐</w:t>
      </w:r>
      <w:r w:rsidRPr="00894D33">
        <w:rPr>
          <w:rFonts w:ascii="Arial" w:hAnsi="Arial" w:cs="Arial"/>
        </w:rPr>
        <w:t>Use Efficiency in Food Production Systems (1st ed., pp. 235–261). Wiley. https://doi.org/10.1002/9781118517994.ch14</w:t>
      </w:r>
    </w:p>
    <w:p w14:paraId="76F0B224" w14:textId="77777777" w:rsidR="00062EE2" w:rsidRPr="00894D33" w:rsidRDefault="00062EE2" w:rsidP="000523D2">
      <w:pPr>
        <w:pStyle w:val="Body"/>
        <w:ind w:left="720" w:hanging="720"/>
        <w:rPr>
          <w:rFonts w:ascii="Arial" w:hAnsi="Arial" w:cs="Arial"/>
        </w:rPr>
      </w:pPr>
      <w:r w:rsidRPr="00894D33">
        <w:rPr>
          <w:rFonts w:ascii="Arial" w:hAnsi="Arial" w:cs="Arial"/>
        </w:rPr>
        <w:t xml:space="preserve">Ten Berge, H. F. M., </w:t>
      </w:r>
      <w:proofErr w:type="spellStart"/>
      <w:r w:rsidRPr="00894D33">
        <w:rPr>
          <w:rFonts w:ascii="Arial" w:hAnsi="Arial" w:cs="Arial"/>
        </w:rPr>
        <w:t>Hijbeek</w:t>
      </w:r>
      <w:proofErr w:type="spellEnd"/>
      <w:r w:rsidRPr="00894D33">
        <w:rPr>
          <w:rFonts w:ascii="Arial" w:hAnsi="Arial" w:cs="Arial"/>
        </w:rPr>
        <w:t xml:space="preserve">, R., Van Loon, M. P., </w:t>
      </w:r>
      <w:proofErr w:type="spellStart"/>
      <w:r w:rsidRPr="00894D33">
        <w:rPr>
          <w:rFonts w:ascii="Arial" w:hAnsi="Arial" w:cs="Arial"/>
        </w:rPr>
        <w:t>Rurinda</w:t>
      </w:r>
      <w:proofErr w:type="spellEnd"/>
      <w:r w:rsidRPr="00894D33">
        <w:rPr>
          <w:rFonts w:ascii="Arial" w:hAnsi="Arial" w:cs="Arial"/>
        </w:rPr>
        <w:t xml:space="preserve">, J., Tesfaye, K., </w:t>
      </w:r>
      <w:proofErr w:type="spellStart"/>
      <w:r w:rsidRPr="00894D33">
        <w:rPr>
          <w:rFonts w:ascii="Arial" w:hAnsi="Arial" w:cs="Arial"/>
        </w:rPr>
        <w:t>Zingore</w:t>
      </w:r>
      <w:proofErr w:type="spellEnd"/>
      <w:r w:rsidRPr="00894D33">
        <w:rPr>
          <w:rFonts w:ascii="Arial" w:hAnsi="Arial" w:cs="Arial"/>
        </w:rPr>
        <w:t xml:space="preserve">, S., </w:t>
      </w:r>
      <w:proofErr w:type="spellStart"/>
      <w:r w:rsidRPr="00894D33">
        <w:rPr>
          <w:rFonts w:ascii="Arial" w:hAnsi="Arial" w:cs="Arial"/>
        </w:rPr>
        <w:t>Craufurd</w:t>
      </w:r>
      <w:proofErr w:type="spellEnd"/>
      <w:r w:rsidRPr="00894D33">
        <w:rPr>
          <w:rFonts w:ascii="Arial" w:hAnsi="Arial" w:cs="Arial"/>
        </w:rPr>
        <w:t xml:space="preserve">, P., Van Heerwaarden, J., </w:t>
      </w:r>
      <w:proofErr w:type="spellStart"/>
      <w:r w:rsidRPr="00894D33">
        <w:rPr>
          <w:rFonts w:ascii="Arial" w:hAnsi="Arial" w:cs="Arial"/>
        </w:rPr>
        <w:t>Brentrup</w:t>
      </w:r>
      <w:proofErr w:type="spellEnd"/>
      <w:r w:rsidRPr="00894D33">
        <w:rPr>
          <w:rFonts w:ascii="Arial" w:hAnsi="Arial" w:cs="Arial"/>
        </w:rPr>
        <w:t xml:space="preserve">, F., Schröder, J. J., Boogaard, H. L., De Groot, H. L. E., &amp; Van </w:t>
      </w:r>
      <w:proofErr w:type="spellStart"/>
      <w:r w:rsidRPr="00894D33">
        <w:rPr>
          <w:rFonts w:ascii="Arial" w:hAnsi="Arial" w:cs="Arial"/>
        </w:rPr>
        <w:t>Ittersum</w:t>
      </w:r>
      <w:proofErr w:type="spellEnd"/>
      <w:r w:rsidRPr="00894D33">
        <w:rPr>
          <w:rFonts w:ascii="Arial" w:hAnsi="Arial" w:cs="Arial"/>
        </w:rPr>
        <w:t>, M. K. (2019). Maize crop nutrient input requirements for food security in sub-Saharan Africa. Global Food Security, 23, 9–21. https://doi.org/10.1016/j.gfs.2019.02.001</w:t>
      </w:r>
    </w:p>
    <w:p w14:paraId="0AEF064B" w14:textId="77777777" w:rsidR="00062EE2" w:rsidRPr="00894D33" w:rsidRDefault="00062EE2" w:rsidP="000523D2">
      <w:pPr>
        <w:pStyle w:val="Body"/>
        <w:ind w:left="720" w:hanging="720"/>
        <w:rPr>
          <w:rFonts w:ascii="Arial" w:hAnsi="Arial" w:cs="Arial"/>
        </w:rPr>
      </w:pPr>
      <w:r w:rsidRPr="00894D33">
        <w:rPr>
          <w:rFonts w:ascii="Arial" w:hAnsi="Arial" w:cs="Arial"/>
        </w:rPr>
        <w:t xml:space="preserve">Tenge, B., </w:t>
      </w:r>
      <w:proofErr w:type="spellStart"/>
      <w:r w:rsidRPr="00894D33">
        <w:rPr>
          <w:rFonts w:ascii="Arial" w:hAnsi="Arial" w:cs="Arial"/>
        </w:rPr>
        <w:t>Muiru</w:t>
      </w:r>
      <w:proofErr w:type="spellEnd"/>
      <w:r w:rsidRPr="00894D33">
        <w:rPr>
          <w:rFonts w:ascii="Arial" w:hAnsi="Arial" w:cs="Arial"/>
        </w:rPr>
        <w:t xml:space="preserve">, W., </w:t>
      </w:r>
      <w:proofErr w:type="spellStart"/>
      <w:r w:rsidRPr="00894D33">
        <w:rPr>
          <w:rFonts w:ascii="Arial" w:hAnsi="Arial" w:cs="Arial"/>
        </w:rPr>
        <w:t>Linguya</w:t>
      </w:r>
      <w:proofErr w:type="spellEnd"/>
      <w:r w:rsidRPr="00894D33">
        <w:rPr>
          <w:rFonts w:ascii="Arial" w:hAnsi="Arial" w:cs="Arial"/>
        </w:rPr>
        <w:t xml:space="preserve">, S., Schwake- </w:t>
      </w:r>
      <w:proofErr w:type="spellStart"/>
      <w:r w:rsidRPr="00894D33">
        <w:rPr>
          <w:rFonts w:ascii="Arial" w:hAnsi="Arial" w:cs="Arial"/>
        </w:rPr>
        <w:t>Anduschus</w:t>
      </w:r>
      <w:proofErr w:type="spellEnd"/>
      <w:r w:rsidRPr="00894D33">
        <w:rPr>
          <w:rFonts w:ascii="Arial" w:hAnsi="Arial" w:cs="Arial"/>
        </w:rPr>
        <w:t>, C., Kimenju, J. W., &amp; Amata, R. L. (2024). Management of aflatoxins in maize during storage using plant products and diatomaceous earth. Cogent Food &amp; Agriculture, 10(1), 2423245. https://doi.org/10.1080/23311932.2024.2423245</w:t>
      </w:r>
    </w:p>
    <w:sectPr w:rsidR="00062EE2" w:rsidRPr="00894D33" w:rsidSect="007A595A">
      <w:pgSz w:w="12240" w:h="15840"/>
      <w:pgMar w:top="2016" w:right="2016" w:bottom="1440"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 sabah" w:date="2025-10-16T09:08:00Z" w:initials="as">
    <w:p w14:paraId="56D31CCC" w14:textId="1603480E" w:rsidR="0098081B" w:rsidRDefault="0098081B">
      <w:pPr>
        <w:pStyle w:val="CommentText"/>
      </w:pPr>
      <w:r>
        <w:rPr>
          <w:rStyle w:val="CommentReference"/>
        </w:rPr>
        <w:annotationRef/>
      </w:r>
      <w:r>
        <w:t>Change it to Corn (Zea maize)</w:t>
      </w:r>
    </w:p>
  </w:comment>
  <w:comment w:id="1" w:author="ali sabah" w:date="2025-10-16T09:09:00Z" w:initials="as">
    <w:p w14:paraId="16EFF251" w14:textId="117A59B3" w:rsidR="0098081B" w:rsidRDefault="0098081B">
      <w:pPr>
        <w:pStyle w:val="CommentText"/>
      </w:pPr>
      <w:r>
        <w:rPr>
          <w:rStyle w:val="CommentReference"/>
        </w:rPr>
        <w:annotationRef/>
      </w:r>
      <w:r>
        <w:t>Change it to be Corn (Zea maize)</w:t>
      </w:r>
    </w:p>
  </w:comment>
  <w:comment w:id="2" w:author="ali sabah" w:date="2025-10-16T09:10:00Z" w:initials="as">
    <w:p w14:paraId="1DCFD510" w14:textId="3E9D355B" w:rsidR="0098081B" w:rsidRDefault="0098081B">
      <w:pPr>
        <w:pStyle w:val="CommentText"/>
      </w:pPr>
      <w:r>
        <w:rPr>
          <w:rStyle w:val="CommentReference"/>
        </w:rPr>
        <w:annotationRef/>
      </w:r>
      <w:r>
        <w:t xml:space="preserve">Change it to be fertilizer </w:t>
      </w:r>
    </w:p>
  </w:comment>
  <w:comment w:id="3" w:author="ali sabah" w:date="2025-10-16T09:12:00Z" w:initials="as">
    <w:p w14:paraId="3014C77D" w14:textId="5694B079" w:rsidR="0098081B" w:rsidRDefault="0098081B">
      <w:pPr>
        <w:pStyle w:val="CommentText"/>
      </w:pPr>
      <w:r>
        <w:rPr>
          <w:rStyle w:val="CommentReference"/>
        </w:rPr>
        <w:annotationRef/>
      </w:r>
      <w:r>
        <w:t>You need to add S and Fe in the table 1</w:t>
      </w:r>
    </w:p>
  </w:comment>
  <w:comment w:id="4" w:author="ali sabah" w:date="2025-10-16T09:12:00Z" w:initials="as">
    <w:p w14:paraId="2142E940" w14:textId="573053E8" w:rsidR="0098081B" w:rsidRDefault="0098081B">
      <w:pPr>
        <w:pStyle w:val="CommentText"/>
      </w:pPr>
      <w:r>
        <w:rPr>
          <w:rStyle w:val="CommentReference"/>
        </w:rPr>
        <w:annotationRef/>
      </w:r>
      <w:r>
        <w:t xml:space="preserve">Please, add % total of Sulfer </w:t>
      </w:r>
    </w:p>
  </w:comment>
  <w:comment w:id="8" w:author="ali sabah" w:date="2025-10-16T09:15:00Z" w:initials="as">
    <w:p w14:paraId="740FCC29" w14:textId="18BF3125" w:rsidR="0098081B" w:rsidRDefault="0098081B">
      <w:pPr>
        <w:pStyle w:val="CommentText"/>
      </w:pPr>
      <w:r>
        <w:rPr>
          <w:rStyle w:val="CommentReference"/>
        </w:rPr>
        <w:annotationRef/>
      </w:r>
      <w:r>
        <w:t xml:space="preserve">Please, add the equation of regression in each chart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D31CCC" w15:done="0"/>
  <w15:commentEx w15:paraId="16EFF251" w15:done="0"/>
  <w15:commentEx w15:paraId="1DCFD510" w15:done="0"/>
  <w15:commentEx w15:paraId="3014C77D" w15:done="0"/>
  <w15:commentEx w15:paraId="2142E940" w15:done="0"/>
  <w15:commentEx w15:paraId="740FC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8692C" w16cex:dateUtc="2025-10-16T06:08:00Z"/>
  <w16cex:commentExtensible w16cex:durableId="3F928D05" w16cex:dateUtc="2025-10-16T06:09:00Z"/>
  <w16cex:commentExtensible w16cex:durableId="799457BA" w16cex:dateUtc="2025-10-16T06:10:00Z"/>
  <w16cex:commentExtensible w16cex:durableId="74D2FF6C" w16cex:dateUtc="2025-10-16T06:12:00Z"/>
  <w16cex:commentExtensible w16cex:durableId="5A1836CB" w16cex:dateUtc="2025-10-16T06:12:00Z"/>
  <w16cex:commentExtensible w16cex:durableId="4B810896" w16cex:dateUtc="2025-10-16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D31CCC" w16cid:durableId="2A98692C"/>
  <w16cid:commentId w16cid:paraId="16EFF251" w16cid:durableId="3F928D05"/>
  <w16cid:commentId w16cid:paraId="1DCFD510" w16cid:durableId="799457BA"/>
  <w16cid:commentId w16cid:paraId="3014C77D" w16cid:durableId="74D2FF6C"/>
  <w16cid:commentId w16cid:paraId="2142E940" w16cid:durableId="5A1836CB"/>
  <w16cid:commentId w16cid:paraId="740FCC29" w16cid:durableId="4B8108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1BD8" w14:textId="77777777" w:rsidR="00EC5AF9" w:rsidRDefault="00EC5AF9" w:rsidP="00C37E61">
      <w:r>
        <w:separator/>
      </w:r>
    </w:p>
  </w:endnote>
  <w:endnote w:type="continuationSeparator" w:id="0">
    <w:p w14:paraId="6A0C169B" w14:textId="77777777" w:rsidR="00EC5AF9" w:rsidRDefault="00EC5A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F868" w14:textId="77777777" w:rsidR="003D38A1" w:rsidRDefault="003D3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5A73" w14:textId="77777777" w:rsidR="003D38A1" w:rsidRDefault="003D3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3432" w14:textId="6A86AE9A" w:rsidR="00E04D9E" w:rsidRPr="003D38A1" w:rsidRDefault="00E04D9E" w:rsidP="003D38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797C" w14:textId="77777777" w:rsidR="00E04D9E" w:rsidRPr="00C37E61" w:rsidRDefault="00E04D9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391B" w14:textId="77777777" w:rsidR="00EC5AF9" w:rsidRDefault="00EC5AF9" w:rsidP="00C37E61">
      <w:r>
        <w:separator/>
      </w:r>
    </w:p>
  </w:footnote>
  <w:footnote w:type="continuationSeparator" w:id="0">
    <w:p w14:paraId="756B1E57" w14:textId="77777777" w:rsidR="00EC5AF9" w:rsidRDefault="00EC5A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2C42" w14:textId="42258A43" w:rsidR="003D38A1" w:rsidRDefault="00000000">
    <w:pPr>
      <w:pStyle w:val="Header"/>
    </w:pPr>
    <w:r>
      <w:rPr>
        <w:noProof/>
      </w:rPr>
      <w:pict w14:anchorId="54A11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3CED" w14:textId="2DD85753" w:rsidR="003D38A1" w:rsidRDefault="00000000">
    <w:pPr>
      <w:pStyle w:val="Header"/>
    </w:pPr>
    <w:r>
      <w:rPr>
        <w:noProof/>
      </w:rPr>
      <w:pict w14:anchorId="5626E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2798" w14:textId="4897BE22" w:rsidR="00E04D9E" w:rsidRPr="00296529" w:rsidRDefault="00000000" w:rsidP="00296529">
    <w:pPr>
      <w:ind w:left="2160"/>
      <w:jc w:val="center"/>
      <w:rPr>
        <w:rFonts w:ascii="Times New Roman" w:eastAsia="Calibri" w:hAnsi="Times New Roman"/>
        <w:i/>
        <w:sz w:val="18"/>
        <w:szCs w:val="22"/>
      </w:rPr>
    </w:pPr>
    <w:r>
      <w:rPr>
        <w:noProof/>
      </w:rPr>
      <w:pict w14:anchorId="15A3D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2BC17F" w14:textId="77777777" w:rsidR="00E04D9E" w:rsidRPr="00296529" w:rsidRDefault="00E04D9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AADF5B" w14:textId="77777777" w:rsidR="00E04D9E" w:rsidRPr="00296529" w:rsidRDefault="00E04D9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478511" w14:textId="77777777" w:rsidR="00E04D9E" w:rsidRPr="00296529" w:rsidRDefault="00E04D9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C8C34E" w14:textId="77777777" w:rsidR="00E04D9E" w:rsidRDefault="00E04D9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F950EA" w14:textId="77777777" w:rsidR="00E04D9E" w:rsidRDefault="00E04D9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0A20915" w14:textId="77777777" w:rsidR="00E04D9E" w:rsidRDefault="00E04D9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D72E" w14:textId="7586F436" w:rsidR="003D38A1" w:rsidRDefault="00000000">
    <w:pPr>
      <w:pStyle w:val="Header"/>
    </w:pPr>
    <w:r>
      <w:rPr>
        <w:noProof/>
      </w:rPr>
      <w:pict w14:anchorId="6013E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3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CC50" w14:textId="4FC598E0" w:rsidR="003D38A1" w:rsidRDefault="00000000">
    <w:pPr>
      <w:pStyle w:val="Header"/>
    </w:pPr>
    <w:r>
      <w:rPr>
        <w:noProof/>
      </w:rPr>
      <w:pict w14:anchorId="7A3B4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3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ED86" w14:textId="0794FFAE" w:rsidR="003D38A1" w:rsidRDefault="00000000">
    <w:pPr>
      <w:pStyle w:val="Header"/>
    </w:pPr>
    <w:r>
      <w:rPr>
        <w:noProof/>
      </w:rPr>
      <w:pict w14:anchorId="63B73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708349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1658629">
    <w:abstractNumId w:val="15"/>
  </w:num>
  <w:num w:numId="3" w16cid:durableId="1492720432">
    <w:abstractNumId w:val="23"/>
  </w:num>
  <w:num w:numId="4" w16cid:durableId="11729889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15676458">
    <w:abstractNumId w:val="7"/>
  </w:num>
  <w:num w:numId="6" w16cid:durableId="1331444236">
    <w:abstractNumId w:val="6"/>
  </w:num>
  <w:num w:numId="7" w16cid:durableId="1903253136">
    <w:abstractNumId w:val="1"/>
  </w:num>
  <w:num w:numId="8" w16cid:durableId="757140762">
    <w:abstractNumId w:val="12"/>
  </w:num>
  <w:num w:numId="9" w16cid:durableId="352150845">
    <w:abstractNumId w:val="25"/>
  </w:num>
  <w:num w:numId="10" w16cid:durableId="832374697">
    <w:abstractNumId w:val="2"/>
  </w:num>
  <w:num w:numId="11" w16cid:durableId="47000889">
    <w:abstractNumId w:val="18"/>
  </w:num>
  <w:num w:numId="12" w16cid:durableId="775515303">
    <w:abstractNumId w:val="3"/>
  </w:num>
  <w:num w:numId="13" w16cid:durableId="1808164881">
    <w:abstractNumId w:val="17"/>
  </w:num>
  <w:num w:numId="14" w16cid:durableId="1514034288">
    <w:abstractNumId w:val="8"/>
  </w:num>
  <w:num w:numId="15" w16cid:durableId="617030171">
    <w:abstractNumId w:val="21"/>
  </w:num>
  <w:num w:numId="16" w16cid:durableId="1197812963">
    <w:abstractNumId w:val="5"/>
  </w:num>
  <w:num w:numId="17" w16cid:durableId="1033186446">
    <w:abstractNumId w:val="22"/>
  </w:num>
  <w:num w:numId="18" w16cid:durableId="1351949112">
    <w:abstractNumId w:val="14"/>
  </w:num>
  <w:num w:numId="19" w16cid:durableId="998272902">
    <w:abstractNumId w:val="28"/>
  </w:num>
  <w:num w:numId="20" w16cid:durableId="795411354">
    <w:abstractNumId w:val="11"/>
  </w:num>
  <w:num w:numId="21" w16cid:durableId="619535374">
    <w:abstractNumId w:val="9"/>
  </w:num>
  <w:num w:numId="22" w16cid:durableId="1642685553">
    <w:abstractNumId w:val="13"/>
  </w:num>
  <w:num w:numId="23" w16cid:durableId="2005815807">
    <w:abstractNumId w:val="19"/>
  </w:num>
  <w:num w:numId="24" w16cid:durableId="1182161639">
    <w:abstractNumId w:val="26"/>
  </w:num>
  <w:num w:numId="25" w16cid:durableId="802388261">
    <w:abstractNumId w:val="4"/>
  </w:num>
  <w:num w:numId="26" w16cid:durableId="364908505">
    <w:abstractNumId w:val="16"/>
  </w:num>
  <w:num w:numId="27" w16cid:durableId="915020506">
    <w:abstractNumId w:val="20"/>
  </w:num>
  <w:num w:numId="28" w16cid:durableId="1573352612">
    <w:abstractNumId w:val="27"/>
  </w:num>
  <w:num w:numId="29" w16cid:durableId="770317559">
    <w:abstractNumId w:val="24"/>
  </w:num>
  <w:num w:numId="30" w16cid:durableId="3231574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sabah">
    <w15:presenceInfo w15:providerId="Windows Live" w15:userId="efd5fa30283af2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5DF"/>
    <w:rsid w:val="00030174"/>
    <w:rsid w:val="00030BBC"/>
    <w:rsid w:val="000323EA"/>
    <w:rsid w:val="0004579C"/>
    <w:rsid w:val="000523D2"/>
    <w:rsid w:val="00062EE2"/>
    <w:rsid w:val="00074E74"/>
    <w:rsid w:val="000A47FA"/>
    <w:rsid w:val="000A65D3"/>
    <w:rsid w:val="000B1E33"/>
    <w:rsid w:val="000D689F"/>
    <w:rsid w:val="000E7B7B"/>
    <w:rsid w:val="000E7D62"/>
    <w:rsid w:val="000F0FCB"/>
    <w:rsid w:val="00103357"/>
    <w:rsid w:val="00123C9F"/>
    <w:rsid w:val="00126190"/>
    <w:rsid w:val="00126728"/>
    <w:rsid w:val="00130F17"/>
    <w:rsid w:val="001320BF"/>
    <w:rsid w:val="00143793"/>
    <w:rsid w:val="00163BC4"/>
    <w:rsid w:val="00191062"/>
    <w:rsid w:val="00192B72"/>
    <w:rsid w:val="0019655A"/>
    <w:rsid w:val="001A29D8"/>
    <w:rsid w:val="001A5CAA"/>
    <w:rsid w:val="001B0427"/>
    <w:rsid w:val="001D3A51"/>
    <w:rsid w:val="001E10D2"/>
    <w:rsid w:val="001E25B4"/>
    <w:rsid w:val="001E4138"/>
    <w:rsid w:val="001E44FE"/>
    <w:rsid w:val="00200595"/>
    <w:rsid w:val="00204835"/>
    <w:rsid w:val="00206AF9"/>
    <w:rsid w:val="00221425"/>
    <w:rsid w:val="002235E9"/>
    <w:rsid w:val="00231920"/>
    <w:rsid w:val="0023195C"/>
    <w:rsid w:val="002410AD"/>
    <w:rsid w:val="0024282C"/>
    <w:rsid w:val="002460DC"/>
    <w:rsid w:val="00250985"/>
    <w:rsid w:val="002556F6"/>
    <w:rsid w:val="00274685"/>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77601"/>
    <w:rsid w:val="0039224F"/>
    <w:rsid w:val="003A43A4"/>
    <w:rsid w:val="003A7E18"/>
    <w:rsid w:val="003B7DBB"/>
    <w:rsid w:val="003C4C86"/>
    <w:rsid w:val="003C6258"/>
    <w:rsid w:val="003D38A1"/>
    <w:rsid w:val="003E2904"/>
    <w:rsid w:val="00401927"/>
    <w:rsid w:val="0041027F"/>
    <w:rsid w:val="00412475"/>
    <w:rsid w:val="004149D7"/>
    <w:rsid w:val="004160BB"/>
    <w:rsid w:val="00423789"/>
    <w:rsid w:val="004407A1"/>
    <w:rsid w:val="00440F43"/>
    <w:rsid w:val="00441B6F"/>
    <w:rsid w:val="00446221"/>
    <w:rsid w:val="00450E62"/>
    <w:rsid w:val="004539DB"/>
    <w:rsid w:val="00471A80"/>
    <w:rsid w:val="004951A4"/>
    <w:rsid w:val="004A24DD"/>
    <w:rsid w:val="004C2632"/>
    <w:rsid w:val="004D305E"/>
    <w:rsid w:val="004D4277"/>
    <w:rsid w:val="00502516"/>
    <w:rsid w:val="00505F06"/>
    <w:rsid w:val="00506828"/>
    <w:rsid w:val="0053056E"/>
    <w:rsid w:val="0053314E"/>
    <w:rsid w:val="00554FDA"/>
    <w:rsid w:val="00573B38"/>
    <w:rsid w:val="005B4BAA"/>
    <w:rsid w:val="005C784C"/>
    <w:rsid w:val="005D122A"/>
    <w:rsid w:val="005D17F6"/>
    <w:rsid w:val="005E5539"/>
    <w:rsid w:val="00602BF5"/>
    <w:rsid w:val="00611A99"/>
    <w:rsid w:val="00617FDD"/>
    <w:rsid w:val="00633614"/>
    <w:rsid w:val="00633F68"/>
    <w:rsid w:val="00636EB2"/>
    <w:rsid w:val="006375B8"/>
    <w:rsid w:val="006563DC"/>
    <w:rsid w:val="0066510A"/>
    <w:rsid w:val="00672251"/>
    <w:rsid w:val="00673F9F"/>
    <w:rsid w:val="0068085B"/>
    <w:rsid w:val="00686953"/>
    <w:rsid w:val="00687DEA"/>
    <w:rsid w:val="00687E67"/>
    <w:rsid w:val="006967F7"/>
    <w:rsid w:val="006A250C"/>
    <w:rsid w:val="006A789A"/>
    <w:rsid w:val="006B21D3"/>
    <w:rsid w:val="006B57D0"/>
    <w:rsid w:val="006C1428"/>
    <w:rsid w:val="006C7142"/>
    <w:rsid w:val="006D30FF"/>
    <w:rsid w:val="006D6940"/>
    <w:rsid w:val="006E00D8"/>
    <w:rsid w:val="006F11EC"/>
    <w:rsid w:val="0070082C"/>
    <w:rsid w:val="00734A71"/>
    <w:rsid w:val="007369E6"/>
    <w:rsid w:val="00746E59"/>
    <w:rsid w:val="00754C9A"/>
    <w:rsid w:val="0075599A"/>
    <w:rsid w:val="00761D52"/>
    <w:rsid w:val="007732E2"/>
    <w:rsid w:val="0077749E"/>
    <w:rsid w:val="0078031B"/>
    <w:rsid w:val="00790ADA"/>
    <w:rsid w:val="007A595A"/>
    <w:rsid w:val="007D2288"/>
    <w:rsid w:val="007E088F"/>
    <w:rsid w:val="007F75D9"/>
    <w:rsid w:val="007F7B32"/>
    <w:rsid w:val="007F7C91"/>
    <w:rsid w:val="00804BC2"/>
    <w:rsid w:val="0081431A"/>
    <w:rsid w:val="008160F0"/>
    <w:rsid w:val="0083216F"/>
    <w:rsid w:val="0084259E"/>
    <w:rsid w:val="00860000"/>
    <w:rsid w:val="00863BD3"/>
    <w:rsid w:val="008641ED"/>
    <w:rsid w:val="00866D66"/>
    <w:rsid w:val="008671C6"/>
    <w:rsid w:val="00875803"/>
    <w:rsid w:val="00894D33"/>
    <w:rsid w:val="00895811"/>
    <w:rsid w:val="008A4D8B"/>
    <w:rsid w:val="008B459E"/>
    <w:rsid w:val="008D5641"/>
    <w:rsid w:val="008E13AE"/>
    <w:rsid w:val="008E1506"/>
    <w:rsid w:val="008E25E1"/>
    <w:rsid w:val="008E710C"/>
    <w:rsid w:val="008F69D6"/>
    <w:rsid w:val="00902823"/>
    <w:rsid w:val="00915CA6"/>
    <w:rsid w:val="00927834"/>
    <w:rsid w:val="009410F7"/>
    <w:rsid w:val="00947A58"/>
    <w:rsid w:val="009500A6"/>
    <w:rsid w:val="00957C18"/>
    <w:rsid w:val="009659BA"/>
    <w:rsid w:val="0098081B"/>
    <w:rsid w:val="00983040"/>
    <w:rsid w:val="00997DA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7B7B"/>
    <w:rsid w:val="00A51431"/>
    <w:rsid w:val="00A539AD"/>
    <w:rsid w:val="00A603F0"/>
    <w:rsid w:val="00A90681"/>
    <w:rsid w:val="00A94063"/>
    <w:rsid w:val="00AA6219"/>
    <w:rsid w:val="00AA74E0"/>
    <w:rsid w:val="00AB703F"/>
    <w:rsid w:val="00AC6BB8"/>
    <w:rsid w:val="00AD57D1"/>
    <w:rsid w:val="00AE008F"/>
    <w:rsid w:val="00B01FCD"/>
    <w:rsid w:val="00B04539"/>
    <w:rsid w:val="00B04FA3"/>
    <w:rsid w:val="00B1776C"/>
    <w:rsid w:val="00B31B3D"/>
    <w:rsid w:val="00B52583"/>
    <w:rsid w:val="00B52896"/>
    <w:rsid w:val="00B92900"/>
    <w:rsid w:val="00B95236"/>
    <w:rsid w:val="00B96BD9"/>
    <w:rsid w:val="00BA1B01"/>
    <w:rsid w:val="00BA2641"/>
    <w:rsid w:val="00BB37AA"/>
    <w:rsid w:val="00BC53A0"/>
    <w:rsid w:val="00BE62AD"/>
    <w:rsid w:val="00BF121F"/>
    <w:rsid w:val="00BF1F80"/>
    <w:rsid w:val="00C166EF"/>
    <w:rsid w:val="00C17EB0"/>
    <w:rsid w:val="00C224F3"/>
    <w:rsid w:val="00C24521"/>
    <w:rsid w:val="00C27F5F"/>
    <w:rsid w:val="00C30A0F"/>
    <w:rsid w:val="00C37E61"/>
    <w:rsid w:val="00C70F1B"/>
    <w:rsid w:val="00C71A47"/>
    <w:rsid w:val="00C7464C"/>
    <w:rsid w:val="00C85588"/>
    <w:rsid w:val="00CD6755"/>
    <w:rsid w:val="00CD6856"/>
    <w:rsid w:val="00CE0089"/>
    <w:rsid w:val="00CE5160"/>
    <w:rsid w:val="00CE793C"/>
    <w:rsid w:val="00CF193C"/>
    <w:rsid w:val="00D026EB"/>
    <w:rsid w:val="00D173F1"/>
    <w:rsid w:val="00D529AE"/>
    <w:rsid w:val="00D669E4"/>
    <w:rsid w:val="00D74CB0"/>
    <w:rsid w:val="00D8295D"/>
    <w:rsid w:val="00D93793"/>
    <w:rsid w:val="00DC2A65"/>
    <w:rsid w:val="00DE15F0"/>
    <w:rsid w:val="00DE5663"/>
    <w:rsid w:val="00DE78AA"/>
    <w:rsid w:val="00DF07D0"/>
    <w:rsid w:val="00E02EED"/>
    <w:rsid w:val="00E04D9E"/>
    <w:rsid w:val="00E053D0"/>
    <w:rsid w:val="00E11C16"/>
    <w:rsid w:val="00E15994"/>
    <w:rsid w:val="00E20ABF"/>
    <w:rsid w:val="00E3114E"/>
    <w:rsid w:val="00E31A70"/>
    <w:rsid w:val="00E33373"/>
    <w:rsid w:val="00E3404B"/>
    <w:rsid w:val="00E35B02"/>
    <w:rsid w:val="00E36BFB"/>
    <w:rsid w:val="00E45854"/>
    <w:rsid w:val="00E66496"/>
    <w:rsid w:val="00E66B35"/>
    <w:rsid w:val="00E66E10"/>
    <w:rsid w:val="00E769F6"/>
    <w:rsid w:val="00E8407C"/>
    <w:rsid w:val="00E84F3C"/>
    <w:rsid w:val="00EA012C"/>
    <w:rsid w:val="00EA0791"/>
    <w:rsid w:val="00EC5AF9"/>
    <w:rsid w:val="00EC6A55"/>
    <w:rsid w:val="00ED0288"/>
    <w:rsid w:val="00EE0B43"/>
    <w:rsid w:val="00EE1A76"/>
    <w:rsid w:val="00EE52CB"/>
    <w:rsid w:val="00EF581D"/>
    <w:rsid w:val="00EF7FD8"/>
    <w:rsid w:val="00F06F59"/>
    <w:rsid w:val="00F142F5"/>
    <w:rsid w:val="00F17988"/>
    <w:rsid w:val="00F241C2"/>
    <w:rsid w:val="00F277D1"/>
    <w:rsid w:val="00F45F9D"/>
    <w:rsid w:val="00F469F0"/>
    <w:rsid w:val="00F53273"/>
    <w:rsid w:val="00F62B7A"/>
    <w:rsid w:val="00F66546"/>
    <w:rsid w:val="00F755E4"/>
    <w:rsid w:val="00F77D02"/>
    <w:rsid w:val="00F820C8"/>
    <w:rsid w:val="00F9723C"/>
    <w:rsid w:val="00FB3A86"/>
    <w:rsid w:val="00FC0EBD"/>
    <w:rsid w:val="00FD36C8"/>
    <w:rsid w:val="00FD5207"/>
    <w:rsid w:val="00FF14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D3A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il">
    <w:name w:val="il"/>
    <w:basedOn w:val="DefaultParagraphFont"/>
    <w:rsid w:val="008160F0"/>
  </w:style>
  <w:style w:type="character" w:customStyle="1" w:styleId="gi">
    <w:name w:val="gi"/>
    <w:basedOn w:val="DefaultParagraphFont"/>
    <w:rsid w:val="008160F0"/>
  </w:style>
  <w:style w:type="character" w:customStyle="1" w:styleId="gd">
    <w:name w:val="gd"/>
    <w:basedOn w:val="DefaultParagraphFont"/>
    <w:rsid w:val="008160F0"/>
  </w:style>
  <w:style w:type="table" w:customStyle="1" w:styleId="ListTable6Colorful1">
    <w:name w:val="List Table 6 Colorful1"/>
    <w:basedOn w:val="TableNormal"/>
    <w:uiPriority w:val="51"/>
    <w:rsid w:val="004951A4"/>
    <w:rPr>
      <w:rFonts w:asciiTheme="minorHAnsi" w:eastAsiaTheme="minorHAnsi" w:hAnsiTheme="minorHAnsi" w:cstheme="minorBidi"/>
      <w:color w:val="000000" w:themeColor="text1"/>
      <w:kern w:val="2"/>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F820C8"/>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qFormat/>
    <w:rsid w:val="004149D7"/>
    <w:rPr>
      <w:b/>
      <w:bCs/>
    </w:rPr>
  </w:style>
  <w:style w:type="paragraph" w:styleId="CommentSubject">
    <w:name w:val="annotation subject"/>
    <w:basedOn w:val="CommentText"/>
    <w:next w:val="CommentText"/>
    <w:link w:val="CommentSubjectChar"/>
    <w:semiHidden/>
    <w:unhideWhenUsed/>
    <w:rsid w:val="0098081B"/>
    <w:rPr>
      <w:rFonts w:ascii="Helvetica" w:hAnsi="Helvetica"/>
      <w:b/>
      <w:bCs/>
      <w:lang w:val="en-US" w:eastAsia="en-US"/>
    </w:rPr>
  </w:style>
  <w:style w:type="character" w:customStyle="1" w:styleId="CommentSubjectChar">
    <w:name w:val="Comment Subject Char"/>
    <w:basedOn w:val="CommentTextChar"/>
    <w:link w:val="CommentSubject"/>
    <w:semiHidden/>
    <w:rsid w:val="0098081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2.png"/><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25D1-2C5D-485B-9D28-BCB11B75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483</TotalTime>
  <Pages>16</Pages>
  <Words>5445</Words>
  <Characters>31040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ali sabah</cp:lastModifiedBy>
  <cp:revision>27</cp:revision>
  <cp:lastPrinted>1999-07-06T11:00:00Z</cp:lastPrinted>
  <dcterms:created xsi:type="dcterms:W3CDTF">2025-10-12T14:08:00Z</dcterms:created>
  <dcterms:modified xsi:type="dcterms:W3CDTF">2025-10-16T06:16:00Z</dcterms:modified>
</cp:coreProperties>
</file>