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864" w:rsidRPr="007923A1" w:rsidRDefault="003118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311864" w:rsidRPr="007923A1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311864" w:rsidRPr="007923A1" w:rsidRDefault="00311864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311864" w:rsidRPr="007923A1">
        <w:trPr>
          <w:trHeight w:val="290"/>
        </w:trPr>
        <w:tc>
          <w:tcPr>
            <w:tcW w:w="5167" w:type="dxa"/>
          </w:tcPr>
          <w:p w:rsidR="00311864" w:rsidRPr="007923A1" w:rsidRDefault="0005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23A1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64" w:rsidRPr="007923A1" w:rsidRDefault="000C3159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="00051443" w:rsidRPr="007923A1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Research and Reports in Gastroenterology</w:t>
              </w:r>
            </w:hyperlink>
          </w:p>
        </w:tc>
      </w:tr>
      <w:tr w:rsidR="00311864" w:rsidRPr="007923A1">
        <w:trPr>
          <w:trHeight w:val="290"/>
        </w:trPr>
        <w:tc>
          <w:tcPr>
            <w:tcW w:w="5167" w:type="dxa"/>
          </w:tcPr>
          <w:p w:rsidR="00311864" w:rsidRPr="007923A1" w:rsidRDefault="0005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23A1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64" w:rsidRPr="007923A1" w:rsidRDefault="0005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23A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Ms_AJRRGA_146029</w:t>
            </w:r>
          </w:p>
        </w:tc>
      </w:tr>
      <w:tr w:rsidR="00311864" w:rsidRPr="007923A1">
        <w:trPr>
          <w:trHeight w:val="650"/>
        </w:trPr>
        <w:tc>
          <w:tcPr>
            <w:tcW w:w="5167" w:type="dxa"/>
          </w:tcPr>
          <w:p w:rsidR="00311864" w:rsidRPr="007923A1" w:rsidRDefault="0005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23A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64" w:rsidRPr="007923A1" w:rsidRDefault="0005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23A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Predictive Factors of Biliary Cannulation Failure</w:t>
            </w:r>
          </w:p>
        </w:tc>
      </w:tr>
      <w:tr w:rsidR="00311864" w:rsidRPr="007923A1">
        <w:trPr>
          <w:trHeight w:val="332"/>
        </w:trPr>
        <w:tc>
          <w:tcPr>
            <w:tcW w:w="5167" w:type="dxa"/>
          </w:tcPr>
          <w:p w:rsidR="00311864" w:rsidRPr="007923A1" w:rsidRDefault="0005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23A1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864" w:rsidRPr="007923A1" w:rsidRDefault="0005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923A1">
              <w:rPr>
                <w:rFonts w:ascii="Arial" w:eastAsia="Arial" w:hAnsi="Arial" w:cs="Arial"/>
                <w:sz w:val="20"/>
                <w:szCs w:val="20"/>
              </w:rPr>
              <w:t>Original Research</w:t>
            </w:r>
          </w:p>
        </w:tc>
      </w:tr>
    </w:tbl>
    <w:p w:rsidR="00311864" w:rsidRPr="007923A1" w:rsidRDefault="0031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311864" w:rsidRPr="007923A1" w:rsidRDefault="0031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311864" w:rsidRPr="007923A1" w:rsidRDefault="00311864">
      <w:pPr>
        <w:rPr>
          <w:rFonts w:ascii="Arial" w:hAnsi="Arial" w:cs="Arial"/>
          <w:sz w:val="20"/>
          <w:szCs w:val="20"/>
        </w:rPr>
      </w:pPr>
      <w:bookmarkStart w:id="0" w:name="_heading=h.hv7r4uflm52x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311864" w:rsidRPr="007923A1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311864" w:rsidRPr="007923A1" w:rsidRDefault="00051443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7923A1">
              <w:rPr>
                <w:rFonts w:ascii="Arial" w:eastAsia="Times New Roman" w:hAnsi="Arial" w:cs="Arial"/>
                <w:highlight w:val="yellow"/>
              </w:rPr>
              <w:t>PART  1:</w:t>
            </w:r>
            <w:r w:rsidRPr="007923A1">
              <w:rPr>
                <w:rFonts w:ascii="Arial" w:eastAsia="Times New Roman" w:hAnsi="Arial" w:cs="Arial"/>
              </w:rPr>
              <w:t xml:space="preserve"> Comments</w:t>
            </w:r>
          </w:p>
          <w:p w:rsidR="00311864" w:rsidRPr="007923A1" w:rsidRDefault="00311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864" w:rsidRPr="007923A1">
        <w:tc>
          <w:tcPr>
            <w:tcW w:w="5351" w:type="dxa"/>
          </w:tcPr>
          <w:p w:rsidR="00311864" w:rsidRPr="007923A1" w:rsidRDefault="0031186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311864" w:rsidRPr="007923A1" w:rsidRDefault="00051443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7923A1">
              <w:rPr>
                <w:rFonts w:ascii="Arial" w:eastAsia="Times New Roman" w:hAnsi="Arial" w:cs="Arial"/>
              </w:rPr>
              <w:t>Reviewer’s comment</w:t>
            </w:r>
          </w:p>
          <w:p w:rsidR="00311864" w:rsidRPr="007923A1" w:rsidRDefault="00051443">
            <w:pPr>
              <w:rPr>
                <w:rFonts w:ascii="Arial" w:hAnsi="Arial" w:cs="Arial"/>
                <w:sz w:val="20"/>
                <w:szCs w:val="20"/>
              </w:rPr>
            </w:pPr>
            <w:r w:rsidRPr="007923A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311864" w:rsidRPr="007923A1" w:rsidRDefault="00311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311864" w:rsidRPr="007923A1" w:rsidRDefault="00051443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7923A1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7923A1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311864" w:rsidRPr="007923A1" w:rsidRDefault="0031186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11864" w:rsidRPr="007923A1">
        <w:trPr>
          <w:trHeight w:val="1264"/>
        </w:trPr>
        <w:tc>
          <w:tcPr>
            <w:tcW w:w="5351" w:type="dxa"/>
          </w:tcPr>
          <w:p w:rsidR="00311864" w:rsidRPr="007923A1" w:rsidRDefault="0005144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923A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311864" w:rsidRPr="007923A1" w:rsidRDefault="0031186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311864" w:rsidRPr="007923A1" w:rsidRDefault="0005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3A1">
              <w:rPr>
                <w:rFonts w:ascii="Arial" w:hAnsi="Arial" w:cs="Arial"/>
                <w:sz w:val="20"/>
                <w:szCs w:val="20"/>
              </w:rPr>
              <w:t xml:space="preserve">This article is a comprehensive study which sheds light on factors involved in biliary cannulation failure. This article if published will assist in weighing the chance of a successful outcome in biliary endoscopic procedures via ECRP. </w:t>
            </w:r>
          </w:p>
        </w:tc>
        <w:tc>
          <w:tcPr>
            <w:tcW w:w="6442" w:type="dxa"/>
          </w:tcPr>
          <w:p w:rsidR="00311864" w:rsidRPr="007923A1" w:rsidRDefault="0031186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11864" w:rsidRPr="007923A1">
        <w:trPr>
          <w:trHeight w:val="1262"/>
        </w:trPr>
        <w:tc>
          <w:tcPr>
            <w:tcW w:w="5351" w:type="dxa"/>
          </w:tcPr>
          <w:p w:rsidR="00311864" w:rsidRPr="007923A1" w:rsidRDefault="0005144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923A1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311864" w:rsidRPr="007923A1" w:rsidRDefault="0005144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923A1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311864" w:rsidRPr="007923A1" w:rsidRDefault="00311864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311864" w:rsidRPr="007923A1" w:rsidRDefault="0005144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923A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311864" w:rsidRPr="007923A1" w:rsidRDefault="0031186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11864" w:rsidRPr="007923A1">
        <w:trPr>
          <w:trHeight w:val="1262"/>
        </w:trPr>
        <w:tc>
          <w:tcPr>
            <w:tcW w:w="5351" w:type="dxa"/>
          </w:tcPr>
          <w:p w:rsidR="00311864" w:rsidRPr="007923A1" w:rsidRDefault="00051443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7923A1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311864" w:rsidRPr="007923A1" w:rsidRDefault="00311864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311864" w:rsidRPr="007923A1" w:rsidRDefault="0005144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923A1">
              <w:rPr>
                <w:rFonts w:ascii="Arial" w:hAnsi="Arial" w:cs="Arial"/>
                <w:sz w:val="20"/>
                <w:szCs w:val="20"/>
              </w:rPr>
              <w:t xml:space="preserve">Abstract provides sufficient information for readers to understand the purpose of the studies </w:t>
            </w:r>
          </w:p>
        </w:tc>
        <w:tc>
          <w:tcPr>
            <w:tcW w:w="6442" w:type="dxa"/>
          </w:tcPr>
          <w:p w:rsidR="00311864" w:rsidRPr="007923A1" w:rsidRDefault="0031186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11864" w:rsidRPr="007923A1">
        <w:trPr>
          <w:trHeight w:val="704"/>
        </w:trPr>
        <w:tc>
          <w:tcPr>
            <w:tcW w:w="5351" w:type="dxa"/>
          </w:tcPr>
          <w:p w:rsidR="00311864" w:rsidRPr="007923A1" w:rsidRDefault="0005144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7923A1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311864" w:rsidRPr="007923A1" w:rsidRDefault="0005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3A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311864" w:rsidRPr="007923A1" w:rsidRDefault="0031186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11864" w:rsidRPr="007923A1">
        <w:trPr>
          <w:trHeight w:val="703"/>
        </w:trPr>
        <w:tc>
          <w:tcPr>
            <w:tcW w:w="5351" w:type="dxa"/>
          </w:tcPr>
          <w:p w:rsidR="00311864" w:rsidRPr="007923A1" w:rsidRDefault="0005144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923A1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311864" w:rsidRPr="007923A1" w:rsidRDefault="00051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3A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</w:tcPr>
          <w:p w:rsidR="00311864" w:rsidRPr="007923A1" w:rsidRDefault="0031186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11864" w:rsidRPr="007923A1">
        <w:trPr>
          <w:trHeight w:val="386"/>
        </w:trPr>
        <w:tc>
          <w:tcPr>
            <w:tcW w:w="5351" w:type="dxa"/>
          </w:tcPr>
          <w:p w:rsidR="00311864" w:rsidRPr="007923A1" w:rsidRDefault="00051443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7923A1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311864" w:rsidRPr="007923A1" w:rsidRDefault="00311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311864" w:rsidRPr="007923A1" w:rsidRDefault="00051443">
            <w:pPr>
              <w:rPr>
                <w:rFonts w:ascii="Arial" w:hAnsi="Arial" w:cs="Arial"/>
                <w:sz w:val="20"/>
                <w:szCs w:val="20"/>
              </w:rPr>
            </w:pPr>
            <w:r w:rsidRPr="007923A1">
              <w:rPr>
                <w:rFonts w:ascii="Arial" w:hAnsi="Arial" w:cs="Arial"/>
                <w:sz w:val="20"/>
                <w:szCs w:val="20"/>
              </w:rPr>
              <w:t xml:space="preserve">The language could be polished </w:t>
            </w:r>
          </w:p>
        </w:tc>
        <w:tc>
          <w:tcPr>
            <w:tcW w:w="6442" w:type="dxa"/>
          </w:tcPr>
          <w:p w:rsidR="00311864" w:rsidRPr="007923A1" w:rsidRDefault="00311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864" w:rsidRPr="007923A1">
        <w:trPr>
          <w:trHeight w:val="1178"/>
        </w:trPr>
        <w:tc>
          <w:tcPr>
            <w:tcW w:w="5351" w:type="dxa"/>
          </w:tcPr>
          <w:p w:rsidR="00311864" w:rsidRPr="007923A1" w:rsidRDefault="0005144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7923A1">
              <w:rPr>
                <w:rFonts w:ascii="Arial" w:eastAsia="Times New Roman" w:hAnsi="Arial" w:cs="Arial"/>
                <w:u w:val="single"/>
              </w:rPr>
              <w:t>Optional/General</w:t>
            </w:r>
            <w:r w:rsidRPr="007923A1">
              <w:rPr>
                <w:rFonts w:ascii="Arial" w:eastAsia="Times New Roman" w:hAnsi="Arial" w:cs="Arial"/>
              </w:rPr>
              <w:t xml:space="preserve"> </w:t>
            </w:r>
            <w:r w:rsidRPr="007923A1">
              <w:rPr>
                <w:rFonts w:ascii="Arial" w:eastAsia="Times New Roman" w:hAnsi="Arial" w:cs="Arial"/>
                <w:b w:val="0"/>
              </w:rPr>
              <w:t>comments</w:t>
            </w:r>
          </w:p>
          <w:p w:rsidR="00311864" w:rsidRPr="007923A1" w:rsidRDefault="0031186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311864" w:rsidRPr="007923A1" w:rsidRDefault="0031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311864" w:rsidRPr="007923A1" w:rsidRDefault="00311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1864" w:rsidRPr="007923A1" w:rsidRDefault="0031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1864" w:rsidRPr="007923A1" w:rsidRDefault="0031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1864" w:rsidRPr="007923A1" w:rsidRDefault="0031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1864" w:rsidRPr="007923A1" w:rsidRDefault="0031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1864" w:rsidRPr="007923A1" w:rsidRDefault="0031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1864" w:rsidRPr="007923A1" w:rsidRDefault="0031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1864" w:rsidRPr="007923A1" w:rsidRDefault="0031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1864" w:rsidRPr="007923A1" w:rsidRDefault="0031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1864" w:rsidRPr="007923A1" w:rsidRDefault="0031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1864" w:rsidRPr="007923A1" w:rsidRDefault="0031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1864" w:rsidRPr="007923A1" w:rsidRDefault="0031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1864" w:rsidRPr="007923A1" w:rsidRDefault="0031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311864" w:rsidRPr="007923A1" w:rsidRDefault="0031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7923A1" w:rsidRPr="007923A1" w:rsidRDefault="007923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FB76A4" w:rsidRPr="007923A1" w:rsidTr="00FB76A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6A4" w:rsidRPr="007923A1" w:rsidRDefault="00FB76A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 w:rsidRPr="007923A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7923A1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FB76A4" w:rsidRPr="007923A1" w:rsidRDefault="00FB76A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B76A4" w:rsidRPr="007923A1" w:rsidTr="00FB76A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6A4" w:rsidRPr="007923A1" w:rsidRDefault="00FB76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6A4" w:rsidRPr="007923A1" w:rsidRDefault="00FB76A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7923A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A4" w:rsidRPr="007923A1" w:rsidRDefault="00FB76A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923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923A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B76A4" w:rsidRPr="007923A1" w:rsidRDefault="00FB76A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FB76A4" w:rsidRPr="007923A1" w:rsidTr="00FB76A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6A4" w:rsidRPr="007923A1" w:rsidRDefault="00FB76A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923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FB76A4" w:rsidRPr="007923A1" w:rsidRDefault="00FB76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6A4" w:rsidRPr="007923A1" w:rsidRDefault="00FB76A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7923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7923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7923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FB76A4" w:rsidRPr="007923A1" w:rsidRDefault="00FB76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FB76A4" w:rsidRPr="007923A1" w:rsidRDefault="00FB76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6A4" w:rsidRPr="007923A1" w:rsidRDefault="00FB76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FB76A4" w:rsidRPr="007923A1" w:rsidRDefault="00FB76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FB76A4" w:rsidRPr="007923A1" w:rsidRDefault="00FB76A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:rsidR="00FB76A4" w:rsidRPr="007923A1" w:rsidRDefault="00FB76A4" w:rsidP="00FB76A4">
      <w:pPr>
        <w:rPr>
          <w:rFonts w:ascii="Arial" w:hAnsi="Arial" w:cs="Arial"/>
          <w:sz w:val="20"/>
          <w:szCs w:val="20"/>
          <w:lang w:val="en-US"/>
        </w:rPr>
      </w:pPr>
    </w:p>
    <w:p w:rsidR="00FB76A4" w:rsidRPr="007923A1" w:rsidRDefault="00FB76A4" w:rsidP="00FB76A4">
      <w:pPr>
        <w:rPr>
          <w:rFonts w:ascii="Arial" w:hAnsi="Arial" w:cs="Arial"/>
          <w:sz w:val="20"/>
          <w:szCs w:val="20"/>
        </w:rPr>
      </w:pPr>
    </w:p>
    <w:p w:rsidR="007923A1" w:rsidRPr="007923A1" w:rsidRDefault="007923A1" w:rsidP="007923A1">
      <w:pPr>
        <w:rPr>
          <w:rFonts w:ascii="Arial" w:hAnsi="Arial" w:cs="Arial"/>
          <w:b/>
          <w:sz w:val="20"/>
          <w:szCs w:val="20"/>
          <w:u w:val="single"/>
          <w:lang w:val="en-US" w:eastAsia="en-US"/>
        </w:rPr>
      </w:pPr>
      <w:r w:rsidRPr="007923A1">
        <w:rPr>
          <w:rFonts w:ascii="Arial" w:hAnsi="Arial" w:cs="Arial"/>
          <w:b/>
          <w:sz w:val="20"/>
          <w:szCs w:val="20"/>
          <w:u w:val="single"/>
          <w:lang w:val="en-US" w:eastAsia="en-US"/>
        </w:rPr>
        <w:t>Reviewer details:</w:t>
      </w:r>
    </w:p>
    <w:p w:rsidR="00FB76A4" w:rsidRPr="007923A1" w:rsidRDefault="00FB76A4" w:rsidP="00FB76A4">
      <w:pPr>
        <w:rPr>
          <w:rFonts w:ascii="Arial" w:hAnsi="Arial" w:cs="Arial"/>
          <w:bCs/>
          <w:sz w:val="20"/>
          <w:szCs w:val="20"/>
          <w:u w:val="single"/>
        </w:rPr>
      </w:pPr>
    </w:p>
    <w:p w:rsidR="007923A1" w:rsidRPr="007923A1" w:rsidRDefault="007923A1" w:rsidP="007923A1">
      <w:pPr>
        <w:rPr>
          <w:rFonts w:ascii="Arial" w:hAnsi="Arial" w:cs="Arial"/>
          <w:b/>
          <w:bCs/>
          <w:sz w:val="20"/>
          <w:szCs w:val="20"/>
        </w:rPr>
      </w:pPr>
      <w:bookmarkStart w:id="3" w:name="_Hlk211513710"/>
      <w:bookmarkStart w:id="4" w:name="_GoBack"/>
      <w:r w:rsidRPr="007923A1">
        <w:rPr>
          <w:rFonts w:ascii="Arial" w:hAnsi="Arial" w:cs="Arial"/>
          <w:b/>
          <w:bCs/>
          <w:sz w:val="20"/>
          <w:szCs w:val="20"/>
        </w:rPr>
        <w:t>Jeet Patel</w:t>
      </w:r>
      <w:r w:rsidRPr="007923A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7923A1">
        <w:rPr>
          <w:rFonts w:ascii="Arial" w:hAnsi="Arial" w:cs="Arial"/>
          <w:b/>
          <w:bCs/>
          <w:sz w:val="20"/>
          <w:szCs w:val="20"/>
        </w:rPr>
        <w:t>Canada</w:t>
      </w:r>
    </w:p>
    <w:bookmarkEnd w:id="2"/>
    <w:bookmarkEnd w:id="3"/>
    <w:bookmarkEnd w:id="4"/>
    <w:p w:rsidR="00FB76A4" w:rsidRPr="007923A1" w:rsidRDefault="00FB76A4" w:rsidP="00FB76A4">
      <w:pPr>
        <w:rPr>
          <w:rFonts w:ascii="Arial" w:hAnsi="Arial" w:cs="Arial"/>
          <w:sz w:val="20"/>
          <w:szCs w:val="20"/>
          <w:lang w:val="en-US"/>
        </w:rPr>
      </w:pPr>
    </w:p>
    <w:p w:rsidR="00311864" w:rsidRPr="007923A1" w:rsidRDefault="0031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311864" w:rsidRPr="007923A1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159" w:rsidRDefault="000C3159">
      <w:r>
        <w:separator/>
      </w:r>
    </w:p>
  </w:endnote>
  <w:endnote w:type="continuationSeparator" w:id="0">
    <w:p w:rsidR="000C3159" w:rsidRDefault="000C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864" w:rsidRDefault="00051443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159" w:rsidRDefault="000C3159">
      <w:r>
        <w:separator/>
      </w:r>
    </w:p>
  </w:footnote>
  <w:footnote w:type="continuationSeparator" w:id="0">
    <w:p w:rsidR="000C3159" w:rsidRDefault="000C3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864" w:rsidRDefault="00311864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311864" w:rsidRDefault="00051443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64"/>
    <w:rsid w:val="00051443"/>
    <w:rsid w:val="000C3159"/>
    <w:rsid w:val="00311864"/>
    <w:rsid w:val="00670A63"/>
    <w:rsid w:val="007923A1"/>
    <w:rsid w:val="008469BC"/>
    <w:rsid w:val="00A274F7"/>
    <w:rsid w:val="00BB3AE4"/>
    <w:rsid w:val="00F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8815"/>
  <w15:docId w15:val="{171D72DE-139B-4AE0-AD33-9B83794A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Helvetica" w:eastAsia="MS Mincho" w:hAnsi="Helvetica" w:cs="Helvetica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lang w:val="en-US" w:eastAsia="en-US"/>
    </w:rPr>
  </w:style>
  <w:style w:type="paragraph" w:styleId="BodyText">
    <w:name w:val="Body Text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Helvetica" w:eastAsia="MS Mincho" w:hAnsi="Helvetica" w:cs="Helvetica"/>
      <w:position w:val="-1"/>
      <w:lang w:val="fr-FR" w:eastAsia="en-US"/>
    </w:rPr>
  </w:style>
  <w:style w:type="character" w:customStyle="1" w:styleId="BodyTextChar">
    <w:name w:val="Body Text Char"/>
    <w:rPr>
      <w:rFonts w:ascii="Helvetica" w:eastAsia="MS Mincho" w:hAnsi="Helvetica" w:cs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4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rga.com/index.php/AJRRG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hF8FIurTZ3YProkxtjRcGgTyLg==">CgMxLjAyDmguaHY3cjR1ZmxtNTJ4Mg5oLnd2ZnFmM2syd21jbTgAciExMU5UVmxEV3V0Tnk4VzAzWUFYTUdJbHdnQ2lHdFhTMi0=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2011-08-01T09:21:00Z</dcterms:created>
  <dcterms:modified xsi:type="dcterms:W3CDTF">2025-10-16T07:58:00Z</dcterms:modified>
</cp:coreProperties>
</file>