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24B31" w:rsidTr="002643B3">
        <w:trPr>
          <w:trHeight w:val="290"/>
        </w:trPr>
        <w:tc>
          <w:tcPr>
            <w:tcW w:w="5000" w:type="pct"/>
            <w:gridSpan w:val="2"/>
            <w:tcBorders>
              <w:top w:val="nil"/>
              <w:left w:val="nil"/>
              <w:right w:val="nil"/>
            </w:tcBorders>
          </w:tcPr>
          <w:p w:rsidR="00602F7D" w:rsidRPr="00424B31" w:rsidRDefault="00602F7D" w:rsidP="00F2643C">
            <w:pPr>
              <w:pStyle w:val="Heading2"/>
              <w:jc w:val="left"/>
              <w:rPr>
                <w:rFonts w:ascii="Arial" w:hAnsi="Arial" w:cs="Arial"/>
                <w:b w:val="0"/>
                <w:bCs w:val="0"/>
                <w:lang w:val="en-GB"/>
              </w:rPr>
            </w:pPr>
          </w:p>
        </w:tc>
      </w:tr>
      <w:tr w:rsidR="0000007A" w:rsidRPr="00424B31" w:rsidTr="002643B3">
        <w:trPr>
          <w:trHeight w:val="290"/>
        </w:trPr>
        <w:tc>
          <w:tcPr>
            <w:tcW w:w="1234" w:type="pct"/>
          </w:tcPr>
          <w:p w:rsidR="0000007A" w:rsidRPr="00424B31" w:rsidRDefault="0000007A" w:rsidP="00696CAD">
            <w:pPr>
              <w:pStyle w:val="BodyText"/>
              <w:ind w:left="90"/>
              <w:jc w:val="left"/>
              <w:rPr>
                <w:rFonts w:ascii="Arial" w:hAnsi="Arial" w:cs="Arial"/>
                <w:bCs/>
                <w:sz w:val="20"/>
                <w:szCs w:val="20"/>
                <w:lang w:val="en-GB"/>
              </w:rPr>
            </w:pPr>
            <w:r w:rsidRPr="00424B3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424B31" w:rsidRDefault="007B18ED" w:rsidP="00E65EB7">
            <w:pPr>
              <w:rPr>
                <w:rFonts w:ascii="Arial" w:hAnsi="Arial" w:cs="Arial"/>
                <w:b/>
                <w:bCs/>
                <w:color w:val="0000FF"/>
                <w:sz w:val="20"/>
                <w:szCs w:val="20"/>
              </w:rPr>
            </w:pPr>
            <w:hyperlink r:id="rId8" w:history="1">
              <w:r w:rsidR="00077148" w:rsidRPr="00424B31">
                <w:rPr>
                  <w:rStyle w:val="Hyperlink"/>
                  <w:rFonts w:ascii="Arial" w:hAnsi="Arial" w:cs="Arial"/>
                  <w:b/>
                  <w:bCs/>
                  <w:sz w:val="20"/>
                  <w:szCs w:val="20"/>
                </w:rPr>
                <w:t>Asian Journal of Probability and Statistics</w:t>
              </w:r>
            </w:hyperlink>
            <w:r w:rsidR="00077148" w:rsidRPr="00424B31">
              <w:rPr>
                <w:rFonts w:ascii="Arial" w:hAnsi="Arial" w:cs="Arial"/>
                <w:b/>
                <w:bCs/>
                <w:color w:val="0000FF"/>
                <w:sz w:val="20"/>
                <w:szCs w:val="20"/>
              </w:rPr>
              <w:t xml:space="preserve"> </w:t>
            </w:r>
          </w:p>
        </w:tc>
      </w:tr>
      <w:tr w:rsidR="0000007A" w:rsidRPr="00424B31" w:rsidTr="002643B3">
        <w:trPr>
          <w:trHeight w:val="290"/>
        </w:trPr>
        <w:tc>
          <w:tcPr>
            <w:tcW w:w="1234" w:type="pct"/>
          </w:tcPr>
          <w:p w:rsidR="0000007A" w:rsidRPr="00424B31" w:rsidRDefault="0000007A" w:rsidP="00696CAD">
            <w:pPr>
              <w:pStyle w:val="BodyText"/>
              <w:ind w:left="90"/>
              <w:jc w:val="left"/>
              <w:rPr>
                <w:rFonts w:ascii="Arial" w:hAnsi="Arial" w:cs="Arial"/>
                <w:bCs/>
                <w:sz w:val="20"/>
                <w:szCs w:val="20"/>
                <w:lang w:val="en-GB"/>
              </w:rPr>
            </w:pPr>
            <w:r w:rsidRPr="00424B3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424B31" w:rsidRDefault="00804E6F" w:rsidP="00F3669D">
            <w:pPr>
              <w:pStyle w:val="NormalWeb"/>
              <w:spacing w:before="0" w:beforeAutospacing="0" w:after="0" w:afterAutospacing="0"/>
              <w:rPr>
                <w:rFonts w:ascii="Arial" w:hAnsi="Arial" w:cs="Arial"/>
                <w:b/>
                <w:bCs/>
                <w:sz w:val="20"/>
                <w:szCs w:val="20"/>
                <w:lang w:val="en-GB"/>
              </w:rPr>
            </w:pPr>
            <w:r w:rsidRPr="00424B31">
              <w:rPr>
                <w:rFonts w:ascii="Arial" w:hAnsi="Arial" w:cs="Arial"/>
                <w:b/>
                <w:bCs/>
                <w:sz w:val="20"/>
                <w:szCs w:val="20"/>
                <w:lang w:val="en-GB"/>
              </w:rPr>
              <w:t>Ms_AJPAS_145579</w:t>
            </w:r>
          </w:p>
        </w:tc>
      </w:tr>
      <w:tr w:rsidR="0000007A" w:rsidRPr="00424B31" w:rsidTr="002643B3">
        <w:trPr>
          <w:trHeight w:val="650"/>
        </w:trPr>
        <w:tc>
          <w:tcPr>
            <w:tcW w:w="1234" w:type="pct"/>
          </w:tcPr>
          <w:p w:rsidR="0000007A" w:rsidRPr="00424B31" w:rsidRDefault="0000007A" w:rsidP="00696CAD">
            <w:pPr>
              <w:pStyle w:val="BodyText"/>
              <w:ind w:left="90"/>
              <w:jc w:val="left"/>
              <w:rPr>
                <w:rFonts w:ascii="Arial" w:hAnsi="Arial" w:cs="Arial"/>
                <w:bCs/>
                <w:sz w:val="20"/>
                <w:szCs w:val="20"/>
                <w:lang w:val="en-GB"/>
              </w:rPr>
            </w:pPr>
            <w:r w:rsidRPr="00424B3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424B31" w:rsidRDefault="000961B6" w:rsidP="000450FC">
            <w:pPr>
              <w:pStyle w:val="NormalWeb"/>
              <w:spacing w:before="0" w:beforeAutospacing="0" w:after="0" w:afterAutospacing="0"/>
              <w:rPr>
                <w:rFonts w:ascii="Arial" w:hAnsi="Arial" w:cs="Arial"/>
                <w:b/>
                <w:sz w:val="20"/>
                <w:szCs w:val="20"/>
                <w:lang w:val="en-GB"/>
              </w:rPr>
            </w:pPr>
            <w:r w:rsidRPr="00424B31">
              <w:rPr>
                <w:rFonts w:ascii="Arial" w:hAnsi="Arial" w:cs="Arial"/>
                <w:b/>
                <w:sz w:val="20"/>
                <w:szCs w:val="20"/>
                <w:lang w:val="en-GB"/>
              </w:rPr>
              <w:t>Volatility and Risk Analysis of Sectoral NIFTY Index: An Empirical Analysis of Geometric Brownian Motion and Monte Carlo Simulation</w:t>
            </w:r>
          </w:p>
        </w:tc>
      </w:tr>
      <w:tr w:rsidR="00CF0BBB" w:rsidRPr="00424B31" w:rsidTr="002643B3">
        <w:trPr>
          <w:trHeight w:val="332"/>
        </w:trPr>
        <w:tc>
          <w:tcPr>
            <w:tcW w:w="1234" w:type="pct"/>
          </w:tcPr>
          <w:p w:rsidR="00CF0BBB" w:rsidRPr="00424B31" w:rsidRDefault="00CF0BBB" w:rsidP="00696CAD">
            <w:pPr>
              <w:pStyle w:val="BodyText"/>
              <w:ind w:left="90"/>
              <w:jc w:val="left"/>
              <w:rPr>
                <w:rFonts w:ascii="Arial" w:hAnsi="Arial" w:cs="Arial"/>
                <w:bCs/>
                <w:sz w:val="20"/>
                <w:szCs w:val="20"/>
                <w:lang w:val="en-GB"/>
              </w:rPr>
            </w:pPr>
            <w:r w:rsidRPr="00424B3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424B31" w:rsidRDefault="0066167A" w:rsidP="000450FC">
            <w:pPr>
              <w:pStyle w:val="NormalWeb"/>
              <w:spacing w:before="0" w:beforeAutospacing="0" w:after="0" w:afterAutospacing="0"/>
              <w:rPr>
                <w:rFonts w:ascii="Arial" w:hAnsi="Arial" w:cs="Arial"/>
                <w:b/>
                <w:sz w:val="20"/>
                <w:szCs w:val="20"/>
                <w:lang w:val="en-GB"/>
              </w:rPr>
            </w:pPr>
            <w:r w:rsidRPr="00424B31">
              <w:rPr>
                <w:rFonts w:ascii="Arial" w:hAnsi="Arial" w:cs="Arial"/>
                <w:b/>
                <w:sz w:val="20"/>
                <w:szCs w:val="20"/>
                <w:lang w:val="en-GB"/>
              </w:rPr>
              <w:t>Research Paper</w:t>
            </w:r>
          </w:p>
        </w:tc>
      </w:tr>
    </w:tbl>
    <w:p w:rsidR="00037D52" w:rsidRPr="00424B31" w:rsidRDefault="00037D52" w:rsidP="0000007A">
      <w:pPr>
        <w:pStyle w:val="BodyText"/>
        <w:rPr>
          <w:rFonts w:ascii="Arial" w:hAnsi="Arial" w:cs="Arial"/>
          <w:b/>
          <w:bCs/>
          <w:sz w:val="20"/>
          <w:szCs w:val="20"/>
          <w:u w:val="single"/>
          <w:lang w:val="en-GB"/>
        </w:rPr>
      </w:pPr>
    </w:p>
    <w:p w:rsidR="00D9392F" w:rsidRPr="00424B31" w:rsidRDefault="00D9392F" w:rsidP="0000007A">
      <w:pPr>
        <w:pStyle w:val="BodyText"/>
        <w:rPr>
          <w:rFonts w:ascii="Arial" w:hAnsi="Arial" w:cs="Arial"/>
          <w:i/>
          <w:sz w:val="20"/>
          <w:szCs w:val="20"/>
          <w:u w:val="single"/>
          <w:lang w:val="en-GB"/>
        </w:rPr>
      </w:pPr>
    </w:p>
    <w:p w:rsidR="00BE5C96" w:rsidRPr="00424B31" w:rsidRDefault="00BE5C96" w:rsidP="00BE5C9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E5C96" w:rsidRPr="00424B31">
        <w:tc>
          <w:tcPr>
            <w:tcW w:w="5000" w:type="pct"/>
            <w:gridSpan w:val="3"/>
            <w:tcBorders>
              <w:top w:val="nil"/>
              <w:left w:val="nil"/>
              <w:right w:val="nil"/>
            </w:tcBorders>
            <w:noWrap/>
          </w:tcPr>
          <w:p w:rsidR="00BE5C96" w:rsidRPr="00424B31" w:rsidRDefault="00BE5C96">
            <w:pPr>
              <w:pStyle w:val="Heading2"/>
              <w:jc w:val="left"/>
              <w:rPr>
                <w:rFonts w:ascii="Arial" w:hAnsi="Arial" w:cs="Arial"/>
                <w:lang w:val="en-GB"/>
              </w:rPr>
            </w:pPr>
            <w:r w:rsidRPr="00424B31">
              <w:rPr>
                <w:rFonts w:ascii="Arial" w:hAnsi="Arial" w:cs="Arial"/>
                <w:highlight w:val="yellow"/>
                <w:lang w:val="en-GB"/>
              </w:rPr>
              <w:t>PART  1:</w:t>
            </w:r>
            <w:r w:rsidRPr="00424B31">
              <w:rPr>
                <w:rFonts w:ascii="Arial" w:hAnsi="Arial" w:cs="Arial"/>
                <w:lang w:val="en-GB"/>
              </w:rPr>
              <w:t xml:space="preserve"> Comments</w:t>
            </w:r>
          </w:p>
          <w:p w:rsidR="00BE5C96" w:rsidRPr="00424B31" w:rsidRDefault="00BE5C96">
            <w:pPr>
              <w:rPr>
                <w:rFonts w:ascii="Arial" w:hAnsi="Arial" w:cs="Arial"/>
                <w:sz w:val="20"/>
                <w:szCs w:val="20"/>
                <w:lang w:val="en-GB"/>
              </w:rPr>
            </w:pPr>
          </w:p>
        </w:tc>
      </w:tr>
      <w:tr w:rsidR="00BE5C96" w:rsidRPr="00424B31">
        <w:tc>
          <w:tcPr>
            <w:tcW w:w="1265" w:type="pct"/>
            <w:noWrap/>
          </w:tcPr>
          <w:p w:rsidR="00BE5C96" w:rsidRPr="00424B31" w:rsidRDefault="00BE5C96">
            <w:pPr>
              <w:pStyle w:val="Heading2"/>
              <w:jc w:val="left"/>
              <w:rPr>
                <w:rFonts w:ascii="Arial" w:hAnsi="Arial" w:cs="Arial"/>
                <w:lang w:val="en-GB"/>
              </w:rPr>
            </w:pPr>
          </w:p>
        </w:tc>
        <w:tc>
          <w:tcPr>
            <w:tcW w:w="2212" w:type="pct"/>
          </w:tcPr>
          <w:p w:rsidR="00BE5C96" w:rsidRPr="00424B31" w:rsidRDefault="00BE5C96">
            <w:pPr>
              <w:pStyle w:val="Heading2"/>
              <w:jc w:val="left"/>
              <w:rPr>
                <w:rFonts w:ascii="Arial" w:hAnsi="Arial" w:cs="Arial"/>
                <w:lang w:val="en-GB"/>
              </w:rPr>
            </w:pPr>
            <w:r w:rsidRPr="00424B31">
              <w:rPr>
                <w:rFonts w:ascii="Arial" w:hAnsi="Arial" w:cs="Arial"/>
                <w:lang w:val="en-GB"/>
              </w:rPr>
              <w:t>Reviewer’s comment</w:t>
            </w:r>
          </w:p>
          <w:p w:rsidR="00E17F26" w:rsidRPr="00424B31" w:rsidRDefault="00E17F26" w:rsidP="00E17F26">
            <w:pPr>
              <w:rPr>
                <w:rFonts w:ascii="Arial" w:hAnsi="Arial" w:cs="Arial"/>
                <w:b/>
                <w:bCs/>
                <w:sz w:val="20"/>
                <w:szCs w:val="20"/>
              </w:rPr>
            </w:pPr>
            <w:r w:rsidRPr="00424B31">
              <w:rPr>
                <w:rFonts w:ascii="Arial" w:hAnsi="Arial" w:cs="Arial"/>
                <w:b/>
                <w:bCs/>
                <w:sz w:val="20"/>
                <w:szCs w:val="20"/>
                <w:highlight w:val="yellow"/>
              </w:rPr>
              <w:t>Artificial Intelligence (AI) generated or assisted review comments are strictly prohibited during peer review.</w:t>
            </w:r>
          </w:p>
          <w:p w:rsidR="00E17F26" w:rsidRPr="00424B31" w:rsidRDefault="00E17F26" w:rsidP="00E17F26">
            <w:pPr>
              <w:rPr>
                <w:rFonts w:ascii="Arial" w:hAnsi="Arial" w:cs="Arial"/>
                <w:sz w:val="20"/>
                <w:szCs w:val="20"/>
                <w:lang w:val="en-GB"/>
              </w:rPr>
            </w:pPr>
          </w:p>
        </w:tc>
        <w:tc>
          <w:tcPr>
            <w:tcW w:w="1523" w:type="pct"/>
          </w:tcPr>
          <w:p w:rsidR="00F66FC9" w:rsidRPr="00424B31" w:rsidRDefault="00F66FC9" w:rsidP="00F66FC9">
            <w:pPr>
              <w:spacing w:after="160" w:line="254" w:lineRule="auto"/>
              <w:rPr>
                <w:rFonts w:ascii="Arial" w:eastAsia="Calibri" w:hAnsi="Arial" w:cs="Arial"/>
                <w:kern w:val="2"/>
                <w:sz w:val="20"/>
                <w:szCs w:val="20"/>
                <w:lang w:val="en-IN"/>
              </w:rPr>
            </w:pPr>
            <w:r w:rsidRPr="00424B31">
              <w:rPr>
                <w:rFonts w:ascii="Arial" w:eastAsia="Calibri" w:hAnsi="Arial" w:cs="Arial"/>
                <w:b/>
                <w:kern w:val="2"/>
                <w:sz w:val="20"/>
                <w:szCs w:val="20"/>
                <w:lang w:val="en-IN"/>
              </w:rPr>
              <w:t>Author’s Feedback</w:t>
            </w:r>
            <w:r w:rsidRPr="00424B31">
              <w:rPr>
                <w:rFonts w:ascii="Arial" w:eastAsia="Calibri" w:hAnsi="Arial" w:cs="Arial"/>
                <w:kern w:val="2"/>
                <w:sz w:val="20"/>
                <w:szCs w:val="20"/>
                <w:lang w:val="en-IN"/>
              </w:rPr>
              <w:t xml:space="preserve"> (It is mandatory that authors should write his/her feedback here)</w:t>
            </w:r>
          </w:p>
          <w:p w:rsidR="00BE5C96" w:rsidRPr="00424B31" w:rsidRDefault="00BE5C96">
            <w:pPr>
              <w:pStyle w:val="Heading2"/>
              <w:jc w:val="left"/>
              <w:rPr>
                <w:rFonts w:ascii="Arial" w:hAnsi="Arial" w:cs="Arial"/>
                <w:b w:val="0"/>
                <w:lang w:val="en-GB"/>
              </w:rPr>
            </w:pPr>
          </w:p>
        </w:tc>
      </w:tr>
      <w:tr w:rsidR="00BE5C96" w:rsidRPr="00424B31">
        <w:trPr>
          <w:trHeight w:val="1264"/>
        </w:trPr>
        <w:tc>
          <w:tcPr>
            <w:tcW w:w="1265" w:type="pct"/>
            <w:noWrap/>
          </w:tcPr>
          <w:p w:rsidR="00BE5C96" w:rsidRPr="00424B31" w:rsidRDefault="00BE5C96">
            <w:pPr>
              <w:ind w:left="360"/>
              <w:rPr>
                <w:rFonts w:ascii="Arial" w:hAnsi="Arial" w:cs="Arial"/>
                <w:b/>
                <w:bCs/>
                <w:sz w:val="20"/>
                <w:szCs w:val="20"/>
                <w:lang w:val="en-GB"/>
              </w:rPr>
            </w:pPr>
            <w:r w:rsidRPr="00424B31">
              <w:rPr>
                <w:rFonts w:ascii="Arial" w:hAnsi="Arial" w:cs="Arial"/>
                <w:b/>
                <w:bCs/>
                <w:sz w:val="20"/>
                <w:szCs w:val="20"/>
                <w:lang w:val="en-GB"/>
              </w:rPr>
              <w:t>Please write a few sentences regarding the importance of this manuscript for the scientific community. A minimum of 3-4 sentences may be required for this part.</w:t>
            </w:r>
          </w:p>
          <w:p w:rsidR="00BE5C96" w:rsidRPr="00424B31" w:rsidRDefault="00BE5C96">
            <w:pPr>
              <w:ind w:left="360"/>
              <w:rPr>
                <w:rFonts w:ascii="Arial" w:eastAsia="MS Mincho" w:hAnsi="Arial" w:cs="Arial"/>
                <w:b/>
                <w:bCs/>
                <w:sz w:val="20"/>
                <w:szCs w:val="20"/>
                <w:lang w:val="en-GB"/>
              </w:rPr>
            </w:pPr>
          </w:p>
        </w:tc>
        <w:tc>
          <w:tcPr>
            <w:tcW w:w="2212" w:type="pct"/>
          </w:tcPr>
          <w:p w:rsidR="00F00575" w:rsidRPr="00424B31" w:rsidRDefault="00B63B33" w:rsidP="00F00575">
            <w:pPr>
              <w:pStyle w:val="ListParagraph"/>
              <w:ind w:left="0"/>
              <w:jc w:val="both"/>
              <w:rPr>
                <w:rFonts w:ascii="Arial" w:hAnsi="Arial" w:cs="Arial"/>
                <w:bCs/>
                <w:sz w:val="20"/>
                <w:szCs w:val="20"/>
                <w:lang w:val="en-GB"/>
              </w:rPr>
            </w:pPr>
            <w:r w:rsidRPr="00424B31">
              <w:rPr>
                <w:rFonts w:ascii="Arial" w:hAnsi="Arial" w:cs="Arial"/>
                <w:bCs/>
                <w:sz w:val="20"/>
                <w:szCs w:val="20"/>
                <w:lang w:val="en-GB"/>
              </w:rPr>
              <w:t xml:space="preserve">The research material; </w:t>
            </w:r>
            <w:r w:rsidR="00F00575" w:rsidRPr="00424B31">
              <w:rPr>
                <w:rFonts w:ascii="Arial" w:hAnsi="Arial" w:cs="Arial"/>
                <w:bCs/>
                <w:sz w:val="20"/>
                <w:szCs w:val="20"/>
                <w:lang w:val="en-GB"/>
              </w:rPr>
              <w:t>volatility and risk assessment in connection with sectors of NIFT</w:t>
            </w:r>
            <w:r w:rsidRPr="00424B31">
              <w:rPr>
                <w:rFonts w:ascii="Arial" w:hAnsi="Arial" w:cs="Arial"/>
                <w:bCs/>
                <w:sz w:val="20"/>
                <w:szCs w:val="20"/>
                <w:lang w:val="en-GB"/>
              </w:rPr>
              <w:t xml:space="preserve">Y indices; </w:t>
            </w:r>
            <w:r w:rsidR="00F00575" w:rsidRPr="00424B31">
              <w:rPr>
                <w:rFonts w:ascii="Arial" w:hAnsi="Arial" w:cs="Arial"/>
                <w:bCs/>
                <w:sz w:val="20"/>
                <w:szCs w:val="20"/>
                <w:lang w:val="en-GB"/>
              </w:rPr>
              <w:t>is applicable to portfolio management, sector rotation, and regulatory stress on an emerging market like India. A clear and transparent comparative study of</w:t>
            </w:r>
            <w:r w:rsidRPr="00424B31">
              <w:rPr>
                <w:rFonts w:ascii="Arial" w:hAnsi="Arial" w:cs="Arial"/>
                <w:bCs/>
                <w:sz w:val="20"/>
                <w:szCs w:val="20"/>
                <w:lang w:val="en-GB"/>
              </w:rPr>
              <w:t xml:space="preserve"> sector </w:t>
            </w:r>
            <w:proofErr w:type="spellStart"/>
            <w:r w:rsidRPr="00424B31">
              <w:rPr>
                <w:rFonts w:ascii="Arial" w:hAnsi="Arial" w:cs="Arial"/>
                <w:bCs/>
                <w:sz w:val="20"/>
                <w:szCs w:val="20"/>
                <w:lang w:val="en-GB"/>
              </w:rPr>
              <w:t>VaR</w:t>
            </w:r>
            <w:proofErr w:type="spellEnd"/>
            <w:r w:rsidRPr="00424B31">
              <w:rPr>
                <w:rFonts w:ascii="Arial" w:hAnsi="Arial" w:cs="Arial"/>
                <w:bCs/>
                <w:sz w:val="20"/>
                <w:szCs w:val="20"/>
                <w:lang w:val="en-GB"/>
              </w:rPr>
              <w:t>/</w:t>
            </w:r>
            <w:proofErr w:type="spellStart"/>
            <w:r w:rsidRPr="00424B31">
              <w:rPr>
                <w:rFonts w:ascii="Arial" w:hAnsi="Arial" w:cs="Arial"/>
                <w:bCs/>
                <w:sz w:val="20"/>
                <w:szCs w:val="20"/>
                <w:lang w:val="en-GB"/>
              </w:rPr>
              <w:t>CVaR</w:t>
            </w:r>
            <w:proofErr w:type="spellEnd"/>
            <w:r w:rsidRPr="00424B31">
              <w:rPr>
                <w:rFonts w:ascii="Arial" w:hAnsi="Arial" w:cs="Arial"/>
                <w:bCs/>
                <w:sz w:val="20"/>
                <w:szCs w:val="20"/>
                <w:lang w:val="en-GB"/>
              </w:rPr>
              <w:t xml:space="preserve"> would be of use</w:t>
            </w:r>
            <w:r w:rsidR="00F00575" w:rsidRPr="00424B31">
              <w:rPr>
                <w:rFonts w:ascii="Arial" w:hAnsi="Arial" w:cs="Arial"/>
                <w:bCs/>
                <w:sz w:val="20"/>
                <w:szCs w:val="20"/>
                <w:lang w:val="en-GB"/>
              </w:rPr>
              <w:t xml:space="preserve"> to both a</w:t>
            </w:r>
            <w:r w:rsidRPr="00424B31">
              <w:rPr>
                <w:rFonts w:ascii="Arial" w:hAnsi="Arial" w:cs="Arial"/>
                <w:bCs/>
                <w:sz w:val="20"/>
                <w:szCs w:val="20"/>
                <w:lang w:val="en-GB"/>
              </w:rPr>
              <w:t xml:space="preserve">cademics and market agents. However, </w:t>
            </w:r>
            <w:r w:rsidR="00F00575" w:rsidRPr="00424B31">
              <w:rPr>
                <w:rFonts w:ascii="Arial" w:hAnsi="Arial" w:cs="Arial"/>
                <w:bCs/>
                <w:sz w:val="20"/>
                <w:szCs w:val="20"/>
                <w:lang w:val="en-GB"/>
              </w:rPr>
              <w:t>the current version contains serious mathematical errors, contradictions to experiments, and no rigorous verificati</w:t>
            </w:r>
            <w:r w:rsidRPr="00424B31">
              <w:rPr>
                <w:rFonts w:ascii="Arial" w:hAnsi="Arial" w:cs="Arial"/>
                <w:bCs/>
                <w:sz w:val="20"/>
                <w:szCs w:val="20"/>
                <w:lang w:val="en-GB"/>
              </w:rPr>
              <w:t>on, which significantly weakens</w:t>
            </w:r>
            <w:r w:rsidR="00F00575" w:rsidRPr="00424B31">
              <w:rPr>
                <w:rFonts w:ascii="Arial" w:hAnsi="Arial" w:cs="Arial"/>
                <w:bCs/>
                <w:sz w:val="20"/>
                <w:szCs w:val="20"/>
                <w:lang w:val="en-GB"/>
              </w:rPr>
              <w:t xml:space="preserve"> its scientific quality and reliability.</w:t>
            </w:r>
          </w:p>
          <w:p w:rsidR="00F00575" w:rsidRPr="00424B31" w:rsidRDefault="00F00575" w:rsidP="00B672F7">
            <w:pPr>
              <w:pStyle w:val="ListParagraph"/>
              <w:ind w:left="0"/>
              <w:jc w:val="both"/>
              <w:rPr>
                <w:rFonts w:ascii="Arial" w:hAnsi="Arial" w:cs="Arial"/>
                <w:bCs/>
                <w:sz w:val="20"/>
                <w:szCs w:val="20"/>
                <w:lang w:val="en-GB"/>
              </w:rPr>
            </w:pPr>
          </w:p>
        </w:tc>
        <w:tc>
          <w:tcPr>
            <w:tcW w:w="1523" w:type="pct"/>
          </w:tcPr>
          <w:p w:rsidR="00BE5C96" w:rsidRPr="00424B31" w:rsidRDefault="00BE5C96">
            <w:pPr>
              <w:pStyle w:val="Heading2"/>
              <w:jc w:val="left"/>
              <w:rPr>
                <w:rFonts w:ascii="Arial" w:hAnsi="Arial" w:cs="Arial"/>
                <w:b w:val="0"/>
                <w:lang w:val="en-GB"/>
              </w:rPr>
            </w:pPr>
          </w:p>
        </w:tc>
      </w:tr>
      <w:tr w:rsidR="00BE5C96" w:rsidRPr="00424B31">
        <w:trPr>
          <w:trHeight w:val="1262"/>
        </w:trPr>
        <w:tc>
          <w:tcPr>
            <w:tcW w:w="1265" w:type="pct"/>
            <w:noWrap/>
          </w:tcPr>
          <w:p w:rsidR="00BE5C96" w:rsidRPr="00424B31" w:rsidRDefault="00BE5C96">
            <w:pPr>
              <w:ind w:left="360"/>
              <w:rPr>
                <w:rFonts w:ascii="Arial" w:hAnsi="Arial" w:cs="Arial"/>
                <w:b/>
                <w:bCs/>
                <w:sz w:val="20"/>
                <w:szCs w:val="20"/>
                <w:lang w:val="en-GB"/>
              </w:rPr>
            </w:pPr>
            <w:r w:rsidRPr="00424B31">
              <w:rPr>
                <w:rFonts w:ascii="Arial" w:hAnsi="Arial" w:cs="Arial"/>
                <w:b/>
                <w:bCs/>
                <w:sz w:val="20"/>
                <w:szCs w:val="20"/>
                <w:lang w:val="en-GB"/>
              </w:rPr>
              <w:t>Is the title of the article suitable?</w:t>
            </w:r>
          </w:p>
          <w:p w:rsidR="00BE5C96" w:rsidRPr="00424B31" w:rsidRDefault="00BE5C96">
            <w:pPr>
              <w:ind w:left="360"/>
              <w:rPr>
                <w:rFonts w:ascii="Arial" w:hAnsi="Arial" w:cs="Arial"/>
                <w:b/>
                <w:bCs/>
                <w:sz w:val="20"/>
                <w:szCs w:val="20"/>
                <w:lang w:val="en-GB"/>
              </w:rPr>
            </w:pPr>
            <w:r w:rsidRPr="00424B31">
              <w:rPr>
                <w:rFonts w:ascii="Arial" w:hAnsi="Arial" w:cs="Arial"/>
                <w:b/>
                <w:bCs/>
                <w:sz w:val="20"/>
                <w:szCs w:val="20"/>
                <w:lang w:val="en-GB"/>
              </w:rPr>
              <w:t>(If not please suggest an alternative title)</w:t>
            </w:r>
          </w:p>
          <w:p w:rsidR="00BE5C96" w:rsidRPr="00424B31" w:rsidRDefault="00BE5C96">
            <w:pPr>
              <w:pStyle w:val="Heading2"/>
              <w:jc w:val="left"/>
              <w:rPr>
                <w:rFonts w:ascii="Arial" w:hAnsi="Arial" w:cs="Arial"/>
                <w:u w:val="single"/>
                <w:lang w:val="en-GB"/>
              </w:rPr>
            </w:pPr>
          </w:p>
        </w:tc>
        <w:tc>
          <w:tcPr>
            <w:tcW w:w="2212" w:type="pct"/>
          </w:tcPr>
          <w:p w:rsidR="00F00575" w:rsidRPr="00424B31" w:rsidRDefault="00F00575" w:rsidP="00F00575">
            <w:pPr>
              <w:rPr>
                <w:rFonts w:ascii="Arial" w:hAnsi="Arial" w:cs="Arial"/>
                <w:bCs/>
                <w:sz w:val="20"/>
                <w:szCs w:val="20"/>
                <w:lang w:val="en-GB"/>
              </w:rPr>
            </w:pPr>
            <w:r w:rsidRPr="00424B31">
              <w:rPr>
                <w:rFonts w:ascii="Arial" w:hAnsi="Arial" w:cs="Arial"/>
                <w:bCs/>
                <w:sz w:val="20"/>
                <w:szCs w:val="20"/>
                <w:lang w:val="en-GB"/>
              </w:rPr>
              <w:t xml:space="preserve">The title is quiet aligned with the content, but </w:t>
            </w:r>
            <w:proofErr w:type="gramStart"/>
            <w:r w:rsidRPr="00424B31">
              <w:rPr>
                <w:rFonts w:ascii="Arial" w:hAnsi="Arial" w:cs="Arial"/>
                <w:bCs/>
                <w:sz w:val="20"/>
                <w:szCs w:val="20"/>
                <w:lang w:val="en-GB"/>
              </w:rPr>
              <w:t>it</w:t>
            </w:r>
            <w:proofErr w:type="gramEnd"/>
            <w:r w:rsidRPr="00424B31">
              <w:rPr>
                <w:rFonts w:ascii="Arial" w:hAnsi="Arial" w:cs="Arial"/>
                <w:bCs/>
                <w:sz w:val="20"/>
                <w:szCs w:val="20"/>
                <w:lang w:val="en-GB"/>
              </w:rPr>
              <w:t xml:space="preserve"> over-promises on risk analysis, because reading the paper, it only uses a basic GBM &amp; Monte Carlo with fixed σ and limited validation.</w:t>
            </w:r>
          </w:p>
          <w:p w:rsidR="00BE5C96" w:rsidRPr="00424B31" w:rsidRDefault="00F00575" w:rsidP="00F00575">
            <w:pPr>
              <w:rPr>
                <w:rFonts w:ascii="Arial" w:hAnsi="Arial" w:cs="Arial"/>
                <w:bCs/>
                <w:sz w:val="20"/>
                <w:szCs w:val="20"/>
                <w:lang w:val="en-GB"/>
              </w:rPr>
            </w:pPr>
            <w:r w:rsidRPr="00424B31">
              <w:rPr>
                <w:rFonts w:ascii="Arial" w:hAnsi="Arial" w:cs="Arial"/>
                <w:bCs/>
                <w:sz w:val="20"/>
                <w:szCs w:val="20"/>
                <w:lang w:val="en-GB"/>
              </w:rPr>
              <w:t>I would suggest the following title: “Value-at-Risk and Conditional Value-at-Risk Estimation for NIFTY Sector Indices: A Monte Carlo GBM Approach”</w:t>
            </w:r>
          </w:p>
        </w:tc>
        <w:tc>
          <w:tcPr>
            <w:tcW w:w="1523" w:type="pct"/>
          </w:tcPr>
          <w:p w:rsidR="00BE5C96" w:rsidRPr="00424B31" w:rsidRDefault="00BE5C96">
            <w:pPr>
              <w:pStyle w:val="Heading2"/>
              <w:jc w:val="left"/>
              <w:rPr>
                <w:rFonts w:ascii="Arial" w:hAnsi="Arial" w:cs="Arial"/>
                <w:b w:val="0"/>
                <w:lang w:val="en-GB"/>
              </w:rPr>
            </w:pPr>
          </w:p>
        </w:tc>
      </w:tr>
      <w:tr w:rsidR="00BE5C96" w:rsidRPr="00424B31">
        <w:trPr>
          <w:trHeight w:val="1262"/>
        </w:trPr>
        <w:tc>
          <w:tcPr>
            <w:tcW w:w="1265" w:type="pct"/>
            <w:noWrap/>
          </w:tcPr>
          <w:p w:rsidR="00BE5C96" w:rsidRPr="00424B31" w:rsidRDefault="00BE5C96">
            <w:pPr>
              <w:pStyle w:val="Heading2"/>
              <w:ind w:left="360"/>
              <w:jc w:val="left"/>
              <w:rPr>
                <w:rFonts w:ascii="Arial" w:hAnsi="Arial" w:cs="Arial"/>
                <w:lang w:val="en-GB"/>
              </w:rPr>
            </w:pPr>
            <w:r w:rsidRPr="00424B31">
              <w:rPr>
                <w:rFonts w:ascii="Arial" w:hAnsi="Arial" w:cs="Arial"/>
                <w:lang w:val="en-GB"/>
              </w:rPr>
              <w:lastRenderedPageBreak/>
              <w:t>Is the abstract of the article comprehensive? Do you suggest the addition (or deletion) of some points in this section? Please write your suggestions here.</w:t>
            </w:r>
          </w:p>
          <w:p w:rsidR="00BE5C96" w:rsidRPr="00424B31" w:rsidRDefault="00BE5C96">
            <w:pPr>
              <w:pStyle w:val="Heading2"/>
              <w:jc w:val="left"/>
              <w:rPr>
                <w:rFonts w:ascii="Arial" w:hAnsi="Arial" w:cs="Arial"/>
                <w:u w:val="single"/>
                <w:lang w:val="en-GB"/>
              </w:rPr>
            </w:pPr>
          </w:p>
        </w:tc>
        <w:tc>
          <w:tcPr>
            <w:tcW w:w="2212" w:type="pct"/>
          </w:tcPr>
          <w:p w:rsidR="00BE5C96" w:rsidRPr="00424B31" w:rsidRDefault="00F00575" w:rsidP="00F00575">
            <w:pPr>
              <w:rPr>
                <w:rFonts w:ascii="Arial" w:hAnsi="Arial" w:cs="Arial"/>
                <w:bCs/>
                <w:sz w:val="20"/>
                <w:szCs w:val="20"/>
                <w:lang w:val="en-GB"/>
              </w:rPr>
            </w:pPr>
            <w:r w:rsidRPr="00424B31">
              <w:rPr>
                <w:rFonts w:ascii="Arial" w:hAnsi="Arial" w:cs="Arial"/>
                <w:bCs/>
                <w:sz w:val="20"/>
                <w:szCs w:val="20"/>
                <w:lang w:val="en-GB"/>
              </w:rPr>
              <w:t xml:space="preserve">The abstract is too narrative, </w:t>
            </w:r>
            <w:r w:rsidR="004B661F" w:rsidRPr="00424B31">
              <w:rPr>
                <w:rFonts w:ascii="Arial" w:hAnsi="Arial" w:cs="Arial"/>
                <w:bCs/>
                <w:sz w:val="20"/>
                <w:szCs w:val="20"/>
                <w:lang w:val="en-GB"/>
              </w:rPr>
              <w:t xml:space="preserve">has </w:t>
            </w:r>
            <w:r w:rsidRPr="00424B31">
              <w:rPr>
                <w:rFonts w:ascii="Arial" w:hAnsi="Arial" w:cs="Arial"/>
                <w:bCs/>
                <w:sz w:val="20"/>
                <w:szCs w:val="20"/>
                <w:lang w:val="en-GB"/>
              </w:rPr>
              <w:t>no actual quantitative meas</w:t>
            </w:r>
            <w:r w:rsidR="004B661F" w:rsidRPr="00424B31">
              <w:rPr>
                <w:rFonts w:ascii="Arial" w:hAnsi="Arial" w:cs="Arial"/>
                <w:bCs/>
                <w:sz w:val="20"/>
                <w:szCs w:val="20"/>
                <w:lang w:val="en-GB"/>
              </w:rPr>
              <w:t>ure (confidence levels, horizon and simulation details). They should include α levels (95%/99%), short data description</w:t>
            </w:r>
            <w:r w:rsidRPr="00424B31">
              <w:rPr>
                <w:rFonts w:ascii="Arial" w:hAnsi="Arial" w:cs="Arial"/>
                <w:bCs/>
                <w:sz w:val="20"/>
                <w:szCs w:val="20"/>
                <w:lang w:val="en-GB"/>
              </w:rPr>
              <w:t>, number of simulated studies, and</w:t>
            </w:r>
            <w:r w:rsidR="004B661F" w:rsidRPr="00424B31">
              <w:rPr>
                <w:rFonts w:ascii="Arial" w:hAnsi="Arial" w:cs="Arial"/>
                <w:bCs/>
                <w:sz w:val="20"/>
                <w:szCs w:val="20"/>
                <w:lang w:val="en-GB"/>
              </w:rPr>
              <w:t xml:space="preserve"> main plausible results. Also, they should e</w:t>
            </w:r>
            <w:r w:rsidRPr="00424B31">
              <w:rPr>
                <w:rFonts w:ascii="Arial" w:hAnsi="Arial" w:cs="Arial"/>
                <w:bCs/>
                <w:sz w:val="20"/>
                <w:szCs w:val="20"/>
                <w:lang w:val="en-GB"/>
              </w:rPr>
              <w:t>liminate broad macro remar</w:t>
            </w:r>
            <w:r w:rsidR="004B661F" w:rsidRPr="00424B31">
              <w:rPr>
                <w:rFonts w:ascii="Arial" w:hAnsi="Arial" w:cs="Arial"/>
                <w:bCs/>
                <w:sz w:val="20"/>
                <w:szCs w:val="20"/>
                <w:lang w:val="en-GB"/>
              </w:rPr>
              <w:t>ks and unsupported assertions, and replace that with the purpose and added value of your work.</w:t>
            </w:r>
          </w:p>
        </w:tc>
        <w:tc>
          <w:tcPr>
            <w:tcW w:w="1523" w:type="pct"/>
          </w:tcPr>
          <w:p w:rsidR="00BE5C96" w:rsidRPr="00424B31" w:rsidRDefault="00BE5C96">
            <w:pPr>
              <w:pStyle w:val="Heading2"/>
              <w:jc w:val="left"/>
              <w:rPr>
                <w:rFonts w:ascii="Arial" w:hAnsi="Arial" w:cs="Arial"/>
                <w:b w:val="0"/>
                <w:lang w:val="en-GB"/>
              </w:rPr>
            </w:pPr>
          </w:p>
        </w:tc>
      </w:tr>
      <w:tr w:rsidR="00BE5C96" w:rsidRPr="00424B31">
        <w:trPr>
          <w:trHeight w:val="704"/>
        </w:trPr>
        <w:tc>
          <w:tcPr>
            <w:tcW w:w="1265" w:type="pct"/>
            <w:noWrap/>
          </w:tcPr>
          <w:p w:rsidR="00BE5C96" w:rsidRPr="00424B31" w:rsidRDefault="00BE5C96">
            <w:pPr>
              <w:pStyle w:val="Heading2"/>
              <w:ind w:left="360"/>
              <w:jc w:val="left"/>
              <w:rPr>
                <w:rFonts w:ascii="Arial" w:hAnsi="Arial" w:cs="Arial"/>
                <w:b w:val="0"/>
                <w:bCs w:val="0"/>
                <w:u w:val="single"/>
                <w:lang w:val="en-GB"/>
              </w:rPr>
            </w:pPr>
            <w:r w:rsidRPr="00424B31">
              <w:rPr>
                <w:rFonts w:ascii="Arial" w:hAnsi="Arial" w:cs="Arial"/>
                <w:lang w:val="en-GB"/>
              </w:rPr>
              <w:t>Is the manuscript scientifically, correct? Please write here.</w:t>
            </w:r>
          </w:p>
        </w:tc>
        <w:tc>
          <w:tcPr>
            <w:tcW w:w="2212" w:type="pct"/>
          </w:tcPr>
          <w:p w:rsidR="00BE5C96" w:rsidRPr="00424B31" w:rsidRDefault="001238A3" w:rsidP="0094050E">
            <w:pPr>
              <w:pStyle w:val="ListParagraph"/>
              <w:ind w:left="0"/>
              <w:jc w:val="both"/>
              <w:rPr>
                <w:rFonts w:ascii="Arial" w:hAnsi="Arial" w:cs="Arial"/>
                <w:bCs/>
                <w:sz w:val="20"/>
                <w:szCs w:val="20"/>
              </w:rPr>
            </w:pPr>
            <w:r w:rsidRPr="00424B31">
              <w:rPr>
                <w:rFonts w:ascii="Arial" w:hAnsi="Arial" w:cs="Arial"/>
                <w:bCs/>
                <w:sz w:val="20"/>
                <w:szCs w:val="20"/>
              </w:rPr>
              <w:t>Here is a</w:t>
            </w:r>
            <w:r w:rsidR="005D36CB" w:rsidRPr="00424B31">
              <w:rPr>
                <w:rFonts w:ascii="Arial" w:hAnsi="Arial" w:cs="Arial"/>
                <w:bCs/>
                <w:sz w:val="20"/>
                <w:szCs w:val="20"/>
              </w:rPr>
              <w:t xml:space="preserve"> detailed</w:t>
            </w:r>
            <w:r w:rsidRPr="00424B31">
              <w:rPr>
                <w:rFonts w:ascii="Arial" w:hAnsi="Arial" w:cs="Arial"/>
                <w:bCs/>
                <w:sz w:val="20"/>
                <w:szCs w:val="20"/>
              </w:rPr>
              <w:t xml:space="preserve"> list of the mathematical/econometrical errors in the model, starting with</w:t>
            </w:r>
            <w:r w:rsidR="005D36CB" w:rsidRPr="00424B31">
              <w:rPr>
                <w:rFonts w:ascii="Arial" w:hAnsi="Arial" w:cs="Arial"/>
                <w:bCs/>
                <w:sz w:val="20"/>
                <w:szCs w:val="20"/>
              </w:rPr>
              <w:t xml:space="preserve"> the mathematic foundation until </w:t>
            </w:r>
            <w:r w:rsidRPr="00424B31">
              <w:rPr>
                <w:rFonts w:ascii="Arial" w:hAnsi="Arial" w:cs="Arial"/>
                <w:bCs/>
                <w:sz w:val="20"/>
                <w:szCs w:val="20"/>
              </w:rPr>
              <w:t>the economic interpretation:</w:t>
            </w:r>
          </w:p>
          <w:p w:rsidR="001238A3" w:rsidRPr="00424B31" w:rsidRDefault="001238A3" w:rsidP="0094050E">
            <w:pPr>
              <w:pStyle w:val="ListParagraph"/>
              <w:ind w:left="0"/>
              <w:jc w:val="both"/>
              <w:rPr>
                <w:rFonts w:ascii="Arial" w:hAnsi="Arial" w:cs="Arial"/>
                <w:bCs/>
                <w:sz w:val="20"/>
                <w:szCs w:val="20"/>
              </w:rPr>
            </w:pPr>
          </w:p>
          <w:p w:rsidR="001238A3" w:rsidRPr="00424B31" w:rsidRDefault="001238A3" w:rsidP="001238A3">
            <w:pPr>
              <w:pStyle w:val="ListParagraph"/>
              <w:ind w:left="0"/>
              <w:jc w:val="both"/>
              <w:rPr>
                <w:rFonts w:ascii="Arial" w:hAnsi="Arial" w:cs="Arial"/>
                <w:b/>
                <w:bCs/>
                <w:sz w:val="20"/>
                <w:szCs w:val="20"/>
              </w:rPr>
            </w:pPr>
            <w:r w:rsidRPr="00424B31">
              <w:rPr>
                <w:rFonts w:ascii="Arial" w:hAnsi="Arial" w:cs="Arial"/>
                <w:b/>
                <w:bCs/>
                <w:sz w:val="20"/>
                <w:szCs w:val="20"/>
              </w:rPr>
              <w:t>Mathematical Foundation</w:t>
            </w:r>
            <w:r w:rsidR="00C733E5" w:rsidRPr="00424B31">
              <w:rPr>
                <w:rFonts w:ascii="Arial" w:hAnsi="Arial" w:cs="Arial"/>
                <w:b/>
                <w:bCs/>
                <w:sz w:val="20"/>
                <w:szCs w:val="20"/>
              </w:rPr>
              <w:t>:</w:t>
            </w:r>
          </w:p>
          <w:p w:rsidR="001238A3" w:rsidRPr="00424B31" w:rsidRDefault="001238A3" w:rsidP="001238A3">
            <w:pPr>
              <w:pStyle w:val="ListParagraph"/>
              <w:numPr>
                <w:ilvl w:val="0"/>
                <w:numId w:val="19"/>
              </w:numPr>
              <w:ind w:left="360"/>
              <w:jc w:val="both"/>
              <w:rPr>
                <w:rFonts w:ascii="Arial" w:hAnsi="Arial" w:cs="Arial"/>
                <w:bCs/>
                <w:sz w:val="20"/>
                <w:szCs w:val="20"/>
              </w:rPr>
            </w:pPr>
            <w:r w:rsidRPr="00424B31">
              <w:rPr>
                <w:rFonts w:ascii="Arial" w:hAnsi="Arial" w:cs="Arial"/>
                <w:bCs/>
                <w:sz w:val="20"/>
                <w:szCs w:val="20"/>
              </w:rPr>
              <w:t>The paper states that “Brownian motion W(t) follows an exponential distribution”</w:t>
            </w:r>
            <w:r w:rsidR="00002766" w:rsidRPr="00424B31">
              <w:rPr>
                <w:rFonts w:ascii="Arial" w:hAnsi="Arial" w:cs="Arial"/>
                <w:bCs/>
                <w:sz w:val="20"/>
                <w:szCs w:val="20"/>
              </w:rPr>
              <w:t>, which is in</w:t>
            </w:r>
            <w:r w:rsidRPr="00424B31">
              <w:rPr>
                <w:rFonts w:ascii="Arial" w:hAnsi="Arial" w:cs="Arial"/>
                <w:bCs/>
                <w:sz w:val="20"/>
                <w:szCs w:val="20"/>
              </w:rPr>
              <w:t>correct; by definition, W(t) ~ N(</w:t>
            </w:r>
            <w:proofErr w:type="gramStart"/>
            <w:r w:rsidRPr="00424B31">
              <w:rPr>
                <w:rFonts w:ascii="Arial" w:hAnsi="Arial" w:cs="Arial"/>
                <w:bCs/>
                <w:sz w:val="20"/>
                <w:szCs w:val="20"/>
              </w:rPr>
              <w:t>0,t</w:t>
            </w:r>
            <w:proofErr w:type="gramEnd"/>
            <w:r w:rsidRPr="00424B31">
              <w:rPr>
                <w:rFonts w:ascii="Arial" w:hAnsi="Arial" w:cs="Arial"/>
                <w:bCs/>
                <w:sz w:val="20"/>
                <w:szCs w:val="20"/>
              </w:rPr>
              <w:t xml:space="preserve">). The stochastic differential equation (SDE) for a Geometric Brownian Motion should be stated explicitly as  </w:t>
            </w:r>
          </w:p>
          <w:p w:rsidR="001238A3" w:rsidRPr="00424B31" w:rsidRDefault="001238A3" w:rsidP="001238A3">
            <w:pPr>
              <w:pStyle w:val="ListParagraph"/>
              <w:jc w:val="center"/>
              <w:rPr>
                <w:rFonts w:ascii="Arial" w:hAnsi="Arial" w:cs="Arial"/>
                <w:bCs/>
                <w:sz w:val="20"/>
                <w:szCs w:val="20"/>
                <w:lang w:val="fr-FR"/>
              </w:rPr>
            </w:pPr>
            <w:proofErr w:type="spellStart"/>
            <w:proofErr w:type="gramStart"/>
            <w:r w:rsidRPr="00424B31">
              <w:rPr>
                <w:rFonts w:ascii="Arial" w:hAnsi="Arial" w:cs="Arial"/>
                <w:bCs/>
                <w:sz w:val="20"/>
                <w:szCs w:val="20"/>
                <w:lang w:val="fr-FR"/>
              </w:rPr>
              <w:t>dS</w:t>
            </w:r>
            <w:proofErr w:type="gramEnd"/>
            <w:r w:rsidRPr="00424B31">
              <w:rPr>
                <w:rFonts w:ascii="Arial" w:hAnsi="Arial" w:cs="Arial"/>
                <w:bCs/>
                <w:sz w:val="20"/>
                <w:szCs w:val="20"/>
                <w:lang w:val="fr-FR"/>
              </w:rPr>
              <w:t>_t</w:t>
            </w:r>
            <w:proofErr w:type="spellEnd"/>
            <w:r w:rsidRPr="00424B31">
              <w:rPr>
                <w:rFonts w:ascii="Arial" w:hAnsi="Arial" w:cs="Arial"/>
                <w:bCs/>
                <w:sz w:val="20"/>
                <w:szCs w:val="20"/>
                <w:lang w:val="fr-FR"/>
              </w:rPr>
              <w:t xml:space="preserve"> = </w:t>
            </w:r>
            <w:r w:rsidRPr="00424B31">
              <w:rPr>
                <w:rFonts w:ascii="Arial" w:hAnsi="Arial" w:cs="Arial"/>
                <w:bCs/>
                <w:sz w:val="20"/>
                <w:szCs w:val="20"/>
              </w:rPr>
              <w:t>μ</w:t>
            </w:r>
            <w:r w:rsidRPr="00424B31">
              <w:rPr>
                <w:rFonts w:ascii="Arial" w:hAnsi="Arial" w:cs="Arial"/>
                <w:bCs/>
                <w:sz w:val="20"/>
                <w:szCs w:val="20"/>
                <w:lang w:val="fr-FR"/>
              </w:rPr>
              <w:t xml:space="preserve"> </w:t>
            </w:r>
            <w:proofErr w:type="spellStart"/>
            <w:r w:rsidRPr="00424B31">
              <w:rPr>
                <w:rFonts w:ascii="Arial" w:hAnsi="Arial" w:cs="Arial"/>
                <w:bCs/>
                <w:sz w:val="20"/>
                <w:szCs w:val="20"/>
                <w:lang w:val="fr-FR"/>
              </w:rPr>
              <w:t>S_t</w:t>
            </w:r>
            <w:proofErr w:type="spellEnd"/>
            <w:r w:rsidRPr="00424B31">
              <w:rPr>
                <w:rFonts w:ascii="Arial" w:hAnsi="Arial" w:cs="Arial"/>
                <w:bCs/>
                <w:sz w:val="20"/>
                <w:szCs w:val="20"/>
                <w:lang w:val="fr-FR"/>
              </w:rPr>
              <w:t xml:space="preserve"> </w:t>
            </w:r>
            <w:proofErr w:type="spellStart"/>
            <w:r w:rsidRPr="00424B31">
              <w:rPr>
                <w:rFonts w:ascii="Arial" w:hAnsi="Arial" w:cs="Arial"/>
                <w:bCs/>
                <w:sz w:val="20"/>
                <w:szCs w:val="20"/>
                <w:lang w:val="fr-FR"/>
              </w:rPr>
              <w:t>dt</w:t>
            </w:r>
            <w:proofErr w:type="spellEnd"/>
            <w:r w:rsidRPr="00424B31">
              <w:rPr>
                <w:rFonts w:ascii="Arial" w:hAnsi="Arial" w:cs="Arial"/>
                <w:bCs/>
                <w:sz w:val="20"/>
                <w:szCs w:val="20"/>
                <w:lang w:val="fr-FR"/>
              </w:rPr>
              <w:t xml:space="preserve"> + </w:t>
            </w:r>
            <w:r w:rsidRPr="00424B31">
              <w:rPr>
                <w:rFonts w:ascii="Arial" w:hAnsi="Arial" w:cs="Arial"/>
                <w:bCs/>
                <w:sz w:val="20"/>
                <w:szCs w:val="20"/>
              </w:rPr>
              <w:t>σ</w:t>
            </w:r>
            <w:r w:rsidRPr="00424B31">
              <w:rPr>
                <w:rFonts w:ascii="Arial" w:hAnsi="Arial" w:cs="Arial"/>
                <w:bCs/>
                <w:sz w:val="20"/>
                <w:szCs w:val="20"/>
                <w:lang w:val="fr-FR"/>
              </w:rPr>
              <w:t xml:space="preserve"> </w:t>
            </w:r>
            <w:proofErr w:type="spellStart"/>
            <w:r w:rsidRPr="00424B31">
              <w:rPr>
                <w:rFonts w:ascii="Arial" w:hAnsi="Arial" w:cs="Arial"/>
                <w:bCs/>
                <w:sz w:val="20"/>
                <w:szCs w:val="20"/>
                <w:lang w:val="fr-FR"/>
              </w:rPr>
              <w:t>S_t</w:t>
            </w:r>
            <w:proofErr w:type="spellEnd"/>
            <w:r w:rsidRPr="00424B31">
              <w:rPr>
                <w:rFonts w:ascii="Arial" w:hAnsi="Arial" w:cs="Arial"/>
                <w:bCs/>
                <w:sz w:val="20"/>
                <w:szCs w:val="20"/>
                <w:lang w:val="fr-FR"/>
              </w:rPr>
              <w:t xml:space="preserve"> </w:t>
            </w:r>
            <w:proofErr w:type="spellStart"/>
            <w:r w:rsidRPr="00424B31">
              <w:rPr>
                <w:rFonts w:ascii="Arial" w:hAnsi="Arial" w:cs="Arial"/>
                <w:bCs/>
                <w:sz w:val="20"/>
                <w:szCs w:val="20"/>
                <w:lang w:val="fr-FR"/>
              </w:rPr>
              <w:t>dW_t</w:t>
            </w:r>
            <w:proofErr w:type="spellEnd"/>
            <w:r w:rsidRPr="00424B31">
              <w:rPr>
                <w:rFonts w:ascii="Arial" w:hAnsi="Arial" w:cs="Arial"/>
                <w:bCs/>
                <w:sz w:val="20"/>
                <w:szCs w:val="20"/>
                <w:lang w:val="fr-FR"/>
              </w:rPr>
              <w:t>,</w:t>
            </w:r>
          </w:p>
          <w:p w:rsidR="001238A3" w:rsidRPr="00424B31" w:rsidRDefault="001238A3" w:rsidP="001238A3">
            <w:pPr>
              <w:pStyle w:val="ListParagraph"/>
              <w:jc w:val="center"/>
              <w:rPr>
                <w:rFonts w:ascii="Arial" w:hAnsi="Arial" w:cs="Arial"/>
                <w:bCs/>
                <w:sz w:val="20"/>
                <w:szCs w:val="20"/>
              </w:rPr>
            </w:pPr>
            <w:r w:rsidRPr="00424B31">
              <w:rPr>
                <w:rFonts w:ascii="Arial" w:hAnsi="Arial" w:cs="Arial"/>
                <w:bCs/>
                <w:sz w:val="20"/>
                <w:szCs w:val="20"/>
              </w:rPr>
              <w:t>with the closed-form solution</w:t>
            </w:r>
          </w:p>
          <w:p w:rsidR="001238A3" w:rsidRPr="00424B31" w:rsidRDefault="001238A3" w:rsidP="001238A3">
            <w:pPr>
              <w:pStyle w:val="ListParagraph"/>
              <w:jc w:val="center"/>
              <w:rPr>
                <w:rFonts w:ascii="Arial" w:hAnsi="Arial" w:cs="Arial"/>
                <w:bCs/>
                <w:sz w:val="20"/>
                <w:szCs w:val="20"/>
              </w:rPr>
            </w:pPr>
            <w:proofErr w:type="spellStart"/>
            <w:r w:rsidRPr="00424B31">
              <w:rPr>
                <w:rFonts w:ascii="Arial" w:hAnsi="Arial" w:cs="Arial"/>
                <w:bCs/>
                <w:sz w:val="20"/>
                <w:szCs w:val="20"/>
              </w:rPr>
              <w:t>S_t</w:t>
            </w:r>
            <w:proofErr w:type="spellEnd"/>
            <w:r w:rsidRPr="00424B31">
              <w:rPr>
                <w:rFonts w:ascii="Arial" w:hAnsi="Arial" w:cs="Arial"/>
                <w:bCs/>
                <w:sz w:val="20"/>
                <w:szCs w:val="20"/>
              </w:rPr>
              <w:t xml:space="preserve"> = S_0 </w:t>
            </w:r>
            <w:proofErr w:type="gramStart"/>
            <w:r w:rsidRPr="00424B31">
              <w:rPr>
                <w:rFonts w:ascii="Arial" w:hAnsi="Arial" w:cs="Arial"/>
                <w:bCs/>
                <w:sz w:val="20"/>
                <w:szCs w:val="20"/>
              </w:rPr>
              <w:t>exp[</w:t>
            </w:r>
            <w:proofErr w:type="gramEnd"/>
            <w:r w:rsidRPr="00424B31">
              <w:rPr>
                <w:rFonts w:ascii="Arial" w:hAnsi="Arial" w:cs="Arial"/>
                <w:bCs/>
                <w:sz w:val="20"/>
                <w:szCs w:val="20"/>
              </w:rPr>
              <w:t xml:space="preserve">(μ − ½σ²)t + </w:t>
            </w:r>
            <w:proofErr w:type="spellStart"/>
            <w:r w:rsidRPr="00424B31">
              <w:rPr>
                <w:rFonts w:ascii="Arial" w:hAnsi="Arial" w:cs="Arial"/>
                <w:bCs/>
                <w:sz w:val="20"/>
                <w:szCs w:val="20"/>
              </w:rPr>
              <w:t>σW_t</w:t>
            </w:r>
            <w:proofErr w:type="spellEnd"/>
            <w:r w:rsidRPr="00424B31">
              <w:rPr>
                <w:rFonts w:ascii="Arial" w:hAnsi="Arial" w:cs="Arial"/>
                <w:bCs/>
                <w:sz w:val="20"/>
                <w:szCs w:val="20"/>
              </w:rPr>
              <w:t>].</w:t>
            </w:r>
          </w:p>
          <w:p w:rsidR="001238A3" w:rsidRPr="00424B31" w:rsidRDefault="00C733E5" w:rsidP="001238A3">
            <w:pPr>
              <w:pStyle w:val="ListParagraph"/>
              <w:ind w:left="360"/>
              <w:jc w:val="both"/>
              <w:rPr>
                <w:rFonts w:ascii="Arial" w:hAnsi="Arial" w:cs="Arial"/>
                <w:bCs/>
                <w:sz w:val="20"/>
                <w:szCs w:val="20"/>
              </w:rPr>
            </w:pPr>
            <w:r w:rsidRPr="00424B31">
              <w:rPr>
                <w:rFonts w:ascii="Arial" w:hAnsi="Arial" w:cs="Arial"/>
                <w:bCs/>
                <w:sz w:val="20"/>
                <w:szCs w:val="20"/>
              </w:rPr>
              <w:t>Using a wrong</w:t>
            </w:r>
            <w:r w:rsidR="001238A3" w:rsidRPr="00424B31">
              <w:rPr>
                <w:rFonts w:ascii="Arial" w:hAnsi="Arial" w:cs="Arial"/>
                <w:bCs/>
                <w:sz w:val="20"/>
                <w:szCs w:val="20"/>
              </w:rPr>
              <w:t xml:space="preserve"> dist</w:t>
            </w:r>
            <w:r w:rsidR="00002766" w:rsidRPr="00424B31">
              <w:rPr>
                <w:rFonts w:ascii="Arial" w:hAnsi="Arial" w:cs="Arial"/>
                <w:bCs/>
                <w:sz w:val="20"/>
                <w:szCs w:val="20"/>
              </w:rPr>
              <w:t>ributional assumption erode</w:t>
            </w:r>
            <w:r w:rsidRPr="00424B31">
              <w:rPr>
                <w:rFonts w:ascii="Arial" w:hAnsi="Arial" w:cs="Arial"/>
                <w:bCs/>
                <w:sz w:val="20"/>
                <w:szCs w:val="20"/>
              </w:rPr>
              <w:t xml:space="preserve"> any </w:t>
            </w:r>
            <w:proofErr w:type="spellStart"/>
            <w:r w:rsidRPr="00424B31">
              <w:rPr>
                <w:rFonts w:ascii="Arial" w:hAnsi="Arial" w:cs="Arial"/>
                <w:bCs/>
                <w:sz w:val="20"/>
                <w:szCs w:val="20"/>
              </w:rPr>
              <w:t>forcasted</w:t>
            </w:r>
            <w:proofErr w:type="spellEnd"/>
            <w:r w:rsidR="001238A3" w:rsidRPr="00424B31">
              <w:rPr>
                <w:rFonts w:ascii="Arial" w:hAnsi="Arial" w:cs="Arial"/>
                <w:bCs/>
                <w:sz w:val="20"/>
                <w:szCs w:val="20"/>
              </w:rPr>
              <w:t xml:space="preserve"> Monte Ca</w:t>
            </w:r>
            <w:r w:rsidR="00002766" w:rsidRPr="00424B31">
              <w:rPr>
                <w:rFonts w:ascii="Arial" w:hAnsi="Arial" w:cs="Arial"/>
                <w:bCs/>
                <w:sz w:val="20"/>
                <w:szCs w:val="20"/>
              </w:rPr>
              <w:t>rlo simulation and, eventually</w:t>
            </w:r>
            <w:r w:rsidR="001238A3" w:rsidRPr="00424B31">
              <w:rPr>
                <w:rFonts w:ascii="Arial" w:hAnsi="Arial" w:cs="Arial"/>
                <w:bCs/>
                <w:sz w:val="20"/>
                <w:szCs w:val="20"/>
              </w:rPr>
              <w:t>, th</w:t>
            </w:r>
            <w:r w:rsidR="00002766" w:rsidRPr="00424B31">
              <w:rPr>
                <w:rFonts w:ascii="Arial" w:hAnsi="Arial" w:cs="Arial"/>
                <w:bCs/>
                <w:sz w:val="20"/>
                <w:szCs w:val="20"/>
              </w:rPr>
              <w:t xml:space="preserve">e </w:t>
            </w:r>
            <w:proofErr w:type="spellStart"/>
            <w:r w:rsidR="00002766" w:rsidRPr="00424B31">
              <w:rPr>
                <w:rFonts w:ascii="Arial" w:hAnsi="Arial" w:cs="Arial"/>
                <w:bCs/>
                <w:sz w:val="20"/>
                <w:szCs w:val="20"/>
              </w:rPr>
              <w:t>VaR</w:t>
            </w:r>
            <w:proofErr w:type="spellEnd"/>
            <w:r w:rsidR="00002766" w:rsidRPr="00424B31">
              <w:rPr>
                <w:rFonts w:ascii="Arial" w:hAnsi="Arial" w:cs="Arial"/>
                <w:bCs/>
                <w:sz w:val="20"/>
                <w:szCs w:val="20"/>
              </w:rPr>
              <w:t xml:space="preserve"> and </w:t>
            </w:r>
            <w:proofErr w:type="spellStart"/>
            <w:r w:rsidR="00002766" w:rsidRPr="00424B31">
              <w:rPr>
                <w:rFonts w:ascii="Arial" w:hAnsi="Arial" w:cs="Arial"/>
                <w:bCs/>
                <w:sz w:val="20"/>
                <w:szCs w:val="20"/>
              </w:rPr>
              <w:t>CVaR</w:t>
            </w:r>
            <w:proofErr w:type="spellEnd"/>
            <w:r w:rsidR="00002766" w:rsidRPr="00424B31">
              <w:rPr>
                <w:rFonts w:ascii="Arial" w:hAnsi="Arial" w:cs="Arial"/>
                <w:bCs/>
                <w:sz w:val="20"/>
                <w:szCs w:val="20"/>
              </w:rPr>
              <w:t xml:space="preserve"> estimates resulting</w:t>
            </w:r>
            <w:r w:rsidR="001238A3" w:rsidRPr="00424B31">
              <w:rPr>
                <w:rFonts w:ascii="Arial" w:hAnsi="Arial" w:cs="Arial"/>
                <w:bCs/>
                <w:sz w:val="20"/>
                <w:szCs w:val="20"/>
              </w:rPr>
              <w:t xml:space="preserve"> from it.</w:t>
            </w:r>
          </w:p>
          <w:p w:rsidR="00C733E5" w:rsidRPr="00424B31" w:rsidRDefault="001238A3" w:rsidP="001238A3">
            <w:pPr>
              <w:pStyle w:val="ListParagraph"/>
              <w:numPr>
                <w:ilvl w:val="0"/>
                <w:numId w:val="19"/>
              </w:numPr>
              <w:ind w:left="360"/>
              <w:jc w:val="both"/>
              <w:rPr>
                <w:rFonts w:ascii="Arial" w:hAnsi="Arial" w:cs="Arial"/>
                <w:bCs/>
                <w:sz w:val="20"/>
                <w:szCs w:val="20"/>
              </w:rPr>
            </w:pPr>
            <w:r w:rsidRPr="00424B31">
              <w:rPr>
                <w:rFonts w:ascii="Arial" w:hAnsi="Arial" w:cs="Arial"/>
                <w:bCs/>
                <w:sz w:val="20"/>
                <w:szCs w:val="20"/>
              </w:rPr>
              <w:t>The manuscript assumes that log returns are normally</w:t>
            </w:r>
            <w:r w:rsidR="00002766" w:rsidRPr="00424B31">
              <w:rPr>
                <w:rFonts w:ascii="Arial" w:hAnsi="Arial" w:cs="Arial"/>
                <w:bCs/>
                <w:sz w:val="20"/>
                <w:szCs w:val="20"/>
              </w:rPr>
              <w:t xml:space="preserve"> distributed and independent yet</w:t>
            </w:r>
            <w:r w:rsidRPr="00424B31">
              <w:rPr>
                <w:rFonts w:ascii="Arial" w:hAnsi="Arial" w:cs="Arial"/>
                <w:bCs/>
                <w:sz w:val="20"/>
                <w:szCs w:val="20"/>
              </w:rPr>
              <w:t xml:space="preserve"> provides no diagnostic evidence. </w:t>
            </w:r>
            <w:r w:rsidR="00C733E5" w:rsidRPr="00424B31">
              <w:rPr>
                <w:rFonts w:ascii="Arial" w:hAnsi="Arial" w:cs="Arial"/>
                <w:bCs/>
                <w:sz w:val="20"/>
                <w:szCs w:val="20"/>
              </w:rPr>
              <w:t>Normality tests are crucial</w:t>
            </w:r>
            <w:r w:rsidRPr="00424B31">
              <w:rPr>
                <w:rFonts w:ascii="Arial" w:hAnsi="Arial" w:cs="Arial"/>
                <w:bCs/>
                <w:sz w:val="20"/>
                <w:szCs w:val="20"/>
              </w:rPr>
              <w:t xml:space="preserve">. </w:t>
            </w:r>
          </w:p>
          <w:p w:rsidR="001238A3" w:rsidRPr="00424B31" w:rsidRDefault="001238A3" w:rsidP="001238A3">
            <w:pPr>
              <w:pStyle w:val="ListParagraph"/>
              <w:numPr>
                <w:ilvl w:val="0"/>
                <w:numId w:val="19"/>
              </w:numPr>
              <w:ind w:left="360"/>
              <w:jc w:val="both"/>
              <w:rPr>
                <w:rFonts w:ascii="Arial" w:hAnsi="Arial" w:cs="Arial"/>
                <w:bCs/>
                <w:sz w:val="20"/>
                <w:szCs w:val="20"/>
              </w:rPr>
            </w:pPr>
            <w:r w:rsidRPr="00424B31">
              <w:rPr>
                <w:rFonts w:ascii="Arial" w:hAnsi="Arial" w:cs="Arial"/>
                <w:bCs/>
                <w:sz w:val="20"/>
                <w:szCs w:val="20"/>
              </w:rPr>
              <w:t>Empirical work on NIFTY sectors consistently shows fat tails (kurtosis &gt; 3) and volatility clustering.</w:t>
            </w:r>
          </w:p>
          <w:p w:rsidR="001238A3" w:rsidRPr="00424B31" w:rsidRDefault="001238A3" w:rsidP="00C733E5">
            <w:pPr>
              <w:pStyle w:val="ListParagraph"/>
              <w:numPr>
                <w:ilvl w:val="0"/>
                <w:numId w:val="19"/>
              </w:numPr>
              <w:ind w:left="360"/>
              <w:jc w:val="both"/>
              <w:rPr>
                <w:rFonts w:ascii="Arial" w:hAnsi="Arial" w:cs="Arial"/>
                <w:bCs/>
                <w:sz w:val="20"/>
                <w:szCs w:val="20"/>
              </w:rPr>
            </w:pPr>
            <w:r w:rsidRPr="00424B31">
              <w:rPr>
                <w:rFonts w:ascii="Arial" w:hAnsi="Arial" w:cs="Arial"/>
                <w:bCs/>
                <w:sz w:val="20"/>
                <w:szCs w:val="20"/>
              </w:rPr>
              <w:t xml:space="preserve">The drift parameter μ appears to be computed as a simple average daily return without clear annualization or scaling methodology. </w:t>
            </w:r>
            <w:r w:rsidR="00002766" w:rsidRPr="00424B31">
              <w:rPr>
                <w:rFonts w:ascii="Arial" w:hAnsi="Arial" w:cs="Arial"/>
                <w:bCs/>
                <w:sz w:val="20"/>
                <w:szCs w:val="20"/>
              </w:rPr>
              <w:t>This absence of clarity can twist</w:t>
            </w:r>
            <w:r w:rsidRPr="00424B31">
              <w:rPr>
                <w:rFonts w:ascii="Arial" w:hAnsi="Arial" w:cs="Arial"/>
                <w:bCs/>
                <w:sz w:val="20"/>
                <w:szCs w:val="20"/>
              </w:rPr>
              <w:t xml:space="preserve"> simulated price paths</w:t>
            </w:r>
            <w:r w:rsidR="00002766" w:rsidRPr="00424B31">
              <w:rPr>
                <w:rFonts w:ascii="Arial" w:hAnsi="Arial" w:cs="Arial"/>
                <w:bCs/>
                <w:sz w:val="20"/>
                <w:szCs w:val="20"/>
              </w:rPr>
              <w:t>/trends</w:t>
            </w:r>
            <w:r w:rsidRPr="00424B31">
              <w:rPr>
                <w:rFonts w:ascii="Arial" w:hAnsi="Arial" w:cs="Arial"/>
                <w:bCs/>
                <w:sz w:val="20"/>
                <w:szCs w:val="20"/>
              </w:rPr>
              <w:t xml:space="preserve"> and risk metrics.</w:t>
            </w:r>
          </w:p>
          <w:p w:rsidR="001238A3" w:rsidRPr="00424B31" w:rsidRDefault="00C733E5" w:rsidP="001238A3">
            <w:pPr>
              <w:pStyle w:val="ListParagraph"/>
              <w:ind w:left="0"/>
              <w:jc w:val="both"/>
              <w:rPr>
                <w:rFonts w:ascii="Arial" w:hAnsi="Arial" w:cs="Arial"/>
                <w:b/>
                <w:bCs/>
                <w:sz w:val="20"/>
                <w:szCs w:val="20"/>
              </w:rPr>
            </w:pPr>
            <w:r w:rsidRPr="00424B31">
              <w:rPr>
                <w:rFonts w:ascii="Arial" w:hAnsi="Arial" w:cs="Arial"/>
                <w:b/>
                <w:bCs/>
                <w:sz w:val="20"/>
                <w:szCs w:val="20"/>
              </w:rPr>
              <w:t>Data Quality:</w:t>
            </w:r>
          </w:p>
          <w:p w:rsidR="001238A3" w:rsidRPr="00424B31" w:rsidRDefault="00002766" w:rsidP="001238A3">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No p</w:t>
            </w:r>
            <w:r w:rsidR="001238A3" w:rsidRPr="00424B31">
              <w:rPr>
                <w:rFonts w:ascii="Arial" w:hAnsi="Arial" w:cs="Arial"/>
                <w:bCs/>
                <w:sz w:val="20"/>
                <w:szCs w:val="20"/>
              </w:rPr>
              <w:t xml:space="preserve">lausible </w:t>
            </w:r>
            <w:r w:rsidRPr="00424B31">
              <w:rPr>
                <w:rFonts w:ascii="Arial" w:hAnsi="Arial" w:cs="Arial"/>
                <w:bCs/>
                <w:sz w:val="20"/>
                <w:szCs w:val="20"/>
              </w:rPr>
              <w:t xml:space="preserve">descriptive statistics: </w:t>
            </w:r>
            <w:r w:rsidR="001238A3" w:rsidRPr="00424B31">
              <w:rPr>
                <w:rFonts w:ascii="Arial" w:hAnsi="Arial" w:cs="Arial"/>
                <w:bCs/>
                <w:sz w:val="20"/>
                <w:szCs w:val="20"/>
              </w:rPr>
              <w:t>For example, the PSU Bank secto</w:t>
            </w:r>
            <w:r w:rsidRPr="00424B31">
              <w:rPr>
                <w:rFonts w:ascii="Arial" w:hAnsi="Arial" w:cs="Arial"/>
                <w:bCs/>
                <w:sz w:val="20"/>
                <w:szCs w:val="20"/>
              </w:rPr>
              <w:t xml:space="preserve">r shows a mean daily return of approximately </w:t>
            </w:r>
            <w:r w:rsidR="001238A3" w:rsidRPr="00424B31">
              <w:rPr>
                <w:rFonts w:ascii="Arial" w:hAnsi="Arial" w:cs="Arial"/>
                <w:bCs/>
                <w:sz w:val="20"/>
                <w:szCs w:val="20"/>
              </w:rPr>
              <w:t>5.6%, implying unrealistic annua</w:t>
            </w:r>
            <w:r w:rsidRPr="00424B31">
              <w:rPr>
                <w:rFonts w:ascii="Arial" w:hAnsi="Arial" w:cs="Arial"/>
                <w:bCs/>
                <w:sz w:val="20"/>
                <w:szCs w:val="20"/>
              </w:rPr>
              <w:t>lized growth exceeding 70,000% (indexing or scaling errors to check).</w:t>
            </w:r>
          </w:p>
          <w:p w:rsidR="001238A3" w:rsidRPr="00424B31" w:rsidRDefault="001238A3" w:rsidP="001238A3">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Inconsistent min and max: Several sectors report identical minimum and maximum values, indicating possible d</w:t>
            </w:r>
            <w:r w:rsidR="00002766" w:rsidRPr="00424B31">
              <w:rPr>
                <w:rFonts w:ascii="Arial" w:hAnsi="Arial" w:cs="Arial"/>
                <w:bCs/>
                <w:sz w:val="20"/>
                <w:szCs w:val="20"/>
              </w:rPr>
              <w:t>ata-cleaning or coding mistakes (to check).</w:t>
            </w:r>
          </w:p>
          <w:p w:rsidR="001238A3" w:rsidRPr="00424B31" w:rsidRDefault="00002766" w:rsidP="001238A3">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 xml:space="preserve">The paper takes off </w:t>
            </w:r>
            <w:r w:rsidR="001238A3" w:rsidRPr="00424B31">
              <w:rPr>
                <w:rFonts w:ascii="Arial" w:hAnsi="Arial" w:cs="Arial"/>
                <w:bCs/>
                <w:sz w:val="20"/>
                <w:szCs w:val="20"/>
              </w:rPr>
              <w:t>key procedures such as adjustments for stock splits, di</w:t>
            </w:r>
            <w:r w:rsidRPr="00424B31">
              <w:rPr>
                <w:rFonts w:ascii="Arial" w:hAnsi="Arial" w:cs="Arial"/>
                <w:bCs/>
                <w:sz w:val="20"/>
                <w:szCs w:val="20"/>
              </w:rPr>
              <w:t>vidends, and survivorship bias which are</w:t>
            </w:r>
            <w:r w:rsidR="001238A3" w:rsidRPr="00424B31">
              <w:rPr>
                <w:rFonts w:ascii="Arial" w:hAnsi="Arial" w:cs="Arial"/>
                <w:bCs/>
                <w:sz w:val="20"/>
                <w:szCs w:val="20"/>
              </w:rPr>
              <w:t xml:space="preserve"> all critical when working with Indian equity series.</w:t>
            </w:r>
          </w:p>
          <w:p w:rsidR="001238A3" w:rsidRPr="00424B31" w:rsidRDefault="001238A3" w:rsidP="00C733E5">
            <w:pPr>
              <w:pStyle w:val="ListParagraph"/>
              <w:numPr>
                <w:ilvl w:val="0"/>
                <w:numId w:val="21"/>
              </w:numPr>
              <w:ind w:left="360"/>
              <w:jc w:val="both"/>
              <w:rPr>
                <w:rFonts w:ascii="Arial" w:hAnsi="Arial" w:cs="Arial"/>
                <w:bCs/>
                <w:sz w:val="20"/>
                <w:szCs w:val="20"/>
              </w:rPr>
            </w:pPr>
            <w:r w:rsidRPr="00424B31">
              <w:rPr>
                <w:rFonts w:ascii="Arial" w:hAnsi="Arial" w:cs="Arial"/>
                <w:bCs/>
                <w:sz w:val="20"/>
                <w:szCs w:val="20"/>
              </w:rPr>
              <w:t>The dataset construction process, random seed settings, and code are not di</w:t>
            </w:r>
            <w:r w:rsidR="00002766" w:rsidRPr="00424B31">
              <w:rPr>
                <w:rFonts w:ascii="Arial" w:hAnsi="Arial" w:cs="Arial"/>
                <w:bCs/>
                <w:sz w:val="20"/>
                <w:szCs w:val="20"/>
              </w:rPr>
              <w:t xml:space="preserve">sclosed, making the results not </w:t>
            </w:r>
            <w:r w:rsidRPr="00424B31">
              <w:rPr>
                <w:rFonts w:ascii="Arial" w:hAnsi="Arial" w:cs="Arial"/>
                <w:bCs/>
                <w:sz w:val="20"/>
                <w:szCs w:val="20"/>
              </w:rPr>
              <w:t>reproducible.</w:t>
            </w:r>
          </w:p>
          <w:p w:rsidR="001238A3" w:rsidRPr="00424B31" w:rsidRDefault="001238A3" w:rsidP="001238A3">
            <w:pPr>
              <w:pStyle w:val="ListParagraph"/>
              <w:ind w:left="0"/>
              <w:jc w:val="both"/>
              <w:rPr>
                <w:rFonts w:ascii="Arial" w:hAnsi="Arial" w:cs="Arial"/>
                <w:b/>
                <w:bCs/>
                <w:sz w:val="20"/>
                <w:szCs w:val="20"/>
              </w:rPr>
            </w:pPr>
            <w:r w:rsidRPr="00424B31">
              <w:rPr>
                <w:rFonts w:ascii="Arial" w:hAnsi="Arial" w:cs="Arial"/>
                <w:b/>
                <w:bCs/>
                <w:sz w:val="20"/>
                <w:szCs w:val="20"/>
              </w:rPr>
              <w:t>Risk Metric Validity</w:t>
            </w:r>
            <w:r w:rsidR="00C733E5" w:rsidRPr="00424B31">
              <w:rPr>
                <w:rFonts w:ascii="Arial" w:hAnsi="Arial" w:cs="Arial"/>
                <w:b/>
                <w:bCs/>
                <w:sz w:val="20"/>
                <w:szCs w:val="20"/>
              </w:rPr>
              <w:t>:</w:t>
            </w:r>
          </w:p>
          <w:p w:rsidR="001238A3" w:rsidRPr="00424B31" w:rsidRDefault="001238A3" w:rsidP="001238A3">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 xml:space="preserve">Inconsistent </w:t>
            </w:r>
            <w:proofErr w:type="spellStart"/>
            <w:r w:rsidRPr="00424B31">
              <w:rPr>
                <w:rFonts w:ascii="Arial" w:hAnsi="Arial" w:cs="Arial"/>
                <w:bCs/>
                <w:sz w:val="20"/>
                <w:szCs w:val="20"/>
              </w:rPr>
              <w:t>VaR</w:t>
            </w:r>
            <w:proofErr w:type="spellEnd"/>
            <w:r w:rsidRPr="00424B31">
              <w:rPr>
                <w:rFonts w:ascii="Arial" w:hAnsi="Arial" w:cs="Arial"/>
                <w:bCs/>
                <w:sz w:val="20"/>
                <w:szCs w:val="20"/>
              </w:rPr>
              <w:t>/</w:t>
            </w:r>
            <w:proofErr w:type="spellStart"/>
            <w:r w:rsidRPr="00424B31">
              <w:rPr>
                <w:rFonts w:ascii="Arial" w:hAnsi="Arial" w:cs="Arial"/>
                <w:bCs/>
                <w:sz w:val="20"/>
                <w:szCs w:val="20"/>
              </w:rPr>
              <w:t>CVaR</w:t>
            </w:r>
            <w:proofErr w:type="spellEnd"/>
            <w:r w:rsidRPr="00424B31">
              <w:rPr>
                <w:rFonts w:ascii="Arial" w:hAnsi="Arial" w:cs="Arial"/>
                <w:bCs/>
                <w:sz w:val="20"/>
                <w:szCs w:val="20"/>
              </w:rPr>
              <w:t xml:space="preserve"> figures: Reported tail risk values do not align with the stated volatility</w:t>
            </w:r>
            <w:r w:rsidR="00C733E5" w:rsidRPr="00424B31">
              <w:rPr>
                <w:rFonts w:ascii="Arial" w:hAnsi="Arial" w:cs="Arial"/>
                <w:bCs/>
                <w:sz w:val="20"/>
                <w:szCs w:val="20"/>
              </w:rPr>
              <w:t xml:space="preserve">. For example, for FMCG (index </w:t>
            </w:r>
            <w:proofErr w:type="spellStart"/>
            <w:r w:rsidR="00C733E5" w:rsidRPr="00424B31">
              <w:rPr>
                <w:rFonts w:ascii="Arial" w:hAnsi="Arial" w:cs="Arial"/>
                <w:bCs/>
                <w:sz w:val="20"/>
                <w:szCs w:val="20"/>
              </w:rPr>
              <w:t>appro</w:t>
            </w:r>
            <w:proofErr w:type="spellEnd"/>
            <w:r w:rsidR="00C733E5" w:rsidRPr="00424B31">
              <w:rPr>
                <w:rFonts w:ascii="Arial" w:hAnsi="Arial" w:cs="Arial"/>
                <w:bCs/>
                <w:sz w:val="20"/>
                <w:szCs w:val="20"/>
              </w:rPr>
              <w:t xml:space="preserve"> at 55,500, daily σ </w:t>
            </w:r>
            <w:proofErr w:type="spellStart"/>
            <w:r w:rsidR="00C733E5" w:rsidRPr="00424B31">
              <w:rPr>
                <w:rFonts w:ascii="Arial" w:hAnsi="Arial" w:cs="Arial"/>
                <w:bCs/>
                <w:sz w:val="20"/>
                <w:szCs w:val="20"/>
              </w:rPr>
              <w:t>appro</w:t>
            </w:r>
            <w:proofErr w:type="spellEnd"/>
            <w:r w:rsidR="00C733E5" w:rsidRPr="00424B31">
              <w:rPr>
                <w:rFonts w:ascii="Arial" w:hAnsi="Arial" w:cs="Arial"/>
                <w:bCs/>
                <w:sz w:val="20"/>
                <w:szCs w:val="20"/>
              </w:rPr>
              <w:t xml:space="preserve"> at </w:t>
            </w:r>
            <w:r w:rsidRPr="00424B31">
              <w:rPr>
                <w:rFonts w:ascii="Arial" w:hAnsi="Arial" w:cs="Arial"/>
                <w:bCs/>
                <w:sz w:val="20"/>
                <w:szCs w:val="20"/>
              </w:rPr>
              <w:t xml:space="preserve">1%), a 100-day 95% </w:t>
            </w:r>
            <w:proofErr w:type="spellStart"/>
            <w:r w:rsidRPr="00424B31">
              <w:rPr>
                <w:rFonts w:ascii="Arial" w:hAnsi="Arial" w:cs="Arial"/>
                <w:bCs/>
                <w:sz w:val="20"/>
                <w:szCs w:val="20"/>
              </w:rPr>
              <w:t>VaR</w:t>
            </w:r>
            <w:proofErr w:type="spellEnd"/>
            <w:r w:rsidRPr="00424B31">
              <w:rPr>
                <w:rFonts w:ascii="Arial" w:hAnsi="Arial" w:cs="Arial"/>
                <w:bCs/>
                <w:sz w:val="20"/>
                <w:szCs w:val="20"/>
              </w:rPr>
              <w:t xml:space="preserve"> sho</w:t>
            </w:r>
            <w:r w:rsidR="00C733E5" w:rsidRPr="00424B31">
              <w:rPr>
                <w:rFonts w:ascii="Arial" w:hAnsi="Arial" w:cs="Arial"/>
                <w:bCs/>
                <w:sz w:val="20"/>
                <w:szCs w:val="20"/>
              </w:rPr>
              <w:t>uld approximate 2.6 × σ × √100 =</w:t>
            </w:r>
            <w:r w:rsidRPr="00424B31">
              <w:rPr>
                <w:rFonts w:ascii="Arial" w:hAnsi="Arial" w:cs="Arial"/>
                <w:bCs/>
                <w:sz w:val="20"/>
                <w:szCs w:val="20"/>
              </w:rPr>
              <w:t xml:space="preserve"> 2</w:t>
            </w:r>
            <w:r w:rsidR="00C733E5" w:rsidRPr="00424B31">
              <w:rPr>
                <w:rFonts w:ascii="Arial" w:hAnsi="Arial" w:cs="Arial"/>
                <w:bCs/>
                <w:sz w:val="20"/>
                <w:szCs w:val="20"/>
              </w:rPr>
              <w:t xml:space="preserve">6%, yet the table reports only 1.6% </w:t>
            </w:r>
            <w:r w:rsidR="00C733E5" w:rsidRPr="00424B31">
              <w:rPr>
                <w:rFonts w:ascii="Arial" w:hAnsi="Arial" w:cs="Arial"/>
                <w:bCs/>
                <w:sz w:val="20"/>
                <w:szCs w:val="20"/>
              </w:rPr>
              <w:sym w:font="Wingdings" w:char="F0E8"/>
            </w:r>
            <w:r w:rsidR="00C733E5" w:rsidRPr="00424B31">
              <w:rPr>
                <w:rFonts w:ascii="Arial" w:hAnsi="Arial" w:cs="Arial"/>
                <w:bCs/>
                <w:sz w:val="20"/>
                <w:szCs w:val="20"/>
              </w:rPr>
              <w:t xml:space="preserve"> </w:t>
            </w:r>
            <w:r w:rsidRPr="00424B31">
              <w:rPr>
                <w:rFonts w:ascii="Arial" w:hAnsi="Arial" w:cs="Arial"/>
                <w:bCs/>
                <w:sz w:val="20"/>
                <w:szCs w:val="20"/>
              </w:rPr>
              <w:t>internal inconsistency.</w:t>
            </w:r>
          </w:p>
          <w:p w:rsidR="001238A3" w:rsidRPr="00424B31" w:rsidRDefault="00C733E5" w:rsidP="001238A3">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 xml:space="preserve">Unit error: </w:t>
            </w:r>
            <w:r w:rsidR="001238A3" w:rsidRPr="00424B31">
              <w:rPr>
                <w:rFonts w:ascii="Arial" w:hAnsi="Arial" w:cs="Arial"/>
                <w:bCs/>
                <w:sz w:val="20"/>
                <w:szCs w:val="20"/>
              </w:rPr>
              <w:t>Risk metrics are labeled as “Rs.” when they are actually expressed in index points; this can mislead readers about scale and magnitude.</w:t>
            </w:r>
          </w:p>
          <w:p w:rsidR="001238A3" w:rsidRPr="00424B31" w:rsidRDefault="001238A3" w:rsidP="00C733E5">
            <w:pPr>
              <w:pStyle w:val="ListParagraph"/>
              <w:numPr>
                <w:ilvl w:val="0"/>
                <w:numId w:val="20"/>
              </w:numPr>
              <w:ind w:left="360"/>
              <w:jc w:val="both"/>
              <w:rPr>
                <w:rFonts w:ascii="Arial" w:hAnsi="Arial" w:cs="Arial"/>
                <w:bCs/>
                <w:sz w:val="20"/>
                <w:szCs w:val="20"/>
              </w:rPr>
            </w:pPr>
            <w:r w:rsidRPr="00424B31">
              <w:rPr>
                <w:rFonts w:ascii="Arial" w:hAnsi="Arial" w:cs="Arial"/>
                <w:bCs/>
                <w:sz w:val="20"/>
                <w:szCs w:val="20"/>
              </w:rPr>
              <w:t xml:space="preserve">Absence of validation: No </w:t>
            </w:r>
            <w:r w:rsidR="00C733E5" w:rsidRPr="00424B31">
              <w:rPr>
                <w:rFonts w:ascii="Arial" w:hAnsi="Arial" w:cs="Arial"/>
                <w:bCs/>
                <w:sz w:val="20"/>
                <w:szCs w:val="20"/>
              </w:rPr>
              <w:t xml:space="preserve">back testing is done </w:t>
            </w:r>
            <w:r w:rsidRPr="00424B31">
              <w:rPr>
                <w:rFonts w:ascii="Arial" w:hAnsi="Arial" w:cs="Arial"/>
                <w:bCs/>
                <w:sz w:val="20"/>
                <w:szCs w:val="20"/>
              </w:rPr>
              <w:t>to evaluat</w:t>
            </w:r>
            <w:r w:rsidR="00C733E5" w:rsidRPr="00424B31">
              <w:rPr>
                <w:rFonts w:ascii="Arial" w:hAnsi="Arial" w:cs="Arial"/>
                <w:bCs/>
                <w:sz w:val="20"/>
                <w:szCs w:val="20"/>
              </w:rPr>
              <w:t xml:space="preserve">e whether the simulated </w:t>
            </w:r>
            <w:proofErr w:type="spellStart"/>
            <w:r w:rsidR="00C733E5" w:rsidRPr="00424B31">
              <w:rPr>
                <w:rFonts w:ascii="Arial" w:hAnsi="Arial" w:cs="Arial"/>
                <w:bCs/>
                <w:sz w:val="20"/>
                <w:szCs w:val="20"/>
              </w:rPr>
              <w:t>VaR</w:t>
            </w:r>
            <w:proofErr w:type="spellEnd"/>
            <w:r w:rsidR="00C733E5" w:rsidRPr="00424B31">
              <w:rPr>
                <w:rFonts w:ascii="Arial" w:hAnsi="Arial" w:cs="Arial"/>
                <w:bCs/>
                <w:sz w:val="20"/>
                <w:szCs w:val="20"/>
              </w:rPr>
              <w:t>/</w:t>
            </w:r>
            <w:proofErr w:type="spellStart"/>
            <w:r w:rsidRPr="00424B31">
              <w:rPr>
                <w:rFonts w:ascii="Arial" w:hAnsi="Arial" w:cs="Arial"/>
                <w:bCs/>
                <w:sz w:val="20"/>
                <w:szCs w:val="20"/>
              </w:rPr>
              <w:t>CVaR</w:t>
            </w:r>
            <w:proofErr w:type="spellEnd"/>
            <w:r w:rsidRPr="00424B31">
              <w:rPr>
                <w:rFonts w:ascii="Arial" w:hAnsi="Arial" w:cs="Arial"/>
                <w:bCs/>
                <w:sz w:val="20"/>
                <w:szCs w:val="20"/>
              </w:rPr>
              <w:t xml:space="preserve"> lev</w:t>
            </w:r>
            <w:r w:rsidR="00C733E5" w:rsidRPr="00424B31">
              <w:rPr>
                <w:rFonts w:ascii="Arial" w:hAnsi="Arial" w:cs="Arial"/>
                <w:bCs/>
                <w:sz w:val="20"/>
                <w:szCs w:val="20"/>
              </w:rPr>
              <w:t>els match historical data</w:t>
            </w:r>
            <w:r w:rsidRPr="00424B31">
              <w:rPr>
                <w:rFonts w:ascii="Arial" w:hAnsi="Arial" w:cs="Arial"/>
                <w:bCs/>
                <w:sz w:val="20"/>
                <w:szCs w:val="20"/>
              </w:rPr>
              <w:t>.</w:t>
            </w:r>
          </w:p>
          <w:p w:rsidR="001238A3" w:rsidRPr="00424B31" w:rsidRDefault="00C733E5" w:rsidP="001238A3">
            <w:pPr>
              <w:pStyle w:val="ListParagraph"/>
              <w:ind w:left="0"/>
              <w:jc w:val="both"/>
              <w:rPr>
                <w:rFonts w:ascii="Arial" w:hAnsi="Arial" w:cs="Arial"/>
                <w:b/>
                <w:bCs/>
                <w:sz w:val="20"/>
                <w:szCs w:val="20"/>
              </w:rPr>
            </w:pPr>
            <w:r w:rsidRPr="00424B31">
              <w:rPr>
                <w:rFonts w:ascii="Arial" w:hAnsi="Arial" w:cs="Arial"/>
                <w:b/>
                <w:bCs/>
                <w:sz w:val="20"/>
                <w:szCs w:val="20"/>
              </w:rPr>
              <w:t>Model Choice:</w:t>
            </w:r>
          </w:p>
          <w:p w:rsidR="001238A3" w:rsidRPr="00424B31" w:rsidRDefault="001238A3" w:rsidP="001238A3">
            <w:pPr>
              <w:pStyle w:val="ListParagraph"/>
              <w:numPr>
                <w:ilvl w:val="0"/>
                <w:numId w:val="22"/>
              </w:numPr>
              <w:jc w:val="both"/>
              <w:rPr>
                <w:rFonts w:ascii="Arial" w:hAnsi="Arial" w:cs="Arial"/>
                <w:bCs/>
                <w:sz w:val="20"/>
                <w:szCs w:val="20"/>
              </w:rPr>
            </w:pPr>
            <w:r w:rsidRPr="00424B31">
              <w:rPr>
                <w:rFonts w:ascii="Arial" w:hAnsi="Arial" w:cs="Arial"/>
                <w:bCs/>
                <w:sz w:val="20"/>
                <w:szCs w:val="20"/>
              </w:rPr>
              <w:t>Unrealistic constant-volatility assumption: The GBM model presumes constant σ and normally distributed returns, yet NIFTY sector data exhibits volatility clustering and heavy tails.</w:t>
            </w:r>
          </w:p>
          <w:p w:rsidR="001238A3" w:rsidRPr="00424B31" w:rsidRDefault="001238A3" w:rsidP="00E26759">
            <w:pPr>
              <w:pStyle w:val="ListParagraph"/>
              <w:numPr>
                <w:ilvl w:val="0"/>
                <w:numId w:val="22"/>
              </w:numPr>
              <w:jc w:val="both"/>
              <w:rPr>
                <w:rFonts w:ascii="Arial" w:hAnsi="Arial" w:cs="Arial"/>
                <w:bCs/>
                <w:sz w:val="20"/>
                <w:szCs w:val="20"/>
              </w:rPr>
            </w:pPr>
            <w:r w:rsidRPr="00424B31">
              <w:rPr>
                <w:rFonts w:ascii="Arial" w:hAnsi="Arial" w:cs="Arial"/>
                <w:bCs/>
                <w:sz w:val="20"/>
                <w:szCs w:val="20"/>
              </w:rPr>
              <w:t xml:space="preserve">Better-suited alternatives: Models such as </w:t>
            </w:r>
            <w:r w:rsidR="00C733E5" w:rsidRPr="00424B31">
              <w:rPr>
                <w:rFonts w:ascii="Arial" w:hAnsi="Arial" w:cs="Arial"/>
                <w:bCs/>
                <w:sz w:val="20"/>
                <w:szCs w:val="20"/>
              </w:rPr>
              <w:t>GARCH (</w:t>
            </w:r>
            <w:r w:rsidRPr="00424B31">
              <w:rPr>
                <w:rFonts w:ascii="Arial" w:hAnsi="Arial" w:cs="Arial"/>
                <w:bCs/>
                <w:sz w:val="20"/>
                <w:szCs w:val="20"/>
              </w:rPr>
              <w:t>1</w:t>
            </w:r>
            <w:r w:rsidR="00C733E5" w:rsidRPr="00424B31">
              <w:rPr>
                <w:rFonts w:ascii="Arial" w:hAnsi="Arial" w:cs="Arial"/>
                <w:bCs/>
                <w:sz w:val="20"/>
                <w:szCs w:val="20"/>
              </w:rPr>
              <w:t>, 1</w:t>
            </w:r>
            <w:r w:rsidRPr="00424B31">
              <w:rPr>
                <w:rFonts w:ascii="Arial" w:hAnsi="Arial" w:cs="Arial"/>
                <w:bCs/>
                <w:sz w:val="20"/>
                <w:szCs w:val="20"/>
              </w:rPr>
              <w:t xml:space="preserve">) or EGARCH with Student-t innovations should be considered as baselines. </w:t>
            </w:r>
          </w:p>
          <w:p w:rsidR="001238A3" w:rsidRPr="00424B31" w:rsidRDefault="001238A3" w:rsidP="00002766">
            <w:pPr>
              <w:pStyle w:val="ListParagraph"/>
              <w:ind w:left="0"/>
              <w:jc w:val="both"/>
              <w:rPr>
                <w:rFonts w:ascii="Arial" w:hAnsi="Arial" w:cs="Arial"/>
                <w:b/>
                <w:bCs/>
                <w:sz w:val="20"/>
                <w:szCs w:val="20"/>
              </w:rPr>
            </w:pPr>
            <w:r w:rsidRPr="00424B31">
              <w:rPr>
                <w:rFonts w:ascii="Arial" w:hAnsi="Arial" w:cs="Arial"/>
                <w:b/>
                <w:bCs/>
                <w:sz w:val="20"/>
                <w:szCs w:val="20"/>
              </w:rPr>
              <w:t>Economic Interpretation</w:t>
            </w:r>
            <w:r w:rsidR="00C733E5" w:rsidRPr="00424B31">
              <w:rPr>
                <w:rFonts w:ascii="Arial" w:hAnsi="Arial" w:cs="Arial"/>
                <w:b/>
                <w:bCs/>
                <w:sz w:val="20"/>
                <w:szCs w:val="20"/>
              </w:rPr>
              <w:t>:</w:t>
            </w:r>
          </w:p>
          <w:p w:rsidR="001238A3" w:rsidRPr="00424B31" w:rsidRDefault="001238A3" w:rsidP="00002766">
            <w:pPr>
              <w:pStyle w:val="ListParagraph"/>
              <w:numPr>
                <w:ilvl w:val="0"/>
                <w:numId w:val="23"/>
              </w:numPr>
              <w:jc w:val="both"/>
              <w:rPr>
                <w:rFonts w:ascii="Arial" w:hAnsi="Arial" w:cs="Arial"/>
                <w:bCs/>
                <w:sz w:val="20"/>
                <w:szCs w:val="20"/>
              </w:rPr>
            </w:pPr>
            <w:r w:rsidRPr="00424B31">
              <w:rPr>
                <w:rFonts w:ascii="Arial" w:hAnsi="Arial" w:cs="Arial"/>
                <w:bCs/>
                <w:sz w:val="20"/>
                <w:szCs w:val="20"/>
              </w:rPr>
              <w:t>Statements about inflation rates, RBI policy, and other macroeconomic factors are anecdotal and lack citations.</w:t>
            </w:r>
          </w:p>
          <w:p w:rsidR="001238A3" w:rsidRPr="00424B31" w:rsidRDefault="001238A3" w:rsidP="00002766">
            <w:pPr>
              <w:pStyle w:val="ListParagraph"/>
              <w:numPr>
                <w:ilvl w:val="0"/>
                <w:numId w:val="23"/>
              </w:numPr>
              <w:jc w:val="both"/>
              <w:rPr>
                <w:rFonts w:ascii="Arial" w:hAnsi="Arial" w:cs="Arial"/>
                <w:bCs/>
                <w:sz w:val="20"/>
                <w:szCs w:val="20"/>
              </w:rPr>
            </w:pPr>
            <w:r w:rsidRPr="00424B31">
              <w:rPr>
                <w:rFonts w:ascii="Arial" w:hAnsi="Arial" w:cs="Arial"/>
                <w:bCs/>
                <w:sz w:val="20"/>
                <w:szCs w:val="20"/>
              </w:rPr>
              <w:t xml:space="preserve">The analysis does not connect </w:t>
            </w:r>
            <w:proofErr w:type="spellStart"/>
            <w:r w:rsidRPr="00424B31">
              <w:rPr>
                <w:rFonts w:ascii="Arial" w:hAnsi="Arial" w:cs="Arial"/>
                <w:bCs/>
                <w:sz w:val="20"/>
                <w:szCs w:val="20"/>
              </w:rPr>
              <w:t>VaR</w:t>
            </w:r>
            <w:proofErr w:type="spellEnd"/>
            <w:r w:rsidRPr="00424B31">
              <w:rPr>
                <w:rFonts w:ascii="Arial" w:hAnsi="Arial" w:cs="Arial"/>
                <w:bCs/>
                <w:sz w:val="20"/>
                <w:szCs w:val="20"/>
              </w:rPr>
              <w:t>/</w:t>
            </w:r>
            <w:proofErr w:type="spellStart"/>
            <w:r w:rsidRPr="00424B31">
              <w:rPr>
                <w:rFonts w:ascii="Arial" w:hAnsi="Arial" w:cs="Arial"/>
                <w:bCs/>
                <w:sz w:val="20"/>
                <w:szCs w:val="20"/>
              </w:rPr>
              <w:t>CVaR</w:t>
            </w:r>
            <w:proofErr w:type="spellEnd"/>
            <w:r w:rsidRPr="00424B31">
              <w:rPr>
                <w:rFonts w:ascii="Arial" w:hAnsi="Arial" w:cs="Arial"/>
                <w:bCs/>
                <w:sz w:val="20"/>
                <w:szCs w:val="20"/>
              </w:rPr>
              <w:t xml:space="preserve"> results to portfolio allocation, sector hedging strategies, or regula</w:t>
            </w:r>
            <w:r w:rsidR="00002766" w:rsidRPr="00424B31">
              <w:rPr>
                <w:rFonts w:ascii="Arial" w:hAnsi="Arial" w:cs="Arial"/>
                <w:bCs/>
                <w:sz w:val="20"/>
                <w:szCs w:val="20"/>
              </w:rPr>
              <w:t>tory risk capital requirements.</w:t>
            </w:r>
          </w:p>
          <w:p w:rsidR="001238A3" w:rsidRPr="00424B31" w:rsidRDefault="001238A3" w:rsidP="0094050E">
            <w:pPr>
              <w:pStyle w:val="ListParagraph"/>
              <w:ind w:left="0"/>
              <w:jc w:val="both"/>
              <w:rPr>
                <w:rFonts w:ascii="Arial" w:hAnsi="Arial" w:cs="Arial"/>
                <w:bCs/>
                <w:sz w:val="20"/>
                <w:szCs w:val="20"/>
              </w:rPr>
            </w:pPr>
          </w:p>
        </w:tc>
        <w:tc>
          <w:tcPr>
            <w:tcW w:w="1523" w:type="pct"/>
          </w:tcPr>
          <w:p w:rsidR="00BE5C96" w:rsidRPr="00424B31" w:rsidRDefault="00BE5C96">
            <w:pPr>
              <w:pStyle w:val="Heading2"/>
              <w:jc w:val="left"/>
              <w:rPr>
                <w:rFonts w:ascii="Arial" w:hAnsi="Arial" w:cs="Arial"/>
                <w:b w:val="0"/>
                <w:lang w:val="en-GB"/>
              </w:rPr>
            </w:pPr>
          </w:p>
        </w:tc>
      </w:tr>
      <w:tr w:rsidR="00BE5C96" w:rsidRPr="00424B31">
        <w:trPr>
          <w:trHeight w:val="703"/>
        </w:trPr>
        <w:tc>
          <w:tcPr>
            <w:tcW w:w="1265" w:type="pct"/>
            <w:noWrap/>
          </w:tcPr>
          <w:p w:rsidR="00BE5C96" w:rsidRPr="00424B31" w:rsidRDefault="00BE5C96">
            <w:pPr>
              <w:ind w:left="360"/>
              <w:rPr>
                <w:rFonts w:ascii="Arial" w:hAnsi="Arial" w:cs="Arial"/>
                <w:b/>
                <w:bCs/>
                <w:sz w:val="20"/>
                <w:szCs w:val="20"/>
                <w:lang w:val="en-GB"/>
              </w:rPr>
            </w:pPr>
            <w:r w:rsidRPr="00424B3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BE5C96" w:rsidRPr="00424B31" w:rsidRDefault="00E566FC">
            <w:pPr>
              <w:pStyle w:val="ListParagraph"/>
              <w:ind w:left="0"/>
              <w:rPr>
                <w:rFonts w:ascii="Arial" w:hAnsi="Arial" w:cs="Arial"/>
                <w:bCs/>
                <w:sz w:val="20"/>
                <w:szCs w:val="20"/>
                <w:lang w:val="en-GB"/>
              </w:rPr>
            </w:pPr>
            <w:r w:rsidRPr="00424B31">
              <w:rPr>
                <w:rFonts w:ascii="Arial" w:hAnsi="Arial" w:cs="Arial"/>
                <w:bCs/>
                <w:sz w:val="20"/>
                <w:szCs w:val="20"/>
                <w:lang w:val="en-GB"/>
              </w:rPr>
              <w:t xml:space="preserve">You should add foundational references, for example; (Samuelson 1965; Black &amp; Scholes 1973; Merton 1976 for jumps; Hull for textbook clarity) and key empirical stylized-facts papers (e.g., </w:t>
            </w:r>
            <w:proofErr w:type="spellStart"/>
            <w:r w:rsidRPr="00424B31">
              <w:rPr>
                <w:rFonts w:ascii="Arial" w:hAnsi="Arial" w:cs="Arial"/>
                <w:bCs/>
                <w:sz w:val="20"/>
                <w:szCs w:val="20"/>
                <w:lang w:val="en-GB"/>
              </w:rPr>
              <w:t>Cont</w:t>
            </w:r>
            <w:proofErr w:type="spellEnd"/>
            <w:r w:rsidRPr="00424B31">
              <w:rPr>
                <w:rFonts w:ascii="Arial" w:hAnsi="Arial" w:cs="Arial"/>
                <w:bCs/>
                <w:sz w:val="20"/>
                <w:szCs w:val="20"/>
                <w:lang w:val="en-GB"/>
              </w:rPr>
              <w:t xml:space="preserve"> 2001; Poon &amp; Granger 2003). Add risk measurement standards like: (J.P. Morgan/Reuters Risk Metrics 1996; </w:t>
            </w:r>
            <w:proofErr w:type="spellStart"/>
            <w:r w:rsidRPr="00424B31">
              <w:rPr>
                <w:rFonts w:ascii="Arial" w:hAnsi="Arial" w:cs="Arial"/>
                <w:bCs/>
                <w:sz w:val="20"/>
                <w:szCs w:val="20"/>
                <w:lang w:val="en-GB"/>
              </w:rPr>
              <w:t>Danielsson’s</w:t>
            </w:r>
            <w:proofErr w:type="spellEnd"/>
            <w:r w:rsidRPr="00424B31">
              <w:rPr>
                <w:rFonts w:ascii="Arial" w:hAnsi="Arial" w:cs="Arial"/>
                <w:bCs/>
                <w:sz w:val="20"/>
                <w:szCs w:val="20"/>
                <w:lang w:val="en-GB"/>
              </w:rPr>
              <w:t xml:space="preserve"> work), </w:t>
            </w:r>
            <w:proofErr w:type="spellStart"/>
            <w:r w:rsidRPr="00424B31">
              <w:rPr>
                <w:rFonts w:ascii="Arial" w:hAnsi="Arial" w:cs="Arial"/>
                <w:bCs/>
                <w:sz w:val="20"/>
                <w:szCs w:val="20"/>
                <w:lang w:val="en-GB"/>
              </w:rPr>
              <w:t>VaR</w:t>
            </w:r>
            <w:proofErr w:type="spellEnd"/>
            <w:r w:rsidRPr="00424B31">
              <w:rPr>
                <w:rFonts w:ascii="Arial" w:hAnsi="Arial" w:cs="Arial"/>
                <w:bCs/>
                <w:sz w:val="20"/>
                <w:szCs w:val="20"/>
                <w:lang w:val="en-GB"/>
              </w:rPr>
              <w:t xml:space="preserve"> </w:t>
            </w:r>
            <w:proofErr w:type="spellStart"/>
            <w:r w:rsidRPr="00424B31">
              <w:rPr>
                <w:rFonts w:ascii="Arial" w:hAnsi="Arial" w:cs="Arial"/>
                <w:bCs/>
                <w:sz w:val="20"/>
                <w:szCs w:val="20"/>
                <w:lang w:val="en-GB"/>
              </w:rPr>
              <w:t>backtesting</w:t>
            </w:r>
            <w:proofErr w:type="spellEnd"/>
            <w:r w:rsidRPr="00424B31">
              <w:rPr>
                <w:rFonts w:ascii="Arial" w:hAnsi="Arial" w:cs="Arial"/>
                <w:bCs/>
                <w:sz w:val="20"/>
                <w:szCs w:val="20"/>
                <w:lang w:val="en-GB"/>
              </w:rPr>
              <w:t xml:space="preserve"> references (</w:t>
            </w:r>
            <w:proofErr w:type="spellStart"/>
            <w:r w:rsidRPr="00424B31">
              <w:rPr>
                <w:rFonts w:ascii="Arial" w:hAnsi="Arial" w:cs="Arial"/>
                <w:bCs/>
                <w:sz w:val="20"/>
                <w:szCs w:val="20"/>
                <w:lang w:val="en-GB"/>
              </w:rPr>
              <w:t>Kupiec</w:t>
            </w:r>
            <w:proofErr w:type="spellEnd"/>
            <w:r w:rsidRPr="00424B31">
              <w:rPr>
                <w:rFonts w:ascii="Arial" w:hAnsi="Arial" w:cs="Arial"/>
                <w:bCs/>
                <w:sz w:val="20"/>
                <w:szCs w:val="20"/>
                <w:lang w:val="en-GB"/>
              </w:rPr>
              <w:t xml:space="preserve"> 1995; </w:t>
            </w:r>
            <w:proofErr w:type="spellStart"/>
            <w:r w:rsidRPr="00424B31">
              <w:rPr>
                <w:rFonts w:ascii="Arial" w:hAnsi="Arial" w:cs="Arial"/>
                <w:bCs/>
                <w:sz w:val="20"/>
                <w:szCs w:val="20"/>
                <w:lang w:val="en-GB"/>
              </w:rPr>
              <w:t>Christoffersen</w:t>
            </w:r>
            <w:proofErr w:type="spellEnd"/>
            <w:r w:rsidRPr="00424B31">
              <w:rPr>
                <w:rFonts w:ascii="Arial" w:hAnsi="Arial" w:cs="Arial"/>
                <w:bCs/>
                <w:sz w:val="20"/>
                <w:szCs w:val="20"/>
                <w:lang w:val="en-GB"/>
              </w:rPr>
              <w:t xml:space="preserve"> 1998).</w:t>
            </w:r>
          </w:p>
          <w:p w:rsidR="0094050E" w:rsidRPr="00424B31" w:rsidRDefault="0094050E">
            <w:pPr>
              <w:pStyle w:val="ListParagraph"/>
              <w:ind w:left="0"/>
              <w:rPr>
                <w:rFonts w:ascii="Arial" w:hAnsi="Arial" w:cs="Arial"/>
                <w:bCs/>
                <w:sz w:val="20"/>
                <w:szCs w:val="20"/>
                <w:lang w:val="en-GB"/>
              </w:rPr>
            </w:pPr>
          </w:p>
        </w:tc>
        <w:tc>
          <w:tcPr>
            <w:tcW w:w="1523" w:type="pct"/>
          </w:tcPr>
          <w:p w:rsidR="00BE5C96" w:rsidRPr="00424B31" w:rsidRDefault="00BE5C96">
            <w:pPr>
              <w:pStyle w:val="Heading2"/>
              <w:jc w:val="left"/>
              <w:rPr>
                <w:rFonts w:ascii="Arial" w:hAnsi="Arial" w:cs="Arial"/>
                <w:b w:val="0"/>
                <w:lang w:val="en-GB"/>
              </w:rPr>
            </w:pPr>
          </w:p>
        </w:tc>
      </w:tr>
      <w:tr w:rsidR="00BE5C96" w:rsidRPr="00424B31">
        <w:trPr>
          <w:trHeight w:val="386"/>
        </w:trPr>
        <w:tc>
          <w:tcPr>
            <w:tcW w:w="1265" w:type="pct"/>
            <w:noWrap/>
          </w:tcPr>
          <w:p w:rsidR="00BE5C96" w:rsidRPr="00424B31" w:rsidRDefault="00BE5C96">
            <w:pPr>
              <w:pStyle w:val="Heading2"/>
              <w:ind w:left="360"/>
              <w:jc w:val="left"/>
              <w:rPr>
                <w:rFonts w:ascii="Arial" w:hAnsi="Arial" w:cs="Arial"/>
                <w:bCs w:val="0"/>
                <w:lang w:val="en-GB"/>
              </w:rPr>
            </w:pPr>
            <w:r w:rsidRPr="00424B31">
              <w:rPr>
                <w:rFonts w:ascii="Arial" w:hAnsi="Arial" w:cs="Arial"/>
                <w:bCs w:val="0"/>
                <w:lang w:val="en-GB"/>
              </w:rPr>
              <w:lastRenderedPageBreak/>
              <w:t>Is the language/English quality of the article suitable for scholarly communications?</w:t>
            </w:r>
          </w:p>
          <w:p w:rsidR="00BE5C96" w:rsidRPr="00424B31" w:rsidRDefault="00BE5C96">
            <w:pPr>
              <w:rPr>
                <w:rFonts w:ascii="Arial" w:hAnsi="Arial" w:cs="Arial"/>
                <w:sz w:val="20"/>
                <w:szCs w:val="20"/>
                <w:lang w:val="en-GB"/>
              </w:rPr>
            </w:pPr>
          </w:p>
        </w:tc>
        <w:tc>
          <w:tcPr>
            <w:tcW w:w="2212" w:type="pct"/>
          </w:tcPr>
          <w:p w:rsidR="007C66EA" w:rsidRPr="00424B31" w:rsidRDefault="007C66EA" w:rsidP="007C66EA">
            <w:pPr>
              <w:rPr>
                <w:rFonts w:ascii="Arial" w:hAnsi="Arial" w:cs="Arial"/>
                <w:sz w:val="20"/>
                <w:szCs w:val="20"/>
                <w:lang w:val="en-GB"/>
              </w:rPr>
            </w:pPr>
            <w:r w:rsidRPr="00424B31">
              <w:rPr>
                <w:rFonts w:ascii="Arial" w:hAnsi="Arial" w:cs="Arial"/>
                <w:sz w:val="20"/>
                <w:szCs w:val="20"/>
                <w:lang w:val="en-GB"/>
              </w:rPr>
              <w:t>Overall, the manuscript is clear and understandable in English; however, it would benefit from more precise phrasing and more academic language. Some sentences are longer than they ought to be (repetition or casual macro commentary on the side). Be concise and straight to the point while backing up the result or</w:t>
            </w:r>
            <w:r w:rsidR="00C733E5" w:rsidRPr="00424B31">
              <w:rPr>
                <w:rFonts w:ascii="Arial" w:hAnsi="Arial" w:cs="Arial"/>
                <w:sz w:val="20"/>
                <w:szCs w:val="20"/>
                <w:lang w:val="en-GB"/>
              </w:rPr>
              <w:t xml:space="preserve"> idea with a citation</w:t>
            </w:r>
            <w:r w:rsidRPr="00424B31">
              <w:rPr>
                <w:rFonts w:ascii="Arial" w:hAnsi="Arial" w:cs="Arial"/>
                <w:sz w:val="20"/>
                <w:szCs w:val="20"/>
                <w:lang w:val="en-GB"/>
              </w:rPr>
              <w:t>.</w:t>
            </w:r>
            <w:r w:rsidR="00E566FC" w:rsidRPr="00424B31">
              <w:rPr>
                <w:rFonts w:ascii="Arial" w:hAnsi="Arial" w:cs="Arial"/>
                <w:sz w:val="20"/>
                <w:szCs w:val="20"/>
                <w:lang w:val="en-GB"/>
              </w:rPr>
              <w:t xml:space="preserve"> </w:t>
            </w:r>
            <w:r w:rsidR="001F0825" w:rsidRPr="00424B31">
              <w:rPr>
                <w:rFonts w:ascii="Arial" w:hAnsi="Arial" w:cs="Arial"/>
                <w:sz w:val="20"/>
                <w:szCs w:val="20"/>
                <w:lang w:val="en-GB"/>
              </w:rPr>
              <w:t>Also, you need to standardize</w:t>
            </w:r>
            <w:r w:rsidRPr="00424B31">
              <w:rPr>
                <w:rFonts w:ascii="Arial" w:hAnsi="Arial" w:cs="Arial"/>
                <w:sz w:val="20"/>
                <w:szCs w:val="20"/>
                <w:lang w:val="en-GB"/>
              </w:rPr>
              <w:t xml:space="preserve"> tense, </w:t>
            </w:r>
            <w:r w:rsidR="001F0825" w:rsidRPr="00424B31">
              <w:rPr>
                <w:rFonts w:ascii="Arial" w:hAnsi="Arial" w:cs="Arial"/>
                <w:sz w:val="20"/>
                <w:szCs w:val="20"/>
                <w:lang w:val="en-GB"/>
              </w:rPr>
              <w:t xml:space="preserve">give </w:t>
            </w:r>
            <w:r w:rsidRPr="00424B31">
              <w:rPr>
                <w:rFonts w:ascii="Arial" w:hAnsi="Arial" w:cs="Arial"/>
                <w:sz w:val="20"/>
                <w:szCs w:val="20"/>
                <w:lang w:val="en-GB"/>
              </w:rPr>
              <w:t>full referencing of the external figures/data sources, and presenting technical terms such as μ, σ, dt uniformly throughout (add a nomenclature)</w:t>
            </w:r>
            <w:r w:rsidR="001F0825" w:rsidRPr="00424B31">
              <w:rPr>
                <w:rFonts w:ascii="Arial" w:hAnsi="Arial" w:cs="Arial"/>
                <w:sz w:val="20"/>
                <w:szCs w:val="20"/>
                <w:lang w:val="en-GB"/>
              </w:rPr>
              <w:t>.</w:t>
            </w:r>
          </w:p>
          <w:p w:rsidR="00BE5C96" w:rsidRPr="00424B31" w:rsidRDefault="00BE5C96" w:rsidP="007C66EA">
            <w:pPr>
              <w:rPr>
                <w:rFonts w:ascii="Arial" w:hAnsi="Arial" w:cs="Arial"/>
                <w:sz w:val="20"/>
                <w:szCs w:val="20"/>
                <w:lang w:val="en-GB"/>
              </w:rPr>
            </w:pPr>
          </w:p>
        </w:tc>
        <w:tc>
          <w:tcPr>
            <w:tcW w:w="1523" w:type="pct"/>
          </w:tcPr>
          <w:p w:rsidR="00BE5C96" w:rsidRPr="00424B31" w:rsidRDefault="00BE5C96">
            <w:pPr>
              <w:rPr>
                <w:rFonts w:ascii="Arial" w:hAnsi="Arial" w:cs="Arial"/>
                <w:sz w:val="20"/>
                <w:szCs w:val="20"/>
                <w:lang w:val="en-GB"/>
              </w:rPr>
            </w:pPr>
          </w:p>
        </w:tc>
      </w:tr>
      <w:tr w:rsidR="00BE5C96" w:rsidRPr="00424B31">
        <w:trPr>
          <w:trHeight w:val="1178"/>
        </w:trPr>
        <w:tc>
          <w:tcPr>
            <w:tcW w:w="1265" w:type="pct"/>
            <w:noWrap/>
          </w:tcPr>
          <w:p w:rsidR="00BE5C96" w:rsidRPr="00424B31" w:rsidRDefault="00BE5C96">
            <w:pPr>
              <w:pStyle w:val="Heading2"/>
              <w:jc w:val="left"/>
              <w:rPr>
                <w:rFonts w:ascii="Arial" w:hAnsi="Arial" w:cs="Arial"/>
                <w:b w:val="0"/>
                <w:bCs w:val="0"/>
                <w:lang w:val="en-GB"/>
              </w:rPr>
            </w:pPr>
            <w:r w:rsidRPr="00424B31">
              <w:rPr>
                <w:rFonts w:ascii="Arial" w:hAnsi="Arial" w:cs="Arial"/>
                <w:bCs w:val="0"/>
                <w:u w:val="single"/>
                <w:lang w:val="en-GB"/>
              </w:rPr>
              <w:t>Optional/General</w:t>
            </w:r>
            <w:r w:rsidRPr="00424B31">
              <w:rPr>
                <w:rFonts w:ascii="Arial" w:hAnsi="Arial" w:cs="Arial"/>
                <w:bCs w:val="0"/>
                <w:lang w:val="en-GB"/>
              </w:rPr>
              <w:t xml:space="preserve"> </w:t>
            </w:r>
            <w:r w:rsidRPr="00424B31">
              <w:rPr>
                <w:rFonts w:ascii="Arial" w:hAnsi="Arial" w:cs="Arial"/>
                <w:b w:val="0"/>
                <w:bCs w:val="0"/>
                <w:lang w:val="en-GB"/>
              </w:rPr>
              <w:t>comments</w:t>
            </w:r>
          </w:p>
          <w:p w:rsidR="00BE5C96" w:rsidRPr="00424B31" w:rsidRDefault="00BE5C96">
            <w:pPr>
              <w:pStyle w:val="Heading2"/>
              <w:jc w:val="left"/>
              <w:rPr>
                <w:rFonts w:ascii="Arial" w:hAnsi="Arial" w:cs="Arial"/>
                <w:b w:val="0"/>
                <w:lang w:val="en-GB"/>
              </w:rPr>
            </w:pPr>
          </w:p>
        </w:tc>
        <w:tc>
          <w:tcPr>
            <w:tcW w:w="2212" w:type="pct"/>
          </w:tcPr>
          <w:p w:rsidR="001F0825" w:rsidRPr="00424B31" w:rsidRDefault="001F0825" w:rsidP="00C733E5">
            <w:pPr>
              <w:pStyle w:val="NormalWeb"/>
              <w:numPr>
                <w:ilvl w:val="0"/>
                <w:numId w:val="24"/>
              </w:numPr>
              <w:rPr>
                <w:rFonts w:ascii="Arial" w:hAnsi="Arial" w:cs="Arial"/>
                <w:sz w:val="20"/>
                <w:szCs w:val="20"/>
                <w:lang w:val="en-GB"/>
              </w:rPr>
            </w:pPr>
            <w:r w:rsidRPr="00424B31">
              <w:rPr>
                <w:rFonts w:ascii="Arial" w:hAnsi="Arial" w:cs="Arial"/>
                <w:sz w:val="20"/>
                <w:szCs w:val="20"/>
                <w:lang w:val="en-GB"/>
              </w:rPr>
              <w:t>Harmonize figure numbering (some panels referenced do not appear, e.g., “1(</w:t>
            </w:r>
            <w:proofErr w:type="spellStart"/>
            <w:r w:rsidRPr="00424B31">
              <w:rPr>
                <w:rFonts w:ascii="Arial" w:hAnsi="Arial" w:cs="Arial"/>
                <w:sz w:val="20"/>
                <w:szCs w:val="20"/>
                <w:lang w:val="en-GB"/>
              </w:rPr>
              <w:t>i</w:t>
            </w:r>
            <w:proofErr w:type="spellEnd"/>
            <w:r w:rsidRPr="00424B31">
              <w:rPr>
                <w:rFonts w:ascii="Arial" w:hAnsi="Arial" w:cs="Arial"/>
                <w:sz w:val="20"/>
                <w:szCs w:val="20"/>
                <w:lang w:val="en-GB"/>
              </w:rPr>
              <w:t>)”).</w:t>
            </w:r>
            <w:r w:rsidR="00E566FC" w:rsidRPr="00424B31">
              <w:rPr>
                <w:rFonts w:ascii="Arial" w:hAnsi="Arial" w:cs="Arial"/>
                <w:sz w:val="20"/>
                <w:szCs w:val="20"/>
                <w:lang w:val="en-GB"/>
              </w:rPr>
              <w:t xml:space="preserve"> Just make sure numbers are correct and matching your figures’ captions.</w:t>
            </w:r>
          </w:p>
          <w:p w:rsidR="001F0825" w:rsidRPr="00424B31" w:rsidRDefault="001F0825" w:rsidP="00C733E5">
            <w:pPr>
              <w:pStyle w:val="NormalWeb"/>
              <w:numPr>
                <w:ilvl w:val="0"/>
                <w:numId w:val="24"/>
              </w:numPr>
              <w:rPr>
                <w:rFonts w:ascii="Arial" w:hAnsi="Arial" w:cs="Arial"/>
                <w:sz w:val="20"/>
                <w:szCs w:val="20"/>
                <w:lang w:val="en-GB"/>
              </w:rPr>
            </w:pPr>
            <w:r w:rsidRPr="00424B31">
              <w:rPr>
                <w:rFonts w:ascii="Arial" w:hAnsi="Arial" w:cs="Arial"/>
                <w:sz w:val="20"/>
                <w:szCs w:val="20"/>
                <w:lang w:val="en-GB"/>
              </w:rPr>
              <w:t>Use consistent date format</w:t>
            </w:r>
            <w:r w:rsidR="00E566FC" w:rsidRPr="00424B31">
              <w:rPr>
                <w:rFonts w:ascii="Arial" w:hAnsi="Arial" w:cs="Arial"/>
                <w:sz w:val="20"/>
                <w:szCs w:val="20"/>
                <w:lang w:val="en-GB"/>
              </w:rPr>
              <w:t>s and enlighten</w:t>
            </w:r>
            <w:r w:rsidRPr="00424B31">
              <w:rPr>
                <w:rFonts w:ascii="Arial" w:hAnsi="Arial" w:cs="Arial"/>
                <w:sz w:val="20"/>
                <w:szCs w:val="20"/>
                <w:lang w:val="en-GB"/>
              </w:rPr>
              <w:t xml:space="preserve"> whether “FY 2024/2025” refers to fiscal or calendar year.</w:t>
            </w:r>
          </w:p>
          <w:p w:rsidR="001F0825" w:rsidRPr="00424B31" w:rsidRDefault="001F0825" w:rsidP="00C733E5">
            <w:pPr>
              <w:pStyle w:val="NormalWeb"/>
              <w:numPr>
                <w:ilvl w:val="0"/>
                <w:numId w:val="24"/>
              </w:numPr>
              <w:rPr>
                <w:rFonts w:ascii="Arial" w:hAnsi="Arial" w:cs="Arial"/>
                <w:sz w:val="20"/>
                <w:szCs w:val="20"/>
                <w:lang w:val="en-GB"/>
              </w:rPr>
            </w:pPr>
            <w:r w:rsidRPr="00424B31">
              <w:rPr>
                <w:rFonts w:ascii="Arial" w:hAnsi="Arial" w:cs="Arial"/>
                <w:sz w:val="20"/>
                <w:szCs w:val="20"/>
                <w:lang w:val="en-GB"/>
              </w:rPr>
              <w:t>Ensure all numbers have units (index points vs pe</w:t>
            </w:r>
            <w:r w:rsidR="00E566FC" w:rsidRPr="00424B31">
              <w:rPr>
                <w:rFonts w:ascii="Arial" w:hAnsi="Arial" w:cs="Arial"/>
                <w:sz w:val="20"/>
                <w:szCs w:val="20"/>
                <w:lang w:val="en-GB"/>
              </w:rPr>
              <w:t>rcent) and consistently precise.</w:t>
            </w:r>
          </w:p>
          <w:p w:rsidR="00BE5C96" w:rsidRPr="00424B31" w:rsidRDefault="001F0825" w:rsidP="00C733E5">
            <w:pPr>
              <w:pStyle w:val="NormalWeb"/>
              <w:numPr>
                <w:ilvl w:val="0"/>
                <w:numId w:val="24"/>
              </w:numPr>
              <w:spacing w:before="0" w:beforeAutospacing="0" w:after="0" w:afterAutospacing="0"/>
              <w:rPr>
                <w:rFonts w:ascii="Arial" w:hAnsi="Arial" w:cs="Arial"/>
                <w:b/>
                <w:sz w:val="20"/>
                <w:szCs w:val="20"/>
                <w:lang w:val="en-GB"/>
              </w:rPr>
            </w:pPr>
            <w:r w:rsidRPr="00424B31">
              <w:rPr>
                <w:rFonts w:ascii="Arial" w:hAnsi="Arial" w:cs="Arial"/>
                <w:sz w:val="20"/>
                <w:szCs w:val="20"/>
                <w:lang w:val="en-GB"/>
              </w:rPr>
              <w:t>Provide sector tickers (e.g., NI</w:t>
            </w:r>
            <w:r w:rsidR="00E566FC" w:rsidRPr="00424B31">
              <w:rPr>
                <w:rFonts w:ascii="Arial" w:hAnsi="Arial" w:cs="Arial"/>
                <w:sz w:val="20"/>
                <w:szCs w:val="20"/>
                <w:lang w:val="en-GB"/>
              </w:rPr>
              <w:t>FTYIT, NIFTYFMCG) and exact download dates from the NSE</w:t>
            </w:r>
            <w:r w:rsidR="00C733E5" w:rsidRPr="00424B31">
              <w:rPr>
                <w:rFonts w:ascii="Arial" w:hAnsi="Arial" w:cs="Arial"/>
                <w:sz w:val="20"/>
                <w:szCs w:val="20"/>
                <w:lang w:val="en-GB"/>
              </w:rPr>
              <w:t>.</w:t>
            </w:r>
          </w:p>
        </w:tc>
        <w:tc>
          <w:tcPr>
            <w:tcW w:w="1523" w:type="pct"/>
          </w:tcPr>
          <w:p w:rsidR="00BE5C96" w:rsidRPr="00424B31" w:rsidRDefault="00BE5C96">
            <w:pPr>
              <w:rPr>
                <w:rFonts w:ascii="Arial" w:hAnsi="Arial" w:cs="Arial"/>
                <w:sz w:val="20"/>
                <w:szCs w:val="20"/>
                <w:lang w:val="en-GB"/>
              </w:rPr>
            </w:pPr>
          </w:p>
        </w:tc>
      </w:tr>
    </w:tbl>
    <w:p w:rsidR="00BE5C96" w:rsidRPr="00424B31" w:rsidRDefault="00BE5C96" w:rsidP="00BE5C96">
      <w:pPr>
        <w:pStyle w:val="BodyText"/>
        <w:rPr>
          <w:rFonts w:ascii="Arial" w:hAnsi="Arial" w:cs="Arial"/>
          <w:b/>
          <w:bCs/>
          <w:sz w:val="20"/>
          <w:szCs w:val="20"/>
          <w:u w:val="single"/>
          <w:lang w:val="en-GB"/>
        </w:rPr>
      </w:pPr>
    </w:p>
    <w:p w:rsidR="00005965" w:rsidRPr="00424B31" w:rsidRDefault="00005965" w:rsidP="00BE5C96">
      <w:pPr>
        <w:pStyle w:val="BodyText"/>
        <w:rPr>
          <w:rFonts w:ascii="Arial" w:hAnsi="Arial" w:cs="Arial"/>
          <w:b/>
          <w:bCs/>
          <w:sz w:val="20"/>
          <w:szCs w:val="20"/>
          <w:u w:val="single"/>
          <w:lang w:val="en-GB"/>
        </w:rPr>
      </w:pPr>
    </w:p>
    <w:p w:rsidR="00005965" w:rsidRPr="00424B31" w:rsidRDefault="00005965" w:rsidP="00BE5C9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05965" w:rsidRPr="00424B31" w:rsidTr="0000596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05965" w:rsidRPr="00424B31" w:rsidRDefault="00005965">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424B31">
              <w:rPr>
                <w:rFonts w:ascii="Arial" w:eastAsia="Arial Unicode MS" w:hAnsi="Arial" w:cs="Arial"/>
                <w:b/>
                <w:sz w:val="20"/>
                <w:szCs w:val="20"/>
                <w:highlight w:val="yellow"/>
                <w:u w:val="single"/>
                <w:lang w:val="en-GB"/>
              </w:rPr>
              <w:t>PART  2:</w:t>
            </w:r>
            <w:r w:rsidRPr="00424B31">
              <w:rPr>
                <w:rFonts w:ascii="Arial" w:eastAsia="Arial Unicode MS" w:hAnsi="Arial" w:cs="Arial"/>
                <w:b/>
                <w:sz w:val="20"/>
                <w:szCs w:val="20"/>
                <w:u w:val="single"/>
                <w:lang w:val="en-GB"/>
              </w:rPr>
              <w:t xml:space="preserve"> </w:t>
            </w:r>
          </w:p>
          <w:p w:rsidR="00005965" w:rsidRPr="00424B31" w:rsidRDefault="00005965">
            <w:pPr>
              <w:spacing w:line="276" w:lineRule="auto"/>
              <w:rPr>
                <w:rFonts w:ascii="Arial" w:eastAsia="Arial Unicode MS" w:hAnsi="Arial" w:cs="Arial"/>
                <w:b/>
                <w:sz w:val="20"/>
                <w:szCs w:val="20"/>
                <w:u w:val="single"/>
                <w:lang w:val="en-GB"/>
              </w:rPr>
            </w:pPr>
          </w:p>
        </w:tc>
      </w:tr>
      <w:tr w:rsidR="00005965" w:rsidRPr="00424B31" w:rsidTr="0000596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05965" w:rsidRPr="00424B31" w:rsidRDefault="000059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5965" w:rsidRPr="00424B31" w:rsidRDefault="00005965">
            <w:pPr>
              <w:keepNext/>
              <w:spacing w:line="276" w:lineRule="auto"/>
              <w:outlineLvl w:val="1"/>
              <w:rPr>
                <w:rFonts w:ascii="Arial" w:eastAsia="MS Mincho" w:hAnsi="Arial" w:cs="Arial"/>
                <w:b/>
                <w:bCs/>
                <w:sz w:val="20"/>
                <w:szCs w:val="20"/>
                <w:lang w:val="en-GB"/>
              </w:rPr>
            </w:pPr>
            <w:r w:rsidRPr="00424B3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05965" w:rsidRPr="00424B31" w:rsidRDefault="00005965">
            <w:pPr>
              <w:spacing w:after="160" w:line="252" w:lineRule="auto"/>
              <w:rPr>
                <w:rFonts w:ascii="Arial" w:eastAsia="Calibri" w:hAnsi="Arial" w:cs="Arial"/>
                <w:kern w:val="2"/>
                <w:sz w:val="20"/>
                <w:szCs w:val="20"/>
                <w:lang w:val="en-IN"/>
              </w:rPr>
            </w:pPr>
            <w:r w:rsidRPr="00424B31">
              <w:rPr>
                <w:rFonts w:ascii="Arial" w:eastAsia="Calibri" w:hAnsi="Arial" w:cs="Arial"/>
                <w:b/>
                <w:kern w:val="2"/>
                <w:sz w:val="20"/>
                <w:szCs w:val="20"/>
                <w:lang w:val="en-IN"/>
              </w:rPr>
              <w:t>Author’s Feedback</w:t>
            </w:r>
            <w:r w:rsidRPr="00424B31">
              <w:rPr>
                <w:rFonts w:ascii="Arial" w:eastAsia="Calibri" w:hAnsi="Arial" w:cs="Arial"/>
                <w:kern w:val="2"/>
                <w:sz w:val="20"/>
                <w:szCs w:val="20"/>
                <w:lang w:val="en-IN"/>
              </w:rPr>
              <w:t xml:space="preserve"> (It is mandatory that authors should write his/her feedback here)</w:t>
            </w:r>
          </w:p>
          <w:p w:rsidR="00005965" w:rsidRPr="00424B31" w:rsidRDefault="00005965">
            <w:pPr>
              <w:keepNext/>
              <w:spacing w:line="276" w:lineRule="auto"/>
              <w:outlineLvl w:val="1"/>
              <w:rPr>
                <w:rFonts w:ascii="Arial" w:eastAsia="MS Mincho" w:hAnsi="Arial" w:cs="Arial"/>
                <w:bCs/>
                <w:sz w:val="20"/>
                <w:szCs w:val="20"/>
                <w:lang w:val="en-GB"/>
              </w:rPr>
            </w:pPr>
          </w:p>
        </w:tc>
      </w:tr>
      <w:tr w:rsidR="00005965" w:rsidRPr="00424B31" w:rsidTr="0000596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05965" w:rsidRPr="00424B31" w:rsidRDefault="00005965">
            <w:pPr>
              <w:spacing w:line="276" w:lineRule="auto"/>
              <w:rPr>
                <w:rFonts w:ascii="Arial" w:eastAsia="Arial Unicode MS" w:hAnsi="Arial" w:cs="Arial"/>
                <w:b/>
                <w:sz w:val="20"/>
                <w:szCs w:val="20"/>
                <w:lang w:val="en-GB"/>
              </w:rPr>
            </w:pPr>
            <w:r w:rsidRPr="00424B31">
              <w:rPr>
                <w:rFonts w:ascii="Arial" w:eastAsia="Arial Unicode MS" w:hAnsi="Arial" w:cs="Arial"/>
                <w:b/>
                <w:sz w:val="20"/>
                <w:szCs w:val="20"/>
                <w:lang w:val="en-GB"/>
              </w:rPr>
              <w:t xml:space="preserve">Are there ethical issues in this manuscript? </w:t>
            </w:r>
          </w:p>
          <w:p w:rsidR="00005965" w:rsidRPr="00424B31" w:rsidRDefault="000059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05965" w:rsidRPr="00424B31" w:rsidRDefault="00005965">
            <w:pPr>
              <w:spacing w:line="276" w:lineRule="auto"/>
              <w:rPr>
                <w:rFonts w:ascii="Arial" w:eastAsia="Arial Unicode MS" w:hAnsi="Arial" w:cs="Arial"/>
                <w:i/>
                <w:iCs/>
                <w:sz w:val="20"/>
                <w:szCs w:val="20"/>
                <w:u w:val="single"/>
                <w:lang w:val="en-GB"/>
              </w:rPr>
            </w:pPr>
            <w:r w:rsidRPr="00424B31">
              <w:rPr>
                <w:rFonts w:ascii="Arial" w:eastAsia="Arial Unicode MS" w:hAnsi="Arial" w:cs="Arial"/>
                <w:i/>
                <w:iCs/>
                <w:sz w:val="20"/>
                <w:szCs w:val="20"/>
                <w:u w:val="single"/>
                <w:lang w:val="en-GB"/>
              </w:rPr>
              <w:t xml:space="preserve">(If yes, </w:t>
            </w:r>
            <w:proofErr w:type="gramStart"/>
            <w:r w:rsidRPr="00424B31">
              <w:rPr>
                <w:rFonts w:ascii="Arial" w:eastAsia="Arial Unicode MS" w:hAnsi="Arial" w:cs="Arial"/>
                <w:i/>
                <w:iCs/>
                <w:sz w:val="20"/>
                <w:szCs w:val="20"/>
                <w:u w:val="single"/>
                <w:lang w:val="en-GB"/>
              </w:rPr>
              <w:t>Kindly</w:t>
            </w:r>
            <w:proofErr w:type="gramEnd"/>
            <w:r w:rsidRPr="00424B31">
              <w:rPr>
                <w:rFonts w:ascii="Arial" w:eastAsia="Arial Unicode MS" w:hAnsi="Arial" w:cs="Arial"/>
                <w:i/>
                <w:iCs/>
                <w:sz w:val="20"/>
                <w:szCs w:val="20"/>
                <w:u w:val="single"/>
                <w:lang w:val="en-GB"/>
              </w:rPr>
              <w:t xml:space="preserve"> please write down the ethical issues here in details)</w:t>
            </w:r>
          </w:p>
          <w:p w:rsidR="00005965" w:rsidRPr="00424B31" w:rsidRDefault="0000596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05965" w:rsidRPr="00424B31" w:rsidRDefault="00005965">
            <w:pPr>
              <w:spacing w:line="276" w:lineRule="auto"/>
              <w:rPr>
                <w:rFonts w:ascii="Arial" w:eastAsia="Arial Unicode MS" w:hAnsi="Arial" w:cs="Arial"/>
                <w:sz w:val="20"/>
                <w:szCs w:val="20"/>
                <w:lang w:val="en-GB"/>
              </w:rPr>
            </w:pPr>
          </w:p>
          <w:p w:rsidR="00005965" w:rsidRPr="00424B31" w:rsidRDefault="00005965">
            <w:pPr>
              <w:spacing w:line="276" w:lineRule="auto"/>
              <w:rPr>
                <w:rFonts w:ascii="Arial" w:eastAsia="Arial Unicode MS" w:hAnsi="Arial" w:cs="Arial"/>
                <w:sz w:val="20"/>
                <w:szCs w:val="20"/>
                <w:lang w:val="en-GB"/>
              </w:rPr>
            </w:pPr>
          </w:p>
          <w:p w:rsidR="00005965" w:rsidRPr="00424B31" w:rsidRDefault="00005965">
            <w:pPr>
              <w:spacing w:line="276" w:lineRule="auto"/>
              <w:rPr>
                <w:rFonts w:ascii="Arial" w:eastAsia="Arial Unicode MS" w:hAnsi="Arial" w:cs="Arial"/>
                <w:sz w:val="20"/>
                <w:szCs w:val="20"/>
                <w:lang w:val="en-GB"/>
              </w:rPr>
            </w:pPr>
          </w:p>
        </w:tc>
      </w:tr>
      <w:bookmarkEnd w:id="2"/>
    </w:tbl>
    <w:p w:rsidR="00005965" w:rsidRPr="00424B31" w:rsidRDefault="00005965" w:rsidP="00005965">
      <w:pPr>
        <w:rPr>
          <w:rFonts w:ascii="Arial" w:hAnsi="Arial" w:cs="Arial"/>
          <w:sz w:val="20"/>
          <w:szCs w:val="20"/>
        </w:rPr>
      </w:pPr>
    </w:p>
    <w:p w:rsidR="00005965" w:rsidRPr="00424B31" w:rsidRDefault="00005965" w:rsidP="00005965">
      <w:pPr>
        <w:rPr>
          <w:rFonts w:ascii="Arial" w:hAnsi="Arial" w:cs="Arial"/>
          <w:sz w:val="20"/>
          <w:szCs w:val="20"/>
        </w:rPr>
      </w:pPr>
    </w:p>
    <w:p w:rsidR="00424B31" w:rsidRPr="00424B31" w:rsidRDefault="00424B31" w:rsidP="00424B31">
      <w:pPr>
        <w:rPr>
          <w:rFonts w:ascii="Arial" w:hAnsi="Arial" w:cs="Arial"/>
          <w:b/>
          <w:sz w:val="20"/>
          <w:szCs w:val="20"/>
          <w:u w:val="single"/>
        </w:rPr>
      </w:pPr>
      <w:bookmarkStart w:id="7" w:name="_Hlk210921965"/>
      <w:r w:rsidRPr="00424B31">
        <w:rPr>
          <w:rFonts w:ascii="Arial" w:hAnsi="Arial" w:cs="Arial"/>
          <w:b/>
          <w:sz w:val="20"/>
          <w:szCs w:val="20"/>
          <w:u w:val="single"/>
        </w:rPr>
        <w:t>Reviewer details:</w:t>
      </w:r>
    </w:p>
    <w:bookmarkEnd w:id="7"/>
    <w:p w:rsidR="00005965" w:rsidRPr="00424B31" w:rsidRDefault="00005965" w:rsidP="00005965">
      <w:pPr>
        <w:rPr>
          <w:rFonts w:ascii="Arial" w:hAnsi="Arial" w:cs="Arial"/>
          <w:bCs/>
          <w:sz w:val="20"/>
          <w:szCs w:val="20"/>
          <w:u w:val="single"/>
          <w:lang w:val="en-GB"/>
        </w:rPr>
      </w:pPr>
    </w:p>
    <w:p w:rsidR="00424B31" w:rsidRPr="00424B31" w:rsidRDefault="00424B31" w:rsidP="00424B31">
      <w:pPr>
        <w:rPr>
          <w:rFonts w:ascii="Arial" w:hAnsi="Arial" w:cs="Arial"/>
          <w:b/>
          <w:bCs/>
          <w:sz w:val="20"/>
          <w:szCs w:val="20"/>
          <w:lang w:val="en-GB"/>
        </w:rPr>
      </w:pPr>
      <w:bookmarkStart w:id="8" w:name="_Hlk210922097"/>
      <w:proofErr w:type="spellStart"/>
      <w:r w:rsidRPr="00424B31">
        <w:rPr>
          <w:rFonts w:ascii="Arial" w:hAnsi="Arial" w:cs="Arial"/>
          <w:b/>
          <w:bCs/>
          <w:sz w:val="20"/>
          <w:szCs w:val="20"/>
          <w:lang w:val="en-GB"/>
        </w:rPr>
        <w:t>Moutaib</w:t>
      </w:r>
      <w:proofErr w:type="spellEnd"/>
      <w:r w:rsidRPr="00424B31">
        <w:rPr>
          <w:rFonts w:ascii="Arial" w:hAnsi="Arial" w:cs="Arial"/>
          <w:b/>
          <w:bCs/>
          <w:sz w:val="20"/>
          <w:szCs w:val="20"/>
          <w:lang w:val="en-GB"/>
        </w:rPr>
        <w:t xml:space="preserve"> </w:t>
      </w:r>
      <w:proofErr w:type="spellStart"/>
      <w:r w:rsidRPr="00424B31">
        <w:rPr>
          <w:rFonts w:ascii="Arial" w:hAnsi="Arial" w:cs="Arial"/>
          <w:b/>
          <w:bCs/>
          <w:sz w:val="20"/>
          <w:szCs w:val="20"/>
          <w:lang w:val="en-GB"/>
        </w:rPr>
        <w:t>Nouhaila</w:t>
      </w:r>
      <w:proofErr w:type="spellEnd"/>
      <w:r w:rsidRPr="00424B31">
        <w:rPr>
          <w:rFonts w:ascii="Arial" w:hAnsi="Arial" w:cs="Arial"/>
          <w:b/>
          <w:bCs/>
          <w:sz w:val="20"/>
          <w:szCs w:val="20"/>
          <w:lang w:val="en-GB"/>
        </w:rPr>
        <w:t xml:space="preserve">, </w:t>
      </w:r>
      <w:r w:rsidRPr="00424B31">
        <w:rPr>
          <w:rFonts w:ascii="Arial" w:hAnsi="Arial" w:cs="Arial"/>
          <w:b/>
          <w:bCs/>
          <w:sz w:val="20"/>
          <w:szCs w:val="20"/>
          <w:lang w:val="en-GB"/>
        </w:rPr>
        <w:t>The Higher Institute of Commerce and Business Administration (Group ISCAE)</w:t>
      </w:r>
      <w:r w:rsidRPr="00424B31">
        <w:rPr>
          <w:rFonts w:ascii="Arial" w:hAnsi="Arial" w:cs="Arial"/>
          <w:b/>
          <w:bCs/>
          <w:sz w:val="20"/>
          <w:szCs w:val="20"/>
          <w:lang w:val="en-GB"/>
        </w:rPr>
        <w:t xml:space="preserve">, </w:t>
      </w:r>
      <w:r w:rsidRPr="00424B31">
        <w:rPr>
          <w:rFonts w:ascii="Arial" w:hAnsi="Arial" w:cs="Arial"/>
          <w:b/>
          <w:bCs/>
          <w:sz w:val="20"/>
          <w:szCs w:val="20"/>
          <w:lang w:val="en-GB"/>
        </w:rPr>
        <w:t>Morocco</w:t>
      </w:r>
    </w:p>
    <w:p w:rsidR="00005965" w:rsidRPr="00424B31" w:rsidRDefault="00005965" w:rsidP="00005965">
      <w:pPr>
        <w:rPr>
          <w:rFonts w:ascii="Arial" w:hAnsi="Arial" w:cs="Arial"/>
          <w:sz w:val="20"/>
          <w:szCs w:val="20"/>
        </w:rPr>
      </w:pPr>
      <w:bookmarkStart w:id="9" w:name="_GoBack"/>
      <w:bookmarkEnd w:id="3"/>
      <w:bookmarkEnd w:id="8"/>
      <w:bookmarkEnd w:id="9"/>
    </w:p>
    <w:bookmarkEnd w:id="4"/>
    <w:p w:rsidR="00005965" w:rsidRPr="00424B31" w:rsidRDefault="00005965" w:rsidP="00005965">
      <w:pPr>
        <w:rPr>
          <w:rFonts w:ascii="Arial" w:hAnsi="Arial" w:cs="Arial"/>
          <w:sz w:val="20"/>
          <w:szCs w:val="20"/>
        </w:rPr>
      </w:pPr>
    </w:p>
    <w:bookmarkEnd w:id="5"/>
    <w:p w:rsidR="00005965" w:rsidRPr="00424B31" w:rsidRDefault="00005965" w:rsidP="00005965">
      <w:pPr>
        <w:rPr>
          <w:rFonts w:ascii="Arial" w:hAnsi="Arial" w:cs="Arial"/>
          <w:sz w:val="20"/>
          <w:szCs w:val="20"/>
        </w:rPr>
      </w:pPr>
    </w:p>
    <w:bookmarkEnd w:id="6"/>
    <w:p w:rsidR="00005965" w:rsidRPr="00424B31" w:rsidRDefault="00005965" w:rsidP="00005965">
      <w:pPr>
        <w:rPr>
          <w:rFonts w:ascii="Arial" w:hAnsi="Arial" w:cs="Arial"/>
          <w:sz w:val="20"/>
          <w:szCs w:val="20"/>
        </w:rPr>
      </w:pPr>
    </w:p>
    <w:bookmarkEnd w:id="0"/>
    <w:bookmarkEnd w:id="1"/>
    <w:p w:rsidR="00005965" w:rsidRPr="00424B31" w:rsidRDefault="00005965" w:rsidP="00BE5C96">
      <w:pPr>
        <w:pStyle w:val="BodyText"/>
        <w:rPr>
          <w:rFonts w:ascii="Arial" w:hAnsi="Arial" w:cs="Arial"/>
          <w:b/>
          <w:bCs/>
          <w:sz w:val="20"/>
          <w:szCs w:val="20"/>
          <w:u w:val="single"/>
          <w:lang w:val="en-GB"/>
        </w:rPr>
      </w:pPr>
    </w:p>
    <w:sectPr w:rsidR="00005965" w:rsidRPr="00424B31" w:rsidSect="00A6267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8ED" w:rsidRPr="0000007A" w:rsidRDefault="007B18ED" w:rsidP="0099583E">
      <w:r>
        <w:separator/>
      </w:r>
    </w:p>
  </w:endnote>
  <w:endnote w:type="continuationSeparator" w:id="0">
    <w:p w:rsidR="007B18ED" w:rsidRPr="0000007A" w:rsidRDefault="007B18E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67A52" w:rsidRPr="00167A52">
      <w:rPr>
        <w:sz w:val="16"/>
      </w:rPr>
      <w:t xml:space="preserve">Version: </w:t>
    </w:r>
    <w:r w:rsidR="00062752">
      <w:rPr>
        <w:sz w:val="16"/>
      </w:rPr>
      <w:t xml:space="preserve">3 </w:t>
    </w:r>
    <w:r w:rsidR="00167A52" w:rsidRPr="00167A52">
      <w:rPr>
        <w:sz w:val="16"/>
      </w:rPr>
      <w:t>(0</w:t>
    </w:r>
    <w:r w:rsidR="00062752">
      <w:rPr>
        <w:sz w:val="16"/>
      </w:rPr>
      <w:t>7</w:t>
    </w:r>
    <w:r w:rsidR="00167A52" w:rsidRPr="00167A5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8ED" w:rsidRPr="0000007A" w:rsidRDefault="007B18ED" w:rsidP="0099583E">
      <w:r>
        <w:separator/>
      </w:r>
    </w:p>
  </w:footnote>
  <w:footnote w:type="continuationSeparator" w:id="0">
    <w:p w:rsidR="007B18ED" w:rsidRPr="0000007A" w:rsidRDefault="007B18E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6275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C59E6"/>
    <w:multiLevelType w:val="multilevel"/>
    <w:tmpl w:val="4C14EFD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378C0"/>
    <w:multiLevelType w:val="hybridMultilevel"/>
    <w:tmpl w:val="6656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3E1C"/>
    <w:multiLevelType w:val="hybridMultilevel"/>
    <w:tmpl w:val="E2300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1B3280"/>
    <w:multiLevelType w:val="hybridMultilevel"/>
    <w:tmpl w:val="67AE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02538"/>
    <w:multiLevelType w:val="hybridMultilevel"/>
    <w:tmpl w:val="5BDC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A5434"/>
    <w:multiLevelType w:val="hybridMultilevel"/>
    <w:tmpl w:val="1BB8E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AA052EB"/>
    <w:multiLevelType w:val="multilevel"/>
    <w:tmpl w:val="8542AA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03E1F"/>
    <w:multiLevelType w:val="hybridMultilevel"/>
    <w:tmpl w:val="F96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DB6749"/>
    <w:multiLevelType w:val="hybridMultilevel"/>
    <w:tmpl w:val="5002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A969A8"/>
    <w:multiLevelType w:val="hybridMultilevel"/>
    <w:tmpl w:val="1FD0F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B16657"/>
    <w:multiLevelType w:val="hybridMultilevel"/>
    <w:tmpl w:val="E6FAB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111618"/>
    <w:multiLevelType w:val="hybridMultilevel"/>
    <w:tmpl w:val="AE76861C"/>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13"/>
  </w:num>
  <w:num w:numId="4">
    <w:abstractNumId w:val="16"/>
  </w:num>
  <w:num w:numId="5">
    <w:abstractNumId w:val="12"/>
  </w:num>
  <w:num w:numId="6">
    <w:abstractNumId w:val="0"/>
  </w:num>
  <w:num w:numId="7">
    <w:abstractNumId w:val="6"/>
  </w:num>
  <w:num w:numId="8">
    <w:abstractNumId w:val="20"/>
  </w:num>
  <w:num w:numId="9">
    <w:abstractNumId w:val="18"/>
  </w:num>
  <w:num w:numId="10">
    <w:abstractNumId w:val="4"/>
  </w:num>
  <w:num w:numId="11">
    <w:abstractNumId w:val="2"/>
  </w:num>
  <w:num w:numId="12">
    <w:abstractNumId w:val="8"/>
  </w:num>
  <w:num w:numId="13">
    <w:abstractNumId w:val="15"/>
  </w:num>
  <w:num w:numId="14">
    <w:abstractNumId w:val="3"/>
  </w:num>
  <w:num w:numId="15">
    <w:abstractNumId w:val="23"/>
  </w:num>
  <w:num w:numId="16">
    <w:abstractNumId w:val="1"/>
  </w:num>
  <w:num w:numId="17">
    <w:abstractNumId w:val="17"/>
  </w:num>
  <w:num w:numId="18">
    <w:abstractNumId w:val="10"/>
  </w:num>
  <w:num w:numId="19">
    <w:abstractNumId w:val="22"/>
  </w:num>
  <w:num w:numId="20">
    <w:abstractNumId w:val="11"/>
  </w:num>
  <w:num w:numId="21">
    <w:abstractNumId w:val="21"/>
  </w:num>
  <w:num w:numId="22">
    <w:abstractNumId w:val="19"/>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2766"/>
    <w:rsid w:val="00005965"/>
    <w:rsid w:val="00006187"/>
    <w:rsid w:val="00010403"/>
    <w:rsid w:val="00012C8B"/>
    <w:rsid w:val="000142FD"/>
    <w:rsid w:val="00021981"/>
    <w:rsid w:val="000234E1"/>
    <w:rsid w:val="0002598E"/>
    <w:rsid w:val="00037D52"/>
    <w:rsid w:val="000450FC"/>
    <w:rsid w:val="00056CB0"/>
    <w:rsid w:val="000577C2"/>
    <w:rsid w:val="00057CFF"/>
    <w:rsid w:val="0006257C"/>
    <w:rsid w:val="00062752"/>
    <w:rsid w:val="00077148"/>
    <w:rsid w:val="00084D7C"/>
    <w:rsid w:val="00091112"/>
    <w:rsid w:val="000936AC"/>
    <w:rsid w:val="00095A59"/>
    <w:rsid w:val="000961B6"/>
    <w:rsid w:val="000A2134"/>
    <w:rsid w:val="000A6F41"/>
    <w:rsid w:val="000B4EE5"/>
    <w:rsid w:val="000B74A1"/>
    <w:rsid w:val="000B757E"/>
    <w:rsid w:val="000C0837"/>
    <w:rsid w:val="000C3B7E"/>
    <w:rsid w:val="000E400C"/>
    <w:rsid w:val="000E4F65"/>
    <w:rsid w:val="00100577"/>
    <w:rsid w:val="00101322"/>
    <w:rsid w:val="001238A3"/>
    <w:rsid w:val="00126B81"/>
    <w:rsid w:val="00136984"/>
    <w:rsid w:val="00144521"/>
    <w:rsid w:val="00150304"/>
    <w:rsid w:val="0015296D"/>
    <w:rsid w:val="00163622"/>
    <w:rsid w:val="001645A2"/>
    <w:rsid w:val="00164F4E"/>
    <w:rsid w:val="00165685"/>
    <w:rsid w:val="00167A52"/>
    <w:rsid w:val="0017480A"/>
    <w:rsid w:val="001766DF"/>
    <w:rsid w:val="00184644"/>
    <w:rsid w:val="0018753A"/>
    <w:rsid w:val="0019527A"/>
    <w:rsid w:val="00197E68"/>
    <w:rsid w:val="001A1605"/>
    <w:rsid w:val="001B0C63"/>
    <w:rsid w:val="001B3D09"/>
    <w:rsid w:val="001D3A1D"/>
    <w:rsid w:val="001E4B3D"/>
    <w:rsid w:val="001F0825"/>
    <w:rsid w:val="001F24FF"/>
    <w:rsid w:val="001F2913"/>
    <w:rsid w:val="001F707F"/>
    <w:rsid w:val="002011F3"/>
    <w:rsid w:val="00201B85"/>
    <w:rsid w:val="00202E80"/>
    <w:rsid w:val="002105F7"/>
    <w:rsid w:val="00220111"/>
    <w:rsid w:val="0022369C"/>
    <w:rsid w:val="002320EB"/>
    <w:rsid w:val="0023696A"/>
    <w:rsid w:val="002422CB"/>
    <w:rsid w:val="00245E23"/>
    <w:rsid w:val="002511AE"/>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52110"/>
    <w:rsid w:val="003600FE"/>
    <w:rsid w:val="003A04E7"/>
    <w:rsid w:val="003A2D0B"/>
    <w:rsid w:val="003A4991"/>
    <w:rsid w:val="003A6E1A"/>
    <w:rsid w:val="003B2172"/>
    <w:rsid w:val="003E746A"/>
    <w:rsid w:val="00420A8A"/>
    <w:rsid w:val="0042465A"/>
    <w:rsid w:val="00424B31"/>
    <w:rsid w:val="00426AF3"/>
    <w:rsid w:val="004356CC"/>
    <w:rsid w:val="00435B36"/>
    <w:rsid w:val="00442B24"/>
    <w:rsid w:val="0044444D"/>
    <w:rsid w:val="0044519B"/>
    <w:rsid w:val="00445B35"/>
    <w:rsid w:val="00446659"/>
    <w:rsid w:val="0045078D"/>
    <w:rsid w:val="00457AB1"/>
    <w:rsid w:val="00457BC0"/>
    <w:rsid w:val="00462996"/>
    <w:rsid w:val="004674B4"/>
    <w:rsid w:val="004B4CAD"/>
    <w:rsid w:val="004B4FDC"/>
    <w:rsid w:val="004B661F"/>
    <w:rsid w:val="004C3DF1"/>
    <w:rsid w:val="004D2E36"/>
    <w:rsid w:val="004D646C"/>
    <w:rsid w:val="00503AB6"/>
    <w:rsid w:val="005047C5"/>
    <w:rsid w:val="00510920"/>
    <w:rsid w:val="00513B02"/>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36CB"/>
    <w:rsid w:val="005F72EA"/>
    <w:rsid w:val="00602F7D"/>
    <w:rsid w:val="00605952"/>
    <w:rsid w:val="00620677"/>
    <w:rsid w:val="00624032"/>
    <w:rsid w:val="0063489D"/>
    <w:rsid w:val="00645A56"/>
    <w:rsid w:val="006532DF"/>
    <w:rsid w:val="0065579D"/>
    <w:rsid w:val="0066167A"/>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1DE0"/>
    <w:rsid w:val="007B1099"/>
    <w:rsid w:val="007B18ED"/>
    <w:rsid w:val="007B6E18"/>
    <w:rsid w:val="007C66EA"/>
    <w:rsid w:val="007D0246"/>
    <w:rsid w:val="007F5873"/>
    <w:rsid w:val="00804E6F"/>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9665B"/>
    <w:rsid w:val="008C2778"/>
    <w:rsid w:val="008C2F62"/>
    <w:rsid w:val="008D020E"/>
    <w:rsid w:val="008D1117"/>
    <w:rsid w:val="008D15A4"/>
    <w:rsid w:val="008F36E4"/>
    <w:rsid w:val="00933C8B"/>
    <w:rsid w:val="0094050E"/>
    <w:rsid w:val="009553EC"/>
    <w:rsid w:val="009713A1"/>
    <w:rsid w:val="0097330E"/>
    <w:rsid w:val="00974330"/>
    <w:rsid w:val="0097498C"/>
    <w:rsid w:val="00982766"/>
    <w:rsid w:val="009852C4"/>
    <w:rsid w:val="00985F26"/>
    <w:rsid w:val="0099583E"/>
    <w:rsid w:val="009A0242"/>
    <w:rsid w:val="009A59ED"/>
    <w:rsid w:val="009B09BF"/>
    <w:rsid w:val="009B5AA8"/>
    <w:rsid w:val="009B5F39"/>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2677"/>
    <w:rsid w:val="00A6343B"/>
    <w:rsid w:val="00A65C50"/>
    <w:rsid w:val="00A66DD2"/>
    <w:rsid w:val="00A958C1"/>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63B33"/>
    <w:rsid w:val="00B672F7"/>
    <w:rsid w:val="00B73785"/>
    <w:rsid w:val="00B760E1"/>
    <w:rsid w:val="00B807F8"/>
    <w:rsid w:val="00B858FF"/>
    <w:rsid w:val="00B8785A"/>
    <w:rsid w:val="00BA1AB3"/>
    <w:rsid w:val="00BA6421"/>
    <w:rsid w:val="00BB34E6"/>
    <w:rsid w:val="00BB4FEC"/>
    <w:rsid w:val="00BC402F"/>
    <w:rsid w:val="00BC4D53"/>
    <w:rsid w:val="00BD27BA"/>
    <w:rsid w:val="00BD6CA5"/>
    <w:rsid w:val="00BE13EF"/>
    <w:rsid w:val="00BE40A5"/>
    <w:rsid w:val="00BE5C96"/>
    <w:rsid w:val="00BE6454"/>
    <w:rsid w:val="00BF39A4"/>
    <w:rsid w:val="00C02797"/>
    <w:rsid w:val="00C10283"/>
    <w:rsid w:val="00C110CC"/>
    <w:rsid w:val="00C22886"/>
    <w:rsid w:val="00C25C8F"/>
    <w:rsid w:val="00C263C6"/>
    <w:rsid w:val="00C31077"/>
    <w:rsid w:val="00C635B6"/>
    <w:rsid w:val="00C70DFC"/>
    <w:rsid w:val="00C733E5"/>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0FF5"/>
    <w:rsid w:val="00D7603E"/>
    <w:rsid w:val="00D8579C"/>
    <w:rsid w:val="00D90124"/>
    <w:rsid w:val="00D9392F"/>
    <w:rsid w:val="00DA41F5"/>
    <w:rsid w:val="00DA5DEC"/>
    <w:rsid w:val="00DB5B54"/>
    <w:rsid w:val="00DB7E1B"/>
    <w:rsid w:val="00DC1D81"/>
    <w:rsid w:val="00E17F26"/>
    <w:rsid w:val="00E26759"/>
    <w:rsid w:val="00E451EA"/>
    <w:rsid w:val="00E53E52"/>
    <w:rsid w:val="00E566FC"/>
    <w:rsid w:val="00E57F4B"/>
    <w:rsid w:val="00E63889"/>
    <w:rsid w:val="00E65EB7"/>
    <w:rsid w:val="00E71C8D"/>
    <w:rsid w:val="00E72360"/>
    <w:rsid w:val="00E972A7"/>
    <w:rsid w:val="00EA2839"/>
    <w:rsid w:val="00EB3E91"/>
    <w:rsid w:val="00EC6894"/>
    <w:rsid w:val="00ED6B12"/>
    <w:rsid w:val="00EE0D3E"/>
    <w:rsid w:val="00EF326D"/>
    <w:rsid w:val="00EF53FE"/>
    <w:rsid w:val="00F00575"/>
    <w:rsid w:val="00F07762"/>
    <w:rsid w:val="00F245A7"/>
    <w:rsid w:val="00F2643C"/>
    <w:rsid w:val="00F3295A"/>
    <w:rsid w:val="00F34D8E"/>
    <w:rsid w:val="00F3669D"/>
    <w:rsid w:val="00F405F8"/>
    <w:rsid w:val="00F41154"/>
    <w:rsid w:val="00F4161D"/>
    <w:rsid w:val="00F4700F"/>
    <w:rsid w:val="00F51F7F"/>
    <w:rsid w:val="00F573EA"/>
    <w:rsid w:val="00F57E9D"/>
    <w:rsid w:val="00F66FC9"/>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F2E2"/>
  <w15:chartTrackingRefBased/>
  <w15:docId w15:val="{ADF5B1F6-0C0F-4F2D-ADE7-052F133C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B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083679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180391">
      <w:bodyDiv w:val="1"/>
      <w:marLeft w:val="0"/>
      <w:marRight w:val="0"/>
      <w:marTop w:val="0"/>
      <w:marBottom w:val="0"/>
      <w:divBdr>
        <w:top w:val="none" w:sz="0" w:space="0" w:color="auto"/>
        <w:left w:val="none" w:sz="0" w:space="0" w:color="auto"/>
        <w:bottom w:val="none" w:sz="0" w:space="0" w:color="auto"/>
        <w:right w:val="none" w:sz="0" w:space="0" w:color="auto"/>
      </w:divBdr>
    </w:div>
    <w:div w:id="617952360">
      <w:bodyDiv w:val="1"/>
      <w:marLeft w:val="0"/>
      <w:marRight w:val="0"/>
      <w:marTop w:val="0"/>
      <w:marBottom w:val="0"/>
      <w:divBdr>
        <w:top w:val="none" w:sz="0" w:space="0" w:color="auto"/>
        <w:left w:val="none" w:sz="0" w:space="0" w:color="auto"/>
        <w:bottom w:val="none" w:sz="0" w:space="0" w:color="auto"/>
        <w:right w:val="none" w:sz="0" w:space="0" w:color="auto"/>
      </w:divBdr>
    </w:div>
    <w:div w:id="8092535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6498680">
      <w:bodyDiv w:val="1"/>
      <w:marLeft w:val="0"/>
      <w:marRight w:val="0"/>
      <w:marTop w:val="0"/>
      <w:marBottom w:val="0"/>
      <w:divBdr>
        <w:top w:val="none" w:sz="0" w:space="0" w:color="auto"/>
        <w:left w:val="none" w:sz="0" w:space="0" w:color="auto"/>
        <w:bottom w:val="none" w:sz="0" w:space="0" w:color="auto"/>
        <w:right w:val="none" w:sz="0" w:space="0" w:color="auto"/>
      </w:divBdr>
    </w:div>
    <w:div w:id="955528559">
      <w:bodyDiv w:val="1"/>
      <w:marLeft w:val="0"/>
      <w:marRight w:val="0"/>
      <w:marTop w:val="0"/>
      <w:marBottom w:val="0"/>
      <w:divBdr>
        <w:top w:val="none" w:sz="0" w:space="0" w:color="auto"/>
        <w:left w:val="none" w:sz="0" w:space="0" w:color="auto"/>
        <w:bottom w:val="none" w:sz="0" w:space="0" w:color="auto"/>
        <w:right w:val="none" w:sz="0" w:space="0" w:color="auto"/>
      </w:divBdr>
    </w:div>
    <w:div w:id="957687587">
      <w:bodyDiv w:val="1"/>
      <w:marLeft w:val="0"/>
      <w:marRight w:val="0"/>
      <w:marTop w:val="0"/>
      <w:marBottom w:val="0"/>
      <w:divBdr>
        <w:top w:val="none" w:sz="0" w:space="0" w:color="auto"/>
        <w:left w:val="none" w:sz="0" w:space="0" w:color="auto"/>
        <w:bottom w:val="none" w:sz="0" w:space="0" w:color="auto"/>
        <w:right w:val="none" w:sz="0" w:space="0" w:color="auto"/>
      </w:divBdr>
    </w:div>
    <w:div w:id="10920921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8555133">
      <w:bodyDiv w:val="1"/>
      <w:marLeft w:val="0"/>
      <w:marRight w:val="0"/>
      <w:marTop w:val="0"/>
      <w:marBottom w:val="0"/>
      <w:divBdr>
        <w:top w:val="none" w:sz="0" w:space="0" w:color="auto"/>
        <w:left w:val="none" w:sz="0" w:space="0" w:color="auto"/>
        <w:bottom w:val="none" w:sz="0" w:space="0" w:color="auto"/>
        <w:right w:val="none" w:sz="0" w:space="0" w:color="auto"/>
      </w:divBdr>
    </w:div>
    <w:div w:id="20297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as.com/index.php/AJP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FA30-CDEC-48F9-8FD6-DCCC3F60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1078</Words>
  <Characters>6146</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https://journalajpas.com/index.php/AJPAS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2025-10-07T19:01:00Z</dcterms:created>
  <dcterms:modified xsi:type="dcterms:W3CDTF">2025-10-09T11:38:00Z</dcterms:modified>
</cp:coreProperties>
</file>