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8F" w:rsidRDefault="00DA3D8F">
      <w:pPr>
        <w:spacing w:before="70" w:line="360" w:lineRule="auto"/>
        <w:rPr>
          <w:b/>
        </w:rPr>
      </w:pPr>
    </w:p>
    <w:p w:rsidR="00DA3D8F" w:rsidRDefault="00DF086A">
      <w:pPr>
        <w:spacing w:before="67" w:line="360" w:lineRule="auto"/>
        <w:ind w:left="304" w:hanging="10"/>
        <w:rPr>
          <w:b/>
          <w:sz w:val="36"/>
          <w:szCs w:val="36"/>
        </w:rPr>
      </w:pPr>
      <w:bookmarkStart w:id="0" w:name="Outcome_of_shaft_of_humerus_fractures_in"/>
      <w:bookmarkEnd w:id="0"/>
      <w:r>
        <w:rPr>
          <w:b/>
          <w:sz w:val="36"/>
          <w:szCs w:val="36"/>
        </w:rPr>
        <w:t>Outcome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of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shaft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of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humerus</w:t>
      </w:r>
      <w:r>
        <w:rPr>
          <w:b/>
          <w:spacing w:val="-3"/>
          <w:sz w:val="36"/>
          <w:szCs w:val="36"/>
        </w:rPr>
        <w:t xml:space="preserve"> </w:t>
      </w:r>
      <w:r>
        <w:rPr>
          <w:b/>
          <w:sz w:val="36"/>
          <w:szCs w:val="36"/>
        </w:rPr>
        <w:t>fractures</w:t>
      </w:r>
      <w:r>
        <w:rPr>
          <w:b/>
          <w:spacing w:val="-3"/>
          <w:sz w:val="36"/>
          <w:szCs w:val="36"/>
        </w:rPr>
        <w:t xml:space="preserve"> </w:t>
      </w:r>
      <w:r>
        <w:rPr>
          <w:b/>
          <w:sz w:val="36"/>
          <w:szCs w:val="36"/>
        </w:rPr>
        <w:t>in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adults</w:t>
      </w:r>
      <w:r>
        <w:rPr>
          <w:b/>
          <w:spacing w:val="-3"/>
          <w:sz w:val="36"/>
          <w:szCs w:val="36"/>
        </w:rPr>
        <w:t xml:space="preserve"> </w:t>
      </w:r>
      <w:r>
        <w:rPr>
          <w:b/>
          <w:sz w:val="36"/>
          <w:szCs w:val="36"/>
        </w:rPr>
        <w:t>treated</w:t>
      </w:r>
      <w:r>
        <w:rPr>
          <w:b/>
          <w:spacing w:val="-5"/>
          <w:sz w:val="36"/>
          <w:szCs w:val="36"/>
        </w:rPr>
        <w:t xml:space="preserve"> </w:t>
      </w:r>
      <w:r>
        <w:rPr>
          <w:b/>
          <w:sz w:val="36"/>
          <w:szCs w:val="36"/>
        </w:rPr>
        <w:t>by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platting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as</w:t>
      </w:r>
      <w:r>
        <w:rPr>
          <w:b/>
          <w:spacing w:val="-3"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fracture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fixation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method-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>
        <w:rPr>
          <w:b/>
          <w:spacing w:val="-7"/>
          <w:sz w:val="36"/>
          <w:szCs w:val="36"/>
        </w:rPr>
        <w:t xml:space="preserve"> </w:t>
      </w:r>
      <w:r>
        <w:rPr>
          <w:b/>
          <w:sz w:val="36"/>
          <w:szCs w:val="36"/>
        </w:rPr>
        <w:t>research study from tertiary health care center in India</w:t>
      </w:r>
    </w:p>
    <w:p w:rsidR="00DA3D8F" w:rsidRDefault="00DA3D8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:rsidR="00DA3D8F" w:rsidRDefault="00DA3D8F">
      <w:pPr>
        <w:pStyle w:val="BodyText"/>
        <w:spacing w:before="186" w:line="360" w:lineRule="auto"/>
        <w:rPr>
          <w:b/>
        </w:rPr>
      </w:pPr>
    </w:p>
    <w:p w:rsidR="00DA3D8F" w:rsidRDefault="00DA3D8F">
      <w:pPr>
        <w:pStyle w:val="BodyText"/>
        <w:spacing w:before="186" w:line="360" w:lineRule="auto"/>
        <w:rPr>
          <w:b/>
        </w:rPr>
      </w:pPr>
    </w:p>
    <w:p w:rsidR="00DA3D8F" w:rsidRDefault="00DA3D8F">
      <w:pPr>
        <w:pStyle w:val="BodyText"/>
        <w:spacing w:before="186" w:line="360" w:lineRule="auto"/>
        <w:rPr>
          <w:b/>
        </w:rPr>
      </w:pPr>
    </w:p>
    <w:p w:rsidR="00DA3D8F" w:rsidRDefault="00DA3D8F">
      <w:pPr>
        <w:pStyle w:val="BodyText"/>
        <w:spacing w:before="186" w:line="360" w:lineRule="auto"/>
        <w:rPr>
          <w:b/>
        </w:rPr>
      </w:pPr>
    </w:p>
    <w:p w:rsidR="00DA3D8F" w:rsidRDefault="00DA3D8F">
      <w:pPr>
        <w:pStyle w:val="BodyText"/>
        <w:spacing w:before="186" w:line="360" w:lineRule="auto"/>
        <w:rPr>
          <w:b/>
        </w:rPr>
      </w:pPr>
    </w:p>
    <w:p w:rsidR="00DA3D8F" w:rsidRDefault="00DF086A">
      <w:pPr>
        <w:spacing w:line="360" w:lineRule="auto"/>
        <w:ind w:left="294"/>
        <w:rPr>
          <w:b/>
        </w:rPr>
      </w:pPr>
      <w:r>
        <w:rPr>
          <w:b/>
          <w:spacing w:val="-2"/>
        </w:rPr>
        <w:t>ABSTRACT</w:t>
      </w:r>
    </w:p>
    <w:p w:rsidR="00DA3D8F" w:rsidRDefault="00DF086A">
      <w:pPr>
        <w:pStyle w:val="BodyText"/>
        <w:spacing w:before="137" w:line="360" w:lineRule="auto"/>
        <w:ind w:left="319" w:hanging="10"/>
      </w:pPr>
      <w:r>
        <w:rPr>
          <w:b/>
        </w:rPr>
        <w:t>Introduction</w:t>
      </w:r>
      <w:r>
        <w:t>:</w:t>
      </w:r>
      <w:r>
        <w:rPr>
          <w:spacing w:val="-4"/>
        </w:rPr>
        <w:t xml:space="preserve"> </w:t>
      </w:r>
      <w:r>
        <w:t>The Shaft</w:t>
      </w:r>
      <w:r>
        <w:rPr>
          <w:spacing w:val="-4"/>
        </w:rPr>
        <w:t xml:space="preserve"> </w:t>
      </w:r>
      <w:r>
        <w:t>Humerus</w:t>
      </w:r>
      <w:r>
        <w:rPr>
          <w:spacing w:val="-1"/>
        </w:rPr>
        <w:t xml:space="preserve"> </w:t>
      </w:r>
      <w:r>
        <w:t>fractures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3-5%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fractures,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obvious</w:t>
      </w:r>
      <w:r>
        <w:rPr>
          <w:spacing w:val="-3"/>
        </w:rPr>
        <w:t xml:space="preserve"> </w:t>
      </w:r>
      <w:r>
        <w:t>single best</w:t>
      </w:r>
      <w:r>
        <w:rPr>
          <w:spacing w:val="-4"/>
        </w:rPr>
        <w:t xml:space="preserve"> </w:t>
      </w:r>
      <w:r>
        <w:t>surgical method to manage this injury. Even today, both non-operative and operative methods can be used for patients.</w:t>
      </w:r>
    </w:p>
    <w:p w:rsidR="00DA3D8F" w:rsidRDefault="00DF086A">
      <w:pPr>
        <w:pStyle w:val="BodyText"/>
        <w:spacing w:line="360" w:lineRule="auto"/>
        <w:ind w:left="319" w:right="832"/>
      </w:pPr>
      <w:r>
        <w:t>Operative methods</w:t>
      </w:r>
      <w:r>
        <w:rPr>
          <w:spacing w:val="-3"/>
        </w:rPr>
        <w:t xml:space="preserve"> </w:t>
      </w:r>
      <w:r>
        <w:t>curtail</w:t>
      </w:r>
      <w:r>
        <w:rPr>
          <w:spacing w:val="-4"/>
        </w:rPr>
        <w:t xml:space="preserve"> </w:t>
      </w:r>
      <w:r>
        <w:t>prolonged</w:t>
      </w:r>
      <w:r>
        <w:rPr>
          <w:spacing w:val="-2"/>
        </w:rPr>
        <w:t xml:space="preserve"> </w:t>
      </w:r>
      <w:r>
        <w:t>immobilization,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good outcome w</w:t>
      </w:r>
      <w:r>
        <w:t>ith due surgical complication risk.</w:t>
      </w:r>
    </w:p>
    <w:p w:rsidR="00DA3D8F" w:rsidRDefault="00DF086A">
      <w:pPr>
        <w:pStyle w:val="BodyText"/>
        <w:spacing w:before="113" w:line="360" w:lineRule="auto"/>
        <w:ind w:left="319" w:right="169" w:hanging="10"/>
      </w:pPr>
      <w:r>
        <w:rPr>
          <w:b/>
        </w:rPr>
        <w:t>Objective</w:t>
      </w:r>
      <w:r>
        <w:t>: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radiological</w:t>
      </w:r>
      <w:r>
        <w:rPr>
          <w:spacing w:val="-5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shaft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humerus</w:t>
      </w:r>
      <w:r>
        <w:rPr>
          <w:spacing w:val="-4"/>
        </w:rPr>
        <w:t xml:space="preserve"> </w:t>
      </w:r>
      <w:r>
        <w:t>fracture</w:t>
      </w:r>
      <w:r>
        <w:rPr>
          <w:spacing w:val="-1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plating in adults.</w:t>
      </w:r>
    </w:p>
    <w:p w:rsidR="00DA3D8F" w:rsidRDefault="00DF086A">
      <w:pPr>
        <w:spacing w:before="114" w:line="360" w:lineRule="auto"/>
        <w:ind w:left="309"/>
      </w:pPr>
      <w:r>
        <w:rPr>
          <w:b/>
        </w:rPr>
        <w:t>Study</w:t>
      </w:r>
      <w:r>
        <w:rPr>
          <w:b/>
          <w:spacing w:val="-4"/>
        </w:rPr>
        <w:t xml:space="preserve"> </w:t>
      </w:r>
      <w:r>
        <w:rPr>
          <w:b/>
        </w:rPr>
        <w:t>design:</w:t>
      </w:r>
      <w:r>
        <w:rPr>
          <w:b/>
          <w:spacing w:val="-1"/>
        </w:rPr>
        <w:t xml:space="preserve"> </w:t>
      </w:r>
      <w:r>
        <w:t>Retrospective</w:t>
      </w:r>
      <w:r>
        <w:rPr>
          <w:spacing w:val="-2"/>
        </w:rPr>
        <w:t xml:space="preserve"> study</w:t>
      </w:r>
    </w:p>
    <w:p w:rsidR="00DA3D8F" w:rsidRDefault="00DF086A">
      <w:pPr>
        <w:pStyle w:val="BodyText"/>
        <w:spacing w:before="177" w:line="360" w:lineRule="auto"/>
        <w:ind w:left="319" w:right="452"/>
        <w:jc w:val="both"/>
      </w:pPr>
      <w:r>
        <w:rPr>
          <w:b/>
        </w:rPr>
        <w:t>Methods</w:t>
      </w:r>
      <w:r>
        <w:t>:</w:t>
      </w:r>
      <w:r>
        <w:rPr>
          <w:spacing w:val="-4"/>
        </w:rPr>
        <w:t xml:space="preserve"> </w:t>
      </w:r>
      <w:r>
        <w:t>We did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retrospective study</w:t>
      </w:r>
      <w:r>
        <w:rPr>
          <w:spacing w:val="-2"/>
        </w:rPr>
        <w:t xml:space="preserve"> </w:t>
      </w:r>
      <w:r>
        <w:t>of 60</w:t>
      </w:r>
      <w:r>
        <w:rPr>
          <w:spacing w:val="-2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present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institute with</w:t>
      </w:r>
      <w:r>
        <w:rPr>
          <w:spacing w:val="-2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humerus</w:t>
      </w:r>
      <w:r>
        <w:rPr>
          <w:spacing w:val="-3"/>
        </w:rPr>
        <w:t xml:space="preserve"> </w:t>
      </w:r>
      <w:r>
        <w:t>fracture between November 2023</w:t>
      </w:r>
      <w:r>
        <w:rPr>
          <w:spacing w:val="-1"/>
        </w:rPr>
        <w:t xml:space="preserve"> </w:t>
      </w:r>
      <w:r>
        <w:t>to April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closed,</w:t>
      </w:r>
      <w:r>
        <w:rPr>
          <w:spacing w:val="-1"/>
        </w:rPr>
        <w:t xml:space="preserve"> </w:t>
      </w:r>
      <w:r>
        <w:t>extra articular</w:t>
      </w:r>
      <w:r>
        <w:rPr>
          <w:spacing w:val="-5"/>
        </w:rPr>
        <w:t xml:space="preserve"> </w:t>
      </w:r>
      <w:r>
        <w:t>shaft humerus</w:t>
      </w:r>
      <w:r>
        <w:rPr>
          <w:spacing w:val="-1"/>
        </w:rPr>
        <w:t xml:space="preserve"> </w:t>
      </w:r>
      <w:r>
        <w:t>fracture.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outcome of the patients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DASH</w:t>
      </w:r>
      <w:r>
        <w:rPr>
          <w:spacing w:val="-2"/>
        </w:rPr>
        <w:t xml:space="preserve"> </w:t>
      </w:r>
      <w:r>
        <w:t>Score,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outcome of the patient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Constant-Murley scoring system.</w:t>
      </w:r>
    </w:p>
    <w:p w:rsidR="00DA3D8F" w:rsidRDefault="00DF086A">
      <w:pPr>
        <w:pStyle w:val="BodyText"/>
        <w:spacing w:before="163" w:line="360" w:lineRule="auto"/>
        <w:ind w:left="319" w:right="832" w:hanging="10"/>
      </w:pPr>
      <w:r>
        <w:rPr>
          <w:b/>
        </w:rPr>
        <w:t xml:space="preserve">Result: </w:t>
      </w:r>
      <w:r>
        <w:t>In our study, mean duration for satisfactory radiographic union was 12 weeks; Two patients developed</w:t>
      </w:r>
      <w:r>
        <w:rPr>
          <w:spacing w:val="-3"/>
        </w:rPr>
        <w:t xml:space="preserve"> </w:t>
      </w:r>
      <w:r>
        <w:t>post-operative</w:t>
      </w:r>
      <w:r>
        <w:rPr>
          <w:spacing w:val="-1"/>
        </w:rPr>
        <w:t xml:space="preserve"> </w:t>
      </w:r>
      <w:r>
        <w:t>surgical</w:t>
      </w:r>
      <w:r>
        <w:rPr>
          <w:spacing w:val="-5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infection,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Delayed</w:t>
      </w:r>
      <w:r>
        <w:rPr>
          <w:spacing w:val="-3"/>
        </w:rPr>
        <w:t xml:space="preserve"> </w:t>
      </w:r>
      <w:r>
        <w:t>union,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 xml:space="preserve">Non-union, </w:t>
      </w:r>
      <w:r>
        <w:t>and four patients had Radial nerve palsy. The mean duration of follow-up period was 6 months.</w:t>
      </w:r>
    </w:p>
    <w:p w:rsidR="00DA3D8F" w:rsidRDefault="00DF086A">
      <w:pPr>
        <w:pStyle w:val="BodyText"/>
        <w:spacing w:before="165" w:line="360" w:lineRule="auto"/>
        <w:ind w:left="319" w:right="169" w:hanging="10"/>
      </w:pPr>
      <w:r>
        <w:rPr>
          <w:b/>
        </w:rPr>
        <w:t xml:space="preserve">Conclusion: </w:t>
      </w:r>
      <w:r>
        <w:t>No</w:t>
      </w:r>
      <w:r>
        <w:rPr>
          <w:spacing w:val="-2"/>
        </w:rPr>
        <w:t xml:space="preserve"> </w:t>
      </w:r>
      <w:r>
        <w:t>single treatment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superior in</w:t>
      </w:r>
      <w:r>
        <w:rPr>
          <w:spacing w:val="-1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particular</w:t>
      </w:r>
      <w:r>
        <w:rPr>
          <w:spacing w:val="-4"/>
        </w:rPr>
        <w:t xml:space="preserve"> </w:t>
      </w:r>
      <w:r>
        <w:t>fracture,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 xml:space="preserve">case must be individualized. </w:t>
      </w:r>
      <w:r>
        <w:rPr>
          <w:highlight w:val="yellow"/>
        </w:rPr>
        <w:t>Platting</w:t>
      </w:r>
      <w:r>
        <w:t xml:space="preserve"> has been shown to have better overall results compared to the interlocking nails in treatment of closed humeral shaft fractures.</w:t>
      </w:r>
    </w:p>
    <w:p w:rsidR="00DA3D8F" w:rsidRDefault="00DF086A">
      <w:pPr>
        <w:pStyle w:val="BodyText"/>
        <w:spacing w:before="162" w:line="360" w:lineRule="auto"/>
        <w:ind w:left="309"/>
        <w:rPr>
          <w:spacing w:val="-2"/>
        </w:rPr>
      </w:pPr>
      <w:r>
        <w:rPr>
          <w:b/>
        </w:rPr>
        <w:t>Keywords</w:t>
      </w:r>
      <w:r>
        <w:t>:</w:t>
      </w:r>
      <w:r>
        <w:rPr>
          <w:spacing w:val="-7"/>
        </w:rPr>
        <w:t xml:space="preserve"> </w:t>
      </w:r>
      <w:r>
        <w:t>Humerus</w:t>
      </w:r>
      <w:r>
        <w:rPr>
          <w:spacing w:val="-3"/>
        </w:rPr>
        <w:t xml:space="preserve"> </w:t>
      </w:r>
      <w:r>
        <w:t>shaft</w:t>
      </w:r>
      <w:r>
        <w:rPr>
          <w:spacing w:val="-3"/>
        </w:rPr>
        <w:t xml:space="preserve"> </w:t>
      </w:r>
      <w:r>
        <w:t>fracture,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reduction,</w:t>
      </w:r>
      <w:r>
        <w:rPr>
          <w:spacing w:val="-2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rPr>
          <w:spacing w:val="-2"/>
        </w:rPr>
        <w:t>approach</w:t>
      </w:r>
    </w:p>
    <w:p w:rsidR="00DA3D8F" w:rsidRDefault="00DA3D8F">
      <w:pPr>
        <w:pStyle w:val="BodyText"/>
        <w:spacing w:before="162" w:line="360" w:lineRule="auto"/>
      </w:pPr>
    </w:p>
    <w:p w:rsidR="00DA3D8F" w:rsidRDefault="00DA3D8F">
      <w:pPr>
        <w:pStyle w:val="BodyText"/>
        <w:spacing w:before="193" w:line="360" w:lineRule="auto"/>
      </w:pPr>
    </w:p>
    <w:p w:rsidR="00DA3D8F" w:rsidRDefault="00DF086A">
      <w:pPr>
        <w:pStyle w:val="Heading1"/>
        <w:spacing w:before="1" w:line="360" w:lineRule="auto"/>
        <w:ind w:left="309"/>
      </w:pPr>
      <w:bookmarkStart w:id="1" w:name="INTRODUCTION"/>
      <w:bookmarkEnd w:id="1"/>
      <w:r>
        <w:rPr>
          <w:spacing w:val="-2"/>
        </w:rPr>
        <w:t>INTRODUCTION</w:t>
      </w:r>
    </w:p>
    <w:p w:rsidR="00DA3D8F" w:rsidRDefault="00DF086A">
      <w:pPr>
        <w:pStyle w:val="BodyText"/>
        <w:tabs>
          <w:tab w:val="left" w:pos="5946"/>
        </w:tabs>
        <w:spacing w:line="360" w:lineRule="auto"/>
        <w:ind w:left="309"/>
        <w:jc w:val="both"/>
      </w:pPr>
      <w:r>
        <w:t>The</w:t>
      </w:r>
      <w:r>
        <w:rPr>
          <w:spacing w:val="2"/>
        </w:rPr>
        <w:t xml:space="preserve"> </w:t>
      </w:r>
      <w:r>
        <w:rPr>
          <w:highlight w:val="yellow"/>
        </w:rPr>
        <w:t>Shaft</w:t>
      </w:r>
      <w:r>
        <w:t xml:space="preserve"> humerus</w:t>
      </w:r>
      <w:r>
        <w:rPr>
          <w:spacing w:val="-6"/>
        </w:rPr>
        <w:t xml:space="preserve"> </w:t>
      </w:r>
      <w:r>
        <w:t>fractures</w:t>
      </w:r>
      <w:r>
        <w:rPr>
          <w:spacing w:val="-6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3-</w:t>
      </w:r>
      <w:r>
        <w:t>5%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 xml:space="preserve">fractures </w:t>
      </w:r>
      <w:r>
        <w:rPr>
          <w:spacing w:val="-2"/>
          <w:vertAlign w:val="superscript"/>
        </w:rPr>
        <w:t>[1]</w:t>
      </w:r>
      <w:r>
        <w:t>.</w:t>
      </w:r>
      <w:r>
        <w:rPr>
          <w:spacing w:val="-3"/>
        </w:rPr>
        <w:t xml:space="preserve"> </w:t>
      </w:r>
      <w:r>
        <w:t>The incidence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fractures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4"/>
        </w:rPr>
        <w:t xml:space="preserve">been </w:t>
      </w:r>
      <w:r>
        <w:t>increasing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aging</w:t>
      </w:r>
      <w:r>
        <w:rPr>
          <w:spacing w:val="-1"/>
        </w:rPr>
        <w:t xml:space="preserve"> </w:t>
      </w:r>
      <w:r>
        <w:rPr>
          <w:spacing w:val="-2"/>
        </w:rPr>
        <w:t xml:space="preserve">population </w:t>
      </w:r>
      <w:r>
        <w:rPr>
          <w:spacing w:val="-2"/>
          <w:vertAlign w:val="superscript"/>
        </w:rPr>
        <w:t>[2]</w:t>
      </w:r>
      <w:r>
        <w:t>.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injuries</w:t>
      </w:r>
      <w:r>
        <w:rPr>
          <w:spacing w:val="-3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bimodal</w:t>
      </w:r>
      <w:r>
        <w:rPr>
          <w:spacing w:val="-4"/>
        </w:rPr>
        <w:t xml:space="preserve"> </w:t>
      </w:r>
      <w:r>
        <w:t>age distribution</w:t>
      </w:r>
      <w:r>
        <w:rPr>
          <w:spacing w:val="-2"/>
        </w:rPr>
        <w:t xml:space="preserve"> </w:t>
      </w:r>
      <w:r>
        <w:t>affecting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young </w:t>
      </w:r>
      <w:r>
        <w:t>and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patients.</w:t>
      </w:r>
      <w:r>
        <w:rPr>
          <w:spacing w:val="-4"/>
        </w:rPr>
        <w:t xml:space="preserve"> </w:t>
      </w:r>
      <w:r>
        <w:t>Fragility-type</w:t>
      </w:r>
      <w:r>
        <w:rPr>
          <w:spacing w:val="-1"/>
        </w:rPr>
        <w:t xml:space="preserve"> </w:t>
      </w:r>
      <w:r>
        <w:t>fractures</w:t>
      </w:r>
      <w:r>
        <w:rPr>
          <w:spacing w:val="-3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elderly</w:t>
      </w:r>
      <w:r>
        <w:rPr>
          <w:spacing w:val="-2"/>
        </w:rPr>
        <w:t xml:space="preserve"> </w:t>
      </w:r>
      <w:r>
        <w:t>individuals;</w:t>
      </w:r>
      <w:r>
        <w:rPr>
          <w:spacing w:val="-5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injuries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younger patients secondary to high energy trauma</w:t>
      </w:r>
      <w:r>
        <w:rPr>
          <w:vertAlign w:val="superscript"/>
        </w:rPr>
        <w:t>[3]</w:t>
      </w:r>
      <w:r>
        <w:t>. Historically, non-operative management has been the preferred method for treating humeral shaft fractures, given the shoulder’s ability to compensate for angular and</w:t>
      </w:r>
      <w:r>
        <w:t xml:space="preserve"> rotational </w:t>
      </w:r>
      <w:r>
        <w:rPr>
          <w:spacing w:val="-2"/>
        </w:rPr>
        <w:t>malalignment</w:t>
      </w:r>
      <w:r>
        <w:t xml:space="preserve"> </w:t>
      </w:r>
      <w:r>
        <w:rPr>
          <w:vertAlign w:val="superscript"/>
        </w:rPr>
        <w:t>[4,5]</w:t>
      </w:r>
      <w:r>
        <w:t>.</w:t>
      </w:r>
      <w:r>
        <w:rPr>
          <w:spacing w:val="-2"/>
        </w:rPr>
        <w:t xml:space="preserve"> </w:t>
      </w:r>
      <w:r>
        <w:t>Sarmiento</w:t>
      </w:r>
      <w:r>
        <w:rPr>
          <w:spacing w:val="-1"/>
        </w:rPr>
        <w:t xml:space="preserve"> </w:t>
      </w:r>
      <w:r>
        <w:t>popularized</w:t>
      </w:r>
      <w:r>
        <w:rPr>
          <w:spacing w:val="-2"/>
        </w:rPr>
        <w:t xml:space="preserve"> </w:t>
      </w:r>
      <w:r>
        <w:t>non-operative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brace in</w:t>
      </w:r>
      <w:r>
        <w:rPr>
          <w:spacing w:val="-1"/>
        </w:rPr>
        <w:t xml:space="preserve"> </w:t>
      </w:r>
      <w:r>
        <w:t>1977</w:t>
      </w:r>
      <w:r>
        <w:rPr>
          <w:spacing w:val="-1"/>
        </w:rPr>
        <w:t xml:space="preserve"> </w:t>
      </w:r>
      <w:r>
        <w:rPr>
          <w:spacing w:val="-2"/>
        </w:rPr>
        <w:t xml:space="preserve">after </w:t>
      </w:r>
      <w:r>
        <w:t>swelling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abated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1–2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coaptation</w:t>
      </w:r>
      <w:r>
        <w:rPr>
          <w:spacing w:val="-2"/>
        </w:rPr>
        <w:t xml:space="preserve"> splint </w:t>
      </w:r>
      <w:r>
        <w:rPr>
          <w:spacing w:val="-2"/>
          <w:vertAlign w:val="superscript"/>
        </w:rPr>
        <w:t>[6.7]</w:t>
      </w:r>
      <w:r>
        <w:t>.</w:t>
      </w:r>
      <w:r>
        <w:rPr>
          <w:spacing w:val="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2"/>
          <w:lang w:val="en-IN"/>
        </w:rPr>
        <w:t>compression</w:t>
      </w:r>
      <w:r>
        <w:rPr>
          <w:spacing w:val="-1"/>
        </w:rPr>
        <w:t xml:space="preserve"> </w:t>
      </w:r>
      <w:r>
        <w:t>platting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 xml:space="preserve">intramedullary </w:t>
      </w:r>
      <w:r>
        <w:t>nailing was developed to</w:t>
      </w:r>
      <w:r>
        <w:t xml:space="preserve"> improve functional outcomes. Plate fixation allows direct visualization, anatomical reduction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rigid</w:t>
      </w:r>
      <w:r>
        <w:rPr>
          <w:spacing w:val="-2"/>
        </w:rPr>
        <w:t xml:space="preserve"> </w:t>
      </w:r>
      <w:r>
        <w:t>fixation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fracture,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facilitates</w:t>
      </w:r>
      <w:r>
        <w:rPr>
          <w:spacing w:val="-8"/>
        </w:rPr>
        <w:t xml:space="preserve"> </w:t>
      </w:r>
      <w:r>
        <w:t>identification,</w:t>
      </w:r>
      <w:r>
        <w:rPr>
          <w:spacing w:val="-2"/>
        </w:rPr>
        <w:t xml:space="preserve"> </w:t>
      </w:r>
      <w:r>
        <w:t>exploration,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radial nerve. It may lead to higher rates of wound infecti</w:t>
      </w:r>
      <w:r>
        <w:t xml:space="preserve">on, </w:t>
      </w:r>
      <w:r>
        <w:rPr>
          <w:lang w:val="en-IN"/>
        </w:rPr>
        <w:t>Iatrogenic</w:t>
      </w:r>
      <w:r>
        <w:t xml:space="preserve"> </w:t>
      </w:r>
      <w:r>
        <w:rPr>
          <w:highlight w:val="yellow"/>
        </w:rPr>
        <w:t>nerve failure</w:t>
      </w:r>
      <w:r>
        <w:t xml:space="preserve"> and mechanical failure in osteoporotic bones.</w:t>
      </w:r>
    </w:p>
    <w:p w:rsidR="00DA3D8F" w:rsidRDefault="00DA3D8F">
      <w:pPr>
        <w:pStyle w:val="BodyText"/>
        <w:spacing w:before="37" w:line="360" w:lineRule="auto"/>
      </w:pPr>
    </w:p>
    <w:p w:rsidR="00DA3D8F" w:rsidRDefault="00DF086A">
      <w:pPr>
        <w:pStyle w:val="Heading1"/>
        <w:spacing w:line="360" w:lineRule="auto"/>
        <w:ind w:left="309"/>
      </w:pPr>
      <w:bookmarkStart w:id="2" w:name="MATERIAL_AND_METHODS"/>
      <w:bookmarkEnd w:id="2"/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:rsidR="00DA3D8F" w:rsidRDefault="00DF086A">
      <w:pPr>
        <w:pStyle w:val="BodyText"/>
        <w:spacing w:before="152" w:line="360" w:lineRule="auto"/>
        <w:ind w:left="319" w:right="342" w:hanging="10"/>
        <w:jc w:val="both"/>
      </w:pPr>
      <w:r>
        <w:t xml:space="preserve">This is a </w:t>
      </w:r>
      <w:r>
        <w:rPr>
          <w:highlight w:val="yellow"/>
        </w:rPr>
        <w:t>retrospective study</w:t>
      </w:r>
      <w:r>
        <w:t xml:space="preserve"> for the result of Platting in shaft humerus fractures in adults, total 60 patients were evaluated, in the time frame of 18 months</w:t>
      </w:r>
      <w:r>
        <w:t xml:space="preserve"> starting from November 2023 to</w:t>
      </w:r>
      <w:r>
        <w:rPr>
          <w:spacing w:val="16"/>
        </w:rPr>
        <w:t xml:space="preserve"> </w:t>
      </w:r>
      <w:r>
        <w:t>April 2025 at Gujarat Adani Institute</w:t>
      </w:r>
      <w:r>
        <w:rPr>
          <w:spacing w:val="40"/>
        </w:rPr>
        <w:t xml:space="preserve"> </w:t>
      </w:r>
      <w:r>
        <w:t xml:space="preserve">of Medical Sciences, Bhuj in the Department of Orthopedics. All the patients were classified as per the AO classification terminology </w:t>
      </w:r>
      <w:r>
        <w:rPr>
          <w:lang w:val="en-IN"/>
        </w:rPr>
        <w:t>(Image 1)</w:t>
      </w:r>
      <w:r>
        <w:rPr>
          <w:position w:val="7"/>
          <w:vertAlign w:val="superscript"/>
        </w:rPr>
        <w:t>[8]</w:t>
      </w:r>
      <w:r>
        <w:t>.</w:t>
      </w:r>
    </w:p>
    <w:p w:rsidR="00DA3D8F" w:rsidRDefault="00DD51E7">
      <w:pPr>
        <w:pStyle w:val="BodyText"/>
        <w:spacing w:before="152" w:line="360" w:lineRule="auto"/>
        <w:ind w:left="319" w:right="342" w:hanging="10"/>
        <w:jc w:val="both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2127250</wp:posOffset>
            </wp:positionH>
            <wp:positionV relativeFrom="page">
              <wp:posOffset>6273165</wp:posOffset>
            </wp:positionV>
            <wp:extent cx="2625437" cy="2500744"/>
            <wp:effectExtent l="0" t="0" r="3810" b="127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625437" cy="250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  <w:bookmarkStart w:id="3" w:name="_GoBack"/>
      <w:bookmarkEnd w:id="3"/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A3D8F">
      <w:pPr>
        <w:pStyle w:val="BodyText"/>
        <w:spacing w:line="360" w:lineRule="auto"/>
        <w:ind w:left="144" w:right="132"/>
        <w:jc w:val="both"/>
      </w:pPr>
    </w:p>
    <w:p w:rsidR="00DA3D8F" w:rsidRDefault="00DF086A">
      <w:pPr>
        <w:pStyle w:val="BodyText"/>
        <w:spacing w:line="360" w:lineRule="auto"/>
        <w:ind w:right="132"/>
        <w:jc w:val="center"/>
      </w:pPr>
      <w:r>
        <w:t>( Image</w:t>
      </w:r>
      <w:r>
        <w:t xml:space="preserve"> 1: AO/ OTA classification for shaft humerus fractures) </w:t>
      </w:r>
    </w:p>
    <w:p w:rsidR="00DA3D8F" w:rsidRDefault="00DF086A">
      <w:pPr>
        <w:pStyle w:val="BodyText"/>
        <w:spacing w:line="360" w:lineRule="auto"/>
        <w:ind w:right="132"/>
        <w:jc w:val="both"/>
        <w:rPr>
          <w:b/>
          <w:bCs/>
          <w:lang w:val="en-IN"/>
        </w:rPr>
      </w:pPr>
      <w:r>
        <w:rPr>
          <w:b/>
          <w:bCs/>
          <w:lang w:val="en-IN"/>
        </w:rPr>
        <w:t>Inclusion criteria:</w:t>
      </w:r>
    </w:p>
    <w:p w:rsidR="00DA3D8F" w:rsidRDefault="00DF086A">
      <w:pPr>
        <w:pStyle w:val="BodyText"/>
        <w:numPr>
          <w:ilvl w:val="0"/>
          <w:numId w:val="1"/>
        </w:numPr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lastRenderedPageBreak/>
        <w:t>Age group 18-80 years</w:t>
      </w:r>
    </w:p>
    <w:p w:rsidR="00DA3D8F" w:rsidRDefault="00DF086A">
      <w:pPr>
        <w:pStyle w:val="BodyText"/>
        <w:numPr>
          <w:ilvl w:val="0"/>
          <w:numId w:val="1"/>
        </w:numPr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Closed or Gustilo-Anderson type 1 open fracture of shaft humerus</w:t>
      </w:r>
    </w:p>
    <w:p w:rsidR="00DA3D8F" w:rsidRDefault="00DF086A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Treated with platting</w:t>
      </w:r>
    </w:p>
    <w:p w:rsidR="00DA3D8F" w:rsidRDefault="00DF086A">
      <w:pPr>
        <w:pStyle w:val="BodyText"/>
        <w:spacing w:line="360" w:lineRule="auto"/>
        <w:ind w:right="132"/>
        <w:jc w:val="both"/>
        <w:rPr>
          <w:b/>
          <w:bCs/>
          <w:lang w:val="en-IN"/>
        </w:rPr>
      </w:pPr>
      <w:r>
        <w:rPr>
          <w:b/>
          <w:bCs/>
          <w:lang w:val="en-IN"/>
        </w:rPr>
        <w:t>Exclusion citeria:</w:t>
      </w:r>
    </w:p>
    <w:p w:rsidR="00DA3D8F" w:rsidRDefault="00DF086A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Polytrauma patients</w:t>
      </w:r>
    </w:p>
    <w:p w:rsidR="00DA3D8F" w:rsidRDefault="00DF086A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 xml:space="preserve">Patients having neurovascular </w:t>
      </w:r>
      <w:r>
        <w:rPr>
          <w:lang w:val="en-IN"/>
        </w:rPr>
        <w:t>deficit (Gustilo-Anderson type 3c)</w:t>
      </w:r>
    </w:p>
    <w:p w:rsidR="00DA3D8F" w:rsidRDefault="00DF086A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Pathological fractures</w:t>
      </w:r>
    </w:p>
    <w:p w:rsidR="00DA3D8F" w:rsidRDefault="00DA3D8F">
      <w:pPr>
        <w:pStyle w:val="BodyText"/>
        <w:spacing w:line="360" w:lineRule="auto"/>
        <w:ind w:right="132"/>
        <w:jc w:val="both"/>
        <w:rPr>
          <w:b/>
          <w:bCs/>
          <w:lang w:val="en-IN"/>
        </w:rPr>
      </w:pPr>
    </w:p>
    <w:p w:rsidR="00DA3D8F" w:rsidRDefault="00DF086A">
      <w:pPr>
        <w:pStyle w:val="BodyText"/>
        <w:spacing w:line="360" w:lineRule="auto"/>
        <w:ind w:right="132"/>
        <w:jc w:val="both"/>
        <w:rPr>
          <w:lang w:val="en-IN"/>
        </w:rPr>
      </w:pPr>
      <w:r>
        <w:rPr>
          <w:highlight w:val="yellow"/>
        </w:rPr>
        <w:t>Regular follow-up of all cases was done at 1st week, 4th week, 3rd month and 6th month</w:t>
      </w:r>
      <w:r>
        <w:t xml:space="preserve">. In the study majority of the patients belonged to the age group of 31-40, with a higher proportion of </w:t>
      </w:r>
      <w:r>
        <w:t>fractures in Males, more affected on Left side. The main mode of injury was Road traffic accident. Majority of the patients had AO Classification type</w:t>
      </w:r>
      <w:r>
        <w:rPr>
          <w:spacing w:val="80"/>
        </w:rPr>
        <w:t xml:space="preserve"> </w:t>
      </w:r>
      <w:r>
        <w:t>12A. The functional outcome of the patients was evaluated with DASH score (Disabilities of the Arm, Shoul</w:t>
      </w:r>
      <w:r>
        <w:t xml:space="preserve">der and Hand score) </w:t>
      </w:r>
      <w:r>
        <w:rPr>
          <w:lang w:val="en-IN"/>
        </w:rPr>
        <w:t>(Table 1) and clinical outcome of the patients was evaluated with Constant Merley scoring system .</w:t>
      </w:r>
      <w:r>
        <w:rPr>
          <w:vertAlign w:val="superscript"/>
          <w:lang w:val="en-IN"/>
        </w:rPr>
        <w:t xml:space="preserve">[9] </w:t>
      </w:r>
    </w:p>
    <w:p w:rsidR="00DA3D8F" w:rsidRDefault="00DA3D8F">
      <w:pPr>
        <w:pStyle w:val="BodyText"/>
        <w:spacing w:line="360" w:lineRule="auto"/>
        <w:ind w:right="132"/>
        <w:jc w:val="both"/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42"/>
        <w:gridCol w:w="3806"/>
        <w:gridCol w:w="992"/>
        <w:gridCol w:w="992"/>
        <w:gridCol w:w="1083"/>
        <w:gridCol w:w="954"/>
        <w:gridCol w:w="747"/>
      </w:tblGrid>
      <w:tr w:rsidR="00DA3D8F">
        <w:trPr>
          <w:jc w:val="center"/>
        </w:trPr>
        <w:tc>
          <w:tcPr>
            <w:tcW w:w="442" w:type="dxa"/>
          </w:tcPr>
          <w:p w:rsidR="00DA3D8F" w:rsidRDefault="00DA3D8F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8574" w:type="dxa"/>
            <w:gridSpan w:val="6"/>
          </w:tcPr>
          <w:p w:rsidR="00DA3D8F" w:rsidRDefault="00DF086A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DISABILITIES OF THE ARM, SHOULDER AND HAND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A3D8F">
            <w:pPr>
              <w:rPr>
                <w:rFonts w:ascii="Calibri" w:eastAsia="Calibri" w:hAnsi="Calibri"/>
              </w:rPr>
            </w:pPr>
          </w:p>
        </w:tc>
        <w:tc>
          <w:tcPr>
            <w:tcW w:w="3806" w:type="dxa"/>
          </w:tcPr>
          <w:p w:rsidR="00DA3D8F" w:rsidRDefault="00DA3D8F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</w:t>
            </w:r>
          </w:p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DIFFICULTY</w:t>
            </w:r>
          </w:p>
        </w:tc>
        <w:tc>
          <w:tcPr>
            <w:tcW w:w="992" w:type="dxa"/>
          </w:tcPr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MILD</w:t>
            </w:r>
          </w:p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DIFFICULTY</w:t>
            </w:r>
          </w:p>
        </w:tc>
        <w:tc>
          <w:tcPr>
            <w:tcW w:w="1083" w:type="dxa"/>
          </w:tcPr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MODERATE</w:t>
            </w:r>
          </w:p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DIFFICULTY</w:t>
            </w:r>
          </w:p>
        </w:tc>
        <w:tc>
          <w:tcPr>
            <w:tcW w:w="954" w:type="dxa"/>
          </w:tcPr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SEVERE </w:t>
            </w:r>
          </w:p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DIFFICULTY</w:t>
            </w:r>
          </w:p>
        </w:tc>
        <w:tc>
          <w:tcPr>
            <w:tcW w:w="747" w:type="dxa"/>
          </w:tcPr>
          <w:p w:rsidR="00DA3D8F" w:rsidRDefault="00DF086A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UNABLE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Open a tight or new jar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Write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Turn a key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Prepare a meal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Push open a heavy door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6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Place an object on a shelf above your head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7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Do heavy household chores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Garden or do yard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work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9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Make a bed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Carry a shopping bag or briefcase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11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Carry a heavy object ( over 10 lbs)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12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Change a lightbulb overhead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13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Wash or blow dry your hair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14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Wash your back</w:t>
            </w:r>
          </w:p>
        </w:tc>
        <w:tc>
          <w:tcPr>
            <w:tcW w:w="992" w:type="dxa"/>
          </w:tcPr>
          <w:p w:rsidR="00DA3D8F" w:rsidRDefault="00DA3D8F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D8F" w:rsidRDefault="00DA3D8F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83" w:type="dxa"/>
          </w:tcPr>
          <w:p w:rsidR="00DA3D8F" w:rsidRDefault="00DA3D8F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54" w:type="dxa"/>
          </w:tcPr>
          <w:p w:rsidR="00DA3D8F" w:rsidRDefault="00DA3D8F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747" w:type="dxa"/>
          </w:tcPr>
          <w:p w:rsidR="00DA3D8F" w:rsidRDefault="00DA3D8F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15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Put on </w:t>
            </w:r>
            <w:r>
              <w:rPr>
                <w:rFonts w:ascii="Calibri" w:eastAsia="Calibri" w:hAnsi="Calibri"/>
                <w:sz w:val="16"/>
                <w:szCs w:val="16"/>
              </w:rPr>
              <w:t>a pullover sweater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16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Use a knife to cut food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17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Recreational activities which require little effort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18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Recreational activities in which you take some force or impact through your arm, shoulder or hand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19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Recreational activities in which you move your arm freely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Manage transportation needs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DA3D8F">
        <w:trPr>
          <w:jc w:val="center"/>
        </w:trPr>
        <w:tc>
          <w:tcPr>
            <w:tcW w:w="44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  <w:tc>
          <w:tcPr>
            <w:tcW w:w="3806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Sexual activities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:rsidR="00DA3D8F" w:rsidRDefault="00DF086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</w:tbl>
    <w:p w:rsidR="00DA3D8F" w:rsidRDefault="00DA3D8F">
      <w:pPr>
        <w:pStyle w:val="BodyText"/>
        <w:spacing w:line="360" w:lineRule="auto"/>
        <w:ind w:right="132"/>
        <w:jc w:val="both"/>
      </w:pPr>
    </w:p>
    <w:p w:rsidR="00DA3D8F" w:rsidRDefault="00DF086A">
      <w:pPr>
        <w:pStyle w:val="Heading1"/>
        <w:spacing w:before="1" w:line="360" w:lineRule="auto"/>
        <w:ind w:left="0"/>
        <w:jc w:val="center"/>
        <w:rPr>
          <w:b w:val="0"/>
          <w:bCs w:val="0"/>
          <w:spacing w:val="-2"/>
        </w:rPr>
      </w:pPr>
      <w:bookmarkStart w:id="4" w:name="RESULTS"/>
      <w:bookmarkEnd w:id="4"/>
      <w:r>
        <w:rPr>
          <w:b w:val="0"/>
          <w:bCs w:val="0"/>
        </w:rPr>
        <w:t>(</w:t>
      </w:r>
      <w:r>
        <w:rPr>
          <w:b w:val="0"/>
          <w:bCs w:val="0"/>
          <w:lang w:val="en-IN"/>
        </w:rPr>
        <w:t>Table 1</w:t>
      </w:r>
      <w:r>
        <w:rPr>
          <w:b w:val="0"/>
          <w:bCs w:val="0"/>
        </w:rPr>
        <w:t>: DASH Score, Disabilities of the Arm, shoulder and hand)</w:t>
      </w:r>
    </w:p>
    <w:p w:rsidR="00DA3D8F" w:rsidRDefault="00DA3D8F">
      <w:pPr>
        <w:pStyle w:val="Heading1"/>
        <w:spacing w:before="1" w:line="360" w:lineRule="auto"/>
        <w:rPr>
          <w:spacing w:val="-2"/>
        </w:rPr>
      </w:pPr>
    </w:p>
    <w:p w:rsidR="00DA3D8F" w:rsidRDefault="00DF086A">
      <w:pPr>
        <w:pStyle w:val="Heading1"/>
        <w:spacing w:before="1" w:line="360" w:lineRule="auto"/>
        <w:ind w:left="0"/>
      </w:pPr>
      <w:r>
        <w:rPr>
          <w:spacing w:val="-2"/>
        </w:rPr>
        <w:t xml:space="preserve">  RESULTS</w:t>
      </w:r>
    </w:p>
    <w:p w:rsidR="00DA3D8F" w:rsidRDefault="00DF086A">
      <w:pPr>
        <w:pStyle w:val="BodyText"/>
        <w:spacing w:before="177" w:line="360" w:lineRule="auto"/>
        <w:ind w:left="144" w:right="169"/>
        <w:rPr>
          <w:spacing w:val="-7"/>
        </w:rPr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fulfilled</w:t>
      </w:r>
      <w:r>
        <w:rPr>
          <w:spacing w:val="-2"/>
        </w:rPr>
        <w:t xml:space="preserve"> </w:t>
      </w:r>
      <w:r>
        <w:t>our inclusion</w:t>
      </w:r>
      <w:r>
        <w:rPr>
          <w:spacing w:val="-3"/>
        </w:rPr>
        <w:t xml:space="preserve"> </w:t>
      </w:r>
      <w:r>
        <w:t>criteria were enrolled</w:t>
      </w:r>
      <w:r>
        <w:rPr>
          <w:spacing w:val="-2"/>
        </w:rPr>
        <w:t xml:space="preserve"> </w:t>
      </w:r>
      <w:r>
        <w:t>(n=60).</w:t>
      </w:r>
      <w:r>
        <w:rPr>
          <w:spacing w:val="-7"/>
        </w:rPr>
        <w:t xml:space="preserve"> </w:t>
      </w:r>
    </w:p>
    <w:tbl>
      <w:tblPr>
        <w:tblpPr w:leftFromText="180" w:rightFromText="180" w:vertAnchor="text" w:horzAnchor="page" w:tblpXSpec="center" w:tblpY="304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3259"/>
        <w:gridCol w:w="3292"/>
      </w:tblGrid>
      <w:tr w:rsidR="00DA3D8F">
        <w:trPr>
          <w:trHeight w:val="429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 xml:space="preserve">(in </w:t>
            </w:r>
            <w:r>
              <w:rPr>
                <w:spacing w:val="-2"/>
              </w:rPr>
              <w:t>years)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Percentage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</w:tr>
      <w:tr w:rsidR="00DA3D8F">
        <w:trPr>
          <w:trHeight w:val="429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lastRenderedPageBreak/>
              <w:t>20-</w:t>
            </w:r>
            <w:r>
              <w:rPr>
                <w:spacing w:val="-5"/>
              </w:rPr>
              <w:t>30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16.67</w:t>
            </w:r>
          </w:p>
        </w:tc>
      </w:tr>
      <w:tr w:rsidR="00DA3D8F">
        <w:trPr>
          <w:trHeight w:val="428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31-</w:t>
            </w:r>
            <w:r>
              <w:rPr>
                <w:spacing w:val="-5"/>
              </w:rPr>
              <w:t>40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36.67</w:t>
            </w:r>
          </w:p>
        </w:tc>
      </w:tr>
      <w:tr w:rsidR="00DA3D8F">
        <w:trPr>
          <w:trHeight w:val="433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41-</w:t>
            </w:r>
            <w:r>
              <w:rPr>
                <w:spacing w:val="-5"/>
              </w:rPr>
              <w:t>50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23.33</w:t>
            </w:r>
          </w:p>
        </w:tc>
      </w:tr>
      <w:tr w:rsidR="00DA3D8F">
        <w:trPr>
          <w:trHeight w:val="429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51-</w:t>
            </w:r>
            <w:r>
              <w:rPr>
                <w:spacing w:val="-5"/>
              </w:rPr>
              <w:t>60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 xml:space="preserve">10 </w:t>
            </w:r>
            <w:r>
              <w:rPr>
                <w:spacing w:val="-5"/>
              </w:rPr>
              <w:t>.00</w:t>
            </w:r>
          </w:p>
        </w:tc>
      </w:tr>
      <w:tr w:rsidR="00DA3D8F">
        <w:trPr>
          <w:trHeight w:val="429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61-</w:t>
            </w:r>
            <w:r>
              <w:rPr>
                <w:spacing w:val="-5"/>
              </w:rPr>
              <w:t>70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rPr>
                <w:spacing w:val="-4"/>
              </w:rPr>
              <w:t>8.33</w:t>
            </w:r>
          </w:p>
        </w:tc>
      </w:tr>
      <w:tr w:rsidR="00DA3D8F">
        <w:trPr>
          <w:trHeight w:val="429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t>71-</w:t>
            </w:r>
            <w:r>
              <w:rPr>
                <w:spacing w:val="-5"/>
              </w:rPr>
              <w:t>80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92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rPr>
                <w:spacing w:val="-4"/>
              </w:rPr>
              <w:t>5.00</w:t>
            </w:r>
          </w:p>
        </w:tc>
      </w:tr>
      <w:tr w:rsidR="00DA3D8F">
        <w:trPr>
          <w:trHeight w:val="429"/>
          <w:jc w:val="center"/>
        </w:trPr>
        <w:tc>
          <w:tcPr>
            <w:tcW w:w="3243" w:type="dxa"/>
          </w:tcPr>
          <w:p w:rsidR="00DA3D8F" w:rsidRDefault="00DF086A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3259" w:type="dxa"/>
          </w:tcPr>
          <w:p w:rsidR="00DA3D8F" w:rsidRDefault="00DF086A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3292" w:type="dxa"/>
          </w:tcPr>
          <w:p w:rsidR="00DA3D8F" w:rsidRDefault="00DA3D8F">
            <w:pPr>
              <w:pStyle w:val="TableParagraph"/>
              <w:spacing w:line="360" w:lineRule="auto"/>
              <w:ind w:left="0"/>
              <w:jc w:val="center"/>
            </w:pPr>
          </w:p>
        </w:tc>
      </w:tr>
    </w:tbl>
    <w:p w:rsidR="00DA3D8F" w:rsidRDefault="00DF086A">
      <w:pPr>
        <w:pStyle w:val="BodyText"/>
        <w:spacing w:line="360" w:lineRule="auto"/>
        <w:jc w:val="center"/>
      </w:pPr>
      <w:r>
        <w:t xml:space="preserve">(Table </w:t>
      </w:r>
      <w:r>
        <w:rPr>
          <w:lang w:val="en-IN"/>
        </w:rPr>
        <w:t>2</w:t>
      </w:r>
      <w:r>
        <w:t>: Age group of patients in the study)</w:t>
      </w:r>
    </w:p>
    <w:p w:rsidR="00DA3D8F" w:rsidRDefault="00DF086A">
      <w:pPr>
        <w:pStyle w:val="BodyText"/>
        <w:spacing w:before="177" w:line="360" w:lineRule="auto"/>
        <w:ind w:right="169"/>
      </w:pP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age was</w:t>
      </w:r>
      <w:r>
        <w:rPr>
          <w:spacing w:val="-3"/>
        </w:rPr>
        <w:t xml:space="preserve"> </w:t>
      </w:r>
      <w:r>
        <w:t>46.1</w:t>
      </w:r>
      <w:r>
        <w:rPr>
          <w:spacing w:val="-2"/>
        </w:rPr>
        <w:t xml:space="preserve"> </w:t>
      </w:r>
      <w:r>
        <w:t>years (range: min=22, max=80 years).</w:t>
      </w:r>
    </w:p>
    <w:p w:rsidR="00DA3D8F" w:rsidRDefault="00DA3D8F">
      <w:pPr>
        <w:pStyle w:val="BodyText"/>
        <w:spacing w:before="177" w:line="360" w:lineRule="auto"/>
        <w:ind w:right="169"/>
        <w:jc w:val="center"/>
        <w:rPr>
          <w:lang w:val="en-IN"/>
        </w:rPr>
      </w:pPr>
    </w:p>
    <w:p w:rsidR="00DA3D8F" w:rsidRDefault="00DA3D8F">
      <w:pPr>
        <w:pStyle w:val="BodyText"/>
        <w:spacing w:before="177" w:line="360" w:lineRule="auto"/>
        <w:ind w:right="169"/>
        <w:jc w:val="center"/>
        <w:rPr>
          <w:lang w:val="en-IN"/>
        </w:rPr>
      </w:pPr>
    </w:p>
    <w:p w:rsidR="00DA3D8F" w:rsidRDefault="00DF086A">
      <w:pPr>
        <w:pStyle w:val="BodyText"/>
        <w:spacing w:before="177" w:line="360" w:lineRule="auto"/>
        <w:ind w:right="169"/>
        <w:jc w:val="center"/>
        <w:rPr>
          <w:lang w:val="en-IN"/>
        </w:rPr>
      </w:pPr>
      <w:r>
        <w:rPr>
          <w:noProof/>
        </w:rPr>
        <w:drawing>
          <wp:inline distT="0" distB="0" distL="114300" distR="114300">
            <wp:extent cx="5081270" cy="2479040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3D8F" w:rsidRDefault="00DF086A">
      <w:pPr>
        <w:pStyle w:val="BodyText"/>
        <w:spacing w:before="177" w:line="360" w:lineRule="auto"/>
        <w:ind w:right="169"/>
        <w:jc w:val="center"/>
        <w:rPr>
          <w:lang w:val="en-IN"/>
        </w:rPr>
      </w:pPr>
      <w:r>
        <w:rPr>
          <w:lang w:val="en-IN"/>
        </w:rPr>
        <w:t>(</w:t>
      </w:r>
      <w:r>
        <w:t>Graph 1</w:t>
      </w:r>
      <w:r>
        <w:rPr>
          <w:lang w:val="en-IN"/>
        </w:rPr>
        <w:t>: Gender predisposition)</w:t>
      </w:r>
    </w:p>
    <w:p w:rsidR="00DA3D8F" w:rsidRDefault="00DF086A">
      <w:pPr>
        <w:pStyle w:val="BodyText"/>
        <w:spacing w:line="360" w:lineRule="auto"/>
        <w:rPr>
          <w:spacing w:val="-3"/>
        </w:rPr>
      </w:pPr>
      <w:r>
        <w:t>Fifty-four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(90%)</w:t>
      </w:r>
      <w:r>
        <w:rPr>
          <w:spacing w:val="-2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male,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were (10%)</w:t>
      </w:r>
      <w:r>
        <w:rPr>
          <w:spacing w:val="-1"/>
        </w:rPr>
        <w:t xml:space="preserve"> </w:t>
      </w:r>
      <w:r>
        <w:t>female.</w:t>
      </w:r>
      <w:r>
        <w:rPr>
          <w:spacing w:val="-3"/>
        </w:rPr>
        <w:t xml:space="preserve"> </w:t>
      </w:r>
    </w:p>
    <w:p w:rsidR="00DA3D8F" w:rsidRDefault="00DF086A">
      <w:pPr>
        <w:pStyle w:val="BodyText"/>
        <w:spacing w:line="360" w:lineRule="auto"/>
        <w:rPr>
          <w:spacing w:val="-2"/>
        </w:rPr>
      </w:pPr>
      <w:r>
        <w:t>Dominant</w:t>
      </w:r>
      <w:r>
        <w:rPr>
          <w:spacing w:val="-4"/>
        </w:rPr>
        <w:t xml:space="preserve"> </w:t>
      </w:r>
      <w:r>
        <w:t>arm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 forty-</w:t>
      </w:r>
      <w:r>
        <w:rPr>
          <w:spacing w:val="-5"/>
        </w:rPr>
        <w:t>two</w:t>
      </w:r>
      <w:r>
        <w:t xml:space="preserve"> (70%)</w:t>
      </w:r>
      <w:r>
        <w:rPr>
          <w:spacing w:val="-5"/>
        </w:rPr>
        <w:t xml:space="preserve"> </w:t>
      </w:r>
      <w:r>
        <w:t>cases.</w:t>
      </w:r>
      <w:r>
        <w:rPr>
          <w:spacing w:val="-2"/>
        </w:rPr>
        <w:t xml:space="preserve"> </w:t>
      </w:r>
    </w:p>
    <w:p w:rsidR="00DA3D8F" w:rsidRDefault="00DA3D8F">
      <w:pPr>
        <w:pStyle w:val="BodyText"/>
        <w:spacing w:line="360" w:lineRule="auto"/>
        <w:rPr>
          <w:spacing w:val="-2"/>
        </w:rPr>
      </w:pPr>
    </w:p>
    <w:p w:rsidR="00DA3D8F" w:rsidRDefault="00DF086A">
      <w:pPr>
        <w:pStyle w:val="BodyText"/>
        <w:spacing w:line="360" w:lineRule="auto"/>
        <w:jc w:val="center"/>
      </w:pPr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30" o:spid="_x0000_s1026" type="#_x0000_t75" alt="Chart 6, Chart element" style="position:absolute;left:0;text-align:left;margin-left:79.35pt;margin-top:9.35pt;width:423.1pt;height:189.95pt;z-index:-251657216;visibility:visible;mso-width-percent:0;mso-height-percent:0;mso-wrap-distance-left:0;mso-wrap-distance-right:0;mso-position-horizontal-relative:page;mso-position-vertical-relative:text;mso-width-percent:0;mso-height-percent:0;mso-width-relative:page;mso-height-relative:page">
            <v:imagedata r:id="rId9" o:title="" embosscolor="white"/>
            <w10:wrap type="topAndBottom" anchorx="page"/>
          </v:shape>
          <o:OLEObject Type="Embed" ProgID="Excel.Sheet.8" ShapeID="1030" DrawAspect="Content" ObjectID="_1821012387" r:id="rId10"/>
        </w:object>
      </w:r>
    </w:p>
    <w:p w:rsidR="00DA3D8F" w:rsidRDefault="00DF086A">
      <w:pPr>
        <w:pStyle w:val="BodyText"/>
        <w:spacing w:line="360" w:lineRule="auto"/>
        <w:jc w:val="center"/>
      </w:pPr>
      <w:r>
        <w:t>(</w:t>
      </w:r>
      <w:r>
        <w:rPr>
          <w:lang w:val="en-IN"/>
        </w:rPr>
        <w:t>Graph</w:t>
      </w:r>
      <w:r>
        <w:t xml:space="preserve"> 2: Pie chart depicting the mode of injury)</w:t>
      </w:r>
    </w:p>
    <w:p w:rsidR="00DA3D8F" w:rsidRDefault="00DF086A">
      <w:pPr>
        <w:pStyle w:val="BodyText"/>
        <w:spacing w:line="360" w:lineRule="auto"/>
        <w:rPr>
          <w:spacing w:val="-2"/>
        </w:rPr>
      </w:pP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mode of</w:t>
      </w:r>
      <w:r>
        <w:rPr>
          <w:spacing w:val="-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traffic accident,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forty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(70%),</w:t>
      </w:r>
      <w:r>
        <w:rPr>
          <w:spacing w:val="-7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 fall down either at home or at workplace in twelve patients (20%)</w:t>
      </w:r>
      <w:r>
        <w:t xml:space="preserve"> and direct hit trauma (assault) in six patients </w:t>
      </w:r>
      <w:r>
        <w:rPr>
          <w:spacing w:val="-2"/>
        </w:rPr>
        <w:t>(10%).</w:t>
      </w:r>
    </w:p>
    <w:p w:rsidR="00DA3D8F" w:rsidRDefault="00DA3D8F">
      <w:pPr>
        <w:pStyle w:val="BodyText"/>
        <w:spacing w:line="360" w:lineRule="auto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center"/>
      </w:pPr>
    </w:p>
    <w:p w:rsidR="00DA3D8F" w:rsidRDefault="00DA3D8F">
      <w:pPr>
        <w:pStyle w:val="BodyText"/>
        <w:spacing w:line="360" w:lineRule="auto"/>
        <w:jc w:val="both"/>
      </w:pPr>
    </w:p>
    <w:tbl>
      <w:tblPr>
        <w:tblpPr w:leftFromText="180" w:rightFromText="180" w:vertAnchor="text" w:horzAnchor="page" w:tblpX="1118" w:tblpY="45"/>
        <w:tblOverlap w:val="never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402"/>
        <w:gridCol w:w="2438"/>
        <w:gridCol w:w="2464"/>
      </w:tblGrid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t>S.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AO </w:t>
            </w:r>
            <w:r>
              <w:rPr>
                <w:spacing w:val="-4"/>
              </w:rPr>
              <w:t>Type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Percentage</w:t>
            </w:r>
          </w:p>
        </w:tc>
      </w:tr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A1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13.33</w:t>
            </w:r>
          </w:p>
        </w:tc>
      </w:tr>
      <w:tr w:rsidR="00DA3D8F">
        <w:trPr>
          <w:trHeight w:val="463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A2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23.33</w:t>
            </w:r>
          </w:p>
        </w:tc>
      </w:tr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A3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21.67</w:t>
            </w:r>
          </w:p>
        </w:tc>
      </w:tr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B1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5.00</w:t>
            </w:r>
          </w:p>
        </w:tc>
      </w:tr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B2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15.00</w:t>
            </w:r>
          </w:p>
        </w:tc>
      </w:tr>
      <w:tr w:rsidR="00DA3D8F">
        <w:trPr>
          <w:trHeight w:val="463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B3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8.33</w:t>
            </w:r>
          </w:p>
        </w:tc>
      </w:tr>
      <w:tr w:rsidR="00DA3D8F">
        <w:trPr>
          <w:trHeight w:val="468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C1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6.67</w:t>
            </w:r>
          </w:p>
        </w:tc>
      </w:tr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C2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3.33</w:t>
            </w:r>
          </w:p>
        </w:tc>
      </w:tr>
      <w:tr w:rsidR="00DA3D8F">
        <w:trPr>
          <w:trHeight w:val="469"/>
        </w:trPr>
        <w:tc>
          <w:tcPr>
            <w:tcW w:w="2374" w:type="dxa"/>
          </w:tcPr>
          <w:p w:rsidR="00DA3D8F" w:rsidRDefault="00DF086A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lastRenderedPageBreak/>
              <w:t>9</w:t>
            </w: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C3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64" w:type="dxa"/>
          </w:tcPr>
          <w:p w:rsidR="00DA3D8F" w:rsidRDefault="00DF086A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3.33</w:t>
            </w:r>
          </w:p>
        </w:tc>
      </w:tr>
      <w:tr w:rsidR="00DA3D8F">
        <w:trPr>
          <w:trHeight w:val="463"/>
        </w:trPr>
        <w:tc>
          <w:tcPr>
            <w:tcW w:w="2374" w:type="dxa"/>
          </w:tcPr>
          <w:p w:rsidR="00DA3D8F" w:rsidRDefault="00DA3D8F">
            <w:pPr>
              <w:pStyle w:val="TableParagraph"/>
              <w:spacing w:line="360" w:lineRule="auto"/>
              <w:ind w:left="0"/>
              <w:jc w:val="center"/>
            </w:pPr>
          </w:p>
        </w:tc>
        <w:tc>
          <w:tcPr>
            <w:tcW w:w="2402" w:type="dxa"/>
          </w:tcPr>
          <w:p w:rsidR="00DA3D8F" w:rsidRDefault="00DF086A">
            <w:pPr>
              <w:pStyle w:val="TableParagraph"/>
              <w:spacing w:line="360" w:lineRule="auto"/>
              <w:ind w:left="120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2438" w:type="dxa"/>
          </w:tcPr>
          <w:p w:rsidR="00DA3D8F" w:rsidRDefault="00DF086A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464" w:type="dxa"/>
          </w:tcPr>
          <w:p w:rsidR="00DA3D8F" w:rsidRDefault="00DA3D8F">
            <w:pPr>
              <w:pStyle w:val="TableParagraph"/>
              <w:spacing w:line="360" w:lineRule="auto"/>
              <w:ind w:left="0"/>
              <w:jc w:val="center"/>
            </w:pPr>
          </w:p>
        </w:tc>
      </w:tr>
    </w:tbl>
    <w:p w:rsidR="00DA3D8F" w:rsidRDefault="00DF086A">
      <w:pPr>
        <w:pStyle w:val="BodyText"/>
        <w:spacing w:line="360" w:lineRule="auto"/>
        <w:ind w:left="144"/>
        <w:jc w:val="center"/>
      </w:pPr>
      <w:r>
        <w:t xml:space="preserve">(Table </w:t>
      </w:r>
      <w:r>
        <w:rPr>
          <w:lang w:val="en-IN"/>
        </w:rPr>
        <w:t>3</w:t>
      </w:r>
      <w:r>
        <w:t>: Patient</w:t>
      </w:r>
      <w:r>
        <w:rPr>
          <w:spacing w:val="-4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according 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classification)</w:t>
      </w:r>
    </w:p>
    <w:p w:rsidR="00DA3D8F" w:rsidRDefault="00DA3D8F">
      <w:pPr>
        <w:pStyle w:val="BodyText"/>
        <w:spacing w:line="360" w:lineRule="auto"/>
        <w:rPr>
          <w:spacing w:val="-2"/>
        </w:rPr>
      </w:pPr>
    </w:p>
    <w:p w:rsidR="00DA3D8F" w:rsidRDefault="00DF086A">
      <w:pPr>
        <w:pStyle w:val="BodyText"/>
        <w:spacing w:line="360" w:lineRule="auto"/>
      </w:pP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Thirty-five patients</w:t>
      </w:r>
      <w:r>
        <w:rPr>
          <w:spacing w:val="-3"/>
        </w:rPr>
        <w:t xml:space="preserve"> </w:t>
      </w:r>
      <w:r>
        <w:t>(58.33%) had</w:t>
      </w:r>
      <w:r>
        <w:rPr>
          <w:spacing w:val="-2"/>
        </w:rPr>
        <w:t xml:space="preserve"> </w:t>
      </w:r>
      <w:r>
        <w:t>12A,</w:t>
      </w:r>
      <w:r>
        <w:rPr>
          <w:spacing w:val="-8"/>
        </w:rPr>
        <w:t xml:space="preserve"> </w:t>
      </w:r>
      <w:r>
        <w:t>Seventeen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(28.33%) had</w:t>
      </w:r>
      <w:r>
        <w:rPr>
          <w:spacing w:val="-2"/>
        </w:rPr>
        <w:t xml:space="preserve"> </w:t>
      </w:r>
      <w:r>
        <w:t>12B</w:t>
      </w:r>
      <w:r>
        <w:rPr>
          <w:spacing w:val="-4"/>
        </w:rPr>
        <w:t xml:space="preserve"> </w:t>
      </w:r>
      <w:r>
        <w:t>and Eight patients (13.33%) had 12C type of fracture.</w:t>
      </w:r>
    </w:p>
    <w:p w:rsidR="00DA3D8F" w:rsidRDefault="00DF086A">
      <w:pPr>
        <w:pStyle w:val="BodyText"/>
        <w:spacing w:before="154" w:line="360" w:lineRule="auto"/>
        <w:ind w:right="169"/>
      </w:pPr>
      <w:r>
        <w:t xml:space="preserve">In forty-two </w:t>
      </w:r>
      <w:r>
        <w:t>patients (70%) DCP was used, and rest eighteen patients (30%) were treated by LCP. Mean duration for satisfactory radiographic union was</w:t>
      </w:r>
      <w:r>
        <w:rPr>
          <w:lang w:val="en-IN"/>
        </w:rPr>
        <w:t xml:space="preserve"> </w:t>
      </w:r>
      <w:r>
        <w:t>12.1 weeks (range: min=8, max=20).</w:t>
      </w:r>
    </w:p>
    <w:p w:rsidR="00DA3D8F" w:rsidRDefault="00DA3D8F">
      <w:pPr>
        <w:pStyle w:val="BodyText"/>
        <w:spacing w:before="154" w:line="360" w:lineRule="auto"/>
        <w:ind w:right="169"/>
      </w:pPr>
    </w:p>
    <w:tbl>
      <w:tblPr>
        <w:tblStyle w:val="TableGrid"/>
        <w:tblW w:w="9019" w:type="dxa"/>
        <w:jc w:val="center"/>
        <w:tblInd w:w="0" w:type="dxa"/>
        <w:tblCellMar>
          <w:top w:w="8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78"/>
        <w:gridCol w:w="1301"/>
        <w:gridCol w:w="4586"/>
        <w:gridCol w:w="2254"/>
      </w:tblGrid>
      <w:tr w:rsidR="00DA3D8F">
        <w:trPr>
          <w:trHeight w:val="21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S.NO.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RATING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CONSTANT-MERLEY score (max 100 points)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jc w:val="center"/>
            </w:pPr>
            <w:r>
              <w:t>NO. OF PATIENTS</w:t>
            </w:r>
          </w:p>
        </w:tc>
      </w:tr>
      <w:tr w:rsidR="00DA3D8F">
        <w:trPr>
          <w:trHeight w:val="24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Excellent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86</w:t>
            </w:r>
            <w:r>
              <w:t>-100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jc w:val="center"/>
            </w:pPr>
            <w:r>
              <w:rPr>
                <w:lang w:val="en-IN"/>
              </w:rPr>
              <w:t>32</w:t>
            </w:r>
            <w:r>
              <w:t xml:space="preserve"> (5</w:t>
            </w:r>
            <w:r>
              <w:rPr>
                <w:lang w:val="en-IN"/>
              </w:rPr>
              <w:t>3</w:t>
            </w:r>
            <w:r>
              <w:t>%)</w:t>
            </w:r>
          </w:p>
        </w:tc>
      </w:tr>
      <w:tr w:rsidR="00DA3D8F">
        <w:trPr>
          <w:trHeight w:val="138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Good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71-85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jc w:val="center"/>
            </w:pPr>
            <w:r>
              <w:rPr>
                <w:lang w:val="en-IN"/>
              </w:rPr>
              <w:t>24</w:t>
            </w:r>
            <w:r>
              <w:t xml:space="preserve"> (40%)</w:t>
            </w:r>
          </w:p>
        </w:tc>
      </w:tr>
      <w:tr w:rsidR="00DA3D8F">
        <w:trPr>
          <w:trHeight w:val="198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Fair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56-70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jc w:val="center"/>
            </w:pPr>
            <w:r>
              <w:t>0</w:t>
            </w:r>
            <w:r>
              <w:rPr>
                <w:lang w:val="en-IN"/>
              </w:rPr>
              <w:t>4</w:t>
            </w:r>
            <w:r>
              <w:t xml:space="preserve"> (7.</w:t>
            </w:r>
            <w:r>
              <w:rPr>
                <w:lang w:val="en-IN"/>
              </w:rPr>
              <w:t>0</w:t>
            </w:r>
            <w:r>
              <w:t>%)</w:t>
            </w:r>
          </w:p>
        </w:tc>
      </w:tr>
      <w:tr w:rsidR="00DA3D8F">
        <w:trPr>
          <w:trHeight w:val="13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Poor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ind w:left="2"/>
              <w:jc w:val="center"/>
            </w:pPr>
            <w:r>
              <w:t>&lt;56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8F" w:rsidRDefault="00DF086A">
            <w:pPr>
              <w:spacing w:line="259" w:lineRule="auto"/>
              <w:jc w:val="center"/>
            </w:pPr>
            <w:r>
              <w:t>00</w:t>
            </w:r>
          </w:p>
        </w:tc>
      </w:tr>
    </w:tbl>
    <w:p w:rsidR="00DA3D8F" w:rsidRDefault="00DF086A">
      <w:pPr>
        <w:pStyle w:val="BodyText"/>
        <w:spacing w:before="154" w:line="360" w:lineRule="auto"/>
        <w:ind w:right="169"/>
        <w:jc w:val="center"/>
        <w:rPr>
          <w:lang w:val="en-IN"/>
        </w:rPr>
      </w:pPr>
      <w:r>
        <w:rPr>
          <w:lang w:val="en-IN"/>
        </w:rPr>
        <w:t>(Table 4: Clinical outcome of the patient was evaluated with Constant Merley scoring system)</w:t>
      </w:r>
    </w:p>
    <w:p w:rsidR="00DA3D8F" w:rsidRDefault="00DF086A">
      <w:pPr>
        <w:pStyle w:val="BodyText"/>
        <w:spacing w:before="154" w:line="360" w:lineRule="auto"/>
        <w:ind w:right="169"/>
        <w:rPr>
          <w:lang w:val="en-IN"/>
        </w:rPr>
      </w:pPr>
      <w:r>
        <w:rPr>
          <w:lang w:val="en-IN"/>
        </w:rPr>
        <w:t>The clinical outcome of the patients was evaluated with Constant Merley</w:t>
      </w:r>
      <w:r>
        <w:rPr>
          <w:lang w:val="en-IN"/>
        </w:rPr>
        <w:t xml:space="preserve"> scoring system, according to which 32 patients (53%) had excellent outcome, 24 patients (40%) had good outcome and 4 patients (7%) had fair outcome.</w:t>
      </w:r>
    </w:p>
    <w:p w:rsidR="00DA3D8F" w:rsidRDefault="00DF086A">
      <w:pPr>
        <w:pStyle w:val="BodyText"/>
        <w:spacing w:before="154" w:line="360" w:lineRule="auto"/>
        <w:ind w:right="169"/>
      </w:pPr>
      <w:r>
        <w:t>Two patients developed superficial surgical site infection</w:t>
      </w:r>
      <w:r>
        <w:rPr>
          <w:spacing w:val="-2"/>
        </w:rPr>
        <w:t xml:space="preserve"> </w:t>
      </w:r>
      <w:r>
        <w:t>post-operatively,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delayed</w:t>
      </w:r>
      <w:r>
        <w:rPr>
          <w:spacing w:val="-7"/>
        </w:rPr>
        <w:t xml:space="preserve"> </w:t>
      </w:r>
      <w:r>
        <w:t>union,</w:t>
      </w:r>
      <w:r>
        <w:rPr>
          <w:spacing w:val="-3"/>
        </w:rPr>
        <w:t xml:space="preserve"> </w:t>
      </w:r>
      <w:r>
        <w:t>one patient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non-union,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radial nerve palsy. The mean duration of follow-up period was 6 months.</w:t>
      </w:r>
    </w:p>
    <w:p w:rsidR="00DA3D8F" w:rsidRDefault="00DA3D8F">
      <w:pPr>
        <w:pStyle w:val="Heading1"/>
        <w:spacing w:line="360" w:lineRule="auto"/>
        <w:rPr>
          <w:spacing w:val="-2"/>
        </w:rPr>
      </w:pPr>
    </w:p>
    <w:p w:rsidR="00DA3D8F" w:rsidRDefault="00DF086A">
      <w:pPr>
        <w:pStyle w:val="Heading1"/>
        <w:spacing w:line="360" w:lineRule="auto"/>
        <w:ind w:left="0"/>
        <w:rPr>
          <w:spacing w:val="-2"/>
        </w:rPr>
      </w:pPr>
      <w:r>
        <w:rPr>
          <w:spacing w:val="-2"/>
        </w:rPr>
        <w:t>Complication: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3026"/>
        <w:gridCol w:w="3031"/>
      </w:tblGrid>
      <w:tr w:rsidR="00DA3D8F">
        <w:trPr>
          <w:trHeight w:val="300"/>
          <w:jc w:val="center"/>
        </w:trPr>
        <w:tc>
          <w:tcPr>
            <w:tcW w:w="3036" w:type="dxa"/>
          </w:tcPr>
          <w:p w:rsidR="00DA3D8F" w:rsidRDefault="00DF086A">
            <w:pPr>
              <w:pStyle w:val="TableParagraph"/>
              <w:spacing w:line="360" w:lineRule="auto"/>
              <w:ind w:left="220"/>
            </w:pPr>
            <w:r>
              <w:rPr>
                <w:spacing w:val="-2"/>
              </w:rPr>
              <w:t>Complication</w:t>
            </w:r>
          </w:p>
        </w:tc>
        <w:tc>
          <w:tcPr>
            <w:tcW w:w="3026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3031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Percentage</w:t>
            </w:r>
          </w:p>
        </w:tc>
      </w:tr>
      <w:tr w:rsidR="00DA3D8F">
        <w:trPr>
          <w:trHeight w:val="300"/>
          <w:jc w:val="center"/>
        </w:trPr>
        <w:tc>
          <w:tcPr>
            <w:tcW w:w="3036" w:type="dxa"/>
          </w:tcPr>
          <w:p w:rsidR="00DA3D8F" w:rsidRDefault="00DF086A">
            <w:pPr>
              <w:pStyle w:val="TableParagraph"/>
              <w:spacing w:line="360" w:lineRule="auto"/>
              <w:ind w:left="220"/>
            </w:pPr>
            <w:r>
              <w:rPr>
                <w:spacing w:val="-2"/>
              </w:rPr>
              <w:t>Infection</w:t>
            </w:r>
          </w:p>
        </w:tc>
        <w:tc>
          <w:tcPr>
            <w:tcW w:w="3026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2</w:t>
            </w:r>
          </w:p>
        </w:tc>
        <w:tc>
          <w:tcPr>
            <w:tcW w:w="3031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3.33%</w:t>
            </w:r>
          </w:p>
        </w:tc>
      </w:tr>
      <w:tr w:rsidR="00DA3D8F">
        <w:trPr>
          <w:trHeight w:val="300"/>
          <w:jc w:val="center"/>
        </w:trPr>
        <w:tc>
          <w:tcPr>
            <w:tcW w:w="3036" w:type="dxa"/>
          </w:tcPr>
          <w:p w:rsidR="00DA3D8F" w:rsidRDefault="00DF086A">
            <w:pPr>
              <w:pStyle w:val="TableParagraph"/>
              <w:spacing w:line="360" w:lineRule="auto"/>
              <w:ind w:left="220"/>
            </w:pPr>
            <w:r>
              <w:t>Radial</w:t>
            </w:r>
            <w:r>
              <w:rPr>
                <w:spacing w:val="-2"/>
              </w:rPr>
              <w:t xml:space="preserve"> </w:t>
            </w:r>
            <w:r>
              <w:t xml:space="preserve">nerve </w:t>
            </w:r>
            <w:r>
              <w:rPr>
                <w:spacing w:val="-4"/>
              </w:rPr>
              <w:t>palsy</w:t>
            </w:r>
          </w:p>
        </w:tc>
        <w:tc>
          <w:tcPr>
            <w:tcW w:w="3026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4</w:t>
            </w:r>
          </w:p>
        </w:tc>
        <w:tc>
          <w:tcPr>
            <w:tcW w:w="3031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6.66%</w:t>
            </w:r>
          </w:p>
        </w:tc>
      </w:tr>
      <w:tr w:rsidR="00DA3D8F">
        <w:trPr>
          <w:trHeight w:val="300"/>
          <w:jc w:val="center"/>
        </w:trPr>
        <w:tc>
          <w:tcPr>
            <w:tcW w:w="3036" w:type="dxa"/>
          </w:tcPr>
          <w:p w:rsidR="00DA3D8F" w:rsidRDefault="00DF086A">
            <w:pPr>
              <w:pStyle w:val="TableParagraph"/>
              <w:spacing w:line="360" w:lineRule="auto"/>
              <w:ind w:left="220"/>
            </w:pPr>
            <w:r>
              <w:t>Delayed</w:t>
            </w:r>
            <w:r>
              <w:rPr>
                <w:spacing w:val="1"/>
              </w:rPr>
              <w:t xml:space="preserve"> </w:t>
            </w:r>
            <w:r>
              <w:t>union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(&gt;16weeks)</w:t>
            </w:r>
          </w:p>
        </w:tc>
        <w:tc>
          <w:tcPr>
            <w:tcW w:w="3026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4</w:t>
            </w:r>
          </w:p>
        </w:tc>
        <w:tc>
          <w:tcPr>
            <w:tcW w:w="3031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6.66%</w:t>
            </w:r>
          </w:p>
        </w:tc>
      </w:tr>
      <w:tr w:rsidR="00DA3D8F">
        <w:trPr>
          <w:trHeight w:val="300"/>
          <w:jc w:val="center"/>
        </w:trPr>
        <w:tc>
          <w:tcPr>
            <w:tcW w:w="3036" w:type="dxa"/>
          </w:tcPr>
          <w:p w:rsidR="00DA3D8F" w:rsidRDefault="00DF086A">
            <w:pPr>
              <w:pStyle w:val="TableParagraph"/>
              <w:spacing w:line="360" w:lineRule="auto"/>
              <w:ind w:left="220"/>
            </w:pPr>
            <w:r>
              <w:t>Non-</w:t>
            </w:r>
            <w:r>
              <w:rPr>
                <w:spacing w:val="-2"/>
              </w:rPr>
              <w:t>union</w:t>
            </w:r>
          </w:p>
        </w:tc>
        <w:tc>
          <w:tcPr>
            <w:tcW w:w="3026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1</w:t>
            </w:r>
          </w:p>
        </w:tc>
        <w:tc>
          <w:tcPr>
            <w:tcW w:w="3031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1.67%</w:t>
            </w:r>
          </w:p>
        </w:tc>
      </w:tr>
      <w:tr w:rsidR="00DA3D8F">
        <w:trPr>
          <w:trHeight w:val="300"/>
          <w:jc w:val="center"/>
        </w:trPr>
        <w:tc>
          <w:tcPr>
            <w:tcW w:w="3036" w:type="dxa"/>
          </w:tcPr>
          <w:p w:rsidR="00DA3D8F" w:rsidRDefault="00DF086A">
            <w:pPr>
              <w:pStyle w:val="TableParagraph"/>
              <w:spacing w:line="360" w:lineRule="auto"/>
              <w:ind w:left="220"/>
            </w:pPr>
            <w:r>
              <w:t>Implant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failure</w:t>
            </w:r>
          </w:p>
        </w:tc>
        <w:tc>
          <w:tcPr>
            <w:tcW w:w="3026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0</w:t>
            </w:r>
          </w:p>
        </w:tc>
        <w:tc>
          <w:tcPr>
            <w:tcW w:w="3031" w:type="dxa"/>
          </w:tcPr>
          <w:p w:rsidR="00DA3D8F" w:rsidRDefault="00DF086A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0</w:t>
            </w:r>
          </w:p>
        </w:tc>
      </w:tr>
    </w:tbl>
    <w:p w:rsidR="00DA3D8F" w:rsidRDefault="00DF086A">
      <w:pPr>
        <w:pStyle w:val="BodyText"/>
        <w:spacing w:before="22" w:line="360" w:lineRule="auto"/>
        <w:jc w:val="center"/>
        <w:rPr>
          <w:bCs/>
        </w:rPr>
      </w:pPr>
      <w:r>
        <w:rPr>
          <w:bCs/>
        </w:rPr>
        <w:t xml:space="preserve">(Table </w:t>
      </w:r>
      <w:r>
        <w:rPr>
          <w:bCs/>
          <w:lang w:val="en-IN"/>
        </w:rPr>
        <w:t>5</w:t>
      </w:r>
      <w:r>
        <w:rPr>
          <w:bCs/>
        </w:rPr>
        <w:t xml:space="preserve">: Complications encountered during the study) </w:t>
      </w:r>
    </w:p>
    <w:p w:rsidR="00DA3D8F" w:rsidRDefault="00DA3D8F">
      <w:pPr>
        <w:pStyle w:val="BodyText"/>
        <w:spacing w:before="22" w:line="360" w:lineRule="auto"/>
        <w:jc w:val="center"/>
        <w:rPr>
          <w:bCs/>
        </w:rPr>
      </w:pPr>
    </w:p>
    <w:p w:rsidR="00DA3D8F" w:rsidRDefault="00DF086A">
      <w:pPr>
        <w:pStyle w:val="BodyText"/>
        <w:spacing w:line="360" w:lineRule="auto"/>
        <w:ind w:left="154" w:right="134"/>
        <w:jc w:val="both"/>
      </w:pPr>
      <w:r>
        <w:t>Every procedure, technique and surgery carries potential risk of complication with itself. In our study of platting in shaft humerus</w:t>
      </w:r>
      <w:r>
        <w:t xml:space="preserve"> fracture, we encountered some of the short-term complication. Out of the 60 patients we studied in the 18 months, </w:t>
      </w:r>
      <w:r>
        <w:rPr>
          <w:highlight w:val="yellow"/>
        </w:rPr>
        <w:t xml:space="preserve">two patients had </w:t>
      </w:r>
      <w:r>
        <w:rPr>
          <w:highlight w:val="yellow"/>
          <w:lang w:val="en-IN"/>
        </w:rPr>
        <w:t>preoperative</w:t>
      </w:r>
      <w:r>
        <w:rPr>
          <w:highlight w:val="yellow"/>
        </w:rPr>
        <w:t xml:space="preserve"> radial nerve palsy</w:t>
      </w:r>
      <w:r>
        <w:t xml:space="preserve"> for which radial nerve exploration was done and another two patients developed </w:t>
      </w:r>
      <w:r>
        <w:rPr>
          <w:lang w:val="en-IN"/>
        </w:rPr>
        <w:t>Iatrogenic</w:t>
      </w:r>
      <w:r>
        <w:t xml:space="preserve"> pa</w:t>
      </w:r>
      <w:r>
        <w:t>lsy, which recovered with medications over a period of time. Two patients developed post operative superficial surgical site infection which was managed with proper antibiotic coverage. Four patients had delayed union- two of them were elderly chronic smok</w:t>
      </w:r>
      <w:r>
        <w:t>er and the other improper fixation, one patient underwent non-</w:t>
      </w:r>
      <w:r>
        <w:lastRenderedPageBreak/>
        <w:t>union, and none of the patients developed implant failure.</w:t>
      </w:r>
    </w:p>
    <w:p w:rsidR="00DA3D8F" w:rsidRDefault="00DF086A">
      <w:pPr>
        <w:pStyle w:val="BodyText"/>
        <w:spacing w:line="360" w:lineRule="auto"/>
        <w:ind w:left="154" w:right="134"/>
        <w:jc w:val="both"/>
      </w:pPr>
      <w:r>
        <w:rPr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2147729</wp:posOffset>
            </wp:positionH>
            <wp:positionV relativeFrom="page">
              <wp:posOffset>6500510</wp:posOffset>
            </wp:positionV>
            <wp:extent cx="2571923" cy="1724659"/>
            <wp:effectExtent l="0" t="0" r="3810" b="8890"/>
            <wp:wrapTopAndBottom/>
            <wp:docPr id="103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571923" cy="1724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D8F" w:rsidRDefault="00DA3D8F">
      <w:pPr>
        <w:pStyle w:val="BodyText"/>
        <w:spacing w:line="360" w:lineRule="auto"/>
        <w:ind w:left="154" w:right="134"/>
        <w:jc w:val="both"/>
      </w:pPr>
    </w:p>
    <w:p w:rsidR="00DA3D8F" w:rsidRDefault="00DF086A">
      <w:pPr>
        <w:pStyle w:val="BodyText"/>
        <w:spacing w:before="220" w:line="360" w:lineRule="auto"/>
        <w:ind w:left="144"/>
        <w:jc w:val="center"/>
      </w:pPr>
      <w:r>
        <w:t>(Image 2: Intra-op</w:t>
      </w:r>
      <w:r>
        <w:rPr>
          <w:spacing w:val="-5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radial</w:t>
      </w:r>
      <w:r>
        <w:rPr>
          <w:spacing w:val="-5"/>
        </w:rPr>
        <w:t xml:space="preserve"> </w:t>
      </w:r>
      <w:r>
        <w:t>nerve dissection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humerus</w:t>
      </w:r>
      <w:r>
        <w:rPr>
          <w:spacing w:val="-4"/>
        </w:rPr>
        <w:t xml:space="preserve"> </w:t>
      </w:r>
      <w:r>
        <w:t>fracture fixation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compression</w:t>
      </w:r>
      <w:r>
        <w:rPr>
          <w:spacing w:val="-2"/>
        </w:rPr>
        <w:t xml:space="preserve"> plate) </w:t>
      </w:r>
    </w:p>
    <w:p w:rsidR="00DA3D8F" w:rsidRDefault="00DF086A">
      <w:pPr>
        <w:pStyle w:val="BodyText"/>
        <w:spacing w:before="151" w:line="360" w:lineRule="auto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635</wp:posOffset>
            </wp:positionV>
            <wp:extent cx="5236845" cy="1652903"/>
            <wp:effectExtent l="0" t="0" r="1905" b="4445"/>
            <wp:wrapTopAndBottom/>
            <wp:docPr id="1032" name="Image 5" descr="C:\Users\ortho.ward1\Downloads\175086394883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236845" cy="1652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D8F" w:rsidRDefault="00DF086A">
      <w:pPr>
        <w:pStyle w:val="BodyText"/>
        <w:spacing w:before="151" w:line="360" w:lineRule="auto"/>
        <w:jc w:val="center"/>
      </w:pPr>
      <w:r>
        <w:t xml:space="preserve">(Image 3: Pre-op and post-op xray of a patient treated by Platting) </w:t>
      </w:r>
    </w:p>
    <w:p w:rsidR="00DA3D8F" w:rsidRDefault="00DA3D8F">
      <w:pPr>
        <w:pStyle w:val="BodyText"/>
        <w:spacing w:before="215" w:line="360" w:lineRule="auto"/>
      </w:pPr>
    </w:p>
    <w:p w:rsidR="00DA3D8F" w:rsidRDefault="00DF086A">
      <w:pPr>
        <w:pStyle w:val="Heading1"/>
        <w:spacing w:line="360" w:lineRule="auto"/>
      </w:pPr>
      <w:r>
        <w:rPr>
          <w:spacing w:val="-2"/>
        </w:rPr>
        <w:t>DISCUSSION</w:t>
      </w:r>
    </w:p>
    <w:p w:rsidR="00DA3D8F" w:rsidRDefault="00DF086A">
      <w:pPr>
        <w:pStyle w:val="BodyText"/>
        <w:spacing w:before="152" w:line="360" w:lineRule="auto"/>
        <w:ind w:left="144" w:right="131"/>
        <w:jc w:val="both"/>
      </w:pPr>
      <w:r>
        <w:t>Shaft humerus fractures are more common in males with a peak incidence in the third decade of life. Road traffic accident was a common cause for such fractures in our and othe</w:t>
      </w:r>
      <w:r>
        <w:t>r similar studies.</w:t>
      </w:r>
    </w:p>
    <w:p w:rsidR="00DA3D8F" w:rsidRDefault="00DF086A">
      <w:pPr>
        <w:pStyle w:val="BodyText"/>
        <w:spacing w:before="159" w:line="360" w:lineRule="auto"/>
        <w:ind w:left="144" w:right="441"/>
        <w:jc w:val="both"/>
      </w:pPr>
      <w:r>
        <w:t>Intramedullary nail &amp; plate are the two most commonly used surgical treatments. Interlocking nailing is preferable in comminuted, segmental</w:t>
      </w:r>
      <w:r>
        <w:rPr>
          <w:spacing w:val="-4"/>
        </w:rPr>
        <w:t xml:space="preserve"> </w:t>
      </w:r>
      <w:r>
        <w:t>and pathological fractures</w:t>
      </w:r>
      <w:r>
        <w:rPr>
          <w:spacing w:val="-3"/>
        </w:rPr>
        <w:t xml:space="preserve"> </w:t>
      </w:r>
      <w:r>
        <w:t>while platting may be</w:t>
      </w:r>
      <w:r>
        <w:rPr>
          <w:spacing w:val="-1"/>
        </w:rPr>
        <w:t xml:space="preserve"> </w:t>
      </w:r>
      <w:r>
        <w:t>the preferred option where radial nerve explorat</w:t>
      </w:r>
      <w:r>
        <w:t xml:space="preserve">ion is contemplated. Conventional plating techniques involve an extensive surgical approach for open reduction of fracture. Infection, non- union and radial nerve palsy are general concerns suggested in the plating group </w:t>
      </w:r>
      <w:r>
        <w:rPr>
          <w:vertAlign w:val="superscript"/>
        </w:rPr>
        <w:t>[10]</w:t>
      </w:r>
      <w:r>
        <w:t>.</w:t>
      </w:r>
    </w:p>
    <w:p w:rsidR="00DA3D8F" w:rsidRDefault="00DF086A">
      <w:pPr>
        <w:pStyle w:val="BodyText"/>
        <w:spacing w:before="5" w:line="360" w:lineRule="auto"/>
        <w:ind w:left="144" w:right="796"/>
        <w:jc w:val="both"/>
      </w:pPr>
      <w:r>
        <w:t>Restriction of shoulder movem</w:t>
      </w:r>
      <w:r>
        <w:t>ents and risk of delayed union have been suggested as concerns with the intramedullary techniques.</w:t>
      </w:r>
    </w:p>
    <w:p w:rsidR="00DA3D8F" w:rsidRDefault="00DF086A">
      <w:pPr>
        <w:pStyle w:val="BodyText"/>
        <w:spacing w:before="70" w:line="360" w:lineRule="auto"/>
        <w:ind w:left="144" w:right="374"/>
        <w:jc w:val="both"/>
      </w:pPr>
      <w:r>
        <w:t xml:space="preserve">In a comparative study for the outcome of nailing v/s platting in shaft humerus fractures by Kiran Singisetti and others published in 2009, 36 patients were </w:t>
      </w:r>
      <w:r>
        <w:t>evaluated, t</w:t>
      </w:r>
      <w:r>
        <w:rPr>
          <w:color w:val="1B1B1B"/>
        </w:rPr>
        <w:t xml:space="preserve">wenty patients of interlocking nailing and sixteen patients of platting </w:t>
      </w:r>
      <w:r>
        <w:rPr>
          <w:color w:val="1B1B1B"/>
        </w:rPr>
        <w:lastRenderedPageBreak/>
        <w:t>over a period of 3 years, they had higher rate of excellent and good results with the plating group.</w:t>
      </w:r>
    </w:p>
    <w:p w:rsidR="00DA3D8F" w:rsidRDefault="00DF086A">
      <w:pPr>
        <w:pStyle w:val="BodyText"/>
        <w:spacing w:before="176" w:line="360" w:lineRule="auto"/>
        <w:ind w:left="144" w:right="126"/>
        <w:jc w:val="both"/>
      </w:pPr>
      <w:r>
        <w:t xml:space="preserve">In a retrospective study for the outcome of intramedullary nailing v/s </w:t>
      </w:r>
      <w:r>
        <w:t>locking compression plate in shaft humerus fractures by Ruipeng Zhang and others published in 2020, 211 patients were evaluated, 102 patients of interlocking nailing and 109 patients of plating over a period of 4.5 years, they obtained s</w:t>
      </w:r>
      <w:r>
        <w:rPr>
          <w:color w:val="1F1F1F"/>
        </w:rPr>
        <w:t xml:space="preserve">imilar therapeutic </w:t>
      </w:r>
      <w:r>
        <w:rPr>
          <w:color w:val="1F1F1F"/>
        </w:rPr>
        <w:t>results for humeral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shaft fractures fixed with either IMN or LCP.</w:t>
      </w:r>
    </w:p>
    <w:p w:rsidR="00DA3D8F" w:rsidRDefault="00DF086A">
      <w:pPr>
        <w:pStyle w:val="BodyText"/>
        <w:spacing w:before="173" w:line="360" w:lineRule="auto"/>
        <w:ind w:left="144" w:right="449"/>
        <w:jc w:val="both"/>
      </w:pPr>
      <w:r>
        <w:t>The higher</w:t>
      </w:r>
      <w:r>
        <w:rPr>
          <w:spacing w:val="-1"/>
        </w:rPr>
        <w:t xml:space="preserve"> </w:t>
      </w:r>
      <w:r>
        <w:t>rate of</w:t>
      </w:r>
      <w:r>
        <w:rPr>
          <w:spacing w:val="-6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platting,</w:t>
      </w:r>
      <w:r>
        <w:rPr>
          <w:spacing w:val="-3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 series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reports.</w:t>
      </w:r>
      <w:r>
        <w:rPr>
          <w:spacing w:val="-2"/>
        </w:rPr>
        <w:t xml:space="preserve"> </w:t>
      </w:r>
      <w:r>
        <w:t xml:space="preserve">In a recent study, no remarkable difference between the </w:t>
      </w:r>
      <w:r>
        <w:rPr>
          <w:highlight w:val="yellow"/>
        </w:rPr>
        <w:t>platting</w:t>
      </w:r>
      <w:r>
        <w:t xml:space="preserve"> and nailing group was seen in terms of rate of union and functional outcome.</w:t>
      </w:r>
    </w:p>
    <w:p w:rsidR="00DA3D8F" w:rsidRDefault="00DA3D8F">
      <w:pPr>
        <w:pStyle w:val="BodyText"/>
        <w:spacing w:before="173" w:line="360" w:lineRule="auto"/>
        <w:ind w:left="144" w:right="449"/>
        <w:jc w:val="both"/>
      </w:pPr>
    </w:p>
    <w:p w:rsidR="00DA3D8F" w:rsidRDefault="00DF086A">
      <w:pPr>
        <w:pStyle w:val="Heading1"/>
        <w:spacing w:line="360" w:lineRule="auto"/>
      </w:pPr>
      <w:bookmarkStart w:id="5" w:name="CONCLUSION"/>
      <w:bookmarkEnd w:id="5"/>
      <w:r>
        <w:rPr>
          <w:spacing w:val="-2"/>
        </w:rPr>
        <w:t>CONCLUSION</w:t>
      </w:r>
    </w:p>
    <w:p w:rsidR="00DA3D8F" w:rsidRDefault="00DF086A">
      <w:pPr>
        <w:pStyle w:val="BodyText"/>
        <w:spacing w:before="182" w:line="360" w:lineRule="auto"/>
        <w:ind w:left="144" w:right="439"/>
        <w:jc w:val="both"/>
      </w:pPr>
      <w:r>
        <w:t>No single treatment option is superior in all circumstances for a particular fracture, and each case has to be individualized.</w:t>
      </w:r>
      <w:r>
        <w:rPr>
          <w:spacing w:val="-1"/>
        </w:rPr>
        <w:t xml:space="preserve"> </w:t>
      </w:r>
      <w:r>
        <w:t>Plating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have better </w:t>
      </w:r>
      <w:r>
        <w:t>overall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interlocking</w:t>
      </w:r>
      <w:r>
        <w:rPr>
          <w:spacing w:val="-1"/>
        </w:rPr>
        <w:t xml:space="preserve"> </w:t>
      </w:r>
      <w:r>
        <w:t>nails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treatment of closed humeral shaft fractures. A tendency for earlier union is seen with the plating group. Our early results are promising with </w:t>
      </w:r>
      <w:r>
        <w:rPr>
          <w:highlight w:val="yellow"/>
        </w:rPr>
        <w:t>platting</w:t>
      </w:r>
      <w:r>
        <w:t xml:space="preserve"> group but long multicentric trials are warranted a</w:t>
      </w:r>
      <w:r>
        <w:t>s there are multiple latest options</w:t>
      </w:r>
      <w:r>
        <w:rPr>
          <w:spacing w:val="40"/>
        </w:rPr>
        <w:t xml:space="preserve"> </w:t>
      </w:r>
      <w:r>
        <w:t>available for fracture management.</w:t>
      </w:r>
    </w:p>
    <w:p w:rsidR="00DA3D8F" w:rsidRDefault="00DF086A">
      <w:pPr>
        <w:pStyle w:val="Heading1"/>
        <w:spacing w:before="252" w:line="360" w:lineRule="auto"/>
      </w:pPr>
      <w:r>
        <w:rPr>
          <w:spacing w:val="-2"/>
        </w:rPr>
        <w:t>REFERENCES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Li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Wang</w:t>
      </w:r>
      <w:r>
        <w:rPr>
          <w:spacing w:val="-2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Wang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Huang</w:t>
      </w:r>
      <w:r>
        <w:rPr>
          <w:spacing w:val="-2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Huang</w:t>
      </w:r>
      <w:r>
        <w:rPr>
          <w:spacing w:val="-8"/>
        </w:rPr>
        <w:t xml:space="preserve"> </w:t>
      </w:r>
      <w:r>
        <w:t>Q.</w:t>
      </w:r>
      <w:r>
        <w:rPr>
          <w:spacing w:val="-2"/>
        </w:rPr>
        <w:t xml:space="preserve"> </w:t>
      </w:r>
      <w:r>
        <w:t>Postoperative malrotation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humeral</w:t>
      </w:r>
      <w:r>
        <w:rPr>
          <w:spacing w:val="-4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fracture after</w:t>
      </w:r>
      <w:r>
        <w:rPr>
          <w:spacing w:val="-1"/>
        </w:rPr>
        <w:t xml:space="preserve"> </w:t>
      </w:r>
      <w:r>
        <w:t xml:space="preserve">plating compared with intramedullary nailing. J Shoulder Elbow Surg. </w:t>
      </w:r>
      <w:r>
        <w:t>2011;20(6):947-54. doi:10.12659/msm.924400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Van</w:t>
      </w:r>
      <w:r>
        <w:rPr>
          <w:spacing w:val="-2"/>
        </w:rPr>
        <w:t xml:space="preserve"> </w:t>
      </w:r>
      <w:r>
        <w:t>de Wall</w:t>
      </w:r>
      <w:r>
        <w:rPr>
          <w:spacing w:val="-4"/>
        </w:rPr>
        <w:t xml:space="preserve"> </w:t>
      </w:r>
      <w:r>
        <w:t>BJM,</w:t>
      </w:r>
      <w:r>
        <w:rPr>
          <w:spacing w:val="-2"/>
        </w:rPr>
        <w:t xml:space="preserve"> </w:t>
      </w:r>
      <w:r>
        <w:t>Ochen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Beeres FJP,</w:t>
      </w:r>
      <w:r>
        <w:rPr>
          <w:spacing w:val="-2"/>
        </w:rPr>
        <w:t xml:space="preserve"> </w:t>
      </w:r>
      <w:r>
        <w:t>Babst</w:t>
      </w:r>
      <w:r>
        <w:rPr>
          <w:spacing w:val="-4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BC,</w:t>
      </w:r>
      <w:r>
        <w:rPr>
          <w:spacing w:val="-2"/>
        </w:rPr>
        <w:t xml:space="preserve"> </w:t>
      </w:r>
      <w:r>
        <w:t>Heng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2"/>
        </w:rPr>
        <w:t xml:space="preserve"> </w:t>
      </w:r>
      <w:r>
        <w:t>Conservative vs</w:t>
      </w:r>
      <w:r>
        <w:rPr>
          <w:spacing w:val="-3"/>
        </w:rPr>
        <w:t xml:space="preserve"> </w:t>
      </w:r>
      <w:r>
        <w:t>operative treatment for humeral shaft fractures: a meta-analysis and systematic review of randomized clinical trials and obser</w:t>
      </w:r>
      <w:r>
        <w:t>vation studies. J Shoulder Elbow Surg. 2020;29(7):1493-504. doi: 10.1016/j.jse.2020.01.072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Zhao</w:t>
      </w:r>
      <w:r>
        <w:rPr>
          <w:spacing w:val="-2"/>
        </w:rPr>
        <w:t xml:space="preserve"> </w:t>
      </w:r>
      <w:r>
        <w:t>JG,</w:t>
      </w:r>
      <w:r>
        <w:rPr>
          <w:spacing w:val="-2"/>
        </w:rPr>
        <w:t xml:space="preserve"> </w:t>
      </w:r>
      <w:r>
        <w:t>Wang</w:t>
      </w:r>
      <w:r>
        <w:rPr>
          <w:spacing w:val="-2"/>
        </w:rPr>
        <w:t xml:space="preserve"> </w:t>
      </w:r>
      <w:r>
        <w:t>J,</w:t>
      </w:r>
      <w:r>
        <w:rPr>
          <w:spacing w:val="-2"/>
        </w:rPr>
        <w:t xml:space="preserve"> </w:t>
      </w:r>
      <w:r>
        <w:t>Meng</w:t>
      </w:r>
      <w:r>
        <w:rPr>
          <w:spacing w:val="-2"/>
        </w:rPr>
        <w:t xml:space="preserve"> </w:t>
      </w:r>
      <w:r>
        <w:t>XH,</w:t>
      </w:r>
      <w:r>
        <w:rPr>
          <w:spacing w:val="-2"/>
        </w:rPr>
        <w:t xml:space="preserve"> </w:t>
      </w:r>
      <w:r>
        <w:t>Zeng</w:t>
      </w:r>
      <w:r>
        <w:rPr>
          <w:spacing w:val="-2"/>
        </w:rPr>
        <w:t xml:space="preserve"> </w:t>
      </w:r>
      <w:r>
        <w:t>XT,</w:t>
      </w:r>
      <w:r>
        <w:rPr>
          <w:spacing w:val="-2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SL.</w:t>
      </w:r>
      <w:r>
        <w:rPr>
          <w:spacing w:val="-2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humerus</w:t>
      </w:r>
      <w:r>
        <w:rPr>
          <w:spacing w:val="-3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fractures:</w:t>
      </w:r>
      <w:r>
        <w:rPr>
          <w:spacing w:val="-4"/>
        </w:rPr>
        <w:t xml:space="preserve"> </w:t>
      </w:r>
      <w:r>
        <w:t>a network meta-analysis of randomized controlled trials. PLoS One</w:t>
      </w:r>
      <w:r>
        <w:t>. 2017;12(3):e0173634. doi:10.1371/journal.pone.0173634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An Z, Zeng B, He X, Chen Q, Hu S. Plating osteosynthesis of mid-distal humeral shaft fractures: minimally invasive</w:t>
      </w:r>
      <w:r>
        <w:rPr>
          <w:spacing w:val="-2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conventional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technique.</w:t>
      </w:r>
      <w:r>
        <w:rPr>
          <w:spacing w:val="-4"/>
        </w:rPr>
        <w:t xml:space="preserve"> </w:t>
      </w:r>
      <w:r>
        <w:t>Int</w:t>
      </w:r>
      <w:r>
        <w:rPr>
          <w:spacing w:val="-5"/>
        </w:rPr>
        <w:t xml:space="preserve"> </w:t>
      </w:r>
      <w:r>
        <w:t>Orthop.</w:t>
      </w:r>
      <w:r>
        <w:rPr>
          <w:spacing w:val="-4"/>
        </w:rPr>
        <w:t xml:space="preserve"> </w:t>
      </w:r>
      <w:r>
        <w:t>2010;34(1):131-5.</w:t>
      </w:r>
      <w:r>
        <w:rPr>
          <w:spacing w:val="-4"/>
        </w:rPr>
        <w:t xml:space="preserve"> </w:t>
      </w:r>
      <w:r>
        <w:t>doi:10.10</w:t>
      </w:r>
      <w:r>
        <w:t>07/s00264-009-0753-x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Chen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Qiang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Zhang</w:t>
      </w:r>
      <w:r>
        <w:rPr>
          <w:spacing w:val="-2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H,</w:t>
      </w:r>
      <w:r>
        <w:rPr>
          <w:spacing w:val="-2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t>computer-assisted</w:t>
      </w:r>
      <w:r>
        <w:rPr>
          <w:spacing w:val="-2"/>
        </w:rPr>
        <w:t xml:space="preserve"> </w:t>
      </w:r>
      <w:r>
        <w:t>preoperative planning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humeral</w:t>
      </w:r>
      <w:r>
        <w:rPr>
          <w:spacing w:val="-1"/>
        </w:rPr>
        <w:t xml:space="preserve"> </w:t>
      </w:r>
      <w:r>
        <w:t>shaft fractures: report of 43 cases. Int J Med Robot. 2015;11(2):109-19. doi:10.1002/rcs.1604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Beeres</w:t>
      </w:r>
      <w:r>
        <w:rPr>
          <w:spacing w:val="-1"/>
        </w:rPr>
        <w:t xml:space="preserve"> </w:t>
      </w:r>
      <w:r>
        <w:t>FJP, van Veelen</w:t>
      </w:r>
      <w:r>
        <w:rPr>
          <w:spacing w:val="-6"/>
        </w:rPr>
        <w:t xml:space="preserve"> </w:t>
      </w:r>
      <w:r>
        <w:t>N, Houwert</w:t>
      </w:r>
      <w:r>
        <w:rPr>
          <w:spacing w:val="-2"/>
        </w:rPr>
        <w:t xml:space="preserve"> </w:t>
      </w:r>
      <w:r>
        <w:t>RM, Babst</w:t>
      </w:r>
      <w:r>
        <w:rPr>
          <w:spacing w:val="-2"/>
        </w:rPr>
        <w:t xml:space="preserve"> </w:t>
      </w:r>
      <w:r>
        <w:t>R, Link BC, Heng M, et</w:t>
      </w:r>
      <w:r>
        <w:rPr>
          <w:spacing w:val="-2"/>
        </w:rPr>
        <w:t xml:space="preserve"> </w:t>
      </w:r>
      <w:r>
        <w:t>al. Open plate fixation versus</w:t>
      </w:r>
      <w:r>
        <w:rPr>
          <w:spacing w:val="-2"/>
        </w:rPr>
        <w:t xml:space="preserve"> </w:t>
      </w:r>
      <w:r>
        <w:t xml:space="preserve">nailing </w:t>
      </w:r>
      <w:r>
        <w:lastRenderedPageBreak/>
        <w:t>for humeral</w:t>
      </w:r>
      <w:r>
        <w:rPr>
          <w:spacing w:val="-4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fractures:</w:t>
      </w:r>
      <w:r>
        <w:rPr>
          <w:spacing w:val="-4"/>
        </w:rPr>
        <w:t xml:space="preserve"> </w:t>
      </w:r>
      <w:r>
        <w:t>a meta-analysis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systematic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randomised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trials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observational</w:t>
      </w:r>
      <w:r>
        <w:rPr>
          <w:spacing w:val="-4"/>
        </w:rPr>
        <w:t xml:space="preserve"> </w:t>
      </w:r>
      <w:r>
        <w:t>studies. Eur J Trauma Emerg Surg. 2022;48(4):2667-82. doi:10.1007/s00</w:t>
      </w:r>
      <w:r>
        <w:t>068-021-01728-7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Hohmann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Glatt</w:t>
      </w:r>
      <w:r>
        <w:rPr>
          <w:spacing w:val="-5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Tetsworth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Minimally</w:t>
      </w:r>
      <w:r>
        <w:rPr>
          <w:spacing w:val="-3"/>
        </w:rPr>
        <w:t xml:space="preserve"> </w:t>
      </w:r>
      <w:r>
        <w:t>invasive</w:t>
      </w:r>
      <w:r>
        <w:rPr>
          <w:spacing w:val="-1"/>
        </w:rPr>
        <w:t xml:space="preserve"> </w:t>
      </w:r>
      <w:r>
        <w:t>plating</w:t>
      </w:r>
      <w:r>
        <w:rPr>
          <w:spacing w:val="-3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plate</w:t>
      </w:r>
      <w:r>
        <w:rPr>
          <w:spacing w:val="-1"/>
        </w:rPr>
        <w:t xml:space="preserve"> </w:t>
      </w:r>
      <w:r>
        <w:t>fixation</w:t>
      </w:r>
      <w:r>
        <w:rPr>
          <w:spacing w:val="-3"/>
        </w:rPr>
        <w:t xml:space="preserve"> </w:t>
      </w:r>
      <w:r>
        <w:t>or intramedullary nailing of humeral shaft fractures: a systematic review and meta-analysis of randomized controlled trials. J Shoulder Elbow Surg. 2016;25(10):1634-42. doi: 10.1016/j.jse.2016.05.014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Keshav</w:t>
      </w:r>
      <w:r>
        <w:rPr>
          <w:spacing w:val="-8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Baghel</w:t>
      </w:r>
      <w:r>
        <w:rPr>
          <w:spacing w:val="-4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Kumar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Neradi</w:t>
      </w:r>
      <w:r>
        <w:rPr>
          <w:spacing w:val="-1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Kaustubh</w:t>
      </w:r>
      <w:r>
        <w:rPr>
          <w:spacing w:val="-8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Mishr</w:t>
      </w:r>
      <w:r>
        <w:t>a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minimally</w:t>
      </w:r>
      <w:r>
        <w:rPr>
          <w:spacing w:val="-2"/>
        </w:rPr>
        <w:t xml:space="preserve"> </w:t>
      </w:r>
      <w:r>
        <w:t>invasive</w:t>
      </w:r>
      <w:r>
        <w:rPr>
          <w:spacing w:val="-1"/>
        </w:rPr>
        <w:t xml:space="preserve"> </w:t>
      </w:r>
      <w:r>
        <w:t>plating</w:t>
      </w:r>
      <w:r>
        <w:rPr>
          <w:spacing w:val="-2"/>
        </w:rPr>
        <w:t xml:space="preserve"> </w:t>
      </w:r>
      <w:r>
        <w:t>osteosynthesis better than conventional open plating for humeral shaft fractures? A systematic review and meta-analysis of comparative studies. Indian J Orthop. 2021;55(Suppl 2):283-303. doi:10.1007/s43465-021-00413-6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Sar</w:t>
      </w:r>
      <w:r>
        <w:t>geant</w:t>
      </w:r>
      <w:r>
        <w:rPr>
          <w:spacing w:val="-4"/>
        </w:rPr>
        <w:t xml:space="preserve"> </w:t>
      </w:r>
      <w:r>
        <w:t>HW,</w:t>
      </w:r>
      <w:r>
        <w:rPr>
          <w:spacing w:val="-2"/>
        </w:rPr>
        <w:t xml:space="preserve"> </w:t>
      </w:r>
      <w:r>
        <w:t>Farrow</w:t>
      </w:r>
      <w:r>
        <w:rPr>
          <w:spacing w:val="-2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Barker</w:t>
      </w:r>
      <w:r>
        <w:rPr>
          <w:spacing w:val="-6"/>
        </w:rPr>
        <w:t xml:space="preserve"> </w:t>
      </w:r>
      <w:r>
        <w:t>S,</w:t>
      </w:r>
      <w:r>
        <w:rPr>
          <w:spacing w:val="-2"/>
        </w:rPr>
        <w:t xml:space="preserve"> </w:t>
      </w:r>
      <w:r>
        <w:t>Kumar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Operative versus</w:t>
      </w:r>
      <w:r>
        <w:rPr>
          <w:spacing w:val="-4"/>
        </w:rPr>
        <w:t xml:space="preserve"> </w:t>
      </w:r>
      <w:r>
        <w:t>non-operative treatment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humeral</w:t>
      </w:r>
      <w:r>
        <w:rPr>
          <w:spacing w:val="-4"/>
        </w:rPr>
        <w:t xml:space="preserve"> </w:t>
      </w:r>
      <w:r>
        <w:t>shaft fractures: a systematic review. Shoulder Elbow. 2020;12(4):229-42. doi:10.1177/1758573218825477</w:t>
      </w:r>
    </w:p>
    <w:p w:rsidR="00DA3D8F" w:rsidRDefault="00DF086A">
      <w:pPr>
        <w:pStyle w:val="ListParagraph"/>
        <w:numPr>
          <w:ilvl w:val="0"/>
          <w:numId w:val="2"/>
        </w:numPr>
        <w:tabs>
          <w:tab w:val="left" w:pos="438"/>
        </w:tabs>
        <w:spacing w:before="70" w:line="360" w:lineRule="auto"/>
        <w:ind w:left="234" w:right="674" w:firstLine="0"/>
        <w:jc w:val="left"/>
      </w:pPr>
      <w:r>
        <w:t>Wang</w:t>
      </w:r>
      <w:r>
        <w:rPr>
          <w:spacing w:val="-7"/>
        </w:rPr>
        <w:t xml:space="preserve"> </w:t>
      </w:r>
      <w:r>
        <w:t>X,</w:t>
      </w:r>
      <w:r>
        <w:rPr>
          <w:spacing w:val="-1"/>
        </w:rPr>
        <w:t xml:space="preserve"> </w:t>
      </w:r>
      <w:r>
        <w:t>Chen</w:t>
      </w:r>
      <w:r>
        <w:rPr>
          <w:spacing w:val="-1"/>
        </w:rPr>
        <w:t xml:space="preserve"> </w:t>
      </w:r>
      <w:r>
        <w:t>Z,</w:t>
      </w:r>
      <w:r>
        <w:rPr>
          <w:spacing w:val="-1"/>
        </w:rPr>
        <w:t xml:space="preserve"> </w:t>
      </w:r>
      <w:r>
        <w:t>Shao</w:t>
      </w:r>
      <w:r>
        <w:rPr>
          <w:spacing w:val="-1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Xia</w:t>
      </w:r>
      <w:r>
        <w:rPr>
          <w:spacing w:val="1"/>
        </w:rPr>
        <w:t xml:space="preserve"> </w:t>
      </w:r>
      <w:r>
        <w:t>Q.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meta-analysis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plate</w:t>
      </w:r>
      <w:r>
        <w:rPr>
          <w:spacing w:val="1"/>
        </w:rPr>
        <w:t xml:space="preserve"> </w:t>
      </w:r>
      <w:r>
        <w:t>fixation</w:t>
      </w:r>
      <w:r>
        <w:rPr>
          <w:spacing w:val="-1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 xml:space="preserve">intramedullary </w:t>
      </w:r>
      <w:r>
        <w:rPr>
          <w:spacing w:val="-2"/>
        </w:rPr>
        <w:t>nailing</w:t>
      </w:r>
      <w:r>
        <w:t>for</w:t>
      </w:r>
      <w:r>
        <w:rPr>
          <w:spacing w:val="-2"/>
        </w:rPr>
        <w:t xml:space="preserve"> </w:t>
      </w:r>
      <w:r>
        <w:t>humeral</w:t>
      </w:r>
      <w:r>
        <w:rPr>
          <w:spacing w:val="-4"/>
        </w:rPr>
        <w:t xml:space="preserve"> </w:t>
      </w:r>
      <w:r>
        <w:t>shaft</w:t>
      </w:r>
      <w:r>
        <w:rPr>
          <w:spacing w:val="-5"/>
        </w:rPr>
        <w:t xml:space="preserve"> </w:t>
      </w:r>
      <w:r>
        <w:t>fractures.</w:t>
      </w:r>
      <w:r>
        <w:rPr>
          <w:spacing w:val="-2"/>
        </w:rPr>
        <w:t xml:space="preserve"> </w:t>
      </w:r>
      <w:r>
        <w:t>J</w:t>
      </w:r>
      <w:r>
        <w:rPr>
          <w:spacing w:val="-4"/>
        </w:rPr>
        <w:t xml:space="preserve"> </w:t>
      </w:r>
      <w:r>
        <w:t>Orthop</w:t>
      </w:r>
      <w:r>
        <w:rPr>
          <w:spacing w:val="-1"/>
        </w:rPr>
        <w:t xml:space="preserve"> </w:t>
      </w:r>
      <w:r>
        <w:t>Sci.</w:t>
      </w:r>
      <w:r>
        <w:rPr>
          <w:spacing w:val="-2"/>
        </w:rPr>
        <w:t xml:space="preserve"> </w:t>
      </w:r>
      <w:r>
        <w:t>2013;18(3):388-97.</w:t>
      </w:r>
      <w:r>
        <w:rPr>
          <w:spacing w:val="-2"/>
        </w:rPr>
        <w:t xml:space="preserve"> </w:t>
      </w:r>
      <w:r>
        <w:t>doi:10.1007/s00776-013-0355-</w:t>
      </w:r>
      <w:r>
        <w:rPr>
          <w:spacing w:val="-10"/>
        </w:rPr>
        <w:t>8</w:t>
      </w:r>
    </w:p>
    <w:sectPr w:rsidR="00DA3D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10" w:h="16840"/>
      <w:pgMar w:top="19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6A" w:rsidRDefault="00DF086A">
      <w:r>
        <w:separator/>
      </w:r>
    </w:p>
  </w:endnote>
  <w:endnote w:type="continuationSeparator" w:id="0">
    <w:p w:rsidR="00DF086A" w:rsidRDefault="00DF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8F" w:rsidRDefault="00DA3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8F" w:rsidRDefault="00DA3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6A" w:rsidRDefault="00DF086A">
      <w:r>
        <w:separator/>
      </w:r>
    </w:p>
  </w:footnote>
  <w:footnote w:type="continuationSeparator" w:id="0">
    <w:p w:rsidR="00DF086A" w:rsidRDefault="00DF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8F" w:rsidRDefault="00DF08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2051" type="#_x0000_t136" style="position:absolute;margin-left:0;margin-top:0;width:683.75pt;height:75.95pt;rotation:-45;z-index:-251658752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8F" w:rsidRDefault="00DF08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o:spid="_x0000_s2050" type="#_x0000_t136" style="position:absolute;margin-left:0;margin-top:0;width:683.75pt;height:75.95pt;rotation:-45;z-index:-251657728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8F" w:rsidRDefault="00DF08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2049" type="#_x0000_t136" style="position:absolute;margin-left:0;margin-top:0;width:683.75pt;height:75.95pt;rotation:-45;z-index:-251659776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277E51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ind w:left="144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203" w:hanging="295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267" w:hanging="295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331" w:hanging="295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395" w:hanging="295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5459" w:hanging="295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6522" w:hanging="295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7586" w:hanging="295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8650" w:hanging="29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8F"/>
    <w:rsid w:val="00DA3D8F"/>
    <w:rsid w:val="00DD51E7"/>
    <w:rsid w:val="00D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BFB04FD-D42F-45E2-AB9C-D2B3394D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hruti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mbria" w:eastAsia="SimSun" w:hAnsi="Cambria" w:cs="Shruti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3"/>
      <w:ind w:left="144" w:firstLine="110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10"/>
    </w:p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pPr>
      <w:widowControl/>
      <w:autoSpaceDE/>
      <w:autoSpaceDN/>
      <w:spacing w:line="280" w:lineRule="exact"/>
      <w:jc w:val="right"/>
    </w:pPr>
    <w:rPr>
      <w:rFonts w:ascii="Helvetica" w:hAnsi="Helvetica"/>
      <w:b/>
      <w:sz w:val="24"/>
      <w:szCs w:val="20"/>
    </w:rPr>
  </w:style>
  <w:style w:type="paragraph" w:customStyle="1" w:styleId="Affiliation">
    <w:name w:val="Affiliation"/>
    <w:basedOn w:val="Normal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hruti"/>
      <w:color w:val="243F6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Microsoft_Excel_97-2003_Worksheet.xls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 predisposition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4F-4BE5-AB54-9D1C94ADAD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4F-4BE5-AB54-9D1C94ADAD2E}"/>
              </c:ext>
            </c:extLst>
          </c:dPt>
          <c:cat>
            <c:strRef>
              <c:f>Sheet1!$A$2:$A$3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4F-4BE5-AB54-9D1C94ADA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1993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Dhruvi Kapasi</dc:creator>
  <cp:lastModifiedBy>SDI CPU 1130</cp:lastModifiedBy>
  <cp:revision>6</cp:revision>
  <dcterms:created xsi:type="dcterms:W3CDTF">2025-09-27T13:29:00Z</dcterms:created>
  <dcterms:modified xsi:type="dcterms:W3CDTF">2025-10-03T10:29:00Z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2025-09-20T00:00:00Z</vt:filetime>
  </property>
  <property fmtid="{D5CDD505-2E9C-101B-9397-08002B2CF9AE}" pid="5" name="ICV">
    <vt:lpwstr>271f103415a94df89ab711752f199333</vt:lpwstr>
  </property>
  <property fmtid="{D5CDD505-2E9C-101B-9397-08002B2CF9AE}" pid="6" name="KSOProductBuildVer">
    <vt:lpwstr>1033-12.2.0.21931</vt:lpwstr>
  </property>
</Properties>
</file>